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z w:val="28"/>
          <w:highlight w:val="none"/>
        </w:rPr>
      </w:pPr>
    </w:p>
    <w:p>
      <w:pPr>
        <w:pStyle w:val="619"/>
        <w:rPr>
          <w:rFonts w:hint="eastAsia" w:ascii="宋体" w:hAnsi="宋体" w:eastAsia="宋体" w:cs="宋体"/>
          <w:color w:val="auto"/>
          <w:highlight w:val="none"/>
        </w:rPr>
      </w:pPr>
    </w:p>
    <w:p>
      <w:pPr>
        <w:pStyle w:val="619"/>
        <w:rPr>
          <w:rFonts w:hint="eastAsia" w:ascii="宋体" w:hAnsi="宋体" w:eastAsia="宋体" w:cs="宋体"/>
          <w:color w:val="auto"/>
          <w:highlight w:val="none"/>
        </w:rPr>
      </w:pPr>
    </w:p>
    <w:p>
      <w:pPr>
        <w:jc w:val="center"/>
        <w:rPr>
          <w:rFonts w:hint="eastAsia" w:ascii="宋体" w:hAnsi="宋体" w:eastAsia="宋体" w:cs="宋体"/>
          <w:b/>
          <w:color w:val="auto"/>
          <w:sz w:val="28"/>
          <w:highlight w:val="none"/>
          <w:lang w:eastAsia="zh-CN"/>
        </w:rPr>
      </w:pPr>
      <w:r>
        <w:rPr>
          <w:rFonts w:hint="eastAsia" w:ascii="宋体" w:hAnsi="宋体" w:cs="宋体"/>
          <w:b/>
          <w:bCs/>
          <w:color w:val="auto"/>
          <w:kern w:val="2"/>
          <w:sz w:val="60"/>
          <w:szCs w:val="60"/>
          <w:highlight w:val="none"/>
          <w:lang w:eastAsia="zh-CN"/>
        </w:rPr>
        <w:t>东莞市水务集团实业发展有限公司审计及财税服务采购项目</w:t>
      </w: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pStyle w:val="619"/>
        <w:ind w:left="0" w:leftChars="0" w:firstLine="0" w:firstLineChars="0"/>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spacing w:line="360" w:lineRule="auto"/>
        <w:ind w:left="2350" w:leftChars="800" w:hanging="430" w:hangingChars="134"/>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color w:val="auto"/>
          <w:kern w:val="2"/>
          <w:sz w:val="32"/>
          <w:szCs w:val="32"/>
          <w:highlight w:val="none"/>
          <w:lang w:val="zh-CN"/>
        </w:rPr>
        <w:t>0832-SFCX25DG115C</w:t>
      </w:r>
    </w:p>
    <w:p>
      <w:pPr>
        <w:spacing w:line="360" w:lineRule="auto"/>
        <w:ind w:left="2350" w:leftChars="800" w:hanging="430" w:hangingChars="134"/>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cs="宋体"/>
          <w:b/>
          <w:color w:val="auto"/>
          <w:sz w:val="32"/>
          <w:szCs w:val="32"/>
          <w:highlight w:val="none"/>
          <w:lang w:eastAsia="zh-CN"/>
        </w:rPr>
        <w:t>东莞市水务集团实业发展有限公司</w:t>
      </w:r>
    </w:p>
    <w:p>
      <w:pPr>
        <w:spacing w:line="360" w:lineRule="auto"/>
        <w:ind w:left="2350" w:leftChars="800" w:hanging="430" w:hangingChars="134"/>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color w:val="auto"/>
          <w:sz w:val="32"/>
          <w:szCs w:val="32"/>
          <w:highlight w:val="none"/>
          <w:lang w:val="zh-CN"/>
        </w:rPr>
        <w:t>三方诚信招标有限公司</w:t>
      </w:r>
    </w:p>
    <w:p>
      <w:pPr>
        <w:rPr>
          <w:rFonts w:hint="eastAsia" w:ascii="宋体" w:hAnsi="宋体" w:eastAsia="宋体" w:cs="宋体"/>
          <w:b/>
          <w:color w:val="auto"/>
          <w:sz w:val="28"/>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2025年</w:t>
      </w:r>
      <w:r>
        <w:rPr>
          <w:rFonts w:hint="eastAsia" w:ascii="宋体" w:hAnsi="宋体" w:cs="宋体"/>
          <w:b/>
          <w:color w:val="auto"/>
          <w:sz w:val="32"/>
          <w:szCs w:val="32"/>
          <w:highlight w:val="none"/>
          <w:lang w:val="en-US" w:eastAsia="zh-CN"/>
        </w:rPr>
        <w:t>8</w:t>
      </w:r>
      <w:r>
        <w:rPr>
          <w:rFonts w:hint="eastAsia" w:ascii="宋体" w:hAnsi="宋体" w:cs="宋体"/>
          <w:b/>
          <w:color w:val="auto"/>
          <w:sz w:val="32"/>
          <w:szCs w:val="32"/>
          <w:highlight w:val="none"/>
          <w:lang w:eastAsia="zh-CN"/>
        </w:rPr>
        <w:t>月</w:t>
      </w:r>
      <w:r>
        <w:rPr>
          <w:rFonts w:hint="eastAsia" w:ascii="宋体" w:hAnsi="宋体" w:cs="宋体"/>
          <w:b/>
          <w:color w:val="auto"/>
          <w:sz w:val="32"/>
          <w:szCs w:val="32"/>
          <w:highlight w:val="none"/>
          <w:lang w:val="en-US" w:eastAsia="zh-CN"/>
        </w:rPr>
        <w:t>13</w:t>
      </w:r>
      <w:r>
        <w:rPr>
          <w:rFonts w:hint="eastAsia" w:ascii="宋体" w:hAnsi="宋体" w:cs="宋体"/>
          <w:b/>
          <w:color w:val="auto"/>
          <w:sz w:val="32"/>
          <w:szCs w:val="32"/>
          <w:highlight w:val="none"/>
          <w:lang w:eastAsia="zh-CN"/>
        </w:rPr>
        <w:t>日</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第一篇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竞争性磋商</w:t>
      </w:r>
      <w:r>
        <w:rPr>
          <w:rFonts w:hint="eastAsia" w:ascii="宋体" w:hAnsi="宋体" w:eastAsia="宋体" w:cs="宋体"/>
          <w:bCs/>
          <w:i w:val="0"/>
          <w:iCs w:val="0"/>
          <w:color w:val="auto"/>
          <w:kern w:val="44"/>
          <w:szCs w:val="32"/>
          <w:highlight w:val="none"/>
          <w:lang w:val="en-US" w:eastAsia="zh-CN"/>
        </w:rPr>
        <w:t>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第二篇</w:t>
      </w:r>
      <w:r>
        <w:rPr>
          <w:rFonts w:hint="eastAsia" w:ascii="宋体" w:hAnsi="宋体" w:eastAsia="宋体" w:cs="宋体"/>
          <w:bCs/>
          <w:i w:val="0"/>
          <w:iCs w:val="0"/>
          <w:color w:val="auto"/>
          <w:kern w:val="44"/>
          <w:szCs w:val="32"/>
          <w:highlight w:val="none"/>
          <w:lang w:val="en-US" w:eastAsia="zh-CN"/>
        </w:rPr>
        <w:t xml:space="preserve"> 磋商</w:t>
      </w:r>
      <w:r>
        <w:rPr>
          <w:rFonts w:hint="eastAsia" w:ascii="宋体" w:hAnsi="宋体" w:eastAsia="宋体" w:cs="宋体"/>
          <w:bCs/>
          <w:i w:val="0"/>
          <w:iCs w:val="0"/>
          <w:color w:val="auto"/>
          <w:kern w:val="44"/>
          <w:szCs w:val="32"/>
          <w:highlight w:val="none"/>
          <w:lang w:val="zh-CN"/>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_Toc20721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_Toc5132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一、总则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_Toc5132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_Toc17898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资金来源：企业自筹资金。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_Toc17898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_Toc19056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合格的供应商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_Toc19056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合格的服务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_Toc17946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其它说明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_Toc17946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二、竞争性磋商文件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_Toc7837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5</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_Toc7837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_Toc8385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竞争性磋商文件的澄清及修改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_Toc30633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_Toc16999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三、响应文件的编制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_Toc16999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8</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rPr>
        <w:t>使用的文字及度量衡单位</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_Toc7504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9</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eastAsia="zh-CN"/>
        </w:rPr>
        <w:t>的组成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_Toc7504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10</w:t>
      </w:r>
      <w:r>
        <w:rPr>
          <w:rFonts w:hint="eastAsia" w:ascii="宋体" w:hAnsi="宋体" w:eastAsia="宋体" w:cs="宋体"/>
          <w:i w:val="0"/>
          <w:iCs w:val="0"/>
          <w:color w:val="auto"/>
          <w:kern w:val="2"/>
          <w:szCs w:val="21"/>
          <w:highlight w:val="none"/>
          <w:lang w:val="en-US" w:eastAsia="zh-CN"/>
        </w:rPr>
        <w:t xml:space="preserve">   磋商</w:t>
      </w:r>
      <w:r>
        <w:rPr>
          <w:rFonts w:hint="eastAsia" w:ascii="宋体" w:hAnsi="宋体" w:eastAsia="宋体" w:cs="宋体"/>
          <w:i w:val="0"/>
          <w:iCs w:val="0"/>
          <w:color w:val="auto"/>
          <w:kern w:val="2"/>
          <w:szCs w:val="21"/>
          <w:highlight w:val="none"/>
          <w:lang w:val="zh-CN"/>
        </w:rPr>
        <w:t>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_Toc8843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11</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_Toc8843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响应报价货币</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_Toc14264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证明供应商的合格性和资格的声明文件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_Toc14264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_Toc9158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证明服务的合格性并符合竞争性磋商文件规定的声明文件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_Toc9158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_Toc23434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15</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rPr>
        <w:t>磋商</w:t>
      </w:r>
      <w:r>
        <w:rPr>
          <w:rFonts w:hint="eastAsia" w:ascii="宋体" w:hAnsi="宋体" w:eastAsia="宋体" w:cs="宋体"/>
          <w:bCs/>
          <w:i w:val="0"/>
          <w:iCs w:val="0"/>
          <w:color w:val="auto"/>
          <w:kern w:val="2"/>
          <w:szCs w:val="21"/>
          <w:highlight w:val="none"/>
          <w:lang w:val="zh-CN"/>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_Toc23434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_Toc2083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16</w:t>
      </w:r>
      <w:r>
        <w:rPr>
          <w:rFonts w:hint="eastAsia" w:ascii="宋体" w:hAnsi="宋体" w:eastAsia="宋体" w:cs="宋体"/>
          <w:i w:val="0"/>
          <w:iCs w:val="0"/>
          <w:color w:val="auto"/>
          <w:kern w:val="2"/>
          <w:szCs w:val="21"/>
          <w:highlight w:val="none"/>
          <w:lang w:val="en-US" w:eastAsia="zh-CN"/>
        </w:rPr>
        <w:t xml:space="preserve">   响应</w:t>
      </w:r>
      <w:r>
        <w:rPr>
          <w:rFonts w:hint="eastAsia" w:ascii="宋体" w:hAnsi="宋体" w:eastAsia="宋体" w:cs="宋体"/>
          <w:i w:val="0"/>
          <w:iCs w:val="0"/>
          <w:color w:val="auto"/>
          <w:kern w:val="2"/>
          <w:szCs w:val="21"/>
          <w:highlight w:val="none"/>
          <w:lang w:val="zh-CN"/>
        </w:rPr>
        <w:t>有效期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_Toc2083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响应文件的式样和签署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_Toc28569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四、响应文件的递交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_Toc30375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18</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响应文件的密封和标记</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_Toc30493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19</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递交响应文件的截止日期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_Toc30493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_Toc32623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20</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迟交的响应文件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_Toc32623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_Toc26647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响应文件的修改和撤回</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_Toc26647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_Toc31926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五、</w:t>
      </w:r>
      <w:r>
        <w:rPr>
          <w:rFonts w:hint="eastAsia" w:ascii="宋体" w:hAnsi="宋体" w:eastAsia="宋体" w:cs="宋体"/>
          <w:bCs/>
          <w:i w:val="0"/>
          <w:iCs w:val="0"/>
          <w:color w:val="auto"/>
          <w:kern w:val="44"/>
          <w:szCs w:val="21"/>
          <w:highlight w:val="none"/>
          <w:lang w:val="en-US" w:eastAsia="zh-CN"/>
        </w:rPr>
        <w:t>竞争性磋商流程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_Toc31926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_Toc6343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22</w:t>
      </w:r>
      <w:r>
        <w:rPr>
          <w:rFonts w:hint="eastAsia" w:ascii="宋体" w:hAnsi="宋体" w:eastAsia="宋体" w:cs="宋体"/>
          <w:i w:val="0"/>
          <w:iCs w:val="0"/>
          <w:color w:val="auto"/>
          <w:kern w:val="2"/>
          <w:szCs w:val="21"/>
          <w:highlight w:val="none"/>
          <w:lang w:val="en-US" w:eastAsia="zh-CN"/>
        </w:rPr>
        <w:t xml:space="preserve">   开启响应文件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_Toc6343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_Toc9655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highlight w:val="none"/>
          <w:lang w:eastAsia="zh-CN"/>
        </w:rPr>
        <w:t>评审</w:t>
      </w:r>
      <w:r>
        <w:rPr>
          <w:rFonts w:hint="eastAsia" w:ascii="宋体" w:hAnsi="宋体" w:eastAsia="宋体" w:cs="宋体"/>
          <w:i w:val="0"/>
          <w:iCs w:val="0"/>
          <w:color w:val="auto"/>
          <w:highlight w:val="none"/>
        </w:rPr>
        <w:t>过程的保密性</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_Toc9655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_Toc20141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4   磋商小组</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_Toc20141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响应文件的评审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_Toc19174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26   响应文件的澄清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_Toc32154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 xml:space="preserve">27 </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对</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文件的比较和评价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_Toc27860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8</w:t>
      </w:r>
      <w:r>
        <w:rPr>
          <w:rFonts w:hint="eastAsia" w:ascii="宋体" w:hAnsi="宋体" w:eastAsia="宋体" w:cs="宋体"/>
          <w:i w:val="0"/>
          <w:iCs w:val="0"/>
          <w:color w:val="auto"/>
          <w:kern w:val="2"/>
          <w:szCs w:val="21"/>
          <w:highlight w:val="none"/>
          <w:lang w:val="zh-CN"/>
        </w:rPr>
        <w:t xml:space="preserve">   评审原则及方法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_Toc27860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_Toc6080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评标结果公示</w:t>
      </w:r>
      <w:r>
        <w:rPr>
          <w:rFonts w:hint="eastAsia" w:ascii="宋体" w:hAnsi="宋体" w:eastAsia="宋体" w:cs="宋体"/>
          <w:i w:val="0"/>
          <w:iCs w:val="0"/>
          <w:color w:val="auto"/>
          <w:kern w:val="2"/>
          <w:szCs w:val="21"/>
          <w:highlight w:val="none"/>
          <w:lang w:val="zh-CN"/>
        </w:rPr>
        <w:t>及异议、投诉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_Toc6080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_Toc6755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en-US" w:eastAsia="zh-CN"/>
        </w:rPr>
        <w:t xml:space="preserve">30   </w:t>
      </w:r>
      <w:r>
        <w:rPr>
          <w:rFonts w:hint="eastAsia" w:ascii="宋体" w:hAnsi="宋体" w:eastAsia="宋体" w:cs="宋体"/>
          <w:bCs/>
          <w:i w:val="0"/>
          <w:iCs w:val="0"/>
          <w:color w:val="auto"/>
          <w:kern w:val="2"/>
          <w:szCs w:val="21"/>
          <w:highlight w:val="none"/>
          <w:lang w:val="zh-CN"/>
        </w:rPr>
        <w:t>真实性审查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_Toc6755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1   </w:t>
      </w:r>
      <w:r>
        <w:rPr>
          <w:rFonts w:hint="eastAsia" w:ascii="宋体" w:hAnsi="宋体" w:eastAsia="宋体" w:cs="宋体"/>
          <w:i w:val="0"/>
          <w:iCs w:val="0"/>
          <w:color w:val="auto"/>
          <w:kern w:val="2"/>
          <w:szCs w:val="21"/>
          <w:highlight w:val="none"/>
          <w:lang w:val="zh-CN"/>
        </w:rPr>
        <w:t>磋商小组和采购人接受或拒绝任何报价或所有报价的权利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_Toc30166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六、授予合同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_Toc30166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2   </w:t>
      </w:r>
      <w:r>
        <w:rPr>
          <w:rFonts w:hint="eastAsia" w:ascii="宋体" w:hAnsi="宋体" w:eastAsia="宋体" w:cs="宋体"/>
          <w:i w:val="0"/>
          <w:iCs w:val="0"/>
          <w:color w:val="auto"/>
          <w:kern w:val="2"/>
          <w:szCs w:val="21"/>
          <w:highlight w:val="none"/>
          <w:lang w:val="zh-CN"/>
        </w:rPr>
        <w:t>授予合同的准则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_Toc17711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_Toc5620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成交</w:t>
      </w:r>
      <w:r>
        <w:rPr>
          <w:rFonts w:hint="eastAsia" w:ascii="宋体" w:hAnsi="宋体" w:eastAsia="宋体" w:cs="宋体"/>
          <w:i w:val="0"/>
          <w:iCs w:val="0"/>
          <w:color w:val="auto"/>
          <w:kern w:val="2"/>
          <w:szCs w:val="21"/>
          <w:highlight w:val="none"/>
          <w:lang w:val="zh-CN"/>
        </w:rPr>
        <w:t>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_Toc5620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_Toc10022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4   </w:t>
      </w:r>
      <w:r>
        <w:rPr>
          <w:rFonts w:hint="eastAsia" w:ascii="宋体" w:hAnsi="宋体" w:eastAsia="宋体" w:cs="宋体"/>
          <w:i w:val="0"/>
          <w:iCs w:val="0"/>
          <w:color w:val="auto"/>
          <w:kern w:val="2"/>
          <w:szCs w:val="21"/>
          <w:highlight w:val="none"/>
          <w:lang w:val="zh-CN"/>
        </w:rPr>
        <w:t>签署合同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_Toc10022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5</w:t>
      </w:r>
      <w:r>
        <w:rPr>
          <w:rFonts w:hint="eastAsia" w:ascii="宋体" w:hAnsi="宋体" w:eastAsia="宋体" w:cs="宋体"/>
          <w:i w:val="0"/>
          <w:iCs w:val="0"/>
          <w:color w:val="auto"/>
          <w:kern w:val="2"/>
          <w:szCs w:val="21"/>
          <w:highlight w:val="none"/>
        </w:rPr>
        <w:t xml:space="preserve">   </w:t>
      </w:r>
      <w:r>
        <w:rPr>
          <w:rFonts w:hint="eastAsia" w:ascii="宋体" w:hAnsi="宋体" w:eastAsia="宋体" w:cs="宋体"/>
          <w:i w:val="0"/>
          <w:iCs w:val="0"/>
          <w:color w:val="auto"/>
          <w:kern w:val="2"/>
          <w:szCs w:val="21"/>
          <w:highlight w:val="none"/>
          <w:lang w:val="zh-CN"/>
        </w:rPr>
        <w:t>履约担保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6   </w:t>
      </w:r>
      <w:r>
        <w:rPr>
          <w:rFonts w:hint="eastAsia" w:ascii="宋体" w:hAnsi="宋体" w:eastAsia="宋体" w:cs="宋体"/>
          <w:i w:val="0"/>
          <w:iCs w:val="0"/>
          <w:color w:val="auto"/>
          <w:kern w:val="2"/>
          <w:szCs w:val="21"/>
          <w:highlight w:val="none"/>
          <w:lang w:val="zh-CN"/>
        </w:rPr>
        <w:t>在合同履行中变更采购范围的权利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_Toc7962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7   代理</w:t>
      </w:r>
      <w:r>
        <w:rPr>
          <w:rFonts w:hint="eastAsia" w:ascii="宋体" w:hAnsi="宋体" w:eastAsia="宋体" w:cs="宋体"/>
          <w:i w:val="0"/>
          <w:iCs w:val="0"/>
          <w:color w:val="auto"/>
          <w:kern w:val="2"/>
          <w:szCs w:val="21"/>
          <w:highlight w:val="none"/>
          <w:lang w:val="zh-CN"/>
        </w:rPr>
        <w:t>服务费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_Toc7962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_Toc20000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发票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_Toc20000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_Toc14416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 xml:space="preserve">  采购</w:t>
      </w:r>
      <w:r>
        <w:rPr>
          <w:rFonts w:hint="eastAsia" w:ascii="宋体" w:hAnsi="宋体" w:eastAsia="宋体" w:cs="宋体"/>
          <w:i w:val="0"/>
          <w:iCs w:val="0"/>
          <w:color w:val="auto"/>
          <w:kern w:val="2"/>
          <w:szCs w:val="21"/>
          <w:highlight w:val="none"/>
          <w:lang w:val="zh-CN"/>
        </w:rPr>
        <w:t>相关补充约定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_Toc14416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_Toc9833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40   </w:t>
      </w:r>
      <w:r>
        <w:rPr>
          <w:rFonts w:hint="eastAsia" w:ascii="宋体" w:hAnsi="宋体" w:eastAsia="宋体" w:cs="宋体"/>
          <w:i w:val="0"/>
          <w:iCs w:val="0"/>
          <w:color w:val="auto"/>
          <w:kern w:val="2"/>
          <w:szCs w:val="21"/>
          <w:highlight w:val="none"/>
          <w:lang w:val="zh-CN"/>
        </w:rPr>
        <w:t>本次采购活动的最终解释权归采购代理机构及采购人所有。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_Toc9833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_Toc24271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第三篇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用户需求书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_Toc24271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_Toc21372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合同条款格式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_Toc21372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_Toc10309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w:t>
      </w:r>
      <w:r>
        <w:rPr>
          <w:rFonts w:hint="eastAsia" w:ascii="宋体" w:hAnsi="宋体" w:eastAsia="宋体" w:cs="宋体"/>
          <w:bCs/>
          <w:i w:val="0"/>
          <w:iCs w:val="0"/>
          <w:color w:val="auto"/>
          <w:kern w:val="44"/>
          <w:szCs w:val="32"/>
          <w:highlight w:val="none"/>
          <w:lang w:val="en-US" w:eastAsia="zh-CN"/>
        </w:rPr>
        <w:t>五</w:t>
      </w:r>
      <w:r>
        <w:rPr>
          <w:rFonts w:hint="eastAsia" w:ascii="宋体" w:hAnsi="宋体" w:eastAsia="宋体" w:cs="宋体"/>
          <w:bCs/>
          <w:i w:val="0"/>
          <w:iCs w:val="0"/>
          <w:color w:val="auto"/>
          <w:kern w:val="44"/>
          <w:szCs w:val="32"/>
          <w:highlight w:val="none"/>
          <w:lang w:val="zh-CN"/>
        </w:rPr>
        <w:t>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响应文件格式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_Toc10309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_Toc19374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附件一：评审工作大纲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_Toc19374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ind w:left="0"/>
        <w:textAlignment w:val="auto"/>
        <w:rPr>
          <w:rFonts w:hint="eastAsia" w:ascii="宋体" w:hAnsi="宋体" w:eastAsia="宋体" w:cs="宋体"/>
          <w:color w:val="auto"/>
          <w:highlight w:val="none"/>
        </w:rPr>
      </w:pPr>
    </w:p>
    <w:p>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sz w:val="21"/>
          <w:szCs w:val="21"/>
          <w:highlight w:val="none"/>
        </w:rPr>
      </w:pPr>
      <w:r>
        <w:rPr>
          <w:rFonts w:hint="eastAsia" w:ascii="宋体" w:hAnsi="宋体" w:eastAsia="宋体" w:cs="宋体"/>
          <w:bCs w:val="0"/>
          <w:i w:val="0"/>
          <w:iCs w:val="0"/>
          <w:color w:val="auto"/>
          <w:sz w:val="21"/>
          <w:szCs w:val="21"/>
          <w:highlight w:val="none"/>
        </w:rPr>
        <w:fldChar w:fldCharType="end"/>
      </w:r>
      <w:r>
        <w:rPr>
          <w:rFonts w:hint="eastAsia" w:ascii="宋体" w:hAnsi="宋体" w:eastAsia="宋体" w:cs="宋体"/>
          <w:b w:val="0"/>
          <w:bCs w:val="0"/>
          <w:i w:val="0"/>
          <w:iCs w:val="0"/>
          <w:caps w:val="0"/>
          <w:color w:val="auto"/>
          <w:kern w:val="2"/>
          <w:sz w:val="21"/>
          <w:szCs w:val="21"/>
          <w:highlight w:val="none"/>
        </w:rPr>
        <w:t xml:space="preserve"> </w:t>
      </w:r>
    </w:p>
    <w:p>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pPr>
        <w:pStyle w:val="2"/>
        <w:keepNext/>
        <w:keepLines/>
        <w:pageBreakBefore/>
        <w:widowControl w:val="0"/>
        <w:tabs>
          <w:tab w:val="left" w:pos="1080"/>
        </w:tabs>
        <w:kinsoku/>
        <w:wordWrap/>
        <w:overflowPunct/>
        <w:topLinePunct w:val="0"/>
        <w:autoSpaceDE w:val="0"/>
        <w:autoSpaceDN w:val="0"/>
        <w:bidi w:val="0"/>
        <w:adjustRightInd w:val="0"/>
        <w:snapToGrid/>
        <w:spacing w:line="360" w:lineRule="auto"/>
        <w:ind w:left="0" w:firstLine="0"/>
        <w:jc w:val="center"/>
        <w:textAlignment w:val="auto"/>
        <w:outlineLvl w:val="0"/>
        <w:rPr>
          <w:rFonts w:hint="eastAsia" w:ascii="宋体" w:hAnsi="宋体" w:eastAsia="宋体" w:cs="宋体"/>
          <w:b/>
          <w:bCs/>
          <w:color w:val="auto"/>
          <w:kern w:val="44"/>
          <w:sz w:val="32"/>
          <w:szCs w:val="32"/>
          <w:highlight w:val="none"/>
          <w:lang w:val="en-US" w:eastAsia="zh-CN"/>
        </w:rPr>
      </w:pPr>
      <w:bookmarkStart w:id="0" w:name="_Toc450662846"/>
      <w:bookmarkStart w:id="1" w:name="_Toc521918064"/>
      <w:bookmarkStart w:id="2" w:name="_Toc7755"/>
      <w:bookmarkStart w:id="3" w:name="_Toc18657"/>
      <w:bookmarkStart w:id="4" w:name="_Toc328"/>
      <w:r>
        <w:rPr>
          <w:rFonts w:hint="eastAsia" w:ascii="宋体" w:hAnsi="宋体" w:eastAsia="宋体" w:cs="宋体"/>
          <w:b/>
          <w:bCs/>
          <w:color w:val="auto"/>
          <w:kern w:val="44"/>
          <w:sz w:val="32"/>
          <w:szCs w:val="32"/>
          <w:highlight w:val="none"/>
          <w:lang w:val="zh-CN"/>
        </w:rPr>
        <w:t>第一篇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竞争性磋商</w:t>
      </w:r>
      <w:bookmarkEnd w:id="0"/>
      <w:bookmarkEnd w:id="1"/>
      <w:r>
        <w:rPr>
          <w:rFonts w:hint="eastAsia" w:ascii="宋体" w:hAnsi="宋体" w:eastAsia="宋体" w:cs="宋体"/>
          <w:b/>
          <w:bCs/>
          <w:color w:val="auto"/>
          <w:kern w:val="44"/>
          <w:sz w:val="32"/>
          <w:szCs w:val="32"/>
          <w:highlight w:val="none"/>
          <w:lang w:val="en-US" w:eastAsia="zh-CN"/>
        </w:rPr>
        <w:t>公告</w:t>
      </w:r>
      <w:bookmarkEnd w:id="2"/>
      <w:bookmarkEnd w:id="3"/>
      <w:bookmarkEnd w:id="4"/>
    </w:p>
    <w:p>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0" w:firstLine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各潜在供应商：</w:t>
      </w:r>
    </w:p>
    <w:p>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三方诚信招标有限公司</w:t>
      </w:r>
      <w:r>
        <w:rPr>
          <w:rFonts w:hint="eastAsia" w:ascii="宋体" w:hAnsi="宋体" w:eastAsia="宋体" w:cs="宋体"/>
          <w:color w:val="auto"/>
          <w:kern w:val="2"/>
          <w:sz w:val="21"/>
          <w:szCs w:val="21"/>
          <w:highlight w:val="none"/>
          <w:lang w:val="zh-CN"/>
        </w:rPr>
        <w:t>（以下简称“采购代理机构”）受</w:t>
      </w:r>
      <w:r>
        <w:rPr>
          <w:rFonts w:hint="eastAsia" w:ascii="宋体" w:hAnsi="宋体" w:cs="宋体"/>
          <w:color w:val="auto"/>
          <w:sz w:val="21"/>
          <w:szCs w:val="21"/>
          <w:highlight w:val="none"/>
          <w:lang w:eastAsia="zh-CN"/>
        </w:rPr>
        <w:t>东莞市水务集团实业发展有限公司</w:t>
      </w:r>
      <w:r>
        <w:rPr>
          <w:rFonts w:hint="eastAsia" w:ascii="宋体" w:hAnsi="宋体" w:eastAsia="宋体" w:cs="宋体"/>
          <w:color w:val="auto"/>
          <w:kern w:val="2"/>
          <w:sz w:val="21"/>
          <w:szCs w:val="21"/>
          <w:highlight w:val="none"/>
          <w:lang w:val="zh-CN"/>
        </w:rPr>
        <w:t>（以下简称“采购人”）的委托</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zh-CN"/>
        </w:rPr>
        <w:t>东莞市水务集团实业发展有限公司审计及财税服务采购项目（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0832-SFCX25DG115C）</w:t>
      </w:r>
      <w:r>
        <w:rPr>
          <w:rFonts w:hint="eastAsia" w:ascii="宋体" w:hAnsi="宋体" w:eastAsia="宋体" w:cs="宋体"/>
          <w:color w:val="auto"/>
          <w:kern w:val="2"/>
          <w:sz w:val="21"/>
          <w:szCs w:val="21"/>
          <w:highlight w:val="none"/>
        </w:rPr>
        <w:t>进行竞争性磋商采购</w:t>
      </w:r>
      <w:r>
        <w:rPr>
          <w:rFonts w:hint="eastAsia" w:ascii="宋体" w:hAnsi="宋体" w:eastAsia="宋体" w:cs="宋体"/>
          <w:color w:val="auto"/>
          <w:sz w:val="21"/>
          <w:szCs w:val="32"/>
          <w:highlight w:val="none"/>
        </w:rPr>
        <w:t>，</w:t>
      </w:r>
      <w:r>
        <w:rPr>
          <w:rFonts w:hint="eastAsia" w:ascii="宋体" w:hAnsi="宋体" w:eastAsia="宋体" w:cs="宋体"/>
          <w:color w:val="auto"/>
          <w:kern w:val="2"/>
          <w:sz w:val="21"/>
          <w:szCs w:val="21"/>
          <w:highlight w:val="none"/>
          <w:lang w:val="zh-CN"/>
        </w:rPr>
        <w:t>欢迎合格供应商就本项目提交密封</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w:t>
      </w:r>
    </w:p>
    <w:p>
      <w:pPr>
        <w:tabs>
          <w:tab w:val="left" w:pos="0"/>
          <w:tab w:val="left" w:pos="142"/>
        </w:tabs>
        <w:spacing w:line="360" w:lineRule="auto"/>
        <w:ind w:left="-142" w:right="-34"/>
        <w:jc w:val="both"/>
        <w:outlineLvl w:val="9"/>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邀请合格</w:t>
      </w:r>
      <w:r>
        <w:rPr>
          <w:rFonts w:hint="eastAsia" w:ascii="宋体" w:hAnsi="宋体" w:eastAsia="宋体" w:cs="宋体"/>
          <w:bCs/>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就本次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范围内容提交</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sz w:val="21"/>
          <w:szCs w:val="21"/>
          <w:highlight w:val="none"/>
        </w:rPr>
        <w:t>：</w:t>
      </w:r>
    </w:p>
    <w:p>
      <w:pPr>
        <w:tabs>
          <w:tab w:val="left" w:pos="0"/>
        </w:tabs>
        <w:spacing w:line="360" w:lineRule="auto"/>
        <w:ind w:left="281" w:leftChars="117" w:right="-34"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审计及财税服务采购项目，服务范围包括：根据采购人要求对智汇公司进行</w:t>
      </w:r>
      <w:bookmarkStart w:id="5" w:name="OLE_LINK3"/>
      <w:r>
        <w:rPr>
          <w:rFonts w:hint="eastAsia" w:ascii="宋体" w:hAnsi="宋体" w:eastAsia="宋体" w:cs="宋体"/>
          <w:color w:val="auto"/>
          <w:sz w:val="21"/>
          <w:szCs w:val="21"/>
          <w:highlight w:val="none"/>
        </w:rPr>
        <w:t>净资产审计服务、清算审计服务及财税咨询服务</w:t>
      </w:r>
      <w:bookmarkEnd w:id="5"/>
      <w:r>
        <w:rPr>
          <w:rFonts w:hint="eastAsia" w:ascii="宋体" w:hAnsi="宋体" w:eastAsia="宋体" w:cs="宋体"/>
          <w:color w:val="auto"/>
          <w:sz w:val="21"/>
          <w:szCs w:val="21"/>
          <w:highlight w:val="none"/>
        </w:rPr>
        <w:t>等，并出具专项咨询报告。（详见第三篇用户需求书。）</w:t>
      </w:r>
    </w:p>
    <w:p>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rPr>
      </w:pPr>
    </w:p>
    <w:p>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rPr>
        <w:t>合格供应商资格</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color w:val="auto"/>
          <w:kern w:val="2"/>
          <w:sz w:val="21"/>
          <w:szCs w:val="21"/>
          <w:highlight w:val="none"/>
          <w:lang w:val="zh-CN"/>
        </w:rPr>
        <w:t>：</w:t>
      </w:r>
    </w:p>
    <w:p>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eastAsia="zh-CN"/>
        </w:rPr>
      </w:pPr>
      <w:r>
        <w:rPr>
          <w:rFonts w:hint="eastAsia" w:ascii="宋体" w:hAnsi="宋体" w:eastAsia="宋体" w:cs="宋体"/>
          <w:b/>
          <w:bCs/>
          <w:color w:val="auto"/>
          <w:sz w:val="21"/>
          <w:szCs w:val="21"/>
          <w:highlight w:val="none"/>
          <w:lang w:val="zh-CN"/>
        </w:rPr>
        <w:t>2.1</w:t>
      </w:r>
      <w:r>
        <w:rPr>
          <w:rFonts w:hint="eastAsia" w:ascii="宋体" w:hAnsi="宋体" w:eastAsia="宋体" w:cs="宋体"/>
          <w:b/>
          <w:bCs/>
          <w:color w:val="auto"/>
          <w:kern w:val="2"/>
          <w:sz w:val="21"/>
          <w:szCs w:val="21"/>
          <w:highlight w:val="none"/>
          <w:lang w:val="zh-CN"/>
        </w:rPr>
        <w:t xml:space="preserve"> 在中华人民共和国境内</w:t>
      </w:r>
      <w:r>
        <w:rPr>
          <w:rFonts w:hint="eastAsia" w:ascii="宋体" w:hAnsi="宋体" w:eastAsia="宋体" w:cs="宋体"/>
          <w:b/>
          <w:bCs/>
          <w:color w:val="auto"/>
          <w:kern w:val="2"/>
          <w:sz w:val="21"/>
          <w:szCs w:val="21"/>
          <w:highlight w:val="none"/>
          <w:lang w:val="zh-CN" w:eastAsia="zh-CN"/>
        </w:rPr>
        <w:t>登记</w:t>
      </w:r>
      <w:r>
        <w:rPr>
          <w:rFonts w:hint="eastAsia" w:ascii="宋体" w:hAnsi="宋体" w:eastAsia="宋体" w:cs="宋体"/>
          <w:b/>
          <w:bCs/>
          <w:color w:val="auto"/>
          <w:kern w:val="2"/>
          <w:sz w:val="21"/>
          <w:szCs w:val="21"/>
          <w:highlight w:val="none"/>
          <w:lang w:val="zh-CN"/>
        </w:rPr>
        <w:t>注册的、合法存续、正常经营且具有独立承担民事责任能力的法人或其他组织</w:t>
      </w:r>
      <w:r>
        <w:rPr>
          <w:rFonts w:hint="eastAsia" w:ascii="宋体" w:hAnsi="宋体" w:eastAsia="宋体" w:cs="宋体"/>
          <w:b/>
          <w:bCs/>
          <w:color w:val="auto"/>
          <w:kern w:val="2"/>
          <w:sz w:val="21"/>
          <w:szCs w:val="21"/>
          <w:highlight w:val="none"/>
          <w:lang w:val="en-US" w:eastAsia="zh-CN"/>
        </w:rPr>
        <w:t>；</w:t>
      </w:r>
    </w:p>
    <w:p>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供应商须具备行政主管部门颁发有效的会计师事务所执业证书</w:t>
      </w:r>
      <w:r>
        <w:rPr>
          <w:rFonts w:hint="eastAsia" w:ascii="宋体" w:hAnsi="宋体" w:eastAsia="宋体" w:cs="宋体"/>
          <w:color w:val="auto"/>
          <w:highlight w:val="none"/>
          <w:lang w:val="en-US" w:eastAsia="zh-CN"/>
        </w:rPr>
        <w:t>；</w:t>
      </w:r>
    </w:p>
    <w:p>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2.3 供应商2022年1月1日以来具有一份资产审计服务项目业绩</w:t>
      </w:r>
      <w:r>
        <w:rPr>
          <w:rFonts w:hint="eastAsia" w:ascii="宋体" w:hAnsi="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lang w:val="en-US" w:eastAsia="zh-CN"/>
        </w:rPr>
        <w:t>一份企业清算审计服务项目业绩</w:t>
      </w:r>
      <w:r>
        <w:rPr>
          <w:rFonts w:hint="eastAsia" w:ascii="宋体" w:hAnsi="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lang w:val="en-US" w:eastAsia="zh-CN"/>
        </w:rPr>
        <w:t>一份财税咨询服务项目业绩</w:t>
      </w:r>
      <w:r>
        <w:rPr>
          <w:rFonts w:hint="eastAsia" w:ascii="宋体" w:hAnsi="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eastAsia="zh-CN"/>
        </w:rPr>
        <w:t>合同签订时间为2022年1月1日或以后）</w:t>
      </w:r>
      <w:r>
        <w:rPr>
          <w:rFonts w:hint="eastAsia" w:ascii="宋体" w:hAnsi="宋体" w:eastAsia="宋体" w:cs="宋体"/>
          <w:b/>
          <w:bCs/>
          <w:color w:val="auto"/>
          <w:sz w:val="21"/>
          <w:szCs w:val="21"/>
          <w:highlight w:val="none"/>
          <w:lang w:val="en-US" w:eastAsia="zh-CN"/>
        </w:rPr>
        <w:t>；</w:t>
      </w:r>
    </w:p>
    <w:p>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pPr>
        <w:numPr>
          <w:ilvl w:val="0"/>
          <w:numId w:val="0"/>
        </w:numPr>
        <w:tabs>
          <w:tab w:val="left" w:pos="0"/>
          <w:tab w:val="left" w:pos="360"/>
        </w:tabs>
        <w:autoSpaceDE/>
        <w:autoSpaceDN/>
        <w:adjustRightInd/>
        <w:spacing w:line="360" w:lineRule="auto"/>
        <w:ind w:left="278" w:leftChars="-59" w:right="-34" w:hanging="420" w:hangingChars="200"/>
        <w:jc w:val="both"/>
        <w:outlineLvl w:val="9"/>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
          <w:sz w:val="21"/>
          <w:szCs w:val="21"/>
          <w:highlight w:val="none"/>
          <w:lang w:val="zh-CN"/>
        </w:rPr>
        <w:t>文件获取方式：本项目采用“不记名网上下载”的方式发布竞争性磋商文件，有意向的供应商可于本项目递交响应文件截止时间前，在本项目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采购代理机构在递交响应文件截止时间前通过“信用中国”网站（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p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p>
    <w:p>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eastAsia="宋体" w:cs="宋体"/>
          <w:b/>
          <w:bCs/>
          <w:color w:val="auto"/>
          <w:kern w:val="2"/>
          <w:sz w:val="21"/>
          <w:szCs w:val="21"/>
          <w:highlight w:val="none"/>
          <w:lang w:val="en-US" w:eastAsia="zh-CN"/>
        </w:rPr>
        <w:t xml:space="preserve">  磋商</w:t>
      </w:r>
      <w:r>
        <w:rPr>
          <w:rFonts w:hint="eastAsia" w:ascii="宋体" w:hAnsi="宋体" w:eastAsia="宋体" w:cs="宋体"/>
          <w:b/>
          <w:bCs/>
          <w:color w:val="auto"/>
          <w:kern w:val="2"/>
          <w:sz w:val="21"/>
          <w:szCs w:val="21"/>
          <w:highlight w:val="none"/>
          <w:lang w:val="zh-CN"/>
        </w:rPr>
        <w:t>时间及地点：</w:t>
      </w:r>
    </w:p>
    <w:p>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5.1 响应文件递交时间：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cs="宋体"/>
          <w:b/>
          <w:bCs/>
          <w:color w:val="auto"/>
          <w:kern w:val="2"/>
          <w:sz w:val="21"/>
          <w:szCs w:val="21"/>
          <w:highlight w:val="none"/>
          <w:u w:val="single"/>
          <w:lang w:val="en-US" w:eastAsia="zh-CN"/>
        </w:rPr>
        <w:t xml:space="preserve"> 8 </w:t>
      </w:r>
      <w:r>
        <w:rPr>
          <w:rFonts w:hint="eastAsia" w:ascii="宋体" w:hAnsi="宋体" w:eastAsia="宋体" w:cs="宋体"/>
          <w:b/>
          <w:bCs/>
          <w:color w:val="auto"/>
          <w:kern w:val="2"/>
          <w:sz w:val="21"/>
          <w:szCs w:val="21"/>
          <w:highlight w:val="none"/>
          <w:lang w:val="zh-CN"/>
        </w:rPr>
        <w:t>月</w:t>
      </w:r>
      <w:r>
        <w:rPr>
          <w:rFonts w:hint="eastAsia" w:ascii="宋体" w:hAnsi="宋体" w:cs="宋体"/>
          <w:b/>
          <w:bCs/>
          <w:color w:val="auto"/>
          <w:kern w:val="2"/>
          <w:sz w:val="21"/>
          <w:szCs w:val="21"/>
          <w:highlight w:val="none"/>
          <w:u w:val="single"/>
          <w:lang w:val="en-US" w:eastAsia="zh-CN"/>
        </w:rPr>
        <w:t xml:space="preserve"> 25 </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00</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30</w:t>
      </w:r>
      <w:r>
        <w:rPr>
          <w:rFonts w:hint="eastAsia" w:ascii="宋体" w:hAnsi="宋体" w:eastAsia="宋体" w:cs="宋体"/>
          <w:b/>
          <w:bCs/>
          <w:color w:val="auto"/>
          <w:kern w:val="2"/>
          <w:sz w:val="21"/>
          <w:szCs w:val="21"/>
          <w:highlight w:val="none"/>
        </w:rPr>
        <w:t>；</w:t>
      </w:r>
    </w:p>
    <w:p>
      <w:pPr>
        <w:tabs>
          <w:tab w:val="left" w:pos="0"/>
        </w:tabs>
        <w:spacing w:line="360" w:lineRule="auto"/>
        <w:ind w:left="-1" w:leftChars="-59" w:right="-34" w:hanging="141" w:hangingChars="67"/>
        <w:jc w:val="both"/>
        <w:outlineLvl w:val="9"/>
        <w:rPr>
          <w:rFonts w:hint="eastAsia" w:ascii="宋体" w:hAnsi="宋体" w:eastAsia="宋体" w:cs="宋体"/>
          <w:b/>
          <w:bCs/>
          <w:color w:val="auto"/>
          <w:highlight w:val="none"/>
        </w:rPr>
      </w:pPr>
      <w:r>
        <w:rPr>
          <w:rFonts w:hint="eastAsia" w:ascii="宋体" w:hAnsi="宋体" w:eastAsia="宋体" w:cs="宋体"/>
          <w:b/>
          <w:bCs/>
          <w:color w:val="auto"/>
          <w:kern w:val="2"/>
          <w:sz w:val="21"/>
          <w:szCs w:val="21"/>
          <w:highlight w:val="none"/>
          <w:lang w:val="zh-CN"/>
        </w:rPr>
        <w:t>5.2 递交</w:t>
      </w:r>
      <w:r>
        <w:rPr>
          <w:rFonts w:hint="eastAsia" w:ascii="宋体" w:hAnsi="宋体" w:eastAsia="宋体" w:cs="宋体"/>
          <w:b/>
          <w:bCs/>
          <w:color w:val="auto"/>
          <w:kern w:val="2"/>
          <w:sz w:val="21"/>
          <w:szCs w:val="21"/>
          <w:highlight w:val="none"/>
          <w:lang w:val="en-US" w:eastAsia="zh-CN"/>
        </w:rPr>
        <w:t>响应文件</w:t>
      </w:r>
      <w:r>
        <w:rPr>
          <w:rFonts w:hint="eastAsia" w:ascii="宋体" w:hAnsi="宋体" w:eastAsia="宋体" w:cs="宋体"/>
          <w:b/>
          <w:bCs/>
          <w:color w:val="auto"/>
          <w:kern w:val="2"/>
          <w:sz w:val="21"/>
          <w:szCs w:val="21"/>
          <w:highlight w:val="none"/>
          <w:lang w:val="zh-CN"/>
        </w:rPr>
        <w:t>截止及</w:t>
      </w:r>
      <w:r>
        <w:rPr>
          <w:rFonts w:hint="eastAsia" w:ascii="宋体" w:hAnsi="宋体" w:eastAsia="宋体" w:cs="宋体"/>
          <w:b/>
          <w:bCs/>
          <w:color w:val="auto"/>
          <w:kern w:val="2"/>
          <w:sz w:val="21"/>
          <w:szCs w:val="21"/>
          <w:highlight w:val="none"/>
          <w:lang w:val="en-US" w:eastAsia="zh-CN"/>
        </w:rPr>
        <w:t>开启</w:t>
      </w:r>
      <w:r>
        <w:rPr>
          <w:rFonts w:hint="eastAsia" w:ascii="宋体" w:hAnsi="宋体" w:eastAsia="宋体" w:cs="宋体"/>
          <w:b/>
          <w:bCs/>
          <w:color w:val="auto"/>
          <w:kern w:val="2"/>
          <w:sz w:val="21"/>
          <w:szCs w:val="21"/>
          <w:highlight w:val="none"/>
          <w:lang w:val="zh-CN"/>
        </w:rPr>
        <w:t>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cs="宋体"/>
          <w:b/>
          <w:bCs/>
          <w:color w:val="auto"/>
          <w:kern w:val="2"/>
          <w:sz w:val="21"/>
          <w:szCs w:val="21"/>
          <w:highlight w:val="none"/>
          <w:u w:val="single"/>
          <w:lang w:val="en-US" w:eastAsia="zh-CN"/>
        </w:rPr>
        <w:t xml:space="preserve"> 8 </w:t>
      </w:r>
      <w:r>
        <w:rPr>
          <w:rFonts w:hint="eastAsia" w:ascii="宋体" w:hAnsi="宋体" w:eastAsia="宋体" w:cs="宋体"/>
          <w:b/>
          <w:bCs/>
          <w:color w:val="auto"/>
          <w:kern w:val="2"/>
          <w:sz w:val="21"/>
          <w:szCs w:val="21"/>
          <w:highlight w:val="none"/>
          <w:lang w:val="zh-CN"/>
        </w:rPr>
        <w:t>月</w:t>
      </w:r>
      <w:r>
        <w:rPr>
          <w:rFonts w:hint="eastAsia" w:ascii="宋体" w:hAnsi="宋体" w:cs="宋体"/>
          <w:b/>
          <w:bCs/>
          <w:color w:val="auto"/>
          <w:kern w:val="2"/>
          <w:sz w:val="21"/>
          <w:szCs w:val="21"/>
          <w:highlight w:val="none"/>
          <w:u w:val="single"/>
          <w:lang w:val="en-US" w:eastAsia="zh-CN"/>
        </w:rPr>
        <w:t xml:space="preserve"> 25</w:t>
      </w:r>
      <w:bookmarkStart w:id="560" w:name="_GoBack"/>
      <w:bookmarkEnd w:id="560"/>
      <w:r>
        <w:rPr>
          <w:rFonts w:hint="eastAsia" w:ascii="宋体" w:hAnsi="宋体" w:cs="宋体"/>
          <w:b/>
          <w:bCs/>
          <w:color w:val="auto"/>
          <w:kern w:val="2"/>
          <w:sz w:val="21"/>
          <w:szCs w:val="21"/>
          <w:highlight w:val="none"/>
          <w:u w:val="single"/>
          <w:lang w:val="en-US" w:eastAsia="zh-CN"/>
        </w:rPr>
        <w:t xml:space="preserve"> </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30</w:t>
      </w:r>
      <w:r>
        <w:rPr>
          <w:rFonts w:hint="eastAsia" w:ascii="宋体" w:hAnsi="宋体" w:eastAsia="宋体" w:cs="宋体"/>
          <w:b/>
          <w:bCs/>
          <w:color w:val="auto"/>
          <w:kern w:val="2"/>
          <w:sz w:val="21"/>
          <w:szCs w:val="21"/>
          <w:highlight w:val="none"/>
        </w:rPr>
        <w:t>；</w:t>
      </w:r>
    </w:p>
    <w:p>
      <w:pPr>
        <w:tabs>
          <w:tab w:val="left" w:pos="426"/>
        </w:tabs>
        <w:spacing w:line="360" w:lineRule="auto"/>
        <w:ind w:left="427" w:leftChars="-59" w:right="-34" w:hanging="569" w:hangingChars="27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5.3 </w:t>
      </w:r>
      <w:r>
        <w:rPr>
          <w:rFonts w:hint="eastAsia" w:ascii="宋体" w:hAnsi="宋体" w:eastAsia="宋体" w:cs="宋体"/>
          <w:b/>
          <w:bCs/>
          <w:color w:val="auto"/>
          <w:kern w:val="2"/>
          <w:sz w:val="21"/>
          <w:szCs w:val="21"/>
          <w:highlight w:val="none"/>
          <w:lang w:val="en-US" w:eastAsia="zh-CN"/>
        </w:rPr>
        <w:t>响应文件递交地点</w:t>
      </w:r>
      <w:r>
        <w:rPr>
          <w:rFonts w:hint="eastAsia" w:ascii="宋体" w:hAnsi="宋体" w:eastAsia="宋体" w:cs="宋体"/>
          <w:b/>
          <w:bCs/>
          <w:color w:val="auto"/>
          <w:kern w:val="2"/>
          <w:sz w:val="21"/>
          <w:szCs w:val="21"/>
          <w:highlight w:val="none"/>
          <w:lang w:val="zh-CN"/>
        </w:rPr>
        <w:t>：</w:t>
      </w:r>
      <w:r>
        <w:rPr>
          <w:rFonts w:hint="eastAsia" w:ascii="宋体" w:hAnsi="宋体" w:cs="宋体"/>
          <w:b/>
          <w:bCs/>
          <w:color w:val="auto"/>
          <w:kern w:val="2"/>
          <w:sz w:val="21"/>
          <w:szCs w:val="21"/>
          <w:highlight w:val="none"/>
          <w:lang w:val="zh-CN"/>
        </w:rPr>
        <w:t>广东省东莞市南城街道鸿福西路81号国际商会大厦</w:t>
      </w:r>
      <w:r>
        <w:rPr>
          <w:rFonts w:hint="eastAsia" w:ascii="宋体" w:hAnsi="宋体" w:cs="宋体"/>
          <w:b/>
          <w:bCs/>
          <w:color w:val="auto"/>
          <w:kern w:val="2"/>
          <w:sz w:val="21"/>
          <w:szCs w:val="21"/>
          <w:highlight w:val="none"/>
          <w:u w:val="single"/>
          <w:lang w:val="en-US" w:eastAsia="zh-CN"/>
        </w:rPr>
        <w:t xml:space="preserve"> 601 </w:t>
      </w:r>
      <w:r>
        <w:rPr>
          <w:rFonts w:hint="eastAsia" w:ascii="宋体" w:hAnsi="宋体" w:cs="宋体"/>
          <w:b/>
          <w:bCs/>
          <w:color w:val="auto"/>
          <w:kern w:val="2"/>
          <w:sz w:val="21"/>
          <w:szCs w:val="21"/>
          <w:highlight w:val="none"/>
          <w:lang w:val="zh-CN"/>
        </w:rPr>
        <w:t>室</w:t>
      </w:r>
      <w:r>
        <w:rPr>
          <w:rFonts w:hint="eastAsia" w:ascii="宋体" w:hAnsi="宋体" w:eastAsia="宋体" w:cs="宋体"/>
          <w:b/>
          <w:bCs/>
          <w:color w:val="auto"/>
          <w:sz w:val="21"/>
          <w:szCs w:val="21"/>
          <w:highlight w:val="none"/>
        </w:rPr>
        <w:t>。</w:t>
      </w:r>
    </w:p>
    <w:p>
      <w:pPr>
        <w:tabs>
          <w:tab w:val="left" w:pos="426"/>
        </w:tabs>
        <w:spacing w:line="360" w:lineRule="auto"/>
        <w:ind w:left="425" w:leftChars="-59" w:right="-34" w:hanging="567" w:hangingChars="270"/>
        <w:jc w:val="both"/>
        <w:outlineLvl w:val="9"/>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254" w:leftChars="-59" w:right="-34" w:hanging="396" w:hangingChars="189"/>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采购人只接受在递交响应文件截止日当天，由供应商法定代表人/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pPr>
        <w:numPr>
          <w:ilvl w:val="0"/>
          <w:numId w:val="0"/>
        </w:num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173" w:leftChars="-59" w:right="-34" w:hanging="315" w:hangingChars="150"/>
        <w:jc w:val="both"/>
        <w:textAlignment w:val="auto"/>
        <w:outlineLvl w:val="9"/>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eastAsia="zh-CN"/>
        </w:rPr>
        <w:t>7</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lang w:val="zh-CN"/>
        </w:rPr>
        <w:t>本项目相关公告在以下媒介发布：中国招标投标公共服务平台（www.cebpubservice.com）、东莞市水务集团有限公司网（www.dgswjt.cn）、招标代理</w:t>
      </w:r>
      <w:r>
        <w:rPr>
          <w:rFonts w:hint="eastAsia" w:ascii="宋体" w:hAnsi="宋体" w:eastAsia="宋体" w:cs="宋体"/>
          <w:bCs w:val="0"/>
          <w:color w:val="auto"/>
          <w:kern w:val="2"/>
          <w:sz w:val="21"/>
          <w:szCs w:val="21"/>
          <w:highlight w:val="none"/>
          <w:lang w:val="zh-CN" w:eastAsia="zh-CN"/>
        </w:rPr>
        <w:t>机构</w:t>
      </w:r>
      <w:r>
        <w:rPr>
          <w:rFonts w:hint="eastAsia" w:ascii="宋体" w:hAnsi="宋体" w:eastAsia="宋体" w:cs="宋体"/>
          <w:bCs w:val="0"/>
          <w:color w:val="auto"/>
          <w:kern w:val="2"/>
          <w:sz w:val="21"/>
          <w:szCs w:val="21"/>
          <w:highlight w:val="none"/>
          <w:lang w:val="zh-CN"/>
        </w:rPr>
        <w:t>网站（</w:t>
      </w:r>
      <w:r>
        <w:rPr>
          <w:rFonts w:hint="eastAsia" w:ascii="宋体" w:hAnsi="宋体" w:cs="宋体"/>
          <w:bCs w:val="0"/>
          <w:color w:val="auto"/>
          <w:kern w:val="2"/>
          <w:sz w:val="21"/>
          <w:szCs w:val="21"/>
          <w:highlight w:val="none"/>
          <w:lang w:val="zh-CN"/>
        </w:rPr>
        <w:t>http://www.sfcx.cn/</w:t>
      </w:r>
      <w:r>
        <w:rPr>
          <w:rFonts w:hint="eastAsia" w:ascii="宋体" w:hAnsi="宋体" w:eastAsia="宋体" w:cs="宋体"/>
          <w:bCs w:val="0"/>
          <w:color w:val="auto"/>
          <w:kern w:val="2"/>
          <w:sz w:val="21"/>
          <w:szCs w:val="21"/>
          <w:highlight w:val="none"/>
          <w:lang w:val="zh-CN"/>
        </w:rPr>
        <w:t>）</w:t>
      </w:r>
      <w:r>
        <w:rPr>
          <w:rFonts w:hint="eastAsia" w:ascii="宋体" w:hAnsi="宋体" w:eastAsia="宋体" w:cs="宋体"/>
          <w:color w:val="auto"/>
          <w:kern w:val="2"/>
          <w:sz w:val="21"/>
          <w:szCs w:val="21"/>
          <w:highlight w:val="none"/>
          <w:lang w:val="zh-CN"/>
        </w:rPr>
        <w:t>。</w:t>
      </w:r>
    </w:p>
    <w:p>
      <w:pPr>
        <w:tabs>
          <w:tab w:val="left" w:pos="284"/>
        </w:tabs>
        <w:spacing w:line="360" w:lineRule="auto"/>
        <w:ind w:right="-34"/>
        <w:jc w:val="both"/>
        <w:outlineLvl w:val="9"/>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  采购人</w:t>
      </w:r>
      <w:r>
        <w:rPr>
          <w:rFonts w:hint="eastAsia" w:ascii="宋体" w:hAnsi="宋体" w:eastAsia="宋体" w:cs="宋体"/>
          <w:color w:val="auto"/>
          <w:kern w:val="2"/>
          <w:sz w:val="21"/>
          <w:szCs w:val="21"/>
          <w:highlight w:val="none"/>
          <w:lang w:val="zh-CN"/>
        </w:rPr>
        <w:t>联系方式</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w:t>
      </w:r>
      <w:r>
        <w:rPr>
          <w:rFonts w:hint="eastAsia" w:ascii="宋体" w:hAnsi="宋体" w:cs="宋体"/>
          <w:color w:val="auto"/>
          <w:kern w:val="2"/>
          <w:sz w:val="21"/>
          <w:szCs w:val="21"/>
          <w:highlight w:val="none"/>
          <w:lang w:val="zh-CN"/>
        </w:rPr>
        <w:t>东莞市水务集团实业发展有限公司</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东莞市南城街道滨河路100号二期（东莞市水务集团净水有限公司）新大门内3号楼3楼东莞市水务集团实业发展有限公司</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cs="宋体"/>
          <w:color w:val="auto"/>
          <w:sz w:val="21"/>
          <w:szCs w:val="32"/>
          <w:highlight w:val="none"/>
          <w:lang w:val="en-US" w:eastAsia="zh-CN"/>
        </w:rPr>
        <w:t>黄嘉伟</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eastAsia="zh-CN"/>
        </w:rPr>
        <w:t>0769-22621996</w:t>
      </w:r>
    </w:p>
    <w:p>
      <w:pPr>
        <w:tabs>
          <w:tab w:val="left" w:pos="284"/>
        </w:tabs>
        <w:spacing w:line="360" w:lineRule="auto"/>
        <w:ind w:left="179" w:leftChars="-59" w:right="-34" w:hanging="321" w:hangingChars="134"/>
        <w:jc w:val="both"/>
        <w:outlineLvl w:val="9"/>
        <w:rPr>
          <w:rFonts w:hint="eastAsia" w:ascii="宋体" w:hAnsi="宋体" w:eastAsia="宋体" w:cs="宋体"/>
          <w:color w:val="auto"/>
          <w:highlight w:val="none"/>
        </w:rPr>
      </w:pPr>
    </w:p>
    <w:p>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9  </w:t>
      </w:r>
      <w:r>
        <w:rPr>
          <w:rFonts w:hint="eastAsia" w:ascii="宋体" w:hAnsi="宋体" w:eastAsia="宋体" w:cs="宋体"/>
          <w:color w:val="auto"/>
          <w:kern w:val="2"/>
          <w:sz w:val="21"/>
          <w:szCs w:val="21"/>
          <w:highlight w:val="none"/>
          <w:lang w:val="zh-CN"/>
        </w:rPr>
        <w:t>采购代理机构</w:t>
      </w:r>
      <w:r>
        <w:rPr>
          <w:rFonts w:hint="eastAsia" w:ascii="宋体" w:hAnsi="宋体" w:eastAsia="宋体" w:cs="宋体"/>
          <w:color w:val="auto"/>
          <w:kern w:val="2"/>
          <w:sz w:val="21"/>
          <w:szCs w:val="21"/>
          <w:highlight w:val="none"/>
          <w:lang w:val="zh-CN" w:eastAsia="zh-CN"/>
        </w:rPr>
        <w:t>及异议受理</w:t>
      </w:r>
      <w:r>
        <w:rPr>
          <w:rFonts w:hint="eastAsia" w:ascii="宋体" w:hAnsi="宋体" w:eastAsia="宋体" w:cs="宋体"/>
          <w:color w:val="auto"/>
          <w:kern w:val="2"/>
          <w:sz w:val="21"/>
          <w:szCs w:val="21"/>
          <w:highlight w:val="none"/>
          <w:lang w:val="zh-CN"/>
        </w:rPr>
        <w:t>联系方式</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rPr>
        <w:t>三方诚信招标有限公司</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地 址：</w:t>
      </w:r>
      <w:r>
        <w:rPr>
          <w:rFonts w:hint="eastAsia" w:ascii="宋体" w:hAnsi="宋体" w:cs="宋体"/>
          <w:color w:val="auto"/>
          <w:sz w:val="21"/>
          <w:szCs w:val="32"/>
          <w:highlight w:val="none"/>
          <w:lang w:val="zh-CN"/>
        </w:rPr>
        <w:t>广东省东莞市南城街道鸿福西路81号国际商会大厦706室</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eastAsia="zh-CN"/>
        </w:rPr>
      </w:pPr>
      <w:r>
        <w:rPr>
          <w:rFonts w:hint="eastAsia" w:ascii="宋体" w:hAnsi="宋体" w:eastAsia="宋体" w:cs="宋体"/>
          <w:color w:val="auto"/>
          <w:sz w:val="21"/>
          <w:szCs w:val="32"/>
          <w:highlight w:val="none"/>
        </w:rPr>
        <w:t>联系人：</w:t>
      </w:r>
      <w:r>
        <w:rPr>
          <w:rFonts w:hint="eastAsia" w:ascii="宋体" w:hAnsi="宋体" w:cs="宋体"/>
          <w:color w:val="auto"/>
          <w:sz w:val="21"/>
          <w:szCs w:val="32"/>
          <w:highlight w:val="none"/>
          <w:lang w:val="en-US" w:eastAsia="zh-CN"/>
        </w:rPr>
        <w:t>陈树辉</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eastAsia="zh-CN"/>
        </w:rPr>
        <w:t>0769-21682660</w:t>
      </w:r>
    </w:p>
    <w:p>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p>
    <w:p>
      <w:pPr>
        <w:pStyle w:val="2"/>
        <w:pageBreakBefore/>
        <w:tabs>
          <w:tab w:val="left" w:pos="1080"/>
        </w:tabs>
        <w:spacing w:line="360" w:lineRule="auto"/>
        <w:ind w:left="567" w:hanging="567"/>
        <w:jc w:val="center"/>
        <w:outlineLvl w:val="0"/>
        <w:rPr>
          <w:rFonts w:hint="eastAsia" w:ascii="宋体" w:hAnsi="宋体" w:eastAsia="宋体" w:cs="宋体"/>
          <w:b/>
          <w:bCs/>
          <w:color w:val="auto"/>
          <w:kern w:val="44"/>
          <w:sz w:val="32"/>
          <w:szCs w:val="32"/>
          <w:highlight w:val="none"/>
        </w:rPr>
      </w:pPr>
      <w:bookmarkStart w:id="6" w:name="_Toc10496"/>
      <w:bookmarkStart w:id="7" w:name="_Toc450662847"/>
      <w:bookmarkStart w:id="8" w:name="_Toc521918065"/>
      <w:bookmarkStart w:id="9" w:name="_Toc30011"/>
      <w:bookmarkStart w:id="10" w:name="_Toc2072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en-US" w:eastAsia="zh-CN"/>
        </w:rPr>
        <w:t xml:space="preserve"> 磋商</w:t>
      </w:r>
      <w:r>
        <w:rPr>
          <w:rFonts w:hint="eastAsia" w:ascii="宋体" w:hAnsi="宋体" w:eastAsia="宋体" w:cs="宋体"/>
          <w:b/>
          <w:bCs/>
          <w:color w:val="auto"/>
          <w:kern w:val="44"/>
          <w:sz w:val="32"/>
          <w:szCs w:val="32"/>
          <w:highlight w:val="none"/>
          <w:lang w:val="zh-CN"/>
        </w:rPr>
        <w:t>须知</w:t>
      </w:r>
      <w:bookmarkEnd w:id="6"/>
      <w:bookmarkEnd w:id="7"/>
      <w:bookmarkEnd w:id="8"/>
      <w:bookmarkEnd w:id="9"/>
      <w:bookmarkEnd w:id="10"/>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1" w:name="_Toc450662848"/>
      <w:bookmarkStart w:id="12" w:name="_Toc30287"/>
      <w:bookmarkStart w:id="13" w:name="_Toc5132"/>
      <w:bookmarkStart w:id="14" w:name="_Toc19555"/>
      <w:bookmarkStart w:id="15" w:name="_Toc521918066"/>
      <w:r>
        <w:rPr>
          <w:rFonts w:hint="eastAsia" w:ascii="宋体" w:hAnsi="宋体" w:eastAsia="宋体" w:cs="宋体"/>
          <w:b/>
          <w:bCs/>
          <w:color w:val="auto"/>
          <w:kern w:val="44"/>
          <w:sz w:val="21"/>
          <w:szCs w:val="21"/>
          <w:highlight w:val="none"/>
          <w:lang w:val="zh-CN"/>
        </w:rPr>
        <w:t>一、总则</w:t>
      </w:r>
      <w:bookmarkEnd w:id="11"/>
      <w:bookmarkEnd w:id="12"/>
      <w:bookmarkEnd w:id="13"/>
      <w:bookmarkEnd w:id="14"/>
      <w:bookmarkEnd w:id="15"/>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 w:name="_Toc12774"/>
      <w:bookmarkStart w:id="17" w:name="_Toc450662849"/>
      <w:bookmarkStart w:id="18" w:name="_Toc17898"/>
      <w:bookmarkStart w:id="19" w:name="_Toc28825"/>
      <w:bookmarkStart w:id="20" w:name="_Toc521918067"/>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6"/>
      <w:bookmarkEnd w:id="17"/>
      <w:bookmarkEnd w:id="18"/>
      <w:bookmarkEnd w:id="19"/>
      <w:bookmarkEnd w:id="20"/>
    </w:p>
    <w:p>
      <w:pPr>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21" w:name="_Toc534216347"/>
      <w:bookmarkStart w:id="22" w:name="_Toc964"/>
      <w:bookmarkStart w:id="23" w:name="_Toc6489"/>
      <w:bookmarkStart w:id="24" w:name="_Toc19056"/>
      <w:bookmarkStart w:id="25" w:name="_Toc450662850"/>
      <w:bookmarkStart w:id="26" w:name="_Toc521918068"/>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21"/>
      <w:r>
        <w:rPr>
          <w:rFonts w:hint="eastAsia" w:ascii="宋体" w:hAnsi="宋体" w:eastAsia="宋体" w:cs="宋体"/>
          <w:b/>
          <w:bCs/>
          <w:color w:val="auto"/>
          <w:kern w:val="2"/>
          <w:sz w:val="21"/>
          <w:szCs w:val="21"/>
          <w:highlight w:val="none"/>
          <w:lang w:val="zh-CN"/>
        </w:rPr>
        <w:t>供应商</w:t>
      </w:r>
      <w:bookmarkEnd w:id="22"/>
      <w:bookmarkEnd w:id="23"/>
      <w:bookmarkEnd w:id="24"/>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eastAsia="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存在前述处罚的，在响应文件中必须主动按竞争性磋商文件的要求填报“最近3年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牵涉的其他（失信和违法）处罚说明”，如果不主动填报而被事后发现的，将取消其磋商（中标）资格，并按有关规定从重处理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w:t>
      </w:r>
      <w:r>
        <w:rPr>
          <w:rFonts w:hint="eastAsia" w:ascii="宋体" w:hAnsi="宋体" w:eastAsia="宋体" w:cs="宋体"/>
          <w:b/>
          <w:bCs/>
          <w:color w:val="auto"/>
          <w:sz w:val="21"/>
          <w:szCs w:val="21"/>
          <w:highlight w:val="none"/>
          <w:u w:val="single"/>
        </w:rPr>
        <w:t>（处罚期限届满的除外）</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25"/>
    <w:bookmarkEnd w:id="26"/>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7" w:name="_Toc29350"/>
      <w:bookmarkStart w:id="28" w:name="_Toc2919"/>
      <w:bookmarkStart w:id="29" w:name="_Toc26545"/>
      <w:bookmarkStart w:id="30" w:name="_Toc51642347"/>
      <w:bookmarkStart w:id="31" w:name="_Toc450662851"/>
      <w:bookmarkStart w:id="32" w:name="_Toc5219180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合格的服务</w:t>
      </w:r>
      <w:bookmarkEnd w:id="27"/>
      <w:bookmarkEnd w:id="28"/>
      <w:bookmarkEnd w:id="29"/>
      <w:bookmarkEnd w:id="30"/>
    </w:p>
    <w:p>
      <w:pPr>
        <w:spacing w:line="360" w:lineRule="auto"/>
        <w:ind w:left="420" w:hanging="420" w:hangingChars="200"/>
        <w:jc w:val="both"/>
        <w:rPr>
          <w:rFonts w:hint="eastAsia" w:ascii="宋体" w:hAnsi="宋体" w:eastAsia="宋体" w:cs="宋体"/>
          <w:color w:val="auto"/>
          <w:sz w:val="20"/>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“服务”是指供应商依法并按竞争性磋商文件规定完成的全部服务内容，其中包括完成服务所需的货物和工程，及应承担的技术支持、培训和其它伴随服务。</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r>
        <w:rPr>
          <w:rFonts w:hint="eastAsia" w:ascii="宋体" w:hAnsi="宋体" w:eastAsia="宋体" w:cs="宋体"/>
          <w:color w:val="auto"/>
          <w:sz w:val="21"/>
          <w:szCs w:val="21"/>
          <w:highlight w:val="none"/>
        </w:rPr>
        <w:t>。</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不拥有相应的知识产权，则响应报价应包括合法获取该知识产权的相关费用。如有违反，造成采购人任何经济损失或其他损失的，由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是否在响应报价表中明示，均视为响应报价已承担包含所有应支付的对专利权、商标权和版权、设计或其他知识产权而需要向其他方支付的版税和使用费等相关费用。如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未依法向第三方支付应缴版税和使用费等相关费用的，造成采购人任何经济损失的，由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bookmarkEnd w:id="31"/>
    <w:bookmarkEnd w:id="32"/>
    <w:p>
      <w:pPr>
        <w:spacing w:line="360" w:lineRule="auto"/>
        <w:ind w:left="420" w:hanging="420" w:hangingChars="200"/>
        <w:jc w:val="both"/>
        <w:rPr>
          <w:rFonts w:hint="eastAsia" w:ascii="宋体" w:hAnsi="宋体" w:eastAsia="宋体" w:cs="宋体"/>
          <w:color w:val="auto"/>
          <w:sz w:val="21"/>
          <w:szCs w:val="21"/>
          <w:highlight w:val="none"/>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3" w:name="_Toc30081"/>
      <w:bookmarkStart w:id="34" w:name="_Toc17946"/>
      <w:bookmarkStart w:id="35" w:name="_Toc13454"/>
      <w:bookmarkStart w:id="36" w:name="_Toc450662852"/>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3"/>
      <w:bookmarkEnd w:id="34"/>
      <w:bookmarkEnd w:id="35"/>
      <w:bookmarkEnd w:id="36"/>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无论采购过程中的做法和结果如何，供应商须承担所有与编写和递交响应文件有关的费用，采购人在任何情况下不负担这些费用。</w:t>
      </w:r>
    </w:p>
    <w:p>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eastAsia="宋体" w:cs="宋体"/>
          <w:bCs w:val="0"/>
          <w:color w:val="auto"/>
          <w:sz w:val="21"/>
          <w:szCs w:val="21"/>
          <w:highlight w:val="none"/>
          <w:lang w:eastAsia="zh-CN"/>
        </w:rPr>
        <w:t>供应商</w:t>
      </w:r>
      <w:r>
        <w:rPr>
          <w:rFonts w:hint="eastAsia" w:ascii="宋体" w:hAnsi="宋体" w:eastAsia="宋体" w:cs="宋体"/>
          <w:bCs w:val="0"/>
          <w:color w:val="auto"/>
          <w:sz w:val="21"/>
          <w:szCs w:val="21"/>
          <w:highlight w:val="none"/>
        </w:rPr>
        <w:t>应自行到实地踏勘考察。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highlight w:val="none"/>
        </w:rPr>
      </w:pPr>
      <w:r>
        <w:rPr>
          <w:rFonts w:hint="eastAsia" w:ascii="宋体" w:hAnsi="宋体" w:eastAsia="宋体" w:cs="宋体"/>
          <w:color w:val="auto"/>
          <w:kern w:val="2"/>
          <w:sz w:val="21"/>
          <w:szCs w:val="21"/>
          <w:highlight w:val="none"/>
          <w:lang w:val="zh-CN"/>
        </w:rPr>
        <w:t>4.3 纪律与保密事项</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后，直至向成交人发出《成交通知书》时止，凡与审查、澄清、评价和比较报价的有关资料以及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pPr>
        <w:spacing w:line="360" w:lineRule="auto"/>
        <w:ind w:left="420" w:hanging="480" w:hangingChars="200"/>
        <w:jc w:val="both"/>
        <w:rPr>
          <w:rFonts w:hint="eastAsia" w:ascii="宋体" w:hAnsi="宋体" w:eastAsia="宋体" w:cs="宋体"/>
          <w:color w:val="auto"/>
          <w:highlight w:val="none"/>
        </w:rPr>
      </w:pPr>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37" w:name="_Toc521918070"/>
      <w:bookmarkStart w:id="38" w:name="_Toc450662853"/>
      <w:bookmarkStart w:id="39" w:name="_Toc18335"/>
      <w:bookmarkStart w:id="40" w:name="_Toc8621"/>
      <w:bookmarkStart w:id="41" w:name="_Toc12598"/>
      <w:r>
        <w:rPr>
          <w:rFonts w:hint="eastAsia" w:ascii="宋体" w:hAnsi="宋体" w:eastAsia="宋体" w:cs="宋体"/>
          <w:b/>
          <w:bCs/>
          <w:color w:val="auto"/>
          <w:kern w:val="44"/>
          <w:sz w:val="21"/>
          <w:szCs w:val="21"/>
          <w:highlight w:val="none"/>
          <w:lang w:val="zh-CN"/>
        </w:rPr>
        <w:t>二、</w:t>
      </w:r>
      <w:bookmarkEnd w:id="37"/>
      <w:bookmarkEnd w:id="38"/>
      <w:r>
        <w:rPr>
          <w:rFonts w:hint="eastAsia" w:ascii="宋体" w:hAnsi="宋体" w:eastAsia="宋体" w:cs="宋体"/>
          <w:b/>
          <w:bCs/>
          <w:color w:val="auto"/>
          <w:kern w:val="44"/>
          <w:sz w:val="21"/>
          <w:szCs w:val="21"/>
          <w:highlight w:val="none"/>
          <w:lang w:val="zh-CN"/>
        </w:rPr>
        <w:t>竞争性磋商文件</w:t>
      </w:r>
      <w:bookmarkEnd w:id="39"/>
      <w:bookmarkEnd w:id="40"/>
      <w:bookmarkEnd w:id="41"/>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9641"/>
      <w:bookmarkStart w:id="43" w:name="_Toc450662854"/>
      <w:bookmarkStart w:id="44" w:name="_Toc521918071"/>
      <w:bookmarkStart w:id="45" w:name="_Toc12468"/>
      <w:bookmarkStart w:id="46" w:name="_Toc7837"/>
      <w:r>
        <w:rPr>
          <w:rFonts w:hint="eastAsia" w:ascii="宋体" w:hAnsi="宋体" w:eastAsia="宋体" w:cs="宋体"/>
          <w:color w:val="auto"/>
          <w:kern w:val="2"/>
          <w:sz w:val="21"/>
          <w:szCs w:val="21"/>
          <w:highlight w:val="none"/>
          <w:lang w:val="zh-CN"/>
        </w:rPr>
        <w:t>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竞争性磋商文件的构成</w:t>
      </w:r>
      <w:bookmarkEnd w:id="42"/>
      <w:bookmarkEnd w:id="43"/>
      <w:bookmarkEnd w:id="44"/>
      <w:bookmarkEnd w:id="45"/>
      <w:bookmarkEnd w:id="46"/>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竞争性磋商文件包括：</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w:t>
      </w:r>
      <w:r>
        <w:rPr>
          <w:rFonts w:hint="eastAsia" w:ascii="宋体" w:hAnsi="宋体" w:eastAsia="宋体" w:cs="宋体"/>
          <w:color w:val="auto"/>
          <w:kern w:val="2"/>
          <w:sz w:val="21"/>
          <w:szCs w:val="21"/>
          <w:highlight w:val="none"/>
          <w:lang w:val="en-US" w:eastAsia="zh-CN"/>
        </w:rPr>
        <w:t>公告</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cs="宋体"/>
          <w:color w:val="auto"/>
          <w:sz w:val="21"/>
          <w:szCs w:val="21"/>
          <w:highlight w:val="none"/>
          <w:lang w:eastAsia="zh-CN"/>
        </w:rPr>
        <w:t>东莞市水务集团实业发展有限公司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en-US" w:eastAsia="zh-CN"/>
        </w:rPr>
        <w:t>三方诚信招标有限公司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rPr>
        <w:t>东莞市水务集团实业发展有限公司审计及财税服务采购项目</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w:t>
      </w:r>
      <w:r>
        <w:rPr>
          <w:rFonts w:hint="eastAsia" w:ascii="宋体" w:hAnsi="宋体" w:cs="宋体"/>
          <w:color w:val="auto"/>
          <w:kern w:val="2"/>
          <w:sz w:val="21"/>
          <w:szCs w:val="21"/>
          <w:highlight w:val="none"/>
          <w:lang w:val="en-US" w:eastAsia="zh-CN"/>
        </w:rPr>
        <w:t>东莞市众源环境投资有限公司</w:t>
      </w:r>
      <w:r>
        <w:rPr>
          <w:rFonts w:hint="eastAsia" w:ascii="宋体" w:hAnsi="宋体" w:eastAsia="宋体" w:cs="宋体"/>
          <w:color w:val="auto"/>
          <w:kern w:val="2"/>
          <w:sz w:val="21"/>
          <w:szCs w:val="21"/>
          <w:highlight w:val="none"/>
          <w:lang w:val="zh-CN"/>
        </w:rPr>
        <w:t>签订合同的当事人；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w:t>
      </w:r>
      <w:r>
        <w:rPr>
          <w:rFonts w:hint="eastAsia" w:ascii="宋体" w:hAnsi="宋体" w:eastAsia="宋体" w:cs="宋体"/>
          <w:b w:val="0"/>
          <w:bCs w:val="0"/>
          <w:color w:val="auto"/>
          <w:kern w:val="2"/>
          <w:sz w:val="21"/>
          <w:szCs w:val="21"/>
          <w:highlight w:val="none"/>
          <w:u w:val="none"/>
          <w:lang w:val="zh-CN"/>
        </w:rPr>
        <w:t>本竞争性磋商文件</w:t>
      </w:r>
      <w:r>
        <w:rPr>
          <w:rFonts w:hint="eastAsia" w:ascii="宋体" w:hAnsi="宋体" w:eastAsia="宋体" w:cs="宋体"/>
          <w:b w:val="0"/>
          <w:bCs w:val="0"/>
          <w:color w:val="auto"/>
          <w:sz w:val="21"/>
          <w:szCs w:val="21"/>
          <w:highlight w:val="none"/>
          <w:u w:val="none"/>
        </w:rPr>
        <w:t>所称的不含税价和合同价是指不含本采购项目</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的销项税额，包含了</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完成合同义务（含</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代缴代扣、分包及委外服务、施工、采购货物等所产生的价税）的其他全部费用</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color w:val="auto"/>
          <w:kern w:val="2"/>
          <w:sz w:val="21"/>
          <w:szCs w:val="21"/>
          <w:highlight w:val="none"/>
          <w:lang w:val="zh-CN"/>
        </w:rPr>
        <w:t>本采购项目供应商的销项税额由采购人承担，不计入报价。</w:t>
      </w:r>
    </w:p>
    <w:p>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7" w:name="_Toc8459"/>
      <w:bookmarkStart w:id="48" w:name="_Toc450662855"/>
      <w:bookmarkStart w:id="49" w:name="_Toc8385"/>
      <w:bookmarkStart w:id="50" w:name="_Toc13383"/>
      <w:bookmarkStart w:id="51" w:name="_Toc521918072"/>
      <w:r>
        <w:rPr>
          <w:rFonts w:hint="eastAsia" w:ascii="宋体" w:hAnsi="宋体" w:eastAsia="宋体" w:cs="宋体"/>
          <w:color w:val="auto"/>
          <w:kern w:val="2"/>
          <w:sz w:val="21"/>
          <w:szCs w:val="21"/>
          <w:highlight w:val="none"/>
          <w:lang w:val="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7"/>
      <w:bookmarkEnd w:id="48"/>
      <w:bookmarkEnd w:id="49"/>
      <w:bookmarkEnd w:id="50"/>
      <w:bookmarkEnd w:id="51"/>
    </w:p>
    <w:p>
      <w:pPr>
        <w:keepNext w:val="0"/>
        <w:keepLines w:val="0"/>
        <w:pageBreakBefore w:val="0"/>
        <w:widowControl w:val="0"/>
        <w:kinsoku/>
        <w:wordWrap/>
        <w:overflowPunct/>
        <w:topLinePunct w:val="0"/>
        <w:autoSpaceDE w:val="0"/>
        <w:autoSpaceDN w:val="0"/>
        <w:bidi w:val="0"/>
        <w:adjustRightInd w:val="0"/>
        <w:snapToGrid/>
        <w:spacing w:line="360" w:lineRule="auto"/>
        <w:ind w:left="449" w:leftChars="187" w:firstLine="420" w:firstLine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w:t>
      </w:r>
      <w:r>
        <w:rPr>
          <w:rFonts w:hint="eastAsia" w:ascii="宋体" w:hAnsi="宋体" w:cs="宋体"/>
          <w:color w:val="auto"/>
          <w:kern w:val="2"/>
          <w:sz w:val="21"/>
          <w:szCs w:val="21"/>
          <w:highlight w:val="none"/>
          <w:lang w:val="zh-CN"/>
        </w:rPr>
        <w:t>供应商公章</w:t>
      </w:r>
      <w:r>
        <w:rPr>
          <w:rFonts w:hint="eastAsia" w:ascii="宋体" w:hAnsi="宋体" w:eastAsia="宋体" w:cs="宋体"/>
          <w:color w:val="auto"/>
          <w:kern w:val="2"/>
          <w:sz w:val="21"/>
          <w:szCs w:val="21"/>
          <w:highlight w:val="none"/>
          <w:lang w:val="zh-CN"/>
        </w:rPr>
        <w:t>，并注明联系人、联系电话、联系地址。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eastAsia="宋体" w:cs="宋体"/>
          <w:b/>
          <w:bCs/>
          <w:color w:val="auto"/>
          <w:kern w:val="2"/>
          <w:sz w:val="21"/>
          <w:szCs w:val="21"/>
          <w:highlight w:val="none"/>
          <w:u w:val="single"/>
          <w:lang w:val="en-US" w:eastAsia="zh-CN"/>
        </w:rPr>
        <w:t>五</w:t>
      </w:r>
      <w:r>
        <w:rPr>
          <w:rFonts w:hint="eastAsia" w:ascii="宋体" w:hAnsi="宋体" w:eastAsia="宋体" w:cs="宋体"/>
          <w:b/>
          <w:bCs/>
          <w:color w:val="auto"/>
          <w:kern w:val="2"/>
          <w:sz w:val="21"/>
          <w:szCs w:val="21"/>
          <w:highlight w:val="none"/>
          <w:u w:val="single"/>
          <w:lang w:val="zh-CN"/>
        </w:rPr>
        <w:t>篇响应文件格式）。</w:t>
      </w:r>
    </w:p>
    <w:p>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2" w:name="_Toc15379"/>
      <w:bookmarkStart w:id="53" w:name="_Toc30633"/>
      <w:bookmarkStart w:id="54" w:name="_Toc30291"/>
      <w:bookmarkStart w:id="55" w:name="_Toc521918073"/>
      <w:bookmarkStart w:id="56" w:name="_Toc450662856"/>
      <w:r>
        <w:rPr>
          <w:rFonts w:hint="eastAsia" w:ascii="宋体" w:hAnsi="宋体" w:eastAsia="宋体" w:cs="宋体"/>
          <w:color w:val="auto"/>
          <w:kern w:val="2"/>
          <w:sz w:val="21"/>
          <w:szCs w:val="21"/>
          <w:highlight w:val="none"/>
          <w:lang w:val="zh-CN"/>
        </w:rPr>
        <w:t>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52"/>
      <w:bookmarkEnd w:id="53"/>
      <w:bookmarkEnd w:id="54"/>
      <w:bookmarkEnd w:id="55"/>
      <w:bookmarkEnd w:id="56"/>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竞争性磋商文件的修改、补充通知在中国招标投标公共服务平台（www.cebpubservice.com）、东莞市水务集团有限公司网（www.dgswjt.cn）、</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代理机构网站（</w:t>
      </w:r>
      <w:r>
        <w:rPr>
          <w:rFonts w:hint="eastAsia" w:ascii="宋体" w:hAnsi="宋体" w:cs="宋体"/>
          <w:color w:val="auto"/>
          <w:sz w:val="21"/>
          <w:szCs w:val="21"/>
          <w:highlight w:val="none"/>
          <w:lang w:val="zh-CN"/>
        </w:rPr>
        <w:t>http://www.sfcx.cn/</w:t>
      </w:r>
      <w:r>
        <w:rPr>
          <w:rFonts w:hint="eastAsia" w:ascii="宋体" w:hAnsi="宋体" w:eastAsia="宋体" w:cs="宋体"/>
          <w:color w:val="auto"/>
          <w:sz w:val="21"/>
          <w:szCs w:val="21"/>
          <w:highlight w:val="none"/>
          <w:lang w:val="zh-CN"/>
        </w:rPr>
        <w:t>）公布，请各供应商密切留意。</w:t>
      </w:r>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57" w:name="_Toc450662857"/>
      <w:bookmarkStart w:id="58" w:name="_Toc25362"/>
      <w:bookmarkStart w:id="59" w:name="_Toc521918074"/>
      <w:bookmarkStart w:id="60" w:name="_Toc16999"/>
      <w:bookmarkStart w:id="61" w:name="_Toc18534"/>
      <w:r>
        <w:rPr>
          <w:rFonts w:hint="eastAsia" w:ascii="宋体" w:hAnsi="宋体" w:eastAsia="宋体" w:cs="宋体"/>
          <w:b/>
          <w:bCs/>
          <w:color w:val="auto"/>
          <w:kern w:val="44"/>
          <w:sz w:val="21"/>
          <w:szCs w:val="21"/>
          <w:highlight w:val="none"/>
          <w:lang w:val="zh-CN"/>
        </w:rPr>
        <w:t>三、响应文件的编制</w:t>
      </w:r>
      <w:bookmarkEnd w:id="57"/>
      <w:bookmarkEnd w:id="58"/>
      <w:bookmarkEnd w:id="59"/>
      <w:bookmarkEnd w:id="60"/>
      <w:bookmarkEnd w:id="61"/>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2" w:name="_Toc32121"/>
      <w:bookmarkStart w:id="63" w:name="_Toc450662858"/>
      <w:bookmarkStart w:id="64" w:name="_Toc9179"/>
      <w:bookmarkStart w:id="65" w:name="_Toc4384"/>
      <w:bookmarkStart w:id="66" w:name="_Toc521918075"/>
      <w:r>
        <w:rPr>
          <w:rFonts w:hint="eastAsia" w:ascii="宋体" w:hAnsi="宋体" w:eastAsia="宋体" w:cs="宋体"/>
          <w:color w:val="auto"/>
          <w:kern w:val="2"/>
          <w:sz w:val="21"/>
          <w:szCs w:val="21"/>
          <w:highlight w:val="none"/>
          <w:lang w:val="zh-CN"/>
        </w:rPr>
        <w:t>8</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rPr>
        <w:t>使用的文字及度量衡单位</w:t>
      </w:r>
      <w:bookmarkEnd w:id="62"/>
      <w:bookmarkEnd w:id="63"/>
      <w:bookmarkEnd w:id="64"/>
      <w:bookmarkEnd w:id="65"/>
      <w:bookmarkEnd w:id="66"/>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pPr>
        <w:spacing w:line="360" w:lineRule="auto"/>
        <w:ind w:left="420" w:hanging="420" w:hangingChars="200"/>
        <w:jc w:val="both"/>
        <w:rPr>
          <w:rFonts w:hint="eastAsia" w:ascii="宋体" w:hAnsi="宋体" w:eastAsia="宋体" w:cs="宋体"/>
          <w:color w:val="auto"/>
          <w:sz w:val="21"/>
          <w:szCs w:val="21"/>
          <w:highlight w:val="none"/>
          <w:lang w:val="zh-CN"/>
        </w:rPr>
      </w:pPr>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67" w:name="_Toc7504"/>
      <w:bookmarkStart w:id="68" w:name="_Toc1569"/>
      <w:bookmarkStart w:id="69" w:name="_Toc17221"/>
      <w:r>
        <w:rPr>
          <w:rFonts w:hint="eastAsia" w:ascii="宋体" w:hAnsi="宋体" w:eastAsia="宋体" w:cs="宋体"/>
          <w:color w:val="auto"/>
          <w:kern w:val="2"/>
          <w:sz w:val="21"/>
          <w:szCs w:val="21"/>
          <w:highlight w:val="none"/>
          <w:lang w:val="zh-CN" w:eastAsia="zh-CN"/>
        </w:rPr>
        <w:t>9</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eastAsia="zh-CN"/>
        </w:rPr>
        <w:t>的组成</w:t>
      </w:r>
      <w:bookmarkEnd w:id="67"/>
      <w:bookmarkEnd w:id="68"/>
      <w:bookmarkEnd w:id="69"/>
    </w:p>
    <w:p>
      <w:pPr>
        <w:spacing w:line="360" w:lineRule="auto"/>
        <w:ind w:left="418" w:leftChars="174"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商务文件：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w:t>
      </w:r>
      <w:r>
        <w:rPr>
          <w:rFonts w:hint="eastAsia" w:ascii="宋体" w:hAnsi="宋体" w:cs="宋体"/>
          <w:color w:val="auto"/>
          <w:sz w:val="21"/>
          <w:szCs w:val="21"/>
          <w:highlight w:val="none"/>
          <w:lang w:eastAsia="zh-CN"/>
        </w:rPr>
        <w:t>执行事务合伙人</w:t>
      </w:r>
      <w:r>
        <w:rPr>
          <w:rFonts w:hint="eastAsia" w:ascii="宋体" w:hAnsi="宋体" w:eastAsia="宋体" w:cs="宋体"/>
          <w:color w:val="auto"/>
          <w:sz w:val="21"/>
          <w:szCs w:val="21"/>
          <w:highlight w:val="none"/>
          <w:lang w:eastAsia="zh-CN"/>
        </w:rPr>
        <w:t>身份证明书原件、法定代表人/</w:t>
      </w:r>
      <w:r>
        <w:rPr>
          <w:rFonts w:hint="eastAsia" w:ascii="宋体" w:hAnsi="宋体" w:cs="宋体"/>
          <w:color w:val="auto"/>
          <w:sz w:val="21"/>
          <w:szCs w:val="21"/>
          <w:highlight w:val="none"/>
          <w:lang w:eastAsia="zh-CN"/>
        </w:rPr>
        <w:t>执行事务合伙人</w:t>
      </w:r>
      <w:r>
        <w:rPr>
          <w:rFonts w:hint="eastAsia" w:ascii="宋体" w:hAnsi="宋体" w:eastAsia="宋体" w:cs="宋体"/>
          <w:color w:val="auto"/>
          <w:sz w:val="21"/>
          <w:szCs w:val="21"/>
          <w:highlight w:val="none"/>
          <w:lang w:eastAsia="zh-CN"/>
        </w:rPr>
        <w:t>授权书原件格式（法定代表人/</w:t>
      </w:r>
      <w:r>
        <w:rPr>
          <w:rFonts w:hint="eastAsia" w:ascii="宋体" w:hAnsi="宋体" w:cs="宋体"/>
          <w:color w:val="auto"/>
          <w:sz w:val="21"/>
          <w:szCs w:val="21"/>
          <w:highlight w:val="none"/>
          <w:lang w:eastAsia="zh-CN"/>
        </w:rPr>
        <w:t>执行事务合伙人</w:t>
      </w:r>
      <w:r>
        <w:rPr>
          <w:rFonts w:hint="eastAsia" w:ascii="宋体" w:hAnsi="宋体" w:eastAsia="宋体" w:cs="宋体"/>
          <w:color w:val="auto"/>
          <w:sz w:val="21"/>
          <w:szCs w:val="21"/>
          <w:highlight w:val="none"/>
          <w:lang w:eastAsia="zh-CN"/>
        </w:rPr>
        <w:t>磋商时只需提供法定代表人/</w:t>
      </w:r>
      <w:r>
        <w:rPr>
          <w:rFonts w:hint="eastAsia" w:ascii="宋体" w:hAnsi="宋体" w:cs="宋体"/>
          <w:color w:val="auto"/>
          <w:sz w:val="21"/>
          <w:szCs w:val="21"/>
          <w:highlight w:val="none"/>
          <w:lang w:eastAsia="zh-CN"/>
        </w:rPr>
        <w:t>执行事务合伙人</w:t>
      </w:r>
      <w:r>
        <w:rPr>
          <w:rFonts w:hint="eastAsia" w:ascii="宋体" w:hAnsi="宋体" w:eastAsia="宋体" w:cs="宋体"/>
          <w:color w:val="auto"/>
          <w:sz w:val="21"/>
          <w:szCs w:val="21"/>
          <w:highlight w:val="none"/>
          <w:lang w:eastAsia="zh-CN"/>
        </w:rPr>
        <w:t>身份证明书，委托他人为磋商代表或签署响应文件时需同时提供法定代表人/</w:t>
      </w:r>
      <w:r>
        <w:rPr>
          <w:rFonts w:hint="eastAsia" w:ascii="宋体" w:hAnsi="宋体" w:cs="宋体"/>
          <w:color w:val="auto"/>
          <w:sz w:val="21"/>
          <w:szCs w:val="21"/>
          <w:highlight w:val="none"/>
          <w:lang w:eastAsia="zh-CN"/>
        </w:rPr>
        <w:t>执行事务合伙人</w:t>
      </w:r>
      <w:r>
        <w:rPr>
          <w:rFonts w:hint="eastAsia" w:ascii="宋体" w:hAnsi="宋体" w:eastAsia="宋体" w:cs="宋体"/>
          <w:color w:val="auto"/>
          <w:sz w:val="21"/>
          <w:szCs w:val="21"/>
          <w:highlight w:val="none"/>
          <w:lang w:eastAsia="zh-CN"/>
        </w:rPr>
        <w:t>授权书）；</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行政主管部门颁发有效的会计师事务所执业证书【须</w:t>
      </w:r>
      <w:r>
        <w:rPr>
          <w:rFonts w:hint="eastAsia" w:ascii="宋体" w:hAnsi="宋体" w:cs="宋体"/>
          <w:color w:val="auto"/>
          <w:sz w:val="21"/>
          <w:szCs w:val="21"/>
          <w:highlight w:val="none"/>
          <w:lang w:val="en-US" w:eastAsia="zh-CN"/>
        </w:rPr>
        <w:t>提供复印件</w:t>
      </w:r>
      <w:r>
        <w:rPr>
          <w:rFonts w:hint="eastAsia" w:ascii="宋体" w:hAnsi="宋体" w:eastAsia="宋体" w:cs="宋体"/>
          <w:color w:val="auto"/>
          <w:sz w:val="21"/>
          <w:szCs w:val="21"/>
          <w:highlight w:val="none"/>
          <w:lang w:val="en-US" w:eastAsia="zh-CN"/>
        </w:rPr>
        <w:t>加盖供应商公章】；</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资格业绩【供应商2022年1月1日以来具有一份资产审计服务项目业绩</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一份企业清算审计服务项目业绩</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一份财税咨询服务项目业绩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合同签订时间为2022年1月1日或以后）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资格业绩证明材料提交要求详见竞争性磋商文件第六篇响应文件格式</w:t>
      </w:r>
      <w:r>
        <w:rPr>
          <w:rFonts w:hint="eastAsia" w:ascii="宋体" w:hAnsi="宋体" w:eastAsia="宋体" w:cs="宋体"/>
          <w:color w:val="auto"/>
          <w:sz w:val="21"/>
          <w:szCs w:val="21"/>
          <w:highlight w:val="none"/>
          <w:u w:val="none"/>
          <w:lang w:val="en-US" w:eastAsia="zh-CN"/>
        </w:rPr>
        <w:t>5.5</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）合同条款</w:t>
      </w:r>
      <w:r>
        <w:rPr>
          <w:rFonts w:hint="eastAsia" w:ascii="宋体" w:hAnsi="宋体" w:eastAsia="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）业绩</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）拟</w:t>
      </w:r>
      <w:r>
        <w:rPr>
          <w:rFonts w:hint="eastAsia" w:ascii="宋体" w:hAnsi="宋体" w:eastAsia="宋体" w:cs="宋体"/>
          <w:color w:val="auto"/>
          <w:sz w:val="21"/>
          <w:szCs w:val="21"/>
          <w:highlight w:val="none"/>
          <w:lang w:val="zh-CN" w:eastAsia="zh-CN"/>
        </w:rPr>
        <w:t>投入</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zh-CN"/>
        </w:rPr>
        <w:t>服务人员情况；</w:t>
      </w:r>
    </w:p>
    <w:p>
      <w:pPr>
        <w:spacing w:line="360" w:lineRule="auto"/>
        <w:ind w:left="420" w:hanging="420" w:hangingChars="200"/>
        <w:jc w:val="both"/>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bidi="ar-SA"/>
        </w:rPr>
        <w:t>行业信誉；</w:t>
      </w:r>
    </w:p>
    <w:p>
      <w:pPr>
        <w:spacing w:line="360" w:lineRule="auto"/>
        <w:ind w:left="420" w:hanging="420" w:hangingChars="200"/>
        <w:jc w:val="both"/>
        <w:rPr>
          <w:rFonts w:hint="eastAsia" w:ascii="宋体" w:hAnsi="宋体" w:eastAsia="宋体" w:cs="宋体"/>
          <w:b w:val="0"/>
          <w:bCs w:val="0"/>
          <w:color w:val="auto"/>
          <w:kern w:val="0"/>
          <w:sz w:val="21"/>
          <w:szCs w:val="21"/>
          <w:highlight w:val="none"/>
          <w:lang w:val="zh-CN" w:eastAsia="zh-CN" w:bidi="ar-SA"/>
        </w:rPr>
      </w:pPr>
      <w:r>
        <w:rPr>
          <w:rFonts w:hint="eastAsia" w:ascii="宋体" w:hAnsi="宋体" w:cs="宋体"/>
          <w:b w:val="0"/>
          <w:bCs w:val="0"/>
          <w:color w:val="auto"/>
          <w:kern w:val="0"/>
          <w:sz w:val="21"/>
          <w:szCs w:val="21"/>
          <w:highlight w:val="none"/>
          <w:lang w:val="zh-CN" w:eastAsia="zh-CN" w:bidi="ar-SA"/>
        </w:rPr>
        <w:t>（</w:t>
      </w:r>
      <w:r>
        <w:rPr>
          <w:rFonts w:hint="eastAsia" w:ascii="宋体" w:hAnsi="宋体" w:cs="宋体"/>
          <w:b w:val="0"/>
          <w:bCs w:val="0"/>
          <w:color w:val="auto"/>
          <w:kern w:val="0"/>
          <w:sz w:val="21"/>
          <w:szCs w:val="21"/>
          <w:highlight w:val="none"/>
          <w:lang w:val="en-US" w:eastAsia="zh-CN" w:bidi="ar-SA"/>
        </w:rPr>
        <w:t>12</w:t>
      </w:r>
      <w:r>
        <w:rPr>
          <w:rFonts w:hint="eastAsia" w:ascii="宋体" w:hAnsi="宋体" w:cs="宋体"/>
          <w:b w:val="0"/>
          <w:bCs w:val="0"/>
          <w:color w:val="auto"/>
          <w:kern w:val="0"/>
          <w:sz w:val="21"/>
          <w:szCs w:val="21"/>
          <w:highlight w:val="none"/>
          <w:lang w:val="zh-CN" w:eastAsia="zh-CN" w:bidi="ar-SA"/>
        </w:rPr>
        <w:t>）风险承担水平；</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rPr>
        <w:t>服务便利性响应时间承诺；</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pPr>
        <w:spacing w:line="360" w:lineRule="auto"/>
        <w:ind w:left="420" w:hanging="422" w:hangingChars="200"/>
        <w:jc w:val="both"/>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rPr>
        <w:t xml:space="preserve">9.2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技术文件：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eastAsia="宋体" w:cs="宋体"/>
          <w:color w:val="auto"/>
          <w:sz w:val="21"/>
          <w:szCs w:val="21"/>
          <w:highlight w:val="none"/>
          <w:lang w:val="zh-CN" w:eastAsia="zh-CN"/>
        </w:rPr>
        <w:t>情况</w:t>
      </w:r>
      <w:r>
        <w:rPr>
          <w:rFonts w:hint="eastAsia" w:ascii="宋体" w:hAnsi="宋体" w:eastAsia="宋体" w:cs="宋体"/>
          <w:color w:val="auto"/>
          <w:sz w:val="21"/>
          <w:szCs w:val="21"/>
          <w:highlight w:val="none"/>
          <w:lang w:val="en-US" w:eastAsia="zh-CN"/>
        </w:rPr>
        <w:t>（即用户需求偏离表格式）</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工作方案；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信息安全管理方案；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审计服务项目咨询方案；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审计服务意见分歧解决方案；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审计服务项目质量复核方案；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审计服务项目质量检查方案；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审计服务质量管理缺陷识别与整改方案；</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val="zh-CN"/>
        </w:rPr>
        <w:t>）审计、财税综合服务质量管理制度</w:t>
      </w:r>
      <w:r>
        <w:rPr>
          <w:rFonts w:hint="eastAsia" w:ascii="宋体" w:hAnsi="宋体" w:eastAsia="宋体" w:cs="宋体"/>
          <w:color w:val="auto"/>
          <w:sz w:val="21"/>
          <w:szCs w:val="21"/>
          <w:highlight w:val="none"/>
          <w:lang w:val="zh-CN"/>
        </w:rPr>
        <w:t>；</w:t>
      </w:r>
    </w:p>
    <w:p>
      <w:pPr>
        <w:snapToGrid/>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供应商认为有必要提供的其它材料（不做强制要求）。</w:t>
      </w:r>
    </w:p>
    <w:p>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eastAsia="宋体" w:cs="宋体"/>
          <w:b/>
          <w:bCs/>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pPr>
        <w:spacing w:line="360" w:lineRule="auto"/>
        <w:ind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签字、盖章后的响应文件扫描版PDF格式电子文件。</w:t>
      </w:r>
    </w:p>
    <w:p>
      <w:pPr>
        <w:keepNext w:val="0"/>
        <w:keepLines w:val="0"/>
        <w:pageBreakBefore w:val="0"/>
        <w:widowControl/>
        <w:kinsoku/>
        <w:wordWrap/>
        <w:overflowPunct/>
        <w:topLinePunct w:val="0"/>
        <w:autoSpaceDE/>
        <w:autoSpaceDN/>
        <w:bidi w:val="0"/>
        <w:adjustRightInd/>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u w:val="none"/>
          <w:lang w:val="zh-CN"/>
        </w:rPr>
        <w:t>9.</w:t>
      </w:r>
      <w:r>
        <w:rPr>
          <w:rFonts w:hint="eastAsia" w:ascii="宋体" w:hAnsi="宋体" w:eastAsia="宋体" w:cs="宋体"/>
          <w:color w:val="auto"/>
          <w:kern w:val="2"/>
          <w:sz w:val="21"/>
          <w:szCs w:val="21"/>
          <w:highlight w:val="none"/>
          <w:u w:val="none"/>
          <w:lang w:val="en-US" w:eastAsia="zh-CN"/>
        </w:rPr>
        <w:t>4</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450662860"/>
      <w:bookmarkStart w:id="71" w:name="_Toc18327"/>
      <w:bookmarkStart w:id="72" w:name="_Toc1106"/>
      <w:bookmarkStart w:id="73" w:name="_Toc521918077"/>
      <w:bookmarkStart w:id="74" w:name="_Toc8664"/>
      <w:r>
        <w:rPr>
          <w:rFonts w:hint="eastAsia" w:ascii="宋体" w:hAnsi="宋体" w:eastAsia="宋体" w:cs="宋体"/>
          <w:color w:val="auto"/>
          <w:kern w:val="2"/>
          <w:sz w:val="21"/>
          <w:szCs w:val="21"/>
          <w:highlight w:val="none"/>
          <w:lang w:val="zh-CN"/>
        </w:rPr>
        <w:t>10</w:t>
      </w:r>
      <w:r>
        <w:rPr>
          <w:rFonts w:hint="eastAsia" w:ascii="宋体" w:hAnsi="宋体" w:eastAsia="宋体" w:cs="宋体"/>
          <w:color w:val="auto"/>
          <w:kern w:val="2"/>
          <w:sz w:val="21"/>
          <w:szCs w:val="21"/>
          <w:highlight w:val="none"/>
          <w:lang w:val="en-US" w:eastAsia="zh-CN"/>
        </w:rPr>
        <w:t xml:space="preserve">   磋商</w:t>
      </w:r>
      <w:r>
        <w:rPr>
          <w:rFonts w:hint="eastAsia" w:ascii="宋体" w:hAnsi="宋体" w:eastAsia="宋体" w:cs="宋体"/>
          <w:color w:val="auto"/>
          <w:kern w:val="2"/>
          <w:sz w:val="21"/>
          <w:szCs w:val="21"/>
          <w:highlight w:val="none"/>
          <w:lang w:val="zh-CN"/>
        </w:rPr>
        <w:t>函</w:t>
      </w:r>
      <w:bookmarkEnd w:id="70"/>
      <w:bookmarkEnd w:id="71"/>
      <w:bookmarkEnd w:id="72"/>
      <w:bookmarkEnd w:id="73"/>
      <w:bookmarkEnd w:id="74"/>
    </w:p>
    <w:p>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75" w:name="_Toc521918078"/>
      <w:bookmarkStart w:id="76" w:name="_Toc450662861"/>
      <w:bookmarkStart w:id="77" w:name="_Toc8843"/>
      <w:bookmarkStart w:id="78" w:name="_Toc20964"/>
      <w:bookmarkStart w:id="79" w:name="_Toc15185"/>
      <w:r>
        <w:rPr>
          <w:rFonts w:hint="eastAsia" w:ascii="宋体" w:hAnsi="宋体" w:eastAsia="宋体" w:cs="宋体"/>
          <w:bCs/>
          <w:color w:val="auto"/>
          <w:kern w:val="2"/>
          <w:sz w:val="21"/>
          <w:szCs w:val="21"/>
          <w:highlight w:val="none"/>
          <w:lang w:val="zh-CN"/>
        </w:rPr>
        <w:t>11</w:t>
      </w:r>
      <w:bookmarkEnd w:id="75"/>
      <w:bookmarkEnd w:id="76"/>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77"/>
      <w:bookmarkEnd w:id="78"/>
      <w:bookmarkEnd w:id="79"/>
    </w:p>
    <w:p>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的销项税额，包含了供应商完成合同义务（含供应商代缴代扣、分包及委外服务、施工、采购货物等所产生的价税）的其他全部费用。本采购项目的销项税额由采购人承担，不计入响应报价。</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b/>
          <w:bCs/>
          <w:color w:val="auto"/>
          <w:kern w:val="2"/>
          <w:sz w:val="21"/>
          <w:szCs w:val="21"/>
          <w:highlight w:val="none"/>
          <w:lang w:val="en-US" w:eastAsia="zh-CN"/>
        </w:rPr>
        <w:t>响应</w:t>
      </w:r>
      <w:r>
        <w:rPr>
          <w:rFonts w:hint="eastAsia" w:ascii="宋体" w:hAnsi="宋体" w:eastAsia="宋体" w:cs="宋体"/>
          <w:b/>
          <w:bCs/>
          <w:color w:val="auto"/>
          <w:kern w:val="2"/>
          <w:sz w:val="21"/>
          <w:szCs w:val="21"/>
          <w:highlight w:val="none"/>
          <w:u w:val="single"/>
          <w:lang w:val="zh-CN"/>
        </w:rPr>
        <w:t>报价包括</w:t>
      </w:r>
      <w:r>
        <w:rPr>
          <w:rFonts w:hint="eastAsia" w:ascii="宋体" w:hAnsi="宋体" w:eastAsia="宋体" w:cs="宋体"/>
          <w:b/>
          <w:bCs/>
          <w:color w:val="auto"/>
          <w:kern w:val="2"/>
          <w:sz w:val="21"/>
          <w:szCs w:val="21"/>
          <w:highlight w:val="none"/>
          <w:u w:val="single"/>
          <w:lang w:val="en-US" w:eastAsia="zh-CN"/>
        </w:rPr>
        <w:t>供应商履行本采购内容全部义务的一切费用</w:t>
      </w:r>
      <w:r>
        <w:rPr>
          <w:rFonts w:hint="eastAsia" w:ascii="宋体" w:hAnsi="宋体" w:eastAsia="宋体" w:cs="宋体"/>
          <w:b/>
          <w:bCs/>
          <w:color w:val="auto"/>
          <w:kern w:val="2"/>
          <w:sz w:val="21"/>
          <w:szCs w:val="21"/>
          <w:highlight w:val="none"/>
          <w:u w:val="single"/>
          <w:lang w:val="zh-CN"/>
        </w:rPr>
        <w:t>，包括但不限于：（1）专业咨询、资料收集（含购买）、材料撰写、项目辅导、人员培训、项目成果文件编制、成果文件印刷、往来询证函费（除银行询证函费用外）等费用；（2）服务期间人员工资、管理费、交通费、通讯费、餐饮、差旅费、保险费等一切费用；（3）所有应支付的对专利权、著作权、商标权或其他知识产权而需要向其他方支付的知识产权使用费等；（4）合理利润、</w:t>
      </w:r>
      <w:r>
        <w:rPr>
          <w:rFonts w:hint="eastAsia" w:ascii="宋体" w:hAnsi="宋体" w:cs="宋体"/>
          <w:b/>
          <w:bCs/>
          <w:color w:val="auto"/>
          <w:kern w:val="2"/>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销项税额以外的税费等；（5）法律法规、商业公认、</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文件规定由</w:t>
      </w:r>
      <w:r>
        <w:rPr>
          <w:rFonts w:hint="eastAsia" w:ascii="宋体" w:hAnsi="宋体" w:cs="宋体"/>
          <w:b/>
          <w:bCs/>
          <w:color w:val="auto"/>
          <w:kern w:val="2"/>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承担的其他费用</w:t>
      </w:r>
      <w:r>
        <w:rPr>
          <w:rFonts w:hint="eastAsia" w:ascii="宋体" w:hAnsi="宋体" w:eastAsia="宋体" w:cs="宋体"/>
          <w:b/>
          <w:bCs/>
          <w:color w:val="auto"/>
          <w:kern w:val="2"/>
          <w:sz w:val="21"/>
          <w:szCs w:val="21"/>
          <w:highlight w:val="none"/>
          <w:u w:val="none"/>
          <w:lang w:val="zh-CN"/>
        </w:rPr>
        <w:t>。</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11.</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在合同期间，响应报价不随国家政策或法规、标准、市场因素及采购数量的变化而进行调整。</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合同项下，采购人需要的</w:t>
      </w:r>
      <w:r>
        <w:rPr>
          <w:rFonts w:hint="eastAsia" w:ascii="宋体" w:hAnsi="宋体" w:eastAsia="宋体" w:cs="宋体"/>
          <w:b/>
          <w:bCs/>
          <w:color w:val="auto"/>
          <w:kern w:val="2"/>
          <w:sz w:val="21"/>
          <w:szCs w:val="21"/>
          <w:highlight w:val="none"/>
          <w:u w:val="single"/>
          <w:lang w:val="en-US" w:eastAsia="zh-CN"/>
        </w:rPr>
        <w:t>相关服务</w:t>
      </w:r>
      <w:r>
        <w:rPr>
          <w:rFonts w:hint="eastAsia" w:ascii="宋体" w:hAnsi="宋体" w:eastAsia="宋体" w:cs="宋体"/>
          <w:b/>
          <w:bCs/>
          <w:color w:val="auto"/>
          <w:kern w:val="2"/>
          <w:sz w:val="21"/>
          <w:szCs w:val="21"/>
          <w:highlight w:val="none"/>
          <w:u w:val="single"/>
          <w:lang w:val="zh-CN"/>
        </w:rPr>
        <w:t>所需的费用，供应商都应计入响应报价（竞争性磋商文件明确规定不计入响应报价的除外）。</w:t>
      </w:r>
    </w:p>
    <w:p>
      <w:pPr>
        <w:tabs>
          <w:tab w:val="left" w:pos="142"/>
        </w:tabs>
        <w:spacing w:line="360" w:lineRule="auto"/>
        <w:ind w:left="533" w:hanging="533"/>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rPr>
        <w:t>11.6</w:t>
      </w:r>
      <w:r>
        <w:rPr>
          <w:rFonts w:hint="eastAsia" w:ascii="宋体" w:hAnsi="宋体" w:eastAsia="宋体" w:cs="宋体"/>
          <w:b/>
          <w:bCs/>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报价高于</w:t>
      </w:r>
      <w:r>
        <w:rPr>
          <w:rFonts w:hint="eastAsia" w:ascii="宋体" w:hAnsi="宋体" w:eastAsia="宋体" w:cs="宋体"/>
          <w:b/>
          <w:bCs w:val="0"/>
          <w:color w:val="auto"/>
          <w:kern w:val="2"/>
          <w:sz w:val="21"/>
          <w:szCs w:val="21"/>
          <w:highlight w:val="none"/>
          <w:u w:val="single"/>
          <w:lang w:val="en-US" w:eastAsia="zh-CN"/>
        </w:rPr>
        <w:t>不含税</w:t>
      </w:r>
      <w:r>
        <w:rPr>
          <w:rFonts w:hint="eastAsia" w:ascii="宋体" w:hAnsi="宋体" w:eastAsia="宋体" w:cs="宋体"/>
          <w:b/>
          <w:bCs w:val="0"/>
          <w:color w:val="auto"/>
          <w:kern w:val="2"/>
          <w:sz w:val="21"/>
          <w:szCs w:val="21"/>
          <w:highlight w:val="none"/>
          <w:u w:val="single"/>
          <w:lang w:val="zh-CN"/>
        </w:rPr>
        <w:t>最高限价的，该</w:t>
      </w:r>
      <w:r>
        <w:rPr>
          <w:rFonts w:hint="eastAsia" w:ascii="宋体" w:hAnsi="宋体" w:eastAsia="宋体" w:cs="宋体"/>
          <w:b/>
          <w:bCs w:val="0"/>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文件将被视为无效</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。本项目的</w:t>
      </w:r>
      <w:r>
        <w:rPr>
          <w:rFonts w:hint="eastAsia" w:ascii="宋体" w:hAnsi="宋体" w:eastAsia="宋体" w:cs="宋体"/>
          <w:b/>
          <w:bCs w:val="0"/>
          <w:color w:val="auto"/>
          <w:kern w:val="2"/>
          <w:sz w:val="21"/>
          <w:szCs w:val="21"/>
          <w:highlight w:val="none"/>
          <w:u w:val="single"/>
          <w:lang w:val="zh-CN"/>
        </w:rPr>
        <w:t>不含税最高限价为</w:t>
      </w:r>
      <w:r>
        <w:rPr>
          <w:rFonts w:hint="default" w:ascii="宋体" w:hAnsi="宋体" w:cs="宋体"/>
          <w:b/>
          <w:bCs w:val="0"/>
          <w:color w:val="auto"/>
          <w:kern w:val="2"/>
          <w:sz w:val="21"/>
          <w:szCs w:val="21"/>
          <w:highlight w:val="none"/>
          <w:u w:val="single"/>
          <w:lang w:val="zh-CN" w:eastAsia="zh-CN"/>
        </w:rPr>
        <w:t>¥</w:t>
      </w:r>
      <w:r>
        <w:rPr>
          <w:rFonts w:hint="eastAsia" w:ascii="宋体" w:hAnsi="宋体" w:cs="宋体"/>
          <w:b/>
          <w:bCs w:val="0"/>
          <w:color w:val="auto"/>
          <w:kern w:val="2"/>
          <w:sz w:val="21"/>
          <w:szCs w:val="21"/>
          <w:highlight w:val="none"/>
          <w:u w:val="single"/>
          <w:lang w:val="en-US" w:eastAsia="zh-CN"/>
        </w:rPr>
        <w:t>90,000.00</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：人民币</w:t>
      </w:r>
      <w:r>
        <w:rPr>
          <w:rFonts w:hint="eastAsia" w:ascii="宋体" w:hAnsi="宋体" w:cs="宋体"/>
          <w:b/>
          <w:color w:val="auto"/>
          <w:kern w:val="2"/>
          <w:sz w:val="21"/>
          <w:szCs w:val="21"/>
          <w:highlight w:val="none"/>
          <w:u w:val="single"/>
          <w:lang w:val="en-US" w:eastAsia="zh-CN"/>
        </w:rPr>
        <w:t>玖万元整</w:t>
      </w:r>
      <w:r>
        <w:rPr>
          <w:rFonts w:hint="eastAsia" w:ascii="宋体" w:hAnsi="宋体" w:eastAsia="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en-US" w:eastAsia="zh-CN"/>
        </w:rPr>
        <w:t>其中，净资产审计服务不含税最高限价为</w:t>
      </w:r>
      <w:r>
        <w:rPr>
          <w:rFonts w:hint="default" w:ascii="宋体" w:hAnsi="宋体" w:cs="宋体"/>
          <w:b/>
          <w:bCs w:val="0"/>
          <w:color w:val="auto"/>
          <w:kern w:val="2"/>
          <w:sz w:val="21"/>
          <w:szCs w:val="21"/>
          <w:highlight w:val="none"/>
          <w:u w:val="single"/>
          <w:lang w:val="zh-CN" w:eastAsia="zh-CN"/>
        </w:rPr>
        <w:t>¥</w:t>
      </w:r>
      <w:r>
        <w:rPr>
          <w:rFonts w:hint="eastAsia" w:ascii="宋体" w:hAnsi="宋体" w:cs="宋体"/>
          <w:b/>
          <w:bCs w:val="0"/>
          <w:color w:val="auto"/>
          <w:kern w:val="2"/>
          <w:sz w:val="21"/>
          <w:szCs w:val="21"/>
          <w:highlight w:val="none"/>
          <w:u w:val="single"/>
          <w:lang w:val="en-US" w:eastAsia="zh-CN"/>
        </w:rPr>
        <w:t>20,000.00</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w:t>
      </w:r>
      <w:r>
        <w:rPr>
          <w:rFonts w:hint="eastAsia" w:ascii="宋体" w:hAnsi="宋体" w:cs="宋体"/>
          <w:b/>
          <w:color w:val="auto"/>
          <w:kern w:val="2"/>
          <w:sz w:val="21"/>
          <w:szCs w:val="21"/>
          <w:highlight w:val="none"/>
          <w:u w:val="single"/>
          <w:lang w:val="en-US" w:eastAsia="zh-CN"/>
        </w:rPr>
        <w:t>币贰万元整</w:t>
      </w:r>
      <w:r>
        <w:rPr>
          <w:rFonts w:hint="eastAsia" w:ascii="宋体" w:hAnsi="宋体" w:eastAsia="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en-US" w:eastAsia="zh-CN"/>
        </w:rPr>
        <w:t>清算审计服务不含税最高限价为</w:t>
      </w:r>
      <w:r>
        <w:rPr>
          <w:rFonts w:hint="default" w:ascii="宋体" w:hAnsi="宋体" w:cs="宋体"/>
          <w:b/>
          <w:bCs w:val="0"/>
          <w:color w:val="auto"/>
          <w:kern w:val="2"/>
          <w:sz w:val="21"/>
          <w:szCs w:val="21"/>
          <w:highlight w:val="none"/>
          <w:u w:val="single"/>
          <w:lang w:val="zh-CN" w:eastAsia="zh-CN"/>
        </w:rPr>
        <w:t>¥</w:t>
      </w:r>
      <w:r>
        <w:rPr>
          <w:rFonts w:hint="eastAsia" w:ascii="宋体" w:hAnsi="宋体" w:cs="宋体"/>
          <w:b/>
          <w:bCs w:val="0"/>
          <w:color w:val="auto"/>
          <w:kern w:val="2"/>
          <w:sz w:val="21"/>
          <w:szCs w:val="21"/>
          <w:highlight w:val="none"/>
          <w:u w:val="single"/>
          <w:lang w:val="en-US" w:eastAsia="zh-CN"/>
        </w:rPr>
        <w:t>25,000.00</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w:t>
      </w:r>
      <w:r>
        <w:rPr>
          <w:rFonts w:hint="eastAsia" w:ascii="宋体" w:hAnsi="宋体" w:cs="宋体"/>
          <w:b/>
          <w:color w:val="auto"/>
          <w:kern w:val="2"/>
          <w:sz w:val="21"/>
          <w:szCs w:val="21"/>
          <w:highlight w:val="none"/>
          <w:u w:val="single"/>
          <w:lang w:val="en-US" w:eastAsia="zh-CN"/>
        </w:rPr>
        <w:t>币贰万伍仟元整</w:t>
      </w:r>
      <w:r>
        <w:rPr>
          <w:rFonts w:hint="eastAsia" w:ascii="宋体" w:hAnsi="宋体" w:eastAsia="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zh-CN"/>
        </w:rPr>
        <w:t>；</w:t>
      </w:r>
      <w:r>
        <w:rPr>
          <w:rFonts w:hint="eastAsia" w:ascii="宋体" w:hAnsi="宋体" w:cs="宋体"/>
          <w:b/>
          <w:color w:val="auto"/>
          <w:kern w:val="2"/>
          <w:sz w:val="21"/>
          <w:szCs w:val="21"/>
          <w:highlight w:val="none"/>
          <w:u w:val="single"/>
          <w:lang w:val="en-US" w:eastAsia="zh-CN"/>
        </w:rPr>
        <w:t>财税咨询服务不含税最高限价为</w:t>
      </w:r>
      <w:r>
        <w:rPr>
          <w:rFonts w:hint="default" w:ascii="宋体" w:hAnsi="宋体" w:cs="宋体"/>
          <w:b/>
          <w:bCs w:val="0"/>
          <w:color w:val="auto"/>
          <w:kern w:val="2"/>
          <w:sz w:val="21"/>
          <w:szCs w:val="21"/>
          <w:highlight w:val="none"/>
          <w:u w:val="single"/>
          <w:lang w:val="zh-CN" w:eastAsia="zh-CN"/>
        </w:rPr>
        <w:t>¥</w:t>
      </w:r>
      <w:r>
        <w:rPr>
          <w:rFonts w:hint="eastAsia" w:ascii="宋体" w:hAnsi="宋体" w:cs="宋体"/>
          <w:b/>
          <w:bCs w:val="0"/>
          <w:color w:val="auto"/>
          <w:kern w:val="2"/>
          <w:sz w:val="21"/>
          <w:szCs w:val="21"/>
          <w:highlight w:val="none"/>
          <w:u w:val="single"/>
          <w:lang w:val="en-US" w:eastAsia="zh-CN"/>
        </w:rPr>
        <w:t>45,000.00</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w:t>
      </w:r>
      <w:r>
        <w:rPr>
          <w:rFonts w:hint="eastAsia" w:ascii="宋体" w:hAnsi="宋体" w:cs="宋体"/>
          <w:b/>
          <w:color w:val="auto"/>
          <w:kern w:val="2"/>
          <w:sz w:val="21"/>
          <w:szCs w:val="21"/>
          <w:highlight w:val="none"/>
          <w:u w:val="single"/>
          <w:lang w:val="en-US" w:eastAsia="zh-CN"/>
        </w:rPr>
        <w:t>币肆万伍仟元整</w:t>
      </w:r>
      <w:r>
        <w:rPr>
          <w:rFonts w:hint="eastAsia" w:ascii="宋体" w:hAnsi="宋体" w:eastAsia="宋体" w:cs="宋体"/>
          <w:b/>
          <w:color w:val="auto"/>
          <w:kern w:val="2"/>
          <w:sz w:val="21"/>
          <w:szCs w:val="21"/>
          <w:highlight w:val="none"/>
          <w:u w:val="single"/>
          <w:lang w:val="zh-CN"/>
        </w:rPr>
        <w:t>）。</w:t>
      </w:r>
    </w:p>
    <w:p>
      <w:pPr>
        <w:tabs>
          <w:tab w:val="left" w:pos="142"/>
        </w:tabs>
        <w:spacing w:line="360" w:lineRule="auto"/>
        <w:ind w:left="532" w:hanging="532"/>
        <w:jc w:val="both"/>
        <w:rPr>
          <w:rFonts w:hint="eastAsia" w:ascii="宋体" w:hAnsi="宋体" w:eastAsia="宋体" w:cs="宋体"/>
          <w:b/>
          <w:bCs/>
          <w:color w:val="auto"/>
          <w:sz w:val="21"/>
          <w:highlight w:val="none"/>
          <w:u w:val="single"/>
        </w:rPr>
      </w:pPr>
    </w:p>
    <w:p>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80" w:name="_Toc450662862"/>
      <w:bookmarkStart w:id="81" w:name="_Toc521918079"/>
      <w:bookmarkStart w:id="82" w:name="_Toc11071"/>
      <w:bookmarkStart w:id="83" w:name="_Toc1597"/>
      <w:bookmarkStart w:id="84" w:name="_Toc11058"/>
      <w:r>
        <w:rPr>
          <w:rFonts w:hint="eastAsia" w:ascii="宋体" w:hAnsi="宋体" w:eastAsia="宋体" w:cs="宋体"/>
          <w:b/>
          <w:bCs/>
          <w:color w:val="auto"/>
          <w:kern w:val="2"/>
          <w:sz w:val="21"/>
          <w:szCs w:val="21"/>
          <w:highlight w:val="none"/>
          <w:lang w:val="zh-CN"/>
        </w:rPr>
        <w:t>12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80"/>
      <w:bookmarkEnd w:id="81"/>
      <w:bookmarkEnd w:id="82"/>
      <w:bookmarkEnd w:id="83"/>
      <w:bookmarkEnd w:id="84"/>
    </w:p>
    <w:p>
      <w:pPr>
        <w:spacing w:line="360" w:lineRule="auto"/>
        <w:ind w:left="540" w:hanging="15"/>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5" w:name="_Toc14264"/>
      <w:bookmarkStart w:id="86" w:name="_Toc18922"/>
      <w:bookmarkStart w:id="87" w:name="_Toc21140"/>
      <w:bookmarkStart w:id="88" w:name="_Toc450662863"/>
      <w:bookmarkStart w:id="89" w:name="_Toc521918080"/>
      <w:r>
        <w:rPr>
          <w:rFonts w:hint="eastAsia" w:ascii="宋体" w:hAnsi="宋体" w:eastAsia="宋体" w:cs="宋体"/>
          <w:color w:val="auto"/>
          <w:kern w:val="2"/>
          <w:sz w:val="21"/>
          <w:szCs w:val="21"/>
          <w:highlight w:val="none"/>
          <w:lang w:val="zh-CN"/>
        </w:rPr>
        <w:t>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85"/>
      <w:bookmarkEnd w:id="86"/>
      <w:bookmarkEnd w:id="87"/>
      <w:bookmarkEnd w:id="88"/>
      <w:bookmarkEnd w:id="89"/>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和有能力履行合同的文件，作为响应文件的一部分。</w:t>
      </w:r>
    </w:p>
    <w:p>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pPr>
        <w:tabs>
          <w:tab w:val="left" w:pos="142"/>
        </w:tabs>
        <w:spacing w:line="360" w:lineRule="auto"/>
        <w:ind w:left="532" w:hanging="532"/>
        <w:jc w:val="both"/>
        <w:rPr>
          <w:rFonts w:hint="eastAsia" w:ascii="宋体" w:hAnsi="宋体" w:eastAsia="宋体" w:cs="宋体"/>
          <w:color w:val="auto"/>
          <w:kern w:val="2"/>
          <w:sz w:val="21"/>
          <w:szCs w:val="21"/>
          <w:highlight w:val="none"/>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0" w:name="_Toc9158"/>
      <w:bookmarkStart w:id="91" w:name="_Toc450662864"/>
      <w:bookmarkStart w:id="92" w:name="_Toc11754"/>
      <w:bookmarkStart w:id="93" w:name="_Toc521918081"/>
      <w:bookmarkStart w:id="94" w:name="_Toc23499"/>
      <w:r>
        <w:rPr>
          <w:rFonts w:hint="eastAsia" w:ascii="宋体" w:hAnsi="宋体" w:eastAsia="宋体" w:cs="宋体"/>
          <w:color w:val="auto"/>
          <w:kern w:val="2"/>
          <w:sz w:val="21"/>
          <w:szCs w:val="21"/>
          <w:highlight w:val="none"/>
          <w:lang w:val="zh-CN"/>
        </w:rPr>
        <w:t>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90"/>
      <w:bookmarkEnd w:id="91"/>
      <w:bookmarkEnd w:id="92"/>
      <w:bookmarkEnd w:id="93"/>
      <w:bookmarkEnd w:id="94"/>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根据第9条规定，供应商须提交证明其拟供服务的合格性并符合竞争性磋商文件规定的声明文件，作为响应文件的一部分。</w:t>
      </w:r>
    </w:p>
    <w:p>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所说明只是概括性的，不能理解为所需要的全部服务的要求，供应商应按国家、行业相关技术标准、规范和以往的服务经验，合格优质的完成采购内容和包含的全部服务。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95" w:name="_Toc21055"/>
      <w:bookmarkStart w:id="96" w:name="_Toc23434"/>
      <w:bookmarkStart w:id="97" w:name="_Toc521918082"/>
      <w:bookmarkStart w:id="98" w:name="_Toc17366"/>
      <w:r>
        <w:rPr>
          <w:rFonts w:hint="eastAsia" w:ascii="宋体" w:hAnsi="宋体" w:eastAsia="宋体" w:cs="宋体"/>
          <w:bCs/>
          <w:color w:val="auto"/>
          <w:kern w:val="2"/>
          <w:sz w:val="21"/>
          <w:szCs w:val="21"/>
          <w:highlight w:val="none"/>
          <w:lang w:val="zh-CN"/>
        </w:rPr>
        <w:t>15</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95"/>
      <w:bookmarkEnd w:id="96"/>
      <w:bookmarkEnd w:id="97"/>
      <w:bookmarkEnd w:id="98"/>
    </w:p>
    <w:p>
      <w:pPr>
        <w:keepNext w:val="0"/>
        <w:keepLines w:val="0"/>
        <w:pageBreakBefore w:val="0"/>
        <w:widowControl w:val="0"/>
        <w:tabs>
          <w:tab w:val="left" w:pos="1134"/>
        </w:tabs>
        <w:kinsoku/>
        <w:wordWrap/>
        <w:overflowPunct/>
        <w:topLinePunct w:val="0"/>
        <w:autoSpaceDE w:val="0"/>
        <w:autoSpaceDN w:val="0"/>
        <w:bidi w:val="0"/>
        <w:adjustRightInd w:val="0"/>
        <w:snapToGrid/>
        <w:spacing w:line="360" w:lineRule="auto"/>
        <w:ind w:left="0" w:firstLine="525" w:firstLineChars="250"/>
        <w:jc w:val="both"/>
        <w:textAlignment w:val="auto"/>
        <w:rPr>
          <w:rFonts w:hint="eastAsia" w:ascii="宋体" w:hAnsi="宋体" w:eastAsia="宋体" w:cs="宋体"/>
          <w:color w:val="auto"/>
          <w:kern w:val="0"/>
          <w:sz w:val="21"/>
          <w:szCs w:val="21"/>
          <w:highlight w:val="none"/>
          <w:lang w:val="en-US"/>
        </w:rPr>
      </w:pPr>
      <w:bookmarkStart w:id="99" w:name="_Toc521918083"/>
      <w:bookmarkStart w:id="100" w:name="_Toc450662865"/>
      <w:r>
        <w:rPr>
          <w:rFonts w:hint="eastAsia" w:ascii="宋体" w:hAnsi="宋体" w:eastAsia="宋体" w:cs="宋体"/>
          <w:color w:val="auto"/>
          <w:sz w:val="21"/>
          <w:szCs w:val="21"/>
          <w:highlight w:val="none"/>
          <w:lang w:val="en-US" w:eastAsia="zh-CN"/>
        </w:rPr>
        <w:t>本次采购无需提交磋商保证金</w:t>
      </w:r>
      <w:r>
        <w:rPr>
          <w:rFonts w:hint="eastAsia" w:ascii="宋体" w:hAnsi="宋体" w:eastAsia="宋体" w:cs="宋体"/>
          <w:color w:val="auto"/>
          <w:kern w:val="0"/>
          <w:sz w:val="21"/>
          <w:szCs w:val="21"/>
          <w:highlight w:val="none"/>
          <w:lang w:val="en-US"/>
        </w:rPr>
        <w:t>。</w:t>
      </w:r>
    </w:p>
    <w:p>
      <w:pPr>
        <w:pStyle w:val="107"/>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1" w:name="_Toc18442"/>
      <w:bookmarkStart w:id="102" w:name="_Toc2083"/>
      <w:bookmarkStart w:id="103" w:name="_Toc30329"/>
      <w:r>
        <w:rPr>
          <w:rFonts w:hint="eastAsia" w:ascii="宋体" w:hAnsi="宋体" w:eastAsia="宋体" w:cs="宋体"/>
          <w:color w:val="auto"/>
          <w:kern w:val="2"/>
          <w:sz w:val="21"/>
          <w:szCs w:val="21"/>
          <w:highlight w:val="none"/>
          <w:lang w:val="zh-CN"/>
        </w:rPr>
        <w:t>16</w:t>
      </w:r>
      <w:r>
        <w:rPr>
          <w:rFonts w:hint="eastAsia" w:ascii="宋体" w:hAnsi="宋体" w:eastAsia="宋体" w:cs="宋体"/>
          <w:color w:val="auto"/>
          <w:kern w:val="2"/>
          <w:sz w:val="21"/>
          <w:szCs w:val="21"/>
          <w:highlight w:val="none"/>
          <w:lang w:val="en-US" w:eastAsia="zh-CN"/>
        </w:rPr>
        <w:t xml:space="preserve">   响应</w:t>
      </w:r>
      <w:r>
        <w:rPr>
          <w:rFonts w:hint="eastAsia" w:ascii="宋体" w:hAnsi="宋体" w:eastAsia="宋体" w:cs="宋体"/>
          <w:color w:val="auto"/>
          <w:kern w:val="2"/>
          <w:sz w:val="21"/>
          <w:szCs w:val="21"/>
          <w:highlight w:val="none"/>
          <w:lang w:val="zh-CN"/>
        </w:rPr>
        <w:t>有效期</w:t>
      </w:r>
      <w:bookmarkEnd w:id="99"/>
      <w:bookmarkEnd w:id="100"/>
      <w:bookmarkEnd w:id="101"/>
      <w:bookmarkEnd w:id="102"/>
      <w:bookmarkEnd w:id="10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w:t>
      </w:r>
      <w:r>
        <w:rPr>
          <w:rFonts w:hint="eastAsia" w:ascii="宋体" w:hAnsi="宋体" w:eastAsia="宋体" w:cs="宋体"/>
          <w:b/>
          <w:bCs/>
          <w:color w:val="auto"/>
          <w:kern w:val="2"/>
          <w:sz w:val="21"/>
          <w:szCs w:val="21"/>
          <w:highlight w:val="none"/>
          <w:u w:val="single"/>
          <w:lang w:val="zh-CN"/>
        </w:rPr>
        <w:t>无效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cs="宋体"/>
          <w:b/>
          <w:bCs/>
          <w:color w:val="auto"/>
          <w:kern w:val="2"/>
          <w:sz w:val="21"/>
          <w:szCs w:val="21"/>
          <w:highlight w:val="none"/>
          <w:u w:val="single"/>
          <w:lang w:val="en-US" w:eastAsia="zh-CN"/>
        </w:rPr>
        <w:t>文件处理</w:t>
      </w:r>
      <w:r>
        <w:rPr>
          <w:rFonts w:hint="eastAsia" w:ascii="宋体" w:hAnsi="宋体" w:eastAsia="宋体" w:cs="宋体"/>
          <w:b/>
          <w:bCs/>
          <w:color w:val="auto"/>
          <w:kern w:val="2"/>
          <w:sz w:val="21"/>
          <w:szCs w:val="21"/>
          <w:highlight w:val="none"/>
          <w:lang w:val="zh-CN"/>
        </w:rPr>
        <w:t>。</w:t>
      </w:r>
    </w:p>
    <w:p>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w:t>
      </w:r>
      <w:r>
        <w:rPr>
          <w:rFonts w:hint="eastAsia" w:ascii="宋体" w:hAnsi="宋体" w:cs="宋体"/>
          <w:color w:val="auto"/>
          <w:kern w:val="2"/>
          <w:sz w:val="21"/>
          <w:szCs w:val="21"/>
          <w:highlight w:val="none"/>
          <w:lang w:val="en-US" w:eastAsia="zh-CN"/>
        </w:rPr>
        <w:t>既</w:t>
      </w:r>
      <w:r>
        <w:rPr>
          <w:rFonts w:hint="eastAsia" w:ascii="宋体" w:hAnsi="宋体" w:eastAsia="宋体" w:cs="宋体"/>
          <w:color w:val="auto"/>
          <w:kern w:val="2"/>
          <w:sz w:val="21"/>
          <w:szCs w:val="21"/>
          <w:highlight w:val="none"/>
          <w:lang w:val="zh-CN"/>
        </w:rPr>
        <w:t>不</w:t>
      </w:r>
      <w:r>
        <w:rPr>
          <w:rFonts w:hint="eastAsia" w:ascii="宋体" w:hAnsi="宋体" w:cs="宋体"/>
          <w:color w:val="auto"/>
          <w:kern w:val="2"/>
          <w:sz w:val="21"/>
          <w:szCs w:val="21"/>
          <w:highlight w:val="none"/>
          <w:lang w:val="en-US" w:eastAsia="zh-CN"/>
        </w:rPr>
        <w:t>要求也不</w:t>
      </w:r>
      <w:r>
        <w:rPr>
          <w:rFonts w:hint="eastAsia" w:ascii="宋体" w:hAnsi="宋体" w:eastAsia="宋体" w:cs="宋体"/>
          <w:color w:val="auto"/>
          <w:kern w:val="2"/>
          <w:sz w:val="21"/>
          <w:szCs w:val="21"/>
          <w:highlight w:val="none"/>
          <w:lang w:val="zh-CN"/>
        </w:rPr>
        <w:t>允许其修改响应文件。</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4" w:name="_Toc743"/>
      <w:bookmarkStart w:id="105" w:name="_Toc450662866"/>
      <w:bookmarkStart w:id="106" w:name="_Toc31944"/>
      <w:bookmarkStart w:id="107" w:name="_Toc521918084"/>
      <w:bookmarkStart w:id="108" w:name="_Toc28569"/>
      <w:r>
        <w:rPr>
          <w:rFonts w:hint="eastAsia" w:ascii="宋体" w:hAnsi="宋体" w:eastAsia="宋体" w:cs="宋体"/>
          <w:color w:val="auto"/>
          <w:kern w:val="2"/>
          <w:sz w:val="21"/>
          <w:szCs w:val="21"/>
          <w:highlight w:val="none"/>
          <w:lang w:val="zh-CN"/>
        </w:rPr>
        <w:t>17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104"/>
      <w:bookmarkEnd w:id="105"/>
      <w:bookmarkEnd w:id="106"/>
      <w:bookmarkEnd w:id="107"/>
      <w:bookmarkEnd w:id="108"/>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三</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明确要求盖企业公章或签署的，应相应加企业公章或签署。其中签署应</w:t>
      </w:r>
      <w:r>
        <w:rPr>
          <w:rFonts w:hint="eastAsia" w:ascii="宋体" w:hAnsi="宋体" w:eastAsia="宋体" w:cs="宋体"/>
          <w:color w:val="auto"/>
          <w:kern w:val="2"/>
          <w:sz w:val="21"/>
          <w:szCs w:val="21"/>
          <w:highlight w:val="none"/>
          <w:lang w:val="en-US" w:eastAsia="zh-CN"/>
        </w:rPr>
        <w:t>由</w:t>
      </w:r>
      <w:r>
        <w:rPr>
          <w:rFonts w:hint="eastAsia" w:ascii="宋体" w:hAnsi="宋体" w:eastAsia="宋体" w:cs="宋体"/>
          <w:color w:val="auto"/>
          <w:kern w:val="2"/>
          <w:sz w:val="21"/>
          <w:szCs w:val="21"/>
          <w:highlight w:val="none"/>
          <w:lang w:val="zh-CN"/>
        </w:rPr>
        <w:t>供应商法定代表人/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或其授权代表签字（或盖私章），后者须将“法定代表人/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授权书”以书面形式附在响应文件中。副本文件可由正本文件复印而成。</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w:t>
      </w:r>
      <w:r>
        <w:rPr>
          <w:rFonts w:hint="eastAsia" w:ascii="宋体" w:hAnsi="宋体" w:cs="宋体"/>
          <w:bCs/>
          <w:color w:val="auto"/>
          <w:kern w:val="2"/>
          <w:sz w:val="21"/>
          <w:szCs w:val="21"/>
          <w:highlight w:val="none"/>
          <w:lang w:val="zh-CN"/>
        </w:rPr>
        <w:t>供应商公章</w:t>
      </w:r>
      <w:r>
        <w:rPr>
          <w:rFonts w:hint="eastAsia" w:ascii="宋体" w:hAnsi="宋体" w:eastAsia="宋体" w:cs="宋体"/>
          <w:bCs/>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电子文件：电子文件不可设置密码，用DVD或CD-R光盘</w:t>
      </w:r>
      <w:r>
        <w:rPr>
          <w:rFonts w:hint="eastAsia" w:ascii="宋体" w:hAnsi="宋体" w:eastAsia="宋体" w:cs="宋体"/>
          <w:b/>
          <w:bCs/>
          <w:color w:val="auto"/>
          <w:kern w:val="2"/>
          <w:sz w:val="21"/>
          <w:szCs w:val="21"/>
          <w:highlight w:val="none"/>
          <w:u w:val="single"/>
          <w:lang w:val="en-US" w:eastAsia="zh-CN"/>
        </w:rPr>
        <w:t>或U盘</w:t>
      </w:r>
      <w:r>
        <w:rPr>
          <w:rFonts w:hint="eastAsia" w:ascii="宋体" w:hAnsi="宋体" w:eastAsia="宋体" w:cs="宋体"/>
          <w:b/>
          <w:bCs/>
          <w:color w:val="auto"/>
          <w:kern w:val="2"/>
          <w:sz w:val="21"/>
          <w:szCs w:val="21"/>
          <w:highlight w:val="none"/>
          <w:u w:val="single"/>
          <w:lang w:val="zh-CN"/>
        </w:rPr>
        <w:t>储存，并</w:t>
      </w:r>
      <w:r>
        <w:rPr>
          <w:rFonts w:hint="eastAsia" w:ascii="宋体" w:hAnsi="宋体" w:eastAsia="宋体" w:cs="宋体"/>
          <w:b/>
          <w:bCs/>
          <w:color w:val="auto"/>
          <w:kern w:val="2"/>
          <w:sz w:val="21"/>
          <w:szCs w:val="21"/>
          <w:highlight w:val="none"/>
          <w:u w:val="single"/>
          <w:lang w:val="en-US" w:eastAsia="zh-CN"/>
        </w:rPr>
        <w:t>独立</w:t>
      </w:r>
      <w:r>
        <w:rPr>
          <w:rFonts w:hint="eastAsia" w:ascii="宋体" w:hAnsi="宋体" w:eastAsia="宋体" w:cs="宋体"/>
          <w:b/>
          <w:bCs/>
          <w:color w:val="auto"/>
          <w:kern w:val="2"/>
          <w:sz w:val="21"/>
          <w:szCs w:val="21"/>
          <w:highlight w:val="none"/>
          <w:u w:val="single"/>
          <w:lang w:val="zh-CN"/>
        </w:rPr>
        <w:t>密封（电子文件的包装封面需注明项目名称、采购编号、供应商单位名称，并加盖</w:t>
      </w:r>
      <w:r>
        <w:rPr>
          <w:rFonts w:hint="eastAsia" w:ascii="宋体" w:hAnsi="宋体" w:cs="宋体"/>
          <w:b/>
          <w:bCs/>
          <w:color w:val="auto"/>
          <w:kern w:val="2"/>
          <w:sz w:val="21"/>
          <w:szCs w:val="21"/>
          <w:highlight w:val="none"/>
          <w:u w:val="single"/>
          <w:lang w:val="zh-CN"/>
        </w:rPr>
        <w:t>供应商公章</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109" w:name="_Toc450662867"/>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10" w:name="_Toc30375"/>
      <w:bookmarkStart w:id="111" w:name="_Toc23780"/>
      <w:bookmarkStart w:id="112" w:name="_Toc18054"/>
      <w:bookmarkStart w:id="113" w:name="_Toc521918085"/>
      <w:r>
        <w:rPr>
          <w:rFonts w:hint="eastAsia" w:ascii="宋体" w:hAnsi="宋体" w:eastAsia="宋体" w:cs="宋体"/>
          <w:b/>
          <w:bCs/>
          <w:color w:val="auto"/>
          <w:kern w:val="44"/>
          <w:sz w:val="21"/>
          <w:szCs w:val="21"/>
          <w:highlight w:val="none"/>
          <w:lang w:val="zh-CN"/>
        </w:rPr>
        <w:t>四、响应文件的递交</w:t>
      </w:r>
      <w:bookmarkEnd w:id="109"/>
      <w:bookmarkEnd w:id="110"/>
      <w:bookmarkEnd w:id="111"/>
      <w:bookmarkEnd w:id="112"/>
      <w:bookmarkEnd w:id="11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4" w:name="_Toc1076"/>
      <w:bookmarkStart w:id="115" w:name="_Toc14948"/>
      <w:bookmarkStart w:id="116" w:name="_Toc450662868"/>
      <w:bookmarkStart w:id="117" w:name="_Toc521918086"/>
      <w:bookmarkStart w:id="118" w:name="_Toc22938"/>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114"/>
      <w:bookmarkEnd w:id="115"/>
      <w:bookmarkEnd w:id="116"/>
      <w:bookmarkEnd w:id="117"/>
      <w:bookmarkEnd w:id="118"/>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供应商应将所有正本和副本响应文件（本处不含响应文件电子文件）一起密封在不透明的外层封装中。</w:t>
      </w:r>
    </w:p>
    <w:p>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）外层密封封装表面应正确注明项目名称、</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供应商公章</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）响应文件已密封但不按前述标志封包，由此而引起的提前开封或错放责任由供应商承担；</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如果密封封装未按本款规定密封和标记，采购代理机构对响应文件的误投或提前拆封不负责任。对由此造成提前开封的响应文件，采购代理机构予以拒绝，并退回供应商。</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9" w:name="_Toc521918087"/>
      <w:bookmarkStart w:id="120" w:name="_Toc25494"/>
      <w:bookmarkStart w:id="121" w:name="_Toc450662869"/>
      <w:bookmarkStart w:id="122" w:name="_Toc16894"/>
      <w:bookmarkStart w:id="123" w:name="_Toc30493"/>
      <w:r>
        <w:rPr>
          <w:rFonts w:hint="eastAsia" w:ascii="宋体" w:hAnsi="宋体" w:eastAsia="宋体" w:cs="宋体"/>
          <w:color w:val="auto"/>
          <w:kern w:val="2"/>
          <w:sz w:val="21"/>
          <w:szCs w:val="21"/>
          <w:highlight w:val="none"/>
          <w:lang w:val="zh-CN"/>
        </w:rPr>
        <w:t>19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119"/>
      <w:bookmarkEnd w:id="120"/>
      <w:bookmarkEnd w:id="121"/>
      <w:bookmarkEnd w:id="122"/>
      <w:bookmarkEnd w:id="12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eastAsia="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highlight w:val="none"/>
        </w:rPr>
      </w:pPr>
      <w:bookmarkStart w:id="124" w:name="_Toc521918088"/>
      <w:bookmarkStart w:id="125" w:name="_Toc450662870"/>
      <w:bookmarkStart w:id="126" w:name="_Toc32623"/>
      <w:bookmarkStart w:id="127" w:name="_Toc12638"/>
      <w:bookmarkStart w:id="128" w:name="_Toc13012"/>
      <w:r>
        <w:rPr>
          <w:rFonts w:hint="eastAsia" w:ascii="宋体" w:hAnsi="宋体" w:eastAsia="宋体" w:cs="宋体"/>
          <w:color w:val="auto"/>
          <w:kern w:val="2"/>
          <w:sz w:val="21"/>
          <w:szCs w:val="21"/>
          <w:highlight w:val="none"/>
          <w:lang w:val="zh-CN"/>
        </w:rPr>
        <w:t>20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124"/>
      <w:bookmarkEnd w:id="125"/>
      <w:r>
        <w:rPr>
          <w:rFonts w:hint="eastAsia" w:ascii="宋体" w:hAnsi="宋体" w:eastAsia="宋体" w:cs="宋体"/>
          <w:color w:val="auto"/>
          <w:kern w:val="2"/>
          <w:sz w:val="21"/>
          <w:szCs w:val="21"/>
          <w:highlight w:val="none"/>
          <w:lang w:val="zh-CN"/>
        </w:rPr>
        <w:t>响应文件</w:t>
      </w:r>
      <w:bookmarkEnd w:id="126"/>
      <w:bookmarkEnd w:id="127"/>
      <w:bookmarkEnd w:id="128"/>
    </w:p>
    <w:p>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pPr>
        <w:spacing w:line="360" w:lineRule="auto"/>
        <w:ind w:firstLine="525" w:firstLine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29" w:name="_Toc159"/>
      <w:bookmarkStart w:id="130" w:name="_Toc450662871"/>
      <w:bookmarkStart w:id="131" w:name="_Toc30118"/>
      <w:bookmarkStart w:id="132" w:name="_Toc26647"/>
      <w:bookmarkStart w:id="133" w:name="_Toc521918089"/>
      <w:r>
        <w:rPr>
          <w:rFonts w:hint="eastAsia" w:ascii="宋体" w:hAnsi="宋体" w:eastAsia="宋体" w:cs="宋体"/>
          <w:color w:val="auto"/>
          <w:kern w:val="2"/>
          <w:sz w:val="21"/>
          <w:szCs w:val="21"/>
          <w:highlight w:val="none"/>
          <w:lang w:val="zh-CN"/>
        </w:rPr>
        <w:t>21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129"/>
      <w:bookmarkEnd w:id="130"/>
      <w:bookmarkEnd w:id="131"/>
      <w:bookmarkEnd w:id="132"/>
      <w:bookmarkEnd w:id="133"/>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en-US" w:eastAsia="zh-CN"/>
        </w:rPr>
      </w:pPr>
      <w:bookmarkStart w:id="134" w:name="_Toc450662872"/>
      <w:bookmarkStart w:id="135" w:name="_Toc521918090"/>
      <w:bookmarkStart w:id="136" w:name="_Toc27395"/>
      <w:bookmarkStart w:id="137" w:name="_Toc29030"/>
      <w:bookmarkStart w:id="138" w:name="_Toc31926"/>
      <w:r>
        <w:rPr>
          <w:rFonts w:hint="eastAsia" w:ascii="宋体" w:hAnsi="宋体" w:eastAsia="宋体" w:cs="宋体"/>
          <w:b/>
          <w:bCs/>
          <w:color w:val="auto"/>
          <w:kern w:val="44"/>
          <w:sz w:val="21"/>
          <w:szCs w:val="21"/>
          <w:highlight w:val="none"/>
          <w:lang w:val="zh-CN"/>
        </w:rPr>
        <w:t>五、</w:t>
      </w:r>
      <w:bookmarkEnd w:id="134"/>
      <w:bookmarkEnd w:id="135"/>
      <w:r>
        <w:rPr>
          <w:rFonts w:hint="eastAsia" w:ascii="宋体" w:hAnsi="宋体" w:eastAsia="宋体" w:cs="宋体"/>
          <w:b/>
          <w:bCs/>
          <w:color w:val="auto"/>
          <w:kern w:val="44"/>
          <w:sz w:val="21"/>
          <w:szCs w:val="21"/>
          <w:highlight w:val="none"/>
          <w:lang w:val="en-US" w:eastAsia="zh-CN"/>
        </w:rPr>
        <w:t>竞争性磋商流程</w:t>
      </w:r>
      <w:bookmarkEnd w:id="136"/>
      <w:bookmarkEnd w:id="137"/>
      <w:bookmarkEnd w:id="138"/>
    </w:p>
    <w:p>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139" w:name="_Toc6343"/>
      <w:bookmarkStart w:id="140" w:name="_Toc25843"/>
      <w:bookmarkStart w:id="141" w:name="_Toc23948"/>
      <w:bookmarkStart w:id="142" w:name="_Toc11614"/>
      <w:bookmarkStart w:id="143" w:name="_Toc17049"/>
      <w:r>
        <w:rPr>
          <w:rFonts w:hint="eastAsia" w:ascii="宋体" w:hAnsi="宋体" w:eastAsia="宋体" w:cs="宋体"/>
          <w:color w:val="auto"/>
          <w:kern w:val="2"/>
          <w:sz w:val="21"/>
          <w:szCs w:val="21"/>
          <w:highlight w:val="none"/>
          <w:lang w:val="zh-CN"/>
        </w:rPr>
        <w:t>22</w:t>
      </w:r>
      <w:r>
        <w:rPr>
          <w:rFonts w:hint="eastAsia" w:ascii="宋体" w:hAnsi="宋体" w:eastAsia="宋体" w:cs="宋体"/>
          <w:color w:val="auto"/>
          <w:kern w:val="2"/>
          <w:sz w:val="21"/>
          <w:szCs w:val="21"/>
          <w:highlight w:val="none"/>
          <w:lang w:val="en-US" w:eastAsia="zh-CN"/>
        </w:rPr>
        <w:t xml:space="preserve">   响应文件</w:t>
      </w:r>
      <w:bookmarkEnd w:id="139"/>
      <w:bookmarkEnd w:id="140"/>
      <w:bookmarkEnd w:id="141"/>
      <w:r>
        <w:rPr>
          <w:rFonts w:hint="eastAsia" w:ascii="宋体" w:hAnsi="宋体" w:cs="宋体"/>
          <w:color w:val="auto"/>
          <w:kern w:val="2"/>
          <w:sz w:val="21"/>
          <w:szCs w:val="21"/>
          <w:highlight w:val="none"/>
          <w:lang w:val="en-US" w:eastAsia="zh-CN"/>
        </w:rPr>
        <w:t>密封性检查</w:t>
      </w:r>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采购代理机构在供应商代表自愿出席的情况下，在第一篇“竞争性磋商公告”规定的地点和时间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4" w:name="_Toc16019"/>
      <w:bookmarkStart w:id="145" w:name="_Toc1199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应当当场作出答复，并制作记录。</w:t>
      </w:r>
      <w:bookmarkEnd w:id="144"/>
      <w:bookmarkEnd w:id="145"/>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6" w:name="_Toc20173"/>
      <w:bookmarkStart w:id="147" w:name="_Toc2634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采购代理机构将做密封性检查记录，包括第22.2款发生的异议及答复的全部内容</w:t>
      </w:r>
      <w:r>
        <w:rPr>
          <w:rFonts w:hint="eastAsia" w:ascii="宋体" w:hAnsi="宋体" w:eastAsia="宋体" w:cs="宋体"/>
          <w:color w:val="auto"/>
          <w:kern w:val="2"/>
          <w:sz w:val="21"/>
          <w:szCs w:val="21"/>
          <w:highlight w:val="none"/>
          <w:lang w:val="zh-CN"/>
        </w:rPr>
        <w:t>。</w:t>
      </w:r>
      <w:bookmarkEnd w:id="146"/>
      <w:bookmarkEnd w:id="147"/>
    </w:p>
    <w:p>
      <w:pPr>
        <w:tabs>
          <w:tab w:val="left" w:pos="567"/>
        </w:tabs>
        <w:spacing w:line="360" w:lineRule="auto"/>
        <w:ind w:left="567" w:hanging="567"/>
        <w:jc w:val="both"/>
        <w:outlineLvl w:val="9"/>
        <w:rPr>
          <w:rFonts w:hint="eastAsia" w:ascii="宋体" w:hAnsi="宋体" w:eastAsia="宋体" w:cs="宋体"/>
          <w:color w:val="auto"/>
          <w:highlight w:val="none"/>
          <w:lang w:val="zh-CN"/>
        </w:rPr>
      </w:pPr>
    </w:p>
    <w:bookmarkEnd w:id="142"/>
    <w:bookmarkEnd w:id="143"/>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48" w:name="_Toc577"/>
      <w:bookmarkStart w:id="149" w:name="_Toc521918092"/>
      <w:bookmarkStart w:id="150" w:name="_Toc450662874"/>
      <w:bookmarkStart w:id="151" w:name="_Toc31634"/>
      <w:bookmarkStart w:id="152" w:name="_Toc9655"/>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3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48"/>
      <w:bookmarkEnd w:id="149"/>
      <w:bookmarkEnd w:id="150"/>
      <w:bookmarkEnd w:id="151"/>
      <w:bookmarkEnd w:id="152"/>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pPr>
        <w:spacing w:line="360" w:lineRule="auto"/>
        <w:ind w:left="0" w:firstLine="0"/>
        <w:jc w:val="both"/>
        <w:rPr>
          <w:rFonts w:hint="eastAsia" w:ascii="宋体" w:hAnsi="宋体" w:eastAsia="宋体" w:cs="宋体"/>
          <w:color w:val="auto"/>
          <w:kern w:val="2"/>
          <w:sz w:val="21"/>
          <w:szCs w:val="21"/>
          <w:highlight w:val="none"/>
          <w:lang w:val="zh-CN"/>
        </w:rPr>
      </w:pPr>
    </w:p>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53" w:name="_Toc13008"/>
      <w:bookmarkStart w:id="154" w:name="_Toc10979"/>
      <w:bookmarkStart w:id="155" w:name="_Toc20141"/>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   磋商小组</w:t>
      </w:r>
      <w:bookmarkEnd w:id="153"/>
      <w:bookmarkEnd w:id="154"/>
      <w:bookmarkEnd w:id="155"/>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本项目由采购代理机构组建磋商小组。</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pPr>
        <w:spacing w:line="360" w:lineRule="auto"/>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56" w:name="_Toc32302"/>
      <w:bookmarkStart w:id="157" w:name="_Toc19174"/>
      <w:bookmarkStart w:id="158" w:name="_Toc28405"/>
      <w:bookmarkStart w:id="159" w:name="_Toc2470"/>
      <w:bookmarkStart w:id="160" w:name="_Toc28048"/>
      <w:bookmarkStart w:id="161" w:name="_Toc521918094"/>
      <w:bookmarkStart w:id="162"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响应文件的评审</w:t>
      </w:r>
      <w:bookmarkEnd w:id="156"/>
      <w:bookmarkEnd w:id="157"/>
      <w:bookmarkEnd w:id="158"/>
      <w:bookmarkEnd w:id="159"/>
      <w:bookmarkEnd w:id="160"/>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63" w:name="_Toc23385"/>
      <w:bookmarkStart w:id="164" w:name="_Toc32154"/>
      <w:bookmarkStart w:id="165" w:name="_Toc19605"/>
      <w:r>
        <w:rPr>
          <w:rFonts w:hint="eastAsia" w:ascii="宋体" w:hAnsi="宋体" w:eastAsia="宋体" w:cs="宋体"/>
          <w:color w:val="auto"/>
          <w:kern w:val="2"/>
          <w:sz w:val="21"/>
          <w:szCs w:val="21"/>
          <w:highlight w:val="none"/>
          <w:lang w:val="zh-CN" w:eastAsia="zh-CN"/>
        </w:rPr>
        <w:t>26   响应文件的澄清</w:t>
      </w:r>
      <w:bookmarkEnd w:id="163"/>
      <w:bookmarkEnd w:id="164"/>
      <w:bookmarkEnd w:id="165"/>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或法定代表人/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6" w:name="_Toc521918096"/>
      <w:bookmarkStart w:id="167" w:name="_Toc6970"/>
      <w:bookmarkStart w:id="168" w:name="_Toc10967"/>
      <w:bookmarkStart w:id="169" w:name="_Toc22065"/>
      <w:bookmarkStart w:id="170" w:name="_Toc27283"/>
      <w:bookmarkStart w:id="171" w:name="_Toc142508343"/>
      <w:bookmarkStart w:id="172" w:name="_Toc8293"/>
      <w:bookmarkStart w:id="173" w:name="_Toc522047355"/>
      <w:bookmarkStart w:id="174" w:name="_Toc18368_WPSOffice_Level3"/>
      <w:bookmarkStart w:id="175" w:name="_Toc2388"/>
      <w:r>
        <w:rPr>
          <w:rFonts w:hint="eastAsia" w:ascii="宋体" w:hAnsi="宋体" w:eastAsia="宋体" w:cs="宋体"/>
          <w:color w:val="auto"/>
          <w:kern w:val="2"/>
          <w:sz w:val="21"/>
          <w:szCs w:val="21"/>
          <w:highlight w:val="none"/>
          <w:lang w:val="zh-CN"/>
        </w:rPr>
        <w:t xml:space="preserve">27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66"/>
      <w:bookmarkEnd w:id="167"/>
      <w:bookmarkEnd w:id="168"/>
      <w:bookmarkEnd w:id="169"/>
      <w:bookmarkEnd w:id="170"/>
      <w:bookmarkEnd w:id="171"/>
      <w:bookmarkEnd w:id="172"/>
      <w:bookmarkEnd w:id="173"/>
      <w:bookmarkEnd w:id="174"/>
      <w:bookmarkEnd w:id="175"/>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本次评标的评分权重详见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pPr>
        <w:outlineLvl w:val="9"/>
        <w:rPr>
          <w:rFonts w:hint="eastAsia" w:ascii="宋体" w:hAnsi="宋体" w:eastAsia="宋体" w:cs="宋体"/>
          <w:color w:val="auto"/>
          <w:highlight w:val="none"/>
          <w:lang w:val="zh-CN"/>
        </w:rPr>
      </w:pPr>
    </w:p>
    <w:bookmarkEnd w:id="161"/>
    <w:bookmarkEnd w:id="162"/>
    <w:p>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76" w:name="_Toc11407"/>
      <w:bookmarkStart w:id="177" w:name="_Toc27860"/>
      <w:bookmarkStart w:id="178" w:name="_Toc51642375"/>
      <w:bookmarkStart w:id="179" w:name="_Toc3810"/>
      <w:bookmarkStart w:id="180" w:name="_Toc521918097"/>
      <w:bookmarkStart w:id="181"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 xml:space="preserve">   评审原则及方法</w:t>
      </w:r>
      <w:bookmarkEnd w:id="176"/>
      <w:bookmarkEnd w:id="177"/>
      <w:bookmarkEnd w:id="178"/>
      <w:bookmarkEnd w:id="179"/>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2"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82"/>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3"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83"/>
    </w:p>
    <w:p>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84" w:name="_Toc56076581"/>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eastAsia="zh-CN"/>
        </w:rPr>
        <w:t xml:space="preserve">.3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84"/>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cs="宋体"/>
          <w:color w:val="auto"/>
          <w:kern w:val="2"/>
          <w:sz w:val="21"/>
          <w:szCs w:val="21"/>
          <w:highlight w:val="none"/>
          <w:lang w:val="en-US" w:eastAsia="zh-CN"/>
        </w:rPr>
        <w:t>若本次采购过程中有效响应供应商只有2家时，经磋商小组论证，竞争性磋商文件没有不合理条款、采购程序符合规定的，经采购人代表和作出实质性响应的供应商代表同意后，本竞争性磋商采购活动可以继续进行，若符合要求的供应商只有1家时，本次竞争性磋商失败。</w:t>
      </w:r>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5" w:name="_Toc6080"/>
      <w:bookmarkStart w:id="186" w:name="_Toc18515"/>
      <w:bookmarkStart w:id="187" w:name="_Toc20234"/>
      <w:bookmarkStart w:id="188" w:name="_Toc516423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评</w:t>
      </w:r>
      <w:r>
        <w:rPr>
          <w:rFonts w:hint="eastAsia" w:ascii="宋体" w:hAnsi="宋体" w:cs="宋体"/>
          <w:color w:val="auto"/>
          <w:kern w:val="2"/>
          <w:sz w:val="21"/>
          <w:szCs w:val="21"/>
          <w:highlight w:val="none"/>
          <w:lang w:val="en-US" w:eastAsia="zh-CN"/>
        </w:rPr>
        <w:t>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85"/>
      <w:bookmarkEnd w:id="186"/>
      <w:bookmarkEnd w:id="187"/>
      <w:bookmarkEnd w:id="188"/>
    </w:p>
    <w:p>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89"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w:t>
      </w:r>
      <w:r>
        <w:rPr>
          <w:rFonts w:hint="eastAsia" w:ascii="宋体" w:hAnsi="宋体" w:cs="宋体"/>
          <w:color w:val="auto"/>
          <w:kern w:val="2"/>
          <w:sz w:val="21"/>
          <w:szCs w:val="21"/>
          <w:highlight w:val="none"/>
          <w:lang w:val="en-US" w:eastAsia="zh-CN"/>
        </w:rPr>
        <w:t>为</w:t>
      </w:r>
      <w:r>
        <w:rPr>
          <w:rFonts w:hint="eastAsia" w:ascii="宋体" w:hAnsi="宋体" w:eastAsia="宋体" w:cs="宋体"/>
          <w:color w:val="auto"/>
          <w:kern w:val="2"/>
          <w:sz w:val="21"/>
          <w:szCs w:val="21"/>
          <w:highlight w:val="none"/>
          <w:lang w:val="zh-CN"/>
        </w:rPr>
        <w:t>3日（最后一日是节假日或公休日的，应顺延到节假日或公休日后第一个工作日）。供应商或者其他利害关系人对评</w:t>
      </w:r>
      <w:r>
        <w:rPr>
          <w:rFonts w:hint="eastAsia" w:ascii="宋体" w:hAnsi="宋体" w:cs="宋体"/>
          <w:color w:val="auto"/>
          <w:kern w:val="2"/>
          <w:sz w:val="21"/>
          <w:szCs w:val="21"/>
          <w:highlight w:val="none"/>
          <w:lang w:val="en-US" w:eastAsia="zh-CN"/>
        </w:rPr>
        <w:t>审</w:t>
      </w:r>
      <w:r>
        <w:rPr>
          <w:rFonts w:hint="eastAsia" w:ascii="宋体" w:hAnsi="宋体" w:eastAsia="宋体" w:cs="宋体"/>
          <w:color w:val="auto"/>
          <w:kern w:val="2"/>
          <w:sz w:val="21"/>
          <w:szCs w:val="21"/>
          <w:highlight w:val="none"/>
          <w:lang w:val="zh-CN"/>
        </w:rPr>
        <w:t>结果有异议的，应当在评</w:t>
      </w:r>
      <w:r>
        <w:rPr>
          <w:rFonts w:hint="eastAsia" w:ascii="宋体" w:hAnsi="宋体" w:cs="宋体"/>
          <w:color w:val="auto"/>
          <w:kern w:val="2"/>
          <w:sz w:val="21"/>
          <w:szCs w:val="21"/>
          <w:highlight w:val="none"/>
          <w:lang w:val="en-US" w:eastAsia="zh-CN"/>
        </w:rPr>
        <w:t>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代理机构，逾期则视为对评</w:t>
      </w:r>
      <w:r>
        <w:rPr>
          <w:rFonts w:hint="eastAsia" w:ascii="宋体" w:hAnsi="宋体" w:cs="宋体"/>
          <w:color w:val="auto"/>
          <w:kern w:val="2"/>
          <w:sz w:val="21"/>
          <w:szCs w:val="21"/>
          <w:highlight w:val="none"/>
          <w:lang w:val="en-US" w:eastAsia="zh-CN"/>
        </w:rPr>
        <w:t>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代理机构将拒收未能提供完整异议书面材料的异议，完整的异议书面材料必须同时包含：异议书（加盖企业公章，并注明联系人、联系电话、联系地址）、授权提交异议的法定代表人/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授权书原件、反映异议人主体资格的营业执照复印件（加盖企业公章）、以及合法来源的证据证明材料。</w:t>
      </w:r>
    </w:p>
    <w:p>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u w:val="singl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资格。涉嫌违法犯罪的，将移交司法机关处理</w:t>
      </w:r>
      <w:r>
        <w:rPr>
          <w:rFonts w:hint="eastAsia" w:ascii="宋体" w:hAnsi="宋体" w:eastAsia="宋体" w:cs="宋体"/>
          <w:b/>
          <w:bCs/>
          <w:color w:val="auto"/>
          <w:kern w:val="2"/>
          <w:sz w:val="21"/>
          <w:szCs w:val="21"/>
          <w:highlight w:val="none"/>
          <w:u w:val="none"/>
          <w:lang w:val="zh-CN"/>
        </w:rPr>
        <w:t>。</w:t>
      </w:r>
    </w:p>
    <w:p>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u w:val="none"/>
          <w:lang w:val="zh-CN"/>
        </w:rPr>
        <w:t>。</w:t>
      </w:r>
    </w:p>
    <w:bookmarkEnd w:id="180"/>
    <w:bookmarkEnd w:id="181"/>
    <w:bookmarkEnd w:id="189"/>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w:t>
      </w:r>
      <w:r>
        <w:rPr>
          <w:rFonts w:hint="eastAsia" w:ascii="宋体" w:hAnsi="宋体" w:cs="宋体"/>
          <w:color w:val="auto"/>
          <w:kern w:val="2"/>
          <w:sz w:val="21"/>
          <w:szCs w:val="21"/>
          <w:highlight w:val="none"/>
          <w:lang w:val="zh-CN"/>
        </w:rPr>
        <w:t>执行事务合伙人</w:t>
      </w:r>
      <w:r>
        <w:rPr>
          <w:rFonts w:hint="eastAsia" w:ascii="宋体" w:hAnsi="宋体" w:eastAsia="宋体" w:cs="宋体"/>
          <w:color w:val="auto"/>
          <w:kern w:val="2"/>
          <w:sz w:val="21"/>
          <w:szCs w:val="21"/>
          <w:highlight w:val="none"/>
          <w:lang w:val="zh-CN"/>
        </w:rPr>
        <w:t>、主要负责人，或者其授权代表签字或者盖章，并加盖公章。</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投诉人投诉的事项不得超出已</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监督部门：东莞市水务集团有限公司，联系人：莫先生，联系电话：0769-28823251</w:t>
      </w:r>
      <w:r>
        <w:rPr>
          <w:rFonts w:hint="eastAsia" w:ascii="宋体" w:hAnsi="宋体" w:eastAsia="宋体" w:cs="宋体"/>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90" w:name="_Toc466882018"/>
      <w:bookmarkStart w:id="191" w:name="_Toc521918099"/>
      <w:bookmarkStart w:id="192" w:name="_Toc20357"/>
      <w:bookmarkStart w:id="193" w:name="_Toc465358970"/>
      <w:bookmarkStart w:id="194" w:name="_Toc32173"/>
      <w:bookmarkStart w:id="195" w:name="_Toc6755"/>
      <w:r>
        <w:rPr>
          <w:rFonts w:hint="eastAsia" w:ascii="宋体" w:hAnsi="宋体" w:eastAsia="宋体" w:cs="宋体"/>
          <w:b/>
          <w:bCs/>
          <w:color w:val="auto"/>
          <w:kern w:val="2"/>
          <w:sz w:val="21"/>
          <w:szCs w:val="21"/>
          <w:highlight w:val="none"/>
          <w:lang w:val="en-US" w:eastAsia="zh-CN"/>
        </w:rPr>
        <w:t xml:space="preserve">30   </w:t>
      </w:r>
      <w:r>
        <w:rPr>
          <w:rFonts w:hint="eastAsia" w:ascii="宋体" w:hAnsi="宋体" w:eastAsia="宋体" w:cs="宋体"/>
          <w:b/>
          <w:bCs/>
          <w:color w:val="auto"/>
          <w:kern w:val="2"/>
          <w:sz w:val="21"/>
          <w:szCs w:val="21"/>
          <w:highlight w:val="none"/>
          <w:lang w:val="zh-CN"/>
        </w:rPr>
        <w:t>真实性审查</w:t>
      </w:r>
      <w:bookmarkEnd w:id="190"/>
      <w:bookmarkEnd w:id="191"/>
      <w:bookmarkEnd w:id="192"/>
      <w:bookmarkEnd w:id="193"/>
      <w:bookmarkEnd w:id="194"/>
      <w:bookmarkEnd w:id="195"/>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其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供应商在采购人（或其委托的采购代理机构）或磋商小组通知其提供上述证明资料原件进行核查的要求后，未能在约定的时间内提供原件进行核查的，视为供应商无法提供真实的资料，采购人有权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96" w:name="_Toc465358971"/>
      <w:bookmarkStart w:id="197" w:name="_Toc466882019"/>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或履约过程中存在提供虚假材料、虚假响应文件等弄虚作假行为，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98" w:name="_Toc15664"/>
      <w:bookmarkStart w:id="199" w:name="_Toc10079"/>
      <w:bookmarkStart w:id="200" w:name="_Toc521918100"/>
      <w:bookmarkStart w:id="201" w:name="_Toc2935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96"/>
      <w:bookmarkEnd w:id="197"/>
      <w:bookmarkEnd w:id="198"/>
      <w:bookmarkEnd w:id="199"/>
      <w:bookmarkEnd w:id="200"/>
      <w:bookmarkEnd w:id="201"/>
    </w:p>
    <w:p>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202" w:name="_Toc450662880"/>
    </w:p>
    <w:p>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203" w:name="_Toc521918101"/>
      <w:bookmarkStart w:id="204" w:name="_Toc9510"/>
      <w:bookmarkStart w:id="205" w:name="_Toc30166"/>
      <w:bookmarkStart w:id="206" w:name="_Toc25079"/>
      <w:r>
        <w:rPr>
          <w:rFonts w:hint="eastAsia" w:ascii="宋体" w:hAnsi="宋体" w:eastAsia="宋体" w:cs="宋体"/>
          <w:b/>
          <w:bCs/>
          <w:color w:val="auto"/>
          <w:kern w:val="44"/>
          <w:sz w:val="21"/>
          <w:szCs w:val="21"/>
          <w:highlight w:val="none"/>
          <w:lang w:val="zh-CN"/>
        </w:rPr>
        <w:t>六、授予合同</w:t>
      </w:r>
      <w:bookmarkEnd w:id="202"/>
      <w:bookmarkEnd w:id="203"/>
      <w:bookmarkEnd w:id="204"/>
      <w:bookmarkEnd w:id="205"/>
      <w:bookmarkEnd w:id="206"/>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07" w:name="_Toc450662881"/>
      <w:bookmarkStart w:id="208" w:name="_Toc521918102"/>
      <w:bookmarkStart w:id="209" w:name="_Toc17711"/>
      <w:bookmarkStart w:id="210" w:name="_Toc3155"/>
      <w:bookmarkStart w:id="211" w:name="_Toc2377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授予合同的准则</w:t>
      </w:r>
      <w:bookmarkEnd w:id="207"/>
      <w:bookmarkEnd w:id="208"/>
      <w:bookmarkEnd w:id="209"/>
      <w:bookmarkEnd w:id="210"/>
      <w:bookmarkEnd w:id="211"/>
    </w:p>
    <w:p>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b/>
          <w:color w:val="auto"/>
          <w:kern w:val="2"/>
          <w:sz w:val="21"/>
          <w:szCs w:val="21"/>
          <w:highlight w:val="none"/>
          <w:u w:val="single"/>
          <w:lang w:val="zh-CN"/>
        </w:rPr>
        <w:t>采购人依法按照评</w:t>
      </w:r>
      <w:r>
        <w:rPr>
          <w:rFonts w:hint="eastAsia" w:ascii="宋体" w:hAnsi="宋体" w:eastAsia="宋体" w:cs="宋体"/>
          <w:b/>
          <w:color w:val="auto"/>
          <w:kern w:val="2"/>
          <w:sz w:val="21"/>
          <w:szCs w:val="21"/>
          <w:highlight w:val="none"/>
          <w:u w:val="single"/>
          <w:lang w:val="en-US" w:eastAsia="zh-CN"/>
        </w:rPr>
        <w:t>审</w:t>
      </w:r>
      <w:r>
        <w:rPr>
          <w:rFonts w:hint="eastAsia" w:ascii="宋体" w:hAnsi="宋体" w:eastAsia="宋体" w:cs="宋体"/>
          <w:b/>
          <w:color w:val="auto"/>
          <w:kern w:val="2"/>
          <w:sz w:val="21"/>
          <w:szCs w:val="21"/>
          <w:highlight w:val="none"/>
          <w:u w:val="single"/>
          <w:lang w:val="zh-CN"/>
        </w:rPr>
        <w:t>报告中推荐的成交候选人</w:t>
      </w:r>
      <w:r>
        <w:rPr>
          <w:rFonts w:hint="eastAsia" w:ascii="宋体" w:hAnsi="宋体" w:eastAsia="宋体" w:cs="宋体"/>
          <w:b/>
          <w:color w:val="auto"/>
          <w:kern w:val="2"/>
          <w:sz w:val="21"/>
          <w:szCs w:val="21"/>
          <w:highlight w:val="none"/>
          <w:u w:val="single"/>
          <w:lang w:val="en-US" w:eastAsia="zh-CN"/>
        </w:rPr>
        <w:t>顺序确定</w:t>
      </w:r>
      <w:r>
        <w:rPr>
          <w:rFonts w:hint="eastAsia" w:ascii="宋体" w:hAnsi="宋体" w:eastAsia="宋体" w:cs="宋体"/>
          <w:b/>
          <w:color w:val="auto"/>
          <w:kern w:val="2"/>
          <w:sz w:val="21"/>
          <w:szCs w:val="21"/>
          <w:highlight w:val="none"/>
          <w:u w:val="single"/>
          <w:lang w:val="zh-CN"/>
        </w:rPr>
        <w:t>成交人</w:t>
      </w:r>
      <w:r>
        <w:rPr>
          <w:rFonts w:hint="eastAsia" w:ascii="宋体" w:hAnsi="宋体" w:eastAsia="宋体" w:cs="宋体"/>
          <w:b/>
          <w:color w:val="auto"/>
          <w:kern w:val="2"/>
          <w:sz w:val="21"/>
          <w:szCs w:val="21"/>
          <w:highlight w:val="none"/>
          <w:u w:val="none"/>
          <w:lang w:val="zh-CN"/>
        </w:rPr>
        <w:t>。</w:t>
      </w:r>
    </w:p>
    <w:p>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212"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213" w:name="_Toc142508350"/>
      <w:bookmarkStart w:id="214" w:name="_Toc5620"/>
      <w:bookmarkStart w:id="215" w:name="_Toc8196"/>
      <w:bookmarkStart w:id="216" w:name="_Toc6726_WPSOffice_Level3"/>
      <w:bookmarkStart w:id="217" w:name="_Toc18984"/>
      <w:bookmarkStart w:id="218" w:name="_Toc15170"/>
      <w:bookmarkStart w:id="219" w:name="_Toc8027"/>
      <w:bookmarkStart w:id="220" w:name="_Toc486167699"/>
      <w:bookmarkStart w:id="221" w:name="_Toc1437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213"/>
      <w:bookmarkEnd w:id="214"/>
      <w:bookmarkEnd w:id="215"/>
      <w:bookmarkEnd w:id="216"/>
      <w:bookmarkEnd w:id="217"/>
      <w:bookmarkEnd w:id="218"/>
      <w:bookmarkEnd w:id="219"/>
      <w:bookmarkEnd w:id="220"/>
      <w:bookmarkEnd w:id="221"/>
    </w:p>
    <w:p>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pPr>
        <w:snapToGrid w:val="0"/>
        <w:spacing w:line="360" w:lineRule="auto"/>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2" w:name="_Toc12060"/>
      <w:bookmarkStart w:id="223" w:name="_Toc21850"/>
      <w:bookmarkStart w:id="224" w:name="_Toc521918104"/>
      <w:bookmarkStart w:id="225" w:name="_Toc10022"/>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212"/>
      <w:bookmarkEnd w:id="222"/>
      <w:bookmarkEnd w:id="223"/>
      <w:bookmarkEnd w:id="224"/>
      <w:bookmarkEnd w:id="225"/>
    </w:p>
    <w:p>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eastAsia="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按照竞争性磋商文件和成交人的响应文件的约定，与东莞市众源环境投资有限公司签订书面合同，具体签订方式以采购人通知为准。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pPr>
        <w:snapToGrid w:val="0"/>
        <w:spacing w:line="360" w:lineRule="auto"/>
        <w:ind w:left="525" w:hanging="525" w:hangingChars="250"/>
        <w:jc w:val="both"/>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rPr>
        <w:t>当以数字表示的金额与以文字表示的金额不一致时，以文字表示的金额为准</w:t>
      </w:r>
      <w:r>
        <w:rPr>
          <w:rFonts w:hint="eastAsia" w:ascii="宋体" w:hAnsi="宋体" w:cs="宋体"/>
          <w:color w:val="auto"/>
          <w:kern w:val="2"/>
          <w:sz w:val="21"/>
          <w:szCs w:val="21"/>
          <w:highlight w:val="none"/>
          <w:lang w:val="zh-CN"/>
        </w:rPr>
        <w:t>；</w:t>
      </w:r>
    </w:p>
    <w:p>
      <w:pPr>
        <w:autoSpaceDE/>
        <w:autoSpaceDN/>
        <w:snapToGrid w:val="0"/>
        <w:spacing w:line="360" w:lineRule="auto"/>
        <w:ind w:left="1005" w:leftChars="200" w:hanging="525" w:hangingChars="25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当分项报价表内合计与响应报价表内报价不一致时，以响应报价表为准，修正分项报价表内的各分项报价；</w:t>
      </w:r>
    </w:p>
    <w:p>
      <w:pPr>
        <w:autoSpaceDE/>
        <w:autoSpaceDN/>
        <w:snapToGrid w:val="0"/>
        <w:spacing w:line="360" w:lineRule="auto"/>
        <w:ind w:left="1005" w:leftChars="200" w:hanging="525" w:hangingChars="250"/>
        <w:jc w:val="both"/>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（3）按前述</w:t>
      </w:r>
      <w:r>
        <w:rPr>
          <w:rFonts w:hint="eastAsia" w:ascii="宋体" w:hAnsi="宋体" w:eastAsia="宋体" w:cs="宋体"/>
          <w:color w:val="auto"/>
          <w:kern w:val="2"/>
          <w:sz w:val="21"/>
          <w:szCs w:val="21"/>
          <w:highlight w:val="none"/>
          <w:lang w:val="zh-CN"/>
        </w:rPr>
        <w:t>修正原则排序依次进行修正至唯一值后的报价表经双方确认后，作为合同文件的组成部分。</w:t>
      </w:r>
    </w:p>
    <w:p>
      <w:pPr>
        <w:snapToGrid w:val="0"/>
        <w:spacing w:line="360" w:lineRule="auto"/>
        <w:ind w:left="525" w:hanging="525" w:hangingChars="25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.3 </w:t>
      </w:r>
      <w:r>
        <w:rPr>
          <w:rFonts w:hint="eastAsia" w:ascii="宋体" w:hAnsi="宋体" w:cs="宋体"/>
          <w:color w:val="auto"/>
          <w:kern w:val="2"/>
          <w:sz w:val="21"/>
          <w:szCs w:val="21"/>
          <w:highlight w:val="none"/>
          <w:lang w:val="en-US" w:eastAsia="zh-CN"/>
        </w:rPr>
        <w:t>本项目采购人为东莞市水务集团实业发展有限公司，服务购买方（或履约方）为东莞市众源环境投资有限公司，成交人应配合与东莞市众源环境投资有限公司签订合同，服务费用由东莞市众源环境投资有限公司支付。</w:t>
      </w:r>
    </w:p>
    <w:p>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6" w:name="_Toc19399"/>
      <w:bookmarkStart w:id="227" w:name="_Toc26938"/>
      <w:bookmarkStart w:id="228" w:name="_Toc51642383"/>
      <w:bookmarkStart w:id="229" w:name="_Toc29065"/>
      <w:bookmarkStart w:id="230" w:name="_Toc521918105"/>
      <w:bookmarkStart w:id="231" w:name="_Toc45066288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履约担保</w:t>
      </w:r>
      <w:bookmarkEnd w:id="226"/>
      <w:bookmarkEnd w:id="227"/>
      <w:bookmarkEnd w:id="228"/>
      <w:bookmarkEnd w:id="229"/>
    </w:p>
    <w:p>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bookmarkStart w:id="232" w:name="_Hlk33966618"/>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本项目成交人无需提交履约担保，成交人必须严格按照合同履约，采购人有权从成交人未付款中扣除成交人的违约金。成交人违约造成采购人损失的，采购人有权追偿。</w:t>
      </w:r>
    </w:p>
    <w:bookmarkEnd w:id="230"/>
    <w:bookmarkEnd w:id="231"/>
    <w:bookmarkEnd w:id="232"/>
    <w:p>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3" w:name="_Toc11568"/>
      <w:bookmarkStart w:id="234" w:name="_Toc371"/>
      <w:bookmarkStart w:id="235" w:name="_Toc1241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kern w:val="2"/>
          <w:sz w:val="21"/>
          <w:szCs w:val="21"/>
          <w:highlight w:val="none"/>
          <w:lang w:val="zh-CN"/>
        </w:rPr>
        <w:t>在合同履行中变更采购范围的权利</w:t>
      </w:r>
      <w:bookmarkEnd w:id="233"/>
      <w:bookmarkEnd w:id="234"/>
      <w:bookmarkEnd w:id="235"/>
    </w:p>
    <w:p>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236"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pPr>
        <w:spacing w:line="360" w:lineRule="auto"/>
        <w:ind w:left="598" w:leftChars="1" w:hanging="596" w:hangingChars="284"/>
        <w:jc w:val="both"/>
        <w:rPr>
          <w:rFonts w:hint="eastAsia" w:ascii="宋体" w:hAnsi="宋体" w:eastAsia="宋体" w:cs="宋体"/>
          <w:color w:val="auto"/>
          <w:sz w:val="21"/>
          <w:szCs w:val="21"/>
          <w:highlight w:val="none"/>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7" w:name="_Toc521918107"/>
      <w:bookmarkStart w:id="238" w:name="_Toc7962"/>
      <w:bookmarkStart w:id="239" w:name="_Toc66"/>
      <w:bookmarkStart w:id="240" w:name="_Toc2075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   代理</w:t>
      </w:r>
      <w:r>
        <w:rPr>
          <w:rFonts w:hint="eastAsia" w:ascii="宋体" w:hAnsi="宋体" w:eastAsia="宋体" w:cs="宋体"/>
          <w:color w:val="auto"/>
          <w:kern w:val="2"/>
          <w:sz w:val="21"/>
          <w:szCs w:val="21"/>
          <w:highlight w:val="none"/>
          <w:lang w:val="zh-CN"/>
        </w:rPr>
        <w:t>服务费</w:t>
      </w:r>
      <w:bookmarkEnd w:id="236"/>
      <w:bookmarkEnd w:id="237"/>
      <w:bookmarkEnd w:id="238"/>
      <w:bookmarkEnd w:id="239"/>
      <w:bookmarkEnd w:id="240"/>
    </w:p>
    <w:p>
      <w:pPr>
        <w:snapToGrid w:val="0"/>
        <w:spacing w:line="360" w:lineRule="auto"/>
        <w:ind w:left="527" w:leftChars="0" w:hanging="527" w:hangingChars="25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37.1 成交人应按37.2款规定在领取《成交通知书》原件之前向招标代理机构一次性交纳成交服务费</w:t>
      </w:r>
      <w:r>
        <w:rPr>
          <w:rFonts w:hint="eastAsia" w:ascii="宋体" w:hAnsi="宋体" w:cs="宋体"/>
          <w:b/>
          <w:bCs/>
          <w:color w:val="auto"/>
          <w:kern w:val="2"/>
          <w:sz w:val="21"/>
          <w:szCs w:val="21"/>
          <w:highlight w:val="none"/>
        </w:rPr>
        <w:t>¥</w:t>
      </w:r>
      <w:r>
        <w:rPr>
          <w:rFonts w:hint="eastAsia" w:ascii="宋体" w:hAnsi="宋体" w:cs="宋体"/>
          <w:b/>
          <w:bCs/>
          <w:color w:val="auto"/>
          <w:kern w:val="2"/>
          <w:sz w:val="21"/>
          <w:szCs w:val="21"/>
          <w:highlight w:val="none"/>
          <w:lang w:val="en-US" w:eastAsia="zh-CN"/>
        </w:rPr>
        <w:t>9,500.00（人民币玖仟伍佰元整）</w:t>
      </w:r>
      <w:r>
        <w:rPr>
          <w:rFonts w:hint="eastAsia" w:ascii="宋体" w:hAnsi="宋体" w:eastAsia="宋体" w:cs="宋体"/>
          <w:b/>
          <w:bCs/>
          <w:color w:val="auto"/>
          <w:kern w:val="2"/>
          <w:sz w:val="21"/>
          <w:szCs w:val="21"/>
          <w:highlight w:val="none"/>
          <w:lang w:val="en-US" w:eastAsia="zh-CN"/>
        </w:rPr>
        <w:t>。</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37.2 成交人收到成交通知后，须在15日内向招标代理机构交纳成交服务费用及领取《成交通知书》原件，否则视为放弃成交权利和义务。</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37.3 成交服务费只接受以银行转账、电汇方式交纳（按代理机构实际情况填写，不建议现金交纳）。</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成交服务费汇入账号（特别提醒，本账户非投标保证金汇入账户)：</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开户名称：</w:t>
      </w:r>
      <w:r>
        <w:rPr>
          <w:rFonts w:hint="eastAsia" w:ascii="宋体" w:hAnsi="宋体" w:eastAsia="宋体" w:cs="宋体"/>
          <w:color w:val="auto"/>
          <w:kern w:val="2"/>
          <w:sz w:val="21"/>
          <w:szCs w:val="21"/>
          <w:highlight w:val="none"/>
          <w:u w:val="single"/>
          <w:lang w:val="en-US" w:eastAsia="zh-CN"/>
        </w:rPr>
        <w:t>三方诚信招标有限公司东莞分公司</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银行帐号：</w:t>
      </w:r>
      <w:r>
        <w:rPr>
          <w:rFonts w:hint="eastAsia" w:ascii="宋体" w:hAnsi="宋体" w:eastAsia="宋体" w:cs="宋体"/>
          <w:color w:val="auto"/>
          <w:kern w:val="2"/>
          <w:sz w:val="21"/>
          <w:szCs w:val="21"/>
          <w:highlight w:val="none"/>
          <w:u w:val="single"/>
          <w:lang w:val="en-US" w:eastAsia="zh-CN"/>
        </w:rPr>
        <w:t>2010021309900018461</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开户银行：</w:t>
      </w:r>
      <w:r>
        <w:rPr>
          <w:rFonts w:hint="eastAsia" w:ascii="宋体" w:hAnsi="宋体" w:eastAsia="宋体" w:cs="宋体"/>
          <w:color w:val="auto"/>
          <w:kern w:val="2"/>
          <w:sz w:val="21"/>
          <w:szCs w:val="21"/>
          <w:highlight w:val="none"/>
          <w:u w:val="single"/>
          <w:lang w:val="en-US" w:eastAsia="zh-CN"/>
        </w:rPr>
        <w:t>中国工商银行东莞市分行</w:t>
      </w:r>
    </w:p>
    <w:p>
      <w:pPr>
        <w:snapToGrid w:val="0"/>
        <w:spacing w:line="360" w:lineRule="auto"/>
        <w:ind w:left="525" w:leftChars="0" w:hanging="525" w:hangingChars="25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37.4 成交人如未按第37.1款、第37.2款规定办理，将</w:t>
      </w:r>
      <w:r>
        <w:rPr>
          <w:rFonts w:hint="eastAsia" w:ascii="宋体" w:hAnsi="宋体" w:cs="宋体"/>
          <w:color w:val="auto"/>
          <w:kern w:val="2"/>
          <w:sz w:val="21"/>
          <w:szCs w:val="21"/>
          <w:highlight w:val="none"/>
          <w:lang w:val="en-US" w:eastAsia="zh-CN"/>
        </w:rPr>
        <w:t>暂扣成交通知书原件</w:t>
      </w:r>
      <w:r>
        <w:rPr>
          <w:rFonts w:hint="eastAsia" w:ascii="宋体" w:hAnsi="宋体" w:eastAsia="宋体" w:cs="宋体"/>
          <w:color w:val="auto"/>
          <w:kern w:val="2"/>
          <w:sz w:val="21"/>
          <w:szCs w:val="21"/>
          <w:highlight w:val="none"/>
          <w:lang w:val="en-US" w:eastAsia="zh-CN"/>
        </w:rPr>
        <w:t>。</w:t>
      </w:r>
    </w:p>
    <w:p>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241" w:name="_Toc450662889"/>
      <w:bookmarkStart w:id="242" w:name="_Toc521918108"/>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3" w:name="_Toc2675"/>
      <w:bookmarkStart w:id="244" w:name="_Toc19632"/>
      <w:bookmarkStart w:id="245" w:name="_Toc2000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8   </w:t>
      </w:r>
      <w:r>
        <w:rPr>
          <w:rFonts w:hint="eastAsia" w:ascii="宋体" w:hAnsi="宋体" w:eastAsia="宋体" w:cs="宋体"/>
          <w:color w:val="auto"/>
          <w:kern w:val="2"/>
          <w:sz w:val="21"/>
          <w:szCs w:val="21"/>
          <w:highlight w:val="none"/>
          <w:lang w:val="zh-CN"/>
        </w:rPr>
        <w:t>发票</w:t>
      </w:r>
      <w:bookmarkEnd w:id="241"/>
      <w:bookmarkEnd w:id="242"/>
      <w:bookmarkEnd w:id="243"/>
      <w:bookmarkEnd w:id="244"/>
      <w:bookmarkEnd w:id="245"/>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含其全资公司、控股公司、由其管理的参股公司</w:t>
      </w:r>
      <w:r>
        <w:rPr>
          <w:rFonts w:hint="eastAsia" w:ascii="宋体" w:hAnsi="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rPr>
        <w:t>出具的发票类型为增值税</w:t>
      </w:r>
      <w:r>
        <w:rPr>
          <w:rFonts w:hint="eastAsia" w:ascii="宋体" w:hAnsi="宋体" w:eastAsia="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pPr>
        <w:snapToGrid w:val="0"/>
        <w:spacing w:line="360" w:lineRule="auto"/>
        <w:ind w:left="525" w:hanging="600" w:hangingChars="250"/>
        <w:jc w:val="both"/>
        <w:rPr>
          <w:rFonts w:hint="eastAsia" w:ascii="宋体" w:hAnsi="宋体" w:eastAsia="宋体" w:cs="宋体"/>
          <w:color w:val="auto"/>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6" w:name="_Toc24547"/>
      <w:bookmarkStart w:id="247" w:name="_Toc20311"/>
      <w:bookmarkStart w:id="248" w:name="_Toc142508356"/>
      <w:bookmarkStart w:id="249" w:name="_Toc8619"/>
      <w:bookmarkStart w:id="250" w:name="_Toc14416"/>
      <w:bookmarkStart w:id="251" w:name="_Toc14049"/>
      <w:bookmarkStart w:id="252" w:name="_Toc2707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 xml:space="preserve">  采购</w:t>
      </w:r>
      <w:r>
        <w:rPr>
          <w:rFonts w:hint="eastAsia" w:ascii="宋体" w:hAnsi="宋体" w:eastAsia="宋体" w:cs="宋体"/>
          <w:color w:val="auto"/>
          <w:kern w:val="2"/>
          <w:sz w:val="21"/>
          <w:szCs w:val="21"/>
          <w:highlight w:val="none"/>
          <w:lang w:val="zh-CN"/>
        </w:rPr>
        <w:t>相关补充约定</w:t>
      </w:r>
      <w:bookmarkEnd w:id="246"/>
      <w:bookmarkEnd w:id="247"/>
      <w:bookmarkEnd w:id="248"/>
      <w:bookmarkEnd w:id="249"/>
      <w:bookmarkEnd w:id="250"/>
      <w:bookmarkEnd w:id="251"/>
      <w:bookmarkEnd w:id="252"/>
    </w:p>
    <w:p>
      <w:pPr>
        <w:autoSpaceDE/>
        <w:autoSpaceDN/>
        <w:adjustRightInd/>
        <w:snapToGrid w:val="0"/>
        <w:spacing w:line="360" w:lineRule="auto"/>
        <w:ind w:left="525" w:hanging="525" w:hangingChars="250"/>
        <w:jc w:val="both"/>
        <w:rPr>
          <w:rFonts w:hint="eastAsia" w:ascii="宋体" w:hAnsi="宋体" w:eastAsia="宋体" w:cs="宋体"/>
          <w:color w:val="auto"/>
          <w:highlight w:val="none"/>
          <w:lang w:val="zh-CN"/>
        </w:rPr>
      </w:pPr>
      <w:r>
        <w:rPr>
          <w:rFonts w:hint="eastAsia" w:ascii="宋体" w:hAnsi="宋体" w:eastAsia="宋体" w:cs="宋体"/>
          <w:b w:val="0"/>
          <w:color w:val="auto"/>
          <w:kern w:val="2"/>
          <w:sz w:val="21"/>
          <w:szCs w:val="21"/>
          <w:highlight w:val="none"/>
          <w:lang w:val="en-US" w:eastAsia="zh-CN"/>
        </w:rPr>
        <w:t>39</w:t>
      </w:r>
      <w:r>
        <w:rPr>
          <w:rFonts w:hint="eastAsia" w:ascii="宋体" w:hAnsi="宋体" w:eastAsia="宋体" w:cs="宋体"/>
          <w:b w:val="0"/>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val="0"/>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253" w:name="_Toc32444"/>
      <w:bookmarkStart w:id="254" w:name="_Toc521918109"/>
      <w:bookmarkStart w:id="255" w:name="_Toc4342"/>
      <w:bookmarkStart w:id="256" w:name="_Toc9833"/>
      <w:r>
        <w:rPr>
          <w:rFonts w:hint="eastAsia" w:ascii="宋体" w:hAnsi="宋体" w:eastAsia="宋体" w:cs="宋体"/>
          <w:color w:val="auto"/>
          <w:kern w:val="2"/>
          <w:sz w:val="21"/>
          <w:szCs w:val="21"/>
          <w:highlight w:val="none"/>
          <w:lang w:val="en-US" w:eastAsia="zh-CN"/>
        </w:rPr>
        <w:t xml:space="preserve">40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253"/>
      <w:bookmarkEnd w:id="254"/>
      <w:bookmarkEnd w:id="255"/>
      <w:bookmarkEnd w:id="256"/>
    </w:p>
    <w:p>
      <w:pPr>
        <w:pStyle w:val="2"/>
        <w:pageBreakBefore/>
        <w:tabs>
          <w:tab w:val="left" w:pos="1080"/>
        </w:tabs>
        <w:spacing w:line="360" w:lineRule="auto"/>
        <w:ind w:left="567" w:hanging="567"/>
        <w:jc w:val="center"/>
        <w:rPr>
          <w:rFonts w:hint="eastAsia" w:ascii="宋体" w:hAnsi="宋体" w:eastAsia="宋体" w:cs="宋体"/>
          <w:color w:val="auto"/>
          <w:highlight w:val="none"/>
          <w:lang w:val="zh-CN"/>
        </w:rPr>
      </w:pPr>
      <w:bookmarkStart w:id="257" w:name="_Toc521918110"/>
      <w:bookmarkStart w:id="258" w:name="_Toc27082"/>
      <w:bookmarkStart w:id="259" w:name="_Toc24271"/>
      <w:bookmarkStart w:id="260" w:name="_Toc15599"/>
      <w:bookmarkStart w:id="261" w:name="_Toc450662891"/>
      <w:bookmarkStart w:id="262" w:name="_Toc523567019"/>
      <w:bookmarkStart w:id="263" w:name="_Toc489359498"/>
      <w:bookmarkStart w:id="264" w:name="_Toc447044603"/>
      <w:bookmarkStart w:id="265" w:name="_Toc447045090"/>
      <w:bookmarkStart w:id="266" w:name="_Toc447044479"/>
      <w:bookmarkStart w:id="267" w:name="_Toc521918112"/>
      <w:r>
        <w:rPr>
          <w:rFonts w:hint="eastAsia" w:ascii="宋体" w:hAnsi="宋体" w:eastAsia="宋体" w:cs="宋体"/>
          <w:b/>
          <w:bCs/>
          <w:color w:val="auto"/>
          <w:kern w:val="44"/>
          <w:sz w:val="32"/>
          <w:szCs w:val="32"/>
          <w:highlight w:val="none"/>
          <w:lang w:val="zh-CN"/>
        </w:rPr>
        <w:t>第三篇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用户需求书</w:t>
      </w:r>
      <w:bookmarkEnd w:id="257"/>
      <w:bookmarkEnd w:id="258"/>
      <w:bookmarkEnd w:id="259"/>
      <w:bookmarkEnd w:id="260"/>
      <w:bookmarkEnd w:id="261"/>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一、项目背景</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市水务集团2024年9月9日公告印发《关于印发&lt;东莞市水务集团有限公司有效压缩层级、减少法人户数的工作方案&gt;的通知》的工作安排，为按时完成集团减少法人户数的工作任务，拟由东莞市水务集团实业发展有限公司（下称“实业公司”）旗下全资子公司东莞市众源环境投资有限公司（下称“众源公司”）吸收合并另一全资子公司东莞市智汇水务科技有限公司（下称“智汇公司”），智汇公司的业务、资产、债权债务及人员由众源公司承继，智汇公司依法注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二、服务目的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为完成上述吸收合并相关工作，现拟采购一家审计服务单位对智汇公司划转基准日的净资产进行审计、对智汇公司清算注销进行清算审计、及为吸收合并过程中的遇到的财税问题提供相应服务。智汇公司的财务状况：截至2025年6月30日未，公司资产总额3318.81万元，负债总额2910.47万元，所有者权益408.34万元，其中未分配利润-1591.66万元，2025年6月累计营业收入440.71万元，净利润43.39万元。</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 xml:space="preserve">三、工作内容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（一）净资产审计服务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cs="宋体"/>
          <w:color w:val="auto"/>
          <w:kern w:val="0"/>
          <w:sz w:val="21"/>
          <w:szCs w:val="21"/>
          <w:highlight w:val="none"/>
          <w:lang w:eastAsia="zh-CN" w:bidi="ar"/>
        </w:rPr>
        <w:t>划转基准日</w:t>
      </w:r>
      <w:r>
        <w:rPr>
          <w:rFonts w:hint="eastAsia" w:ascii="宋体" w:hAnsi="宋体" w:eastAsia="宋体" w:cs="宋体"/>
          <w:color w:val="auto"/>
          <w:sz w:val="21"/>
          <w:szCs w:val="21"/>
          <w:highlight w:val="none"/>
          <w:lang w:val="zh-CN" w:eastAsia="zh-CN"/>
        </w:rPr>
        <w:t>：暂定2025年7月31日，最终以委托人通知为准；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2、对智汇公司划转基准日净资产财务数据进行审计，并按要求出具相应的净资产审计报告。报告需对净资产的真实性、合法性发表专业意见，为企业管理层、股东、债权人等利益相关方提供可靠的决策依据。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（二）清算审计服务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kern w:val="0"/>
          <w:sz w:val="21"/>
          <w:szCs w:val="21"/>
          <w:highlight w:val="none"/>
          <w:lang w:val="en-US" w:eastAsia="zh-CN" w:bidi="ar"/>
        </w:rPr>
        <w:t>成交人应</w:t>
      </w:r>
      <w:r>
        <w:rPr>
          <w:rFonts w:hint="eastAsia" w:ascii="宋体" w:hAnsi="宋体" w:eastAsia="宋体" w:cs="宋体"/>
          <w:color w:val="auto"/>
          <w:kern w:val="0"/>
          <w:sz w:val="21"/>
          <w:szCs w:val="21"/>
          <w:highlight w:val="none"/>
          <w:lang w:bidi="ar"/>
        </w:rPr>
        <w:t>结合</w:t>
      </w:r>
      <w:r>
        <w:rPr>
          <w:rFonts w:hint="eastAsia" w:ascii="宋体" w:hAnsi="宋体" w:eastAsia="宋体" w:cs="宋体"/>
          <w:color w:val="auto"/>
          <w:sz w:val="21"/>
          <w:szCs w:val="21"/>
          <w:highlight w:val="none"/>
          <w:lang w:val="zh-CN" w:eastAsia="zh-CN"/>
        </w:rPr>
        <w:t>东莞市水务集团实业发展有限公司</w:t>
      </w:r>
      <w:r>
        <w:rPr>
          <w:rFonts w:hint="eastAsia" w:ascii="宋体" w:hAnsi="宋体" w:cs="宋体"/>
          <w:color w:val="auto"/>
          <w:kern w:val="0"/>
          <w:sz w:val="21"/>
          <w:szCs w:val="21"/>
          <w:highlight w:val="none"/>
          <w:lang w:val="en-US" w:eastAsia="zh-CN" w:bidi="ar"/>
        </w:rPr>
        <w:t>提供的</w:t>
      </w:r>
      <w:r>
        <w:rPr>
          <w:rFonts w:hint="eastAsia" w:ascii="宋体" w:hAnsi="宋体" w:eastAsia="宋体" w:cs="宋体"/>
          <w:color w:val="auto"/>
          <w:kern w:val="0"/>
          <w:sz w:val="21"/>
          <w:szCs w:val="21"/>
          <w:highlight w:val="none"/>
          <w:lang w:bidi="ar"/>
        </w:rPr>
        <w:t>清算注销工作计划安排</w:t>
      </w:r>
      <w:r>
        <w:rPr>
          <w:rFonts w:hint="eastAsia" w:ascii="宋体" w:hAnsi="宋体" w:eastAsia="宋体" w:cs="宋体"/>
          <w:color w:val="auto"/>
          <w:sz w:val="21"/>
          <w:szCs w:val="21"/>
          <w:highlight w:val="none"/>
          <w:lang w:val="zh-CN" w:eastAsia="zh-CN"/>
        </w:rPr>
        <w:t>，出具智汇公司清算审计报告，并协助智汇公司完成税务注销工作。</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（三）财税服务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围绕吸收合并过程中涉及的财税问题提供服务工作，主要内容包括但不限于以下方面：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提供吸收合并过程中涉及的财税政策解读及合规建议；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提供吸收合并后合众源公司及其母公司实业公司财务合并、账务处理及税务处理的专业指导，协助委托人完成吸收合并相关的税务申报，包括特殊性税务处理备案、免税申报、留抵进项税转移、税款清算等，确保资料完整、流程合法合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3、针对吸收合并过程及智汇公司税务注销过程中发现的历史税务问题或税务机关提出的质疑或疑问，提供财税意见支持，必要时出具相关书面意见，并协助合并双方与其主管税务机关沟通协调，解决争议。</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四、服务要求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（一）前期工作要求：</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应按照本用户需求</w:t>
      </w:r>
      <w:r>
        <w:rPr>
          <w:rFonts w:hint="eastAsia" w:ascii="宋体" w:hAnsi="宋体" w:cs="宋体"/>
          <w:color w:val="auto"/>
          <w:sz w:val="21"/>
          <w:szCs w:val="21"/>
          <w:highlight w:val="none"/>
          <w:lang w:val="en-US" w:eastAsia="zh-CN"/>
        </w:rPr>
        <w:t>书</w:t>
      </w:r>
      <w:r>
        <w:rPr>
          <w:rFonts w:hint="eastAsia" w:ascii="宋体" w:hAnsi="宋体" w:eastAsia="宋体" w:cs="宋体"/>
          <w:color w:val="auto"/>
          <w:sz w:val="21"/>
          <w:szCs w:val="21"/>
          <w:highlight w:val="none"/>
          <w:lang w:val="zh-CN" w:eastAsia="zh-CN"/>
        </w:rPr>
        <w:t>、实际情况和任务目标要求，制定审计工作方案及实施计划。</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（二）进度管理要求：在审计、财税服务实施过程中，</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应按计划及时出具并向委托人报送节点成果报告。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（三）成果提交要求：</w:t>
      </w:r>
      <w:r>
        <w:rPr>
          <w:rFonts w:hint="eastAsia" w:ascii="宋体" w:hAnsi="宋体" w:cs="宋体"/>
          <w:color w:val="auto"/>
          <w:kern w:val="0"/>
          <w:sz w:val="21"/>
          <w:szCs w:val="21"/>
          <w:highlight w:val="none"/>
          <w:lang w:val="en-US" w:eastAsia="zh-CN" w:bidi="ar"/>
        </w:rPr>
        <w:t>成交人应在合同签署时明确告知众源公司需要提供的审计资料，并积极协助众源公司收集、提供审计资料。众源公司提供审计资料后如成交人认为需要补充，应于众源公司提供审计资料后的2个自然日内书面反馈，否则视为众源公司已完成提供审计资料义务，从众源公司提供审计资料之次日起起算成交人应出具审计报告的期限。</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需在委托人提供审计资料后30个自然日内出具净资产审计报告、清算审计报告，在委托人提出财税咨询服务需求2个自然日内提供指导意见，在委托人完成吸收合并工作后15个自然日内将吸收合并过程中的涉税政策、办理流程、涉税咨询服务指导意见等形成报告等成果文件</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盖章版书面报告一式三份</w:t>
      </w:r>
      <w:r>
        <w:rPr>
          <w:rFonts w:hint="eastAsia" w:ascii="宋体" w:hAnsi="宋体" w:cs="宋体"/>
          <w:color w:val="auto"/>
          <w:sz w:val="21"/>
          <w:szCs w:val="21"/>
          <w:highlight w:val="none"/>
          <w:lang w:val="en-US" w:eastAsia="zh-CN"/>
        </w:rPr>
        <w:t>提交众源公司</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（四）成果运用要求：</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须保证，按要求对审计及财税服务全过程提供的文件信息履行保密义务。对审计服务、财税服务过程中产生的所有成果文件信息，</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应做好科学归档工作，服务结束后应全部交付委托人并按</w:t>
      </w:r>
      <w:r>
        <w:rPr>
          <w:rFonts w:hint="eastAsia" w:ascii="宋体" w:hAnsi="宋体" w:cs="宋体"/>
          <w:color w:val="auto"/>
          <w:sz w:val="21"/>
          <w:szCs w:val="21"/>
          <w:highlight w:val="none"/>
          <w:lang w:val="en-US" w:eastAsia="zh-CN"/>
        </w:rPr>
        <w:t>众源公司</w:t>
      </w:r>
      <w:r>
        <w:rPr>
          <w:rFonts w:hint="eastAsia" w:ascii="宋体" w:hAnsi="宋体" w:eastAsia="宋体" w:cs="宋体"/>
          <w:color w:val="auto"/>
          <w:sz w:val="21"/>
          <w:szCs w:val="21"/>
          <w:highlight w:val="none"/>
          <w:lang w:val="zh-CN" w:eastAsia="zh-CN"/>
        </w:rPr>
        <w:t>实际要求履行解释义务。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（五）项目团队需配备至少1名注册会计师（负责审计）和1名注册税务师（负责财税服务），服务团队不少于3人，提供团队成员简历及类似项目业绩合同。</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五、服务费用及支付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本项目服务期自签订合同至众源公司完成吸收合并智汇公司止，</w:t>
      </w:r>
      <w:r>
        <w:rPr>
          <w:rFonts w:hint="eastAsia" w:ascii="宋体" w:hAnsi="宋体" w:cs="宋体"/>
          <w:color w:val="auto"/>
          <w:sz w:val="21"/>
          <w:szCs w:val="21"/>
          <w:highlight w:val="none"/>
          <w:lang w:val="en-US" w:eastAsia="zh-CN"/>
        </w:rPr>
        <w:t>服务期限最长</w:t>
      </w:r>
      <w:r>
        <w:rPr>
          <w:rFonts w:hint="eastAsia" w:ascii="宋体" w:hAnsi="宋体" w:eastAsia="宋体" w:cs="宋体"/>
          <w:color w:val="auto"/>
          <w:sz w:val="21"/>
          <w:szCs w:val="21"/>
          <w:highlight w:val="none"/>
          <w:lang w:val="zh-CN" w:eastAsia="zh-CN"/>
        </w:rPr>
        <w:t>至2026年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zh-CN" w:eastAsia="zh-CN"/>
        </w:rPr>
        <w:t>日。</w:t>
      </w:r>
      <w:r>
        <w:rPr>
          <w:rFonts w:hint="eastAsia" w:ascii="宋体" w:hAnsi="宋体" w:cs="宋体"/>
          <w:color w:val="auto"/>
          <w:sz w:val="21"/>
          <w:szCs w:val="21"/>
          <w:highlight w:val="none"/>
          <w:lang w:val="en-US" w:eastAsia="zh-CN"/>
        </w:rPr>
        <w:t>服务费用</w:t>
      </w:r>
      <w:r>
        <w:rPr>
          <w:rFonts w:hint="eastAsia" w:ascii="宋体" w:hAnsi="宋体" w:eastAsia="宋体" w:cs="宋体"/>
          <w:color w:val="auto"/>
          <w:sz w:val="21"/>
          <w:szCs w:val="21"/>
          <w:highlight w:val="none"/>
          <w:lang w:val="zh-CN" w:eastAsia="zh-CN"/>
        </w:rPr>
        <w:t>包括服务单位为完成本用户需求所产生的全部费用，包括但不限于（1）专业咨询、资料收集（含购买）、材料撰写、项目辅导、人员培训、项目成果文件编制、成果文件印刷、往来询证函费（除银行询证函费用外）等费用；（2）服务期间人员工资、管理费、交通费、通讯费、餐饮、差旅费、保险费等一切费用；（3）所有应支付的对专利权、著作权、商标权或其他知识产权而需要向其他方支付的知识产权使用费等；（4）合理利润、</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lang w:val="zh-CN" w:eastAsia="zh-CN"/>
        </w:rPr>
        <w:t>人</w:t>
      </w:r>
      <w:r>
        <w:rPr>
          <w:rFonts w:hint="eastAsia" w:ascii="宋体" w:hAnsi="宋体" w:eastAsia="宋体" w:cs="宋体"/>
          <w:color w:val="auto"/>
          <w:sz w:val="21"/>
          <w:szCs w:val="21"/>
          <w:highlight w:val="none"/>
          <w:lang w:val="zh-CN" w:eastAsia="zh-CN"/>
        </w:rPr>
        <w:t>销项税额以外的税费等；（5）法律法规、商业公认、</w:t>
      </w:r>
      <w:r>
        <w:rPr>
          <w:rFonts w:hint="eastAsia" w:ascii="宋体" w:hAnsi="宋体" w:cs="宋体"/>
          <w:color w:val="auto"/>
          <w:sz w:val="21"/>
          <w:szCs w:val="21"/>
          <w:highlight w:val="none"/>
          <w:lang w:val="zh-CN" w:eastAsia="zh-CN"/>
        </w:rPr>
        <w:t>竞争性磋商文件</w:t>
      </w:r>
      <w:r>
        <w:rPr>
          <w:rFonts w:hint="eastAsia" w:ascii="宋体" w:hAnsi="宋体" w:eastAsia="宋体" w:cs="宋体"/>
          <w:color w:val="auto"/>
          <w:sz w:val="21"/>
          <w:szCs w:val="21"/>
          <w:highlight w:val="none"/>
          <w:lang w:val="zh-CN" w:eastAsia="zh-CN"/>
        </w:rPr>
        <w:t>规定由</w:t>
      </w:r>
      <w:r>
        <w:rPr>
          <w:rFonts w:hint="eastAsia" w:ascii="宋体" w:hAnsi="宋体" w:cs="宋体"/>
          <w:color w:val="auto"/>
          <w:sz w:val="21"/>
          <w:szCs w:val="21"/>
          <w:highlight w:val="none"/>
          <w:lang w:val="en-US" w:eastAsia="zh-CN"/>
        </w:rPr>
        <w:t>成交</w:t>
      </w:r>
      <w:r>
        <w:rPr>
          <w:rFonts w:hint="eastAsia" w:ascii="宋体" w:hAnsi="宋体" w:cs="宋体"/>
          <w:color w:val="auto"/>
          <w:sz w:val="21"/>
          <w:szCs w:val="21"/>
          <w:highlight w:val="none"/>
          <w:lang w:val="zh-CN" w:eastAsia="zh-CN"/>
        </w:rPr>
        <w:t>人</w:t>
      </w:r>
      <w:r>
        <w:rPr>
          <w:rFonts w:hint="eastAsia" w:ascii="宋体" w:hAnsi="宋体" w:eastAsia="宋体" w:cs="宋体"/>
          <w:color w:val="auto"/>
          <w:sz w:val="21"/>
          <w:szCs w:val="21"/>
          <w:highlight w:val="none"/>
          <w:lang w:val="zh-CN" w:eastAsia="zh-CN"/>
        </w:rPr>
        <w:t>承担的其他费用。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服务费用采用分次付款方式，具体如下：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完成智汇公司净资产审计工作，出具净资产审计报告，并向委托人提供请款报告、等额真实有效的增值税专用发票，经委托人审核无误后15个工作日内向</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一次性支付净资产审计费用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完成智汇公司清算审计工作，出具清算审计报告，并协助智汇公司完成税务注销工作，向委托人提供请款报告、等额真实有效的增值税专用发票，经委托人审核无误后15个工作日内向</w:t>
      </w:r>
      <w:r>
        <w:rPr>
          <w:rFonts w:hint="eastAsia" w:ascii="宋体" w:hAnsi="宋体" w:cs="宋体"/>
          <w:color w:val="auto"/>
          <w:sz w:val="21"/>
          <w:szCs w:val="21"/>
          <w:highlight w:val="none"/>
          <w:lang w:val="en-US" w:eastAsia="zh-CN"/>
        </w:rPr>
        <w:t>成交让人</w:t>
      </w:r>
      <w:r>
        <w:rPr>
          <w:rFonts w:hint="eastAsia" w:ascii="宋体" w:hAnsi="宋体" w:eastAsia="宋体" w:cs="宋体"/>
          <w:color w:val="auto"/>
          <w:sz w:val="21"/>
          <w:szCs w:val="21"/>
          <w:highlight w:val="none"/>
          <w:lang w:val="zh-CN" w:eastAsia="zh-CN"/>
        </w:rPr>
        <w:t>一次性支付清算审计费用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完成吸收合并过程所有财税服务工作，出具财税指导意见及相关报告，向委托人提供请款报告、等额真实有效的增值税专用发票，经委托人审核无误后15个工作日内向</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一次性支付财税服务费用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六、违约责任与损失</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下列任何情况发生时，取消</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zh-CN" w:eastAsia="zh-CN"/>
        </w:rPr>
        <w:t>服务资格，并追究其经济和法律责任：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（一）隐瞒审计发现的问题；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（二）与被审计单位串通舞弊的行为；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（三）利用受聘工作从被审计单位获取不正当利益；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（四）将审计结果及咨询服务成果用于与本用户需求事项无关目的；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（五）违反保密纪律；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（六）向被审计单位提出与审计工作无关的要求；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（七）利用审计职权或知晓的被审计单位的商业秘密和内部信息，为自己和他人谋利等违反职业道德的行为；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（八）违反保密条款。</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七、争端的解决</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合同执行过程中发生的任何争议，如双方不能通过友好协商解决，任何一方可向采购人所在地有管辖权的人民法院提起诉讼。</w:t>
      </w: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eastAsia="宋体" w:cs="宋体"/>
          <w:color w:val="auto"/>
          <w:sz w:val="21"/>
          <w:szCs w:val="21"/>
          <w:highlight w:val="none"/>
          <w:lang w:val="zh-CN" w:eastAsia="zh-CN"/>
        </w:rPr>
      </w:pPr>
    </w:p>
    <w:p>
      <w:pPr>
        <w:spacing w:line="360" w:lineRule="auto"/>
        <w:ind w:firstLine="420" w:firstLineChars="200"/>
        <w:rPr>
          <w:rFonts w:hint="eastAsia" w:ascii="宋体" w:hAnsi="宋体" w:cs="宋体"/>
          <w:color w:val="auto"/>
          <w:sz w:val="21"/>
          <w:szCs w:val="21"/>
          <w:highlight w:val="none"/>
          <w:lang w:val="en-US" w:eastAsia="zh-CN"/>
        </w:rPr>
      </w:pPr>
    </w:p>
    <w:p>
      <w:pPr>
        <w:spacing w:line="360" w:lineRule="auto"/>
        <w:ind w:firstLine="420" w:firstLineChars="200"/>
        <w:rPr>
          <w:rFonts w:hint="default" w:ascii="宋体" w:hAnsi="宋体" w:cs="宋体"/>
          <w:color w:val="auto"/>
          <w:sz w:val="21"/>
          <w:szCs w:val="21"/>
          <w:highlight w:val="none"/>
          <w:lang w:val="en-US" w:eastAsia="zh-CN"/>
        </w:rPr>
      </w:pPr>
    </w:p>
    <w:p>
      <w:pPr>
        <w:pStyle w:val="2"/>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lang w:val="zh-CN"/>
        </w:rPr>
      </w:pPr>
      <w:bookmarkStart w:id="268" w:name="_Toc22795"/>
      <w:bookmarkStart w:id="269" w:name="_Toc16289"/>
      <w:bookmarkStart w:id="270" w:name="_Toc21372"/>
      <w:r>
        <w:rPr>
          <w:rFonts w:hint="eastAsia" w:ascii="宋体" w:hAnsi="宋体" w:eastAsia="宋体" w:cs="宋体"/>
          <w:b/>
          <w:bCs/>
          <w:color w:val="auto"/>
          <w:kern w:val="44"/>
          <w:sz w:val="32"/>
          <w:szCs w:val="32"/>
          <w:highlight w:val="none"/>
          <w:lang w:val="zh-CN"/>
        </w:rPr>
        <w:t>第四篇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合同条款格式</w:t>
      </w:r>
      <w:bookmarkEnd w:id="268"/>
      <w:bookmarkEnd w:id="269"/>
      <w:bookmarkEnd w:id="270"/>
    </w:p>
    <w:bookmarkEnd w:id="262"/>
    <w:bookmarkEnd w:id="263"/>
    <w:bookmarkEnd w:id="264"/>
    <w:bookmarkEnd w:id="265"/>
    <w:bookmarkEnd w:id="266"/>
    <w:bookmarkEnd w:id="267"/>
    <w:p>
      <w:pPr>
        <w:pStyle w:val="22"/>
        <w:rPr>
          <w:rFonts w:hint="eastAsia" w:ascii="宋体" w:hAnsi="宋体" w:eastAsia="宋体" w:cs="宋体"/>
          <w:color w:val="auto"/>
          <w:highlight w:val="none"/>
          <w:lang w:eastAsia="zh-Hans"/>
        </w:rPr>
      </w:pPr>
      <w:bookmarkStart w:id="271" w:name="_Toc521918113"/>
      <w:bookmarkStart w:id="272" w:name="_Toc450662895"/>
    </w:p>
    <w:p>
      <w:pPr>
        <w:jc w:val="center"/>
        <w:rPr>
          <w:rFonts w:hint="eastAsia" w:ascii="宋体" w:hAnsi="宋体" w:eastAsia="宋体" w:cs="宋体"/>
          <w:b/>
          <w:bCs/>
          <w:color w:val="auto"/>
          <w:sz w:val="44"/>
          <w:szCs w:val="44"/>
          <w:highlight w:val="none"/>
          <w:lang w:eastAsia="zh-Hans"/>
        </w:rPr>
      </w:pPr>
      <w:bookmarkStart w:id="273" w:name="_Hlk112684431"/>
    </w:p>
    <w:bookmarkEnd w:id="273"/>
    <w:p>
      <w:pPr>
        <w:spacing w:line="360" w:lineRule="auto"/>
        <w:jc w:val="center"/>
        <w:rPr>
          <w:rFonts w:hint="default" w:ascii="宋体" w:hAnsi="宋体" w:eastAsia="宋体" w:cs="宋体"/>
          <w:b/>
          <w:bCs/>
          <w:color w:val="auto"/>
          <w:sz w:val="44"/>
          <w:szCs w:val="44"/>
          <w:highlight w:val="none"/>
          <w:lang w:val="en-US"/>
        </w:rPr>
      </w:pPr>
      <w:r>
        <w:rPr>
          <w:rFonts w:hint="eastAsia" w:ascii="宋体" w:hAnsi="宋体" w:cs="宋体"/>
          <w:b/>
          <w:bCs/>
          <w:color w:val="auto"/>
          <w:sz w:val="44"/>
          <w:szCs w:val="44"/>
          <w:highlight w:val="none"/>
          <w:lang w:eastAsia="zh-CN"/>
        </w:rPr>
        <w:t>审计及财税服务采购</w:t>
      </w:r>
      <w:r>
        <w:rPr>
          <w:rFonts w:hint="eastAsia" w:ascii="宋体" w:hAnsi="宋体" w:cs="宋体"/>
          <w:b/>
          <w:bCs/>
          <w:color w:val="auto"/>
          <w:sz w:val="44"/>
          <w:szCs w:val="44"/>
          <w:highlight w:val="none"/>
          <w:lang w:val="en-US" w:eastAsia="zh-CN"/>
        </w:rPr>
        <w:t>合同</w:t>
      </w:r>
    </w:p>
    <w:p>
      <w:pPr>
        <w:spacing w:line="360" w:lineRule="auto"/>
        <w:jc w:val="center"/>
        <w:rPr>
          <w:rFonts w:hint="eastAsia" w:ascii="宋体" w:hAnsi="宋体" w:eastAsia="宋体" w:cs="宋体"/>
          <w:b/>
          <w:bCs/>
          <w:color w:val="auto"/>
          <w:sz w:val="44"/>
          <w:szCs w:val="44"/>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spacing w:line="360" w:lineRule="auto"/>
        <w:ind w:left="0" w:leftChars="0" w:firstLine="1680" w:firstLineChars="6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p>
    <w:p>
      <w:pPr>
        <w:spacing w:line="360" w:lineRule="auto"/>
        <w:ind w:left="0" w:leftChars="0"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东莞市众源环境投资有限公司</w:t>
      </w:r>
    </w:p>
    <w:p>
      <w:pPr>
        <w:spacing w:line="360" w:lineRule="auto"/>
        <w:ind w:left="0" w:leftChars="0" w:firstLine="1680" w:firstLineChars="6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p>
    <w:p>
      <w:pPr>
        <w:spacing w:line="360" w:lineRule="auto"/>
        <w:ind w:firstLine="1120" w:firstLineChars="400"/>
        <w:rPr>
          <w:rFonts w:hint="eastAsia" w:ascii="宋体" w:hAnsi="宋体" w:eastAsia="宋体" w:cs="宋体"/>
          <w:color w:val="auto"/>
          <w:sz w:val="28"/>
          <w:szCs w:val="28"/>
          <w:highlight w:val="none"/>
        </w:rPr>
      </w:pPr>
    </w:p>
    <w:p>
      <w:pPr>
        <w:autoSpaceDE w:val="0"/>
        <w:autoSpaceDN w:val="0"/>
        <w:adjustRightInd w:val="0"/>
        <w:spacing w:line="360" w:lineRule="auto"/>
        <w:ind w:firstLine="2217" w:firstLineChars="792"/>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签订日期：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pPr>
        <w:spacing w:line="540" w:lineRule="exact"/>
        <w:ind w:right="-358" w:rightChars="-149" w:firstLine="422" w:firstLineChars="200"/>
        <w:rPr>
          <w:rFonts w:hint="eastAsia" w:ascii="宋体" w:hAnsi="宋体" w:eastAsia="宋体" w:cs="宋体"/>
          <w:b/>
          <w:bCs/>
          <w:color w:val="auto"/>
          <w:sz w:val="21"/>
          <w:szCs w:val="21"/>
          <w:highlight w:val="none"/>
        </w:rPr>
      </w:pPr>
    </w:p>
    <w:p>
      <w:pPr>
        <w:rPr>
          <w:rFonts w:hint="eastAsia" w:ascii="宋体" w:hAnsi="宋体" w:eastAsia="宋体" w:cs="宋体"/>
          <w:color w:val="auto"/>
          <w:sz w:val="21"/>
          <w:szCs w:val="21"/>
          <w:highlight w:val="none"/>
        </w:rPr>
      </w:pPr>
      <w:bookmarkStart w:id="274" w:name="_Toc20774"/>
      <w:bookmarkStart w:id="275" w:name="_Toc29174"/>
      <w:r>
        <w:rPr>
          <w:rFonts w:hint="eastAsia" w:ascii="宋体" w:hAnsi="宋体" w:eastAsia="宋体" w:cs="宋体"/>
          <w:color w:val="auto"/>
          <w:sz w:val="21"/>
          <w:szCs w:val="21"/>
          <w:highlight w:val="none"/>
        </w:rPr>
        <w:br w:type="page"/>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1"/>
          <w:szCs w:val="21"/>
          <w:highlight w:val="none"/>
          <w:shd w:val="clear" w:color="auto" w:fill="FFFFFF"/>
          <w:lang w:val="en-US" w:eastAsia="zh-CN"/>
        </w:rPr>
      </w:pPr>
      <w:bookmarkStart w:id="276" w:name="_Toc11413"/>
      <w:r>
        <w:rPr>
          <w:rFonts w:hint="eastAsia" w:ascii="宋体" w:hAnsi="宋体" w:eastAsia="宋体" w:cs="宋体"/>
          <w:b/>
          <w:bCs/>
          <w:color w:val="auto"/>
          <w:sz w:val="21"/>
          <w:szCs w:val="21"/>
          <w:highlight w:val="none"/>
          <w:shd w:val="clear" w:color="auto" w:fill="FFFFFF"/>
        </w:rPr>
        <w:t>甲方：</w:t>
      </w:r>
      <w:r>
        <w:rPr>
          <w:rFonts w:hint="eastAsia" w:ascii="宋体" w:hAnsi="宋体" w:eastAsia="宋体" w:cs="宋体"/>
          <w:b/>
          <w:bCs/>
          <w:color w:val="auto"/>
          <w:sz w:val="21"/>
          <w:szCs w:val="21"/>
          <w:highlight w:val="none"/>
          <w:shd w:val="clear" w:color="auto" w:fill="FFFFFF"/>
          <w:lang w:val="en-US" w:eastAsia="zh-CN"/>
        </w:rPr>
        <w:t>东莞市众源环境投资有限公司</w:t>
      </w:r>
    </w:p>
    <w:p>
      <w:pPr>
        <w:pStyle w:val="73"/>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bCs/>
          <w:color w:val="auto"/>
          <w:sz w:val="21"/>
          <w:szCs w:val="21"/>
          <w:highlight w:val="none"/>
          <w:shd w:val="clear" w:color="auto" w:fill="FFFFFF"/>
        </w:rPr>
      </w:pPr>
    </w:p>
    <w:p>
      <w:pPr>
        <w:pStyle w:val="73"/>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乙方：</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cs="宋体"/>
          <w:color w:val="auto"/>
          <w:sz w:val="21"/>
          <w:szCs w:val="21"/>
          <w:highlight w:val="none"/>
          <w:lang w:val="en-US" w:eastAsia="zh-CN"/>
        </w:rPr>
        <w:t>委托</w:t>
      </w:r>
      <w:r>
        <w:rPr>
          <w:rFonts w:hint="eastAsia" w:ascii="宋体" w:hAnsi="宋体" w:eastAsia="宋体" w:cs="宋体"/>
          <w:color w:val="auto"/>
          <w:sz w:val="21"/>
          <w:szCs w:val="21"/>
          <w:highlight w:val="none"/>
          <w:u w:val="single"/>
        </w:rPr>
        <w:t>东莞市水务集团实业发展有限公司</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下称“实业公司”）</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val="en-US" w:eastAsia="zh-CN"/>
        </w:rPr>
        <w:t>竞争性磋商方式</w:t>
      </w:r>
      <w:r>
        <w:rPr>
          <w:rFonts w:hint="eastAsia" w:ascii="宋体" w:hAnsi="宋体" w:eastAsia="宋体" w:cs="宋体"/>
          <w:color w:val="auto"/>
          <w:sz w:val="21"/>
          <w:szCs w:val="21"/>
          <w:highlight w:val="none"/>
        </w:rPr>
        <w:t>确定乙方为</w:t>
      </w:r>
      <w:r>
        <w:rPr>
          <w:rFonts w:hint="eastAsia" w:ascii="宋体" w:hAnsi="宋体" w:eastAsia="宋体" w:cs="宋体"/>
          <w:color w:val="auto"/>
          <w:sz w:val="21"/>
          <w:szCs w:val="21"/>
          <w:highlight w:val="none"/>
          <w:u w:val="single"/>
        </w:rPr>
        <w:t>东莞市水务集团实业发展有限公司审计及财税服务采购项目</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的服务单位，甲乙双方本着诚实守信、平等互利的原则，结合《中华人民共和国民法典》 及其他有关法律、行政法规，订立本合同。</w:t>
      </w:r>
    </w:p>
    <w:p>
      <w:pPr>
        <w:keepNext w:val="0"/>
        <w:keepLines w:val="0"/>
        <w:pageBreakBefore w:val="0"/>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 服务范围</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形式</w:t>
      </w:r>
      <w:r>
        <w:rPr>
          <w:rFonts w:hint="eastAsia" w:ascii="宋体" w:hAnsi="宋体" w:eastAsia="宋体" w:cs="宋体"/>
          <w:b/>
          <w:color w:val="auto"/>
          <w:sz w:val="21"/>
          <w:szCs w:val="21"/>
          <w:highlight w:val="none"/>
        </w:rPr>
        <w:t>及服务期限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）服务范围：</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根据甲方</w:t>
      </w:r>
      <w:r>
        <w:rPr>
          <w:rFonts w:hint="eastAsia" w:ascii="宋体" w:hAnsi="宋体" w:eastAsia="宋体" w:cs="宋体"/>
          <w:bCs w:val="0"/>
          <w:color w:val="auto"/>
          <w:sz w:val="21"/>
          <w:szCs w:val="21"/>
          <w:highlight w:val="none"/>
          <w:lang w:val="en-US" w:eastAsia="zh-CN"/>
        </w:rPr>
        <w:t>要求</w:t>
      </w:r>
      <w:r>
        <w:rPr>
          <w:rFonts w:hint="eastAsia" w:ascii="宋体" w:hAnsi="宋体" w:eastAsia="宋体" w:cs="宋体"/>
          <w:bCs/>
          <w:color w:val="auto"/>
          <w:sz w:val="21"/>
          <w:szCs w:val="21"/>
          <w:highlight w:val="none"/>
          <w:lang w:val="en-US" w:eastAsia="zh-CN"/>
        </w:rPr>
        <w:t>对</w:t>
      </w:r>
      <w:r>
        <w:rPr>
          <w:rFonts w:hint="eastAsia" w:ascii="宋体" w:hAnsi="宋体" w:eastAsia="宋体" w:cs="宋体"/>
          <w:b w:val="0"/>
          <w:bCs/>
          <w:color w:val="auto"/>
          <w:sz w:val="21"/>
          <w:szCs w:val="21"/>
          <w:highlight w:val="none"/>
          <w:u w:val="none"/>
          <w:lang w:val="en-US" w:eastAsia="zh-CN" w:bidi="ar"/>
        </w:rPr>
        <w:t>东莞市智汇水务科技有限公司</w:t>
      </w:r>
      <w:r>
        <w:rPr>
          <w:rFonts w:hint="eastAsia" w:ascii="宋体" w:hAnsi="宋体" w:cs="宋体"/>
          <w:b w:val="0"/>
          <w:bCs/>
          <w:color w:val="auto"/>
          <w:sz w:val="21"/>
          <w:szCs w:val="21"/>
          <w:highlight w:val="none"/>
          <w:u w:val="none"/>
          <w:lang w:val="en-US" w:eastAsia="zh-CN" w:bidi="ar"/>
        </w:rPr>
        <w:t>(下称“智汇公司”）</w:t>
      </w:r>
      <w:r>
        <w:rPr>
          <w:rFonts w:hint="eastAsia" w:ascii="宋体" w:hAnsi="宋体" w:eastAsia="宋体" w:cs="宋体"/>
          <w:bCs/>
          <w:color w:val="auto"/>
          <w:sz w:val="21"/>
          <w:szCs w:val="21"/>
          <w:highlight w:val="none"/>
          <w:lang w:val="en-US" w:eastAsia="zh-CN"/>
        </w:rPr>
        <w:t>进行</w:t>
      </w:r>
      <w:r>
        <w:rPr>
          <w:rFonts w:hint="eastAsia" w:ascii="宋体" w:hAnsi="宋体" w:eastAsia="宋体" w:cs="宋体"/>
          <w:bCs/>
          <w:color w:val="auto"/>
          <w:kern w:val="2"/>
          <w:sz w:val="21"/>
          <w:szCs w:val="21"/>
          <w:highlight w:val="none"/>
          <w:lang w:val="en-US" w:eastAsia="zh-CN" w:bidi="ar"/>
        </w:rPr>
        <w:t>净资产审计服务、清算审计服务及财税咨询服务等，并出具</w:t>
      </w:r>
      <w:r>
        <w:rPr>
          <w:rFonts w:hint="eastAsia" w:ascii="宋体" w:hAnsi="宋体" w:eastAsia="宋体" w:cs="宋体"/>
          <w:bCs/>
          <w:color w:val="auto"/>
          <w:sz w:val="21"/>
          <w:szCs w:val="21"/>
          <w:highlight w:val="none"/>
          <w:lang w:eastAsia="zh-CN"/>
        </w:rPr>
        <w:t>专项咨询</w:t>
      </w:r>
      <w:r>
        <w:rPr>
          <w:rFonts w:hint="eastAsia" w:ascii="宋体" w:hAnsi="宋体" w:eastAsia="宋体" w:cs="宋体"/>
          <w:color w:val="auto"/>
          <w:sz w:val="21"/>
          <w:szCs w:val="21"/>
          <w:highlight w:val="none"/>
          <w:lang w:eastAsia="zh-CN"/>
        </w:rPr>
        <w:t>报告</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服务形式包括但不限于线上对接、线下</w:t>
      </w:r>
      <w:r>
        <w:rPr>
          <w:rFonts w:hint="eastAsia" w:ascii="宋体" w:hAnsi="宋体" w:cs="宋体"/>
          <w:color w:val="auto"/>
          <w:sz w:val="21"/>
          <w:szCs w:val="21"/>
          <w:highlight w:val="none"/>
          <w:lang w:val="en-US" w:eastAsia="zh-CN"/>
        </w:rPr>
        <w:t>坐班（或</w:t>
      </w:r>
      <w:r>
        <w:rPr>
          <w:rFonts w:hint="eastAsia" w:ascii="宋体" w:hAnsi="宋体" w:eastAsia="宋体" w:cs="宋体"/>
          <w:color w:val="auto"/>
          <w:sz w:val="21"/>
          <w:szCs w:val="21"/>
          <w:highlight w:val="none"/>
          <w:lang w:val="en-US" w:eastAsia="zh-CN"/>
        </w:rPr>
        <w:t>走访</w:t>
      </w: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）服务</w:t>
      </w:r>
      <w:r>
        <w:rPr>
          <w:rFonts w:hint="eastAsia" w:ascii="宋体" w:hAnsi="宋体" w:eastAsia="宋体" w:cs="宋体"/>
          <w:bCs/>
          <w:color w:val="auto"/>
          <w:sz w:val="21"/>
          <w:szCs w:val="21"/>
          <w:highlight w:val="none"/>
        </w:rPr>
        <w:t>期限：</w:t>
      </w:r>
      <w:r>
        <w:rPr>
          <w:rFonts w:hint="eastAsia" w:ascii="宋体" w:hAnsi="宋体" w:eastAsia="宋体" w:cs="宋体"/>
          <w:bCs/>
          <w:color w:val="auto"/>
          <w:sz w:val="21"/>
          <w:szCs w:val="21"/>
          <w:highlight w:val="none"/>
          <w:lang w:val="en-US" w:eastAsia="zh-CN"/>
        </w:rPr>
        <w:t>自签订合同至</w:t>
      </w:r>
      <w:r>
        <w:rPr>
          <w:rFonts w:hint="eastAsia" w:ascii="宋体"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完成吸收合并智汇公司止，</w:t>
      </w:r>
      <w:r>
        <w:rPr>
          <w:rFonts w:hint="eastAsia" w:ascii="宋体" w:hAnsi="宋体" w:cs="宋体"/>
          <w:bCs/>
          <w:color w:val="auto"/>
          <w:sz w:val="21"/>
          <w:szCs w:val="21"/>
          <w:highlight w:val="none"/>
          <w:lang w:val="en-US" w:eastAsia="zh-CN"/>
        </w:rPr>
        <w:t>服务期限最长</w:t>
      </w:r>
      <w:r>
        <w:rPr>
          <w:rFonts w:hint="eastAsia" w:ascii="宋体" w:hAnsi="宋体" w:eastAsia="宋体" w:cs="宋体"/>
          <w:bCs/>
          <w:color w:val="auto"/>
          <w:sz w:val="21"/>
          <w:szCs w:val="21"/>
          <w:highlight w:val="none"/>
          <w:lang w:val="en-US" w:eastAsia="zh-CN"/>
        </w:rPr>
        <w:t>至2026年12月31日</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第二条 </w:t>
      </w:r>
      <w:r>
        <w:rPr>
          <w:rFonts w:hint="eastAsia" w:ascii="宋体" w:hAnsi="宋体" w:eastAsia="宋体" w:cs="宋体"/>
          <w:b/>
          <w:color w:val="auto"/>
          <w:sz w:val="21"/>
          <w:szCs w:val="21"/>
          <w:highlight w:val="none"/>
        </w:rPr>
        <w:t>合同价款及支付方式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），其中，净资产审计服务（即销售额，不含乙方销项税额）为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）；清算审计服务（即销售额，不含乙方销项税额）为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）；财税咨询服务（即销售额，不含乙方销项税额）为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在本合同履行过程中，合同</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不随法律法规政策、物价、人工、服务期调整而进行调整，</w:t>
      </w:r>
      <w:r>
        <w:rPr>
          <w:rFonts w:hint="eastAsia" w:ascii="宋体" w:hAnsi="宋体" w:eastAsia="宋体" w:cs="宋体"/>
          <w:color w:val="auto"/>
          <w:sz w:val="21"/>
          <w:szCs w:val="21"/>
          <w:highlight w:val="none"/>
        </w:rPr>
        <w:t>未经甲方书面确认，乙方无权增加任何费用。若出现合同约定的销售折扣情形，甲、乙双方协商一致后降低合同价。</w:t>
      </w:r>
    </w:p>
    <w:p>
      <w:pPr>
        <w:pStyle w:val="156"/>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（二）依法计得并根据本合同约定确定的销项税额由甲方承担。根据</w:t>
      </w:r>
      <w:r>
        <w:rPr>
          <w:rFonts w:hint="eastAsia" w:ascii="宋体" w:hAnsi="宋体" w:eastAsia="宋体" w:cs="宋体"/>
          <w:color w:val="auto"/>
          <w:sz w:val="21"/>
          <w:szCs w:val="21"/>
          <w:highlight w:val="none"/>
          <w:lang w:val="zh-CN"/>
        </w:rPr>
        <w:t>《中华人民共和国增值税</w:t>
      </w:r>
      <w:r>
        <w:rPr>
          <w:rFonts w:hint="eastAsia" w:ascii="宋体" w:hAnsi="宋体" w:eastAsia="宋体" w:cs="宋体"/>
          <w:color w:val="auto"/>
          <w:sz w:val="21"/>
          <w:szCs w:val="21"/>
          <w:highlight w:val="none"/>
        </w:rPr>
        <w:t>暂行</w:t>
      </w:r>
      <w:r>
        <w:rPr>
          <w:rFonts w:hint="eastAsia" w:ascii="宋体" w:hAnsi="宋体" w:eastAsia="宋体" w:cs="宋体"/>
          <w:color w:val="auto"/>
          <w:sz w:val="21"/>
          <w:szCs w:val="21"/>
          <w:highlight w:val="none"/>
          <w:lang w:val="zh-CN"/>
        </w:rPr>
        <w:t>条例》（国务院令第691号修订版）</w:t>
      </w:r>
      <w:r>
        <w:rPr>
          <w:rFonts w:hint="eastAsia" w:ascii="宋体" w:hAnsi="宋体" w:eastAsia="宋体" w:cs="宋体"/>
          <w:color w:val="auto"/>
          <w:sz w:val="21"/>
          <w:szCs w:val="21"/>
          <w:highlight w:val="none"/>
        </w:rPr>
        <w:t>及当前税务部门的相关规定，本合同项目的增值税税率</w:t>
      </w:r>
      <w:r>
        <w:rPr>
          <w:rFonts w:hint="eastAsia" w:ascii="宋体" w:hAnsi="宋体" w:eastAsia="宋体" w:cs="宋体"/>
          <w:color w:val="auto"/>
          <w:spacing w:val="-3"/>
          <w:sz w:val="21"/>
          <w:szCs w:val="21"/>
          <w:highlight w:val="none"/>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对应的销项税额暂定为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，其中，净资产审计服务增值税税率</w:t>
      </w:r>
      <w:r>
        <w:rPr>
          <w:rFonts w:hint="eastAsia" w:ascii="宋体" w:hAnsi="宋体" w:eastAsia="宋体" w:cs="宋体"/>
          <w:color w:val="auto"/>
          <w:spacing w:val="-3"/>
          <w:sz w:val="21"/>
          <w:szCs w:val="21"/>
          <w:highlight w:val="none"/>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对应的销项税额暂定为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；清算审计服务增值税税率</w:t>
      </w:r>
      <w:r>
        <w:rPr>
          <w:rFonts w:hint="eastAsia" w:ascii="宋体" w:hAnsi="宋体" w:eastAsia="宋体" w:cs="宋体"/>
          <w:color w:val="auto"/>
          <w:spacing w:val="-3"/>
          <w:sz w:val="21"/>
          <w:szCs w:val="21"/>
          <w:highlight w:val="none"/>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对应的销项税额暂定为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；财税咨询服务增值税税率</w:t>
      </w:r>
      <w:r>
        <w:rPr>
          <w:rFonts w:hint="eastAsia" w:ascii="宋体" w:hAnsi="宋体" w:eastAsia="宋体" w:cs="宋体"/>
          <w:color w:val="auto"/>
          <w:spacing w:val="-3"/>
          <w:sz w:val="21"/>
          <w:szCs w:val="21"/>
          <w:highlight w:val="none"/>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对应的销项税额暂定为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乙方的增值税销项税额按实结算；但因乙方未按合同约定提供服务、未根据合同约定提供合法、完整的请款资料等原因导致销项税额增加的，相应损失由乙方承担。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w:t>
      </w:r>
      <w:r>
        <w:rPr>
          <w:rFonts w:hint="eastAsia" w:ascii="宋体" w:hAnsi="宋体" w:cs="宋体"/>
          <w:color w:val="auto"/>
          <w:sz w:val="21"/>
          <w:szCs w:val="21"/>
          <w:highlight w:val="none"/>
          <w:lang w:val="en-US" w:eastAsia="zh-CN"/>
        </w:rPr>
        <w:t>将相应金额款项</w:t>
      </w:r>
      <w:r>
        <w:rPr>
          <w:rFonts w:hint="eastAsia" w:ascii="宋体" w:hAnsi="宋体" w:eastAsia="宋体" w:cs="宋体"/>
          <w:color w:val="auto"/>
          <w:sz w:val="21"/>
          <w:szCs w:val="21"/>
          <w:highlight w:val="none"/>
        </w:rPr>
        <w:t>退还甲方，给甲方造成损失的，乙方须向甲方或其权属公司赔偿相应损失。</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（三）合同价税合计暂定为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），其中，净资产审计服务</w:t>
      </w:r>
      <w:r>
        <w:rPr>
          <w:rFonts w:hint="eastAsia" w:ascii="宋体" w:hAnsi="宋体" w:cs="宋体"/>
          <w:color w:val="auto"/>
          <w:sz w:val="21"/>
          <w:szCs w:val="21"/>
          <w:highlight w:val="none"/>
          <w:lang w:val="en-US" w:eastAsia="zh-CN"/>
        </w:rPr>
        <w:t>价税合计暂定</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）；清算审计服务</w:t>
      </w:r>
      <w:r>
        <w:rPr>
          <w:rFonts w:hint="eastAsia" w:ascii="宋体" w:hAnsi="宋体" w:cs="宋体"/>
          <w:color w:val="auto"/>
          <w:sz w:val="21"/>
          <w:szCs w:val="21"/>
          <w:highlight w:val="none"/>
          <w:lang w:val="en-US" w:eastAsia="zh-CN"/>
        </w:rPr>
        <w:t>价税合计暂定</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）；财税咨询服务</w:t>
      </w:r>
      <w:r>
        <w:rPr>
          <w:rFonts w:hint="eastAsia" w:ascii="宋体" w:hAnsi="宋体" w:cs="宋体"/>
          <w:color w:val="auto"/>
          <w:sz w:val="21"/>
          <w:szCs w:val="21"/>
          <w:highlight w:val="none"/>
          <w:lang w:val="en-US" w:eastAsia="zh-CN"/>
        </w:rPr>
        <w:t>价税合计暂定</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合同履行期间根据本条第（二）项规定调整销项税额的，结算合同价税合计对应调整。</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（四）合同价为乙方完成本合同项下义务的全部费用，</w:t>
      </w:r>
      <w:r>
        <w:rPr>
          <w:rFonts w:hint="eastAsia" w:ascii="宋体" w:hAnsi="宋体" w:eastAsia="宋体" w:cs="宋体"/>
          <w:color w:val="auto"/>
          <w:sz w:val="21"/>
          <w:szCs w:val="21"/>
          <w:highlight w:val="none"/>
          <w:lang w:val="zh-CN"/>
        </w:rPr>
        <w:t>包括但不限于</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zh-CN"/>
        </w:rPr>
        <w:t>专业咨询、资料收集（含购买）、材料撰写、项目辅导、人员培训、项目成果文件编制、成果文件印刷、往来询证函费（除银行询证函费用外）等费用；</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zh-CN"/>
        </w:rPr>
        <w:t>服务期间人员工资、管理费、交通费、通讯费、餐饮、差旅费、保险费等一切费用；</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zh-CN"/>
        </w:rPr>
        <w:t>所有应支付的对专利权、著作权、商标权或其他知识产权而需要向其他方支付的知识产权使用费等；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zh-CN"/>
        </w:rPr>
        <w:t>合理利润、</w:t>
      </w:r>
      <w:r>
        <w:rPr>
          <w:rFonts w:hint="eastAsia" w:ascii="宋体" w:hAnsi="宋体" w:cs="宋体"/>
          <w:b w:val="0"/>
          <w:bCs w:val="0"/>
          <w:color w:val="auto"/>
          <w:sz w:val="21"/>
          <w:szCs w:val="21"/>
          <w:highlight w:val="none"/>
          <w:u w:val="none"/>
          <w:lang w:val="en-US" w:eastAsia="zh-CN"/>
        </w:rPr>
        <w:t>乙方</w:t>
      </w:r>
      <w:r>
        <w:rPr>
          <w:rFonts w:hint="eastAsia" w:ascii="宋体" w:hAnsi="宋体" w:eastAsia="宋体" w:cs="宋体"/>
          <w:b w:val="0"/>
          <w:bCs w:val="0"/>
          <w:color w:val="auto"/>
          <w:sz w:val="21"/>
          <w:szCs w:val="21"/>
          <w:highlight w:val="none"/>
          <w:u w:val="none"/>
          <w:lang w:val="zh-CN"/>
        </w:rPr>
        <w:t>销项税额以外的税费等；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zh-CN"/>
        </w:rPr>
        <w:t>法律法规、商业公认、竞争性磋商文件规定由</w:t>
      </w:r>
      <w:r>
        <w:rPr>
          <w:rFonts w:hint="eastAsia" w:ascii="宋体" w:hAnsi="宋体" w:eastAsia="宋体" w:cs="宋体"/>
          <w:b w:val="0"/>
          <w:bCs w:val="0"/>
          <w:color w:val="auto"/>
          <w:sz w:val="21"/>
          <w:szCs w:val="21"/>
          <w:highlight w:val="none"/>
          <w:u w:val="none"/>
          <w:lang w:val="en-US" w:eastAsia="zh-CN"/>
        </w:rPr>
        <w:t>乙方</w:t>
      </w:r>
      <w:r>
        <w:rPr>
          <w:rFonts w:hint="eastAsia" w:ascii="宋体" w:hAnsi="宋体" w:eastAsia="宋体" w:cs="宋体"/>
          <w:b w:val="0"/>
          <w:bCs w:val="0"/>
          <w:color w:val="auto"/>
          <w:sz w:val="21"/>
          <w:szCs w:val="21"/>
          <w:highlight w:val="none"/>
          <w:u w:val="none"/>
          <w:lang w:val="zh-CN"/>
        </w:rPr>
        <w:t>承担的其他费用</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的履约过程中，乙方根据本合同约定需向甲方支付违约金、赔偿金、或其他应付费用等款项的，乙方必须向甲方支付完相关款项后，甲方才根据本合同约定向乙方支付合同价和税额。若因乙方未能支付前述费用，甲方有权直接从未付合同款项中直接扣除，且乙方必须按照扣除前述费用前的合同价（销售额）开具增值税专用发票，保证增值税税额符合法律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（六）服务费用</w:t>
      </w:r>
      <w:r>
        <w:rPr>
          <w:rFonts w:hint="eastAsia" w:ascii="宋体" w:hAnsi="宋体" w:eastAsia="宋体" w:cs="宋体"/>
          <w:color w:val="auto"/>
          <w:sz w:val="21"/>
          <w:szCs w:val="21"/>
          <w:highlight w:val="none"/>
          <w:lang w:val="en-US" w:eastAsia="zh-CN"/>
        </w:rPr>
        <w:t>按阶段</w:t>
      </w:r>
      <w:r>
        <w:rPr>
          <w:rFonts w:hint="eastAsia" w:ascii="宋体" w:hAnsi="宋体" w:eastAsia="宋体" w:cs="宋体"/>
          <w:color w:val="auto"/>
          <w:sz w:val="21"/>
          <w:szCs w:val="21"/>
          <w:highlight w:val="none"/>
        </w:rPr>
        <w:t>采用分次</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，具体如下：</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1.乙方</w:t>
      </w:r>
      <w:r>
        <w:rPr>
          <w:rFonts w:hint="eastAsia" w:ascii="宋体" w:hAnsi="宋体" w:eastAsia="宋体" w:cs="宋体"/>
          <w:color w:val="auto"/>
          <w:sz w:val="21"/>
          <w:szCs w:val="21"/>
          <w:highlight w:val="none"/>
        </w:rPr>
        <w:t>完成智汇公司净资产审计工作，出具净资产审计报告，并向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提供请款报告、等额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真实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有效的增值税专用发票，经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审核无误后15个工作日内向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一次性支付净资产审计</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2.乙方</w:t>
      </w:r>
      <w:r>
        <w:rPr>
          <w:rFonts w:hint="eastAsia" w:ascii="宋体" w:hAnsi="宋体" w:eastAsia="宋体" w:cs="宋体"/>
          <w:color w:val="auto"/>
          <w:sz w:val="21"/>
          <w:szCs w:val="21"/>
          <w:highlight w:val="none"/>
        </w:rPr>
        <w:t>完成智汇公司清算审计工作，出具清算审计报告，并协助智汇公司完成税务注销工作，向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提供请款报告、等额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真实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有效的增值税专用发票，经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审核无误后15个工作日内向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一次性支付清算审计</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3.乙方</w:t>
      </w:r>
      <w:r>
        <w:rPr>
          <w:rFonts w:hint="eastAsia" w:ascii="宋体" w:hAnsi="宋体" w:eastAsia="宋体" w:cs="宋体"/>
          <w:color w:val="auto"/>
          <w:sz w:val="21"/>
          <w:szCs w:val="21"/>
          <w:highlight w:val="none"/>
        </w:rPr>
        <w:t>完成吸收合并过程所有财税服务工作，出具财税指导意见及相关报告，向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提供请款报告、等额真实有效的增值税专用发票，经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审核无误后15个工作日内向服务单位一次性支付财税</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rPr>
        <w:t>服务费用</w:t>
      </w:r>
      <w:r>
        <w:rPr>
          <w:rFonts w:hint="eastAsia" w:ascii="宋体" w:hAnsi="宋体" w:cs="宋体"/>
          <w:color w:val="auto"/>
          <w:sz w:val="21"/>
          <w:szCs w:val="21"/>
          <w:highlight w:val="none"/>
          <w:lang w:val="en-US" w:eastAsia="zh-CN"/>
        </w:rPr>
        <w:t>及对应增值税</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逾期提交请款报告及发票，或请款报告及发票不符合税务机关、甲方要求的，甲方有权顺延付款，且无需承担逾期付款的违约责任，乙方不得以此为由拒绝履行合同。由于乙方提供的发票不符合税法规定，给甲方造成的损失由乙方承担赔偿责任，乙方不得以此延迟而拒绝履行合同义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（七）乙方收款账户信息</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pPr>
        <w:keepNext w:val="0"/>
        <w:keepLines w:val="0"/>
        <w:pageBreakBefore w:val="0"/>
        <w:numPr>
          <w:ilvl w:val="0"/>
          <w:numId w:val="12"/>
        </w:numPr>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（一）净资产审计服务 </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划转基准日</w:t>
      </w:r>
      <w:r>
        <w:rPr>
          <w:rFonts w:hint="eastAsia" w:ascii="宋体" w:hAnsi="宋体" w:eastAsia="宋体" w:cs="宋体"/>
          <w:color w:val="auto"/>
          <w:kern w:val="0"/>
          <w:sz w:val="21"/>
          <w:szCs w:val="21"/>
          <w:highlight w:val="none"/>
          <w:lang w:bidi="ar"/>
        </w:rPr>
        <w:t>：暂定2025年7月31日，最终以</w:t>
      </w:r>
      <w:r>
        <w:rPr>
          <w:rFonts w:hint="eastAsia" w:ascii="宋体" w:hAnsi="宋体" w:eastAsia="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通知为准；</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2、对智汇公司划转基准日净资产财务数据进行审计，并按要求出具相应的净资产审计报告。报告需对净资产的真实性、合法性发表专业意见，为企业管理层、股东、债权人等利益相关方提供可靠的决策依据。</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（二）清算审计服务</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bookmarkStart w:id="277" w:name="OLE_LINK4"/>
      <w:r>
        <w:rPr>
          <w:rFonts w:hint="eastAsia" w:ascii="宋体" w:hAnsi="宋体" w:cs="宋体"/>
          <w:color w:val="auto"/>
          <w:kern w:val="0"/>
          <w:sz w:val="21"/>
          <w:szCs w:val="21"/>
          <w:highlight w:val="none"/>
          <w:lang w:val="en-US" w:eastAsia="zh-CN" w:bidi="ar"/>
        </w:rPr>
        <w:t>乙方</w:t>
      </w:r>
      <w:r>
        <w:rPr>
          <w:rFonts w:hint="eastAsia" w:ascii="宋体" w:hAnsi="宋体" w:eastAsia="宋体" w:cs="宋体"/>
          <w:color w:val="auto"/>
          <w:kern w:val="0"/>
          <w:sz w:val="21"/>
          <w:szCs w:val="21"/>
          <w:highlight w:val="none"/>
          <w:lang w:bidi="ar"/>
        </w:rPr>
        <w:t>应结合东莞市水务集团实业发展有限公司提供的清算注销工作计划安排</w:t>
      </w:r>
      <w:bookmarkEnd w:id="277"/>
      <w:r>
        <w:rPr>
          <w:rFonts w:hint="eastAsia" w:ascii="宋体" w:hAnsi="宋体" w:eastAsia="宋体" w:cs="宋体"/>
          <w:color w:val="auto"/>
          <w:kern w:val="0"/>
          <w:sz w:val="21"/>
          <w:szCs w:val="21"/>
          <w:highlight w:val="none"/>
          <w:lang w:bidi="ar"/>
        </w:rPr>
        <w:t>，出具智汇公司清算审计报告，并协助智汇公司完成税务注销工作。</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（三）财税服务</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围绕吸收合并过程中涉及的财税问题提供服务工作，主要内容包括但不限于以下方面：    </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1、提供吸收合并过程中涉及的财税政策解读及合规建议；</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2、提供吸收合并后</w:t>
      </w:r>
      <w:r>
        <w:rPr>
          <w:rFonts w:hint="eastAsia" w:ascii="宋体" w:hAnsi="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及其母公司实业公司财务合并、账务处理及税务处理的专业指导，协助</w:t>
      </w:r>
      <w:r>
        <w:rPr>
          <w:rFonts w:hint="eastAsia" w:ascii="宋体" w:hAnsi="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完成吸收合并相关的税务申报，包括特殊性税务处理备案、免税申报、留抵进项税转移、税款清算等，确保资料完整、流程合法合规；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3、针对吸收合并过程及智汇公司税务注销过程中发现的历史税务问题或税务机关提出的质疑或疑问，提供财税意见支持，必要时出具相关书面意见，并协助合并双方与其主管税务机关沟通协调，解决争议。</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第四条 </w:t>
      </w:r>
      <w:r>
        <w:rPr>
          <w:rFonts w:hint="eastAsia" w:ascii="宋体" w:hAnsi="宋体" w:eastAsia="宋体" w:cs="宋体"/>
          <w:b/>
          <w:color w:val="auto"/>
          <w:sz w:val="21"/>
          <w:szCs w:val="21"/>
          <w:highlight w:val="none"/>
        </w:rPr>
        <w:t>服务要求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（一）前期工作要求：乙方应按照</w:t>
      </w:r>
      <w:r>
        <w:rPr>
          <w:rFonts w:hint="eastAsia" w:ascii="宋体" w:hAnsi="宋体" w:cs="宋体"/>
          <w:color w:val="auto"/>
          <w:kern w:val="0"/>
          <w:sz w:val="21"/>
          <w:szCs w:val="21"/>
          <w:highlight w:val="none"/>
          <w:lang w:val="en-US" w:eastAsia="zh-CN" w:bidi="ar"/>
        </w:rPr>
        <w:t>用户需求书（附件二）</w:t>
      </w:r>
      <w:r>
        <w:rPr>
          <w:rFonts w:hint="eastAsia" w:ascii="宋体" w:hAnsi="宋体" w:eastAsia="宋体" w:cs="宋体"/>
          <w:color w:val="auto"/>
          <w:kern w:val="0"/>
          <w:sz w:val="21"/>
          <w:szCs w:val="21"/>
          <w:highlight w:val="none"/>
          <w:lang w:val="en-US" w:eastAsia="zh-CN" w:bidi="ar"/>
        </w:rPr>
        <w:t>、实际情况和任务目标要求，制定审计工作方案及实施计划。</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（二）进度管理要求：在审计、财税服务实施过程中，乙方应按计划及时出具并向甲方报送节点成果报告。</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（三）成果提交要求：</w:t>
      </w:r>
      <w:r>
        <w:rPr>
          <w:rFonts w:hint="eastAsia" w:ascii="宋体" w:hAnsi="宋体" w:cs="宋体"/>
          <w:color w:val="auto"/>
          <w:kern w:val="0"/>
          <w:sz w:val="21"/>
          <w:szCs w:val="21"/>
          <w:highlight w:val="none"/>
          <w:lang w:val="en-US" w:eastAsia="zh-CN" w:bidi="ar"/>
        </w:rPr>
        <w:t>乙方应在合同签署时明确告知甲方需要提供的审计资料，并积极协助甲方收集、提供审计资料。甲方提供审计资料后如乙方认为需要补充，应于甲方提供审计资料后的2个自然日内书面反馈，否则视为甲方已完成提供审计资料义务，从甲方提供审计资料之次日起起算乙方应出具审计报告的期限。</w:t>
      </w:r>
      <w:r>
        <w:rPr>
          <w:rFonts w:hint="eastAsia" w:ascii="宋体" w:hAnsi="宋体" w:eastAsia="宋体" w:cs="宋体"/>
          <w:b w:val="0"/>
          <w:bCs w:val="0"/>
          <w:color w:val="auto"/>
          <w:kern w:val="0"/>
          <w:sz w:val="21"/>
          <w:szCs w:val="21"/>
          <w:highlight w:val="none"/>
          <w:lang w:val="en-US" w:eastAsia="zh-CN" w:bidi="ar"/>
        </w:rPr>
        <w:t>乙方需在甲方提供审计资料后30个自然日内出具净资产审计报告、清算审计报告，在甲方提出财税咨询服务需求2个自然日内提供指导意见，在甲方完成吸收合并工作后15个自然日内将吸收合并过程中的涉税政策、办理流程、涉税咨询服务指导意见等形成报告等成果文件</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盖章版书面报告</w:t>
      </w:r>
      <w:r>
        <w:rPr>
          <w:rFonts w:hint="eastAsia" w:ascii="宋体" w:hAnsi="宋体" w:eastAsia="宋体" w:cs="宋体"/>
          <w:color w:val="auto"/>
          <w:kern w:val="0"/>
          <w:sz w:val="21"/>
          <w:szCs w:val="21"/>
          <w:highlight w:val="none"/>
          <w:lang w:val="en-US" w:eastAsia="zh-CN" w:bidi="ar"/>
        </w:rPr>
        <w:t>一式三份</w:t>
      </w:r>
      <w:r>
        <w:rPr>
          <w:rFonts w:hint="eastAsia" w:ascii="宋体" w:hAnsi="宋体" w:cs="宋体"/>
          <w:color w:val="auto"/>
          <w:kern w:val="0"/>
          <w:sz w:val="21"/>
          <w:szCs w:val="21"/>
          <w:highlight w:val="none"/>
          <w:lang w:val="en-US" w:eastAsia="zh-CN" w:bidi="ar"/>
        </w:rPr>
        <w:t>提交甲方</w:t>
      </w:r>
      <w:r>
        <w:rPr>
          <w:rFonts w:hint="eastAsia" w:ascii="宋体" w:hAnsi="宋体" w:eastAsia="宋体" w:cs="宋体"/>
          <w:b w:val="0"/>
          <w:bCs w:val="0"/>
          <w:color w:val="auto"/>
          <w:kern w:val="0"/>
          <w:sz w:val="21"/>
          <w:szCs w:val="21"/>
          <w:highlight w:val="none"/>
          <w:lang w:val="en-US" w:eastAsia="zh-CN" w:bidi="ar"/>
        </w:rPr>
        <w:t>。</w:t>
      </w:r>
    </w:p>
    <w:p>
      <w:pPr>
        <w:keepNext w:val="0"/>
        <w:keepLines w:val="0"/>
        <w:pageBreakBefore w:val="0"/>
        <w:numPr>
          <w:ilvl w:val="0"/>
          <w:numId w:val="0"/>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四）成果运用要求：乙方须保证，按要求对审计及财税服务全过程提供的文件信息履行保密义务。对审计服务、财税服务过程中产生的所有成果文件信息，乙方应做好科学归档工作，服务结束后应全部交付甲方并按</w:t>
      </w:r>
      <w:r>
        <w:rPr>
          <w:rFonts w:hint="eastAsia" w:ascii="宋体" w:hAnsi="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val="en-US" w:eastAsia="zh-CN" w:bidi="ar"/>
        </w:rPr>
        <w:t>实际要求履行解释义务。</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甲方权利和义务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（一）甲方有权要求乙方按</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rPr>
        <w:t>合同约定提供</w:t>
      </w:r>
      <w:r>
        <w:rPr>
          <w:rFonts w:hint="eastAsia" w:ascii="宋体" w:hAnsi="宋体" w:eastAsia="宋体" w:cs="宋体"/>
          <w:color w:val="auto"/>
          <w:sz w:val="21"/>
          <w:szCs w:val="21"/>
          <w:highlight w:val="none"/>
          <w:lang w:val="en-US" w:eastAsia="zh-CN"/>
        </w:rPr>
        <w:t>服务对接人员、</w:t>
      </w:r>
      <w:r>
        <w:rPr>
          <w:rFonts w:hint="eastAsia" w:ascii="宋体" w:hAnsi="宋体" w:eastAsia="宋体" w:cs="宋体"/>
          <w:color w:val="auto"/>
          <w:sz w:val="21"/>
          <w:szCs w:val="21"/>
          <w:highlight w:val="none"/>
        </w:rPr>
        <w:t>成果文件和咨询服务。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（二）甲方应及时向乙方提供履行本合同范围内服务所需的信息和内部相关资料，并且甲方需要为乙方提供必要的人员安排、场地等现场工作支持。</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（三）甲方有义务协调和组织各有关方面人员,对乙方项目结果予以审议。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（四）在合同履行期间，甲方要求终止或解除合同，乙方未开始工作的，双方互不追究各方责任；已开始工作的，甲方根据经其确认的乙方已进行的实际工作量据实结算相关费用。</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（五）甲方有权对乙方履行本合同的情况进行监督，对乙方不符合本合同的行为要求整改。如发现乙方违反本合同有关规定或承诺的，甲方有权追究乙方的违约责任。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（六）甲方有权要求乙方对其所提交的成果文件进行解释、说明或解答</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提出的质询等。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（七）在合同履行期间，根据实际需要，甲方有权对服务内容、要求等进行调整，乙方应当遵守执行，并不得以此为由要求甲方支付任何补偿或赔偿。</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乙方权利和义务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（一）本合同履行过程中，乙方的服务人员应保持相对稳定，以保证服务工作正常进行。乙方指定项目</w:t>
      </w: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人（姓名：【】；联系电话：【】）负责与甲方的日常对接。</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（二）认真完成本合同的规定的服务内容，确保相关的指导服务依法依规，符合甲方合法的利益，与甲方形成良好的互动沟通，形成的文件、报告等应确保真实、合法，不得弄虚作假。</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（三）乙方应对最终成果文件出现的遗漏或错误无条件负责修改或补充，使其符合甲方要求。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（四）保障甲方的利益，保守甲方的商业和技术机密，不得向任何不相关的第三方透露甲方任何数据文字等信息，否则应承担给甲方造成的损失。</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（五）乙方保证其提供的资料不会侵犯任何第三方的知识产权或其他任何权利，否则由乙方承担相应的法律责任以及给甲方造成损失的赔偿责任。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（六）乙方保证按照合同约定内容和服务方式以及甲方提出的工作进度</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，按时完成甲方委托的</w:t>
      </w:r>
      <w:r>
        <w:rPr>
          <w:rFonts w:hint="eastAsia" w:ascii="宋体" w:hAnsi="宋体" w:cs="宋体"/>
          <w:color w:val="auto"/>
          <w:sz w:val="21"/>
          <w:szCs w:val="21"/>
          <w:highlight w:val="none"/>
          <w:lang w:val="en-US" w:eastAsia="zh-CN"/>
        </w:rPr>
        <w:t>各项</w:t>
      </w:r>
      <w:r>
        <w:rPr>
          <w:rFonts w:hint="eastAsia" w:ascii="宋体" w:hAnsi="宋体" w:eastAsia="宋体" w:cs="宋体"/>
          <w:color w:val="auto"/>
          <w:sz w:val="21"/>
          <w:szCs w:val="21"/>
          <w:highlight w:val="none"/>
        </w:rPr>
        <w:t>工作。</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（七）未经甲方书面同意，乙方不得将本合同或合同项下服务内容全部或部分转让给第三方执行。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color w:val="auto"/>
          <w:sz w:val="21"/>
          <w:szCs w:val="21"/>
          <w:highlight w:val="none"/>
        </w:rPr>
        <w:t>（八）乙方有义务及时回复甲方所提出的与项目有关的问题。</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违约责任</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shd w:val="clear" w:color="auto" w:fill="FFFFFF"/>
        </w:rPr>
        <w:t>在本合同履行期间，</w:t>
      </w:r>
      <w:r>
        <w:rPr>
          <w:rFonts w:hint="eastAsia" w:ascii="宋体" w:hAnsi="宋体" w:eastAsia="宋体" w:cs="宋体"/>
          <w:color w:val="auto"/>
          <w:sz w:val="21"/>
          <w:szCs w:val="21"/>
          <w:highlight w:val="none"/>
        </w:rPr>
        <w:t>无论何种原因，乙方均不得消极怠工或拒不履行合同义务，如有违反，甲方有权就违约事宜提出改正，如乙方仍拒不改正的，甲方有权解除合同，要求乙方按合同价的20%承担违约金，同时并有权委托第三方继续履行本合同义务，由此产生的费用及给甲方造成的一切损失由乙方承担。</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shd w:val="clear" w:color="auto" w:fill="FFFFFF"/>
        </w:rPr>
        <w:t>乙方应按合同约定完成咨询服务工作，按期提交</w:t>
      </w:r>
      <w:r>
        <w:rPr>
          <w:rFonts w:hint="eastAsia" w:ascii="宋体" w:hAnsi="宋体" w:cs="宋体"/>
          <w:color w:val="auto"/>
          <w:sz w:val="21"/>
          <w:szCs w:val="21"/>
          <w:highlight w:val="none"/>
          <w:shd w:val="clear" w:color="auto" w:fill="FFFFFF"/>
          <w:lang w:val="en-US" w:eastAsia="zh-CN"/>
        </w:rPr>
        <w:t>符合合同要求的</w:t>
      </w:r>
      <w:r>
        <w:rPr>
          <w:rFonts w:hint="eastAsia" w:ascii="宋体" w:hAnsi="宋体" w:eastAsia="宋体" w:cs="宋体"/>
          <w:color w:val="auto"/>
          <w:sz w:val="21"/>
          <w:szCs w:val="21"/>
          <w:highlight w:val="none"/>
          <w:shd w:val="clear" w:color="auto" w:fill="FFFFFF"/>
        </w:rPr>
        <w:t>工作成果，</w:t>
      </w:r>
      <w:r>
        <w:rPr>
          <w:rFonts w:hint="eastAsia" w:ascii="宋体" w:hAnsi="宋体" w:eastAsia="宋体" w:cs="宋体"/>
          <w:color w:val="auto"/>
          <w:sz w:val="21"/>
          <w:szCs w:val="21"/>
          <w:highlight w:val="none"/>
        </w:rPr>
        <w:t>如因非甲方原因造成逾期的</w:t>
      </w:r>
      <w:r>
        <w:rPr>
          <w:rFonts w:hint="eastAsia" w:ascii="宋体" w:hAnsi="宋体" w:eastAsia="宋体" w:cs="宋体"/>
          <w:color w:val="auto"/>
          <w:sz w:val="21"/>
          <w:szCs w:val="21"/>
          <w:highlight w:val="none"/>
          <w:shd w:val="clear" w:color="auto" w:fill="FFFFFF"/>
        </w:rPr>
        <w:t>，每逾期一日，甲方有权要求乙方按合同价</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的标准向甲方支付违约金，逾期超过10日的，甲方还有权单方解除本合同，不予支付任何服务费用，</w:t>
      </w:r>
      <w:r>
        <w:rPr>
          <w:rFonts w:hint="eastAsia" w:ascii="宋体" w:hAnsi="宋体" w:cs="宋体"/>
          <w:color w:val="auto"/>
          <w:sz w:val="21"/>
          <w:szCs w:val="21"/>
          <w:highlight w:val="none"/>
          <w:shd w:val="clear" w:color="auto" w:fill="FFFFFF"/>
          <w:lang w:val="en-US" w:eastAsia="zh-CN"/>
        </w:rPr>
        <w:t>且</w:t>
      </w:r>
      <w:r>
        <w:rPr>
          <w:rFonts w:hint="eastAsia" w:ascii="宋体" w:hAnsi="宋体" w:eastAsia="宋体" w:cs="宋体"/>
          <w:color w:val="auto"/>
          <w:sz w:val="21"/>
          <w:szCs w:val="21"/>
          <w:highlight w:val="none"/>
          <w:shd w:val="clear" w:color="auto" w:fill="FFFFFF"/>
        </w:rPr>
        <w:t>乙方</w:t>
      </w:r>
      <w:r>
        <w:rPr>
          <w:rFonts w:hint="eastAsia" w:ascii="宋体" w:hAnsi="宋体" w:cs="宋体"/>
          <w:color w:val="auto"/>
          <w:sz w:val="21"/>
          <w:szCs w:val="21"/>
          <w:highlight w:val="none"/>
          <w:shd w:val="clear" w:color="auto" w:fill="FFFFFF"/>
          <w:lang w:val="en-US" w:eastAsia="zh-CN"/>
        </w:rPr>
        <w:t>应当</w:t>
      </w:r>
      <w:r>
        <w:rPr>
          <w:rFonts w:hint="eastAsia" w:ascii="宋体" w:hAnsi="宋体" w:eastAsia="宋体" w:cs="宋体"/>
          <w:color w:val="auto"/>
          <w:sz w:val="21"/>
          <w:szCs w:val="21"/>
          <w:highlight w:val="none"/>
          <w:shd w:val="clear" w:color="auto" w:fill="FFFFFF"/>
        </w:rPr>
        <w:t>按合同价的20%</w:t>
      </w:r>
      <w:r>
        <w:rPr>
          <w:rFonts w:hint="eastAsia" w:ascii="宋体" w:hAnsi="宋体" w:cs="宋体"/>
          <w:color w:val="auto"/>
          <w:sz w:val="21"/>
          <w:szCs w:val="21"/>
          <w:highlight w:val="none"/>
          <w:shd w:val="clear" w:color="auto" w:fill="FFFFFF"/>
          <w:lang w:val="en-US" w:eastAsia="zh-CN"/>
        </w:rPr>
        <w:t>支付违约金</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同时甲方</w:t>
      </w:r>
      <w:r>
        <w:rPr>
          <w:rFonts w:hint="eastAsia" w:ascii="宋体" w:hAnsi="宋体" w:eastAsia="宋体" w:cs="宋体"/>
          <w:color w:val="auto"/>
          <w:sz w:val="21"/>
          <w:szCs w:val="21"/>
          <w:highlight w:val="none"/>
          <w:shd w:val="clear" w:color="auto" w:fill="FFFFFF"/>
        </w:rPr>
        <w:t>有权委托第三方继续履行本合同义务，由此产生的费用及给甲方造成的一切损失由乙方承担。违约金不足以赔偿甲方损失的，乙方需继续赔偿。</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shd w:val="clear" w:color="auto" w:fill="FFFFFF"/>
        </w:rPr>
        <w:t>对成果文件出现的遗漏或错误，乙方应无条件负责在2</w:t>
      </w:r>
      <w:r>
        <w:rPr>
          <w:rFonts w:hint="eastAsia" w:ascii="宋体" w:hAnsi="宋体" w:cs="宋体"/>
          <w:color w:val="auto"/>
          <w:sz w:val="21"/>
          <w:szCs w:val="21"/>
          <w:highlight w:val="none"/>
          <w:shd w:val="clear" w:color="auto" w:fill="FFFFFF"/>
          <w:lang w:val="en-US" w:eastAsia="zh-CN"/>
        </w:rPr>
        <w:t>个自然</w:t>
      </w:r>
      <w:r>
        <w:rPr>
          <w:rFonts w:hint="eastAsia" w:ascii="宋体" w:hAnsi="宋体" w:eastAsia="宋体" w:cs="宋体"/>
          <w:color w:val="auto"/>
          <w:sz w:val="21"/>
          <w:szCs w:val="21"/>
          <w:highlight w:val="none"/>
          <w:shd w:val="clear" w:color="auto" w:fill="FFFFFF"/>
        </w:rPr>
        <w:t>日内修改或补充。乙方怠于修改、补充成果文件或经3次补充修善后仍无法达到甲方要求的，甲方有权解除本合同，不予支付任何费用，并要求乙方按合同价的20%</w:t>
      </w:r>
      <w:r>
        <w:rPr>
          <w:rFonts w:hint="eastAsia" w:ascii="宋体" w:hAnsi="宋体" w:cs="宋体"/>
          <w:color w:val="auto"/>
          <w:sz w:val="21"/>
          <w:szCs w:val="21"/>
          <w:highlight w:val="none"/>
          <w:shd w:val="clear" w:color="auto" w:fill="FFFFFF"/>
          <w:lang w:val="en-US" w:eastAsia="zh-CN"/>
        </w:rPr>
        <w:t>支付违约金</w:t>
      </w:r>
      <w:r>
        <w:rPr>
          <w:rFonts w:hint="eastAsia" w:ascii="宋体" w:hAnsi="宋体" w:eastAsia="宋体" w:cs="宋体"/>
          <w:color w:val="auto"/>
          <w:sz w:val="21"/>
          <w:szCs w:val="21"/>
          <w:highlight w:val="none"/>
          <w:shd w:val="clear" w:color="auto" w:fill="FFFFFF"/>
        </w:rPr>
        <w:t>。由此造成甲方损失的，乙方应当予以赔偿。</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shd w:val="clear" w:color="auto" w:fill="FFFFFF"/>
        </w:rPr>
        <w:t>由于乙方提交的成果文件遗漏或错误等原因造成甲方经济损失的，乙方除无条件负责采取补救措施外，应免收受损失部分的咨询服务费，并应对造成的损失（包括但不限于甲方及相关单位损失赔偿、第三人侵权赔偿责任等）承担赔偿责任。同时，乙方应按合同价的20%向甲方支付违约金。</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shd w:val="clear" w:color="auto" w:fill="FFFFFF"/>
        </w:rPr>
        <w:t>乙方工作人员在履行合同过程中，存在疏忽、失职、过错等给甲方造成损失或侵害的，包括但不限于甲方的财产损失、由此导致的甲方对第三方承担的法律责任，乙方应对此承担全部赔偿责任。</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shd w:val="clear" w:color="auto" w:fill="FFFFFF"/>
        </w:rPr>
        <w:t>因乙方违反本合同约定产生的违约金、赔偿金等，甲方有权在未付服务费中直接扣除，如造成甲方损失，且实际损失高于违约金的，甲方有权另行追偿。</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shd w:val="clear" w:color="auto" w:fill="FFFFFF"/>
        </w:rPr>
        <w:t>若乙方未经甲方书面同意，将本合同或本合同项下服务内容全部或部分转让给第三方的，甲方有权单方解除合同，不予支付任何费用，并要求乙方支付合同价的20%的违约金，违约金不足以弥补甲方损失的，甲方有权继续向乙方追索。</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shd w:val="clear" w:color="auto" w:fill="FFFFFF"/>
        </w:rPr>
        <w:t>乙方保证对其在讨论、签订、履行本合同过程中所获悉的属于甲方的且无法从公开渠道获得的文件资料及项目信息予以严格保密并应采取相应的保密措施，保证其自身及工作人员不私下使用或向任何第三方泄露，否则，视为乙方违约，甲方有权要求乙方支付合同价的20%的违约金，且乙方须承担由此给甲方造成的一切损失。乙方及其工作人员的保密义务不因本合同的终止而终止，直至相关保密信息被合法公开时止。</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（九）在本合同项下，甲方的损失包括但不限于甲方另行委托第三方提供咨询服务所产生的差价、诉讼费/仲裁费、律师费、保全费、担保费、差旅费等。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除合同约定外，</w:t>
      </w:r>
      <w:r>
        <w:rPr>
          <w:rFonts w:hint="eastAsia" w:ascii="宋体" w:hAnsi="宋体" w:cs="宋体"/>
          <w:color w:val="auto"/>
          <w:sz w:val="21"/>
          <w:szCs w:val="21"/>
          <w:highlight w:val="none"/>
          <w:shd w:val="clear" w:color="auto" w:fill="FFFFFF"/>
          <w:lang w:val="en-US" w:eastAsia="zh-CN"/>
        </w:rPr>
        <w:t>乙方或乙方人员</w:t>
      </w:r>
      <w:r>
        <w:rPr>
          <w:rFonts w:hint="eastAsia" w:ascii="宋体" w:hAnsi="宋体" w:eastAsia="宋体" w:cs="宋体"/>
          <w:color w:val="auto"/>
          <w:sz w:val="21"/>
          <w:szCs w:val="21"/>
          <w:highlight w:val="none"/>
        </w:rPr>
        <w:t>发生下列任何情况时，</w:t>
      </w:r>
      <w:r>
        <w:rPr>
          <w:rFonts w:hint="eastAsia" w:ascii="宋体" w:hAnsi="宋体" w:eastAsia="宋体" w:cs="宋体"/>
          <w:color w:val="auto"/>
          <w:sz w:val="21"/>
          <w:szCs w:val="21"/>
          <w:highlight w:val="none"/>
          <w:lang w:val="en-US" w:eastAsia="zh-CN"/>
        </w:rPr>
        <w:t>甲方有权</w:t>
      </w:r>
      <w:r>
        <w:rPr>
          <w:rFonts w:hint="eastAsia" w:ascii="宋体" w:hAnsi="宋体" w:cs="宋体"/>
          <w:color w:val="auto"/>
          <w:sz w:val="21"/>
          <w:szCs w:val="21"/>
          <w:highlight w:val="none"/>
          <w:lang w:val="en-US" w:eastAsia="zh-CN"/>
        </w:rPr>
        <w:t>单方面终止本合同</w:t>
      </w:r>
      <w:r>
        <w:rPr>
          <w:rFonts w:hint="eastAsia" w:ascii="宋体" w:hAnsi="宋体" w:eastAsia="宋体" w:cs="宋体"/>
          <w:color w:val="auto"/>
          <w:sz w:val="21"/>
          <w:szCs w:val="21"/>
          <w:highlight w:val="none"/>
        </w:rPr>
        <w:t>，并追究</w:t>
      </w:r>
      <w:r>
        <w:rPr>
          <w:rFonts w:hint="default" w:ascii="宋体" w:hAnsi="宋体" w:eastAsia="宋体" w:cs="宋体"/>
          <w:color w:val="auto"/>
          <w:sz w:val="21"/>
          <w:szCs w:val="21"/>
          <w:highlight w:val="none"/>
          <w:lang w:val="en-US"/>
        </w:rPr>
        <w:t>其</w:t>
      </w:r>
      <w:r>
        <w:rPr>
          <w:rFonts w:hint="eastAsia" w:ascii="宋体" w:hAnsi="宋体" w:eastAsia="宋体" w:cs="宋体"/>
          <w:color w:val="auto"/>
          <w:sz w:val="21"/>
          <w:szCs w:val="21"/>
          <w:highlight w:val="none"/>
        </w:rPr>
        <w:t>经济和法律责任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包括1.</w:t>
      </w:r>
      <w:r>
        <w:rPr>
          <w:rFonts w:hint="eastAsia" w:ascii="宋体" w:hAnsi="宋体" w:eastAsia="宋体" w:cs="宋体"/>
          <w:color w:val="auto"/>
          <w:sz w:val="21"/>
          <w:szCs w:val="21"/>
          <w:highlight w:val="none"/>
        </w:rPr>
        <w:t>隐瞒审计发现的问题；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与被审计单位串通舞弊的行为；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利用受聘工作从被审计单位获取不正当利益；</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将审计结果</w:t>
      </w:r>
      <w:r>
        <w:rPr>
          <w:rFonts w:hint="eastAsia" w:ascii="宋体" w:hAnsi="宋体" w:eastAsia="宋体" w:cs="宋体"/>
          <w:color w:val="auto"/>
          <w:sz w:val="21"/>
          <w:szCs w:val="21"/>
          <w:highlight w:val="none"/>
          <w:lang w:val="en-US" w:eastAsia="zh-CN"/>
        </w:rPr>
        <w:t>及咨询服务成果</w:t>
      </w:r>
      <w:r>
        <w:rPr>
          <w:rFonts w:hint="eastAsia" w:ascii="宋体" w:hAnsi="宋体" w:eastAsia="宋体" w:cs="宋体"/>
          <w:color w:val="auto"/>
          <w:sz w:val="21"/>
          <w:szCs w:val="21"/>
          <w:highlight w:val="none"/>
        </w:rPr>
        <w:t>用于与</w:t>
      </w:r>
      <w:r>
        <w:rPr>
          <w:rFonts w:hint="eastAsia" w:ascii="宋体" w:hAnsi="宋体" w:eastAsia="宋体" w:cs="宋体"/>
          <w:color w:val="auto"/>
          <w:sz w:val="21"/>
          <w:szCs w:val="21"/>
          <w:highlight w:val="none"/>
          <w:lang w:val="en-US" w:eastAsia="zh-CN"/>
        </w:rPr>
        <w:t>本用户需求</w:t>
      </w:r>
      <w:r>
        <w:rPr>
          <w:rFonts w:hint="eastAsia" w:ascii="宋体" w:hAnsi="宋体" w:eastAsia="宋体" w:cs="宋体"/>
          <w:color w:val="auto"/>
          <w:sz w:val="21"/>
          <w:szCs w:val="21"/>
          <w:highlight w:val="none"/>
        </w:rPr>
        <w:t>事项无关目的；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违反保密纪律；</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向被审计单位提出与审计工作无关的要求；</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利用审计职权或知晓的被审计单位的商业秘密和内部信息，为自己和他人谋利等违反职业道德的行为；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违反保密条款。</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知识产权的归属及保密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（一）甲方对本合同产生的所有工作成果（包括最终成果及半成品）享有完全、独立、排他的所有权和知识产权，</w:t>
      </w:r>
      <w:r>
        <w:rPr>
          <w:rFonts w:hint="eastAsia" w:ascii="宋体" w:hAnsi="宋体" w:eastAsia="宋体" w:cs="宋体"/>
          <w:bCs w:val="0"/>
          <w:color w:val="auto"/>
          <w:kern w:val="0"/>
          <w:sz w:val="21"/>
          <w:szCs w:val="21"/>
          <w:highlight w:val="none"/>
          <w:lang w:val="en-US" w:eastAsia="zh-CN" w:bidi="ar-SA"/>
        </w:rPr>
        <w:t>乙方应保证提供</w:t>
      </w:r>
      <w:r>
        <w:rPr>
          <w:rFonts w:hint="eastAsia" w:ascii="宋体" w:hAnsi="宋体" w:eastAsia="宋体" w:cs="宋体"/>
          <w:color w:val="auto"/>
          <w:sz w:val="21"/>
          <w:szCs w:val="21"/>
          <w:highlight w:val="none"/>
        </w:rPr>
        <w:t>工作成果</w:t>
      </w:r>
      <w:r>
        <w:rPr>
          <w:rFonts w:hint="eastAsia" w:ascii="宋体" w:hAnsi="宋体" w:cs="宋体"/>
          <w:color w:val="auto"/>
          <w:sz w:val="21"/>
          <w:szCs w:val="21"/>
          <w:highlight w:val="none"/>
          <w:lang w:val="en-US" w:eastAsia="zh-CN"/>
        </w:rPr>
        <w:t>或</w:t>
      </w:r>
      <w:r>
        <w:rPr>
          <w:rFonts w:hint="eastAsia" w:ascii="宋体" w:hAnsi="宋体" w:cs="宋体"/>
          <w:bCs w:val="0"/>
          <w:color w:val="auto"/>
          <w:kern w:val="0"/>
          <w:sz w:val="21"/>
          <w:szCs w:val="21"/>
          <w:highlight w:val="none"/>
          <w:lang w:val="en-US" w:eastAsia="zh-CN" w:bidi="ar-SA"/>
        </w:rPr>
        <w:t>服务</w:t>
      </w:r>
      <w:r>
        <w:rPr>
          <w:rFonts w:hint="eastAsia" w:ascii="宋体" w:hAnsi="宋体" w:eastAsia="宋体" w:cs="宋体"/>
          <w:bCs w:val="0"/>
          <w:color w:val="auto"/>
          <w:kern w:val="0"/>
          <w:sz w:val="21"/>
          <w:szCs w:val="21"/>
          <w:highlight w:val="none"/>
          <w:lang w:val="en-US" w:eastAsia="zh-CN" w:bidi="ar-SA"/>
        </w:rPr>
        <w:t>不侵犯第三方的合法权益，如第三方以本合同</w:t>
      </w:r>
      <w:r>
        <w:rPr>
          <w:rFonts w:hint="eastAsia" w:ascii="宋体" w:hAnsi="宋体" w:eastAsia="宋体" w:cs="宋体"/>
          <w:color w:val="auto"/>
          <w:sz w:val="21"/>
          <w:szCs w:val="21"/>
          <w:highlight w:val="none"/>
        </w:rPr>
        <w:t>工作成果</w:t>
      </w:r>
      <w:r>
        <w:rPr>
          <w:rFonts w:hint="eastAsia" w:ascii="宋体" w:hAnsi="宋体" w:cs="宋体"/>
          <w:color w:val="auto"/>
          <w:sz w:val="21"/>
          <w:szCs w:val="21"/>
          <w:highlight w:val="none"/>
          <w:lang w:val="en-US" w:eastAsia="zh-CN"/>
        </w:rPr>
        <w:t>或</w:t>
      </w:r>
      <w:r>
        <w:rPr>
          <w:rFonts w:hint="eastAsia" w:ascii="宋体" w:hAnsi="宋体" w:cs="宋体"/>
          <w:bCs w:val="0"/>
          <w:color w:val="auto"/>
          <w:kern w:val="0"/>
          <w:sz w:val="21"/>
          <w:szCs w:val="21"/>
          <w:highlight w:val="none"/>
          <w:lang w:val="en-US" w:eastAsia="zh-CN" w:bidi="ar-SA"/>
        </w:rPr>
        <w:t>服务</w:t>
      </w:r>
      <w:r>
        <w:rPr>
          <w:rFonts w:hint="eastAsia" w:ascii="宋体" w:hAnsi="宋体" w:eastAsia="宋体" w:cs="宋体"/>
          <w:bCs w:val="0"/>
          <w:color w:val="auto"/>
          <w:kern w:val="0"/>
          <w:sz w:val="21"/>
          <w:szCs w:val="21"/>
          <w:highlight w:val="none"/>
          <w:lang w:val="en-US" w:eastAsia="zh-CN" w:bidi="ar-SA"/>
        </w:rPr>
        <w:t>侵权为由提起侵权主张，乙方须与第三方交涉并承担由此发生的一切责任、费用和经济赔偿。由于乙方提供的</w:t>
      </w:r>
      <w:r>
        <w:rPr>
          <w:rFonts w:hint="eastAsia" w:ascii="宋体" w:hAnsi="宋体" w:eastAsia="宋体" w:cs="宋体"/>
          <w:color w:val="auto"/>
          <w:sz w:val="21"/>
          <w:szCs w:val="21"/>
          <w:highlight w:val="none"/>
        </w:rPr>
        <w:t>工作成果</w:t>
      </w:r>
      <w:r>
        <w:rPr>
          <w:rFonts w:hint="eastAsia" w:ascii="宋体" w:hAnsi="宋体" w:cs="宋体"/>
          <w:color w:val="auto"/>
          <w:sz w:val="21"/>
          <w:szCs w:val="21"/>
          <w:highlight w:val="none"/>
          <w:lang w:val="en-US" w:eastAsia="zh-CN"/>
        </w:rPr>
        <w:t>或</w:t>
      </w:r>
      <w:r>
        <w:rPr>
          <w:rFonts w:hint="eastAsia" w:ascii="宋体" w:hAnsi="宋体" w:cs="宋体"/>
          <w:bCs w:val="0"/>
          <w:color w:val="auto"/>
          <w:kern w:val="0"/>
          <w:sz w:val="21"/>
          <w:szCs w:val="21"/>
          <w:highlight w:val="none"/>
          <w:lang w:val="en-US" w:eastAsia="zh-CN" w:bidi="ar-SA"/>
        </w:rPr>
        <w:t>服务</w:t>
      </w:r>
      <w:r>
        <w:rPr>
          <w:rFonts w:hint="eastAsia" w:ascii="宋体" w:hAnsi="宋体" w:eastAsia="宋体" w:cs="宋体"/>
          <w:bCs w:val="0"/>
          <w:color w:val="auto"/>
          <w:kern w:val="0"/>
          <w:sz w:val="21"/>
          <w:szCs w:val="21"/>
          <w:highlight w:val="none"/>
          <w:lang w:val="en-US" w:eastAsia="zh-CN" w:bidi="ar-SA"/>
        </w:rPr>
        <w:t>的任何一部分不符合知识产权规定，由乙方承担因此给甲方造成的全部损失（包括但不限于甲方为维护自身权益所支付的律师费、诉讼费、鉴定费、差旅费以及甲方依法向第三方支付的赔偿款等全部费用）</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应该严格遵守国家、地方关于知识产权保护的有关规定，保证在未经甲方书面授权情况下，不将甲方提供的相关信息、资料和本项目方案、报告及技术研究等成果以复印、转存、拷贝、摄影等方式公开或向外泄露给乙方以外的任何单位与个人，乙方应该严格限定甲方提供的相关参考资料等研究成果的阅读范围。合同解除/终止后，乙方依然要对上述资料承担保密义务，直至相关信息被依法公开为止。乙方违反本款约定的，按照本合同第七条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款约定向甲方承担违约责任。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）乙方对甲方提供的有关项目的资料妥善保管，在完成本合同规定的工作内容后</w:t>
      </w:r>
      <w:r>
        <w:rPr>
          <w:rFonts w:hint="eastAsia" w:ascii="宋体" w:hAnsi="宋体" w:cs="宋体"/>
          <w:color w:val="auto"/>
          <w:sz w:val="21"/>
          <w:szCs w:val="21"/>
          <w:highlight w:val="none"/>
          <w:lang w:val="en-US" w:eastAsia="zh-CN"/>
        </w:rPr>
        <w:t>按甲方要求的时间</w:t>
      </w:r>
      <w:r>
        <w:rPr>
          <w:rFonts w:hint="eastAsia" w:ascii="宋体" w:hAnsi="宋体" w:eastAsia="宋体" w:cs="宋体"/>
          <w:color w:val="auto"/>
          <w:sz w:val="21"/>
          <w:szCs w:val="21"/>
          <w:highlight w:val="none"/>
        </w:rPr>
        <w:t>归还甲方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如有任何遗失或损毁且无法弥补，甲方有权</w:t>
      </w:r>
      <w:r>
        <w:rPr>
          <w:rFonts w:hint="eastAsia" w:ascii="宋体" w:hAnsi="宋体" w:eastAsia="宋体" w:cs="宋体"/>
          <w:color w:val="auto"/>
          <w:sz w:val="21"/>
          <w:szCs w:val="21"/>
          <w:highlight w:val="none"/>
          <w:shd w:val="clear" w:color="auto" w:fill="FFFFFF"/>
        </w:rPr>
        <w:t>要求乙方按合同价的20%</w:t>
      </w:r>
      <w:r>
        <w:rPr>
          <w:rFonts w:hint="eastAsia" w:ascii="宋体" w:hAnsi="宋体" w:cs="宋体"/>
          <w:color w:val="auto"/>
          <w:sz w:val="21"/>
          <w:szCs w:val="21"/>
          <w:highlight w:val="none"/>
          <w:shd w:val="clear" w:color="auto" w:fill="FFFFFF"/>
          <w:lang w:val="en-US" w:eastAsia="zh-CN"/>
        </w:rPr>
        <w:t>支付违约金</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违约金不足以赔偿甲方损失的，乙方需继续赔偿</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不可抗力</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cstheme="minorBidi"/>
          <w:b w:val="0"/>
          <w:bCs/>
          <w:color w:val="auto"/>
          <w:kern w:val="0"/>
          <w:sz w:val="21"/>
          <w:szCs w:val="21"/>
          <w:highlight w:val="none"/>
          <w:lang w:val="en-US" w:eastAsia="zh-CN" w:bidi="ar-S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sz w:val="21"/>
          <w:szCs w:val="21"/>
          <w:highlight w:val="none"/>
          <w:shd w:val="clear" w:color="auto" w:fill="FFFFFF"/>
        </w:rPr>
        <w:t>。</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争议解决</w:t>
      </w:r>
    </w:p>
    <w:p>
      <w:pPr>
        <w:keepNext w:val="0"/>
        <w:keepLines w:val="0"/>
        <w:pageBreakBefore w:val="0"/>
        <w:kinsoku/>
        <w:wordWrap/>
        <w:overflowPunct/>
        <w:topLinePunct w:val="0"/>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合同生效及份数</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份，具有同等法律效力，本合同自双方法定代表人或授权代表签字并盖章之日起生效至合同项下全部义务履行完毕时终止。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（二）本合同附件为本合同不可分割内容，与本合同同时生效、同具法律效力。当本合同附件与本合同内容不一致时，以本合同为准。</w:t>
      </w:r>
    </w:p>
    <w:p>
      <w:pPr>
        <w:keepNext w:val="0"/>
        <w:keepLines w:val="0"/>
        <w:pageBreakBefore w:val="0"/>
        <w:tabs>
          <w:tab w:val="left" w:pos="4678"/>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附件一：阳光合作告知函</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附件二：用户需求书</w:t>
      </w:r>
    </w:p>
    <w:p>
      <w:pPr>
        <w:keepNext w:val="0"/>
        <w:keepLines w:val="0"/>
        <w:pageBreakBefore w:val="0"/>
        <w:tabs>
          <w:tab w:val="left" w:pos="4678"/>
        </w:tabs>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附件三：报价表</w:t>
      </w:r>
    </w:p>
    <w:p>
      <w:pPr>
        <w:keepNext w:val="0"/>
        <w:keepLines w:val="0"/>
        <w:pageBreakBefore w:val="0"/>
        <w:kinsoku/>
        <w:wordWrap/>
        <w:overflowPunct/>
        <w:topLinePunct w:val="0"/>
        <w:bidi w:val="0"/>
        <w:adjustRightInd w:val="0"/>
        <w:snapToGrid w:val="0"/>
        <w:spacing w:line="360" w:lineRule="auto"/>
        <w:ind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（以下无正文内容为签字盖章页）</w:t>
      </w:r>
    </w:p>
    <w:p>
      <w:pPr>
        <w:pStyle w:val="22"/>
        <w:jc w:val="both"/>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tbl>
      <w:tblPr>
        <w:tblStyle w:val="56"/>
        <w:tblW w:w="9804"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8"/>
        <w:gridCol w:w="240"/>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28"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tc>
        <w:tc>
          <w:tcPr>
            <w:tcW w:w="240"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536"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28"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p>
          <w:p>
            <w:pPr>
              <w:pStyle w:val="22"/>
              <w:keepNext w:val="0"/>
              <w:keepLines w:val="0"/>
              <w:suppressLineNumbers w:val="0"/>
              <w:spacing w:before="0" w:beforeAutospacing="0" w:after="0" w:afterAutospacing="0"/>
              <w:ind w:left="0"/>
              <w:rPr>
                <w:rFonts w:hint="eastAsia" w:ascii="宋体" w:hAnsi="宋体" w:eastAsia="宋体" w:cs="宋体"/>
                <w:color w:val="auto"/>
                <w:sz w:val="21"/>
                <w:szCs w:val="21"/>
                <w:highlight w:val="none"/>
              </w:rPr>
            </w:pPr>
          </w:p>
        </w:tc>
        <w:tc>
          <w:tcPr>
            <w:tcW w:w="240"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536"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eastAsia="zh-CN"/>
              </w:rPr>
              <w:t>执行事务合伙人</w:t>
            </w:r>
            <w:r>
              <w:rPr>
                <w:rFonts w:hint="eastAsia" w:ascii="宋体" w:hAnsi="宋体" w:eastAsia="宋体" w:cs="宋体"/>
                <w:color w:val="auto"/>
                <w:sz w:val="21"/>
                <w:szCs w:val="21"/>
                <w:highlight w:val="none"/>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28"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40"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536"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28"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40"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536"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28"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c>
          <w:tcPr>
            <w:tcW w:w="240"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536" w:type="dxa"/>
            <w:tcBorders>
              <w:tl2br w:val="nil"/>
              <w:tr2bl w:val="nil"/>
            </w:tcBorders>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r>
    </w:tbl>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bookmarkEnd w:id="276"/>
    <w:p>
      <w:pPr>
        <w:pStyle w:val="23"/>
        <w:ind w:firstLine="210"/>
        <w:rPr>
          <w:rFonts w:hint="eastAsia" w:ascii="宋体" w:hAnsi="宋体" w:eastAsia="宋体" w:cs="宋体"/>
          <w:color w:val="auto"/>
          <w:sz w:val="21"/>
          <w:szCs w:val="21"/>
          <w:highlight w:val="none"/>
        </w:rPr>
      </w:pPr>
    </w:p>
    <w:p>
      <w:pPr>
        <w:pStyle w:val="23"/>
        <w:ind w:firstLine="210"/>
        <w:rPr>
          <w:rFonts w:hint="eastAsia" w:ascii="宋体" w:hAnsi="宋体" w:eastAsia="宋体" w:cs="宋体"/>
          <w:color w:val="auto"/>
          <w:sz w:val="21"/>
          <w:szCs w:val="21"/>
          <w:highlight w:val="none"/>
        </w:rPr>
      </w:pPr>
    </w:p>
    <w:p>
      <w:pPr>
        <w:pageBreakBefore/>
        <w:autoSpaceDE w:val="0"/>
        <w:autoSpaceDN w:val="0"/>
        <w:adjustRightInd w:val="0"/>
        <w:spacing w:line="360" w:lineRule="auto"/>
        <w:ind w:left="238"/>
        <w:jc w:val="left"/>
        <w:outlineLvl w:val="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附件1：阳光合作告知函</w:t>
      </w:r>
    </w:p>
    <w:p>
      <w:pPr>
        <w:spacing w:line="58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pPr>
        <w:spacing w:line="560" w:lineRule="exact"/>
        <w:rPr>
          <w:rFonts w:hint="eastAsia" w:ascii="宋体" w:hAnsi="宋体" w:eastAsia="宋体" w:cs="宋体"/>
          <w:b/>
          <w:bCs/>
          <w:color w:val="auto"/>
          <w:sz w:val="32"/>
          <w:szCs w:val="32"/>
          <w:highlight w:val="none"/>
        </w:rPr>
      </w:pPr>
    </w:p>
    <w:p>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632"/>
        <w:snapToGrid w:val="0"/>
        <w:spacing w:line="5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（乙方）单位名称 </w:t>
      </w:r>
      <w:r>
        <w:rPr>
          <w:rFonts w:hint="eastAsia" w:ascii="宋体" w:hAnsi="宋体" w:eastAsia="宋体" w:cs="宋体"/>
          <w:color w:val="auto"/>
          <w:highlight w:val="none"/>
        </w:rPr>
        <w:t>：</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278" w:name="OLE_LINK1"/>
      <w:r>
        <w:rPr>
          <w:rFonts w:hint="eastAsia" w:ascii="宋体" w:hAnsi="宋体" w:eastAsia="宋体" w:cs="宋体"/>
          <w:color w:val="auto"/>
          <w:highlight w:val="none"/>
        </w:rPr>
        <w:t>其他</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278"/>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东莞市水务集团有限公司纪检监察部；</w:t>
      </w:r>
    </w:p>
    <w:p>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特此致函。</w:t>
      </w:r>
    </w:p>
    <w:p>
      <w:pPr>
        <w:pStyle w:val="632"/>
        <w:snapToGrid w:val="0"/>
        <w:spacing w:line="580" w:lineRule="exact"/>
        <w:ind w:firstLine="420" w:firstLineChars="200"/>
        <w:rPr>
          <w:rFonts w:hint="eastAsia" w:ascii="宋体" w:hAnsi="宋体" w:eastAsia="宋体" w:cs="宋体"/>
          <w:color w:val="auto"/>
          <w:highlight w:val="none"/>
        </w:rPr>
      </w:pPr>
    </w:p>
    <w:p>
      <w:pPr>
        <w:pStyle w:val="632"/>
        <w:snapToGrid w:val="0"/>
        <w:spacing w:line="580" w:lineRule="exact"/>
        <w:jc w:val="righ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（甲方）单位名称</w:t>
      </w:r>
    </w:p>
    <w:p>
      <w:pPr>
        <w:pStyle w:val="632"/>
        <w:snapToGrid w:val="0"/>
        <w:spacing w:line="58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79" w:name="设计变更通知单"/>
      <w:bookmarkEnd w:id="279"/>
      <w:bookmarkStart w:id="280" w:name="现场签证通知单"/>
      <w:bookmarkEnd w:id="280"/>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632"/>
        <w:snapToGrid w:val="0"/>
        <w:spacing w:line="580" w:lineRule="exact"/>
        <w:ind w:firstLine="7560" w:firstLineChars="3600"/>
        <w:rPr>
          <w:rFonts w:hint="eastAsia" w:ascii="宋体" w:hAnsi="宋体" w:eastAsia="宋体" w:cs="宋体"/>
          <w:color w:val="auto"/>
          <w:highlight w:val="none"/>
        </w:rPr>
      </w:pPr>
    </w:p>
    <w:p>
      <w:pPr>
        <w:pStyle w:val="632"/>
        <w:snapToGrid w:val="0"/>
        <w:spacing w:line="580" w:lineRule="exact"/>
        <w:ind w:firstLine="0"/>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pPr>
        <w:pStyle w:val="632"/>
        <w:snapToGrid w:val="0"/>
        <w:spacing w:line="5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632"/>
        <w:snapToGrid w:val="0"/>
        <w:spacing w:line="580" w:lineRule="exact"/>
        <w:ind w:firstLine="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rPr>
        <w:t xml:space="preserve">   </w:t>
      </w:r>
    </w:p>
    <w:p>
      <w:pPr>
        <w:pStyle w:val="632"/>
        <w:snapToGrid w:val="0"/>
        <w:spacing w:line="580" w:lineRule="exact"/>
        <w:ind w:firstLine="0"/>
        <w:jc w:val="center"/>
        <w:rPr>
          <w:rFonts w:hint="eastAsia" w:ascii="宋体" w:hAnsi="宋体" w:eastAsia="宋体" w:cs="宋体"/>
          <w:color w:val="auto"/>
          <w:highlight w:val="none"/>
          <w:lang w:val="zh-CN"/>
        </w:rPr>
      </w:pPr>
    </w:p>
    <w:p>
      <w:pPr>
        <w:autoSpaceDE w:val="0"/>
        <w:autoSpaceDN w:val="0"/>
        <w:adjustRightInd w:val="0"/>
        <w:spacing w:line="580" w:lineRule="exact"/>
        <w:ind w:firstLine="525" w:firstLineChars="25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zh-CN"/>
        </w:rPr>
        <w:t>我单位于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日收到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highlight w:val="none"/>
          <w:lang w:val="zh-CN"/>
        </w:rPr>
        <w:t>的《阳光合作告知</w:t>
      </w:r>
      <w:r>
        <w:rPr>
          <w:rFonts w:hint="eastAsia" w:ascii="宋体" w:hAnsi="宋体" w:eastAsia="宋体" w:cs="宋体"/>
          <w:color w:val="auto"/>
          <w:kern w:val="0"/>
          <w:sz w:val="21"/>
          <w:szCs w:val="21"/>
          <w:highlight w:val="none"/>
          <w:lang w:val="zh-CN"/>
        </w:rPr>
        <w:t>函</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lang w:val="zh-CN"/>
        </w:rPr>
        <w:t>，承诺理解</w:t>
      </w:r>
      <w:r>
        <w:rPr>
          <w:rFonts w:hint="eastAsia" w:ascii="宋体" w:hAnsi="宋体" w:cs="宋体"/>
          <w:color w:val="auto"/>
          <w:kern w:val="0"/>
          <w:sz w:val="21"/>
          <w:szCs w:val="21"/>
          <w:highlight w:val="none"/>
          <w:lang w:val="en-US" w:eastAsia="zh-CN"/>
        </w:rPr>
        <w:t>并同意</w:t>
      </w:r>
      <w:r>
        <w:rPr>
          <w:rFonts w:hint="eastAsia" w:ascii="宋体" w:hAnsi="宋体" w:eastAsia="宋体" w:cs="宋体"/>
          <w:color w:val="auto"/>
          <w:kern w:val="0"/>
          <w:sz w:val="21"/>
          <w:szCs w:val="21"/>
          <w:highlight w:val="none"/>
          <w:lang w:val="zh-CN"/>
        </w:rPr>
        <w:t>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1"/>
          <w:szCs w:val="21"/>
          <w:highlight w:val="none"/>
          <w:lang w:val="zh-CN"/>
        </w:rPr>
      </w:pPr>
    </w:p>
    <w:p>
      <w:pPr>
        <w:pStyle w:val="632"/>
        <w:snapToGrid w:val="0"/>
        <w:spacing w:line="580" w:lineRule="exact"/>
        <w:jc w:val="righ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公司（盖章）</w:t>
      </w:r>
    </w:p>
    <w:p>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p>
    <w:p>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2"/>
          <w:sz w:val="21"/>
          <w:highlight w:val="none"/>
          <w:lang w:val="zh-CN"/>
        </w:rPr>
        <w:t>/</w:t>
      </w:r>
      <w:r>
        <w:rPr>
          <w:rFonts w:hint="eastAsia" w:ascii="宋体" w:hAnsi="宋体" w:cs="宋体"/>
          <w:color w:val="auto"/>
          <w:kern w:val="2"/>
          <w:sz w:val="21"/>
          <w:highlight w:val="none"/>
          <w:lang w:val="zh-CN"/>
        </w:rPr>
        <w:t>执行事务合伙人</w:t>
      </w:r>
      <w:r>
        <w:rPr>
          <w:rFonts w:hint="eastAsia" w:ascii="宋体" w:hAnsi="宋体" w:eastAsia="宋体" w:cs="宋体"/>
          <w:color w:val="auto"/>
          <w:sz w:val="21"/>
          <w:szCs w:val="21"/>
          <w:highlight w:val="none"/>
        </w:rPr>
        <w:t>：</w:t>
      </w:r>
    </w:p>
    <w:p>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rPr>
          <w:rFonts w:hint="eastAsia" w:ascii="宋体" w:hAnsi="宋体" w:eastAsia="宋体" w:cs="宋体"/>
          <w:color w:val="auto"/>
          <w:sz w:val="21"/>
          <w:szCs w:val="21"/>
          <w:highlight w:val="none"/>
        </w:rPr>
      </w:pPr>
    </w:p>
    <w:p>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u w:val="none"/>
          <w:lang w:val="en-US" w:eastAsia="zh-CN"/>
        </w:rPr>
      </w:pPr>
    </w:p>
    <w:bookmarkEnd w:id="274"/>
    <w:bookmarkEnd w:id="275"/>
    <w:p>
      <w:pPr>
        <w:spacing w:line="360" w:lineRule="auto"/>
        <w:ind w:firstLine="0" w:firstLineChars="0"/>
        <w:jc w:val="center"/>
        <w:outlineLvl w:val="0"/>
        <w:rPr>
          <w:rFonts w:hint="eastAsia" w:ascii="宋体" w:hAnsi="宋体" w:eastAsia="宋体" w:cs="宋体"/>
          <w:b/>
          <w:bCs/>
          <w:color w:val="auto"/>
          <w:kern w:val="44"/>
          <w:sz w:val="32"/>
          <w:szCs w:val="32"/>
          <w:highlight w:val="none"/>
          <w:lang w:val="zh-CN"/>
        </w:rPr>
      </w:pPr>
      <w:bookmarkStart w:id="281" w:name="_Toc14798"/>
      <w:bookmarkStart w:id="282" w:name="_Toc10309"/>
      <w:bookmarkStart w:id="283" w:name="_Toc2077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响应文件格式</w:t>
      </w:r>
      <w:bookmarkEnd w:id="271"/>
      <w:bookmarkEnd w:id="272"/>
      <w:bookmarkEnd w:id="281"/>
      <w:bookmarkEnd w:id="282"/>
      <w:bookmarkEnd w:id="283"/>
    </w:p>
    <w:p>
      <w:pPr>
        <w:pStyle w:val="24"/>
        <w:spacing w:line="360" w:lineRule="auto"/>
        <w:jc w:val="center"/>
        <w:rPr>
          <w:rFonts w:hint="eastAsia" w:ascii="宋体" w:hAnsi="宋体" w:eastAsia="宋体" w:cs="宋体"/>
          <w:color w:val="auto"/>
          <w:sz w:val="84"/>
          <w:highlight w:val="none"/>
        </w:rPr>
      </w:pPr>
      <w:bookmarkStart w:id="284" w:name="_Toc22486"/>
      <w:bookmarkStart w:id="285" w:name="_Toc27736"/>
      <w:bookmarkStart w:id="286" w:name="_Toc19008822"/>
      <w:bookmarkStart w:id="287" w:name="_Toc1123949"/>
      <w:bookmarkStart w:id="288" w:name="_Toc521918114"/>
      <w:bookmarkStart w:id="289" w:name="_Toc56076622"/>
      <w:bookmarkStart w:id="290" w:name="_Toc54334003"/>
      <w:bookmarkStart w:id="291" w:name="_Toc490169461"/>
      <w:bookmarkStart w:id="292" w:name="_Toc495907130"/>
      <w:bookmarkStart w:id="293" w:name="_Toc79146596"/>
      <w:bookmarkStart w:id="294" w:name="_Toc9074"/>
      <w:bookmarkStart w:id="295" w:name="_Toc497746558"/>
      <w:bookmarkStart w:id="296" w:name="_Toc5098067"/>
    </w:p>
    <w:p>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u w:val="none"/>
        </w:rPr>
      </w:pPr>
    </w:p>
    <w:p>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0832-SFCX25DG115C</w:t>
      </w:r>
    </w:p>
    <w:p>
      <w:pPr>
        <w:pStyle w:val="24"/>
        <w:spacing w:line="360" w:lineRule="auto"/>
        <w:ind w:left="2878" w:leftChars="519" w:hanging="1632" w:hangingChars="544"/>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东莞市水务集团实业发展有限公司审计及财税服务采购项目</w:t>
      </w:r>
    </w:p>
    <w:p>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响应文件商务部分 </w:t>
      </w:r>
    </w:p>
    <w:p>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lang w:eastAsia="zh-CN"/>
        </w:rPr>
        <w:t>东莞市水务集团实业发展有限公司</w:t>
      </w:r>
    </w:p>
    <w:p>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30"/>
          <w:szCs w:val="30"/>
          <w:highlight w:val="none"/>
        </w:rPr>
      </w:pPr>
    </w:p>
    <w:p>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p>
      <w:pPr>
        <w:pStyle w:val="73"/>
        <w:rPr>
          <w:rFonts w:hint="eastAsia" w:ascii="宋体" w:hAnsi="宋体" w:eastAsia="宋体" w:cs="宋体"/>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297" w:name="_Toc26395"/>
      <w:bookmarkStart w:id="298" w:name="_Toc11398"/>
      <w:bookmarkStart w:id="299" w:name="_Toc28428"/>
      <w:bookmarkStart w:id="300" w:name="_Toc29318"/>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pPr>
        <w:spacing w:line="360" w:lineRule="auto"/>
        <w:jc w:val="both"/>
        <w:rPr>
          <w:rFonts w:hint="eastAsia" w:ascii="宋体" w:hAnsi="宋体" w:eastAsia="宋体" w:cs="宋体"/>
          <w:color w:val="auto"/>
          <w:kern w:val="2"/>
          <w:sz w:val="21"/>
          <w:szCs w:val="21"/>
          <w:highlight w:val="none"/>
          <w:lang w:val="zh-CN"/>
        </w:rPr>
      </w:pPr>
    </w:p>
    <w:p>
      <w:pPr>
        <w:autoSpaceDE/>
        <w:autoSpaceDN/>
        <w:spacing w:line="47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w:t>
      </w:r>
      <w:r>
        <w:rPr>
          <w:rFonts w:hint="eastAsia" w:ascii="宋体" w:hAnsi="宋体" w:cs="宋体"/>
          <w:color w:val="auto"/>
          <w:kern w:val="2"/>
          <w:sz w:val="21"/>
          <w:szCs w:val="21"/>
          <w:highlight w:val="none"/>
          <w:lang w:val="zh-CN"/>
        </w:rPr>
        <w:t>东莞市水务集团实业发展有限公司</w:t>
      </w:r>
    </w:p>
    <w:p>
      <w:pPr>
        <w:autoSpaceDE/>
        <w:autoSpaceDN/>
        <w:spacing w:line="470" w:lineRule="exact"/>
        <w:jc w:val="both"/>
        <w:rPr>
          <w:rFonts w:hint="eastAsia" w:ascii="宋体" w:hAnsi="宋体" w:eastAsia="宋体" w:cs="宋体"/>
          <w:color w:val="auto"/>
          <w:kern w:val="2"/>
          <w:sz w:val="21"/>
          <w:szCs w:val="21"/>
          <w:highlight w:val="none"/>
        </w:rPr>
      </w:pPr>
    </w:p>
    <w:p>
      <w:pPr>
        <w:widowControl/>
        <w:autoSpaceDE/>
        <w:autoSpaceDN/>
        <w:spacing w:line="470" w:lineRule="exact"/>
        <w:ind w:firstLine="424" w:firstLineChars="20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sz w:val="21"/>
          <w:szCs w:val="21"/>
          <w:highlight w:val="none"/>
          <w:u w:val="single"/>
          <w:lang w:eastAsia="zh-CN"/>
        </w:rPr>
        <w:t>东莞市水务集团实业发展有限公司审计及财税服务采购项目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lang w:val="zh-CN"/>
        </w:rPr>
        <w:t>0832-SFCX25DG115C</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邀请，我方</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（供应商名称）作为供应商正式授权</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授权代表全名，职务）代表我方进行有关本次</w:t>
      </w:r>
      <w:r>
        <w:rPr>
          <w:rFonts w:hint="eastAsia" w:ascii="宋体" w:hAnsi="宋体" w:eastAsia="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zh-CN"/>
        </w:rPr>
        <w:t>的一切事宜。</w:t>
      </w:r>
    </w:p>
    <w:p>
      <w:pPr>
        <w:autoSpaceDE/>
        <w:autoSpaceDN/>
        <w:spacing w:line="470" w:lineRule="exact"/>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pPr>
        <w:autoSpaceDE/>
        <w:autoSpaceDN/>
        <w:spacing w:line="470" w:lineRule="exact"/>
        <w:ind w:left="718"/>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zh-CN"/>
        </w:rPr>
        <w:t>）响应文件</w:t>
      </w:r>
      <w:r>
        <w:rPr>
          <w:rFonts w:hint="eastAsia" w:ascii="宋体" w:hAnsi="宋体" w:cs="宋体"/>
          <w:color w:val="auto"/>
          <w:kern w:val="2"/>
          <w:sz w:val="21"/>
          <w:szCs w:val="21"/>
          <w:highlight w:val="none"/>
          <w:lang w:val="en-US" w:eastAsia="zh-CN"/>
        </w:rPr>
        <w:t>电子文件</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二</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w:t>
      </w:r>
      <w:r>
        <w:rPr>
          <w:rFonts w:hint="eastAsia" w:ascii="宋体" w:hAnsi="宋体" w:cs="宋体"/>
          <w:color w:val="auto"/>
          <w:kern w:val="2"/>
          <w:sz w:val="21"/>
          <w:szCs w:val="21"/>
          <w:highlight w:val="none"/>
          <w:lang w:val="zh-CN"/>
        </w:rPr>
        <w:t>0832-SFCX25DG115C</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（二）本响应文件的有效期自递交响应文件截止日后90日有效，如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资格，我方愿意接受</w:t>
      </w:r>
      <w:r>
        <w:rPr>
          <w:rFonts w:hint="eastAsia" w:ascii="宋体" w:hAnsi="宋体" w:eastAsia="宋体" w:cs="宋体"/>
          <w:color w:val="auto"/>
          <w:kern w:val="2"/>
          <w:sz w:val="21"/>
          <w:szCs w:val="21"/>
          <w:highlight w:val="none"/>
          <w:lang w:val="en-US" w:eastAsia="zh-CN"/>
        </w:rPr>
        <w:t>竞争性磋商文件内相关</w:t>
      </w:r>
      <w:r>
        <w:rPr>
          <w:rFonts w:hint="eastAsia" w:ascii="宋体" w:hAnsi="宋体" w:eastAsia="宋体" w:cs="宋体"/>
          <w:color w:val="auto"/>
          <w:kern w:val="2"/>
          <w:sz w:val="21"/>
          <w:szCs w:val="21"/>
          <w:highlight w:val="none"/>
          <w:lang w:val="zh-CN"/>
        </w:rPr>
        <w:t>违约</w:t>
      </w:r>
      <w:r>
        <w:rPr>
          <w:rFonts w:hint="eastAsia" w:ascii="宋体" w:hAnsi="宋体" w:eastAsia="宋体" w:cs="宋体"/>
          <w:color w:val="auto"/>
          <w:kern w:val="2"/>
          <w:sz w:val="21"/>
          <w:szCs w:val="21"/>
          <w:highlight w:val="none"/>
          <w:lang w:val="en-US" w:eastAsia="zh-CN"/>
        </w:rPr>
        <w:t>责任和处置措施</w:t>
      </w:r>
      <w:r>
        <w:rPr>
          <w:rFonts w:hint="eastAsia" w:ascii="宋体" w:hAnsi="宋体" w:eastAsia="宋体" w:cs="宋体"/>
          <w:color w:val="auto"/>
          <w:kern w:val="2"/>
          <w:sz w:val="21"/>
          <w:szCs w:val="21"/>
          <w:highlight w:val="none"/>
          <w:lang w:val="zh-CN"/>
        </w:rPr>
        <w:t>；</w:t>
      </w:r>
    </w:p>
    <w:p>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pPr>
        <w:autoSpaceDE/>
        <w:autoSpaceDN/>
        <w:spacing w:line="480" w:lineRule="exact"/>
        <w:ind w:left="631" w:leftChars="88" w:hanging="420" w:hangingChars="200"/>
        <w:jc w:val="both"/>
        <w:rPr>
          <w:rFonts w:hint="eastAsia" w:ascii="宋体" w:hAnsi="宋体" w:eastAsia="宋体" w:cs="宋体"/>
          <w:color w:val="auto"/>
          <w:kern w:val="2"/>
          <w:sz w:val="21"/>
          <w:szCs w:val="21"/>
          <w:highlight w:val="none"/>
          <w:u w:val="single"/>
          <w:lang w:val="zh-CN"/>
        </w:rPr>
      </w:pPr>
    </w:p>
    <w:p>
      <w:pPr>
        <w:autoSpaceDE/>
        <w:autoSpaceDN/>
        <w:spacing w:line="48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pPr>
        <w:autoSpaceDE/>
        <w:autoSpaceDN/>
        <w:spacing w:line="480" w:lineRule="exact"/>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pPr>
        <w:autoSpaceDE/>
        <w:autoSpaceDN/>
        <w:spacing w:line="480" w:lineRule="exact"/>
        <w:ind w:firstLine="3150" w:firstLineChars="15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供应商：（加盖供应商公章）</w:t>
      </w:r>
    </w:p>
    <w:p>
      <w:pPr>
        <w:autoSpaceDE/>
        <w:autoSpaceDN/>
        <w:spacing w:line="480" w:lineRule="exact"/>
        <w:ind w:firstLine="3150" w:firstLineChars="15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 xml:space="preserve">或其授权代表签名（或盖私章）：    </w:t>
      </w:r>
    </w:p>
    <w:p>
      <w:pPr>
        <w:autoSpaceDE/>
        <w:autoSpaceDN/>
        <w:spacing w:line="480" w:lineRule="exact"/>
        <w:ind w:firstLine="3150" w:firstLineChars="15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pStyle w:val="3"/>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301" w:name="_Toc495907131"/>
      <w:bookmarkStart w:id="302" w:name="_Toc497746559"/>
      <w:bookmarkStart w:id="303" w:name="_Toc29778"/>
      <w:bookmarkStart w:id="304" w:name="_Toc19008823"/>
      <w:bookmarkStart w:id="305" w:name="_Toc14190"/>
      <w:bookmarkStart w:id="306" w:name="_Toc5098068"/>
      <w:bookmarkStart w:id="307" w:name="_Toc15830"/>
      <w:bookmarkStart w:id="308" w:name="_Toc12121"/>
      <w:bookmarkStart w:id="309" w:name="_Toc490169462"/>
      <w:bookmarkStart w:id="310" w:name="_Toc14924"/>
      <w:bookmarkStart w:id="311" w:name="_Toc56076623"/>
      <w:bookmarkStart w:id="312" w:name="_Toc79146597"/>
      <w:bookmarkStart w:id="313" w:name="_Toc18310"/>
      <w:bookmarkStart w:id="314" w:name="_Toc5046"/>
      <w:bookmarkStart w:id="315" w:name="_Toc1123950"/>
      <w:bookmarkStart w:id="316" w:name="_Toc521918115"/>
      <w:bookmarkStart w:id="317" w:name="_Toc54334004"/>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pPr>
        <w:jc w:val="center"/>
        <w:rPr>
          <w:rFonts w:hint="eastAsia" w:ascii="宋体" w:hAnsi="宋体" w:eastAsia="宋体" w:cs="宋体"/>
          <w:b/>
          <w:color w:val="auto"/>
          <w:sz w:val="32"/>
          <w:szCs w:val="32"/>
          <w:highlight w:val="none"/>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sz w:val="21"/>
          <w:szCs w:val="21"/>
          <w:highlight w:val="none"/>
          <w:lang w:eastAsia="zh-CN"/>
        </w:rPr>
        <w:t>东莞市水务集团实业发展有限公司审计及财税服务采购项目</w:t>
      </w:r>
      <w:r>
        <w:rPr>
          <w:rFonts w:hint="eastAsia" w:ascii="宋体" w:hAnsi="宋体" w:eastAsia="宋体" w:cs="宋体"/>
          <w:color w:val="auto"/>
          <w:sz w:val="21"/>
          <w:szCs w:val="21"/>
          <w:highlight w:val="none"/>
        </w:rPr>
        <w:t>（采购编号：</w:t>
      </w:r>
      <w:r>
        <w:rPr>
          <w:rFonts w:hint="eastAsia" w:ascii="宋体" w:hAnsi="宋体" w:cs="宋体"/>
          <w:color w:val="auto"/>
          <w:sz w:val="21"/>
          <w:szCs w:val="21"/>
          <w:highlight w:val="none"/>
          <w:lang w:eastAsia="zh-CN"/>
        </w:rPr>
        <w:t>0832-SFCX25DG115C</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）竞争性磋商文件的所有内容（包括澄清，以及所有已提供的参考资料和有关附件），并完全理解上述文件所表达的意思，该项目递交响应文件时间截止后，我方承诺不再对上述文件内容进行询问或质疑。</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我方承诺，若我方存在通过弄虚作假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r>
        <w:rPr>
          <w:rFonts w:hint="eastAsia" w:ascii="宋体" w:hAnsi="宋体" w:eastAsia="宋体" w:cs="宋体"/>
          <w:color w:val="auto"/>
          <w:sz w:val="21"/>
          <w:szCs w:val="21"/>
          <w:highlight w:val="none"/>
        </w:rPr>
        <w:t>等手段骗取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或履行本合同过程中存在提供虚假材料、虚假响应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文件要求等弄虚作假行为，或未能根据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须知第29.2款约定按时提供原件核查的，因此导致我方无法参与东莞市水务集团有限公司相关招标采购活动的，由我方自行承担全部后果。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80" w:firstLineChars="2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2940" w:firstLineChars="1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供应商：（加盖供应商公章）</w:t>
      </w:r>
    </w:p>
    <w:p>
      <w:pPr>
        <w:spacing w:line="360" w:lineRule="auto"/>
        <w:ind w:firstLine="2940" w:firstLineChars="1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或其授权代表签名（或盖私章）：</w:t>
      </w:r>
    </w:p>
    <w:p>
      <w:pPr>
        <w:spacing w:line="360" w:lineRule="auto"/>
        <w:ind w:firstLine="2940" w:firstLineChars="1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rPr>
          <w:rFonts w:hint="eastAsia" w:ascii="宋体" w:hAnsi="宋体" w:eastAsia="宋体" w:cs="宋体"/>
          <w:color w:val="auto"/>
          <w:highlight w:val="none"/>
        </w:rPr>
      </w:pPr>
      <w:bookmarkStart w:id="318" w:name="_Toc316896755"/>
      <w:bookmarkStart w:id="319" w:name="_Toc311032584"/>
      <w:bookmarkStart w:id="320" w:name="_Toc326768876"/>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321" w:name="_Toc142508364"/>
      <w:bookmarkStart w:id="322" w:name="_Toc25698"/>
      <w:bookmarkStart w:id="323" w:name="_Toc102860069"/>
      <w:bookmarkStart w:id="324" w:name="_Toc17805"/>
      <w:bookmarkStart w:id="325" w:name="_Toc12587"/>
      <w:bookmarkStart w:id="326" w:name="_Toc5075"/>
      <w:bookmarkStart w:id="327" w:name="_Toc24336"/>
      <w:bookmarkStart w:id="328" w:name="_Toc82182546"/>
      <w:bookmarkStart w:id="329" w:name="_Toc25507"/>
      <w:bookmarkStart w:id="330" w:name="_Toc102860413"/>
      <w:bookmarkStart w:id="331" w:name="_Toc94107204"/>
      <w:bookmarkStart w:id="332" w:name="_Toc104991870"/>
      <w:bookmarkStart w:id="333" w:name="_Toc86764083"/>
      <w:bookmarkStart w:id="334" w:name="_Toc29910"/>
      <w:bookmarkStart w:id="335" w:name="_Toc140596923"/>
      <w:bookmarkStart w:id="336" w:name="_Toc1618"/>
      <w:r>
        <w:rPr>
          <w:rFonts w:hint="eastAsia" w:ascii="宋体" w:hAnsi="宋体" w:eastAsia="宋体" w:cs="宋体"/>
          <w:b/>
          <w:color w:val="auto"/>
          <w:kern w:val="44"/>
          <w:sz w:val="32"/>
          <w:szCs w:val="32"/>
          <w:highlight w:val="none"/>
        </w:rPr>
        <w:t>三、供货及/或提供服务过程承诺函格式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cs="宋体"/>
          <w:color w:val="auto"/>
          <w:sz w:val="21"/>
          <w:szCs w:val="21"/>
          <w:highlight w:val="none"/>
          <w:lang w:eastAsia="zh-CN"/>
        </w:rPr>
        <w:t>东莞市水务集团实业发展有限公司</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名称）为</w:t>
      </w:r>
      <w:r>
        <w:rPr>
          <w:rFonts w:hint="eastAsia" w:ascii="宋体" w:hAnsi="宋体" w:eastAsia="宋体" w:cs="宋体"/>
          <w:color w:val="auto"/>
          <w:kern w:val="0"/>
          <w:sz w:val="21"/>
          <w:szCs w:val="21"/>
          <w:highlight w:val="none"/>
          <w:lang w:val="en-US" w:eastAsia="zh-CN"/>
        </w:rPr>
        <w:t>采购人的</w:t>
      </w:r>
      <w:r>
        <w:rPr>
          <w:rFonts w:hint="eastAsia" w:ascii="宋体" w:hAnsi="宋体" w:cs="宋体"/>
          <w:color w:val="auto"/>
          <w:kern w:val="0"/>
          <w:sz w:val="21"/>
          <w:szCs w:val="21"/>
          <w:highlight w:val="none"/>
          <w:lang w:eastAsia="zh-CN"/>
        </w:rPr>
        <w:t>东莞市水务集团实业发展有限公司审计及财税服务采购项目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cs="宋体"/>
          <w:color w:val="auto"/>
          <w:kern w:val="2"/>
          <w:sz w:val="21"/>
          <w:szCs w:val="21"/>
          <w:highlight w:val="none"/>
          <w:lang w:val="zh-CN"/>
        </w:rPr>
        <w:t>0832-SFCX25DG115C</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人所属设备、电器、管线及其他设施等，承诺事先征得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人的一切规章制度和安全条例，服从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有权视情况从货物/服务价款中扣除</w:t>
      </w:r>
      <w:r>
        <w:rPr>
          <w:rFonts w:hint="eastAsia" w:ascii="宋体" w:hAnsi="宋体" w:eastAsia="宋体" w:cs="宋体"/>
          <w:color w:val="auto"/>
          <w:kern w:val="0"/>
          <w:sz w:val="21"/>
          <w:szCs w:val="21"/>
          <w:highlight w:val="none"/>
          <w:lang w:val="en-US" w:eastAsia="zh-CN"/>
        </w:rPr>
        <w:t>2000</w:t>
      </w:r>
      <w:r>
        <w:rPr>
          <w:rFonts w:hint="eastAsia" w:ascii="宋体" w:hAnsi="宋体" w:eastAsia="宋体" w:cs="宋体"/>
          <w:color w:val="auto"/>
          <w:kern w:val="0"/>
          <w:sz w:val="21"/>
          <w:szCs w:val="21"/>
          <w:highlight w:val="none"/>
        </w:rPr>
        <w:t>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损失的，我方将予以足额赔偿。</w:t>
      </w:r>
    </w:p>
    <w:p>
      <w:pPr>
        <w:autoSpaceDE w:val="0"/>
        <w:autoSpaceDN w:val="0"/>
        <w:adjustRightInd w:val="0"/>
        <w:spacing w:line="360" w:lineRule="auto"/>
        <w:ind w:firstLine="50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ind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公章）</w:t>
      </w:r>
    </w:p>
    <w:p>
      <w:pPr>
        <w:autoSpaceDE w:val="0"/>
        <w:autoSpaceDN w:val="0"/>
        <w:adjustRightInd w:val="0"/>
        <w:spacing w:line="360" w:lineRule="auto"/>
        <w:ind w:firstLine="2940" w:firstLineChars="1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w:t>
      </w:r>
      <w:r>
        <w:rPr>
          <w:rFonts w:hint="eastAsia" w:ascii="宋体" w:hAnsi="宋体" w:cs="宋体"/>
          <w:color w:val="auto"/>
          <w:sz w:val="21"/>
          <w:szCs w:val="21"/>
          <w:highlight w:val="none"/>
          <w:lang w:val="zh-CN"/>
        </w:rPr>
        <w:t>执行事务合伙人</w:t>
      </w:r>
      <w:r>
        <w:rPr>
          <w:rFonts w:hint="eastAsia" w:ascii="宋体" w:hAnsi="宋体" w:eastAsia="宋体" w:cs="宋体"/>
          <w:color w:val="auto"/>
          <w:sz w:val="21"/>
          <w:szCs w:val="21"/>
          <w:highlight w:val="none"/>
          <w:lang w:val="zh-CN"/>
        </w:rPr>
        <w:t>或其授权代表签名（或盖私章）：</w:t>
      </w:r>
    </w:p>
    <w:p>
      <w:pPr>
        <w:autoSpaceDE w:val="0"/>
        <w:autoSpaceDN w:val="0"/>
        <w:adjustRightInd w:val="0"/>
        <w:spacing w:line="360" w:lineRule="auto"/>
        <w:ind w:right="420" w:firstLine="2940" w:firstLineChars="14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日期：   年   月   日</w:t>
      </w:r>
    </w:p>
    <w:p>
      <w:pPr>
        <w:pStyle w:val="3"/>
        <w:pageBreakBefore/>
        <w:rPr>
          <w:rFonts w:hint="eastAsia" w:ascii="宋体" w:hAnsi="宋体" w:eastAsia="宋体" w:cs="宋体"/>
          <w:b/>
          <w:color w:val="auto"/>
          <w:sz w:val="32"/>
          <w:szCs w:val="32"/>
          <w:highlight w:val="none"/>
        </w:rPr>
      </w:pPr>
      <w:bookmarkStart w:id="337" w:name="_Toc8924"/>
      <w:bookmarkStart w:id="338" w:name="_Toc20459"/>
      <w:bookmarkStart w:id="339" w:name="_Toc495907132"/>
      <w:bookmarkStart w:id="340" w:name="_Toc56076624"/>
      <w:bookmarkStart w:id="341" w:name="_Toc19153"/>
      <w:bookmarkStart w:id="342" w:name="_Toc14689"/>
      <w:bookmarkStart w:id="343" w:name="_Toc497746560"/>
      <w:bookmarkStart w:id="344" w:name="_Toc5098069"/>
      <w:bookmarkStart w:id="345" w:name="_Toc490169463"/>
      <w:bookmarkStart w:id="346" w:name="_Toc1123951"/>
      <w:bookmarkStart w:id="347" w:name="_Toc19008824"/>
      <w:bookmarkStart w:id="348" w:name="_Toc521918116"/>
      <w:bookmarkStart w:id="349" w:name="_Toc16943"/>
      <w:bookmarkStart w:id="350" w:name="_Toc28286"/>
      <w:bookmarkStart w:id="351" w:name="_Toc3270"/>
      <w:bookmarkStart w:id="352" w:name="_Toc79146598"/>
      <w:bookmarkStart w:id="353" w:name="_Toc54334005"/>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spacing w:line="360" w:lineRule="auto"/>
        <w:jc w:val="left"/>
        <w:rPr>
          <w:rFonts w:hint="eastAsia" w:ascii="宋体" w:hAnsi="宋体" w:eastAsia="宋体" w:cs="宋体"/>
          <w:b/>
          <w:bCs/>
          <w:color w:val="auto"/>
          <w:kern w:val="2"/>
          <w:sz w:val="30"/>
          <w:szCs w:val="30"/>
          <w:highlight w:val="none"/>
          <w:lang w:val="zh-CN"/>
        </w:rPr>
      </w:pPr>
      <w:bookmarkStart w:id="354" w:name="_Toc1294"/>
      <w:bookmarkStart w:id="355" w:name="_Toc24175"/>
      <w:bookmarkStart w:id="356" w:name="_Toc2395_WPSOffice_Level3"/>
      <w:bookmarkStart w:id="357" w:name="_Toc104991873"/>
      <w:bookmarkStart w:id="358" w:name="_Toc142508367"/>
      <w:bookmarkStart w:id="359" w:name="_Toc140596926"/>
      <w:bookmarkStart w:id="360" w:name="_Toc102860072"/>
      <w:bookmarkStart w:id="361" w:name="_Toc94107207"/>
      <w:bookmarkStart w:id="362" w:name="_Toc102860416"/>
      <w:bookmarkStart w:id="363" w:name="_Toc15425"/>
      <w:bookmarkStart w:id="364" w:name="_Toc521576296"/>
      <w:bookmarkStart w:id="365" w:name="_Toc532576763"/>
      <w:bookmarkStart w:id="366" w:name="_Toc521918117"/>
      <w:bookmarkStart w:id="367" w:name="_Toc521918314"/>
      <w:bookmarkStart w:id="368" w:name="_Toc519153435"/>
      <w:bookmarkStart w:id="369" w:name="_Toc522047376"/>
      <w:r>
        <w:rPr>
          <w:rFonts w:hint="eastAsia" w:ascii="宋体" w:hAnsi="宋体" w:eastAsia="宋体" w:cs="宋体"/>
          <w:b/>
          <w:bCs/>
          <w:color w:val="auto"/>
          <w:kern w:val="2"/>
          <w:sz w:val="30"/>
          <w:szCs w:val="30"/>
          <w:highlight w:val="none"/>
          <w:lang w:val="zh-CN"/>
        </w:rPr>
        <w:t xml:space="preserve">4.1 </w:t>
      </w:r>
      <w:r>
        <w:rPr>
          <w:rFonts w:hint="eastAsia" w:ascii="宋体" w:hAnsi="宋体" w:eastAsia="宋体" w:cs="宋体"/>
          <w:b/>
          <w:bCs/>
          <w:color w:val="auto"/>
          <w:kern w:val="2"/>
          <w:sz w:val="30"/>
          <w:szCs w:val="30"/>
          <w:highlight w:val="none"/>
          <w:lang w:val="en-US" w:eastAsia="zh-CN"/>
        </w:rPr>
        <w:t>响应</w:t>
      </w:r>
      <w:r>
        <w:rPr>
          <w:rFonts w:hint="eastAsia" w:ascii="宋体" w:hAnsi="宋体" w:eastAsia="宋体" w:cs="宋体"/>
          <w:b/>
          <w:bCs/>
          <w:color w:val="auto"/>
          <w:kern w:val="2"/>
          <w:sz w:val="30"/>
          <w:szCs w:val="30"/>
          <w:highlight w:val="none"/>
          <w:lang w:val="zh-CN"/>
        </w:rPr>
        <w:t>报价表</w:t>
      </w:r>
      <w:bookmarkEnd w:id="354"/>
      <w:bookmarkEnd w:id="355"/>
      <w:bookmarkEnd w:id="356"/>
      <w:bookmarkEnd w:id="357"/>
      <w:bookmarkEnd w:id="358"/>
      <w:bookmarkEnd w:id="359"/>
      <w:bookmarkEnd w:id="360"/>
      <w:bookmarkEnd w:id="361"/>
      <w:bookmarkEnd w:id="362"/>
      <w:bookmarkEnd w:id="363"/>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364"/>
      <w:bookmarkEnd w:id="365"/>
      <w:bookmarkEnd w:id="366"/>
      <w:bookmarkEnd w:id="367"/>
      <w:bookmarkEnd w:id="368"/>
      <w:bookmarkEnd w:id="369"/>
      <w:r>
        <w:rPr>
          <w:rFonts w:hint="eastAsia" w:ascii="宋体" w:hAnsi="宋体" w:eastAsia="宋体" w:cs="宋体"/>
          <w:b/>
          <w:bCs/>
          <w:color w:val="auto"/>
          <w:kern w:val="2"/>
          <w:sz w:val="30"/>
          <w:szCs w:val="30"/>
          <w:highlight w:val="none"/>
          <w:lang w:val="zh-CN"/>
        </w:rPr>
        <w:t>表</w:t>
      </w:r>
    </w:p>
    <w:p>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东莞市水务集团实业发展有限公司审计及财税服务采购项目</w:t>
      </w:r>
    </w:p>
    <w:p>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b w:val="0"/>
          <w:color w:val="auto"/>
          <w:sz w:val="21"/>
          <w:szCs w:val="21"/>
          <w:highlight w:val="none"/>
          <w:u w:val="single"/>
          <w:lang w:eastAsia="zh-CN"/>
        </w:rPr>
        <w:t>0832-SFCX25DG115C</w:t>
      </w:r>
    </w:p>
    <w:tbl>
      <w:tblPr>
        <w:tblStyle w:val="55"/>
        <w:tblW w:w="480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314"/>
        <w:gridCol w:w="3359"/>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5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8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bidi="ar-SA"/>
              </w:rPr>
              <w:t>响应报价（元，</w:t>
            </w:r>
            <w:r>
              <w:rPr>
                <w:rFonts w:hint="eastAsia" w:ascii="宋体" w:hAnsi="宋体" w:eastAsia="宋体" w:cs="宋体"/>
                <w:b/>
                <w:bCs w:val="0"/>
                <w:color w:val="auto"/>
                <w:kern w:val="0"/>
                <w:sz w:val="21"/>
                <w:szCs w:val="21"/>
                <w:highlight w:val="none"/>
              </w:rPr>
              <w:t>不含销项税）</w:t>
            </w:r>
          </w:p>
        </w:tc>
        <w:tc>
          <w:tcPr>
            <w:tcW w:w="7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17"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55" w:type="pc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东莞市水务集团实业发展有限公司审计及财税服务采购项目</w:t>
            </w:r>
          </w:p>
        </w:tc>
        <w:tc>
          <w:tcPr>
            <w:tcW w:w="1880"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u w:val="none"/>
                <w:lang w:val="en-US" w:eastAsia="zh-CN"/>
              </w:rPr>
              <w:t>小写：</w:t>
            </w:r>
            <w:r>
              <w:rPr>
                <w:rFonts w:hint="eastAsia" w:ascii="宋体" w:hAnsi="宋体" w:eastAsia="宋体" w:cs="宋体"/>
                <w:color w:val="auto"/>
                <w:kern w:val="0"/>
                <w:sz w:val="21"/>
                <w:szCs w:val="21"/>
                <w:highlight w:val="none"/>
                <w:u w:val="single"/>
                <w:lang w:val="en-US" w:eastAsia="zh-CN"/>
              </w:rPr>
              <w:t xml:space="preserve">                    </w:t>
            </w:r>
          </w:p>
        </w:tc>
        <w:tc>
          <w:tcPr>
            <w:tcW w:w="746"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为1.2《各阶段报价明细表》合计不含税金额</w:t>
            </w:r>
          </w:p>
        </w:tc>
      </w:tr>
    </w:tbl>
    <w:p>
      <w:pPr>
        <w:pStyle w:val="32"/>
        <w:spacing w:line="360" w:lineRule="auto"/>
        <w:rPr>
          <w:rFonts w:hint="eastAsia" w:ascii="宋体" w:hAnsi="宋体" w:eastAsia="宋体" w:cs="宋体"/>
          <w:b w:val="0"/>
          <w:color w:val="auto"/>
          <w:sz w:val="21"/>
          <w:szCs w:val="21"/>
          <w:highlight w:val="none"/>
          <w:u w:val="single"/>
          <w:lang w:eastAsia="zh-CN"/>
        </w:rPr>
      </w:pPr>
    </w:p>
    <w:p>
      <w:pPr>
        <w:pStyle w:val="32"/>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pPr>
        <w:autoSpaceDE w:val="0"/>
        <w:autoSpaceDN w:val="0"/>
        <w:adjustRightInd w:val="0"/>
        <w:snapToGrid w:val="0"/>
        <w:spacing w:line="360" w:lineRule="auto"/>
        <w:ind w:left="612" w:leftChars="18" w:hanging="569" w:hangingChars="270"/>
        <w:jc w:val="left"/>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备注：</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kern w:val="0"/>
          <w:sz w:val="21"/>
          <w:szCs w:val="21"/>
          <w:highlight w:val="none"/>
          <w:u w:val="none"/>
        </w:rPr>
      </w:pPr>
      <w:r>
        <w:rPr>
          <w:rFonts w:hint="eastAsia" w:ascii="宋体" w:hAnsi="宋体" w:eastAsia="宋体" w:cs="宋体"/>
          <w:b w:val="0"/>
          <w:bCs/>
          <w:color w:val="auto"/>
          <w:kern w:val="0"/>
          <w:sz w:val="21"/>
          <w:szCs w:val="21"/>
          <w:highlight w:val="none"/>
          <w:u w:val="none"/>
        </w:rPr>
        <w:t>（1）</w:t>
      </w:r>
      <w:r>
        <w:rPr>
          <w:rFonts w:hint="eastAsia" w:ascii="宋体" w:hAnsi="宋体" w:eastAsia="宋体" w:cs="宋体"/>
          <w:b/>
          <w:color w:val="auto"/>
          <w:kern w:val="0"/>
          <w:sz w:val="21"/>
          <w:szCs w:val="21"/>
          <w:highlight w:val="none"/>
          <w:u w:val="single"/>
        </w:rPr>
        <w:t>本项目响应报价为不含税价，即为《中华人民共和国增值税暂行条例》（国务院令第691号修订版）规定的销售额</w:t>
      </w:r>
      <w:r>
        <w:rPr>
          <w:rFonts w:hint="eastAsia" w:ascii="宋体" w:hAnsi="宋体" w:eastAsia="宋体" w:cs="宋体"/>
          <w:b/>
          <w:color w:val="auto"/>
          <w:kern w:val="0"/>
          <w:sz w:val="21"/>
          <w:szCs w:val="21"/>
          <w:highlight w:val="none"/>
          <w:u w:val="none"/>
        </w:rPr>
        <w:t>。</w:t>
      </w:r>
      <w:r>
        <w:rPr>
          <w:rFonts w:hint="eastAsia" w:ascii="宋体" w:hAnsi="宋体" w:eastAsia="宋体" w:cs="宋体"/>
          <w:b w:val="0"/>
          <w:bCs/>
          <w:color w:val="auto"/>
          <w:kern w:val="0"/>
          <w:sz w:val="21"/>
          <w:szCs w:val="21"/>
          <w:highlight w:val="none"/>
          <w:u w:val="none"/>
        </w:rPr>
        <w:t>本竞争性磋商文件所称的不含税价是指不含本采购项目的</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销项税额，包含了</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完成合同义务（含</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代缴代扣、分包及委外服务、施工、采购货物等所产生的价税）的其他全部费用。</w:t>
      </w:r>
      <w:r>
        <w:rPr>
          <w:rFonts w:hint="eastAsia" w:ascii="宋体" w:hAnsi="宋体" w:eastAsia="宋体" w:cs="宋体"/>
          <w:b w:val="0"/>
          <w:bCs/>
          <w:color w:val="auto"/>
          <w:kern w:val="0"/>
          <w:sz w:val="21"/>
          <w:szCs w:val="21"/>
          <w:highlight w:val="none"/>
          <w:u w:val="none"/>
          <w:lang w:val="zh-CN"/>
        </w:rPr>
        <w:t>本采购项目的销项税额由</w:t>
      </w:r>
      <w:r>
        <w:rPr>
          <w:rFonts w:hint="eastAsia" w:ascii="宋体" w:hAnsi="宋体" w:eastAsia="宋体" w:cs="宋体"/>
          <w:b w:val="0"/>
          <w:bCs/>
          <w:color w:val="auto"/>
          <w:kern w:val="0"/>
          <w:sz w:val="21"/>
          <w:szCs w:val="21"/>
          <w:highlight w:val="none"/>
          <w:u w:val="none"/>
          <w:lang w:val="en-US" w:eastAsia="zh-CN"/>
        </w:rPr>
        <w:t>采购人</w:t>
      </w:r>
      <w:r>
        <w:rPr>
          <w:rFonts w:hint="eastAsia" w:ascii="宋体" w:hAnsi="宋体" w:eastAsia="宋体" w:cs="宋体"/>
          <w:b w:val="0"/>
          <w:bCs/>
          <w:color w:val="auto"/>
          <w:kern w:val="0"/>
          <w:sz w:val="21"/>
          <w:szCs w:val="21"/>
          <w:highlight w:val="none"/>
          <w:u w:val="none"/>
          <w:lang w:val="zh-CN"/>
        </w:rPr>
        <w:t>承担</w:t>
      </w:r>
      <w:r>
        <w:rPr>
          <w:rFonts w:hint="eastAsia" w:ascii="宋体" w:hAnsi="宋体" w:eastAsia="宋体" w:cs="宋体"/>
          <w:b w:val="0"/>
          <w:bCs/>
          <w:color w:val="auto"/>
          <w:kern w:val="0"/>
          <w:sz w:val="21"/>
          <w:szCs w:val="21"/>
          <w:highlight w:val="none"/>
          <w:u w:val="none"/>
        </w:rPr>
        <w:t>，不计入</w:t>
      </w:r>
      <w:r>
        <w:rPr>
          <w:rFonts w:hint="eastAsia" w:ascii="宋体" w:hAnsi="宋体" w:eastAsia="宋体" w:cs="宋体"/>
          <w:b w:val="0"/>
          <w:bCs/>
          <w:color w:val="auto"/>
          <w:kern w:val="0"/>
          <w:sz w:val="21"/>
          <w:szCs w:val="21"/>
          <w:highlight w:val="none"/>
          <w:u w:val="none"/>
          <w:lang w:val="en-US" w:eastAsia="zh-CN"/>
        </w:rPr>
        <w:t>响应</w:t>
      </w:r>
      <w:r>
        <w:rPr>
          <w:rFonts w:hint="eastAsia" w:ascii="宋体" w:hAnsi="宋体" w:eastAsia="宋体" w:cs="宋体"/>
          <w:b w:val="0"/>
          <w:bCs/>
          <w:color w:val="auto"/>
          <w:kern w:val="0"/>
          <w:sz w:val="21"/>
          <w:szCs w:val="21"/>
          <w:highlight w:val="none"/>
          <w:u w:val="none"/>
        </w:rPr>
        <w:t>报价。</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bCs w:val="0"/>
          <w:color w:val="auto"/>
          <w:sz w:val="21"/>
          <w:szCs w:val="21"/>
          <w:highlight w:val="none"/>
          <w:u w:val="single"/>
          <w:lang w:val="en-US" w:eastAsia="zh-CN"/>
        </w:rPr>
        <w:t>供应商</w:t>
      </w:r>
      <w:r>
        <w:rPr>
          <w:rFonts w:hint="default" w:ascii="宋体" w:hAnsi="宋体" w:eastAsia="宋体" w:cs="宋体"/>
          <w:b/>
          <w:bCs w:val="0"/>
          <w:color w:val="auto"/>
          <w:sz w:val="21"/>
          <w:szCs w:val="21"/>
          <w:highlight w:val="none"/>
          <w:u w:val="single"/>
          <w:lang w:val="en-US"/>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报价</w:t>
      </w:r>
      <w:r>
        <w:rPr>
          <w:rFonts w:hint="eastAsia" w:ascii="宋体" w:hAnsi="宋体" w:eastAsia="宋体" w:cs="宋体"/>
          <w:b/>
          <w:bCs w:val="0"/>
          <w:color w:val="auto"/>
          <w:kern w:val="0"/>
          <w:sz w:val="21"/>
          <w:szCs w:val="21"/>
          <w:highlight w:val="none"/>
          <w:u w:val="single"/>
        </w:rPr>
        <w:t>高</w:t>
      </w:r>
      <w:r>
        <w:rPr>
          <w:rFonts w:hint="eastAsia" w:ascii="宋体" w:hAnsi="宋体" w:eastAsia="宋体" w:cs="宋体"/>
          <w:b/>
          <w:bCs w:val="0"/>
          <w:color w:val="auto"/>
          <w:sz w:val="21"/>
          <w:szCs w:val="21"/>
          <w:highlight w:val="none"/>
          <w:u w:val="single"/>
        </w:rPr>
        <w:t>于最高限价的，该</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文件将被视为无效</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val="0"/>
          <w:bCs/>
          <w:color w:val="auto"/>
          <w:sz w:val="21"/>
          <w:szCs w:val="21"/>
          <w:highlight w:val="none"/>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（3）对不同文字文本</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文件的解释发生异议的，以中文文本为准。</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lang w:val="zh-CN"/>
        </w:rPr>
        <w:t>）</w:t>
      </w:r>
      <w:r>
        <w:rPr>
          <w:rFonts w:hint="eastAsia" w:ascii="宋体" w:hAnsi="宋体" w:eastAsia="宋体" w:cs="宋体"/>
          <w:b/>
          <w:bCs w:val="0"/>
          <w:color w:val="auto"/>
          <w:kern w:val="0"/>
          <w:sz w:val="21"/>
          <w:szCs w:val="21"/>
          <w:highlight w:val="none"/>
          <w:u w:val="single"/>
          <w:lang w:val="zh-CN"/>
        </w:rPr>
        <w:t>本表一式</w:t>
      </w:r>
      <w:r>
        <w:rPr>
          <w:rFonts w:hint="eastAsia" w:ascii="宋体" w:hAnsi="宋体" w:eastAsia="宋体" w:cs="宋体"/>
          <w:b/>
          <w:bCs w:val="0"/>
          <w:color w:val="auto"/>
          <w:kern w:val="0"/>
          <w:sz w:val="21"/>
          <w:szCs w:val="21"/>
          <w:highlight w:val="none"/>
          <w:u w:val="single"/>
          <w:lang w:val="en-US" w:eastAsia="zh-CN"/>
        </w:rPr>
        <w:t>一</w:t>
      </w:r>
      <w:r>
        <w:rPr>
          <w:rFonts w:hint="eastAsia" w:ascii="宋体" w:hAnsi="宋体" w:eastAsia="宋体" w:cs="宋体"/>
          <w:b/>
          <w:bCs w:val="0"/>
          <w:color w:val="auto"/>
          <w:kern w:val="0"/>
          <w:sz w:val="21"/>
          <w:szCs w:val="21"/>
          <w:highlight w:val="none"/>
          <w:u w:val="single"/>
          <w:lang w:val="zh-CN"/>
        </w:rPr>
        <w:t>份，编入响应文件商务文件</w:t>
      </w:r>
      <w:r>
        <w:rPr>
          <w:rFonts w:hint="eastAsia" w:ascii="宋体" w:hAnsi="宋体" w:eastAsia="宋体" w:cs="宋体"/>
          <w:b/>
          <w:bCs w:val="0"/>
          <w:color w:val="auto"/>
          <w:kern w:val="0"/>
          <w:sz w:val="21"/>
          <w:szCs w:val="21"/>
          <w:highlight w:val="none"/>
          <w:u w:val="single"/>
          <w:lang w:val="en-US" w:eastAsia="zh-CN"/>
        </w:rPr>
        <w:t>一起提交</w:t>
      </w:r>
      <w:r>
        <w:rPr>
          <w:rFonts w:hint="eastAsia" w:ascii="宋体" w:hAnsi="宋体" w:eastAsia="宋体" w:cs="宋体"/>
          <w:bCs/>
          <w:color w:val="auto"/>
          <w:kern w:val="0"/>
          <w:sz w:val="21"/>
          <w:szCs w:val="21"/>
          <w:highlight w:val="none"/>
          <w:lang w:val="zh-CN"/>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zh-CN"/>
        </w:rPr>
        <w:t>）</w:t>
      </w:r>
      <w:r>
        <w:rPr>
          <w:rFonts w:hint="eastAsia" w:ascii="宋体" w:hAnsi="宋体" w:cs="宋体"/>
          <w:bCs/>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报价保留小数点后两位。</w:t>
      </w:r>
    </w:p>
    <w:p>
      <w:pPr>
        <w:spacing w:line="360" w:lineRule="auto"/>
        <w:ind w:firstLine="0"/>
        <w:jc w:val="both"/>
        <w:rPr>
          <w:rFonts w:hint="eastAsia" w:ascii="宋体" w:hAnsi="宋体" w:eastAsia="宋体" w:cs="宋体"/>
          <w:color w:val="auto"/>
          <w:kern w:val="2"/>
          <w:sz w:val="21"/>
          <w:highlight w:val="none"/>
          <w:lang w:val="zh-CN"/>
        </w:rPr>
      </w:pPr>
    </w:p>
    <w:p>
      <w:pPr>
        <w:spacing w:line="360" w:lineRule="auto"/>
        <w:ind w:firstLine="3150" w:firstLineChars="15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供应商：（加盖供应商公章）</w:t>
      </w:r>
    </w:p>
    <w:p>
      <w:pPr>
        <w:spacing w:line="360" w:lineRule="auto"/>
        <w:ind w:firstLine="3150" w:firstLineChars="15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法定代表人/执行事务合伙人或其授权代表签名（或盖私章）：</w:t>
      </w:r>
    </w:p>
    <w:p>
      <w:pPr>
        <w:spacing w:line="360" w:lineRule="auto"/>
        <w:ind w:firstLine="3150" w:firstLineChars="15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spacing w:line="360" w:lineRule="auto"/>
        <w:ind w:firstLine="0"/>
        <w:jc w:val="both"/>
        <w:rPr>
          <w:rFonts w:hint="eastAsia" w:ascii="宋体" w:hAnsi="宋体" w:eastAsia="宋体" w:cs="宋体"/>
          <w:color w:val="auto"/>
          <w:kern w:val="2"/>
          <w:sz w:val="21"/>
          <w:highlight w:val="none"/>
          <w:lang w:val="zh-CN"/>
        </w:rPr>
      </w:pPr>
    </w:p>
    <w:p>
      <w:pPr>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br w:type="page"/>
      </w:r>
    </w:p>
    <w:p>
      <w:pPr>
        <w:spacing w:line="360" w:lineRule="auto"/>
        <w:jc w:val="left"/>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4.</w:t>
      </w:r>
      <w:r>
        <w:rPr>
          <w:rFonts w:hint="eastAsia" w:ascii="宋体" w:hAnsi="宋体" w:eastAsia="宋体" w:cs="宋体"/>
          <w:b/>
          <w:bCs/>
          <w:color w:val="auto"/>
          <w:kern w:val="2"/>
          <w:sz w:val="30"/>
          <w:szCs w:val="30"/>
          <w:highlight w:val="none"/>
          <w:lang w:val="en-US" w:eastAsia="zh-CN"/>
        </w:rPr>
        <w:t>2</w:t>
      </w:r>
      <w:r>
        <w:rPr>
          <w:rFonts w:hint="eastAsia" w:ascii="宋体" w:hAnsi="宋体" w:eastAsia="宋体" w:cs="宋体"/>
          <w:b/>
          <w:bCs/>
          <w:color w:val="auto"/>
          <w:kern w:val="2"/>
          <w:sz w:val="30"/>
          <w:szCs w:val="30"/>
          <w:highlight w:val="none"/>
          <w:lang w:val="zh-CN"/>
        </w:rPr>
        <w:t xml:space="preserve"> </w:t>
      </w:r>
      <w:r>
        <w:rPr>
          <w:rFonts w:hint="eastAsia" w:ascii="宋体" w:hAnsi="宋体" w:eastAsia="宋体" w:cs="宋体"/>
          <w:b/>
          <w:bCs/>
          <w:color w:val="auto"/>
          <w:kern w:val="2"/>
          <w:sz w:val="30"/>
          <w:szCs w:val="30"/>
          <w:highlight w:val="none"/>
          <w:lang w:val="en-US" w:eastAsia="zh-CN"/>
        </w:rPr>
        <w:t>分项报价</w:t>
      </w:r>
      <w:r>
        <w:rPr>
          <w:rFonts w:hint="eastAsia" w:ascii="宋体" w:hAnsi="宋体" w:eastAsia="宋体" w:cs="宋体"/>
          <w:b/>
          <w:bCs/>
          <w:color w:val="auto"/>
          <w:kern w:val="2"/>
          <w:sz w:val="30"/>
          <w:szCs w:val="30"/>
          <w:highlight w:val="none"/>
          <w:lang w:val="zh-CN"/>
        </w:rPr>
        <w:t>表</w:t>
      </w:r>
    </w:p>
    <w:p>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东莞市水务集团实业发展有限公司审计及财税服务采购项目</w:t>
      </w:r>
    </w:p>
    <w:p>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sz w:val="21"/>
          <w:szCs w:val="21"/>
          <w:highlight w:val="none"/>
        </w:rPr>
        <w:t>采购编号：</w:t>
      </w:r>
      <w:r>
        <w:rPr>
          <w:rFonts w:hint="eastAsia" w:ascii="宋体" w:hAnsi="宋体" w:cs="宋体"/>
          <w:b w:val="0"/>
          <w:color w:val="auto"/>
          <w:sz w:val="21"/>
          <w:szCs w:val="21"/>
          <w:highlight w:val="none"/>
          <w:u w:val="single"/>
          <w:lang w:eastAsia="zh-CN"/>
        </w:rPr>
        <w:t>0832-SFCX25DG115C</w:t>
      </w:r>
    </w:p>
    <w:tbl>
      <w:tblPr>
        <w:tblStyle w:val="56"/>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744"/>
        <w:gridCol w:w="2745"/>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80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服务阶段</w:t>
            </w:r>
          </w:p>
        </w:tc>
        <w:tc>
          <w:tcPr>
            <w:tcW w:w="274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服务成果</w:t>
            </w:r>
          </w:p>
        </w:tc>
        <w:tc>
          <w:tcPr>
            <w:tcW w:w="2745"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不含税响应报价（元）</w:t>
            </w:r>
          </w:p>
        </w:tc>
        <w:tc>
          <w:tcPr>
            <w:tcW w:w="1053" w:type="dxa"/>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80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净资产审计阶段</w:t>
            </w:r>
          </w:p>
        </w:tc>
        <w:tc>
          <w:tcPr>
            <w:tcW w:w="274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净资产审计报告</w:t>
            </w:r>
          </w:p>
        </w:tc>
        <w:tc>
          <w:tcPr>
            <w:tcW w:w="274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c>
          <w:tcPr>
            <w:tcW w:w="10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80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清算审计阶段</w:t>
            </w:r>
          </w:p>
        </w:tc>
        <w:tc>
          <w:tcPr>
            <w:tcW w:w="274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清算审计报告</w:t>
            </w:r>
          </w:p>
        </w:tc>
        <w:tc>
          <w:tcPr>
            <w:tcW w:w="274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c>
          <w:tcPr>
            <w:tcW w:w="10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80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财税服务阶段</w:t>
            </w:r>
          </w:p>
        </w:tc>
        <w:tc>
          <w:tcPr>
            <w:tcW w:w="2744"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吸收合并过程中涉及的财税问题提供相关服务</w:t>
            </w:r>
          </w:p>
        </w:tc>
        <w:tc>
          <w:tcPr>
            <w:tcW w:w="274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c>
          <w:tcPr>
            <w:tcW w:w="1053"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804"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合计（</w:t>
            </w:r>
            <w:r>
              <w:rPr>
                <w:rFonts w:hint="eastAsia" w:ascii="宋体" w:hAnsi="宋体" w:cs="宋体"/>
                <w:b w:val="0"/>
                <w:bCs/>
                <w:color w:val="auto"/>
                <w:sz w:val="21"/>
                <w:szCs w:val="21"/>
                <w:highlight w:val="none"/>
              </w:rPr>
              <w:t>不含税</w:t>
            </w:r>
            <w:r>
              <w:rPr>
                <w:rFonts w:hint="eastAsia" w:ascii="宋体" w:hAnsi="宋体" w:cs="宋体"/>
                <w:b w:val="0"/>
                <w:bCs/>
                <w:color w:val="auto"/>
                <w:sz w:val="21"/>
                <w:szCs w:val="21"/>
                <w:highlight w:val="none"/>
                <w:lang w:val="en-US" w:eastAsia="zh-CN"/>
              </w:rPr>
              <w:t>响应</w:t>
            </w:r>
            <w:r>
              <w:rPr>
                <w:rFonts w:hint="eastAsia" w:ascii="宋体" w:hAnsi="宋体" w:cs="宋体"/>
                <w:b w:val="0"/>
                <w:bCs/>
                <w:color w:val="auto"/>
                <w:sz w:val="21"/>
                <w:szCs w:val="21"/>
                <w:highlight w:val="none"/>
              </w:rPr>
              <w:t>报价</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元</w:t>
            </w:r>
            <w:r>
              <w:rPr>
                <w:rFonts w:hint="eastAsia" w:ascii="宋体" w:hAnsi="宋体" w:cs="宋体"/>
                <w:b w:val="0"/>
                <w:bCs/>
                <w:color w:val="auto"/>
                <w:sz w:val="21"/>
                <w:szCs w:val="21"/>
                <w:highlight w:val="none"/>
                <w:vertAlign w:val="baseline"/>
                <w:lang w:val="en-US" w:eastAsia="zh-CN"/>
              </w:rPr>
              <w:t>）</w:t>
            </w:r>
          </w:p>
        </w:tc>
        <w:tc>
          <w:tcPr>
            <w:tcW w:w="6542" w:type="dxa"/>
            <w:gridSpan w:val="3"/>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b w:val="0"/>
                <w:bCs/>
                <w:color w:val="auto"/>
                <w:sz w:val="21"/>
                <w:szCs w:val="21"/>
                <w:highlight w:val="none"/>
                <w:vertAlign w:val="baseline"/>
                <w:lang w:val="zh-CN"/>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w:t>
      </w:r>
      <w:r>
        <w:rPr>
          <w:rFonts w:hint="eastAsia" w:ascii="宋体" w:hAnsi="宋体" w:cs="宋体"/>
          <w:color w:val="auto"/>
          <w:kern w:val="0"/>
          <w:sz w:val="21"/>
          <w:szCs w:val="21"/>
          <w:highlight w:val="none"/>
          <w:lang w:val="en-US" w:eastAsia="zh-CN"/>
        </w:rPr>
        <w:t>根据分析报价表中列明的服务阶段分别填写响应报价</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）报价保留小数点后两位。</w:t>
      </w:r>
    </w:p>
    <w:p>
      <w:pPr>
        <w:autoSpaceDE w:val="0"/>
        <w:autoSpaceDN w:val="0"/>
        <w:adjustRightInd w:val="0"/>
        <w:spacing w:line="360" w:lineRule="auto"/>
        <w:ind w:firstLine="315" w:firstLineChars="150"/>
        <w:jc w:val="right"/>
        <w:rPr>
          <w:rFonts w:hint="eastAsia" w:ascii="宋体" w:hAnsi="宋体" w:eastAsia="宋体" w:cs="宋体"/>
          <w:color w:val="auto"/>
          <w:kern w:val="0"/>
          <w:sz w:val="21"/>
          <w:szCs w:val="21"/>
          <w:highlight w:val="none"/>
          <w:lang w:val="en-US" w:eastAsia="zh-CN"/>
        </w:rPr>
      </w:pPr>
    </w:p>
    <w:p>
      <w:pPr>
        <w:autoSpaceDE w:val="0"/>
        <w:autoSpaceDN w:val="0"/>
        <w:adjustRightInd w:val="0"/>
        <w:spacing w:line="360" w:lineRule="auto"/>
        <w:ind w:firstLine="315" w:firstLineChars="150"/>
        <w:jc w:val="right"/>
        <w:rPr>
          <w:rFonts w:hint="eastAsia" w:ascii="宋体" w:hAnsi="宋体" w:eastAsia="宋体" w:cs="宋体"/>
          <w:color w:val="auto"/>
          <w:kern w:val="0"/>
          <w:sz w:val="21"/>
          <w:szCs w:val="21"/>
          <w:highlight w:val="none"/>
          <w:lang w:val="en-US" w:eastAsia="zh-CN"/>
        </w:rPr>
      </w:pPr>
    </w:p>
    <w:p>
      <w:pPr>
        <w:autoSpaceDE w:val="0"/>
        <w:autoSpaceDN w:val="0"/>
        <w:adjustRightInd w:val="0"/>
        <w:spacing w:line="360" w:lineRule="auto"/>
        <w:ind w:firstLine="3150" w:firstLineChars="1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：（加盖</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公章）</w:t>
      </w:r>
    </w:p>
    <w:p>
      <w:pPr>
        <w:autoSpaceDE w:val="0"/>
        <w:autoSpaceDN w:val="0"/>
        <w:adjustRightInd w:val="0"/>
        <w:spacing w:line="360" w:lineRule="auto"/>
        <w:ind w:firstLine="315" w:firstLineChars="150"/>
        <w:jc w:val="left"/>
        <w:rPr>
          <w:rFonts w:hint="eastAsia" w:ascii="宋体" w:hAnsi="宋体" w:eastAsia="宋体" w:cs="宋体"/>
          <w:color w:val="auto"/>
          <w:kern w:val="0"/>
          <w:sz w:val="21"/>
          <w:szCs w:val="21"/>
          <w:highlight w:val="none"/>
          <w:lang w:val="zh-CN" w:eastAsia="zh-CN"/>
        </w:rPr>
      </w:pPr>
    </w:p>
    <w:p>
      <w:pPr>
        <w:autoSpaceDE w:val="0"/>
        <w:autoSpaceDN w:val="0"/>
        <w:adjustRightInd w:val="0"/>
        <w:spacing w:line="360" w:lineRule="auto"/>
        <w:ind w:firstLine="3255" w:firstLineChars="1550"/>
        <w:jc w:val="left"/>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法定代表人/执行事务合伙人或其授权代表签名（或盖私章）：</w:t>
      </w:r>
    </w:p>
    <w:p>
      <w:pPr>
        <w:autoSpaceDE w:val="0"/>
        <w:autoSpaceDN w:val="0"/>
        <w:adjustRightInd w:val="0"/>
        <w:spacing w:line="360" w:lineRule="auto"/>
        <w:ind w:firstLine="315" w:firstLineChars="150"/>
        <w:jc w:val="left"/>
        <w:rPr>
          <w:rFonts w:hint="eastAsia" w:ascii="宋体" w:hAnsi="宋体" w:eastAsia="宋体" w:cs="宋体"/>
          <w:color w:val="auto"/>
          <w:kern w:val="0"/>
          <w:sz w:val="21"/>
          <w:szCs w:val="21"/>
          <w:highlight w:val="none"/>
          <w:lang w:val="en-US" w:eastAsia="zh-CN"/>
        </w:rPr>
      </w:pPr>
    </w:p>
    <w:p>
      <w:pPr>
        <w:autoSpaceDE w:val="0"/>
        <w:autoSpaceDN w:val="0"/>
        <w:adjustRightInd w:val="0"/>
        <w:spacing w:line="360" w:lineRule="auto"/>
        <w:ind w:firstLine="3255" w:firstLineChars="155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日  期：   年   月   日</w:t>
      </w:r>
    </w:p>
    <w:p>
      <w:pPr>
        <w:spacing w:line="360" w:lineRule="auto"/>
        <w:ind w:firstLine="0"/>
        <w:jc w:val="both"/>
        <w:rPr>
          <w:rFonts w:hint="default" w:ascii="宋体" w:hAnsi="宋体" w:eastAsia="宋体" w:cs="宋体"/>
          <w:color w:val="auto"/>
          <w:kern w:val="2"/>
          <w:highlight w:val="none"/>
          <w:lang w:val="en-US" w:eastAsia="zh-CN"/>
        </w:rPr>
      </w:pPr>
    </w:p>
    <w:p>
      <w:pPr>
        <w:pStyle w:val="22"/>
        <w:rPr>
          <w:rFonts w:hint="eastAsia" w:ascii="宋体" w:hAnsi="宋体" w:eastAsia="宋体" w:cs="宋体"/>
          <w:color w:val="auto"/>
          <w:kern w:val="2"/>
          <w:sz w:val="21"/>
          <w:highlight w:val="none"/>
        </w:rPr>
        <w:sectPr>
          <w:headerReference r:id="rId8" w:type="first"/>
          <w:footerReference r:id="rId10" w:type="first"/>
          <w:footerReference r:id="rId9"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pStyle w:val="3"/>
        <w:rPr>
          <w:rFonts w:hint="eastAsia" w:ascii="宋体" w:hAnsi="宋体" w:eastAsia="宋体" w:cs="宋体"/>
          <w:b/>
          <w:color w:val="auto"/>
          <w:sz w:val="32"/>
          <w:szCs w:val="32"/>
          <w:highlight w:val="none"/>
        </w:rPr>
      </w:pPr>
      <w:bookmarkStart w:id="370" w:name="_Toc54334008"/>
      <w:bookmarkStart w:id="371" w:name="_Toc56076625"/>
      <w:bookmarkStart w:id="372" w:name="_Toc26644"/>
      <w:bookmarkStart w:id="373" w:name="_Toc27788"/>
      <w:bookmarkStart w:id="374" w:name="_Toc25342"/>
      <w:bookmarkStart w:id="375" w:name="_Toc18720"/>
      <w:bookmarkStart w:id="376" w:name="_Toc8153"/>
      <w:bookmarkStart w:id="377" w:name="_Toc2353"/>
      <w:bookmarkStart w:id="378" w:name="_Toc79146599"/>
      <w:bookmarkStart w:id="379" w:name="_Toc12569"/>
      <w:bookmarkStart w:id="380" w:name="_Toc495907133"/>
      <w:bookmarkStart w:id="381" w:name="_Toc497746561"/>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370"/>
      <w:bookmarkEnd w:id="371"/>
      <w:bookmarkEnd w:id="372"/>
      <w:bookmarkEnd w:id="373"/>
      <w:bookmarkEnd w:id="374"/>
      <w:bookmarkEnd w:id="375"/>
      <w:bookmarkEnd w:id="376"/>
      <w:bookmarkEnd w:id="377"/>
      <w:bookmarkEnd w:id="378"/>
      <w:bookmarkEnd w:id="379"/>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82" w:name="_Toc532576766"/>
      <w:bookmarkStart w:id="383" w:name="_Toc38982592"/>
      <w:bookmarkStart w:id="384" w:name="_Toc522047382"/>
      <w:bookmarkStart w:id="385" w:name="_Toc521576302"/>
      <w:bookmarkStart w:id="386" w:name="_Toc5098071"/>
      <w:bookmarkStart w:id="387" w:name="_Toc19008826"/>
      <w:bookmarkStart w:id="388" w:name="_Toc40288701"/>
      <w:bookmarkStart w:id="389" w:name="_Toc1123953"/>
      <w:bookmarkStart w:id="390" w:name="_Toc56076626"/>
      <w:bookmarkStart w:id="391" w:name="_Toc521918320"/>
      <w:bookmarkStart w:id="392" w:name="_Toc54334009"/>
      <w:bookmarkStart w:id="393" w:name="_Toc79146600"/>
      <w:bookmarkStart w:id="394" w:name="_Toc521918123"/>
      <w:bookmarkStart w:id="395" w:name="_Toc519153441"/>
      <w:r>
        <w:rPr>
          <w:rFonts w:hint="eastAsia" w:ascii="宋体" w:hAnsi="宋体" w:eastAsia="宋体" w:cs="宋体"/>
          <w:b/>
          <w:color w:val="auto"/>
          <w:kern w:val="2"/>
          <w:sz w:val="30"/>
          <w:szCs w:val="30"/>
          <w:highlight w:val="none"/>
          <w:lang w:val="en-US" w:eastAsia="zh-CN"/>
        </w:rPr>
        <w:t>5.1 多证合一营业执照（或事业单位法人证书）复印件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96" w:name="_Toc1123955"/>
      <w:bookmarkStart w:id="397" w:name="_Toc521918126"/>
      <w:bookmarkStart w:id="398" w:name="_Toc519153444"/>
      <w:bookmarkStart w:id="399" w:name="_Toc521918323"/>
      <w:bookmarkStart w:id="400" w:name="_Toc522047385"/>
      <w:bookmarkStart w:id="401" w:name="_Toc532576769"/>
      <w:bookmarkStart w:id="402" w:name="_Toc5098073"/>
      <w:bookmarkStart w:id="403" w:name="_Toc521576305"/>
      <w:bookmarkStart w:id="404" w:name="_Toc19008829"/>
      <w:bookmarkStart w:id="405" w:name="_Toc54334011"/>
      <w:bookmarkStart w:id="406" w:name="_Toc38982594"/>
      <w:bookmarkStart w:id="407" w:name="_Toc40288703"/>
      <w:bookmarkStart w:id="408" w:name="_Toc56076628"/>
      <w:bookmarkStart w:id="409" w:name="_Toc79146602"/>
      <w:r>
        <w:rPr>
          <w:rFonts w:hint="eastAsia" w:ascii="宋体" w:hAnsi="宋体" w:eastAsia="宋体" w:cs="宋体"/>
          <w:b/>
          <w:color w:val="auto"/>
          <w:kern w:val="2"/>
          <w:sz w:val="30"/>
          <w:szCs w:val="30"/>
          <w:highlight w:val="none"/>
          <w:lang w:val="en-US" w:eastAsia="zh-CN"/>
        </w:rPr>
        <w:t>5.2 开户许可证复印件（基本存款账户）</w:t>
      </w:r>
      <w:bookmarkEnd w:id="396"/>
      <w:bookmarkEnd w:id="397"/>
      <w:bookmarkEnd w:id="398"/>
      <w:bookmarkEnd w:id="399"/>
      <w:bookmarkEnd w:id="400"/>
      <w:bookmarkEnd w:id="401"/>
      <w:bookmarkEnd w:id="402"/>
      <w:bookmarkEnd w:id="403"/>
      <w:r>
        <w:rPr>
          <w:rFonts w:hint="eastAsia" w:ascii="宋体" w:hAnsi="宋体" w:eastAsia="宋体" w:cs="宋体"/>
          <w:b/>
          <w:color w:val="auto"/>
          <w:kern w:val="2"/>
          <w:sz w:val="30"/>
          <w:szCs w:val="30"/>
          <w:highlight w:val="none"/>
          <w:lang w:val="en-US" w:eastAsia="zh-CN"/>
        </w:rPr>
        <w:t>复印件</w:t>
      </w:r>
      <w:bookmarkEnd w:id="404"/>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405"/>
      <w:bookmarkEnd w:id="406"/>
      <w:bookmarkEnd w:id="407"/>
      <w:bookmarkEnd w:id="408"/>
      <w:bookmarkEnd w:id="409"/>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5.3</w:t>
      </w:r>
      <w:r>
        <w:rPr>
          <w:rFonts w:hint="eastAsia" w:ascii="宋体" w:hAnsi="宋体" w:eastAsia="宋体" w:cs="宋体"/>
          <w:b/>
          <w:color w:val="auto"/>
          <w:kern w:val="2"/>
          <w:sz w:val="30"/>
          <w:szCs w:val="30"/>
          <w:highlight w:val="none"/>
        </w:rPr>
        <w:t xml:space="preserve"> </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rPr>
        <w:t>身份证明书原件、</w:t>
      </w:r>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rPr>
        <w:t>授权书原件格式（</w:t>
      </w:r>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w:t>
      </w:r>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rPr>
        <w:t>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eastAsia="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w:t>
      </w:r>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rPr>
        <w:t>授权书）</w:t>
      </w:r>
    </w:p>
    <w:p>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b/>
          <w:color w:val="auto"/>
          <w:kern w:val="2"/>
          <w:sz w:val="21"/>
          <w:szCs w:val="21"/>
          <w:highlight w:val="none"/>
          <w:lang w:eastAsia="zh-CN"/>
        </w:rPr>
        <w:t>法定代表人/</w:t>
      </w:r>
      <w:r>
        <w:rPr>
          <w:rFonts w:hint="eastAsia" w:ascii="宋体" w:hAnsi="宋体" w:cs="宋体"/>
          <w:b/>
          <w:color w:val="auto"/>
          <w:kern w:val="2"/>
          <w:sz w:val="21"/>
          <w:szCs w:val="21"/>
          <w:highlight w:val="none"/>
          <w:lang w:eastAsia="zh-CN"/>
        </w:rPr>
        <w:t>执行事务合伙人</w:t>
      </w:r>
      <w:r>
        <w:rPr>
          <w:rFonts w:hint="eastAsia" w:ascii="宋体" w:hAnsi="宋体" w:eastAsia="宋体" w:cs="宋体"/>
          <w:b/>
          <w:color w:val="auto"/>
          <w:kern w:val="2"/>
          <w:sz w:val="21"/>
          <w:szCs w:val="21"/>
          <w:highlight w:val="none"/>
        </w:rPr>
        <w:t>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bookmarkStart w:id="410" w:name="_Toc36971359"/>
      <w:bookmarkStart w:id="411" w:name="_Toc45995270"/>
      <w:r>
        <w:rPr>
          <w:rFonts w:hint="eastAsia" w:ascii="宋体" w:hAnsi="宋体" w:eastAsia="宋体" w:cs="宋体"/>
          <w:b/>
          <w:color w:val="auto"/>
          <w:kern w:val="2"/>
          <w:sz w:val="30"/>
          <w:szCs w:val="30"/>
          <w:highlight w:val="none"/>
          <w:lang w:eastAsia="zh-CN"/>
        </w:rPr>
        <w:t>法定代表人/</w:t>
      </w:r>
      <w:r>
        <w:rPr>
          <w:rFonts w:hint="eastAsia" w:ascii="宋体" w:hAnsi="宋体" w:cs="宋体"/>
          <w:b/>
          <w:color w:val="auto"/>
          <w:kern w:val="2"/>
          <w:sz w:val="30"/>
          <w:szCs w:val="30"/>
          <w:highlight w:val="none"/>
          <w:lang w:eastAsia="zh-CN"/>
        </w:rPr>
        <w:t>执行事务合伙人</w:t>
      </w:r>
      <w:r>
        <w:rPr>
          <w:rFonts w:hint="eastAsia" w:ascii="宋体" w:hAnsi="宋体" w:eastAsia="宋体" w:cs="宋体"/>
          <w:b/>
          <w:color w:val="auto"/>
          <w:kern w:val="2"/>
          <w:sz w:val="30"/>
          <w:szCs w:val="30"/>
          <w:highlight w:val="none"/>
        </w:rPr>
        <w:t>身份证明书</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410"/>
      <w:bookmarkEnd w:id="411"/>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w:t>
      </w:r>
      <w:r>
        <w:rPr>
          <w:rFonts w:hint="eastAsia" w:ascii="宋体" w:hAnsi="宋体" w:eastAsia="宋体" w:cs="宋体"/>
          <w:color w:val="auto"/>
          <w:kern w:val="2"/>
          <w:sz w:val="21"/>
          <w:highlight w:val="none"/>
          <w:lang w:eastAsia="zh-CN"/>
        </w:rPr>
        <w:t>法定代表人/</w:t>
      </w:r>
      <w:r>
        <w:rPr>
          <w:rFonts w:hint="eastAsia" w:ascii="宋体" w:hAnsi="宋体" w:cs="宋体"/>
          <w:color w:val="auto"/>
          <w:kern w:val="2"/>
          <w:sz w:val="21"/>
          <w:highlight w:val="none"/>
          <w:lang w:eastAsia="zh-CN"/>
        </w:rPr>
        <w:t>执行事务合伙人</w:t>
      </w:r>
      <w:r>
        <w:rPr>
          <w:rFonts w:hint="eastAsia" w:ascii="宋体" w:hAnsi="宋体" w:eastAsia="宋体" w:cs="宋体"/>
          <w:color w:val="auto"/>
          <w:kern w:val="2"/>
          <w:sz w:val="21"/>
          <w:highlight w:val="none"/>
        </w:rPr>
        <w:t>，特此证明。</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w:t>
      </w:r>
      <w:r>
        <w:rPr>
          <w:rFonts w:hint="eastAsia" w:ascii="宋体" w:hAnsi="宋体" w:eastAsia="宋体" w:cs="宋体"/>
          <w:color w:val="auto"/>
          <w:kern w:val="2"/>
          <w:sz w:val="21"/>
          <w:highlight w:val="none"/>
          <w:lang w:eastAsia="zh-CN"/>
        </w:rPr>
        <w:t>法定代表人/</w:t>
      </w:r>
      <w:r>
        <w:rPr>
          <w:rFonts w:hint="eastAsia" w:ascii="宋体" w:hAnsi="宋体" w:cs="宋体"/>
          <w:color w:val="auto"/>
          <w:kern w:val="2"/>
          <w:sz w:val="21"/>
          <w:highlight w:val="none"/>
          <w:lang w:eastAsia="zh-CN"/>
        </w:rPr>
        <w:t>执行事务合伙人</w:t>
      </w:r>
      <w:r>
        <w:rPr>
          <w:rFonts w:hint="eastAsia" w:ascii="宋体" w:hAnsi="宋体" w:eastAsia="宋体" w:cs="宋体"/>
          <w:color w:val="auto"/>
          <w:kern w:val="2"/>
          <w:sz w:val="21"/>
          <w:highlight w:val="none"/>
        </w:rPr>
        <w:t xml:space="preserve">身份证复印件 </w:t>
      </w:r>
    </w:p>
    <w:p>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w:t>
      </w:r>
      <w:r>
        <w:rPr>
          <w:rFonts w:hint="eastAsia" w:ascii="宋体" w:hAnsi="宋体" w:cs="宋体"/>
          <w:color w:val="auto"/>
          <w:kern w:val="2"/>
          <w:sz w:val="21"/>
          <w:szCs w:val="21"/>
          <w:highlight w:val="none"/>
          <w:lang w:val="zh-CN"/>
        </w:rPr>
        <w:t>供应商公章</w:t>
      </w:r>
      <w:r>
        <w:rPr>
          <w:rFonts w:hint="eastAsia" w:ascii="宋体" w:hAnsi="宋体" w:eastAsia="宋体" w:cs="宋体"/>
          <w:color w:val="auto"/>
          <w:kern w:val="2"/>
          <w:sz w:val="21"/>
          <w:szCs w:val="21"/>
          <w:highlight w:val="none"/>
          <w:lang w:val="zh-CN"/>
        </w:rPr>
        <w:t>）</w:t>
      </w:r>
    </w:p>
    <w:p>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w:t>
                            </w:r>
                            <w:r>
                              <w:rPr>
                                <w:rFonts w:hint="eastAsia" w:ascii="宋体" w:hAnsi="宋体"/>
                                <w:color w:val="auto"/>
                                <w:sz w:val="21"/>
                                <w:szCs w:val="21"/>
                                <w:lang w:eastAsia="zh-CN"/>
                              </w:rPr>
                              <w:t>代表人/执行事务合伙人</w:t>
                            </w:r>
                            <w:r>
                              <w:rPr>
                                <w:rFonts w:hint="eastAsia" w:ascii="宋体" w:hAnsi="宋体"/>
                                <w:color w:val="auto"/>
                                <w:sz w:val="21"/>
                                <w:szCs w:val="21"/>
                              </w:rPr>
                              <w:t>身份</w:t>
                            </w:r>
                            <w:r>
                              <w:rPr>
                                <w:rFonts w:hint="eastAsia" w:ascii="宋体" w:hAnsi="宋体"/>
                                <w:sz w:val="21"/>
                                <w:szCs w:val="21"/>
                              </w:rPr>
                              <w:t>证反面</w:t>
                            </w:r>
                          </w:p>
                          <w:p>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法定</w:t>
                      </w:r>
                      <w:r>
                        <w:rPr>
                          <w:rFonts w:hint="eastAsia" w:ascii="宋体" w:hAnsi="宋体"/>
                          <w:color w:val="auto"/>
                          <w:sz w:val="21"/>
                          <w:szCs w:val="21"/>
                          <w:lang w:eastAsia="zh-CN"/>
                        </w:rPr>
                        <w:t>代表人/执行事务合伙人</w:t>
                      </w:r>
                      <w:r>
                        <w:rPr>
                          <w:rFonts w:hint="eastAsia" w:ascii="宋体" w:hAnsi="宋体"/>
                          <w:color w:val="auto"/>
                          <w:sz w:val="21"/>
                          <w:szCs w:val="21"/>
                        </w:rPr>
                        <w:t>身份</w:t>
                      </w:r>
                      <w:r>
                        <w:rPr>
                          <w:rFonts w:hint="eastAsia" w:ascii="宋体" w:hAnsi="宋体"/>
                          <w:sz w:val="21"/>
                          <w:szCs w:val="21"/>
                        </w:rPr>
                        <w:t>证反面</w:t>
                      </w:r>
                    </w:p>
                    <w:p>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w:t>
                            </w:r>
                            <w:r>
                              <w:rPr>
                                <w:rFonts w:hint="eastAsia" w:ascii="宋体" w:hAnsi="宋体"/>
                                <w:color w:val="auto"/>
                                <w:sz w:val="21"/>
                                <w:szCs w:val="21"/>
                                <w:lang w:eastAsia="zh-CN"/>
                              </w:rPr>
                              <w:t>定代表人/执行事务合伙人</w:t>
                            </w:r>
                            <w:r>
                              <w:rPr>
                                <w:rFonts w:hint="eastAsia" w:ascii="宋体" w:hAnsi="宋体"/>
                                <w:color w:val="auto"/>
                                <w:sz w:val="21"/>
                                <w:szCs w:val="21"/>
                              </w:rPr>
                              <w:t>身份</w:t>
                            </w:r>
                            <w:r>
                              <w:rPr>
                                <w:rFonts w:hint="eastAsia" w:ascii="宋体" w:hAnsi="宋体"/>
                                <w:sz w:val="21"/>
                                <w:szCs w:val="21"/>
                              </w:rPr>
                              <w:t>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lang w:eastAsia="zh-CN"/>
                        </w:rPr>
                        <w:t>法</w:t>
                      </w:r>
                      <w:r>
                        <w:rPr>
                          <w:rFonts w:hint="eastAsia" w:ascii="宋体" w:hAnsi="宋体"/>
                          <w:color w:val="auto"/>
                          <w:sz w:val="21"/>
                          <w:szCs w:val="21"/>
                          <w:lang w:eastAsia="zh-CN"/>
                        </w:rPr>
                        <w:t>定代表人/执行事务合伙人</w:t>
                      </w:r>
                      <w:r>
                        <w:rPr>
                          <w:rFonts w:hint="eastAsia" w:ascii="宋体" w:hAnsi="宋体"/>
                          <w:color w:val="auto"/>
                          <w:sz w:val="21"/>
                          <w:szCs w:val="21"/>
                        </w:rPr>
                        <w:t>身份</w:t>
                      </w:r>
                      <w:r>
                        <w:rPr>
                          <w:rFonts w:hint="eastAsia" w:ascii="宋体" w:hAnsi="宋体"/>
                          <w:sz w:val="21"/>
                          <w:szCs w:val="21"/>
                        </w:rPr>
                        <w:t>证正面</w:t>
                      </w:r>
                    </w:p>
                  </w:txbxContent>
                </v:textbox>
              </v:shape>
            </w:pict>
          </mc:Fallback>
        </mc:AlternateContent>
      </w:r>
    </w:p>
    <w:p>
      <w:pPr>
        <w:rPr>
          <w:rFonts w:hint="eastAsia" w:ascii="宋体" w:hAnsi="宋体" w:eastAsia="宋体" w:cs="宋体"/>
          <w:color w:val="auto"/>
          <w:highlight w:val="none"/>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法定代表人/</w:t>
      </w:r>
      <w:r>
        <w:rPr>
          <w:rFonts w:hint="eastAsia" w:ascii="宋体" w:hAnsi="宋体" w:cs="宋体"/>
          <w:b/>
          <w:color w:val="auto"/>
          <w:sz w:val="21"/>
          <w:szCs w:val="21"/>
          <w:highlight w:val="none"/>
          <w:lang w:eastAsia="zh-CN"/>
        </w:rPr>
        <w:t>执行事务合伙人</w:t>
      </w:r>
      <w:r>
        <w:rPr>
          <w:rFonts w:hint="eastAsia" w:ascii="宋体" w:hAnsi="宋体" w:eastAsia="宋体" w:cs="宋体"/>
          <w:b/>
          <w:color w:val="auto"/>
          <w:sz w:val="21"/>
          <w:szCs w:val="21"/>
          <w:highlight w:val="none"/>
        </w:rPr>
        <w:t>身份证须在有效期限内。</w:t>
      </w:r>
      <w:r>
        <w:rPr>
          <w:rFonts w:hint="eastAsia" w:ascii="宋体" w:hAnsi="宋体" w:eastAsia="宋体" w:cs="宋体"/>
          <w:color w:val="auto"/>
          <w:sz w:val="21"/>
          <w:highlight w:val="none"/>
          <w:lang w:val="zh-CN"/>
        </w:rPr>
        <w:br w:type="page"/>
      </w:r>
      <w:bookmarkEnd w:id="318"/>
      <w:bookmarkEnd w:id="319"/>
      <w:bookmarkEnd w:id="320"/>
      <w:bookmarkStart w:id="412" w:name="_Toc521576303"/>
      <w:bookmarkStart w:id="413" w:name="_Toc521918124"/>
      <w:bookmarkStart w:id="414" w:name="_Toc490169464"/>
      <w:bookmarkStart w:id="415" w:name="_Toc495907134"/>
      <w:bookmarkStart w:id="416" w:name="_Toc521918321"/>
      <w:bookmarkStart w:id="417" w:name="_Toc497746562"/>
      <w:bookmarkStart w:id="418" w:name="_Toc519153442"/>
      <w:bookmarkStart w:id="419" w:name="_Toc532576767"/>
      <w:bookmarkStart w:id="420" w:name="_Toc522047383"/>
      <w:r>
        <w:rPr>
          <w:rFonts w:hint="eastAsia" w:ascii="宋体" w:hAnsi="宋体" w:eastAsia="宋体" w:cs="宋体"/>
          <w:color w:val="auto"/>
          <w:sz w:val="32"/>
          <w:szCs w:val="32"/>
          <w:highlight w:val="none"/>
          <w:lang w:val="zh-CN"/>
        </w:rPr>
        <w:t xml:space="preserve"> </w:t>
      </w:r>
      <w:bookmarkEnd w:id="412"/>
      <w:bookmarkEnd w:id="413"/>
      <w:bookmarkEnd w:id="414"/>
      <w:bookmarkEnd w:id="415"/>
      <w:bookmarkEnd w:id="416"/>
      <w:bookmarkEnd w:id="417"/>
      <w:bookmarkEnd w:id="418"/>
      <w:bookmarkEnd w:id="419"/>
      <w:bookmarkEnd w:id="420"/>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w:t>
      </w:r>
      <w:r>
        <w:rPr>
          <w:rFonts w:hint="eastAsia" w:ascii="宋体" w:hAnsi="宋体" w:cs="宋体"/>
          <w:b/>
          <w:bCs/>
          <w:color w:val="auto"/>
          <w:kern w:val="2"/>
          <w:sz w:val="21"/>
          <w:szCs w:val="21"/>
          <w:highlight w:val="none"/>
          <w:lang w:val="zh-CN"/>
        </w:rPr>
        <w:t>执行事务合伙人</w:t>
      </w:r>
      <w:r>
        <w:rPr>
          <w:rFonts w:hint="eastAsia" w:ascii="宋体" w:hAnsi="宋体" w:eastAsia="宋体" w:cs="宋体"/>
          <w:b/>
          <w:bCs/>
          <w:color w:val="auto"/>
          <w:kern w:val="2"/>
          <w:sz w:val="21"/>
          <w:szCs w:val="21"/>
          <w:highlight w:val="none"/>
          <w:lang w:val="zh-CN"/>
        </w:rPr>
        <w:t>授权书格式</w:t>
      </w:r>
    </w:p>
    <w:p>
      <w:pP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w:t>
      </w:r>
      <w:r>
        <w:rPr>
          <w:rFonts w:hint="eastAsia" w:ascii="宋体" w:hAnsi="宋体" w:cs="宋体"/>
          <w:b/>
          <w:bCs/>
          <w:color w:val="auto"/>
          <w:kern w:val="2"/>
          <w:sz w:val="30"/>
          <w:szCs w:val="30"/>
          <w:highlight w:val="none"/>
          <w:lang w:val="zh-CN"/>
        </w:rPr>
        <w:t>执行事务合伙人</w:t>
      </w:r>
      <w:r>
        <w:rPr>
          <w:rFonts w:hint="eastAsia" w:ascii="宋体" w:hAnsi="宋体" w:eastAsia="宋体" w:cs="宋体"/>
          <w:b/>
          <w:bCs/>
          <w:color w:val="auto"/>
          <w:kern w:val="2"/>
          <w:sz w:val="30"/>
          <w:szCs w:val="30"/>
          <w:highlight w:val="none"/>
          <w:lang w:val="zh-CN"/>
        </w:rPr>
        <w:t>授权书</w:t>
      </w:r>
    </w:p>
    <w:p>
      <w:pPr>
        <w:spacing w:line="360" w:lineRule="auto"/>
        <w:jc w:val="center"/>
        <w:rPr>
          <w:rFonts w:hint="eastAsia" w:ascii="宋体" w:hAnsi="宋体" w:eastAsia="宋体" w:cs="宋体"/>
          <w:color w:val="auto"/>
          <w:kern w:val="2"/>
          <w:sz w:val="21"/>
          <w:szCs w:val="28"/>
          <w:highlight w:val="none"/>
          <w:lang w:val="zh-CN"/>
        </w:rPr>
      </w:pPr>
    </w:p>
    <w:p>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w:t>
      </w:r>
      <w:r>
        <w:rPr>
          <w:rFonts w:hint="eastAsia" w:ascii="宋体" w:hAnsi="宋体" w:cs="宋体"/>
          <w:color w:val="auto"/>
          <w:kern w:val="2"/>
          <w:sz w:val="21"/>
          <w:highlight w:val="none"/>
          <w:lang w:val="zh-CN"/>
        </w:rPr>
        <w:t>东莞市水务集团实业发展有限公司</w:t>
      </w:r>
    </w:p>
    <w:p>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（供应商地址）的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（供应商名称）在下面签字的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姓名、职务、身份证号码）代表本公司授权在下面签字或盖私章的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（被授权人的姓名、职务、身份证号码）为本公司的合法代表人，签署</w:t>
      </w:r>
      <w:r>
        <w:rPr>
          <w:rFonts w:hint="eastAsia" w:ascii="宋体" w:hAnsi="宋体" w:cs="宋体"/>
          <w:color w:val="auto"/>
          <w:kern w:val="2"/>
          <w:sz w:val="21"/>
          <w:highlight w:val="none"/>
          <w:u w:val="single"/>
          <w:lang w:val="zh-CN"/>
        </w:rPr>
        <w:t>东莞市水务集团实业发展有限公司审计及财税服务采购项目</w:t>
      </w:r>
      <w:r>
        <w:rPr>
          <w:rFonts w:hint="eastAsia" w:ascii="宋体" w:hAnsi="宋体" w:eastAsia="宋体" w:cs="宋体"/>
          <w:color w:val="auto"/>
          <w:kern w:val="2"/>
          <w:sz w:val="21"/>
          <w:szCs w:val="21"/>
          <w:highlight w:val="none"/>
          <w:lang w:val="zh-CN"/>
        </w:rPr>
        <w:t>（采购编号：</w:t>
      </w:r>
      <w:r>
        <w:rPr>
          <w:rFonts w:hint="eastAsia" w:ascii="宋体" w:hAnsi="宋体" w:cs="宋体"/>
          <w:color w:val="auto"/>
          <w:kern w:val="2"/>
          <w:sz w:val="21"/>
          <w:szCs w:val="21"/>
          <w:highlight w:val="none"/>
          <w:u w:val="single"/>
          <w:lang w:val="zh-CN"/>
        </w:rPr>
        <w:t>0832-SFCX25DG115C</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供应商：（加盖供应商公章）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4798" w:firstLineChars="2285"/>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、被授权人身份证复印件</w:t>
      </w:r>
    </w:p>
    <w:p>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w:t>
                            </w:r>
                            <w:r>
                              <w:rPr>
                                <w:rFonts w:hint="eastAsia" w:ascii="宋体" w:hAnsi="宋体"/>
                                <w:color w:val="auto"/>
                                <w:kern w:val="2"/>
                                <w:sz w:val="21"/>
                                <w:lang w:eastAsia="zh-CN"/>
                              </w:rPr>
                              <w:t>代表人/执行事务合伙人</w:t>
                            </w:r>
                            <w:r>
                              <w:rPr>
                                <w:rFonts w:hint="eastAsia" w:ascii="宋体" w:hAnsi="宋体"/>
                                <w:color w:val="auto"/>
                                <w:kern w:val="2"/>
                                <w:sz w:val="21"/>
                              </w:rPr>
                              <w:t>身份证</w:t>
                            </w:r>
                            <w:r>
                              <w:rPr>
                                <w:rFonts w:hint="eastAsia" w:ascii="宋体" w:hAnsi="宋体"/>
                                <w:kern w:val="2"/>
                                <w:sz w:val="21"/>
                              </w:rPr>
                              <w:t>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lang w:eastAsia="zh-CN"/>
                        </w:rPr>
                        <w:t>法定</w:t>
                      </w:r>
                      <w:r>
                        <w:rPr>
                          <w:rFonts w:hint="eastAsia" w:ascii="宋体" w:hAnsi="宋体"/>
                          <w:color w:val="auto"/>
                          <w:kern w:val="2"/>
                          <w:sz w:val="21"/>
                          <w:lang w:eastAsia="zh-CN"/>
                        </w:rPr>
                        <w:t>代表人/执行事务合伙人</w:t>
                      </w:r>
                      <w:r>
                        <w:rPr>
                          <w:rFonts w:hint="eastAsia" w:ascii="宋体" w:hAnsi="宋体"/>
                          <w:color w:val="auto"/>
                          <w:kern w:val="2"/>
                          <w:sz w:val="21"/>
                        </w:rPr>
                        <w:t>身份证</w:t>
                      </w:r>
                      <w:r>
                        <w:rPr>
                          <w:rFonts w:hint="eastAsia" w:ascii="宋体" w:hAnsi="宋体"/>
                          <w:kern w:val="2"/>
                          <w:sz w:val="21"/>
                        </w:rPr>
                        <w:t>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color w:val="auto"/>
                                <w:kern w:val="2"/>
                                <w:sz w:val="21"/>
                              </w:rPr>
                            </w:pPr>
                            <w:r>
                              <w:rPr>
                                <w:rFonts w:hint="eastAsia" w:ascii="宋体" w:hAnsi="宋体"/>
                                <w:kern w:val="2"/>
                                <w:sz w:val="21"/>
                                <w:lang w:eastAsia="zh-CN"/>
                              </w:rPr>
                              <w:t>法定</w:t>
                            </w:r>
                            <w:r>
                              <w:rPr>
                                <w:rFonts w:hint="eastAsia" w:ascii="宋体" w:hAnsi="宋体"/>
                                <w:color w:val="auto"/>
                                <w:kern w:val="2"/>
                                <w:sz w:val="21"/>
                                <w:lang w:eastAsia="zh-CN"/>
                              </w:rPr>
                              <w:t>代表人/执行事务合伙人</w:t>
                            </w:r>
                            <w:r>
                              <w:rPr>
                                <w:rFonts w:hint="eastAsia" w:ascii="宋体" w:hAnsi="宋体"/>
                                <w:color w:val="auto"/>
                                <w:kern w:val="2"/>
                                <w:sz w:val="21"/>
                              </w:rPr>
                              <w:t>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color w:val="auto"/>
                          <w:kern w:val="2"/>
                          <w:sz w:val="21"/>
                        </w:rPr>
                      </w:pPr>
                      <w:r>
                        <w:rPr>
                          <w:rFonts w:hint="eastAsia" w:ascii="宋体" w:hAnsi="宋体"/>
                          <w:kern w:val="2"/>
                          <w:sz w:val="21"/>
                          <w:lang w:eastAsia="zh-CN"/>
                        </w:rPr>
                        <w:t>法定</w:t>
                      </w:r>
                      <w:r>
                        <w:rPr>
                          <w:rFonts w:hint="eastAsia" w:ascii="宋体" w:hAnsi="宋体"/>
                          <w:color w:val="auto"/>
                          <w:kern w:val="2"/>
                          <w:sz w:val="21"/>
                          <w:lang w:eastAsia="zh-CN"/>
                        </w:rPr>
                        <w:t>代表人/执行事务合伙人</w:t>
                      </w:r>
                      <w:r>
                        <w:rPr>
                          <w:rFonts w:hint="eastAsia" w:ascii="宋体" w:hAnsi="宋体"/>
                          <w:color w:val="auto"/>
                          <w:kern w:val="2"/>
                          <w:sz w:val="21"/>
                        </w:rPr>
                        <w:t>身份证正面</w:t>
                      </w:r>
                    </w:p>
                  </w:txbxContent>
                </v:textbox>
              </v:shape>
            </w:pict>
          </mc:Fallback>
        </mc:AlternateConten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v:textbox>
              </v:shape>
            </w:pict>
          </mc:Fallback>
        </mc:AlternateContent>
      </w: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421" w:name="_Toc521918322"/>
      <w:bookmarkStart w:id="422" w:name="_Toc519153443"/>
      <w:bookmarkStart w:id="423" w:name="_Toc522047384"/>
      <w:bookmarkStart w:id="424" w:name="_Toc521918125"/>
      <w:bookmarkStart w:id="425" w:name="_Toc521576304"/>
      <w:bookmarkStart w:id="426" w:name="_Toc490169465"/>
      <w:bookmarkStart w:id="427" w:name="_Toc495907135"/>
      <w:r>
        <w:rPr>
          <w:rFonts w:hint="eastAsia" w:ascii="宋体" w:hAnsi="宋体" w:eastAsia="宋体" w:cs="宋体"/>
          <w:b/>
          <w:color w:val="auto"/>
          <w:sz w:val="21"/>
          <w:szCs w:val="21"/>
          <w:highlight w:val="none"/>
        </w:rPr>
        <w:t>注：上述身份证须在有效期限内。</w:t>
      </w:r>
    </w:p>
    <w:p>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1" w:type="first"/>
          <w:footerReference r:id="rId13" w:type="first"/>
          <w:footerReference r:id="rId12"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1"/>
    <w:bookmarkEnd w:id="422"/>
    <w:bookmarkEnd w:id="423"/>
    <w:bookmarkEnd w:id="424"/>
    <w:bookmarkEnd w:id="425"/>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5.4 行政主管部门颁发有效的会计师事务所执业证书；</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en-US" w:eastAsia="zh-CN"/>
        </w:rPr>
      </w:pPr>
    </w:p>
    <w:p>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zh-CN"/>
        </w:rPr>
      </w:pPr>
      <w:r>
        <w:rPr>
          <w:rFonts w:hint="eastAsia" w:ascii="宋体" w:hAnsi="宋体" w:eastAsia="宋体" w:cs="宋体"/>
          <w:b/>
          <w:color w:val="auto"/>
          <w:kern w:val="2"/>
          <w:sz w:val="30"/>
          <w:szCs w:val="30"/>
          <w:highlight w:val="none"/>
          <w:lang w:val="en-US" w:eastAsia="zh-CN"/>
        </w:rPr>
        <w:t>5.5</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zh-CN"/>
        </w:rPr>
        <w:t>资格业绩【供应商2022年1月1日以来具有一份资产审计服务项目业绩</w:t>
      </w:r>
      <w:r>
        <w:rPr>
          <w:rFonts w:hint="eastAsia" w:ascii="宋体" w:hAnsi="宋体" w:cs="宋体"/>
          <w:b/>
          <w:color w:val="auto"/>
          <w:kern w:val="2"/>
          <w:sz w:val="30"/>
          <w:szCs w:val="30"/>
          <w:highlight w:val="none"/>
          <w:lang w:val="en-US" w:eastAsia="zh-CN"/>
        </w:rPr>
        <w:t>或</w:t>
      </w:r>
      <w:r>
        <w:rPr>
          <w:rFonts w:hint="eastAsia" w:ascii="宋体" w:hAnsi="宋体" w:eastAsia="宋体" w:cs="宋体"/>
          <w:b/>
          <w:color w:val="auto"/>
          <w:kern w:val="2"/>
          <w:sz w:val="30"/>
          <w:szCs w:val="30"/>
          <w:highlight w:val="none"/>
          <w:lang w:val="zh-CN"/>
        </w:rPr>
        <w:t>一份企业清算审计服务项目业绩</w:t>
      </w:r>
      <w:r>
        <w:rPr>
          <w:rFonts w:hint="eastAsia" w:ascii="宋体" w:hAnsi="宋体" w:cs="宋体"/>
          <w:b/>
          <w:color w:val="auto"/>
          <w:kern w:val="2"/>
          <w:sz w:val="30"/>
          <w:szCs w:val="30"/>
          <w:highlight w:val="none"/>
          <w:lang w:val="en-US" w:eastAsia="zh-CN"/>
        </w:rPr>
        <w:t>或</w:t>
      </w:r>
      <w:r>
        <w:rPr>
          <w:rFonts w:hint="eastAsia" w:ascii="宋体" w:hAnsi="宋体" w:eastAsia="宋体" w:cs="宋体"/>
          <w:b/>
          <w:color w:val="auto"/>
          <w:kern w:val="2"/>
          <w:sz w:val="30"/>
          <w:szCs w:val="30"/>
          <w:highlight w:val="none"/>
          <w:lang w:val="zh-CN"/>
        </w:rPr>
        <w:t>一份财税咨询服务项目业绩</w:t>
      </w:r>
      <w:r>
        <w:rPr>
          <w:rFonts w:hint="eastAsia" w:ascii="宋体" w:hAnsi="宋体" w:cs="宋体"/>
          <w:b/>
          <w:color w:val="auto"/>
          <w:kern w:val="2"/>
          <w:sz w:val="30"/>
          <w:szCs w:val="30"/>
          <w:highlight w:val="none"/>
          <w:lang w:val="zh-CN"/>
        </w:rPr>
        <w:t>（</w:t>
      </w:r>
      <w:r>
        <w:rPr>
          <w:rFonts w:hint="eastAsia" w:ascii="宋体" w:hAnsi="宋体" w:eastAsia="宋体" w:cs="宋体"/>
          <w:b/>
          <w:color w:val="auto"/>
          <w:kern w:val="2"/>
          <w:sz w:val="30"/>
          <w:szCs w:val="30"/>
          <w:highlight w:val="none"/>
          <w:lang w:val="zh-CN"/>
        </w:rPr>
        <w:t>合同签订时间为2022年1月1日或以后）</w:t>
      </w:r>
    </w:p>
    <w:p>
      <w:pPr>
        <w:outlineLvl w:val="9"/>
        <w:rPr>
          <w:rFonts w:hint="eastAsia" w:ascii="宋体" w:hAnsi="宋体" w:eastAsia="宋体" w:cs="宋体"/>
          <w:b/>
          <w:color w:val="auto"/>
          <w:kern w:val="2"/>
          <w:sz w:val="30"/>
          <w:szCs w:val="30"/>
          <w:highlight w:val="none"/>
          <w:lang w:val="zh-CN"/>
        </w:rPr>
      </w:pPr>
    </w:p>
    <w:tbl>
      <w:tblPr>
        <w:tblStyle w:val="55"/>
        <w:tblW w:w="4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1"/>
        <w:gridCol w:w="1990"/>
        <w:gridCol w:w="2355"/>
        <w:gridCol w:w="904"/>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44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8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23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449"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pStyle w:val="73"/>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（2）业绩必须附合同复印件。若合同无法反映合同签订时间、合同服务内容的，还需提供服务购买方出具的书面补充情况说明文件复印件作为辅助证明。</w:t>
      </w:r>
    </w:p>
    <w:p>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428" w:name="_Toc24862"/>
      <w:bookmarkStart w:id="429" w:name="_Toc12931"/>
      <w:bookmarkStart w:id="430" w:name="_Toc20010"/>
      <w:r>
        <w:rPr>
          <w:rFonts w:hint="eastAsia" w:ascii="宋体" w:hAnsi="宋体" w:eastAsia="宋体" w:cs="宋体"/>
          <w:b/>
          <w:color w:val="auto"/>
          <w:sz w:val="21"/>
          <w:szCs w:val="21"/>
          <w:highlight w:val="none"/>
          <w:lang w:val="zh-CN"/>
        </w:rPr>
        <w:t>（3）</w:t>
      </w:r>
      <w:r>
        <w:rPr>
          <w:rFonts w:hint="eastAsia" w:ascii="宋体" w:hAnsi="宋体" w:cs="宋体"/>
          <w:b/>
          <w:color w:val="auto"/>
          <w:sz w:val="21"/>
          <w:szCs w:val="21"/>
          <w:highlight w:val="none"/>
          <w:u w:val="single"/>
          <w:lang w:val="en-US" w:eastAsia="zh-CN"/>
        </w:rPr>
        <w:t>合同业绩证明材料必须满足下列条件：①合同签订日期为</w:t>
      </w:r>
      <w:r>
        <w:rPr>
          <w:rFonts w:hint="eastAsia" w:ascii="宋体" w:hAnsi="宋体" w:eastAsia="宋体" w:cs="宋体"/>
          <w:b/>
          <w:color w:val="auto"/>
          <w:sz w:val="21"/>
          <w:szCs w:val="21"/>
          <w:highlight w:val="none"/>
          <w:u w:val="single"/>
          <w:lang w:val="zh-CN" w:eastAsia="zh-CN"/>
        </w:rPr>
        <w:t>2022年1月1日或以后</w:t>
      </w:r>
      <w:r>
        <w:rPr>
          <w:rFonts w:hint="eastAsia" w:ascii="宋体" w:hAnsi="宋体" w:cs="宋体"/>
          <w:b/>
          <w:color w:val="auto"/>
          <w:sz w:val="21"/>
          <w:szCs w:val="21"/>
          <w:highlight w:val="none"/>
          <w:u w:val="single"/>
          <w:lang w:val="zh-CN" w:eastAsia="zh-CN"/>
        </w:rPr>
        <w:t>；</w:t>
      </w:r>
      <w:r>
        <w:rPr>
          <w:rFonts w:hint="eastAsia" w:ascii="宋体" w:hAnsi="宋体" w:cs="宋体"/>
          <w:b/>
          <w:color w:val="auto"/>
          <w:sz w:val="21"/>
          <w:szCs w:val="21"/>
          <w:highlight w:val="none"/>
          <w:u w:val="single"/>
          <w:lang w:val="en-US" w:eastAsia="zh-CN"/>
        </w:rPr>
        <w:t>②合同服务内容须为资产审计或清算审计或财税咨询</w:t>
      </w:r>
      <w:r>
        <w:rPr>
          <w:rFonts w:hint="eastAsia" w:ascii="宋体" w:hAnsi="宋体" w:eastAsia="宋体" w:cs="宋体"/>
          <w:b/>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w:t>
      </w:r>
      <w:bookmarkEnd w:id="428"/>
      <w:bookmarkEnd w:id="429"/>
      <w:bookmarkEnd w:id="430"/>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pPr>
        <w:tabs>
          <w:tab w:val="left" w:pos="567"/>
        </w:tabs>
        <w:rPr>
          <w:rFonts w:hint="eastAsia" w:ascii="宋体" w:hAnsi="宋体" w:eastAsia="宋体" w:cs="宋体"/>
          <w:color w:val="auto"/>
          <w:highlight w:val="none"/>
        </w:rPr>
      </w:pPr>
    </w:p>
    <w:p>
      <w:pPr>
        <w:pStyle w:val="73"/>
        <w:rPr>
          <w:rFonts w:hint="eastAsia" w:ascii="宋体" w:hAnsi="宋体" w:eastAsia="宋体" w:cs="宋体"/>
          <w:color w:val="auto"/>
          <w:highlight w:val="none"/>
        </w:rPr>
      </w:pPr>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431" w:name="_Toc21843"/>
      <w:bookmarkStart w:id="432" w:name="_Toc8121"/>
      <w:bookmarkStart w:id="433" w:name="_Toc7508"/>
      <w:bookmarkStart w:id="434" w:name="_Toc5098074"/>
      <w:bookmarkStart w:id="435" w:name="_Toc521918324"/>
      <w:bookmarkStart w:id="436" w:name="_Toc54334012"/>
      <w:bookmarkStart w:id="437" w:name="_Toc522047386"/>
      <w:bookmarkStart w:id="438" w:name="_Toc19008830"/>
      <w:bookmarkStart w:id="439" w:name="_Toc79146603"/>
      <w:bookmarkStart w:id="440" w:name="_Toc521576306"/>
      <w:bookmarkStart w:id="441" w:name="_Toc56076629"/>
      <w:bookmarkStart w:id="442" w:name="_Toc1123957"/>
      <w:bookmarkStart w:id="443" w:name="_Toc38982595"/>
      <w:bookmarkStart w:id="444" w:name="_Toc532576770"/>
      <w:bookmarkStart w:id="445" w:name="_Toc521918127"/>
      <w:bookmarkStart w:id="446" w:name="_Toc40288704"/>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431"/>
      <w:bookmarkEnd w:id="432"/>
      <w:bookmarkEnd w:id="433"/>
    </w:p>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0"/>
          <w:szCs w:val="30"/>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0"/>
          <w:szCs w:val="30"/>
          <w:highlight w:val="none"/>
          <w:lang w:val="zh-CN"/>
        </w:rPr>
        <w:t>处罚说明</w:t>
      </w:r>
    </w:p>
    <w:bookmarkEnd w:id="434"/>
    <w:bookmarkEnd w:id="435"/>
    <w:bookmarkEnd w:id="436"/>
    <w:bookmarkEnd w:id="437"/>
    <w:bookmarkEnd w:id="438"/>
    <w:bookmarkEnd w:id="439"/>
    <w:bookmarkEnd w:id="440"/>
    <w:bookmarkEnd w:id="441"/>
    <w:bookmarkEnd w:id="442"/>
    <w:bookmarkEnd w:id="443"/>
    <w:bookmarkEnd w:id="444"/>
    <w:bookmarkEnd w:id="445"/>
    <w:bookmarkEnd w:id="446"/>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pPr>
        <w:spacing w:line="360" w:lineRule="auto"/>
        <w:rPr>
          <w:rFonts w:hint="eastAsia" w:ascii="宋体" w:hAnsi="宋体" w:eastAsia="宋体" w:cs="宋体"/>
          <w:color w:val="auto"/>
          <w:sz w:val="21"/>
          <w:szCs w:val="21"/>
          <w:highlight w:val="none"/>
          <w:shd w:val="clear" w:color="auto" w:fill="FFFFFF"/>
        </w:rPr>
      </w:pPr>
    </w:p>
    <w:p>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sz w:val="21"/>
          <w:szCs w:val="21"/>
          <w:highlight w:val="none"/>
          <w:shd w:val="clear" w:color="auto" w:fill="FFFFFF"/>
        </w:rPr>
      </w:pPr>
    </w:p>
    <w:p>
      <w:pPr>
        <w:spacing w:line="360" w:lineRule="auto"/>
        <w:jc w:val="center"/>
        <w:rPr>
          <w:rFonts w:hint="eastAsia" w:ascii="宋体" w:hAnsi="宋体" w:eastAsia="宋体" w:cs="宋体"/>
          <w:color w:val="auto"/>
          <w:highlight w:val="none"/>
        </w:rPr>
      </w:pPr>
    </w:p>
    <w:p>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（加盖供应商公章）</w:t>
      </w:r>
    </w:p>
    <w:p>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6"/>
    <w:bookmarkEnd w:id="427"/>
    <w:p>
      <w:pPr>
        <w:outlineLvl w:val="1"/>
        <w:rPr>
          <w:rFonts w:hint="eastAsia" w:ascii="宋体" w:hAnsi="宋体" w:eastAsia="宋体" w:cs="宋体"/>
          <w:b/>
          <w:color w:val="auto"/>
          <w:sz w:val="32"/>
          <w:szCs w:val="32"/>
          <w:highlight w:val="none"/>
        </w:rPr>
      </w:pPr>
      <w:bookmarkStart w:id="447" w:name="_Toc15557"/>
      <w:bookmarkStart w:id="448" w:name="_Toc54342745"/>
      <w:bookmarkStart w:id="449" w:name="_Toc14716"/>
      <w:bookmarkStart w:id="450" w:name="_Toc79146605"/>
      <w:bookmarkStart w:id="451" w:name="_Toc14938"/>
      <w:bookmarkStart w:id="452" w:name="_Toc1835"/>
      <w:bookmarkStart w:id="453" w:name="_Toc13178"/>
      <w:bookmarkStart w:id="454" w:name="_Toc193"/>
      <w:bookmarkStart w:id="455" w:name="_Toc23120"/>
      <w:bookmarkStart w:id="456" w:name="_Toc56076633"/>
      <w:bookmarkStart w:id="457" w:name="_Toc490169466"/>
      <w:bookmarkStart w:id="458" w:name="_Toc521918129"/>
      <w:bookmarkStart w:id="459" w:name="_Toc54334014"/>
      <w:bookmarkStart w:id="460" w:name="_Toc5098076"/>
      <w:bookmarkStart w:id="461" w:name="_Toc497746566"/>
      <w:bookmarkStart w:id="462" w:name="_Toc19008832"/>
      <w:bookmarkStart w:id="463" w:name="_Toc495907136"/>
      <w:bookmarkStart w:id="464" w:name="_Toc1123959"/>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447"/>
      <w:bookmarkEnd w:id="448"/>
      <w:bookmarkEnd w:id="449"/>
      <w:bookmarkEnd w:id="450"/>
      <w:bookmarkEnd w:id="451"/>
      <w:bookmarkEnd w:id="452"/>
      <w:bookmarkEnd w:id="453"/>
      <w:bookmarkEnd w:id="454"/>
      <w:bookmarkEnd w:id="455"/>
    </w:p>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eastAsia="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lang w:val="zh-CN"/>
        </w:rPr>
        <w:t>执行事务合伙人</w:t>
      </w: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eastAsia="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eastAsia="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供应商：（加盖供应商公章）</w:t>
      </w:r>
    </w:p>
    <w:p>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   年   月   日</w:t>
      </w:r>
    </w:p>
    <w:p>
      <w:pPr>
        <w:pStyle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65" w:name="_Toc14606"/>
      <w:bookmarkStart w:id="466" w:name="_Toc22780"/>
      <w:bookmarkStart w:id="467" w:name="_Toc25583"/>
      <w:bookmarkStart w:id="468" w:name="_Toc79146606"/>
      <w:bookmarkStart w:id="469" w:name="_Toc19838"/>
      <w:bookmarkStart w:id="470" w:name="_Toc17562"/>
      <w:bookmarkStart w:id="471" w:name="_Toc7954"/>
      <w:bookmarkStart w:id="472" w:name="_Toc20214"/>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2024</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w:t>
      </w:r>
      <w:r>
        <w:rPr>
          <w:rFonts w:hint="eastAsia" w:ascii="宋体" w:hAnsi="宋体" w:eastAsia="宋体" w:cs="宋体"/>
          <w:b w:val="0"/>
          <w:bCs w:val="0"/>
          <w:color w:val="auto"/>
          <w:sz w:val="21"/>
          <w:szCs w:val="21"/>
          <w:highlight w:val="none"/>
          <w:lang w:val="zh-CN"/>
        </w:rPr>
        <w:t>提供202</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年、202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年、202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zh-CN"/>
        </w:rPr>
        <w:t>年三个年度</w:t>
      </w:r>
      <w:r>
        <w:rPr>
          <w:rFonts w:hint="eastAsia" w:ascii="宋体" w:hAnsi="宋体" w:eastAsia="宋体" w:cs="宋体"/>
          <w:color w:val="auto"/>
          <w:sz w:val="21"/>
          <w:szCs w:val="21"/>
          <w:highlight w:val="none"/>
        </w:rPr>
        <w:t>对应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经独立会计师事务所审计的审计报告及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财务状况表；若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为新成立或未进行独立会计师事务所审计的，本表中对应年度的财务信息应填写“/”，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文件不作无效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处理，但存在因不符合</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办法中的评分标准而导致对应项不得分。</w:t>
      </w:r>
    </w:p>
    <w:p>
      <w:pPr>
        <w:spacing w:line="360" w:lineRule="auto"/>
        <w:rPr>
          <w:rFonts w:hint="eastAsia" w:ascii="宋体" w:hAnsi="宋体" w:eastAsia="宋体" w:cs="宋体"/>
          <w:color w:val="auto"/>
          <w:sz w:val="21"/>
          <w:szCs w:val="21"/>
          <w:highlight w:val="none"/>
        </w:rPr>
      </w:pPr>
    </w:p>
    <w:p>
      <w:pPr>
        <w:pStyle w:val="187"/>
        <w:spacing w:line="360" w:lineRule="auto"/>
        <w:ind w:firstLine="433"/>
        <w:rPr>
          <w:rFonts w:hint="eastAsia" w:ascii="宋体" w:hAnsi="宋体" w:eastAsia="宋体" w:cs="宋体"/>
          <w:color w:val="auto"/>
          <w:sz w:val="21"/>
          <w:szCs w:val="21"/>
          <w:highlight w:val="none"/>
        </w:rPr>
      </w:pPr>
    </w:p>
    <w:p>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numPr>
          <w:ilvl w:val="0"/>
          <w:numId w:val="13"/>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473" w:name="_Toc14594"/>
      <w:bookmarkStart w:id="474" w:name="_Toc29911"/>
      <w:bookmarkStart w:id="475" w:name="_Toc8661"/>
      <w:bookmarkStart w:id="476" w:name="_Toc25060"/>
      <w:bookmarkStart w:id="477" w:name="_Toc11069"/>
      <w:bookmarkStart w:id="478" w:name="_Toc16191"/>
      <w:bookmarkStart w:id="479" w:name="_Toc79146604"/>
      <w:bookmarkStart w:id="480" w:name="_Toc1123958"/>
      <w:bookmarkStart w:id="481" w:name="_Toc56076630"/>
      <w:bookmarkStart w:id="482" w:name="_Toc5098075"/>
      <w:bookmarkStart w:id="483" w:name="_Toc54334013"/>
      <w:bookmarkStart w:id="484" w:name="_Toc521918128"/>
      <w:bookmarkStart w:id="485" w:name="_Toc19008831"/>
      <w:bookmarkStart w:id="486" w:name="_Toc79146607"/>
      <w:bookmarkStart w:id="487" w:name="_Toc56076634"/>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合同条款偏离表格式</w:t>
      </w:r>
      <w:bookmarkEnd w:id="473"/>
      <w:bookmarkEnd w:id="474"/>
      <w:bookmarkEnd w:id="475"/>
      <w:bookmarkEnd w:id="476"/>
      <w:bookmarkEnd w:id="477"/>
      <w:bookmarkEnd w:id="478"/>
    </w:p>
    <w:p>
      <w:pPr>
        <w:rPr>
          <w:rFonts w:hint="eastAsia" w:ascii="宋体" w:hAnsi="宋体" w:eastAsia="宋体" w:cs="宋体"/>
          <w:color w:val="auto"/>
          <w:highlight w:val="none"/>
        </w:rPr>
      </w:pPr>
    </w:p>
    <w:p>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val="zh-CN"/>
        </w:rPr>
        <w:t>合同条款偏离表</w:t>
      </w:r>
    </w:p>
    <w:tbl>
      <w:tblPr>
        <w:tblStyle w:val="5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0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3767"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合同要求</w:t>
            </w:r>
          </w:p>
        </w:tc>
        <w:tc>
          <w:tcPr>
            <w:tcW w:w="461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简要内容</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偏离情况</w:t>
            </w: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服务范围、形式及服务期限</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合同价款及支付方式</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lang w:val="zh-CN" w:eastAsia="zh-CN" w:bidi="ar-SA"/>
              </w:rPr>
              <w:t>服务内容</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lang w:val="zh-CN" w:eastAsia="zh-CN" w:bidi="ar-SA"/>
              </w:rPr>
              <w:t>服务要求</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五</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lang w:val="zh-CN" w:eastAsia="zh-CN" w:bidi="ar-SA"/>
              </w:rPr>
              <w:t>甲方权利和义务</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六</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乙方权利和义务</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七</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违约责任</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八</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知识产权的归属及保密</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九</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不可抗力</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争议解决</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合同生效及份数</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阳光合作告知函</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bl>
    <w:p>
      <w:pPr>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711" w:leftChars="59" w:hanging="569" w:hangingChars="27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lang w:eastAsia="zh-CN"/>
        </w:rPr>
        <w:t>供应商</w:t>
      </w:r>
      <w:r>
        <w:rPr>
          <w:rFonts w:hint="eastAsia" w:ascii="宋体" w:hAnsi="宋体" w:eastAsia="宋体" w:cs="宋体"/>
          <w:b/>
          <w:color w:val="auto"/>
          <w:sz w:val="21"/>
          <w:szCs w:val="21"/>
          <w:highlight w:val="none"/>
          <w:u w:val="single"/>
        </w:rPr>
        <w:t>应对照竞争性磋商文件合同格式内合同条款及附件，逐条、如实地填写“偏离情况”。“偏离情况”项为正偏离（或负偏离）的，必须在“具体偏离内容”项内详细说明与合同的偏离内容，“偏离情况”项为无偏离的，在“具体偏离内容”项内可不填或填“无”。若发现虚假填写本表，或对合同及其附件响应有负偏离的，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文件处理。若发现此表未逐条填写视为完全满足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）偏离情况（响应文件对竞争性磋商文件合同条款的响应程度）分为：正偏离、负偏离、无偏离。正偏离是指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提供的服务（或货物、或工程）商务条件优于竞争性磋商文件的要求；负偏离是指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提供的服务（或货物、或工程）商务条件不满足或不完全满足竞争性磋商文件的要求；无偏离是指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提供的服务（或货物、或工程）商务条件完全满足竞争性磋商文件的要求。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差异内容较多可另附页说明，</w:t>
      </w:r>
      <w:r>
        <w:rPr>
          <w:rFonts w:hint="eastAsia" w:ascii="宋体" w:hAnsi="宋体" w:eastAsia="宋体" w:cs="宋体"/>
          <w:color w:val="auto"/>
          <w:sz w:val="21"/>
          <w:szCs w:val="21"/>
          <w:highlight w:val="none"/>
          <w:lang w:val="zh-CN"/>
        </w:rPr>
        <w:t>并在本偏离表“具体偏离内容”项注明其在响应文件中的具体页码</w:t>
      </w:r>
      <w:r>
        <w:rPr>
          <w:rFonts w:hint="eastAsia" w:ascii="宋体" w:hAnsi="宋体" w:eastAsia="宋体" w:cs="宋体"/>
          <w:color w:val="auto"/>
          <w:sz w:val="21"/>
          <w:szCs w:val="21"/>
          <w:highlight w:val="none"/>
        </w:rPr>
        <w:t>。</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供应商：（加盖供应商公章）</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keepNext w:val="0"/>
        <w:keepLines w:val="0"/>
        <w:pageBreakBefore/>
        <w:widowControl w:val="0"/>
        <w:kinsoku/>
        <w:wordWrap/>
        <w:overflowPunct/>
        <w:topLinePunct w:val="0"/>
        <w:autoSpaceDE w:val="0"/>
        <w:autoSpaceDN w:val="0"/>
        <w:bidi w:val="0"/>
        <w:adjustRightInd w:val="0"/>
        <w:snapToGrid/>
        <w:spacing w:before="120" w:beforeLines="50" w:line="240" w:lineRule="auto"/>
        <w:ind w:left="0" w:hanging="643" w:hangingChars="200"/>
        <w:textAlignment w:val="auto"/>
        <w:outlineLvl w:val="1"/>
        <w:rPr>
          <w:rFonts w:hint="eastAsia" w:ascii="宋体" w:hAnsi="宋体" w:eastAsia="宋体" w:cs="宋体"/>
          <w:b/>
          <w:color w:val="auto"/>
          <w:sz w:val="32"/>
          <w:szCs w:val="32"/>
          <w:highlight w:val="none"/>
        </w:rPr>
      </w:pPr>
      <w:bookmarkStart w:id="488" w:name="_Toc24906"/>
      <w:bookmarkStart w:id="489" w:name="_Toc30495"/>
      <w:bookmarkStart w:id="490" w:name="_Toc16182"/>
      <w:bookmarkStart w:id="491" w:name="_Toc11329"/>
      <w:r>
        <w:rPr>
          <w:rFonts w:hint="eastAsia" w:ascii="宋体" w:hAnsi="宋体" w:cs="宋体"/>
          <w:b/>
          <w:color w:val="auto"/>
          <w:sz w:val="32"/>
          <w:szCs w:val="32"/>
          <w:highlight w:val="none"/>
          <w:lang w:val="en-US" w:eastAsia="zh-CN" w:bidi="ar-SA"/>
        </w:rPr>
        <w:t>九</w:t>
      </w:r>
      <w:r>
        <w:rPr>
          <w:rFonts w:hint="eastAsia" w:ascii="宋体" w:hAnsi="宋体" w:eastAsia="宋体" w:cs="宋体"/>
          <w:b/>
          <w:color w:val="auto"/>
          <w:sz w:val="32"/>
          <w:szCs w:val="32"/>
          <w:highlight w:val="none"/>
          <w:lang w:val="en-US" w:eastAsia="zh-CN" w:bidi="ar-SA"/>
        </w:rPr>
        <w:t>、</w:t>
      </w:r>
      <w:bookmarkEnd w:id="479"/>
      <w:r>
        <w:rPr>
          <w:rFonts w:hint="eastAsia" w:ascii="宋体" w:hAnsi="宋体" w:eastAsia="宋体" w:cs="宋体"/>
          <w:b/>
          <w:color w:val="auto"/>
          <w:sz w:val="32"/>
          <w:szCs w:val="32"/>
          <w:highlight w:val="none"/>
          <w:lang w:val="en-US" w:eastAsia="zh-CN" w:bidi="ar-SA"/>
        </w:rPr>
        <w:t>业绩表格式</w:t>
      </w:r>
      <w:bookmarkEnd w:id="488"/>
      <w:bookmarkEnd w:id="489"/>
      <w:bookmarkEnd w:id="490"/>
      <w:bookmarkEnd w:id="491"/>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.1 供应商2022年1月1日以来具有资产审计服务业绩（合同签订日期时间为2022年1月1日或以后）</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7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日期</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tabs>
          <w:tab w:val="left" w:pos="0"/>
        </w:tabs>
        <w:spacing w:line="360" w:lineRule="auto"/>
        <w:ind w:right="-34"/>
        <w:jc w:val="both"/>
        <w:rPr>
          <w:rFonts w:hint="eastAsia" w:ascii="宋体" w:hAnsi="宋体" w:eastAsia="宋体" w:cs="宋体"/>
          <w:color w:val="auto"/>
          <w:sz w:val="21"/>
          <w:szCs w:val="21"/>
          <w:highlight w:val="none"/>
        </w:rPr>
      </w:pPr>
    </w:p>
    <w:p>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850" w:leftChars="118" w:hanging="567" w:hangingChars="270"/>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cs="宋体"/>
          <w:b/>
          <w:bCs/>
          <w:color w:val="auto"/>
          <w:kern w:val="2"/>
          <w:sz w:val="21"/>
          <w:szCs w:val="21"/>
          <w:highlight w:val="none"/>
          <w:u w:val="single"/>
          <w:lang w:val="en-US" w:eastAsia="zh-CN"/>
        </w:rPr>
        <w:t>同一个单项合同的业绩可以同时在资格业绩和评分业绩重复放置</w:t>
      </w:r>
      <w:r>
        <w:rPr>
          <w:rFonts w:hint="eastAsia" w:ascii="宋体" w:hAnsi="宋体" w:cs="宋体"/>
          <w:color w:val="auto"/>
          <w:kern w:val="2"/>
          <w:sz w:val="21"/>
          <w:szCs w:val="21"/>
          <w:highlight w:val="none"/>
          <w:lang w:val="en-US" w:eastAsia="zh-CN"/>
        </w:rPr>
        <w:t>。</w:t>
      </w:r>
    </w:p>
    <w:p>
      <w:pPr>
        <w:snapToGrid w:val="0"/>
        <w:spacing w:line="360" w:lineRule="auto"/>
        <w:ind w:left="852" w:leftChars="118" w:hanging="569" w:hangingChars="270"/>
        <w:rPr>
          <w:rFonts w:hint="eastAsia" w:ascii="宋体" w:hAnsi="宋体" w:eastAsia="宋体" w:cs="宋体"/>
          <w:color w:val="auto"/>
          <w:highlight w:val="none"/>
          <w:lang w:eastAsia="zh-CN"/>
        </w:rPr>
      </w:pP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eastAsia="zh-CN"/>
        </w:rPr>
        <w:t>业绩</w:t>
      </w:r>
      <w:r>
        <w:rPr>
          <w:rFonts w:hint="eastAsia" w:ascii="宋体" w:hAnsi="宋体" w:cs="宋体"/>
          <w:b/>
          <w:bCs/>
          <w:color w:val="auto"/>
          <w:sz w:val="21"/>
          <w:szCs w:val="21"/>
          <w:highlight w:val="none"/>
          <w:u w:val="single"/>
          <w:lang w:val="en-US" w:eastAsia="zh-CN"/>
        </w:rPr>
        <w:t>必须附</w:t>
      </w:r>
      <w:r>
        <w:rPr>
          <w:rFonts w:hint="eastAsia" w:ascii="宋体" w:hAnsi="宋体" w:eastAsia="宋体" w:cs="宋体"/>
          <w:b/>
          <w:bCs/>
          <w:color w:val="auto"/>
          <w:sz w:val="21"/>
          <w:szCs w:val="21"/>
          <w:highlight w:val="none"/>
          <w:u w:val="single"/>
          <w:lang w:val="en-US" w:eastAsia="zh-CN"/>
        </w:rPr>
        <w:t>合同复印件（合同服务提供方为供应商）</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合同</w:t>
      </w:r>
      <w:r>
        <w:rPr>
          <w:rFonts w:hint="eastAsia" w:ascii="宋体" w:hAnsi="宋体" w:cs="宋体"/>
          <w:b/>
          <w:bCs/>
          <w:color w:val="auto"/>
          <w:sz w:val="21"/>
          <w:szCs w:val="21"/>
          <w:highlight w:val="none"/>
          <w:u w:val="single"/>
          <w:lang w:val="en-US" w:eastAsia="zh-CN"/>
        </w:rPr>
        <w:t>必须能</w:t>
      </w:r>
      <w:r>
        <w:rPr>
          <w:rFonts w:hint="eastAsia" w:ascii="宋体" w:hAnsi="宋体" w:eastAsia="宋体" w:cs="宋体"/>
          <w:b/>
          <w:bCs/>
          <w:color w:val="auto"/>
          <w:sz w:val="21"/>
          <w:szCs w:val="21"/>
          <w:highlight w:val="none"/>
          <w:u w:val="single"/>
          <w:lang w:val="en-US" w:eastAsia="zh-CN"/>
        </w:rPr>
        <w:t>反映评分条件（合同签订时间</w:t>
      </w:r>
      <w:r>
        <w:rPr>
          <w:rFonts w:hint="eastAsia" w:ascii="宋体" w:hAnsi="宋体" w:cs="宋体"/>
          <w:b/>
          <w:bCs/>
          <w:color w:val="auto"/>
          <w:sz w:val="21"/>
          <w:szCs w:val="21"/>
          <w:highlight w:val="none"/>
          <w:u w:val="single"/>
          <w:lang w:val="en-US" w:eastAsia="zh-CN"/>
        </w:rPr>
        <w:t>、服务内容</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合同服务内容必须为资产审计服务，</w:t>
      </w:r>
      <w:r>
        <w:rPr>
          <w:rFonts w:hint="eastAsia" w:ascii="宋体" w:hAnsi="宋体" w:eastAsia="宋体" w:cs="宋体"/>
          <w:b/>
          <w:bCs/>
          <w:color w:val="auto"/>
          <w:sz w:val="21"/>
          <w:szCs w:val="21"/>
          <w:highlight w:val="none"/>
          <w:u w:val="single"/>
          <w:lang w:val="en-US" w:eastAsia="zh-CN"/>
        </w:rPr>
        <w:t>否则</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需</w:t>
      </w:r>
      <w:r>
        <w:rPr>
          <w:rFonts w:hint="eastAsia" w:ascii="宋体" w:hAnsi="宋体" w:cs="宋体"/>
          <w:b/>
          <w:bCs/>
          <w:color w:val="auto"/>
          <w:sz w:val="21"/>
          <w:szCs w:val="21"/>
          <w:highlight w:val="none"/>
          <w:u w:val="single"/>
          <w:lang w:val="en-US" w:eastAsia="zh-CN"/>
        </w:rPr>
        <w:t>同时</w:t>
      </w:r>
      <w:r>
        <w:rPr>
          <w:rFonts w:hint="eastAsia" w:ascii="宋体" w:hAnsi="宋体" w:eastAsia="宋体" w:cs="宋体"/>
          <w:b/>
          <w:bCs/>
          <w:color w:val="auto"/>
          <w:sz w:val="21"/>
          <w:szCs w:val="21"/>
          <w:highlight w:val="none"/>
          <w:u w:val="single"/>
        </w:rPr>
        <w:t>提供</w:t>
      </w:r>
      <w:r>
        <w:rPr>
          <w:rFonts w:hint="eastAsia" w:ascii="宋体" w:hAnsi="宋体" w:cs="宋体"/>
          <w:b/>
          <w:bCs/>
          <w:color w:val="auto"/>
          <w:sz w:val="21"/>
          <w:szCs w:val="21"/>
          <w:highlight w:val="none"/>
          <w:u w:val="single"/>
          <w:lang w:val="en-US" w:eastAsia="zh-CN"/>
        </w:rPr>
        <w:t>服务</w:t>
      </w:r>
      <w:r>
        <w:rPr>
          <w:rFonts w:hint="eastAsia" w:ascii="宋体" w:hAnsi="宋体" w:eastAsia="宋体" w:cs="宋体"/>
          <w:b/>
          <w:bCs/>
          <w:color w:val="auto"/>
          <w:sz w:val="21"/>
          <w:szCs w:val="21"/>
          <w:highlight w:val="none"/>
          <w:u w:val="single"/>
        </w:rPr>
        <w:t>委托人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业主</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出具的书面补充说明文件复印件作为辅助证明</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补充情况说明文件复印件能显示委托人公章</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否则不得分</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lang w:val="en-US" w:eastAsia="zh-CN"/>
        </w:rPr>
        <w:t>若同一份合同业绩中同时包含资产审计服务、企业清算审计服务和财税咨询服务的，不重复计分</w:t>
      </w:r>
      <w:r>
        <w:rPr>
          <w:rFonts w:hint="eastAsia" w:ascii="宋体" w:hAnsi="宋体" w:cs="宋体"/>
          <w:b/>
          <w:bCs/>
          <w:color w:val="auto"/>
          <w:sz w:val="21"/>
          <w:szCs w:val="21"/>
          <w:highlight w:val="none"/>
          <w:u w:val="single"/>
          <w:lang w:val="en-US" w:eastAsia="zh-CN"/>
        </w:rPr>
        <w:t>，由供应商自行放入对应的评分子项</w:t>
      </w:r>
      <w:r>
        <w:rPr>
          <w:rFonts w:hint="eastAsia" w:ascii="宋体" w:hAnsi="宋体" w:eastAsia="宋体" w:cs="宋体"/>
          <w:b/>
          <w:bCs/>
          <w:color w:val="auto"/>
          <w:sz w:val="21"/>
          <w:szCs w:val="21"/>
          <w:highlight w:val="none"/>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采购人有权对</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提供的业绩进行核查（包括对全部业绩材料的原件进行核查），若发现弄虚作假，有权取消其</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资格，并将上报监督管理部门，从严处理，列入相应的</w:t>
      </w:r>
      <w:r>
        <w:rPr>
          <w:rFonts w:hint="eastAsia" w:ascii="宋体" w:hAnsi="宋体" w:eastAsia="宋体" w:cs="宋体"/>
          <w:b/>
          <w:bCs/>
          <w:color w:val="auto"/>
          <w:kern w:val="2"/>
          <w:sz w:val="21"/>
          <w:szCs w:val="21"/>
          <w:highlight w:val="none"/>
          <w:u w:val="single"/>
          <w:lang w:val="zh-CN"/>
        </w:rPr>
        <w:t>‘黑名单’</w:t>
      </w:r>
      <w:r>
        <w:rPr>
          <w:rFonts w:hint="eastAsia" w:ascii="宋体" w:hAnsi="宋体" w:eastAsia="宋体" w:cs="宋体"/>
          <w:color w:val="auto"/>
          <w:sz w:val="21"/>
          <w:szCs w:val="21"/>
          <w:highlight w:val="none"/>
        </w:rPr>
        <w:t>。</w:t>
      </w:r>
    </w:p>
    <w:p>
      <w:pPr>
        <w:tabs>
          <w:tab w:val="left" w:pos="0"/>
        </w:tabs>
        <w:spacing w:line="360" w:lineRule="auto"/>
        <w:ind w:left="142" w:leftChars="59" w:right="-34"/>
        <w:jc w:val="both"/>
        <w:rPr>
          <w:rFonts w:hint="eastAsia" w:ascii="宋体" w:hAnsi="宋体" w:eastAsia="宋体" w:cs="宋体"/>
          <w:color w:val="auto"/>
          <w:sz w:val="21"/>
          <w:szCs w:val="21"/>
          <w:highlight w:val="none"/>
        </w:rPr>
      </w:pPr>
    </w:p>
    <w:p>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供应商：（加盖供应商公章）</w:t>
      </w: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pPr>
        <w:spacing w:line="240" w:lineRule="auto"/>
        <w:ind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br w:type="page"/>
      </w:r>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.2 供应商2022年1月1日以来具有企业清算审计服务业绩（合同签订日期时间为2022年1月1日或以后）</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7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日期</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tabs>
          <w:tab w:val="left" w:pos="0"/>
        </w:tabs>
        <w:spacing w:line="360" w:lineRule="auto"/>
        <w:ind w:right="-34"/>
        <w:jc w:val="both"/>
        <w:rPr>
          <w:rFonts w:hint="eastAsia" w:ascii="宋体" w:hAnsi="宋体" w:eastAsia="宋体" w:cs="宋体"/>
          <w:color w:val="auto"/>
          <w:sz w:val="21"/>
          <w:szCs w:val="21"/>
          <w:highlight w:val="none"/>
        </w:rPr>
      </w:pPr>
    </w:p>
    <w:p>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850" w:leftChars="118" w:hanging="567" w:hangingChars="270"/>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cs="宋体"/>
          <w:b/>
          <w:bCs/>
          <w:color w:val="auto"/>
          <w:kern w:val="2"/>
          <w:sz w:val="21"/>
          <w:szCs w:val="21"/>
          <w:highlight w:val="none"/>
          <w:u w:val="single"/>
          <w:lang w:val="en-US" w:eastAsia="zh-CN"/>
        </w:rPr>
        <w:t>同一个单项合同的业绩可以同时在资格业绩和评分业绩重复放置</w:t>
      </w:r>
      <w:r>
        <w:rPr>
          <w:rFonts w:hint="eastAsia" w:ascii="宋体" w:hAnsi="宋体" w:cs="宋体"/>
          <w:color w:val="auto"/>
          <w:kern w:val="2"/>
          <w:sz w:val="21"/>
          <w:szCs w:val="21"/>
          <w:highlight w:val="none"/>
          <w:lang w:val="en-US" w:eastAsia="zh-CN"/>
        </w:rPr>
        <w:t>。</w:t>
      </w:r>
    </w:p>
    <w:p>
      <w:pPr>
        <w:snapToGrid w:val="0"/>
        <w:spacing w:line="360" w:lineRule="auto"/>
        <w:ind w:left="852" w:leftChars="118" w:hanging="569" w:hangingChars="270"/>
        <w:rPr>
          <w:rFonts w:hint="eastAsia" w:ascii="宋体" w:hAnsi="宋体" w:eastAsia="宋体" w:cs="宋体"/>
          <w:color w:val="auto"/>
          <w:highlight w:val="none"/>
          <w:lang w:eastAsia="zh-CN"/>
        </w:rPr>
      </w:pP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eastAsia="zh-CN"/>
        </w:rPr>
        <w:t>业绩</w:t>
      </w:r>
      <w:r>
        <w:rPr>
          <w:rFonts w:hint="eastAsia" w:ascii="宋体" w:hAnsi="宋体" w:cs="宋体"/>
          <w:b/>
          <w:bCs/>
          <w:color w:val="auto"/>
          <w:sz w:val="21"/>
          <w:szCs w:val="21"/>
          <w:highlight w:val="none"/>
          <w:u w:val="single"/>
          <w:lang w:val="en-US" w:eastAsia="zh-CN"/>
        </w:rPr>
        <w:t>必须附</w:t>
      </w:r>
      <w:r>
        <w:rPr>
          <w:rFonts w:hint="eastAsia" w:ascii="宋体" w:hAnsi="宋体" w:eastAsia="宋体" w:cs="宋体"/>
          <w:b/>
          <w:bCs/>
          <w:color w:val="auto"/>
          <w:sz w:val="21"/>
          <w:szCs w:val="21"/>
          <w:highlight w:val="none"/>
          <w:u w:val="single"/>
          <w:lang w:val="en-US" w:eastAsia="zh-CN"/>
        </w:rPr>
        <w:t>合同复印件（合同服务提供方为供应商）</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合同</w:t>
      </w:r>
      <w:r>
        <w:rPr>
          <w:rFonts w:hint="eastAsia" w:ascii="宋体" w:hAnsi="宋体" w:cs="宋体"/>
          <w:b/>
          <w:bCs/>
          <w:color w:val="auto"/>
          <w:sz w:val="21"/>
          <w:szCs w:val="21"/>
          <w:highlight w:val="none"/>
          <w:u w:val="single"/>
          <w:lang w:val="en-US" w:eastAsia="zh-CN"/>
        </w:rPr>
        <w:t>必须能</w:t>
      </w:r>
      <w:r>
        <w:rPr>
          <w:rFonts w:hint="eastAsia" w:ascii="宋体" w:hAnsi="宋体" w:eastAsia="宋体" w:cs="宋体"/>
          <w:b/>
          <w:bCs/>
          <w:color w:val="auto"/>
          <w:sz w:val="21"/>
          <w:szCs w:val="21"/>
          <w:highlight w:val="none"/>
          <w:u w:val="single"/>
          <w:lang w:val="en-US" w:eastAsia="zh-CN"/>
        </w:rPr>
        <w:t>反映评分条件（合同签订时间</w:t>
      </w:r>
      <w:r>
        <w:rPr>
          <w:rFonts w:hint="eastAsia" w:ascii="宋体" w:hAnsi="宋体" w:cs="宋体"/>
          <w:b/>
          <w:bCs/>
          <w:color w:val="auto"/>
          <w:sz w:val="21"/>
          <w:szCs w:val="21"/>
          <w:highlight w:val="none"/>
          <w:u w:val="single"/>
          <w:lang w:val="en-US" w:eastAsia="zh-CN"/>
        </w:rPr>
        <w:t>、服务内容</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合同服务内容必须为清算审计服务，</w:t>
      </w:r>
      <w:r>
        <w:rPr>
          <w:rFonts w:hint="eastAsia" w:ascii="宋体" w:hAnsi="宋体" w:eastAsia="宋体" w:cs="宋体"/>
          <w:b/>
          <w:bCs/>
          <w:color w:val="auto"/>
          <w:sz w:val="21"/>
          <w:szCs w:val="21"/>
          <w:highlight w:val="none"/>
          <w:u w:val="single"/>
          <w:lang w:val="en-US" w:eastAsia="zh-CN"/>
        </w:rPr>
        <w:t>否则</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需</w:t>
      </w:r>
      <w:r>
        <w:rPr>
          <w:rFonts w:hint="eastAsia" w:ascii="宋体" w:hAnsi="宋体" w:cs="宋体"/>
          <w:b/>
          <w:bCs/>
          <w:color w:val="auto"/>
          <w:sz w:val="21"/>
          <w:szCs w:val="21"/>
          <w:highlight w:val="none"/>
          <w:u w:val="single"/>
          <w:lang w:val="en-US" w:eastAsia="zh-CN"/>
        </w:rPr>
        <w:t>同时</w:t>
      </w:r>
      <w:r>
        <w:rPr>
          <w:rFonts w:hint="eastAsia" w:ascii="宋体" w:hAnsi="宋体" w:eastAsia="宋体" w:cs="宋体"/>
          <w:b/>
          <w:bCs/>
          <w:color w:val="auto"/>
          <w:sz w:val="21"/>
          <w:szCs w:val="21"/>
          <w:highlight w:val="none"/>
          <w:u w:val="single"/>
        </w:rPr>
        <w:t>提供</w:t>
      </w:r>
      <w:r>
        <w:rPr>
          <w:rFonts w:hint="eastAsia" w:ascii="宋体" w:hAnsi="宋体" w:cs="宋体"/>
          <w:b/>
          <w:bCs/>
          <w:color w:val="auto"/>
          <w:sz w:val="21"/>
          <w:szCs w:val="21"/>
          <w:highlight w:val="none"/>
          <w:u w:val="single"/>
          <w:lang w:val="en-US" w:eastAsia="zh-CN"/>
        </w:rPr>
        <w:t>服务</w:t>
      </w:r>
      <w:r>
        <w:rPr>
          <w:rFonts w:hint="eastAsia" w:ascii="宋体" w:hAnsi="宋体" w:eastAsia="宋体" w:cs="宋体"/>
          <w:b/>
          <w:bCs/>
          <w:color w:val="auto"/>
          <w:sz w:val="21"/>
          <w:szCs w:val="21"/>
          <w:highlight w:val="none"/>
          <w:u w:val="single"/>
        </w:rPr>
        <w:t>委托人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业主</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出具的书面补充说明文件复印件作为辅助证明</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补充情况说明文件复印件能显示委托人公章</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否则不得分</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lang w:val="en-US" w:eastAsia="zh-CN"/>
        </w:rPr>
        <w:t>若同一份合同业绩中同时包含资产审计服务、企业清算审计服务和财税咨询服务的，不重复计分</w:t>
      </w:r>
      <w:r>
        <w:rPr>
          <w:rFonts w:hint="eastAsia" w:ascii="宋体" w:hAnsi="宋体" w:cs="宋体"/>
          <w:b/>
          <w:bCs/>
          <w:color w:val="auto"/>
          <w:sz w:val="21"/>
          <w:szCs w:val="21"/>
          <w:highlight w:val="none"/>
          <w:u w:val="single"/>
          <w:lang w:val="en-US" w:eastAsia="zh-CN"/>
        </w:rPr>
        <w:t>，由供应商自行放入对应的评分子项</w:t>
      </w:r>
      <w:r>
        <w:rPr>
          <w:rFonts w:hint="eastAsia" w:ascii="宋体" w:hAnsi="宋体" w:eastAsia="宋体" w:cs="宋体"/>
          <w:b/>
          <w:bCs/>
          <w:color w:val="auto"/>
          <w:sz w:val="21"/>
          <w:szCs w:val="21"/>
          <w:highlight w:val="none"/>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采购人有权对</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提供的业绩进行核查（包括对全部业绩材料的原件进行核查），若发现弄虚作假，有权取消其</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资格，并将上报监督管理部门，从严处理，列入相应的</w:t>
      </w:r>
      <w:r>
        <w:rPr>
          <w:rFonts w:hint="eastAsia" w:ascii="宋体" w:hAnsi="宋体" w:eastAsia="宋体" w:cs="宋体"/>
          <w:b/>
          <w:bCs/>
          <w:color w:val="auto"/>
          <w:kern w:val="2"/>
          <w:sz w:val="21"/>
          <w:szCs w:val="21"/>
          <w:highlight w:val="none"/>
          <w:u w:val="single"/>
          <w:lang w:val="zh-CN"/>
        </w:rPr>
        <w:t>‘黑名单’</w:t>
      </w:r>
      <w:r>
        <w:rPr>
          <w:rFonts w:hint="eastAsia" w:ascii="宋体" w:hAnsi="宋体" w:eastAsia="宋体" w:cs="宋体"/>
          <w:color w:val="auto"/>
          <w:sz w:val="21"/>
          <w:szCs w:val="21"/>
          <w:highlight w:val="none"/>
        </w:rPr>
        <w:t>。</w:t>
      </w:r>
    </w:p>
    <w:p>
      <w:pPr>
        <w:tabs>
          <w:tab w:val="left" w:pos="0"/>
        </w:tabs>
        <w:spacing w:line="360" w:lineRule="auto"/>
        <w:ind w:left="142" w:leftChars="59" w:right="-34"/>
        <w:jc w:val="both"/>
        <w:rPr>
          <w:rFonts w:hint="eastAsia" w:ascii="宋体" w:hAnsi="宋体" w:eastAsia="宋体" w:cs="宋体"/>
          <w:color w:val="auto"/>
          <w:sz w:val="21"/>
          <w:szCs w:val="21"/>
          <w:highlight w:val="none"/>
        </w:rPr>
      </w:pPr>
    </w:p>
    <w:p>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供应商：（加盖供应商公章）</w:t>
      </w: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cs="宋体"/>
          <w:bCs/>
          <w:color w:val="auto"/>
          <w:kern w:val="2"/>
          <w:sz w:val="21"/>
          <w:szCs w:val="21"/>
          <w:highlight w:val="none"/>
          <w:lang w:val="en-US" w:eastAsia="zh-CN"/>
        </w:rPr>
        <w:t>9</w:t>
      </w:r>
      <w:r>
        <w:rPr>
          <w:rFonts w:hint="eastAsia" w:ascii="宋体" w:hAnsi="宋体" w:eastAsia="宋体" w:cs="宋体"/>
          <w:bCs/>
          <w:color w:val="auto"/>
          <w:kern w:val="2"/>
          <w:sz w:val="21"/>
          <w:szCs w:val="21"/>
          <w:highlight w:val="none"/>
          <w:lang w:val="en-US" w:eastAsia="zh-CN"/>
        </w:rPr>
        <w:t>.</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en-US" w:eastAsia="zh-CN"/>
        </w:rPr>
        <w:t xml:space="preserve"> 供应商2022年1月1日以来具有财税咨询服务业绩（合同签订日期时间为2022年1月1日或以后）</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7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日期</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tabs>
          <w:tab w:val="left" w:pos="0"/>
        </w:tabs>
        <w:spacing w:line="360" w:lineRule="auto"/>
        <w:ind w:right="-34"/>
        <w:jc w:val="both"/>
        <w:rPr>
          <w:rFonts w:hint="eastAsia" w:ascii="宋体" w:hAnsi="宋体" w:eastAsia="宋体" w:cs="宋体"/>
          <w:color w:val="auto"/>
          <w:sz w:val="21"/>
          <w:szCs w:val="21"/>
          <w:highlight w:val="none"/>
        </w:rPr>
      </w:pPr>
    </w:p>
    <w:p>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850" w:leftChars="118" w:hanging="567" w:hangingChars="270"/>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cs="宋体"/>
          <w:b/>
          <w:bCs/>
          <w:color w:val="auto"/>
          <w:kern w:val="2"/>
          <w:sz w:val="21"/>
          <w:szCs w:val="21"/>
          <w:highlight w:val="none"/>
          <w:u w:val="single"/>
          <w:lang w:val="en-US" w:eastAsia="zh-CN"/>
        </w:rPr>
        <w:t>同一个单项合同的业绩可以同时在资格业绩和评分业绩重复放置</w:t>
      </w:r>
      <w:r>
        <w:rPr>
          <w:rFonts w:hint="eastAsia" w:ascii="宋体" w:hAnsi="宋体" w:cs="宋体"/>
          <w:color w:val="auto"/>
          <w:kern w:val="2"/>
          <w:sz w:val="21"/>
          <w:szCs w:val="21"/>
          <w:highlight w:val="none"/>
          <w:lang w:val="en-US" w:eastAsia="zh-CN"/>
        </w:rPr>
        <w:t>。</w:t>
      </w:r>
    </w:p>
    <w:p>
      <w:pPr>
        <w:snapToGrid w:val="0"/>
        <w:spacing w:line="360" w:lineRule="auto"/>
        <w:ind w:left="852" w:leftChars="118" w:hanging="569" w:hangingChars="270"/>
        <w:rPr>
          <w:rFonts w:hint="eastAsia" w:ascii="宋体" w:hAnsi="宋体" w:eastAsia="宋体" w:cs="宋体"/>
          <w:color w:val="auto"/>
          <w:highlight w:val="none"/>
          <w:lang w:eastAsia="zh-CN"/>
        </w:rPr>
      </w:pPr>
      <w:r>
        <w:rPr>
          <w:rFonts w:hint="eastAsia" w:ascii="宋体" w:hAnsi="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eastAsia="zh-CN"/>
        </w:rPr>
        <w:t>业绩</w:t>
      </w:r>
      <w:r>
        <w:rPr>
          <w:rFonts w:hint="eastAsia" w:ascii="宋体" w:hAnsi="宋体" w:cs="宋体"/>
          <w:b/>
          <w:bCs/>
          <w:color w:val="auto"/>
          <w:sz w:val="21"/>
          <w:szCs w:val="21"/>
          <w:highlight w:val="none"/>
          <w:u w:val="single"/>
          <w:lang w:val="en-US" w:eastAsia="zh-CN"/>
        </w:rPr>
        <w:t>必须附</w:t>
      </w:r>
      <w:r>
        <w:rPr>
          <w:rFonts w:hint="eastAsia" w:ascii="宋体" w:hAnsi="宋体" w:eastAsia="宋体" w:cs="宋体"/>
          <w:b/>
          <w:bCs/>
          <w:color w:val="auto"/>
          <w:sz w:val="21"/>
          <w:szCs w:val="21"/>
          <w:highlight w:val="none"/>
          <w:u w:val="single"/>
          <w:lang w:val="en-US" w:eastAsia="zh-CN"/>
        </w:rPr>
        <w:t>合同复印件（合同服务提供方为供应商）</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合同</w:t>
      </w:r>
      <w:r>
        <w:rPr>
          <w:rFonts w:hint="eastAsia" w:ascii="宋体" w:hAnsi="宋体" w:cs="宋体"/>
          <w:b/>
          <w:bCs/>
          <w:color w:val="auto"/>
          <w:sz w:val="21"/>
          <w:szCs w:val="21"/>
          <w:highlight w:val="none"/>
          <w:u w:val="single"/>
          <w:lang w:val="en-US" w:eastAsia="zh-CN"/>
        </w:rPr>
        <w:t>必须能</w:t>
      </w:r>
      <w:r>
        <w:rPr>
          <w:rFonts w:hint="eastAsia" w:ascii="宋体" w:hAnsi="宋体" w:eastAsia="宋体" w:cs="宋体"/>
          <w:b/>
          <w:bCs/>
          <w:color w:val="auto"/>
          <w:sz w:val="21"/>
          <w:szCs w:val="21"/>
          <w:highlight w:val="none"/>
          <w:u w:val="single"/>
          <w:lang w:val="en-US" w:eastAsia="zh-CN"/>
        </w:rPr>
        <w:t>反映评分条件（合同签订时间</w:t>
      </w:r>
      <w:r>
        <w:rPr>
          <w:rFonts w:hint="eastAsia" w:ascii="宋体" w:hAnsi="宋体" w:cs="宋体"/>
          <w:b/>
          <w:bCs/>
          <w:color w:val="auto"/>
          <w:sz w:val="21"/>
          <w:szCs w:val="21"/>
          <w:highlight w:val="none"/>
          <w:u w:val="single"/>
          <w:lang w:val="en-US" w:eastAsia="zh-CN"/>
        </w:rPr>
        <w:t>、服务内容</w:t>
      </w:r>
      <w:r>
        <w:rPr>
          <w:rFonts w:hint="eastAsia" w:ascii="宋体" w:hAnsi="宋体" w:eastAsia="宋体" w:cs="宋体"/>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合同服务内容必须为财税咨询服务，</w:t>
      </w:r>
      <w:r>
        <w:rPr>
          <w:rFonts w:hint="eastAsia" w:ascii="宋体" w:hAnsi="宋体" w:eastAsia="宋体" w:cs="宋体"/>
          <w:b/>
          <w:bCs/>
          <w:color w:val="auto"/>
          <w:sz w:val="21"/>
          <w:szCs w:val="21"/>
          <w:highlight w:val="none"/>
          <w:u w:val="single"/>
          <w:lang w:val="en-US" w:eastAsia="zh-CN"/>
        </w:rPr>
        <w:t>否则</w:t>
      </w:r>
      <w:r>
        <w:rPr>
          <w:rFonts w:hint="eastAsia" w:ascii="宋体" w:hAnsi="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rPr>
        <w:t>需</w:t>
      </w:r>
      <w:r>
        <w:rPr>
          <w:rFonts w:hint="eastAsia" w:ascii="宋体" w:hAnsi="宋体" w:cs="宋体"/>
          <w:b/>
          <w:bCs/>
          <w:color w:val="auto"/>
          <w:sz w:val="21"/>
          <w:szCs w:val="21"/>
          <w:highlight w:val="none"/>
          <w:u w:val="single"/>
          <w:lang w:val="en-US" w:eastAsia="zh-CN"/>
        </w:rPr>
        <w:t>同时</w:t>
      </w:r>
      <w:r>
        <w:rPr>
          <w:rFonts w:hint="eastAsia" w:ascii="宋体" w:hAnsi="宋体" w:eastAsia="宋体" w:cs="宋体"/>
          <w:b/>
          <w:bCs/>
          <w:color w:val="auto"/>
          <w:sz w:val="21"/>
          <w:szCs w:val="21"/>
          <w:highlight w:val="none"/>
          <w:u w:val="single"/>
        </w:rPr>
        <w:t>提供</w:t>
      </w:r>
      <w:r>
        <w:rPr>
          <w:rFonts w:hint="eastAsia" w:ascii="宋体" w:hAnsi="宋体" w:cs="宋体"/>
          <w:b/>
          <w:bCs/>
          <w:color w:val="auto"/>
          <w:sz w:val="21"/>
          <w:szCs w:val="21"/>
          <w:highlight w:val="none"/>
          <w:u w:val="single"/>
          <w:lang w:val="en-US" w:eastAsia="zh-CN"/>
        </w:rPr>
        <w:t>服务</w:t>
      </w:r>
      <w:r>
        <w:rPr>
          <w:rFonts w:hint="eastAsia" w:ascii="宋体" w:hAnsi="宋体" w:eastAsia="宋体" w:cs="宋体"/>
          <w:b/>
          <w:bCs/>
          <w:color w:val="auto"/>
          <w:sz w:val="21"/>
          <w:szCs w:val="21"/>
          <w:highlight w:val="none"/>
          <w:u w:val="single"/>
        </w:rPr>
        <w:t>委托人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业主</w:t>
      </w:r>
      <w:r>
        <w:rPr>
          <w:rFonts w:hint="eastAsia" w:ascii="宋体" w:hAnsi="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出具的书面补充说明文件复印件作为辅助证明</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补充情况说明文件复印件能显示委托人公章</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否则不得分</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lang w:val="en-US" w:eastAsia="zh-CN"/>
        </w:rPr>
        <w:t>若同一份合同业绩中同时包含资产审计服务、企业清算审计服务和财税咨询服务的，不重复计分</w:t>
      </w:r>
      <w:r>
        <w:rPr>
          <w:rFonts w:hint="eastAsia" w:ascii="宋体" w:hAnsi="宋体" w:cs="宋体"/>
          <w:b/>
          <w:bCs/>
          <w:color w:val="auto"/>
          <w:sz w:val="21"/>
          <w:szCs w:val="21"/>
          <w:highlight w:val="none"/>
          <w:u w:val="single"/>
          <w:lang w:val="en-US" w:eastAsia="zh-CN"/>
        </w:rPr>
        <w:t>，由供应商自行放入对应的评分子项</w:t>
      </w:r>
      <w:r>
        <w:rPr>
          <w:rFonts w:hint="eastAsia" w:ascii="宋体" w:hAnsi="宋体" w:eastAsia="宋体" w:cs="宋体"/>
          <w:b/>
          <w:bCs/>
          <w:color w:val="auto"/>
          <w:sz w:val="21"/>
          <w:szCs w:val="21"/>
          <w:highlight w:val="none"/>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采购人有权对</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提供的业绩进行核查（包括对全部业绩材料的原件进行核查），若发现弄虚作假，有权取消其</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资格，并将上报监督管理部门，从严处理，列入相应的</w:t>
      </w:r>
      <w:r>
        <w:rPr>
          <w:rFonts w:hint="eastAsia" w:ascii="宋体" w:hAnsi="宋体" w:eastAsia="宋体" w:cs="宋体"/>
          <w:b/>
          <w:bCs/>
          <w:color w:val="auto"/>
          <w:kern w:val="2"/>
          <w:sz w:val="21"/>
          <w:szCs w:val="21"/>
          <w:highlight w:val="none"/>
          <w:u w:val="single"/>
          <w:lang w:val="zh-CN"/>
        </w:rPr>
        <w:t>‘黑名单’</w:t>
      </w:r>
      <w:r>
        <w:rPr>
          <w:rFonts w:hint="eastAsia" w:ascii="宋体" w:hAnsi="宋体" w:eastAsia="宋体" w:cs="宋体"/>
          <w:color w:val="auto"/>
          <w:sz w:val="21"/>
          <w:szCs w:val="21"/>
          <w:highlight w:val="none"/>
        </w:rPr>
        <w:t>。</w:t>
      </w:r>
    </w:p>
    <w:p>
      <w:pPr>
        <w:tabs>
          <w:tab w:val="left" w:pos="0"/>
        </w:tabs>
        <w:spacing w:line="360" w:lineRule="auto"/>
        <w:ind w:left="142" w:leftChars="59" w:right="-34"/>
        <w:jc w:val="both"/>
        <w:rPr>
          <w:rFonts w:hint="eastAsia" w:ascii="宋体" w:hAnsi="宋体" w:eastAsia="宋体" w:cs="宋体"/>
          <w:color w:val="auto"/>
          <w:sz w:val="21"/>
          <w:szCs w:val="21"/>
          <w:highlight w:val="none"/>
        </w:rPr>
      </w:pPr>
    </w:p>
    <w:p>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供应商：（加盖供应商公章）</w:t>
      </w: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pPr>
        <w:outlineLvl w:val="9"/>
        <w:rPr>
          <w:rFonts w:hint="eastAsia" w:ascii="宋体" w:hAnsi="宋体" w:eastAsia="宋体" w:cs="宋体"/>
          <w:color w:val="auto"/>
          <w:highlight w:val="none"/>
        </w:rPr>
      </w:pPr>
    </w:p>
    <w:bookmarkEnd w:id="480"/>
    <w:bookmarkEnd w:id="481"/>
    <w:bookmarkEnd w:id="482"/>
    <w:bookmarkEnd w:id="483"/>
    <w:bookmarkEnd w:id="484"/>
    <w:bookmarkEnd w:id="485"/>
    <w:p>
      <w:pPr>
        <w:pStyle w:val="3"/>
        <w:keepNext w:val="0"/>
        <w:keepLines w:val="0"/>
        <w:pageBreakBefore/>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宋体"/>
          <w:b/>
          <w:color w:val="auto"/>
          <w:sz w:val="32"/>
          <w:szCs w:val="32"/>
          <w:highlight w:val="none"/>
          <w:lang w:val="en-US" w:eastAsia="zh-CN"/>
        </w:rPr>
      </w:pPr>
      <w:bookmarkStart w:id="492" w:name="_Toc22561"/>
      <w:bookmarkStart w:id="493" w:name="_Toc26721"/>
      <w:bookmarkStart w:id="494" w:name="_Toc12370"/>
      <w:bookmarkStart w:id="495" w:name="_Toc15982"/>
      <w:bookmarkStart w:id="496" w:name="_Toc17514"/>
      <w:r>
        <w:rPr>
          <w:rFonts w:hint="eastAsia" w:ascii="宋体" w:hAnsi="宋体" w:eastAsia="宋体" w:cs="宋体"/>
          <w:b/>
          <w:color w:val="auto"/>
          <w:sz w:val="32"/>
          <w:szCs w:val="32"/>
          <w:highlight w:val="none"/>
          <w:lang w:val="en-US" w:eastAsia="zh-CN"/>
        </w:rPr>
        <w:t>十、拟投入本项目的服务人员情况</w:t>
      </w:r>
      <w:bookmarkEnd w:id="492"/>
      <w:bookmarkEnd w:id="493"/>
      <w:bookmarkEnd w:id="494"/>
      <w:bookmarkEnd w:id="495"/>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w:t>
      </w:r>
      <w:r>
        <w:rPr>
          <w:rFonts w:hint="eastAsia" w:ascii="宋体" w:hAnsi="宋体" w:eastAsia="宋体" w:cs="宋体"/>
          <w:b/>
          <w:color w:val="auto"/>
          <w:sz w:val="30"/>
          <w:szCs w:val="30"/>
          <w:highlight w:val="none"/>
          <w:lang w:val="en-US" w:eastAsia="zh-CN"/>
        </w:rPr>
        <w:t>本项目的服务</w:t>
      </w:r>
      <w:r>
        <w:rPr>
          <w:rFonts w:hint="eastAsia" w:ascii="宋体" w:hAnsi="宋体" w:eastAsia="宋体" w:cs="宋体"/>
          <w:b/>
          <w:color w:val="auto"/>
          <w:sz w:val="30"/>
          <w:szCs w:val="30"/>
          <w:highlight w:val="none"/>
        </w:rPr>
        <w:t>人员清单表</w:t>
      </w:r>
    </w:p>
    <w:tbl>
      <w:tblPr>
        <w:tblStyle w:val="5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可以根据本表格式内容自行划表填写。</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和关键岗位人员需提供简历表。</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供应商：（加盖供应商公章）</w:t>
      </w:r>
    </w:p>
    <w:p>
      <w:pPr>
        <w:spacing w:line="360" w:lineRule="auto"/>
        <w:ind w:firstLine="5199" w:firstLineChars="2476"/>
        <w:jc w:val="both"/>
        <w:rPr>
          <w:rFonts w:hint="eastAsia" w:ascii="宋体" w:hAnsi="宋体" w:eastAsia="宋体" w:cs="宋体"/>
          <w:b/>
          <w:color w:val="auto"/>
          <w:sz w:val="30"/>
          <w:szCs w:val="30"/>
          <w:highlight w:val="none"/>
        </w:rPr>
      </w:pPr>
      <w:r>
        <w:rPr>
          <w:rFonts w:hint="eastAsia" w:ascii="宋体" w:hAnsi="宋体" w:eastAsia="宋体" w:cs="宋体"/>
          <w:color w:val="auto"/>
          <w:kern w:val="2"/>
          <w:sz w:val="21"/>
          <w:szCs w:val="21"/>
          <w:highlight w:val="none"/>
          <w:lang w:val="zh-CN"/>
        </w:rPr>
        <w:t>日期：   年    月   日</w:t>
      </w: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简历表格式</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5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1"/>
        <w:gridCol w:w="1509"/>
        <w:gridCol w:w="1421"/>
        <w:gridCol w:w="1609"/>
        <w:gridCol w:w="435"/>
        <w:gridCol w:w="406"/>
        <w:gridCol w:w="81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服务单位企业类型</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bl>
    <w:p>
      <w:pPr>
        <w:pStyle w:val="22"/>
        <w:overflowPunct w:val="0"/>
        <w:spacing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备注：</w:t>
      </w:r>
    </w:p>
    <w:p>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及关键岗位人员需提供简历表。</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855" w:leftChars="120" w:hanging="567" w:hangingChars="27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）须附有</w:t>
      </w:r>
      <w:r>
        <w:rPr>
          <w:rFonts w:hint="eastAsia" w:ascii="宋体" w:hAnsi="宋体" w:eastAsia="宋体" w:cs="宋体"/>
          <w:b/>
          <w:bCs w:val="0"/>
          <w:color w:val="auto"/>
          <w:kern w:val="2"/>
          <w:sz w:val="21"/>
          <w:szCs w:val="21"/>
          <w:highlight w:val="none"/>
          <w:lang w:val="en-US" w:eastAsia="zh-CN" w:bidi="ar-SA"/>
        </w:rPr>
        <w:t>人员须提供人员身份证复印件、职业资格</w:t>
      </w:r>
      <w:r>
        <w:rPr>
          <w:rFonts w:hint="eastAsia" w:ascii="宋体" w:hAnsi="宋体" w:cs="宋体"/>
          <w:b/>
          <w:bCs w:val="0"/>
          <w:color w:val="auto"/>
          <w:kern w:val="2"/>
          <w:sz w:val="21"/>
          <w:szCs w:val="21"/>
          <w:highlight w:val="none"/>
          <w:lang w:val="en-US" w:eastAsia="zh-CN" w:bidi="ar-SA"/>
        </w:rPr>
        <w:t>（职称）</w:t>
      </w:r>
      <w:r>
        <w:rPr>
          <w:rFonts w:hint="eastAsia" w:ascii="宋体" w:hAnsi="宋体" w:eastAsia="宋体" w:cs="宋体"/>
          <w:b/>
          <w:bCs w:val="0"/>
          <w:color w:val="auto"/>
          <w:kern w:val="2"/>
          <w:sz w:val="21"/>
          <w:szCs w:val="21"/>
          <w:highlight w:val="none"/>
          <w:lang w:val="en-US" w:eastAsia="zh-CN" w:bidi="ar-SA"/>
        </w:rPr>
        <w:t>证书复印件、</w:t>
      </w:r>
      <w:r>
        <w:rPr>
          <w:rFonts w:hint="eastAsia" w:ascii="宋体" w:hAnsi="宋体" w:eastAsia="宋体" w:cs="宋体"/>
          <w:b/>
          <w:bCs w:val="0"/>
          <w:color w:val="auto"/>
          <w:kern w:val="0"/>
          <w:sz w:val="21"/>
          <w:szCs w:val="21"/>
          <w:highlight w:val="none"/>
        </w:rPr>
        <w:t>人力资源和社会保障部门（或税务部门）出具的</w:t>
      </w:r>
      <w:r>
        <w:rPr>
          <w:rFonts w:hint="eastAsia" w:ascii="宋体" w:hAnsi="宋体" w:eastAsia="宋体" w:cs="宋体"/>
          <w:b/>
          <w:bCs w:val="0"/>
          <w:color w:val="auto"/>
          <w:kern w:val="0"/>
          <w:sz w:val="21"/>
          <w:szCs w:val="21"/>
          <w:highlight w:val="none"/>
          <w:lang w:val="en-US" w:eastAsia="zh-CN"/>
        </w:rPr>
        <w:t>供应商</w:t>
      </w:r>
      <w:r>
        <w:rPr>
          <w:rFonts w:hint="eastAsia" w:ascii="宋体" w:hAnsi="宋体" w:cs="宋体"/>
          <w:b/>
          <w:bCs w:val="0"/>
          <w:color w:val="auto"/>
          <w:kern w:val="0"/>
          <w:sz w:val="21"/>
          <w:szCs w:val="21"/>
          <w:highlight w:val="none"/>
          <w:lang w:eastAsia="zh-CN"/>
        </w:rPr>
        <w:t>2025年</w:t>
      </w:r>
      <w:r>
        <w:rPr>
          <w:rFonts w:hint="eastAsia" w:ascii="宋体" w:hAnsi="宋体" w:cs="宋体"/>
          <w:b/>
          <w:bCs w:val="0"/>
          <w:color w:val="auto"/>
          <w:kern w:val="0"/>
          <w:sz w:val="21"/>
          <w:szCs w:val="21"/>
          <w:highlight w:val="none"/>
          <w:lang w:val="en-US" w:eastAsia="zh-CN"/>
        </w:rPr>
        <w:t>4</w:t>
      </w:r>
      <w:r>
        <w:rPr>
          <w:rFonts w:hint="eastAsia" w:ascii="宋体" w:hAnsi="宋体" w:cs="宋体"/>
          <w:b/>
          <w:bCs w:val="0"/>
          <w:color w:val="auto"/>
          <w:kern w:val="0"/>
          <w:sz w:val="21"/>
          <w:szCs w:val="21"/>
          <w:highlight w:val="none"/>
          <w:lang w:eastAsia="zh-CN"/>
        </w:rPr>
        <w:t>月、2025年</w:t>
      </w:r>
      <w:r>
        <w:rPr>
          <w:rFonts w:hint="eastAsia" w:ascii="宋体" w:hAnsi="宋体" w:cs="宋体"/>
          <w:b/>
          <w:bCs w:val="0"/>
          <w:color w:val="auto"/>
          <w:kern w:val="0"/>
          <w:sz w:val="21"/>
          <w:szCs w:val="21"/>
          <w:highlight w:val="none"/>
          <w:lang w:val="en-US" w:eastAsia="zh-CN"/>
        </w:rPr>
        <w:t>5</w:t>
      </w:r>
      <w:r>
        <w:rPr>
          <w:rFonts w:hint="eastAsia" w:ascii="宋体" w:hAnsi="宋体" w:cs="宋体"/>
          <w:b/>
          <w:bCs w:val="0"/>
          <w:color w:val="auto"/>
          <w:kern w:val="0"/>
          <w:sz w:val="21"/>
          <w:szCs w:val="21"/>
          <w:highlight w:val="none"/>
          <w:lang w:eastAsia="zh-CN"/>
        </w:rPr>
        <w:t>月、2025年</w:t>
      </w:r>
      <w:r>
        <w:rPr>
          <w:rFonts w:hint="eastAsia" w:ascii="宋体" w:hAnsi="宋体" w:cs="宋体"/>
          <w:b/>
          <w:bCs w:val="0"/>
          <w:color w:val="auto"/>
          <w:kern w:val="0"/>
          <w:sz w:val="21"/>
          <w:szCs w:val="21"/>
          <w:highlight w:val="none"/>
          <w:lang w:val="en-US" w:eastAsia="zh-CN"/>
        </w:rPr>
        <w:t>6</w:t>
      </w:r>
      <w:r>
        <w:rPr>
          <w:rFonts w:hint="eastAsia" w:ascii="宋体" w:hAnsi="宋体" w:cs="宋体"/>
          <w:b/>
          <w:bCs w:val="0"/>
          <w:color w:val="auto"/>
          <w:kern w:val="0"/>
          <w:sz w:val="21"/>
          <w:szCs w:val="21"/>
          <w:highlight w:val="none"/>
          <w:lang w:eastAsia="zh-CN"/>
        </w:rPr>
        <w:t>月</w:t>
      </w:r>
      <w:r>
        <w:rPr>
          <w:rFonts w:hint="eastAsia" w:ascii="宋体" w:hAnsi="宋体" w:eastAsia="宋体" w:cs="宋体"/>
          <w:b/>
          <w:bCs w:val="0"/>
          <w:color w:val="auto"/>
          <w:kern w:val="0"/>
          <w:sz w:val="21"/>
          <w:szCs w:val="21"/>
          <w:highlight w:val="none"/>
          <w:lang w:val="en-US" w:eastAsia="zh-CN"/>
        </w:rPr>
        <w:t>（共三个月）</w:t>
      </w:r>
      <w:r>
        <w:rPr>
          <w:rFonts w:hint="eastAsia" w:ascii="宋体" w:hAnsi="宋体" w:eastAsia="宋体" w:cs="宋体"/>
          <w:b/>
          <w:bCs w:val="0"/>
          <w:color w:val="auto"/>
          <w:kern w:val="0"/>
          <w:sz w:val="21"/>
          <w:szCs w:val="21"/>
          <w:highlight w:val="none"/>
        </w:rPr>
        <w:t>为其缴纳的社保证明复印件</w:t>
      </w:r>
      <w:r>
        <w:rPr>
          <w:rFonts w:hint="eastAsia" w:ascii="宋体" w:hAnsi="宋体" w:eastAsia="宋体" w:cs="宋体"/>
          <w:b/>
          <w:bCs w:val="0"/>
          <w:color w:val="auto"/>
          <w:kern w:val="0"/>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852" w:leftChars="118" w:hanging="569" w:hangingChars="270"/>
        <w:jc w:val="both"/>
        <w:textAlignment w:val="auto"/>
        <w:rPr>
          <w:rFonts w:hint="eastAsia" w:ascii="宋体" w:hAnsi="宋体" w:eastAsia="宋体" w:cs="宋体"/>
          <w:b/>
          <w:bCs/>
          <w:color w:val="auto"/>
          <w:sz w:val="21"/>
          <w:szCs w:val="21"/>
          <w:highlight w:val="none"/>
          <w:lang w:val="zh-CN" w:eastAsia="zh-CN"/>
        </w:rPr>
      </w:pP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lang w:val="zh-CN" w:eastAsia="zh-CN"/>
        </w:rPr>
        <w:t>）</w:t>
      </w:r>
      <w:r>
        <w:rPr>
          <w:rFonts w:hint="eastAsia" w:ascii="宋体" w:hAnsi="宋体" w:eastAsia="宋体" w:cs="宋体"/>
          <w:b/>
          <w:color w:val="auto"/>
          <w:kern w:val="2"/>
          <w:sz w:val="21"/>
          <w:szCs w:val="21"/>
          <w:highlight w:val="none"/>
          <w:lang w:val="en-US" w:eastAsia="zh-CN"/>
        </w:rPr>
        <w:t>执业年限以</w:t>
      </w:r>
      <w:r>
        <w:rPr>
          <w:rFonts w:hint="eastAsia" w:ascii="宋体" w:hAnsi="宋体" w:cs="宋体"/>
          <w:b/>
          <w:color w:val="auto"/>
          <w:kern w:val="2"/>
          <w:sz w:val="21"/>
          <w:szCs w:val="21"/>
          <w:highlight w:val="none"/>
          <w:lang w:val="en-US" w:eastAsia="zh-CN"/>
        </w:rPr>
        <w:t>注册会计师及税务师执业资格证上的发证日期为准，若因资格证书办理变更而上交主管部门等原因无法提供的，可提供执业资格证及注册地注册协会出具的相关证明</w:t>
      </w:r>
      <w:r>
        <w:rPr>
          <w:rFonts w:hint="eastAsia" w:ascii="宋体" w:hAnsi="宋体" w:eastAsia="宋体" w:cs="宋体"/>
          <w:b/>
          <w:bCs/>
          <w:color w:val="auto"/>
          <w:sz w:val="21"/>
          <w:szCs w:val="21"/>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852" w:leftChars="118" w:hanging="569" w:hangingChars="270"/>
        <w:jc w:val="both"/>
        <w:textAlignment w:val="auto"/>
        <w:rPr>
          <w:rFonts w:hint="eastAsia" w:ascii="宋体" w:hAnsi="宋体" w:eastAsia="宋体" w:cs="宋体"/>
          <w:b/>
          <w:bCs/>
          <w:color w:val="auto"/>
          <w:sz w:val="21"/>
          <w:szCs w:val="21"/>
          <w:highlight w:val="none"/>
          <w:lang w:val="zh-CN" w:eastAsia="zh-CN"/>
        </w:rPr>
      </w:pP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zh-CN" w:eastAsia="zh-CN"/>
        </w:rPr>
        <w:t>审计类负责人资产审计、清算审计类服务附以下证明材料：1.项目合同复印件；2.相关报告封面；3.项目负责人出具成果文件的签署页；4.主要工作内容复印件加盖供应商公章；财税咨询类负责人财税咨询服务附以下证明材料：1.项目合同复印件；2.主要工作内容复印件加盖供应商公章；（若一个业绩中同时含有审计服务和财税服务的，</w:t>
      </w:r>
      <w:r>
        <w:rPr>
          <w:rFonts w:hint="eastAsia" w:ascii="宋体" w:hAnsi="宋体" w:cs="宋体"/>
          <w:b/>
          <w:bCs/>
          <w:color w:val="auto"/>
          <w:sz w:val="21"/>
          <w:szCs w:val="21"/>
          <w:highlight w:val="none"/>
          <w:lang w:val="en-US" w:eastAsia="zh-CN"/>
        </w:rPr>
        <w:t>只计一次得分，</w:t>
      </w:r>
      <w:r>
        <w:rPr>
          <w:rFonts w:hint="eastAsia" w:ascii="宋体" w:hAnsi="宋体" w:eastAsia="宋体" w:cs="宋体"/>
          <w:b/>
          <w:bCs/>
          <w:color w:val="auto"/>
          <w:sz w:val="21"/>
          <w:szCs w:val="21"/>
          <w:highlight w:val="none"/>
          <w:lang w:val="zh-CN" w:eastAsia="zh-CN"/>
        </w:rPr>
        <w:t>不重复计分）</w:t>
      </w:r>
    </w:p>
    <w:p>
      <w:pPr>
        <w:keepNext w:val="0"/>
        <w:keepLines w:val="0"/>
        <w:pageBreakBefore w:val="0"/>
        <w:widowControl w:val="0"/>
        <w:kinsoku/>
        <w:wordWrap/>
        <w:overflowPunct/>
        <w:topLinePunct w:val="0"/>
        <w:autoSpaceDE w:val="0"/>
        <w:autoSpaceDN w:val="0"/>
        <w:bidi w:val="0"/>
        <w:adjustRightInd w:val="0"/>
        <w:snapToGrid/>
        <w:spacing w:line="360" w:lineRule="auto"/>
        <w:ind w:left="852" w:leftChars="118" w:hanging="569" w:hangingChars="270"/>
        <w:jc w:val="both"/>
        <w:textAlignment w:val="auto"/>
        <w:rPr>
          <w:rFonts w:hint="eastAsia" w:ascii="宋体" w:hAnsi="宋体" w:eastAsia="宋体" w:cs="宋体"/>
          <w:b/>
          <w:bCs/>
          <w:color w:val="auto"/>
          <w:sz w:val="21"/>
          <w:szCs w:val="21"/>
          <w:highlight w:val="none"/>
          <w:lang w:val="zh-CN" w:eastAsia="zh-CN"/>
        </w:rPr>
      </w:pP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zh-CN" w:eastAsia="zh-CN"/>
        </w:rPr>
        <w:t>审计类及财税咨询类负责人可为同一人兼任；</w:t>
      </w:r>
    </w:p>
    <w:p>
      <w:pPr>
        <w:keepNext w:val="0"/>
        <w:keepLines w:val="0"/>
        <w:pageBreakBefore w:val="0"/>
        <w:widowControl w:val="0"/>
        <w:kinsoku/>
        <w:wordWrap/>
        <w:overflowPunct/>
        <w:topLinePunct w:val="0"/>
        <w:autoSpaceDE w:val="0"/>
        <w:autoSpaceDN w:val="0"/>
        <w:bidi w:val="0"/>
        <w:adjustRightInd w:val="0"/>
        <w:snapToGrid/>
        <w:spacing w:line="360" w:lineRule="auto"/>
        <w:ind w:left="852" w:leftChars="118" w:hanging="569" w:hangingChars="270"/>
        <w:jc w:val="both"/>
        <w:textAlignment w:val="auto"/>
        <w:rPr>
          <w:rFonts w:hint="eastAsia" w:ascii="宋体" w:hAnsi="宋体" w:eastAsia="宋体" w:cs="宋体"/>
          <w:b/>
          <w:bCs/>
          <w:color w:val="auto"/>
          <w:sz w:val="21"/>
          <w:szCs w:val="21"/>
          <w:highlight w:val="none"/>
          <w:lang w:val="zh-CN" w:eastAsia="zh-CN"/>
        </w:rPr>
      </w:pPr>
      <w:r>
        <w:rPr>
          <w:rFonts w:hint="eastAsia" w:ascii="宋体" w:hAnsi="宋体" w:cs="宋体"/>
          <w:b/>
          <w:bCs/>
          <w:color w:val="auto"/>
          <w:sz w:val="21"/>
          <w:szCs w:val="21"/>
          <w:highlight w:val="none"/>
          <w:lang w:val="zh-CN" w:eastAsia="zh-CN"/>
        </w:rPr>
        <w:t>（</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zh-CN" w:eastAsia="zh-CN"/>
        </w:rPr>
        <w:t>服务团队成员须提供相关参与项目的业绩合同证明材料。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）未按上述要求提供证明材料的，或所附材料无法证明符合评分要求的，在评审时将不予考虑，不得分。</w:t>
      </w:r>
    </w:p>
    <w:p>
      <w:pPr>
        <w:pStyle w:val="3"/>
        <w:keepNext w:val="0"/>
        <w:keepLines w:val="0"/>
        <w:pageBreakBefore/>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color w:val="auto"/>
          <w:sz w:val="32"/>
          <w:szCs w:val="32"/>
          <w:highlight w:val="none"/>
          <w:lang w:val="zh-CN" w:eastAsia="zh-CN"/>
        </w:rPr>
      </w:pPr>
      <w:bookmarkStart w:id="497" w:name="_Toc181"/>
      <w:bookmarkStart w:id="498" w:name="_Toc6348"/>
      <w:bookmarkStart w:id="499" w:name="_Toc4534"/>
      <w:bookmarkStart w:id="500" w:name="_Toc1625"/>
      <w:bookmarkStart w:id="501" w:name="_Toc203"/>
      <w:bookmarkStart w:id="502" w:name="_Toc14130"/>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lang w:val="zh-CN" w:eastAsia="zh-CN"/>
        </w:rPr>
        <w:t>行业信誉</w:t>
      </w:r>
    </w:p>
    <w:p>
      <w:pPr>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供应商自2020年1月1日以来，每进入中国注册会计师协会发布的会计师事务所综合评价排名名单的。</w:t>
      </w:r>
    </w:p>
    <w:p>
      <w:pPr>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评审以中国注册会计师协会发布的会计师事务所综合评价名单公告为准，须提供对应年份的协会公告截图【凭证界面需显示有相关协会名称并同时显示该网址】加盖供应商公章。不同年份每进入排名名单的，可累计计分。</w:t>
      </w:r>
    </w:p>
    <w:p>
      <w:pPr>
        <w:spacing w:line="360" w:lineRule="auto"/>
        <w:outlineLvl w:val="9"/>
        <w:rPr>
          <w:rFonts w:hint="eastAsia" w:ascii="宋体" w:hAnsi="宋体" w:eastAsia="宋体" w:cs="宋体"/>
          <w:color w:val="auto"/>
          <w:sz w:val="21"/>
          <w:szCs w:val="21"/>
          <w:highlight w:val="none"/>
          <w:lang w:val="zh-CN"/>
        </w:rPr>
      </w:pPr>
    </w:p>
    <w:p>
      <w:pPr>
        <w:spacing w:line="240" w:lineRule="auto"/>
        <w:outlineLvl w:val="9"/>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br w:type="page"/>
      </w:r>
    </w:p>
    <w:p>
      <w:pPr>
        <w:pStyle w:val="3"/>
        <w:pageBreakBefore/>
        <w:numPr>
          <w:ilvl w:val="0"/>
          <w:numId w:val="14"/>
        </w:numPr>
        <w:spacing w:line="240" w:lineRule="auto"/>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eastAsia="zh-CN"/>
        </w:rPr>
        <w:t>风险承担水平</w:t>
      </w:r>
    </w:p>
    <w:p>
      <w:pPr>
        <w:numPr>
          <w:ilvl w:val="0"/>
          <w:numId w:val="0"/>
        </w:numPr>
        <w:spacing w:line="360" w:lineRule="auto"/>
        <w:outlineLvl w:val="9"/>
        <w:rPr>
          <w:rFonts w:hint="default" w:ascii="等线 Light" w:hAnsi="Times New Roman" w:eastAsia="宋体" w:cs="Times New Roman"/>
          <w:color w:val="auto"/>
          <w:sz w:val="24"/>
          <w:szCs w:val="24"/>
          <w:highlight w:val="none"/>
          <w:lang w:val="zh-CN" w:eastAsia="zh-CN"/>
        </w:rPr>
      </w:pPr>
      <w:r>
        <w:rPr>
          <w:rFonts w:hint="default" w:ascii="等线 Light" w:hAnsi="Times New Roman" w:eastAsia="宋体" w:cs="Times New Roman"/>
          <w:color w:val="auto"/>
          <w:sz w:val="24"/>
          <w:szCs w:val="24"/>
          <w:highlight w:val="none"/>
          <w:lang w:val="zh-CN" w:eastAsia="zh-CN"/>
        </w:rPr>
        <w:t>供应商购买的会计师事务所职业责任保险单复印件加盖供应商公章。</w:t>
      </w:r>
    </w:p>
    <w:p>
      <w:pPr>
        <w:pStyle w:val="3"/>
        <w:keepNext w:val="0"/>
        <w:keepLines w:val="0"/>
        <w:pageBreakBefore/>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eastAsia="zh-CN"/>
        </w:rPr>
        <w:t>十</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val="zh-CN" w:eastAsia="zh-CN"/>
        </w:rPr>
        <w:t>、服务便利性响应时间承诺表</w:t>
      </w:r>
      <w:bookmarkEnd w:id="497"/>
      <w:bookmarkEnd w:id="498"/>
      <w:r>
        <w:rPr>
          <w:rFonts w:hint="eastAsia" w:ascii="宋体" w:hAnsi="宋体" w:eastAsia="宋体" w:cs="宋体"/>
          <w:b/>
          <w:color w:val="auto"/>
          <w:sz w:val="32"/>
          <w:szCs w:val="32"/>
          <w:highlight w:val="none"/>
          <w:lang w:val="en-US" w:eastAsia="zh-CN"/>
        </w:rPr>
        <w:t>格式</w:t>
      </w:r>
      <w:bookmarkEnd w:id="499"/>
    </w:p>
    <w:p>
      <w:pPr>
        <w:ind w:left="657" w:hanging="867"/>
        <w:jc w:val="center"/>
        <w:rPr>
          <w:rFonts w:hint="eastAsia" w:ascii="宋体" w:hAnsi="宋体" w:eastAsia="宋体" w:cs="宋体"/>
          <w:b/>
          <w:color w:val="auto"/>
          <w:sz w:val="32"/>
          <w:szCs w:val="32"/>
          <w:highlight w:val="none"/>
        </w:rPr>
      </w:pPr>
    </w:p>
    <w:p>
      <w:pPr>
        <w:ind w:left="657" w:hanging="86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pPr>
              <w:keepNext w:val="0"/>
              <w:keepLines w:val="0"/>
              <w:suppressLineNumbers w:val="0"/>
              <w:spacing w:before="0" w:beforeAutospacing="0" w:after="0" w:afterAutospacing="0" w:line="360" w:lineRule="auto"/>
              <w:ind w:left="-210" w:right="0" w:firstLine="24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人指定地点。</w:t>
            </w:r>
          </w:p>
        </w:tc>
      </w:tr>
    </w:tbl>
    <w:p>
      <w:pPr>
        <w:spacing w:line="360" w:lineRule="auto"/>
        <w:ind w:left="-210" w:right="420" w:firstLine="3720" w:firstLineChars="1550"/>
        <w:rPr>
          <w:rFonts w:hint="eastAsia" w:ascii="宋体" w:hAnsi="宋体" w:eastAsia="宋体" w:cs="宋体"/>
          <w:color w:val="auto"/>
          <w:highlight w:val="none"/>
        </w:rPr>
      </w:pP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备注：</w:t>
      </w: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1.本表承诺事项若未填或漏填的，视为</w:t>
      </w:r>
      <w:r>
        <w:rPr>
          <w:rFonts w:hint="eastAsia" w:ascii="宋体" w:hAnsi="宋体" w:eastAsia="宋体" w:cs="宋体"/>
          <w:b/>
          <w:color w:val="auto"/>
          <w:highlight w:val="none"/>
          <w:lang w:val="en-US" w:eastAsia="zh-CN"/>
        </w:rPr>
        <w:t>供应商</w:t>
      </w:r>
      <w:r>
        <w:rPr>
          <w:rFonts w:hint="eastAsia" w:ascii="宋体" w:hAnsi="宋体" w:eastAsia="宋体" w:cs="宋体"/>
          <w:b/>
          <w:color w:val="auto"/>
          <w:highlight w:val="none"/>
        </w:rPr>
        <w:t>不作响应，对应商务部分服务便利性评审内容不得分。</w:t>
      </w:r>
    </w:p>
    <w:p>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2.本表承诺事项若与</w:t>
      </w:r>
      <w:r>
        <w:rPr>
          <w:rFonts w:hint="eastAsia" w:ascii="宋体" w:hAnsi="宋体" w:eastAsia="宋体" w:cs="宋体"/>
          <w:b/>
          <w:color w:val="auto"/>
          <w:highlight w:val="none"/>
          <w:lang w:val="en-US" w:eastAsia="zh-CN"/>
        </w:rPr>
        <w:t>响应</w:t>
      </w:r>
      <w:r>
        <w:rPr>
          <w:rFonts w:hint="eastAsia" w:ascii="宋体" w:hAnsi="宋体" w:eastAsia="宋体" w:cs="宋体"/>
          <w:b/>
          <w:color w:val="auto"/>
          <w:highlight w:val="none"/>
        </w:rPr>
        <w:t>文件其他地方表述不一致的，以本承诺表为准。</w:t>
      </w:r>
    </w:p>
    <w:p>
      <w:pPr>
        <w:spacing w:line="360" w:lineRule="auto"/>
        <w:ind w:left="-210" w:firstLine="4800" w:firstLineChars="2000"/>
        <w:rPr>
          <w:rFonts w:hint="eastAsia" w:ascii="宋体" w:hAnsi="宋体" w:eastAsia="宋体" w:cs="宋体"/>
          <w:color w:val="auto"/>
          <w:kern w:val="3"/>
          <w:szCs w:val="21"/>
          <w:highlight w:val="none"/>
        </w:rPr>
      </w:pPr>
    </w:p>
    <w:p>
      <w:pPr>
        <w:widowControl/>
        <w:jc w:val="left"/>
        <w:rPr>
          <w:rFonts w:hint="eastAsia" w:ascii="宋体" w:hAnsi="宋体" w:eastAsia="宋体" w:cs="宋体"/>
          <w:color w:val="auto"/>
          <w:kern w:val="3"/>
          <w:szCs w:val="21"/>
          <w:highlight w:val="none"/>
        </w:rPr>
      </w:pPr>
    </w:p>
    <w:p>
      <w:pPr>
        <w:spacing w:line="360" w:lineRule="auto"/>
        <w:ind w:left="-210" w:firstLine="4800" w:firstLineChars="2000"/>
        <w:rPr>
          <w:rFonts w:hint="eastAsia" w:ascii="宋体" w:hAnsi="宋体" w:eastAsia="宋体" w:cs="宋体"/>
          <w:color w:val="auto"/>
          <w:kern w:val="3"/>
          <w:szCs w:val="21"/>
          <w:highlight w:val="none"/>
        </w:rPr>
      </w:pPr>
    </w:p>
    <w:p>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eastAsia="宋体" w:cs="宋体"/>
          <w:color w:val="auto"/>
          <w:kern w:val="3"/>
          <w:szCs w:val="21"/>
          <w:highlight w:val="none"/>
          <w:lang w:val="en-US" w:eastAsia="zh-CN"/>
        </w:rPr>
        <w:t>供应商</w:t>
      </w:r>
      <w:r>
        <w:rPr>
          <w:rFonts w:hint="eastAsia" w:ascii="宋体" w:hAnsi="宋体" w:eastAsia="宋体" w:cs="宋体"/>
          <w:color w:val="auto"/>
          <w:kern w:val="3"/>
          <w:szCs w:val="21"/>
          <w:highlight w:val="none"/>
        </w:rPr>
        <w:t>公章）：</w:t>
      </w:r>
    </w:p>
    <w:p>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 xml:space="preserve">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3"/>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2"/>
          <w:szCs w:val="32"/>
          <w:highlight w:val="none"/>
          <w:lang w:val="en-US" w:eastAsia="zh-CN"/>
        </w:rPr>
      </w:pPr>
      <w:bookmarkStart w:id="503" w:name="_Toc24060"/>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bookmarkEnd w:id="500"/>
      <w:bookmarkEnd w:id="501"/>
      <w:bookmarkEnd w:id="502"/>
      <w:bookmarkEnd w:id="503"/>
    </w:p>
    <w:p>
      <w:pPr>
        <w:spacing w:before="120" w:beforeLines="50" w:line="360" w:lineRule="auto"/>
        <w:ind w:left="420" w:hanging="420" w:hangingChars="200"/>
        <w:rPr>
          <w:rFonts w:hint="eastAsia" w:ascii="宋体" w:hAnsi="宋体" w:eastAsia="宋体" w:cs="宋体"/>
          <w:color w:val="auto"/>
          <w:sz w:val="21"/>
          <w:szCs w:val="21"/>
          <w:highlight w:val="none"/>
        </w:rPr>
      </w:pPr>
    </w:p>
    <w:p>
      <w:pPr>
        <w:rPr>
          <w:rFonts w:hint="eastAsia" w:ascii="宋体" w:hAnsi="宋体" w:eastAsia="宋体" w:cs="宋体"/>
          <w:b/>
          <w:color w:val="auto"/>
          <w:sz w:val="32"/>
          <w:szCs w:val="32"/>
          <w:highlight w:val="none"/>
          <w:lang w:val="zh-CN"/>
        </w:rPr>
      </w:pPr>
      <w:bookmarkStart w:id="504" w:name="_Toc140596940"/>
      <w:bookmarkStart w:id="505" w:name="_Toc142508380"/>
      <w:bookmarkStart w:id="506" w:name="_Toc11449"/>
      <w:bookmarkStart w:id="507" w:name="_Toc102860429"/>
      <w:bookmarkStart w:id="508" w:name="_Toc18038"/>
      <w:bookmarkStart w:id="509" w:name="_Toc31916"/>
      <w:bookmarkStart w:id="510" w:name="_Toc102860085"/>
      <w:bookmarkStart w:id="511" w:name="_Toc27482"/>
      <w:bookmarkStart w:id="512" w:name="_Toc94107222"/>
      <w:bookmarkStart w:id="513" w:name="_Toc1977739"/>
      <w:bookmarkStart w:id="514" w:name="_Toc29244"/>
      <w:bookmarkStart w:id="515" w:name="_Toc104991887"/>
      <w:r>
        <w:rPr>
          <w:rFonts w:hint="eastAsia" w:ascii="宋体" w:hAnsi="宋体" w:eastAsia="宋体" w:cs="宋体"/>
          <w:b/>
          <w:color w:val="auto"/>
          <w:sz w:val="32"/>
          <w:szCs w:val="32"/>
          <w:highlight w:val="none"/>
          <w:lang w:val="zh-CN"/>
        </w:rPr>
        <w:br w:type="page"/>
      </w:r>
    </w:p>
    <w:p>
      <w:pPr>
        <w:pStyle w:val="3"/>
        <w:rPr>
          <w:rFonts w:hint="eastAsia" w:ascii="宋体" w:hAnsi="宋体" w:eastAsia="宋体" w:cs="宋体"/>
          <w:b/>
          <w:color w:val="auto"/>
          <w:sz w:val="32"/>
          <w:szCs w:val="32"/>
          <w:highlight w:val="none"/>
          <w:lang w:val="zh-CN"/>
        </w:rPr>
      </w:pPr>
      <w:bookmarkStart w:id="516" w:name="_Toc10034"/>
      <w:bookmarkStart w:id="517" w:name="_Toc8579"/>
      <w:r>
        <w:rPr>
          <w:rFonts w:hint="eastAsia" w:ascii="宋体" w:hAnsi="宋体" w:eastAsia="宋体" w:cs="宋体"/>
          <w:b/>
          <w:color w:val="auto"/>
          <w:sz w:val="32"/>
          <w:szCs w:val="32"/>
          <w:highlight w:val="none"/>
          <w:lang w:val="zh-CN"/>
        </w:rPr>
        <w:t>十</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、技术响应文件格式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spacing w:line="360" w:lineRule="auto"/>
        <w:ind w:firstLine="424" w:firstLineChars="202"/>
        <w:outlineLvl w:val="9"/>
        <w:rPr>
          <w:rFonts w:hint="eastAsia" w:ascii="宋体" w:hAnsi="宋体" w:eastAsia="宋体" w:cs="宋体"/>
          <w:color w:val="auto"/>
          <w:sz w:val="21"/>
          <w:szCs w:val="21"/>
          <w:highlight w:val="none"/>
          <w:lang w:val="en-US" w:eastAsia="zh-CN"/>
        </w:rPr>
      </w:pPr>
    </w:p>
    <w:p>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须知关于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文件组成部分的要求编制</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文件，主要包括但不限于以下内容：</w:t>
      </w:r>
    </w:p>
    <w:p>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1、用户需求响应程度（即1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.1用户需求偏离表格式）；</w:t>
      </w:r>
    </w:p>
    <w:p>
      <w:pPr>
        <w:spacing w:line="360" w:lineRule="auto"/>
        <w:ind w:firstLine="424" w:firstLineChars="20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2、工作方案</w:t>
      </w:r>
      <w:r>
        <w:rPr>
          <w:rFonts w:hint="eastAsia" w:ascii="宋体" w:hAnsi="宋体" w:eastAsia="宋体" w:cs="宋体"/>
          <w:color w:val="auto"/>
          <w:sz w:val="21"/>
          <w:szCs w:val="21"/>
          <w:highlight w:val="none"/>
          <w:lang w:val="zh-CN"/>
        </w:rPr>
        <w:t>；</w:t>
      </w:r>
    </w:p>
    <w:p>
      <w:pPr>
        <w:spacing w:line="360" w:lineRule="auto"/>
        <w:ind w:firstLine="424" w:firstLineChars="202"/>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信息安全管理方案</w:t>
      </w:r>
      <w:r>
        <w:rPr>
          <w:rFonts w:hint="eastAsia" w:ascii="宋体" w:hAnsi="宋体" w:eastAsia="宋体" w:cs="宋体"/>
          <w:color w:val="auto"/>
          <w:sz w:val="21"/>
          <w:szCs w:val="21"/>
          <w:highlight w:val="none"/>
          <w:lang w:val="zh-CN"/>
        </w:rPr>
        <w:t>；</w:t>
      </w:r>
    </w:p>
    <w:p>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4、审计服务项目咨询方案；</w:t>
      </w:r>
    </w:p>
    <w:p>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、审计服务意见分歧解决方案；</w:t>
      </w:r>
    </w:p>
    <w:p>
      <w:pPr>
        <w:spacing w:line="360" w:lineRule="auto"/>
        <w:ind w:firstLine="424" w:firstLineChars="202"/>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6、审计服务项目质量复核方案；</w:t>
      </w:r>
    </w:p>
    <w:p>
      <w:pPr>
        <w:spacing w:line="360" w:lineRule="auto"/>
        <w:ind w:firstLine="424" w:firstLineChars="202"/>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7、审计服务项目质量检查方案；</w:t>
      </w:r>
    </w:p>
    <w:p>
      <w:pPr>
        <w:spacing w:line="360" w:lineRule="auto"/>
        <w:ind w:firstLine="424" w:firstLineChars="202"/>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8、审计服务质量管理缺陷识别与整改方案；</w:t>
      </w:r>
    </w:p>
    <w:p>
      <w:pPr>
        <w:spacing w:line="360" w:lineRule="auto"/>
        <w:ind w:firstLine="424" w:firstLineChars="202"/>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9、审计、财税综合服务质量管理制度；</w:t>
      </w:r>
    </w:p>
    <w:p>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认为有必要提供的其它材料（不做强制要求）。</w:t>
      </w:r>
    </w:p>
    <w:p>
      <w:pPr>
        <w:pStyle w:val="23"/>
        <w:rPr>
          <w:rFonts w:hint="eastAsia" w:ascii="宋体" w:hAnsi="宋体" w:cs="宋体"/>
          <w:color w:val="auto"/>
          <w:sz w:val="84"/>
          <w:highlight w:val="none"/>
          <w:lang w:val="en-US" w:eastAsia="zh-CN"/>
        </w:rPr>
      </w:pPr>
    </w:p>
    <w:p>
      <w:pPr>
        <w:rPr>
          <w:rFonts w:hint="eastAsia" w:ascii="宋体" w:hAnsi="宋体" w:eastAsia="宋体" w:cs="宋体"/>
          <w:color w:val="auto"/>
          <w:sz w:val="84"/>
          <w:highlight w:val="none"/>
          <w:lang w:val="en-US" w:eastAsia="zh-CN"/>
        </w:rPr>
      </w:pPr>
      <w:r>
        <w:rPr>
          <w:rFonts w:hint="eastAsia" w:ascii="宋体" w:hAnsi="宋体" w:eastAsia="宋体" w:cs="宋体"/>
          <w:color w:val="auto"/>
          <w:sz w:val="84"/>
          <w:highlight w:val="none"/>
          <w:lang w:val="en-US" w:eastAsia="zh-CN"/>
        </w:rPr>
        <w:br w:type="page"/>
      </w:r>
    </w:p>
    <w:p>
      <w:pPr>
        <w:pStyle w:val="23"/>
        <w:rPr>
          <w:rFonts w:hint="eastAsia" w:ascii="宋体" w:hAnsi="宋体" w:eastAsia="宋体" w:cs="宋体"/>
          <w:color w:val="auto"/>
          <w:sz w:val="84"/>
          <w:highlight w:val="none"/>
          <w:lang w:val="en-US" w:eastAsia="zh-CN"/>
        </w:rPr>
      </w:pPr>
    </w:p>
    <w:p>
      <w:pPr>
        <w:pStyle w:val="23"/>
        <w:rPr>
          <w:rFonts w:hint="eastAsia" w:ascii="宋体" w:hAnsi="宋体" w:eastAsia="宋体" w:cs="宋体"/>
          <w:color w:val="auto"/>
          <w:sz w:val="84"/>
          <w:highlight w:val="none"/>
        </w:rPr>
      </w:pPr>
    </w:p>
    <w:p>
      <w:pPr>
        <w:pStyle w:val="23"/>
        <w:rPr>
          <w:rFonts w:hint="eastAsia" w:ascii="宋体" w:hAnsi="宋体" w:eastAsia="宋体" w:cs="宋体"/>
          <w:color w:val="auto"/>
          <w:sz w:val="84"/>
          <w:highlight w:val="none"/>
        </w:rPr>
      </w:pPr>
    </w:p>
    <w:p>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u w:val="none"/>
        </w:rPr>
      </w:pPr>
    </w:p>
    <w:p>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0832-SFCX25DG115C</w:t>
      </w:r>
    </w:p>
    <w:p>
      <w:pPr>
        <w:pStyle w:val="24"/>
        <w:spacing w:line="360" w:lineRule="auto"/>
        <w:ind w:left="2746" w:leftChars="519" w:hanging="1500" w:hangingChars="500"/>
        <w:rPr>
          <w:rFonts w:hint="eastAsia" w:ascii="宋体" w:hAnsi="宋体" w:eastAsia="宋体" w:cs="宋体"/>
          <w:b w:val="0"/>
          <w:bCs w:val="0"/>
          <w:color w:val="auto"/>
          <w:sz w:val="30"/>
          <w:highlight w:val="none"/>
          <w:u w:val="single"/>
          <w:lang w:eastAsia="zh-CN"/>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东莞市水务集团实业发展有限公司审计及财税服务采购项目</w:t>
      </w:r>
    </w:p>
    <w:p>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响应文件技术部分 </w:t>
      </w:r>
    </w:p>
    <w:p>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lang w:eastAsia="zh-CN"/>
        </w:rPr>
        <w:t>东莞市水务集团实业发展有限公司</w:t>
      </w:r>
    </w:p>
    <w:p>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sz w:val="30"/>
          <w:szCs w:val="30"/>
          <w:highlight w:val="none"/>
        </w:rPr>
      </w:pPr>
    </w:p>
    <w:p>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p>
      <w:pPr>
        <w:widowControl w:val="0"/>
        <w:autoSpaceDE w:val="0"/>
        <w:autoSpaceDN w:val="0"/>
        <w:adjustRightInd w:val="0"/>
        <w:jc w:val="center"/>
        <w:rPr>
          <w:rFonts w:hint="eastAsia" w:ascii="宋体" w:hAnsi="宋体" w:eastAsia="宋体" w:cs="宋体"/>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518" w:name="_Toc14565"/>
      <w:bookmarkStart w:id="519" w:name="_Toc31870"/>
    </w:p>
    <w:bookmarkEnd w:id="486"/>
    <w:bookmarkEnd w:id="487"/>
    <w:bookmarkEnd w:id="496"/>
    <w:bookmarkEnd w:id="518"/>
    <w:bookmarkEnd w:id="519"/>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520" w:name="_Toc56076635"/>
      <w:bookmarkStart w:id="521" w:name="_Toc3742"/>
      <w:bookmarkStart w:id="522" w:name="_Toc79146608"/>
      <w:bookmarkStart w:id="523" w:name="_Toc11360"/>
      <w:bookmarkStart w:id="524" w:name="_Toc3277"/>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 xml:space="preserve">.1 </w:t>
      </w:r>
      <w:r>
        <w:rPr>
          <w:rFonts w:hint="eastAsia" w:ascii="宋体" w:hAnsi="宋体" w:eastAsia="宋体" w:cs="宋体"/>
          <w:b/>
          <w:color w:val="auto"/>
          <w:kern w:val="2"/>
          <w:sz w:val="30"/>
          <w:szCs w:val="30"/>
          <w:highlight w:val="none"/>
          <w:lang w:val="zh-CN" w:eastAsia="zh-CN"/>
        </w:rPr>
        <w:t>用户需求响应情况</w:t>
      </w:r>
      <w:bookmarkEnd w:id="520"/>
      <w:bookmarkEnd w:id="521"/>
      <w:bookmarkEnd w:id="522"/>
      <w:bookmarkEnd w:id="523"/>
      <w:bookmarkEnd w:id="524"/>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用户需求偏离表格式</w:t>
      </w:r>
    </w:p>
    <w:p>
      <w:pPr>
        <w:snapToGrid w:val="0"/>
        <w:spacing w:line="360" w:lineRule="auto"/>
        <w:ind w:left="379" w:leftChars="-58" w:hanging="518" w:hangingChars="247"/>
        <w:rPr>
          <w:rFonts w:hint="eastAsia" w:ascii="宋体" w:hAnsi="宋体" w:eastAsia="宋体" w:cs="宋体"/>
          <w:color w:val="auto"/>
          <w:sz w:val="21"/>
          <w:szCs w:val="21"/>
          <w:highlight w:val="none"/>
        </w:rPr>
      </w:pP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337"/>
        <w:gridCol w:w="2057"/>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竞争性磋商文件要求</w:t>
            </w:r>
          </w:p>
        </w:tc>
        <w:tc>
          <w:tcPr>
            <w:tcW w:w="226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336" w:type="pct"/>
            <w:tcBorders>
              <w:top w:val="single" w:color="auto" w:sz="4" w:space="0"/>
              <w:left w:val="single" w:color="auto" w:sz="4" w:space="0"/>
              <w:bottom w:val="single" w:color="auto" w:sz="4" w:space="0"/>
              <w:right w:val="single" w:color="auto" w:sz="4" w:space="0"/>
            </w:tcBorders>
            <w:noWrap w:val="0"/>
            <w:vAlign w:val="center"/>
          </w:tcPr>
          <w:p>
            <w:pPr>
              <w:pStyle w:val="18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简要内容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kern w:val="2"/>
                <w:sz w:val="21"/>
                <w:szCs w:val="21"/>
                <w:highlight w:val="none"/>
                <w:lang w:val="en-US" w:eastAsia="zh-CN" w:bidi="ar-SA"/>
              </w:rPr>
              <w:t>项目背景</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kern w:val="0"/>
                <w:sz w:val="21"/>
                <w:szCs w:val="21"/>
                <w:highlight w:val="none"/>
              </w:rPr>
              <w:t>二</w:t>
            </w:r>
            <w:r>
              <w:rPr>
                <w:rFonts w:hint="eastAsia" w:ascii="宋体" w:hAnsi="宋体" w:eastAsia="宋体" w:cs="宋体"/>
                <w:b w:val="0"/>
                <w:bCs/>
                <w:color w:val="auto"/>
                <w:kern w:val="0"/>
                <w:sz w:val="21"/>
                <w:szCs w:val="21"/>
                <w:highlight w:val="none"/>
                <w:lang w:val="zh-CN"/>
              </w:rPr>
              <w:t>、</w:t>
            </w:r>
            <w:r>
              <w:rPr>
                <w:rFonts w:hint="eastAsia" w:ascii="宋体" w:hAnsi="宋体" w:eastAsia="宋体" w:cs="宋体"/>
                <w:b w:val="0"/>
                <w:bCs/>
                <w:color w:val="auto"/>
                <w:kern w:val="2"/>
                <w:sz w:val="21"/>
                <w:szCs w:val="21"/>
                <w:highlight w:val="none"/>
                <w:lang w:val="en-US" w:eastAsia="zh-CN" w:bidi="ar-SA"/>
              </w:rPr>
              <w:t>服务目的</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三</w:t>
            </w:r>
            <w:r>
              <w:rPr>
                <w:rFonts w:hint="eastAsia" w:ascii="宋体" w:hAnsi="宋体" w:eastAsia="宋体" w:cs="宋体"/>
                <w:b w:val="0"/>
                <w:bCs/>
                <w:color w:val="auto"/>
                <w:kern w:val="0"/>
                <w:sz w:val="21"/>
                <w:szCs w:val="21"/>
                <w:highlight w:val="none"/>
                <w:lang w:val="zh-CN"/>
              </w:rPr>
              <w:t>、</w:t>
            </w:r>
            <w:r>
              <w:rPr>
                <w:rFonts w:hint="eastAsia" w:ascii="宋体" w:hAnsi="宋体" w:eastAsia="宋体" w:cs="宋体"/>
                <w:b w:val="0"/>
                <w:bCs/>
                <w:color w:val="auto"/>
                <w:kern w:val="2"/>
                <w:sz w:val="21"/>
                <w:szCs w:val="21"/>
                <w:highlight w:val="none"/>
                <w:lang w:val="en-US" w:eastAsia="zh-CN" w:bidi="ar"/>
              </w:rPr>
              <w:t>工作内容</w:t>
            </w:r>
            <w:r>
              <w:rPr>
                <w:rFonts w:hint="eastAsia" w:ascii="宋体" w:hAnsi="宋体" w:eastAsia="宋体" w:cs="宋体"/>
                <w:b w:val="0"/>
                <w:bCs/>
                <w:color w:val="auto"/>
                <w:szCs w:val="21"/>
                <w:highlight w:val="none"/>
                <w:lang w:val="en-US" w:eastAsia="zh-CN"/>
              </w:rPr>
              <w:t xml:space="preserve"> </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四、</w:t>
            </w:r>
            <w:r>
              <w:rPr>
                <w:rFonts w:hint="eastAsia" w:ascii="宋体" w:hAnsi="宋体" w:eastAsia="宋体" w:cs="宋体"/>
                <w:b w:val="0"/>
                <w:bCs/>
                <w:color w:val="auto"/>
                <w:kern w:val="2"/>
                <w:sz w:val="21"/>
                <w:szCs w:val="21"/>
                <w:highlight w:val="none"/>
                <w:lang w:val="en-US" w:eastAsia="zh-CN" w:bidi="ar"/>
              </w:rPr>
              <w:t>服务要求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五、</w:t>
            </w:r>
            <w:r>
              <w:rPr>
                <w:rFonts w:hint="eastAsia" w:ascii="宋体" w:hAnsi="宋体" w:eastAsia="宋体" w:cs="宋体"/>
                <w:b w:val="0"/>
                <w:bCs/>
                <w:color w:val="auto"/>
                <w:spacing w:val="0"/>
                <w:w w:val="100"/>
                <w:position w:val="0"/>
                <w:sz w:val="21"/>
                <w:szCs w:val="21"/>
                <w:highlight w:val="none"/>
                <w:lang w:val="en-US" w:eastAsia="zh-CN" w:bidi="ar"/>
              </w:rPr>
              <w:t>服务费用及支付</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六、</w:t>
            </w:r>
            <w:r>
              <w:rPr>
                <w:rFonts w:hint="eastAsia" w:ascii="宋体" w:hAnsi="宋体" w:eastAsia="宋体" w:cs="宋体"/>
                <w:b w:val="0"/>
                <w:bCs/>
                <w:color w:val="auto"/>
                <w:kern w:val="0"/>
                <w:sz w:val="21"/>
                <w:szCs w:val="21"/>
                <w:highlight w:val="none"/>
                <w:lang w:val="en-US" w:eastAsia="zh-CN"/>
              </w:rPr>
              <w:t>违约责任与损失</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七、争端的解决</w:t>
            </w:r>
          </w:p>
        </w:tc>
        <w:tc>
          <w:tcPr>
            <w:tcW w:w="11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bl>
    <w:p>
      <w:pPr>
        <w:snapToGrid w:val="0"/>
        <w:spacing w:line="360" w:lineRule="auto"/>
        <w:ind w:left="379" w:leftChars="-58" w:hanging="518" w:hangingChars="247"/>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应对照竞争性磋商文件用户需求书</w:t>
      </w:r>
      <w:r>
        <w:rPr>
          <w:rFonts w:hint="eastAsia" w:ascii="宋体" w:hAnsi="宋体" w:eastAsia="宋体" w:cs="宋体"/>
          <w:b/>
          <w:color w:val="auto"/>
          <w:sz w:val="21"/>
          <w:szCs w:val="21"/>
          <w:highlight w:val="none"/>
          <w:u w:val="single"/>
          <w:lang w:val="en-US" w:eastAsia="zh-CN"/>
        </w:rPr>
        <w:t>的响应，</w:t>
      </w:r>
      <w:r>
        <w:rPr>
          <w:rFonts w:hint="eastAsia" w:ascii="宋体" w:hAnsi="宋体" w:eastAsia="宋体" w:cs="宋体"/>
          <w:b/>
          <w:bCs/>
          <w:color w:val="auto"/>
          <w:sz w:val="21"/>
          <w:szCs w:val="21"/>
          <w:highlight w:val="none"/>
          <w:u w:val="single"/>
        </w:rPr>
        <w:t>如实地填写“偏离情况”</w:t>
      </w:r>
      <w:r>
        <w:rPr>
          <w:rFonts w:hint="eastAsia" w:ascii="宋体" w:hAnsi="宋体" w:eastAsia="宋体" w:cs="宋体"/>
          <w:b/>
          <w:color w:val="auto"/>
          <w:sz w:val="21"/>
          <w:szCs w:val="21"/>
          <w:highlight w:val="none"/>
          <w:u w:val="single"/>
        </w:rPr>
        <w:t>项。“偏离情况”项为正偏离（或负偏离）的，必须在“具体偏离内容”项内详细说明与竞争性磋商文件的偏离内容，“偏离情况”项为无偏离的，在“具体偏离内容”项内填“无偏离”</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若发现此表未填写或未逐条填写“★”条款以外的条款的，视为完全满足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文件未实质性满足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文件提出的实质性要求和条件（“★”条款）的，视为无效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none"/>
        </w:rPr>
        <w:t>。</w:t>
      </w:r>
    </w:p>
    <w:p>
      <w:pPr>
        <w:snapToGrid w:val="0"/>
        <w:spacing w:line="360" w:lineRule="auto"/>
        <w:ind w:left="382"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若发现虚假填写本表，按无效响应文件处理</w:t>
      </w:r>
      <w:r>
        <w:rPr>
          <w:rFonts w:hint="eastAsia" w:ascii="宋体" w:hAnsi="宋体" w:eastAsia="宋体" w:cs="宋体"/>
          <w:b/>
          <w:color w:val="auto"/>
          <w:sz w:val="21"/>
          <w:szCs w:val="21"/>
          <w:highlight w:val="none"/>
        </w:rPr>
        <w:t>。</w:t>
      </w:r>
    </w:p>
    <w:p>
      <w:pPr>
        <w:snapToGrid w:val="0"/>
        <w:spacing w:line="360" w:lineRule="auto"/>
        <w:ind w:left="379" w:leftChars="-58" w:hanging="518" w:hangingChars="247"/>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t>偏离情况分为：正偏离、负偏离、无偏离。正偏离是指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对用户需求响应优于竞争性磋商文件的要求；负偏离是指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对用户需求响应不满足或不完全满足竞争性磋商文件的要求；</w:t>
      </w:r>
      <w:r>
        <w:rPr>
          <w:rFonts w:hint="eastAsia" w:ascii="宋体" w:hAnsi="宋体" w:eastAsia="宋体" w:cs="宋体"/>
          <w:b w:val="0"/>
          <w:bCs/>
          <w:color w:val="auto"/>
          <w:sz w:val="21"/>
          <w:szCs w:val="21"/>
          <w:highlight w:val="none"/>
          <w:u w:val="none"/>
        </w:rPr>
        <w:t>无偏离是指</w:t>
      </w:r>
      <w:r>
        <w:rPr>
          <w:rFonts w:hint="eastAsia" w:ascii="宋体" w:hAnsi="宋体" w:eastAsia="宋体" w:cs="宋体"/>
          <w:b w:val="0"/>
          <w:bCs/>
          <w:color w:val="auto"/>
          <w:sz w:val="21"/>
          <w:szCs w:val="21"/>
          <w:highlight w:val="none"/>
          <w:u w:val="none"/>
          <w:lang w:eastAsia="zh-CN"/>
        </w:rPr>
        <w:t>供应商</w:t>
      </w:r>
      <w:r>
        <w:rPr>
          <w:rFonts w:hint="eastAsia" w:ascii="宋体" w:hAnsi="宋体" w:eastAsia="宋体" w:cs="宋体"/>
          <w:b w:val="0"/>
          <w:bCs/>
          <w:color w:val="auto"/>
          <w:sz w:val="21"/>
          <w:szCs w:val="21"/>
          <w:highlight w:val="none"/>
          <w:u w:val="none"/>
        </w:rPr>
        <w:t>对用户需求响应完全满足竞争性磋商文件的要求。</w:t>
      </w:r>
    </w:p>
    <w:p>
      <w:pPr>
        <w:snapToGrid w:val="0"/>
        <w:spacing w:line="360" w:lineRule="auto"/>
        <w:ind w:left="379" w:leftChars="-58" w:hanging="518" w:hangingChars="247"/>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eastAsia="zh-CN"/>
        </w:rPr>
        <w:t>供应商</w:t>
      </w:r>
      <w:r>
        <w:rPr>
          <w:rFonts w:hint="eastAsia" w:ascii="宋体" w:hAnsi="宋体" w:eastAsia="宋体" w:cs="宋体"/>
          <w:b w:val="0"/>
          <w:bCs/>
          <w:color w:val="auto"/>
          <w:kern w:val="2"/>
          <w:sz w:val="21"/>
          <w:szCs w:val="21"/>
          <w:highlight w:val="none"/>
          <w:u w:val="none"/>
        </w:rPr>
        <w:t>可将反映</w:t>
      </w:r>
      <w:r>
        <w:rPr>
          <w:rFonts w:hint="eastAsia" w:ascii="宋体" w:hAnsi="宋体" w:eastAsia="宋体" w:cs="宋体"/>
          <w:b w:val="0"/>
          <w:bCs/>
          <w:color w:val="auto"/>
          <w:kern w:val="2"/>
          <w:sz w:val="21"/>
          <w:szCs w:val="21"/>
          <w:highlight w:val="none"/>
          <w:u w:val="none"/>
          <w:lang w:val="en-US" w:eastAsia="zh-CN"/>
        </w:rPr>
        <w:t>履约能力或</w:t>
      </w:r>
      <w:r>
        <w:rPr>
          <w:rFonts w:hint="eastAsia" w:ascii="宋体" w:hAnsi="宋体" w:eastAsia="宋体" w:cs="宋体"/>
          <w:b w:val="0"/>
          <w:bCs/>
          <w:color w:val="auto"/>
          <w:kern w:val="2"/>
          <w:sz w:val="21"/>
          <w:szCs w:val="21"/>
          <w:highlight w:val="none"/>
          <w:u w:val="none"/>
        </w:rPr>
        <w:t>服务</w:t>
      </w:r>
      <w:r>
        <w:rPr>
          <w:rFonts w:hint="eastAsia" w:ascii="宋体" w:hAnsi="宋体" w:eastAsia="宋体" w:cs="宋体"/>
          <w:b w:val="0"/>
          <w:bCs/>
          <w:color w:val="auto"/>
          <w:kern w:val="2"/>
          <w:sz w:val="21"/>
          <w:szCs w:val="21"/>
          <w:highlight w:val="none"/>
          <w:u w:val="none"/>
          <w:lang w:val="en-US" w:eastAsia="zh-CN"/>
        </w:rPr>
        <w:t>质量的</w:t>
      </w:r>
      <w:r>
        <w:rPr>
          <w:rFonts w:hint="eastAsia" w:ascii="宋体" w:hAnsi="宋体" w:eastAsia="宋体" w:cs="宋体"/>
          <w:b w:val="0"/>
          <w:bCs/>
          <w:color w:val="auto"/>
          <w:kern w:val="2"/>
          <w:sz w:val="21"/>
          <w:szCs w:val="21"/>
          <w:highlight w:val="none"/>
          <w:u w:val="none"/>
        </w:rPr>
        <w:t>相关资料作为本表的附件，并在本偏离表“具体偏离内容”项内注明其在响应文件中的具体页码。</w:t>
      </w:r>
    </w:p>
    <w:p>
      <w:pPr>
        <w:spacing w:line="360" w:lineRule="auto"/>
        <w:ind w:firstLine="4935" w:firstLineChars="2350"/>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（加盖供应商公章）</w:t>
      </w:r>
    </w:p>
    <w:p>
      <w:pPr>
        <w:spacing w:line="360" w:lineRule="auto"/>
        <w:ind w:firstLine="5040" w:firstLineChars="2400"/>
        <w:rPr>
          <w:rFonts w:hint="eastAsia" w:ascii="宋体" w:hAnsi="宋体" w:eastAsia="宋体" w:cs="宋体"/>
          <w:color w:val="auto"/>
          <w:sz w:val="21"/>
          <w:szCs w:val="21"/>
          <w:highlight w:val="none"/>
          <w:lang w:val="zh-CN"/>
        </w:rPr>
      </w:pPr>
    </w:p>
    <w:p>
      <w:pPr>
        <w:spacing w:line="360" w:lineRule="auto"/>
        <w:ind w:firstLine="5040" w:firstLineChars="2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  期：   年    月     日</w:t>
      </w:r>
    </w:p>
    <w:p>
      <w:pPr>
        <w:spacing w:line="360" w:lineRule="auto"/>
        <w:jc w:val="both"/>
        <w:rPr>
          <w:rFonts w:hint="eastAsia" w:ascii="宋体" w:hAnsi="宋体" w:eastAsia="宋体" w:cs="宋体"/>
          <w:b/>
          <w:bCs/>
          <w:color w:val="auto"/>
          <w:sz w:val="21"/>
          <w:szCs w:val="21"/>
          <w:highlight w:val="none"/>
        </w:rPr>
        <w:sectPr>
          <w:pgSz w:w="11907" w:h="16840"/>
          <w:pgMar w:top="1417"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525" w:name="_Toc41571412"/>
      <w:bookmarkStart w:id="526" w:name="_Toc56076639"/>
      <w:bookmarkStart w:id="527" w:name="_Toc14292"/>
      <w:bookmarkStart w:id="528" w:name="_Toc31049"/>
      <w:bookmarkStart w:id="529" w:name="_Toc12153"/>
      <w:bookmarkStart w:id="530" w:name="_Toc79146609"/>
      <w:bookmarkStart w:id="531" w:name="_Toc79146610"/>
      <w:bookmarkStart w:id="532" w:name="_Toc54334016"/>
      <w:bookmarkStart w:id="533" w:name="_Toc497746567"/>
      <w:bookmarkStart w:id="534" w:name="_Toc1123961"/>
      <w:bookmarkStart w:id="535" w:name="_Toc490169467"/>
      <w:bookmarkStart w:id="536" w:name="_Toc5098078"/>
      <w:bookmarkStart w:id="537" w:name="_Toc19008834"/>
      <w:bookmarkStart w:id="538" w:name="_Toc495907137"/>
      <w:bookmarkStart w:id="539" w:name="_Toc521918131"/>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.2</w:t>
      </w:r>
      <w:bookmarkEnd w:id="525"/>
      <w:bookmarkEnd w:id="526"/>
      <w:r>
        <w:rPr>
          <w:rFonts w:hint="eastAsia" w:ascii="宋体" w:hAnsi="宋体" w:eastAsia="宋体" w:cs="宋体"/>
          <w:b/>
          <w:color w:val="auto"/>
          <w:kern w:val="2"/>
          <w:sz w:val="30"/>
          <w:szCs w:val="30"/>
          <w:highlight w:val="none"/>
          <w:lang w:val="en-US" w:eastAsia="zh-CN"/>
        </w:rPr>
        <w:t xml:space="preserve"> 工作方案</w:t>
      </w:r>
      <w:bookmarkEnd w:id="527"/>
      <w:bookmarkEnd w:id="528"/>
      <w:bookmarkEnd w:id="529"/>
      <w:bookmarkEnd w:id="530"/>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531"/>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0" w:name="_Toc79146611"/>
      <w:bookmarkStart w:id="541" w:name="_Toc23831"/>
      <w:bookmarkStart w:id="542" w:name="_Toc6859"/>
      <w:bookmarkStart w:id="543" w:name="_Toc25931"/>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.3</w:t>
      </w:r>
      <w:bookmarkEnd w:id="540"/>
      <w:r>
        <w:rPr>
          <w:rFonts w:hint="eastAsia" w:ascii="宋体" w:hAnsi="宋体" w:eastAsia="宋体" w:cs="宋体"/>
          <w:b/>
          <w:color w:val="auto"/>
          <w:kern w:val="2"/>
          <w:sz w:val="30"/>
          <w:szCs w:val="30"/>
          <w:highlight w:val="none"/>
          <w:lang w:val="en-US" w:eastAsia="zh-CN"/>
        </w:rPr>
        <w:t xml:space="preserve"> </w:t>
      </w:r>
      <w:bookmarkEnd w:id="541"/>
      <w:bookmarkEnd w:id="542"/>
      <w:bookmarkEnd w:id="543"/>
      <w:r>
        <w:rPr>
          <w:rFonts w:hint="eastAsia" w:ascii="宋体" w:hAnsi="宋体" w:eastAsia="宋体" w:cs="宋体"/>
          <w:b/>
          <w:color w:val="auto"/>
          <w:kern w:val="2"/>
          <w:sz w:val="30"/>
          <w:szCs w:val="30"/>
          <w:highlight w:val="none"/>
          <w:lang w:val="en-US" w:eastAsia="zh-CN"/>
        </w:rPr>
        <w:t>信息安全管理方案</w:t>
      </w:r>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4" w:name="_Toc14673"/>
      <w:bookmarkStart w:id="545" w:name="_Toc9785"/>
      <w:bookmarkStart w:id="546" w:name="_Toc23515"/>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 xml:space="preserve">.4 </w:t>
      </w:r>
      <w:bookmarkEnd w:id="544"/>
      <w:bookmarkEnd w:id="545"/>
      <w:bookmarkEnd w:id="546"/>
      <w:r>
        <w:rPr>
          <w:rFonts w:hint="eastAsia" w:ascii="宋体" w:hAnsi="宋体" w:eastAsia="宋体" w:cs="宋体"/>
          <w:b/>
          <w:color w:val="auto"/>
          <w:kern w:val="2"/>
          <w:sz w:val="30"/>
          <w:szCs w:val="30"/>
          <w:highlight w:val="none"/>
          <w:lang w:val="en-US" w:eastAsia="zh-CN"/>
        </w:rPr>
        <w:t>审计服务项目咨询方案</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.5审计服务意见分歧解决方案</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rPr>
          <w:rFonts w:hint="eastAsia" w:ascii="宋体" w:hAnsi="宋体" w:cs="宋体"/>
          <w:color w:val="auto"/>
          <w:highlight w:val="none"/>
          <w:lang w:eastAsia="zh-CN"/>
        </w:rPr>
      </w:pPr>
    </w:p>
    <w:p>
      <w:pPr>
        <w:rPr>
          <w:rFonts w:hint="eastAsia" w:ascii="宋体" w:hAnsi="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w:t>
      </w:r>
      <w:r>
        <w:rPr>
          <w:rFonts w:hint="eastAsia" w:ascii="宋体" w:hAnsi="宋体" w:cs="宋体"/>
          <w:b/>
          <w:color w:val="auto"/>
          <w:kern w:val="2"/>
          <w:sz w:val="30"/>
          <w:szCs w:val="30"/>
          <w:highlight w:val="none"/>
          <w:lang w:val="en-US" w:eastAsia="zh-CN"/>
        </w:rPr>
        <w:t>6审计服务项目质量复核方案</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rPr>
          <w:rFonts w:hint="eastAsia" w:ascii="宋体" w:hAnsi="宋体" w:eastAsia="宋体" w:cs="宋体"/>
          <w:color w:val="auto"/>
          <w:highlight w:val="none"/>
        </w:rPr>
      </w:pPr>
    </w:p>
    <w:p>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w:t>
      </w:r>
      <w:r>
        <w:rPr>
          <w:rFonts w:hint="eastAsia" w:ascii="宋体" w:hAnsi="宋体" w:cs="宋体"/>
          <w:b/>
          <w:color w:val="auto"/>
          <w:kern w:val="2"/>
          <w:sz w:val="30"/>
          <w:szCs w:val="30"/>
          <w:highlight w:val="none"/>
          <w:lang w:val="en-US" w:eastAsia="zh-CN"/>
        </w:rPr>
        <w:t>7审计服务项目质量检查方案</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0" w:after="0" w:line="24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w:t>
      </w:r>
      <w:r>
        <w:rPr>
          <w:rFonts w:hint="eastAsia" w:ascii="宋体" w:hAnsi="宋体" w:cs="宋体"/>
          <w:b/>
          <w:color w:val="auto"/>
          <w:kern w:val="2"/>
          <w:sz w:val="30"/>
          <w:szCs w:val="30"/>
          <w:highlight w:val="none"/>
          <w:lang w:val="en-US" w:eastAsia="zh-CN"/>
        </w:rPr>
        <w:t>8审计服务质量管理缺陷识别与整改方案</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p>
    <w:p>
      <w:pPr>
        <w:autoSpaceDE/>
        <w:autoSpaceDN/>
        <w:adjustRightInd/>
        <w:spacing w:before="0" w:after="0" w:line="24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w:t>
      </w:r>
      <w:r>
        <w:rPr>
          <w:rFonts w:hint="eastAsia" w:ascii="宋体" w:hAnsi="宋体" w:cs="宋体"/>
          <w:b/>
          <w:color w:val="auto"/>
          <w:kern w:val="2"/>
          <w:sz w:val="30"/>
          <w:szCs w:val="30"/>
          <w:highlight w:val="none"/>
          <w:lang w:val="en-US" w:eastAsia="zh-CN"/>
        </w:rPr>
        <w:t>9 审计、财税综合服务质量管理制度</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p>
    <w:p>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p>
    <w:p>
      <w:pPr>
        <w:spacing w:line="360" w:lineRule="auto"/>
        <w:ind w:firstLine="0" w:firstLineChars="0"/>
        <w:rPr>
          <w:rFonts w:hint="eastAsia" w:ascii="宋体" w:hAnsi="宋体" w:eastAsia="宋体" w:cs="宋体"/>
          <w:color w:val="auto"/>
          <w:szCs w:val="21"/>
          <w:highlight w:val="none"/>
        </w:rPr>
      </w:pPr>
    </w:p>
    <w:p>
      <w:pPr>
        <w:pStyle w:val="18"/>
        <w:rPr>
          <w:rFonts w:hint="eastAsia" w:ascii="宋体" w:hAnsi="宋体" w:eastAsia="宋体" w:cs="宋体"/>
          <w:color w:val="auto"/>
          <w:highlight w:val="none"/>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w:t>
      </w:r>
      <w:r>
        <w:rPr>
          <w:rFonts w:hint="eastAsia" w:ascii="宋体" w:hAnsi="宋体" w:cs="宋体"/>
          <w:b/>
          <w:color w:val="auto"/>
          <w:kern w:val="2"/>
          <w:sz w:val="30"/>
          <w:szCs w:val="30"/>
          <w:highlight w:val="none"/>
          <w:lang w:val="en-US" w:eastAsia="zh-CN"/>
        </w:rPr>
        <w:t>5</w:t>
      </w:r>
      <w:r>
        <w:rPr>
          <w:rFonts w:hint="eastAsia" w:ascii="宋体" w:hAnsi="宋体" w:eastAsia="宋体" w:cs="宋体"/>
          <w:b/>
          <w:color w:val="auto"/>
          <w:kern w:val="2"/>
          <w:sz w:val="30"/>
          <w:szCs w:val="30"/>
          <w:highlight w:val="none"/>
          <w:lang w:val="en-US" w:eastAsia="zh-CN"/>
        </w:rPr>
        <w:t>.</w:t>
      </w:r>
      <w:r>
        <w:rPr>
          <w:rFonts w:hint="eastAsia" w:ascii="宋体" w:hAnsi="宋体" w:cs="宋体"/>
          <w:b/>
          <w:color w:val="auto"/>
          <w:kern w:val="2"/>
          <w:sz w:val="30"/>
          <w:szCs w:val="30"/>
          <w:highlight w:val="none"/>
          <w:lang w:val="en-US" w:eastAsia="zh-CN"/>
        </w:rPr>
        <w:t>10</w:t>
      </w:r>
      <w:r>
        <w:rPr>
          <w:rFonts w:hint="eastAsia" w:ascii="宋体" w:hAnsi="宋体" w:eastAsia="宋体" w:cs="宋体"/>
          <w:b/>
          <w:color w:val="auto"/>
          <w:kern w:val="2"/>
          <w:sz w:val="30"/>
          <w:szCs w:val="30"/>
          <w:highlight w:val="none"/>
          <w:lang w:val="en-US" w:eastAsia="zh-CN"/>
        </w:rPr>
        <w:t>供应商认为有必要提供的其它材料（不做强制要求）</w:t>
      </w:r>
    </w:p>
    <w:p>
      <w:pPr>
        <w:rPr>
          <w:rFonts w:hint="eastAsia" w:ascii="宋体" w:hAnsi="宋体" w:eastAsia="宋体" w:cs="宋体"/>
          <w:color w:val="auto"/>
          <w:highlight w:val="none"/>
          <w:lang w:val="en-US" w:eastAsia="zh-CN"/>
        </w:rPr>
      </w:pPr>
    </w:p>
    <w:bookmarkEnd w:id="532"/>
    <w:bookmarkEnd w:id="533"/>
    <w:bookmarkEnd w:id="534"/>
    <w:bookmarkEnd w:id="535"/>
    <w:bookmarkEnd w:id="536"/>
    <w:bookmarkEnd w:id="537"/>
    <w:bookmarkEnd w:id="538"/>
    <w:bookmarkEnd w:id="539"/>
    <w:p>
      <w:pPr>
        <w:pStyle w:val="2"/>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547" w:name="_Toc51642408"/>
      <w:bookmarkStart w:id="548" w:name="_Toc521918141"/>
      <w:bookmarkStart w:id="549" w:name="_Toc21619"/>
      <w:bookmarkStart w:id="550" w:name="_Toc26577"/>
      <w:bookmarkStart w:id="551" w:name="_Toc19374"/>
      <w:r>
        <w:rPr>
          <w:rFonts w:hint="eastAsia" w:ascii="宋体" w:hAnsi="宋体" w:eastAsia="宋体" w:cs="宋体"/>
          <w:b/>
          <w:bCs/>
          <w:color w:val="auto"/>
          <w:kern w:val="44"/>
          <w:sz w:val="32"/>
          <w:szCs w:val="32"/>
          <w:highlight w:val="none"/>
          <w:lang w:val="zh-CN"/>
        </w:rPr>
        <w:t>附件一：</w:t>
      </w:r>
      <w:bookmarkEnd w:id="547"/>
      <w:bookmarkEnd w:id="548"/>
      <w:r>
        <w:rPr>
          <w:rFonts w:hint="eastAsia" w:ascii="宋体" w:hAnsi="宋体" w:eastAsia="宋体" w:cs="宋体"/>
          <w:b/>
          <w:bCs/>
          <w:color w:val="auto"/>
          <w:kern w:val="44"/>
          <w:sz w:val="32"/>
          <w:szCs w:val="32"/>
          <w:highlight w:val="none"/>
          <w:lang w:val="zh-CN"/>
        </w:rPr>
        <w:t>评审工作大纲</w:t>
      </w:r>
      <w:bookmarkEnd w:id="549"/>
      <w:bookmarkEnd w:id="550"/>
      <w:bookmarkEnd w:id="551"/>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360" w:lineRule="auto"/>
        <w:jc w:val="center"/>
        <w:rPr>
          <w:rFonts w:hint="eastAsia" w:ascii="宋体" w:hAnsi="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东莞市水务集团实业发展有限公司审计及财税服务采购项目</w:t>
      </w:r>
    </w:p>
    <w:p>
      <w:pPr>
        <w:spacing w:line="360" w:lineRule="auto"/>
        <w:jc w:val="center"/>
        <w:rPr>
          <w:rFonts w:hint="default" w:ascii="宋体" w:hAnsi="宋体" w:eastAsia="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（采购编号：0832-SFCX25DG115C）</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pStyle w:val="22"/>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bookmarkStart w:id="552" w:name="_Toc32395_WPSOffice_Level1"/>
      <w:r>
        <w:rPr>
          <w:rFonts w:hint="eastAsia" w:ascii="宋体" w:hAnsi="宋体" w:eastAsia="宋体" w:cs="宋体"/>
          <w:b/>
          <w:bCs/>
          <w:color w:val="auto"/>
          <w:sz w:val="36"/>
          <w:szCs w:val="36"/>
          <w:highlight w:val="none"/>
          <w:lang w:val="zh-CN"/>
        </w:rPr>
        <w:t>目录</w:t>
      </w:r>
      <w:bookmarkEnd w:id="552"/>
    </w:p>
    <w:p>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3" w:name="_Toc21604_WPSOffice_Level1"/>
      <w:r>
        <w:rPr>
          <w:rFonts w:hint="eastAsia" w:ascii="宋体" w:hAnsi="宋体" w:eastAsia="宋体" w:cs="宋体"/>
          <w:color w:val="auto"/>
          <w:sz w:val="21"/>
          <w:szCs w:val="21"/>
          <w:highlight w:val="none"/>
          <w:lang w:val="zh-CN"/>
        </w:rPr>
        <w:t>一、总则</w:t>
      </w:r>
      <w:bookmarkEnd w:id="553"/>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4" w:name="_Toc1387_WPSOffice_Level1"/>
      <w:r>
        <w:rPr>
          <w:rFonts w:hint="eastAsia" w:ascii="宋体" w:hAnsi="宋体" w:eastAsia="宋体" w:cs="宋体"/>
          <w:color w:val="auto"/>
          <w:sz w:val="21"/>
          <w:szCs w:val="21"/>
          <w:highlight w:val="none"/>
          <w:lang w:val="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rPr>
        <w:t>的初审</w:t>
      </w:r>
      <w:bookmarkEnd w:id="554"/>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5" w:name="_Toc30284_WPSOffice_Level1"/>
      <w:r>
        <w:rPr>
          <w:rFonts w:hint="eastAsia" w:ascii="宋体" w:hAnsi="宋体" w:eastAsia="宋体" w:cs="宋体"/>
          <w:color w:val="auto"/>
          <w:sz w:val="21"/>
          <w:szCs w:val="21"/>
          <w:highlight w:val="none"/>
          <w:lang w:val="zh-CN"/>
        </w:rPr>
        <w:t>三、澄清有关问题</w:t>
      </w:r>
      <w:bookmarkEnd w:id="555"/>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6" w:name="_Toc1206_WPSOffice_Level1"/>
      <w:r>
        <w:rPr>
          <w:rFonts w:hint="eastAsia" w:ascii="宋体" w:hAnsi="宋体" w:eastAsia="宋体" w:cs="宋体"/>
          <w:color w:val="auto"/>
          <w:sz w:val="21"/>
          <w:szCs w:val="21"/>
          <w:highlight w:val="none"/>
        </w:rPr>
        <w:t>四、比较和评价</w:t>
      </w:r>
      <w:bookmarkEnd w:id="556"/>
    </w:p>
    <w:p>
      <w:pPr>
        <w:autoSpaceDE w:val="0"/>
        <w:autoSpaceDN w:val="0"/>
        <w:adjustRightInd w:val="0"/>
        <w:spacing w:line="360" w:lineRule="auto"/>
        <w:ind w:left="567" w:hanging="567"/>
        <w:outlineLvl w:val="9"/>
        <w:rPr>
          <w:rFonts w:hint="default" w:ascii="宋体" w:hAnsi="宋体" w:eastAsia="宋体" w:cs="宋体"/>
          <w:color w:val="auto"/>
          <w:sz w:val="21"/>
          <w:szCs w:val="21"/>
          <w:highlight w:val="none"/>
          <w:lang w:val="en-US" w:eastAsia="zh-CN"/>
        </w:rPr>
      </w:pPr>
      <w:bookmarkStart w:id="557" w:name="_Toc12163_WPSOffice_Level1"/>
      <w:r>
        <w:rPr>
          <w:rFonts w:hint="eastAsia" w:ascii="宋体" w:hAnsi="宋体" w:eastAsia="宋体" w:cs="宋体"/>
          <w:color w:val="auto"/>
          <w:sz w:val="21"/>
          <w:szCs w:val="21"/>
          <w:highlight w:val="none"/>
          <w:lang w:val="zh-CN"/>
        </w:rPr>
        <w:t>五、推荐</w:t>
      </w:r>
      <w:bookmarkEnd w:id="557"/>
      <w:r>
        <w:rPr>
          <w:rFonts w:hint="eastAsia" w:ascii="宋体" w:hAnsi="宋体" w:cs="宋体"/>
          <w:color w:val="auto"/>
          <w:sz w:val="21"/>
          <w:szCs w:val="21"/>
          <w:highlight w:val="none"/>
          <w:lang w:val="en-US" w:eastAsia="zh-CN"/>
        </w:rPr>
        <w:t>成交人</w:t>
      </w:r>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8" w:name="_Toc366_WPSOffice_Level1"/>
      <w:r>
        <w:rPr>
          <w:rFonts w:hint="eastAsia" w:ascii="宋体" w:hAnsi="宋体" w:eastAsia="宋体" w:cs="宋体"/>
          <w:color w:val="auto"/>
          <w:sz w:val="21"/>
          <w:szCs w:val="21"/>
          <w:highlight w:val="none"/>
          <w:lang w:val="zh-CN"/>
        </w:rPr>
        <w:t>六、编写</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zh-CN"/>
        </w:rPr>
        <w:t>报告</w:t>
      </w:r>
      <w:bookmarkEnd w:id="558"/>
    </w:p>
    <w:p>
      <w:pPr>
        <w:autoSpaceDE w:val="0"/>
        <w:autoSpaceDN w:val="0"/>
        <w:adjustRightInd w:val="0"/>
        <w:spacing w:line="360" w:lineRule="auto"/>
        <w:ind w:left="567" w:hanging="567"/>
        <w:outlineLvl w:val="9"/>
        <w:rPr>
          <w:rFonts w:hint="eastAsia" w:ascii="宋体" w:hAnsi="宋体" w:eastAsia="宋体" w:cs="宋体"/>
          <w:color w:val="auto"/>
          <w:sz w:val="21"/>
          <w:szCs w:val="21"/>
          <w:highlight w:val="none"/>
        </w:rPr>
      </w:pPr>
      <w:bookmarkStart w:id="559" w:name="_Toc22378_WPSOffice_Level1"/>
      <w:r>
        <w:rPr>
          <w:rFonts w:hint="eastAsia" w:ascii="宋体" w:hAnsi="宋体" w:eastAsia="宋体" w:cs="宋体"/>
          <w:color w:val="auto"/>
          <w:sz w:val="21"/>
          <w:szCs w:val="21"/>
          <w:highlight w:val="none"/>
          <w:lang w:val="zh-CN"/>
        </w:rPr>
        <w:t>七、注意事项</w:t>
      </w:r>
      <w:bookmarkEnd w:id="559"/>
    </w:p>
    <w:p>
      <w:pPr>
        <w:pStyle w:val="22"/>
        <w:rPr>
          <w:rFonts w:hint="eastAsia" w:ascii="宋体" w:hAnsi="宋体" w:eastAsia="宋体" w:cs="宋体"/>
          <w:color w:val="auto"/>
          <w:sz w:val="21"/>
          <w:szCs w:val="21"/>
          <w:highlight w:val="none"/>
          <w:lang w:val="en-US" w:eastAsia="zh-CN"/>
        </w:rPr>
      </w:pPr>
    </w:p>
    <w:p>
      <w:pPr>
        <w:pStyle w:val="22"/>
        <w:rPr>
          <w:rFonts w:hint="eastAsia" w:ascii="宋体" w:hAnsi="宋体" w:eastAsia="宋体" w:cs="宋体"/>
          <w:color w:val="auto"/>
          <w:sz w:val="21"/>
          <w:szCs w:val="21"/>
          <w:highlight w:val="none"/>
        </w:rPr>
      </w:pPr>
    </w:p>
    <w:p>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pPr>
        <w:numPr>
          <w:ilvl w:val="0"/>
          <w:numId w:val="0"/>
        </w:numPr>
        <w:spacing w:line="360" w:lineRule="auto"/>
        <w:ind w:left="420" w:leftChars="0" w:hanging="420" w:hangingChars="200"/>
        <w:jc w:val="both"/>
        <w:rPr>
          <w:rFonts w:hint="eastAsia" w:ascii="宋体" w:hAnsi="宋体" w:eastAsia="宋体" w:cs="宋体"/>
          <w:color w:val="auto"/>
          <w:sz w:val="21"/>
          <w:szCs w:val="32"/>
          <w:highlight w:val="none"/>
        </w:rPr>
      </w:pPr>
      <w:r>
        <w:rPr>
          <w:rFonts w:hint="eastAsia" w:ascii="宋体" w:hAnsi="宋体" w:eastAsia="宋体" w:cs="宋体"/>
          <w:color w:val="auto"/>
          <w:kern w:val="2"/>
          <w:sz w:val="21"/>
          <w:highlight w:val="none"/>
          <w:lang w:val="zh-CN"/>
        </w:rPr>
        <w:t>1.1</w:t>
      </w:r>
      <w:r>
        <w:rPr>
          <w:rFonts w:hint="eastAsia" w:ascii="宋体" w:hAnsi="宋体" w:eastAsia="宋体" w:cs="宋体"/>
          <w:color w:val="auto"/>
          <w:kern w:val="2"/>
          <w:sz w:val="21"/>
          <w:highlight w:val="none"/>
          <w:lang w:val="en-US" w:eastAsia="zh-CN"/>
        </w:rPr>
        <w:t xml:space="preserve"> </w:t>
      </w:r>
      <w:r>
        <w:rPr>
          <w:rFonts w:hint="eastAsia" w:ascii="宋体" w:hAnsi="宋体" w:cs="宋体"/>
          <w:color w:val="auto"/>
          <w:kern w:val="2"/>
          <w:sz w:val="21"/>
          <w:highlight w:val="none"/>
          <w:lang w:val="en-US" w:eastAsia="zh-CN"/>
        </w:rPr>
        <w:t>东莞市水务集团实业发展有限公司审计及财税服务采购项目</w:t>
      </w:r>
      <w:r>
        <w:rPr>
          <w:rFonts w:hint="eastAsia" w:ascii="宋体" w:hAnsi="宋体" w:eastAsia="宋体" w:cs="宋体"/>
          <w:color w:val="auto"/>
          <w:kern w:val="2"/>
          <w:sz w:val="21"/>
          <w:highlight w:val="none"/>
          <w:lang w:val="zh-CN"/>
        </w:rPr>
        <w:t>(采购编号：</w:t>
      </w:r>
      <w:r>
        <w:rPr>
          <w:rFonts w:hint="eastAsia" w:ascii="宋体" w:hAnsi="宋体" w:cs="宋体"/>
          <w:color w:val="auto"/>
          <w:kern w:val="2"/>
          <w:sz w:val="21"/>
          <w:highlight w:val="none"/>
          <w:lang w:val="zh-CN"/>
        </w:rPr>
        <w:t>0832-SFCX25DG115C</w:t>
      </w:r>
      <w:r>
        <w:rPr>
          <w:rFonts w:hint="eastAsia" w:ascii="宋体" w:hAnsi="宋体" w:eastAsia="宋体" w:cs="宋体"/>
          <w:color w:val="auto"/>
          <w:kern w:val="2"/>
          <w:sz w:val="21"/>
          <w:highlight w:val="none"/>
          <w:lang w:val="zh-CN"/>
        </w:rPr>
        <w:t>)的采购按照采购人及上级单位的相关制度等有关规定进行。</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1.2</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必须遵循公开、公平、公正、诚实信用的原则。</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1.3</w:t>
      </w:r>
      <w:r>
        <w:rPr>
          <w:rFonts w:hint="eastAsia" w:ascii="宋体" w:hAnsi="宋体" w:eastAsia="宋体" w:cs="宋体"/>
          <w:color w:val="auto"/>
          <w:kern w:val="2"/>
          <w:sz w:val="21"/>
          <w:highlight w:val="none"/>
          <w:lang w:val="en-US" w:eastAsia="zh-CN"/>
        </w:rPr>
        <w:t xml:space="preserve"> 采购</w:t>
      </w:r>
      <w:r>
        <w:rPr>
          <w:rFonts w:hint="eastAsia" w:ascii="宋体" w:hAnsi="宋体" w:eastAsia="宋体" w:cs="宋体"/>
          <w:color w:val="auto"/>
          <w:kern w:val="2"/>
          <w:sz w:val="21"/>
          <w:highlight w:val="none"/>
          <w:lang w:val="zh-CN"/>
        </w:rPr>
        <w:t>代理机构（</w:t>
      </w:r>
      <w:r>
        <w:rPr>
          <w:rFonts w:hint="eastAsia" w:ascii="宋体" w:hAnsi="宋体" w:cs="宋体"/>
          <w:color w:val="auto"/>
          <w:kern w:val="2"/>
          <w:sz w:val="21"/>
          <w:highlight w:val="none"/>
          <w:lang w:val="en-US" w:eastAsia="zh-CN"/>
        </w:rPr>
        <w:t>三方诚信招标有限公司</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32"/>
          <w:highlight w:val="none"/>
        </w:rPr>
        <w:t>组</w:t>
      </w:r>
      <w:r>
        <w:rPr>
          <w:rFonts w:hint="eastAsia" w:ascii="宋体" w:hAnsi="宋体" w:eastAsia="宋体" w:cs="宋体"/>
          <w:color w:val="auto"/>
          <w:kern w:val="2"/>
          <w:sz w:val="21"/>
          <w:highlight w:val="none"/>
          <w:lang w:val="zh-CN"/>
        </w:rPr>
        <w:t>织</w:t>
      </w:r>
      <w:r>
        <w:rPr>
          <w:rFonts w:hint="eastAsia" w:ascii="宋体" w:hAnsi="宋体" w:eastAsia="宋体" w:cs="宋体"/>
          <w:color w:val="auto"/>
          <w:kern w:val="2"/>
          <w:sz w:val="21"/>
          <w:highlight w:val="none"/>
          <w:lang w:val="en-US" w:eastAsia="zh-CN"/>
        </w:rPr>
        <w:t>磋商活动</w:t>
      </w:r>
      <w:r>
        <w:rPr>
          <w:rFonts w:hint="eastAsia" w:ascii="宋体" w:hAnsi="宋体" w:eastAsia="宋体" w:cs="宋体"/>
          <w:color w:val="auto"/>
          <w:kern w:val="2"/>
          <w:sz w:val="21"/>
          <w:highlight w:val="none"/>
          <w:lang w:val="zh-CN"/>
        </w:rPr>
        <w:t>，全过程接受采购人</w:t>
      </w:r>
      <w:r>
        <w:rPr>
          <w:rFonts w:hint="eastAsia" w:ascii="宋体" w:hAnsi="宋体" w:eastAsia="宋体" w:cs="宋体"/>
          <w:color w:val="auto"/>
          <w:sz w:val="21"/>
          <w:szCs w:val="32"/>
          <w:highlight w:val="none"/>
        </w:rPr>
        <w:t>及</w:t>
      </w:r>
      <w:r>
        <w:rPr>
          <w:rFonts w:hint="eastAsia" w:ascii="宋体" w:hAnsi="宋体" w:eastAsia="宋体" w:cs="宋体"/>
          <w:color w:val="auto"/>
          <w:sz w:val="21"/>
          <w:szCs w:val="21"/>
          <w:highlight w:val="none"/>
          <w:lang w:val="zh-CN"/>
        </w:rPr>
        <w:t>相关部门</w:t>
      </w:r>
      <w:r>
        <w:rPr>
          <w:rFonts w:hint="eastAsia" w:ascii="宋体" w:hAnsi="宋体" w:eastAsia="宋体" w:cs="宋体"/>
          <w:color w:val="auto"/>
          <w:kern w:val="2"/>
          <w:sz w:val="21"/>
          <w:highlight w:val="none"/>
          <w:lang w:val="zh-CN"/>
        </w:rPr>
        <w:t>的监督、管理和指导。</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文件规定的内容进行，采取综合评分法进行评审。</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1.5 </w:t>
      </w:r>
      <w:r>
        <w:rPr>
          <w:rFonts w:hint="eastAsia" w:ascii="宋体" w:hAnsi="宋体" w:eastAsia="宋体" w:cs="宋体"/>
          <w:color w:val="auto"/>
          <w:kern w:val="2"/>
          <w:sz w:val="21"/>
          <w:highlight w:val="none"/>
          <w:lang w:val="zh-CN"/>
        </w:rPr>
        <w:t>本办法的评审对象是指供应商按照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文件要求提供的有效响应文件，包括供应商应磋商小组要求对原响应文件作出的正式书面澄清文件。</w:t>
      </w:r>
    </w:p>
    <w:p>
      <w:pPr>
        <w:spacing w:line="360" w:lineRule="auto"/>
        <w:jc w:val="both"/>
        <w:rPr>
          <w:rFonts w:hint="eastAsia" w:ascii="宋体" w:hAnsi="宋体" w:eastAsia="宋体" w:cs="宋体"/>
          <w:color w:val="auto"/>
          <w:kern w:val="2"/>
          <w:highlight w:val="none"/>
          <w:lang w:val="zh-CN"/>
        </w:rPr>
      </w:pPr>
    </w:p>
    <w:p>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由由采购人的代表和技术、经济等方面的专家组成，成员为</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人，其中技术、经济等方面的专家不少于成员总数的三分之二。</w:t>
      </w:r>
      <w:r>
        <w:rPr>
          <w:rFonts w:hint="eastAsia" w:ascii="宋体" w:hAnsi="宋体" w:eastAsia="宋体" w:cs="宋体"/>
          <w:color w:val="auto"/>
          <w:kern w:val="2"/>
          <w:sz w:val="21"/>
          <w:highlight w:val="none"/>
          <w:lang w:val="zh-CN"/>
        </w:rPr>
        <w:t>专家依法从</w:t>
      </w:r>
      <w:r>
        <w:rPr>
          <w:rFonts w:hint="eastAsia" w:ascii="宋体" w:hAnsi="宋体" w:eastAsia="宋体" w:cs="宋体"/>
          <w:color w:val="auto"/>
          <w:sz w:val="21"/>
          <w:highlight w:val="none"/>
        </w:rPr>
        <w:t>专家库中随机抽取产生。</w:t>
      </w:r>
    </w:p>
    <w:p>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代理机构及有关专家组成。</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pPr>
        <w:spacing w:line="360" w:lineRule="auto"/>
        <w:jc w:val="both"/>
        <w:rPr>
          <w:rFonts w:hint="eastAsia" w:ascii="宋体" w:hAnsi="宋体" w:eastAsia="宋体" w:cs="宋体"/>
          <w:color w:val="auto"/>
          <w:kern w:val="2"/>
          <w:highlight w:val="none"/>
          <w:lang w:val="zh-CN"/>
        </w:rPr>
      </w:pPr>
    </w:p>
    <w:p>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pPr>
        <w:spacing w:line="360" w:lineRule="auto"/>
        <w:ind w:left="424" w:leftChars="-1" w:hanging="426" w:hangingChars="203"/>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zh-CN"/>
        </w:rPr>
        <w:t>3.1</w:t>
      </w:r>
      <w:r>
        <w:rPr>
          <w:rFonts w:hint="eastAsia" w:ascii="宋体" w:hAnsi="宋体" w:eastAsia="宋体" w:cs="宋体"/>
          <w:b w:val="0"/>
          <w:bCs w:val="0"/>
          <w:color w:val="auto"/>
          <w:sz w:val="21"/>
          <w:highlight w:val="none"/>
          <w:lang w:val="en-US" w:eastAsia="zh-CN"/>
        </w:rPr>
        <w:t xml:space="preserve"> </w:t>
      </w:r>
      <w:r>
        <w:rPr>
          <w:rFonts w:hint="eastAsia" w:ascii="宋体" w:hAnsi="宋体" w:eastAsia="宋体" w:cs="宋体"/>
          <w:b w:val="0"/>
          <w:bCs w:val="0"/>
          <w:color w:val="auto"/>
          <w:sz w:val="21"/>
          <w:highlight w:val="none"/>
        </w:rPr>
        <w:t>磋商小组成员应当按照客观、公正、审慎的原则，根据竞争性磋商文件规定的评审程序、评审</w:t>
      </w:r>
    </w:p>
    <w:p>
      <w:pPr>
        <w:spacing w:line="360" w:lineRule="auto"/>
        <w:ind w:firstLine="420" w:firstLineChars="200"/>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方法和评审标准进行独立评审</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3.2 供应商</w:t>
      </w:r>
      <w:r>
        <w:rPr>
          <w:rFonts w:hint="eastAsia" w:ascii="宋体" w:hAnsi="宋体" w:eastAsia="宋体" w:cs="宋体"/>
          <w:b w:val="0"/>
          <w:bCs w:val="0"/>
          <w:color w:val="auto"/>
          <w:sz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highlight w:val="none"/>
          <w:lang w:val="en-US" w:eastAsia="zh-CN"/>
        </w:rPr>
        <w:t>记录</w:t>
      </w:r>
      <w:r>
        <w:rPr>
          <w:rFonts w:hint="eastAsia" w:ascii="宋体" w:hAnsi="宋体" w:eastAsia="宋体" w:cs="宋体"/>
          <w:b w:val="0"/>
          <w:bCs w:val="0"/>
          <w:color w:val="auto"/>
          <w:sz w:val="21"/>
          <w:highlight w:val="none"/>
          <w:lang w:val="zh-CN"/>
        </w:rPr>
        <w:t>；</w:t>
      </w:r>
    </w:p>
    <w:p>
      <w:pPr>
        <w:tabs>
          <w:tab w:val="left" w:pos="675"/>
        </w:tabs>
        <w:spacing w:line="360" w:lineRule="auto"/>
        <w:ind w:left="567" w:hanging="567"/>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3.4 推荐成交候选人名单</w:t>
      </w:r>
      <w:r>
        <w:rPr>
          <w:rFonts w:hint="eastAsia" w:ascii="宋体" w:hAnsi="宋体" w:eastAsia="宋体" w:cs="宋体"/>
          <w:color w:val="auto"/>
          <w:sz w:val="21"/>
          <w:highlight w:val="none"/>
          <w:lang w:val="zh-CN"/>
        </w:rPr>
        <w:t>及排序</w:t>
      </w:r>
      <w:r>
        <w:rPr>
          <w:rFonts w:hint="eastAsia" w:ascii="宋体" w:hAnsi="宋体" w:eastAsia="宋体" w:cs="宋体"/>
          <w:b w:val="0"/>
          <w:bCs w:val="0"/>
          <w:color w:val="auto"/>
          <w:sz w:val="21"/>
          <w:highlight w:val="none"/>
          <w:lang w:val="zh-CN"/>
        </w:rPr>
        <w:t>；</w:t>
      </w:r>
    </w:p>
    <w:p>
      <w:pPr>
        <w:spacing w:line="360" w:lineRule="auto"/>
        <w:ind w:left="567" w:hanging="567"/>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 w:val="21"/>
          <w:highlight w:val="none"/>
          <w:lang w:val="zh-CN"/>
        </w:rPr>
        <w:t>3.</w:t>
      </w:r>
      <w:r>
        <w:rPr>
          <w:rFonts w:hint="eastAsia" w:ascii="宋体" w:hAnsi="宋体" w:eastAsia="宋体" w:cs="宋体"/>
          <w:b w:val="0"/>
          <w:bCs w:val="0"/>
          <w:color w:val="auto"/>
          <w:sz w:val="21"/>
          <w:highlight w:val="none"/>
        </w:rPr>
        <w:t xml:space="preserve">5 </w:t>
      </w:r>
      <w:r>
        <w:rPr>
          <w:rFonts w:hint="eastAsia" w:ascii="宋体" w:hAnsi="宋体" w:eastAsia="宋体" w:cs="宋体"/>
          <w:b w:val="0"/>
          <w:bCs w:val="0"/>
          <w:color w:val="auto"/>
          <w:sz w:val="21"/>
          <w:highlight w:val="none"/>
          <w:lang w:val="zh-CN"/>
        </w:rPr>
        <w:t>向</w:t>
      </w:r>
      <w:r>
        <w:rPr>
          <w:rFonts w:hint="eastAsia" w:ascii="宋体" w:hAnsi="宋体" w:eastAsia="宋体" w:cs="宋体"/>
          <w:b w:val="0"/>
          <w:bCs w:val="0"/>
          <w:color w:val="auto"/>
          <w:sz w:val="21"/>
          <w:highlight w:val="none"/>
        </w:rPr>
        <w:t>采购</w:t>
      </w:r>
      <w:r>
        <w:rPr>
          <w:rFonts w:hint="eastAsia" w:ascii="宋体" w:hAnsi="宋体" w:eastAsia="宋体" w:cs="宋体"/>
          <w:b w:val="0"/>
          <w:bCs w:val="0"/>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w:t>
      </w:r>
      <w:r>
        <w:rPr>
          <w:rFonts w:hint="eastAsia" w:ascii="宋体" w:hAnsi="宋体" w:eastAsia="宋体" w:cs="宋体"/>
          <w:color w:val="auto"/>
          <w:sz w:val="21"/>
          <w:szCs w:val="21"/>
          <w:highlight w:val="none"/>
          <w:lang w:val="zh-CN"/>
        </w:rPr>
        <w:t>构</w:t>
      </w:r>
      <w:r>
        <w:rPr>
          <w:rFonts w:hint="eastAsia" w:ascii="宋体" w:hAnsi="宋体" w:eastAsia="宋体" w:cs="宋体"/>
          <w:b w:val="0"/>
          <w:bCs w:val="0"/>
          <w:color w:val="auto"/>
          <w:sz w:val="21"/>
          <w:highlight w:val="none"/>
          <w:lang w:val="zh-CN"/>
        </w:rPr>
        <w:t>或者有关部门报告非法干预评审工作的行为</w:t>
      </w:r>
      <w:r>
        <w:rPr>
          <w:rFonts w:hint="eastAsia" w:ascii="宋体" w:hAnsi="宋体" w:eastAsia="宋体" w:cs="宋体"/>
          <w:b w:val="0"/>
          <w:bCs w:val="0"/>
          <w:color w:val="auto"/>
          <w:highlight w:val="none"/>
          <w:lang w:val="zh-CN"/>
        </w:rPr>
        <w:t>。</w:t>
      </w:r>
    </w:p>
    <w:p>
      <w:pPr>
        <w:spacing w:line="360" w:lineRule="auto"/>
        <w:rPr>
          <w:rFonts w:hint="eastAsia" w:ascii="宋体" w:hAnsi="宋体" w:eastAsia="宋体" w:cs="宋体"/>
          <w:color w:val="auto"/>
          <w:highlight w:val="none"/>
          <w:lang w:val="zh-CN"/>
        </w:rPr>
      </w:pPr>
    </w:p>
    <w:p>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pPr>
        <w:spacing w:line="360" w:lineRule="auto"/>
        <w:rPr>
          <w:rFonts w:hint="eastAsia" w:ascii="宋体" w:hAnsi="宋体" w:eastAsia="宋体" w:cs="宋体"/>
          <w:color w:val="auto"/>
          <w:highlight w:val="none"/>
          <w:lang w:val="zh-CN"/>
        </w:rPr>
      </w:pPr>
    </w:p>
    <w:p>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p>
    <w:p>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，对未能通过初审的响应文件不再进入下一阶段磋商。若本次采购过程中有效供应商只有2家时，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b w:val="0"/>
          <w:bCs/>
          <w:color w:val="auto"/>
          <w:kern w:val="2"/>
          <w:sz w:val="21"/>
          <w:highlight w:val="none"/>
          <w:lang w:val="en-US" w:eastAsia="zh-CN"/>
        </w:rPr>
        <w:t>本竞争性磋商采购活动可以继续进行。若符合要求的供应商只有1家时，本次竞争性磋商失败</w:t>
      </w:r>
      <w:r>
        <w:rPr>
          <w:rFonts w:hint="eastAsia" w:ascii="宋体" w:hAnsi="宋体" w:eastAsia="宋体" w:cs="宋体"/>
          <w:b w:val="0"/>
          <w:bCs/>
          <w:color w:val="auto"/>
          <w:kern w:val="2"/>
          <w:sz w:val="21"/>
          <w:szCs w:val="21"/>
          <w:highlight w:val="none"/>
          <w:lang w:val="zh-CN"/>
        </w:rPr>
        <w:t>。</w:t>
      </w:r>
    </w:p>
    <w:p>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w:t>
      </w:r>
      <w:r>
        <w:rPr>
          <w:rFonts w:hint="eastAsia" w:ascii="宋体" w:hAnsi="宋体" w:cs="宋体"/>
          <w:color w:val="auto"/>
          <w:kern w:val="2"/>
          <w:sz w:val="21"/>
          <w:highlight w:val="none"/>
          <w:lang w:val="en-US" w:eastAsia="zh-CN"/>
        </w:rPr>
        <w:t>执行事务合伙人</w:t>
      </w:r>
      <w:r>
        <w:rPr>
          <w:rFonts w:hint="eastAsia" w:ascii="宋体" w:hAnsi="宋体" w:eastAsia="宋体" w:cs="宋体"/>
          <w:color w:val="auto"/>
          <w:kern w:val="2"/>
          <w:sz w:val="21"/>
          <w:highlight w:val="none"/>
          <w:lang w:val="en-US" w:eastAsia="zh-CN"/>
        </w:rPr>
        <w:t>或授权代表签字或者加盖公章。由授权代表签字的，应当附法定代表人/</w:t>
      </w:r>
      <w:r>
        <w:rPr>
          <w:rFonts w:hint="eastAsia" w:ascii="宋体" w:hAnsi="宋体" w:cs="宋体"/>
          <w:color w:val="auto"/>
          <w:kern w:val="2"/>
          <w:sz w:val="21"/>
          <w:highlight w:val="none"/>
          <w:lang w:val="en-US" w:eastAsia="zh-CN"/>
        </w:rPr>
        <w:t>执行事务合伙人</w:t>
      </w:r>
      <w:r>
        <w:rPr>
          <w:rFonts w:hint="eastAsia" w:ascii="宋体" w:hAnsi="宋体" w:eastAsia="宋体" w:cs="宋体"/>
          <w:color w:val="auto"/>
          <w:kern w:val="2"/>
          <w:sz w:val="21"/>
          <w:highlight w:val="none"/>
          <w:lang w:val="en-US" w:eastAsia="zh-CN"/>
        </w:rPr>
        <w:t>授权书。供应商为自然人的，应当由本人签字并附身份证明。</w:t>
      </w:r>
    </w:p>
    <w:p>
      <w:pPr>
        <w:spacing w:line="360" w:lineRule="auto"/>
        <w:ind w:left="462" w:leftChars="0" w:hanging="462" w:hangingChars="22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w:t>
      </w:r>
      <w:r>
        <w:rPr>
          <w:rFonts w:hint="eastAsia" w:ascii="宋体" w:hAnsi="宋体" w:eastAsia="宋体" w:cs="宋体"/>
          <w:b w:val="0"/>
          <w:bCs w:val="0"/>
          <w:color w:val="auto"/>
          <w:kern w:val="2"/>
          <w:sz w:val="21"/>
          <w:szCs w:val="21"/>
          <w:highlight w:val="none"/>
          <w:u w:val="none"/>
          <w:lang w:val="en-US" w:eastAsia="zh-CN"/>
        </w:rPr>
        <w:t>最</w:t>
      </w:r>
      <w:r>
        <w:rPr>
          <w:rFonts w:hint="eastAsia" w:ascii="宋体" w:hAnsi="宋体" w:cs="宋体"/>
          <w:b w:val="0"/>
          <w:bCs w:val="0"/>
          <w:color w:val="auto"/>
          <w:kern w:val="2"/>
          <w:sz w:val="21"/>
          <w:szCs w:val="21"/>
          <w:highlight w:val="none"/>
          <w:u w:val="none"/>
          <w:lang w:val="en-US" w:eastAsia="zh-CN"/>
        </w:rPr>
        <w:t>后</w:t>
      </w:r>
      <w:r>
        <w:rPr>
          <w:rFonts w:hint="eastAsia" w:ascii="宋体" w:hAnsi="宋体" w:eastAsia="宋体" w:cs="宋体"/>
          <w:b w:val="0"/>
          <w:bCs w:val="0"/>
          <w:color w:val="auto"/>
          <w:kern w:val="2"/>
          <w:sz w:val="21"/>
          <w:szCs w:val="21"/>
          <w:highlight w:val="none"/>
          <w:u w:val="none"/>
          <w:lang w:val="en-US" w:eastAsia="zh-CN"/>
        </w:rPr>
        <w:t>响应</w:t>
      </w:r>
      <w:r>
        <w:rPr>
          <w:rFonts w:hint="eastAsia" w:ascii="宋体" w:hAnsi="宋体" w:eastAsia="宋体" w:cs="宋体"/>
          <w:b w:val="0"/>
          <w:bCs w:val="0"/>
          <w:color w:val="auto"/>
          <w:kern w:val="2"/>
          <w:sz w:val="21"/>
          <w:szCs w:val="21"/>
          <w:highlight w:val="none"/>
          <w:u w:val="none"/>
          <w:lang w:val="zh-CN"/>
        </w:rPr>
        <w:t>报价（</w:t>
      </w:r>
      <w:r>
        <w:rPr>
          <w:rFonts w:hint="eastAsia" w:ascii="宋体" w:hAnsi="宋体" w:eastAsia="宋体" w:cs="宋体"/>
          <w:b w:val="0"/>
          <w:bCs w:val="0"/>
          <w:color w:val="auto"/>
          <w:kern w:val="2"/>
          <w:sz w:val="21"/>
          <w:szCs w:val="21"/>
          <w:highlight w:val="none"/>
          <w:u w:val="none"/>
          <w:lang w:val="en-US" w:eastAsia="zh-CN"/>
        </w:rPr>
        <w:t>最</w:t>
      </w:r>
      <w:r>
        <w:rPr>
          <w:rFonts w:hint="eastAsia" w:ascii="宋体" w:hAnsi="宋体" w:cs="宋体"/>
          <w:b w:val="0"/>
          <w:bCs w:val="0"/>
          <w:color w:val="auto"/>
          <w:kern w:val="2"/>
          <w:sz w:val="21"/>
          <w:szCs w:val="21"/>
          <w:highlight w:val="none"/>
          <w:u w:val="none"/>
          <w:lang w:val="en-US" w:eastAsia="zh-CN"/>
        </w:rPr>
        <w:t>后响应</w:t>
      </w:r>
      <w:r>
        <w:rPr>
          <w:rFonts w:hint="eastAsia" w:ascii="宋体" w:hAnsi="宋体" w:eastAsia="宋体" w:cs="宋体"/>
          <w:b w:val="0"/>
          <w:bCs w:val="0"/>
          <w:color w:val="auto"/>
          <w:kern w:val="2"/>
          <w:sz w:val="21"/>
          <w:szCs w:val="21"/>
          <w:highlight w:val="none"/>
          <w:u w:val="none"/>
          <w:lang w:val="en-US" w:eastAsia="zh-CN"/>
        </w:rPr>
        <w:t>报价时间视磋商进程由磋商小组决定</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none"/>
          <w:lang w:val="zh-CN" w:eastAsia="zh-CN"/>
        </w:rPr>
        <w:t>最</w:t>
      </w:r>
      <w:r>
        <w:rPr>
          <w:rFonts w:hint="eastAsia" w:ascii="宋体" w:hAnsi="宋体" w:cs="宋体"/>
          <w:b w:val="0"/>
          <w:bCs w:val="0"/>
          <w:color w:val="auto"/>
          <w:kern w:val="2"/>
          <w:sz w:val="21"/>
          <w:szCs w:val="21"/>
          <w:highlight w:val="none"/>
          <w:u w:val="none"/>
          <w:lang w:val="en-US" w:eastAsia="zh-CN"/>
        </w:rPr>
        <w:t>后</w:t>
      </w:r>
      <w:r>
        <w:rPr>
          <w:rFonts w:hint="eastAsia" w:ascii="宋体" w:hAnsi="宋体" w:eastAsia="宋体" w:cs="宋体"/>
          <w:b w:val="0"/>
          <w:bCs w:val="0"/>
          <w:color w:val="auto"/>
          <w:kern w:val="2"/>
          <w:sz w:val="21"/>
          <w:szCs w:val="21"/>
          <w:highlight w:val="none"/>
          <w:u w:val="none"/>
          <w:lang w:val="zh-CN" w:eastAsia="zh-CN"/>
        </w:rPr>
        <w:t>响应</w:t>
      </w:r>
      <w:r>
        <w:rPr>
          <w:rFonts w:hint="eastAsia" w:ascii="宋体" w:hAnsi="宋体" w:eastAsia="宋体" w:cs="宋体"/>
          <w:b w:val="0"/>
          <w:bCs w:val="0"/>
          <w:color w:val="auto"/>
          <w:kern w:val="2"/>
          <w:sz w:val="21"/>
          <w:szCs w:val="21"/>
          <w:highlight w:val="none"/>
          <w:u w:val="none"/>
          <w:lang w:val="zh-CN"/>
        </w:rPr>
        <w:t>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b/>
          <w:bCs/>
          <w:color w:val="auto"/>
          <w:kern w:val="2"/>
          <w:sz w:val="21"/>
          <w:szCs w:val="21"/>
          <w:highlight w:val="none"/>
          <w:u w:val="none"/>
          <w:lang w:val="zh-CN"/>
        </w:rPr>
        <w:t>。</w:t>
      </w:r>
    </w:p>
    <w:p>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2" w:hangingChars="201"/>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9</w:t>
      </w:r>
      <w:r>
        <w:rPr>
          <w:rFonts w:hint="eastAsia" w:ascii="宋体" w:hAnsi="宋体" w:eastAsia="宋体" w:cs="宋体"/>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eastAsia="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并标明排列顺序</w:t>
      </w:r>
      <w:r>
        <w:rPr>
          <w:rFonts w:hint="eastAsia" w:ascii="宋体" w:hAnsi="宋体" w:eastAsia="宋体" w:cs="宋体"/>
          <w:color w:val="auto"/>
          <w:kern w:val="2"/>
          <w:sz w:val="21"/>
          <w:highlight w:val="none"/>
          <w:lang w:val="zh-CN"/>
        </w:rPr>
        <w:t>。</w:t>
      </w:r>
    </w:p>
    <w:p>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、磋商保证金（</w:t>
      </w:r>
      <w:r>
        <w:rPr>
          <w:rFonts w:hint="eastAsia" w:ascii="宋体" w:hAnsi="宋体" w:eastAsia="宋体" w:cs="宋体"/>
          <w:b w:val="0"/>
          <w:color w:val="auto"/>
          <w:kern w:val="2"/>
          <w:sz w:val="21"/>
          <w:szCs w:val="24"/>
          <w:highlight w:val="none"/>
          <w:lang w:val="zh-CN" w:eastAsia="zh-CN"/>
        </w:rPr>
        <w:t>若有</w:t>
      </w:r>
      <w:r>
        <w:rPr>
          <w:rFonts w:hint="eastAsia" w:ascii="宋体" w:hAnsi="宋体" w:eastAsia="宋体" w:cs="宋体"/>
          <w:b w:val="0"/>
          <w:color w:val="auto"/>
          <w:kern w:val="2"/>
          <w:sz w:val="21"/>
          <w:szCs w:val="24"/>
          <w:highlight w:val="none"/>
          <w:lang w:val="zh-CN"/>
        </w:rPr>
        <w:t>）、</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（含其不具有独立法人资格的分支机构）信用（由</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代理机构在递交</w:t>
      </w:r>
      <w:r>
        <w:rPr>
          <w:rFonts w:hint="eastAsia" w:ascii="宋体" w:hAnsi="宋体" w:eastAsia="宋体" w:cs="宋体"/>
          <w:b w:val="0"/>
          <w:color w:val="auto"/>
          <w:kern w:val="2"/>
          <w:sz w:val="21"/>
          <w:szCs w:val="24"/>
          <w:highlight w:val="none"/>
          <w:lang w:val="en-US" w:eastAsia="zh-CN"/>
        </w:rPr>
        <w:t>响应</w:t>
      </w:r>
      <w:r>
        <w:rPr>
          <w:rFonts w:hint="eastAsia" w:ascii="宋体" w:hAnsi="宋体" w:eastAsia="宋体" w:cs="宋体"/>
          <w:b w:val="0"/>
          <w:color w:val="auto"/>
          <w:kern w:val="2"/>
          <w:sz w:val="21"/>
          <w:szCs w:val="24"/>
          <w:highlight w:val="none"/>
          <w:lang w:val="zh-CN"/>
        </w:rPr>
        <w:t>文件截止时间当天通过“信用中国”网站对</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信用进行查询，</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代理机构将查询情况提交</w:t>
      </w:r>
      <w:r>
        <w:rPr>
          <w:rFonts w:hint="eastAsia" w:ascii="宋体" w:hAnsi="宋体" w:eastAsia="宋体" w:cs="宋体"/>
          <w:b w:val="0"/>
          <w:color w:val="auto"/>
          <w:kern w:val="2"/>
          <w:sz w:val="21"/>
          <w:szCs w:val="24"/>
          <w:highlight w:val="none"/>
          <w:lang w:val="en-US" w:eastAsia="zh-CN"/>
        </w:rPr>
        <w:t>磋商小组</w:t>
      </w:r>
      <w:r>
        <w:rPr>
          <w:rFonts w:hint="eastAsia" w:ascii="宋体" w:hAnsi="宋体" w:eastAsia="宋体" w:cs="宋体"/>
          <w:b w:val="0"/>
          <w:color w:val="auto"/>
          <w:kern w:val="2"/>
          <w:sz w:val="21"/>
          <w:szCs w:val="24"/>
          <w:highlight w:val="none"/>
          <w:lang w:val="zh-CN"/>
        </w:rPr>
        <w:t>评审）</w:t>
      </w:r>
      <w:r>
        <w:rPr>
          <w:rFonts w:hint="eastAsia" w:ascii="宋体" w:hAnsi="宋体" w:eastAsia="宋体" w:cs="宋体"/>
          <w:color w:val="auto"/>
          <w:kern w:val="2"/>
          <w:sz w:val="21"/>
          <w:highlight w:val="none"/>
          <w:lang w:val="zh-CN"/>
        </w:rPr>
        <w:t>等进行审查，以确定供应商是否具备响应资格。</w:t>
      </w:r>
    </w:p>
    <w:p>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实质性响应的磋商响应指的是符合竞争性磋商文件要求的全部“★”条款和验收标准而无任何重大偏离或保留。重大偏离或保留系指实质上影响到合同项下的供货</w:t>
      </w:r>
      <w:r>
        <w:rPr>
          <w:rFonts w:hint="eastAsia" w:ascii="宋体" w:hAnsi="宋体" w:eastAsia="宋体" w:cs="宋体"/>
          <w:color w:val="auto"/>
          <w:kern w:val="2"/>
          <w:sz w:val="21"/>
          <w:highlight w:val="none"/>
          <w:lang w:val="en-US" w:eastAsia="zh-CN"/>
        </w:rPr>
        <w:t>或</w:t>
      </w:r>
      <w:r>
        <w:rPr>
          <w:rFonts w:hint="eastAsia" w:ascii="宋体" w:hAnsi="宋体" w:eastAsia="宋体" w:cs="宋体"/>
          <w:color w:val="auto"/>
          <w:kern w:val="2"/>
          <w:sz w:val="21"/>
          <w:highlight w:val="none"/>
          <w:lang w:val="zh-CN"/>
        </w:rPr>
        <w:t>服务范围、质量和性能，或指与竞争性磋商文件有实质不一致，限制了合同项下采购人的权利和承包人的义务, 或对该重大偏离的修改对提交实质性响应磋商的其他供应商将不公平。</w:t>
      </w:r>
    </w:p>
    <w:p>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pPr>
        <w:spacing w:line="360" w:lineRule="auto"/>
        <w:ind w:left="545" w:leftChars="227" w:firstLine="422" w:firstLineChars="200"/>
        <w:jc w:val="both"/>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eastAsia="宋体" w:cs="宋体"/>
          <w:b/>
          <w:bCs/>
          <w:color w:val="auto"/>
          <w:kern w:val="2"/>
          <w:sz w:val="21"/>
          <w:highlight w:val="none"/>
          <w:u w:val="single"/>
          <w:lang w:val="en-US" w:eastAsia="zh-CN"/>
        </w:rPr>
        <w:t>根据少数服从多数的原则，获多数表决</w:t>
      </w:r>
      <w:r>
        <w:rPr>
          <w:rFonts w:hint="eastAsia" w:ascii="宋体" w:hAnsi="宋体" w:eastAsia="宋体" w:cs="宋体"/>
          <w:b/>
          <w:bCs/>
          <w:color w:val="auto"/>
          <w:kern w:val="2"/>
          <w:sz w:val="21"/>
          <w:highlight w:val="none"/>
          <w:u w:val="single"/>
          <w:lang w:val="zh-CN"/>
        </w:rPr>
        <w:t>的供应商才有资格进入下一阶段的评审,否则将被认定为无效响应文件</w:t>
      </w:r>
      <w:r>
        <w:rPr>
          <w:rFonts w:hint="eastAsia" w:ascii="宋体" w:hAnsi="宋体" w:eastAsia="宋体" w:cs="宋体"/>
          <w:b/>
          <w:bCs/>
          <w:color w:val="auto"/>
          <w:kern w:val="2"/>
          <w:sz w:val="21"/>
          <w:highlight w:val="none"/>
          <w:u w:val="none"/>
          <w:lang w:val="zh-CN"/>
        </w:rPr>
        <w:t>。</w:t>
      </w:r>
    </w:p>
    <w:p>
      <w:pPr>
        <w:spacing w:line="360" w:lineRule="auto"/>
        <w:jc w:val="both"/>
        <w:rPr>
          <w:rFonts w:hint="eastAsia" w:ascii="宋体" w:hAnsi="宋体" w:eastAsia="宋体" w:cs="宋体"/>
          <w:color w:val="auto"/>
          <w:kern w:val="2"/>
          <w:sz w:val="21"/>
          <w:highlight w:val="none"/>
          <w:lang w:val="zh-CN"/>
        </w:rPr>
      </w:pP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磋商</w:t>
      </w:r>
      <w:r>
        <w:rPr>
          <w:rFonts w:hint="eastAsia" w:ascii="宋体" w:hAnsi="宋体" w:eastAsia="宋体" w:cs="宋体"/>
          <w:b/>
          <w:color w:val="auto"/>
          <w:sz w:val="21"/>
          <w:szCs w:val="21"/>
          <w:highlight w:val="none"/>
          <w:u w:val="single"/>
        </w:rPr>
        <w:t>最</w:t>
      </w:r>
      <w:r>
        <w:rPr>
          <w:rFonts w:hint="eastAsia" w:ascii="宋体" w:hAnsi="宋体" w:eastAsia="宋体" w:cs="宋体"/>
          <w:b/>
          <w:color w:val="auto"/>
          <w:sz w:val="21"/>
          <w:szCs w:val="21"/>
          <w:highlight w:val="none"/>
          <w:u w:val="single"/>
          <w:lang w:val="en-US" w:eastAsia="zh-CN"/>
        </w:rPr>
        <w:t>后</w:t>
      </w:r>
      <w:r>
        <w:rPr>
          <w:rFonts w:hint="eastAsia" w:ascii="宋体" w:hAnsi="宋体" w:eastAsia="宋体" w:cs="宋体"/>
          <w:b/>
          <w:color w:val="auto"/>
          <w:sz w:val="21"/>
          <w:szCs w:val="21"/>
          <w:highlight w:val="none"/>
          <w:u w:val="single"/>
        </w:rPr>
        <w:t>响应报价</w:t>
      </w:r>
      <w:r>
        <w:rPr>
          <w:rFonts w:hint="eastAsia" w:ascii="宋体" w:hAnsi="宋体" w:eastAsia="宋体" w:cs="宋体"/>
          <w:b/>
          <w:color w:val="auto"/>
          <w:sz w:val="21"/>
          <w:szCs w:val="21"/>
          <w:highlight w:val="none"/>
          <w:u w:val="single"/>
          <w:lang w:val="en-US" w:eastAsia="zh-CN"/>
        </w:rPr>
        <w:t>高于</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lang w:val="en-US" w:eastAsia="zh-CN"/>
        </w:rPr>
        <w:t xml:space="preserve">7.2 </w:t>
      </w:r>
      <w:r>
        <w:rPr>
          <w:rFonts w:hint="eastAsia" w:ascii="宋体" w:hAnsi="宋体" w:eastAsia="宋体" w:cs="宋体"/>
          <w:b/>
          <w:color w:val="auto"/>
          <w:sz w:val="21"/>
          <w:szCs w:val="21"/>
          <w:highlight w:val="none"/>
          <w:u w:val="single"/>
          <w:lang w:val="en-US" w:eastAsia="zh-CN"/>
        </w:rPr>
        <w:t>供</w:t>
      </w:r>
      <w:r>
        <w:rPr>
          <w:rFonts w:hint="eastAsia" w:ascii="宋体" w:hAnsi="宋体" w:eastAsia="宋体" w:cs="宋体"/>
          <w:b/>
          <w:color w:val="auto"/>
          <w:kern w:val="0"/>
          <w:sz w:val="21"/>
          <w:szCs w:val="21"/>
          <w:highlight w:val="none"/>
          <w:u w:val="single"/>
          <w:lang w:val="en-US" w:eastAsia="zh-CN"/>
        </w:rPr>
        <w:t>应商</w:t>
      </w:r>
      <w:r>
        <w:rPr>
          <w:rFonts w:hint="eastAsia" w:ascii="宋体" w:hAnsi="宋体" w:eastAsia="宋体" w:cs="宋体"/>
          <w:b/>
          <w:color w:val="auto"/>
          <w:kern w:val="0"/>
          <w:sz w:val="21"/>
          <w:szCs w:val="21"/>
          <w:highlight w:val="none"/>
          <w:u w:val="single"/>
        </w:rPr>
        <w:t>以低于企业成本价报价，且</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不能合理说明或不能提供相关证明材料</w:t>
      </w:r>
      <w:r>
        <w:rPr>
          <w:rFonts w:hint="eastAsia" w:ascii="宋体" w:hAnsi="宋体" w:eastAsia="宋体" w:cs="宋体"/>
          <w:b/>
          <w:color w:val="auto"/>
          <w:kern w:val="0"/>
          <w:sz w:val="21"/>
          <w:szCs w:val="21"/>
          <w:highlight w:val="none"/>
          <w:u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pPr>
        <w:pStyle w:val="187"/>
        <w:spacing w:line="360" w:lineRule="auto"/>
        <w:ind w:left="464" w:hanging="464" w:hangingChars="2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或其授权代表签字（或盖私章），或签字人无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7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pPr>
        <w:spacing w:line="360" w:lineRule="auto"/>
        <w:ind w:left="315" w:hanging="315" w:hangingChars="150"/>
        <w:jc w:val="both"/>
        <w:rPr>
          <w:rFonts w:hint="eastAsia" w:ascii="宋体" w:hAnsi="宋体" w:eastAsia="宋体" w:cs="宋体"/>
          <w:color w:val="auto"/>
          <w:sz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pPr>
        <w:pStyle w:val="187"/>
        <w:spacing w:line="360" w:lineRule="auto"/>
        <w:ind w:left="735" w:firstLine="0" w:firstLineChars="0"/>
        <w:rPr>
          <w:rFonts w:hint="eastAsia" w:ascii="宋体" w:hAnsi="宋体" w:eastAsia="宋体" w:cs="宋体"/>
          <w:b/>
          <w:color w:val="auto"/>
          <w:sz w:val="21"/>
          <w:szCs w:val="21"/>
          <w:highlight w:val="none"/>
        </w:rPr>
      </w:pPr>
    </w:p>
    <w:p>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pPr>
        <w:tabs>
          <w:tab w:val="left" w:pos="709"/>
          <w:tab w:val="left" w:pos="851"/>
        </w:tabs>
        <w:autoSpaceDE/>
        <w:autoSpaceDN/>
        <w:snapToGrid w:val="0"/>
        <w:spacing w:line="360" w:lineRule="auto"/>
        <w:ind w:left="0" w:leftChars="0" w:firstLine="478" w:firstLineChars="22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eastAsia="zh-CN"/>
        </w:rPr>
        <w:t>各分项报价</w:t>
      </w:r>
      <w:r>
        <w:rPr>
          <w:rFonts w:hint="eastAsia" w:ascii="宋体" w:hAnsi="宋体" w:eastAsia="宋体" w:cs="宋体"/>
          <w:color w:val="auto"/>
          <w:kern w:val="2"/>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lang w:val="zh-CN"/>
        </w:rPr>
        <w:t>磋商小组按上述修正误差的原则调整的价格对其响应供应商具有约束力。如果响应供应商不接受修正后的价格，其报价将被拒绝</w:t>
      </w:r>
      <w:r>
        <w:rPr>
          <w:rFonts w:hint="eastAsia" w:ascii="宋体" w:hAnsi="宋体" w:cs="宋体"/>
          <w:b/>
          <w:bCs/>
          <w:color w:val="auto"/>
          <w:kern w:val="2"/>
          <w:sz w:val="21"/>
          <w:highlight w:val="none"/>
          <w:lang w:val="zh-CN"/>
        </w:rPr>
        <w:t>，</w:t>
      </w:r>
      <w:r>
        <w:rPr>
          <w:rFonts w:hint="eastAsia" w:ascii="宋体" w:hAnsi="宋体" w:eastAsia="宋体" w:cs="宋体"/>
          <w:b/>
          <w:bCs/>
          <w:color w:val="auto"/>
          <w:kern w:val="2"/>
          <w:sz w:val="21"/>
          <w:highlight w:val="none"/>
          <w:lang w:val="zh-CN"/>
        </w:rPr>
        <w:t>作为无效响应处理。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pPr>
        <w:pStyle w:val="187"/>
        <w:spacing w:line="360" w:lineRule="auto"/>
        <w:ind w:left="735" w:firstLine="0" w:firstLineChars="0"/>
        <w:rPr>
          <w:rFonts w:hint="eastAsia" w:ascii="宋体" w:hAnsi="宋体" w:eastAsia="宋体" w:cs="宋体"/>
          <w:color w:val="auto"/>
          <w:kern w:val="2"/>
          <w:sz w:val="21"/>
          <w:szCs w:val="21"/>
          <w:highlight w:val="none"/>
        </w:rPr>
      </w:pPr>
    </w:p>
    <w:p>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分</w:t>
            </w:r>
          </w:p>
        </w:tc>
      </w:tr>
    </w:tbl>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12.1商务：</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69"/>
        <w:gridCol w:w="929"/>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供应商202</w:t>
            </w: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lang w:val="zh-CN"/>
              </w:rPr>
              <w:t>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zh-CN"/>
              </w:rPr>
              <w:t>年三个年度，每具有1个年度盈利的得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zh-CN"/>
              </w:rPr>
              <w:t>分，满分</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zh-CN"/>
              </w:rPr>
              <w:t>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注：盈利指净利润为正数（非零、非负数），供应商应提供202</w:t>
            </w:r>
            <w:r>
              <w:rPr>
                <w:rFonts w:hint="eastAsia" w:ascii="宋体" w:hAnsi="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zh-CN"/>
              </w:rPr>
              <w:t>年、202</w:t>
            </w:r>
            <w:r>
              <w:rPr>
                <w:rFonts w:hint="eastAsia" w:ascii="宋体" w:hAnsi="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lang w:val="zh-CN"/>
              </w:rPr>
              <w:t>年、202</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62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00"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以来具有资产审计服务业绩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合同签订日期时间为2022年1月1日或以后）</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每项得2分，</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满分6</w:t>
            </w:r>
            <w:r>
              <w:rPr>
                <w:rFonts w:hint="eastAsia" w:ascii="宋体" w:hAnsi="宋体" w:eastAsia="宋体" w:cs="宋体"/>
                <w:color w:val="auto"/>
                <w:sz w:val="21"/>
                <w:szCs w:val="21"/>
                <w:highlight w:val="none"/>
              </w:rPr>
              <w:t>分；</w:t>
            </w:r>
          </w:p>
          <w:p>
            <w:pPr>
              <w:pStyle w:val="32"/>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以来具有企业清算审计服务业绩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合同签订日期时间为2022年1月1日或以后）</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每项得2分，</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32"/>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以来具有财税咨询服务业绩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合同签订日期时间为2022年1月1日或以后）</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每项得2分，</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u w:val="none"/>
                <w:lang w:val="en-US" w:eastAsia="zh-CN"/>
              </w:rPr>
              <w:t>业绩必须附合同复印件（合同服务提供方为供应商）。合同必须能反映评分条件（</w:t>
            </w:r>
            <w:r>
              <w:rPr>
                <w:rFonts w:hint="eastAsia" w:ascii="宋体" w:hAnsi="宋体" w:eastAsia="宋体" w:cs="宋体"/>
                <w:b/>
                <w:bCs/>
                <w:color w:val="auto"/>
                <w:sz w:val="21"/>
                <w:szCs w:val="21"/>
                <w:highlight w:val="none"/>
                <w:lang w:val="en-US" w:eastAsia="zh-CN"/>
              </w:rPr>
              <w:t>合同签订时间、服务内容</w:t>
            </w:r>
            <w:r>
              <w:rPr>
                <w:rFonts w:hint="eastAsia" w:ascii="宋体" w:hAnsi="宋体" w:eastAsia="宋体" w:cs="宋体"/>
                <w:b/>
                <w:bCs/>
                <w:color w:val="auto"/>
                <w:sz w:val="21"/>
                <w:szCs w:val="21"/>
                <w:highlight w:val="none"/>
                <w:u w:val="none"/>
                <w:lang w:val="en-US" w:eastAsia="zh-CN"/>
              </w:rPr>
              <w:t>），合同服务内容必须为资产审计服务或清算审计服务或财税咨询服务（以上服务内容可包括在同一份合同内），否则，需同时提供服务委托人（业主）出具的书面补充说明文件复印件作为辅助证明（补充情况说明文件复印件能显示委托人公章），否则不得分。</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（2）若同一份合同业绩中同时包含资产审计服务、企业清算审计服务和财税咨询服务的仅按一个业绩计算。</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（3）业绩不重复计分，由供应商自行放入对应的评分子项；</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本项目人员情况</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（1）拟投入本项目的</w:t>
            </w:r>
            <w:r>
              <w:rPr>
                <w:rFonts w:hint="eastAsia" w:ascii="宋体" w:hAnsi="宋体" w:cs="宋体"/>
                <w:b/>
                <w:bCs/>
                <w:color w:val="auto"/>
                <w:sz w:val="21"/>
                <w:szCs w:val="21"/>
                <w:highlight w:val="none"/>
                <w:lang w:val="en-US" w:eastAsia="zh-CN"/>
              </w:rPr>
              <w:t>审计类</w:t>
            </w:r>
            <w:r>
              <w:rPr>
                <w:rFonts w:hint="eastAsia" w:ascii="宋体" w:hAnsi="宋体" w:eastAsia="宋体" w:cs="宋体"/>
                <w:b/>
                <w:bCs/>
                <w:color w:val="auto"/>
                <w:sz w:val="21"/>
                <w:szCs w:val="21"/>
                <w:highlight w:val="none"/>
                <w:lang w:val="en-US" w:eastAsia="zh-CN"/>
              </w:rPr>
              <w:t>负责人（本小项最高得</w:t>
            </w:r>
            <w:r>
              <w:rPr>
                <w:rFonts w:hint="default"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w:t>
            </w:r>
            <w:r>
              <w:rPr>
                <w:rFonts w:hint="eastAsia" w:ascii="宋体" w:hAnsi="宋体" w:cs="宋体"/>
                <w:color w:val="auto"/>
                <w:sz w:val="21"/>
                <w:szCs w:val="21"/>
                <w:highlight w:val="none"/>
                <w:lang w:val="en-US" w:eastAsia="zh-CN"/>
              </w:rPr>
              <w:t>财政部门或中国注册会计师协会</w:t>
            </w:r>
            <w:r>
              <w:rPr>
                <w:rFonts w:hint="eastAsia" w:ascii="宋体" w:hAnsi="宋体" w:eastAsia="宋体" w:cs="宋体"/>
                <w:color w:val="auto"/>
                <w:sz w:val="21"/>
                <w:szCs w:val="21"/>
                <w:highlight w:val="none"/>
                <w:lang w:val="en-US" w:eastAsia="zh-CN"/>
              </w:rPr>
              <w:t>颁发的执业证书</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职业资格</w:t>
            </w:r>
            <w:r>
              <w:rPr>
                <w:rFonts w:hint="eastAsia" w:ascii="宋体" w:hAnsi="宋体" w:eastAsia="宋体" w:cs="宋体"/>
                <w:i w:val="0"/>
                <w:iCs w:val="0"/>
                <w:caps w:val="0"/>
                <w:color w:val="auto"/>
                <w:spacing w:val="0"/>
                <w:sz w:val="21"/>
                <w:szCs w:val="21"/>
                <w:highlight w:val="none"/>
                <w:shd w:val="clear"/>
                <w:lang w:val="en-US" w:eastAsia="zh-CN"/>
              </w:rPr>
              <w:t>须包含</w:t>
            </w:r>
            <w:r>
              <w:rPr>
                <w:rFonts w:hint="eastAsia" w:ascii="宋体" w:hAnsi="宋体" w:cs="宋体"/>
                <w:i w:val="0"/>
                <w:iCs w:val="0"/>
                <w:caps w:val="0"/>
                <w:color w:val="auto"/>
                <w:spacing w:val="0"/>
                <w:sz w:val="21"/>
                <w:szCs w:val="21"/>
                <w:highlight w:val="none"/>
                <w:shd w:val="clear"/>
                <w:lang w:val="en-US" w:eastAsia="zh-CN"/>
              </w:rPr>
              <w:t>注册会计师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且执业资格在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年（或以上）的，得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bCs/>
                <w:color w:val="auto"/>
                <w:kern w:val="2"/>
                <w:sz w:val="21"/>
                <w:szCs w:val="21"/>
                <w:highlight w:val="none"/>
                <w:lang w:val="en-US" w:eastAsia="zh-CN" w:bidi="ar-SA"/>
              </w:rPr>
              <w:t>2022年以来（</w:t>
            </w:r>
            <w:r>
              <w:rPr>
                <w:rFonts w:hint="eastAsia" w:ascii="宋体" w:hAnsi="宋体" w:cs="宋体"/>
                <w:bCs/>
                <w:color w:val="auto"/>
                <w:kern w:val="2"/>
                <w:sz w:val="21"/>
                <w:szCs w:val="21"/>
                <w:highlight w:val="none"/>
                <w:lang w:val="en-US" w:eastAsia="zh-CN" w:bidi="ar-SA"/>
              </w:rPr>
              <w:t>合同签订</w:t>
            </w:r>
            <w:r>
              <w:rPr>
                <w:rFonts w:hint="eastAsia" w:ascii="宋体" w:hAnsi="宋体" w:eastAsia="宋体" w:cs="宋体"/>
                <w:bCs/>
                <w:color w:val="auto"/>
                <w:kern w:val="2"/>
                <w:sz w:val="21"/>
                <w:szCs w:val="21"/>
                <w:highlight w:val="none"/>
                <w:lang w:val="en-US" w:eastAsia="zh-CN" w:bidi="ar-SA"/>
              </w:rPr>
              <w:t>时间为2022年1月1日或以后）完成过</w:t>
            </w:r>
            <w:r>
              <w:rPr>
                <w:rFonts w:hint="eastAsia" w:ascii="宋体" w:hAnsi="宋体" w:cs="宋体"/>
                <w:bCs/>
                <w:color w:val="auto"/>
                <w:kern w:val="2"/>
                <w:sz w:val="21"/>
                <w:szCs w:val="21"/>
                <w:highlight w:val="none"/>
                <w:lang w:val="en-US" w:eastAsia="zh-CN" w:bidi="ar-SA"/>
              </w:rPr>
              <w:t>a.</w:t>
            </w:r>
            <w:r>
              <w:rPr>
                <w:rFonts w:hint="eastAsia" w:ascii="宋体" w:hAnsi="宋体" w:eastAsia="宋体" w:cs="宋体"/>
                <w:bCs/>
                <w:color w:val="auto"/>
                <w:kern w:val="2"/>
                <w:sz w:val="21"/>
                <w:szCs w:val="21"/>
                <w:highlight w:val="none"/>
                <w:lang w:val="en-US" w:eastAsia="zh-CN" w:bidi="ar-SA"/>
              </w:rPr>
              <w:t>资产审计</w:t>
            </w:r>
            <w:r>
              <w:rPr>
                <w:rFonts w:hint="eastAsia" w:ascii="宋体" w:hAnsi="宋体" w:cs="宋体"/>
                <w:bCs/>
                <w:color w:val="auto"/>
                <w:kern w:val="2"/>
                <w:sz w:val="21"/>
                <w:szCs w:val="21"/>
                <w:highlight w:val="none"/>
                <w:lang w:val="en-US" w:eastAsia="zh-CN" w:bidi="ar-SA"/>
              </w:rPr>
              <w:t>类业绩，</w:t>
            </w:r>
            <w:r>
              <w:rPr>
                <w:rFonts w:hint="eastAsia" w:ascii="宋体" w:hAnsi="宋体" w:eastAsia="宋体" w:cs="宋体"/>
                <w:bCs/>
                <w:color w:val="auto"/>
                <w:kern w:val="2"/>
                <w:sz w:val="21"/>
                <w:szCs w:val="21"/>
                <w:highlight w:val="none"/>
                <w:lang w:val="en-US" w:eastAsia="zh-CN" w:bidi="ar-SA"/>
              </w:rPr>
              <w:t>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分，本项满分2分</w:t>
            </w:r>
            <w:r>
              <w:rPr>
                <w:rFonts w:hint="eastAsia" w:ascii="宋体" w:hAnsi="宋体" w:cs="宋体"/>
                <w:bCs/>
                <w:color w:val="auto"/>
                <w:kern w:val="2"/>
                <w:sz w:val="21"/>
                <w:szCs w:val="21"/>
                <w:highlight w:val="none"/>
                <w:lang w:val="en-US" w:eastAsia="zh-CN" w:bidi="ar-SA"/>
              </w:rPr>
              <w:t>；b.</w:t>
            </w:r>
            <w:r>
              <w:rPr>
                <w:rFonts w:hint="eastAsia" w:ascii="宋体" w:hAnsi="宋体" w:eastAsia="宋体" w:cs="宋体"/>
                <w:bCs/>
                <w:color w:val="auto"/>
                <w:kern w:val="2"/>
                <w:sz w:val="21"/>
                <w:szCs w:val="21"/>
                <w:highlight w:val="none"/>
                <w:lang w:val="en-US" w:eastAsia="zh-CN" w:bidi="ar-SA"/>
              </w:rPr>
              <w:t>清算审计类服务业绩</w:t>
            </w:r>
            <w:r>
              <w:rPr>
                <w:rFonts w:hint="eastAsia" w:ascii="宋体" w:hAnsi="宋体" w:cs="宋体"/>
                <w:bCs/>
                <w:color w:val="auto"/>
                <w:kern w:val="2"/>
                <w:sz w:val="21"/>
                <w:szCs w:val="21"/>
                <w:highlight w:val="none"/>
                <w:lang w:val="en-US" w:eastAsia="zh-CN" w:bidi="ar-SA"/>
              </w:rPr>
              <w:t>的，</w:t>
            </w:r>
            <w:r>
              <w:rPr>
                <w:rFonts w:hint="eastAsia" w:ascii="宋体" w:hAnsi="宋体" w:eastAsia="宋体" w:cs="宋体"/>
                <w:bCs/>
                <w:color w:val="auto"/>
                <w:kern w:val="2"/>
                <w:sz w:val="21"/>
                <w:szCs w:val="21"/>
                <w:highlight w:val="none"/>
                <w:lang w:val="en-US" w:eastAsia="zh-CN" w:bidi="ar-SA"/>
              </w:rPr>
              <w:t>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分，本项满分2分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color w:val="auto"/>
                <w:highlight w:val="none"/>
                <w:lang w:eastAsia="zh-CN"/>
              </w:rPr>
            </w:pPr>
            <w:r>
              <w:rPr>
                <w:rFonts w:hint="eastAsia" w:ascii="宋体" w:hAnsi="宋体" w:eastAsia="宋体" w:cs="宋体"/>
                <w:b/>
                <w:bCs/>
                <w:color w:val="auto"/>
                <w:sz w:val="21"/>
                <w:szCs w:val="21"/>
                <w:highlight w:val="none"/>
                <w:lang w:val="en-US" w:eastAsia="zh-CN"/>
              </w:rPr>
              <w:t>（2）对拟投入本项目的</w:t>
            </w:r>
            <w:r>
              <w:rPr>
                <w:rFonts w:hint="eastAsia" w:ascii="宋体" w:hAnsi="宋体" w:cs="宋体"/>
                <w:b/>
                <w:bCs/>
                <w:color w:val="auto"/>
                <w:sz w:val="21"/>
                <w:szCs w:val="21"/>
                <w:highlight w:val="none"/>
                <w:lang w:val="en-US" w:eastAsia="zh-CN"/>
              </w:rPr>
              <w:t>财税咨询类</w:t>
            </w:r>
            <w:r>
              <w:rPr>
                <w:rFonts w:hint="eastAsia" w:ascii="宋体" w:hAnsi="宋体" w:eastAsia="宋体" w:cs="宋体"/>
                <w:b/>
                <w:bCs/>
                <w:color w:val="auto"/>
                <w:sz w:val="21"/>
                <w:szCs w:val="21"/>
                <w:highlight w:val="none"/>
                <w:lang w:val="en-US" w:eastAsia="zh-CN"/>
              </w:rPr>
              <w:t>负责人（本小项最高得</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分）</w:t>
            </w:r>
            <w:r>
              <w:rPr>
                <w:rFonts w:hint="eastAsia"/>
                <w:color w:val="auto"/>
                <w:highlight w:val="none"/>
                <w:lang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①具有税务总局</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人力资源社会保障部</w:t>
            </w:r>
            <w:r>
              <w:rPr>
                <w:rFonts w:hint="eastAsia" w:ascii="宋体" w:hAnsi="宋体" w:cs="宋体"/>
                <w:color w:val="auto"/>
                <w:sz w:val="21"/>
                <w:szCs w:val="21"/>
                <w:highlight w:val="none"/>
                <w:lang w:val="en-US" w:eastAsia="zh-CN"/>
              </w:rPr>
              <w:t>或中国注册税务师协会</w:t>
            </w:r>
            <w:r>
              <w:rPr>
                <w:rFonts w:hint="eastAsia" w:ascii="宋体" w:hAnsi="宋体" w:eastAsia="宋体" w:cs="宋体"/>
                <w:color w:val="auto"/>
                <w:sz w:val="21"/>
                <w:szCs w:val="21"/>
                <w:highlight w:val="none"/>
                <w:lang w:val="en-US" w:eastAsia="zh-CN"/>
              </w:rPr>
              <w:t>颁发的执业证书</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职业资格</w:t>
            </w:r>
            <w:r>
              <w:rPr>
                <w:rFonts w:hint="eastAsia" w:ascii="宋体" w:hAnsi="宋体" w:eastAsia="宋体" w:cs="宋体"/>
                <w:i w:val="0"/>
                <w:iCs w:val="0"/>
                <w:caps w:val="0"/>
                <w:color w:val="auto"/>
                <w:spacing w:val="0"/>
                <w:sz w:val="21"/>
                <w:szCs w:val="21"/>
                <w:highlight w:val="none"/>
                <w:shd w:val="clear"/>
                <w:lang w:val="en-US" w:eastAsia="zh-CN"/>
              </w:rPr>
              <w:t>须包含</w:t>
            </w:r>
            <w:r>
              <w:rPr>
                <w:rFonts w:hint="eastAsia" w:ascii="宋体" w:hAnsi="宋体" w:cs="宋体"/>
                <w:color w:val="auto"/>
                <w:sz w:val="21"/>
                <w:szCs w:val="21"/>
                <w:highlight w:val="none"/>
                <w:lang w:val="en-US" w:eastAsia="zh-CN"/>
              </w:rPr>
              <w:t>税务师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且执业资格在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年（或以上）的，得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bCs/>
                <w:color w:val="auto"/>
                <w:kern w:val="2"/>
                <w:sz w:val="21"/>
                <w:szCs w:val="21"/>
                <w:highlight w:val="none"/>
                <w:lang w:val="en-US" w:eastAsia="zh-CN" w:bidi="ar-SA"/>
              </w:rPr>
              <w:t>2022年以来（</w:t>
            </w:r>
            <w:r>
              <w:rPr>
                <w:rFonts w:hint="eastAsia" w:ascii="宋体" w:hAnsi="宋体" w:cs="宋体"/>
                <w:bCs/>
                <w:color w:val="auto"/>
                <w:kern w:val="2"/>
                <w:sz w:val="21"/>
                <w:szCs w:val="21"/>
                <w:highlight w:val="none"/>
                <w:lang w:val="en-US" w:eastAsia="zh-CN" w:bidi="ar-SA"/>
              </w:rPr>
              <w:t>合同签订</w:t>
            </w:r>
            <w:r>
              <w:rPr>
                <w:rFonts w:hint="eastAsia" w:ascii="宋体" w:hAnsi="宋体" w:eastAsia="宋体" w:cs="宋体"/>
                <w:bCs/>
                <w:color w:val="auto"/>
                <w:kern w:val="2"/>
                <w:sz w:val="21"/>
                <w:szCs w:val="21"/>
                <w:highlight w:val="none"/>
                <w:lang w:val="en-US" w:eastAsia="zh-CN" w:bidi="ar-SA"/>
              </w:rPr>
              <w:t>时间为2022年1月1日或以后）完成过</w:t>
            </w:r>
            <w:r>
              <w:rPr>
                <w:rFonts w:hint="eastAsia" w:ascii="宋体" w:hAnsi="宋体" w:cs="宋体"/>
                <w:bCs/>
                <w:color w:val="auto"/>
                <w:kern w:val="2"/>
                <w:sz w:val="21"/>
                <w:szCs w:val="21"/>
                <w:highlight w:val="none"/>
                <w:lang w:val="en-US" w:eastAsia="zh-CN" w:bidi="ar-SA"/>
              </w:rPr>
              <w:t>财税咨询服务类业绩，</w:t>
            </w:r>
            <w:r>
              <w:rPr>
                <w:rFonts w:hint="eastAsia" w:ascii="宋体" w:hAnsi="宋体" w:eastAsia="宋体" w:cs="宋体"/>
                <w:bCs/>
                <w:color w:val="auto"/>
                <w:kern w:val="2"/>
                <w:sz w:val="21"/>
                <w:szCs w:val="21"/>
                <w:highlight w:val="none"/>
                <w:lang w:val="en-US" w:eastAsia="zh-CN" w:bidi="ar-SA"/>
              </w:rPr>
              <w:t>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分，本项满分2分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5"/>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根据供应商拟投入本项目的服务团队成员（</w:t>
            </w:r>
            <w:r>
              <w:rPr>
                <w:rFonts w:hint="eastAsia" w:ascii="宋体" w:hAnsi="宋体" w:cs="宋体"/>
                <w:b/>
                <w:bCs/>
                <w:color w:val="auto"/>
                <w:sz w:val="21"/>
                <w:szCs w:val="21"/>
                <w:highlight w:val="none"/>
                <w:lang w:val="en-US" w:eastAsia="zh-CN"/>
              </w:rPr>
              <w:t>前述两项负责人</w:t>
            </w:r>
            <w:r>
              <w:rPr>
                <w:rFonts w:hint="eastAsia" w:ascii="宋体" w:hAnsi="宋体" w:eastAsia="宋体" w:cs="宋体"/>
                <w:b/>
                <w:bCs/>
                <w:color w:val="auto"/>
                <w:sz w:val="21"/>
                <w:szCs w:val="21"/>
                <w:highlight w:val="none"/>
                <w:lang w:val="en-US" w:eastAsia="zh-CN"/>
              </w:rPr>
              <w:t>除外）的执业经验进行评审：</w:t>
            </w:r>
          </w:p>
          <w:p>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审计服务</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年（含）以上的，每人得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财税服务</w:t>
            </w:r>
            <w:r>
              <w:rPr>
                <w:rFonts w:hint="eastAsia" w:ascii="宋体" w:hAnsi="宋体" w:eastAsia="宋体" w:cs="宋体"/>
                <w:color w:val="auto"/>
                <w:sz w:val="21"/>
                <w:szCs w:val="21"/>
                <w:highlight w:val="none"/>
                <w:lang w:val="en-US" w:eastAsia="zh-CN"/>
              </w:rPr>
              <w:t>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年（含）以上的，每人得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分；本项满分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w:t>
            </w:r>
          </w:p>
          <w:p>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①以上所有人员须提供人员身份证复印件、职业资格</w:t>
            </w:r>
            <w:r>
              <w:rPr>
                <w:rFonts w:hint="eastAsia" w:ascii="宋体" w:hAnsi="宋体" w:cs="宋体"/>
                <w:b/>
                <w:bCs w:val="0"/>
                <w:color w:val="auto"/>
                <w:kern w:val="2"/>
                <w:sz w:val="21"/>
                <w:szCs w:val="21"/>
                <w:highlight w:val="none"/>
                <w:lang w:val="en-US" w:eastAsia="zh-CN" w:bidi="ar-SA"/>
              </w:rPr>
              <w:t>（职称）</w:t>
            </w:r>
            <w:r>
              <w:rPr>
                <w:rFonts w:hint="eastAsia" w:ascii="宋体" w:hAnsi="宋体" w:eastAsia="宋体" w:cs="宋体"/>
                <w:b/>
                <w:bCs w:val="0"/>
                <w:color w:val="auto"/>
                <w:kern w:val="2"/>
                <w:sz w:val="21"/>
                <w:szCs w:val="21"/>
                <w:highlight w:val="none"/>
                <w:lang w:val="en-US" w:eastAsia="zh-CN" w:bidi="ar-SA"/>
              </w:rPr>
              <w:t>证书复印件、</w:t>
            </w:r>
            <w:r>
              <w:rPr>
                <w:rFonts w:hint="eastAsia" w:ascii="宋体" w:hAnsi="宋体" w:eastAsia="宋体" w:cs="宋体"/>
                <w:b/>
                <w:bCs w:val="0"/>
                <w:color w:val="auto"/>
                <w:kern w:val="0"/>
                <w:sz w:val="21"/>
                <w:szCs w:val="21"/>
                <w:highlight w:val="none"/>
              </w:rPr>
              <w:t>人力资源和社会保障部门（或税务部门）出具的</w:t>
            </w:r>
            <w:r>
              <w:rPr>
                <w:rFonts w:hint="eastAsia" w:ascii="宋体" w:hAnsi="宋体" w:eastAsia="宋体" w:cs="宋体"/>
                <w:b/>
                <w:bCs w:val="0"/>
                <w:color w:val="auto"/>
                <w:kern w:val="0"/>
                <w:sz w:val="21"/>
                <w:szCs w:val="21"/>
                <w:highlight w:val="none"/>
                <w:lang w:val="en-US" w:eastAsia="zh-CN"/>
              </w:rPr>
              <w:t>供应商</w:t>
            </w:r>
            <w:r>
              <w:rPr>
                <w:rFonts w:hint="eastAsia" w:ascii="宋体" w:hAnsi="宋体" w:cs="宋体"/>
                <w:b/>
                <w:bCs w:val="0"/>
                <w:color w:val="auto"/>
                <w:kern w:val="0"/>
                <w:sz w:val="21"/>
                <w:szCs w:val="21"/>
                <w:highlight w:val="none"/>
                <w:lang w:eastAsia="zh-CN"/>
              </w:rPr>
              <w:t>2025年</w:t>
            </w:r>
            <w:r>
              <w:rPr>
                <w:rFonts w:hint="eastAsia" w:ascii="宋体" w:hAnsi="宋体" w:cs="宋体"/>
                <w:b/>
                <w:bCs w:val="0"/>
                <w:color w:val="auto"/>
                <w:kern w:val="0"/>
                <w:sz w:val="21"/>
                <w:szCs w:val="21"/>
                <w:highlight w:val="none"/>
                <w:lang w:val="en-US" w:eastAsia="zh-CN"/>
              </w:rPr>
              <w:t>4</w:t>
            </w:r>
            <w:r>
              <w:rPr>
                <w:rFonts w:hint="eastAsia" w:ascii="宋体" w:hAnsi="宋体" w:cs="宋体"/>
                <w:b/>
                <w:bCs w:val="0"/>
                <w:color w:val="auto"/>
                <w:kern w:val="0"/>
                <w:sz w:val="21"/>
                <w:szCs w:val="21"/>
                <w:highlight w:val="none"/>
                <w:lang w:eastAsia="zh-CN"/>
              </w:rPr>
              <w:t>月、2025年</w:t>
            </w:r>
            <w:r>
              <w:rPr>
                <w:rFonts w:hint="eastAsia" w:ascii="宋体" w:hAnsi="宋体" w:cs="宋体"/>
                <w:b/>
                <w:bCs w:val="0"/>
                <w:color w:val="auto"/>
                <w:kern w:val="0"/>
                <w:sz w:val="21"/>
                <w:szCs w:val="21"/>
                <w:highlight w:val="none"/>
                <w:lang w:val="en-US" w:eastAsia="zh-CN"/>
              </w:rPr>
              <w:t>5</w:t>
            </w:r>
            <w:r>
              <w:rPr>
                <w:rFonts w:hint="eastAsia" w:ascii="宋体" w:hAnsi="宋体" w:cs="宋体"/>
                <w:b/>
                <w:bCs w:val="0"/>
                <w:color w:val="auto"/>
                <w:kern w:val="0"/>
                <w:sz w:val="21"/>
                <w:szCs w:val="21"/>
                <w:highlight w:val="none"/>
                <w:lang w:eastAsia="zh-CN"/>
              </w:rPr>
              <w:t>月、2025年</w:t>
            </w:r>
            <w:r>
              <w:rPr>
                <w:rFonts w:hint="eastAsia" w:ascii="宋体" w:hAnsi="宋体" w:cs="宋体"/>
                <w:b/>
                <w:bCs w:val="0"/>
                <w:color w:val="auto"/>
                <w:kern w:val="0"/>
                <w:sz w:val="21"/>
                <w:szCs w:val="21"/>
                <w:highlight w:val="none"/>
                <w:lang w:val="en-US" w:eastAsia="zh-CN"/>
              </w:rPr>
              <w:t>6</w:t>
            </w:r>
            <w:r>
              <w:rPr>
                <w:rFonts w:hint="eastAsia" w:ascii="宋体" w:hAnsi="宋体" w:cs="宋体"/>
                <w:b/>
                <w:bCs w:val="0"/>
                <w:color w:val="auto"/>
                <w:kern w:val="0"/>
                <w:sz w:val="21"/>
                <w:szCs w:val="21"/>
                <w:highlight w:val="none"/>
                <w:lang w:eastAsia="zh-CN"/>
              </w:rPr>
              <w:t>月</w:t>
            </w:r>
            <w:r>
              <w:rPr>
                <w:rFonts w:hint="eastAsia" w:ascii="宋体" w:hAnsi="宋体" w:eastAsia="宋体" w:cs="宋体"/>
                <w:b/>
                <w:bCs w:val="0"/>
                <w:color w:val="auto"/>
                <w:kern w:val="0"/>
                <w:sz w:val="21"/>
                <w:szCs w:val="21"/>
                <w:highlight w:val="none"/>
                <w:lang w:val="en-US" w:eastAsia="zh-CN"/>
              </w:rPr>
              <w:t>（共三个月）</w:t>
            </w:r>
            <w:r>
              <w:rPr>
                <w:rFonts w:hint="eastAsia" w:ascii="宋体" w:hAnsi="宋体" w:eastAsia="宋体" w:cs="宋体"/>
                <w:b/>
                <w:bCs w:val="0"/>
                <w:color w:val="auto"/>
                <w:kern w:val="0"/>
                <w:sz w:val="21"/>
                <w:szCs w:val="21"/>
                <w:highlight w:val="none"/>
              </w:rPr>
              <w:t>为其缴纳的社保证明复印件</w:t>
            </w:r>
            <w:r>
              <w:rPr>
                <w:rFonts w:hint="eastAsia" w:ascii="宋体" w:hAnsi="宋体" w:eastAsia="宋体" w:cs="宋体"/>
                <w:b/>
                <w:bCs w:val="0"/>
                <w:color w:val="auto"/>
                <w:kern w:val="0"/>
                <w:sz w:val="21"/>
                <w:szCs w:val="21"/>
                <w:highlight w:val="none"/>
                <w:lang w:eastAsia="zh-CN"/>
              </w:rPr>
              <w:t>；</w:t>
            </w:r>
          </w:p>
          <w:p>
            <w:pPr>
              <w:keepNext w:val="0"/>
              <w:keepLines w:val="0"/>
              <w:pageBreakBefore w:val="0"/>
              <w:widowControl w:val="0"/>
              <w:numPr>
                <w:ilvl w:val="0"/>
                <w:numId w:val="0"/>
              </w:numPr>
              <w:suppressLineNumbers w:val="0"/>
              <w:kinsoku/>
              <w:wordWrap w:val="0"/>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rPr>
              <w:t>②执业年限以</w:t>
            </w:r>
            <w:r>
              <w:rPr>
                <w:rFonts w:hint="eastAsia" w:ascii="宋体" w:hAnsi="宋体" w:cs="宋体"/>
                <w:b/>
                <w:color w:val="auto"/>
                <w:kern w:val="2"/>
                <w:sz w:val="21"/>
                <w:szCs w:val="21"/>
                <w:highlight w:val="none"/>
                <w:lang w:val="en-US" w:eastAsia="zh-CN"/>
              </w:rPr>
              <w:t>注册会计师及税务师执业资格证上的发证日期为准，若因资格证书办理变更而上交主管部门等原因无法提供的，可提供执业资格证及注册地注册协会出具的相关证明</w:t>
            </w:r>
            <w:r>
              <w:rPr>
                <w:rFonts w:hint="eastAsia" w:ascii="宋体" w:hAnsi="宋体" w:eastAsia="宋体" w:cs="宋体"/>
                <w:b/>
                <w:bCs w:val="0"/>
                <w:color w:val="auto"/>
                <w:kern w:val="2"/>
                <w:sz w:val="21"/>
                <w:szCs w:val="21"/>
                <w:highlight w:val="none"/>
                <w:lang w:val="en-US" w:eastAsia="zh-CN" w:bidi="ar-SA"/>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w:t>
            </w:r>
            <w:r>
              <w:rPr>
                <w:rFonts w:hint="eastAsia" w:ascii="宋体" w:hAnsi="宋体" w:cs="宋体"/>
                <w:b/>
                <w:bCs/>
                <w:color w:val="auto"/>
                <w:sz w:val="21"/>
                <w:szCs w:val="21"/>
                <w:highlight w:val="none"/>
                <w:lang w:val="en-US" w:eastAsia="zh-CN"/>
              </w:rPr>
              <w:t>审计类</w:t>
            </w:r>
            <w:r>
              <w:rPr>
                <w:rFonts w:hint="eastAsia" w:ascii="宋体" w:hAnsi="宋体" w:eastAsia="宋体" w:cs="宋体"/>
                <w:b/>
                <w:bCs w:val="0"/>
                <w:color w:val="auto"/>
                <w:kern w:val="2"/>
                <w:sz w:val="21"/>
                <w:szCs w:val="21"/>
                <w:highlight w:val="none"/>
                <w:lang w:val="en-US" w:eastAsia="zh-CN" w:bidi="ar-SA"/>
              </w:rPr>
              <w:t>负责人资产审计、清算审计类服务附以下证明材料：</w:t>
            </w:r>
            <w:r>
              <w:rPr>
                <w:rFonts w:hint="eastAsia" w:ascii="宋体" w:hAnsi="宋体" w:eastAsia="宋体" w:cs="宋体"/>
                <w:b/>
                <w:color w:val="auto"/>
                <w:kern w:val="2"/>
                <w:sz w:val="21"/>
                <w:szCs w:val="21"/>
                <w:highlight w:val="none"/>
                <w:lang w:val="en-US" w:eastAsia="zh-CN"/>
              </w:rPr>
              <w:t>1.</w:t>
            </w:r>
            <w:r>
              <w:rPr>
                <w:rFonts w:hint="eastAsia" w:ascii="宋体" w:hAnsi="宋体" w:eastAsia="宋体" w:cs="宋体"/>
                <w:b/>
                <w:color w:val="auto"/>
                <w:kern w:val="2"/>
                <w:sz w:val="21"/>
                <w:szCs w:val="21"/>
                <w:highlight w:val="none"/>
              </w:rPr>
              <w:t>项目合同</w:t>
            </w:r>
            <w:r>
              <w:rPr>
                <w:rFonts w:hint="eastAsia" w:ascii="宋体" w:hAnsi="宋体" w:eastAsia="宋体" w:cs="宋体"/>
                <w:b/>
                <w:color w:val="auto"/>
                <w:kern w:val="2"/>
                <w:sz w:val="21"/>
                <w:szCs w:val="21"/>
                <w:highlight w:val="none"/>
                <w:lang w:val="en-US" w:eastAsia="zh-CN"/>
              </w:rPr>
              <w:t>复印件</w:t>
            </w:r>
            <w:r>
              <w:rPr>
                <w:rFonts w:hint="eastAsia" w:ascii="宋体" w:hAnsi="宋体" w:eastAsia="宋体" w:cs="宋体"/>
                <w:b/>
                <w:color w:val="auto"/>
                <w:kern w:val="2"/>
                <w:sz w:val="21"/>
                <w:szCs w:val="21"/>
                <w:highlight w:val="none"/>
                <w:lang w:eastAsia="zh-CN"/>
              </w:rPr>
              <w:t>；</w:t>
            </w:r>
            <w:r>
              <w:rPr>
                <w:rFonts w:hint="eastAsia" w:ascii="宋体" w:hAnsi="宋体" w:eastAsia="宋体" w:cs="宋体"/>
                <w:b/>
                <w:color w:val="auto"/>
                <w:kern w:val="2"/>
                <w:sz w:val="21"/>
                <w:szCs w:val="21"/>
                <w:highlight w:val="none"/>
                <w:lang w:val="en-US" w:eastAsia="zh-CN"/>
              </w:rPr>
              <w:t>2.</w:t>
            </w:r>
            <w:r>
              <w:rPr>
                <w:rFonts w:hint="eastAsia" w:ascii="宋体" w:hAnsi="宋体" w:eastAsia="宋体" w:cs="宋体"/>
                <w:b/>
                <w:color w:val="auto"/>
                <w:kern w:val="2"/>
                <w:sz w:val="21"/>
                <w:szCs w:val="21"/>
                <w:highlight w:val="none"/>
              </w:rPr>
              <w:t>相关报告封面</w:t>
            </w:r>
            <w:r>
              <w:rPr>
                <w:rFonts w:hint="eastAsia" w:ascii="宋体" w:hAnsi="宋体" w:eastAsia="宋体" w:cs="宋体"/>
                <w:b/>
                <w:color w:val="auto"/>
                <w:kern w:val="2"/>
                <w:sz w:val="21"/>
                <w:szCs w:val="21"/>
                <w:highlight w:val="none"/>
                <w:lang w:eastAsia="zh-CN"/>
              </w:rPr>
              <w:t>；</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项目负责人出具</w:t>
            </w:r>
            <w:r>
              <w:rPr>
                <w:rFonts w:hint="eastAsia" w:ascii="宋体" w:hAnsi="宋体" w:eastAsia="宋体" w:cs="宋体"/>
                <w:b/>
                <w:bCs/>
                <w:color w:val="auto"/>
                <w:kern w:val="2"/>
                <w:sz w:val="21"/>
                <w:szCs w:val="21"/>
                <w:highlight w:val="none"/>
                <w:lang w:val="en-US" w:eastAsia="zh-CN"/>
              </w:rPr>
              <w:t>成果文件</w:t>
            </w:r>
            <w:r>
              <w:rPr>
                <w:rFonts w:hint="eastAsia" w:ascii="宋体" w:hAnsi="宋体" w:eastAsia="宋体" w:cs="宋体"/>
                <w:b/>
                <w:bCs/>
                <w:color w:val="auto"/>
                <w:kern w:val="2"/>
                <w:sz w:val="21"/>
                <w:szCs w:val="21"/>
                <w:highlight w:val="none"/>
              </w:rPr>
              <w:t>的</w:t>
            </w:r>
            <w:r>
              <w:rPr>
                <w:rFonts w:hint="eastAsia" w:ascii="宋体" w:hAnsi="宋体" w:eastAsia="宋体" w:cs="宋体"/>
                <w:b/>
                <w:bCs/>
                <w:color w:val="auto"/>
                <w:kern w:val="2"/>
                <w:sz w:val="21"/>
                <w:szCs w:val="21"/>
                <w:highlight w:val="none"/>
                <w:lang w:val="zh-CN"/>
              </w:rPr>
              <w:t>签署页；</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color w:val="auto"/>
                <w:kern w:val="2"/>
                <w:sz w:val="21"/>
                <w:szCs w:val="21"/>
                <w:highlight w:val="none"/>
              </w:rPr>
              <w:t>主要</w:t>
            </w:r>
            <w:r>
              <w:rPr>
                <w:rFonts w:hint="eastAsia" w:ascii="宋体" w:hAnsi="宋体" w:eastAsia="宋体" w:cs="宋体"/>
                <w:b/>
                <w:color w:val="auto"/>
                <w:kern w:val="2"/>
                <w:sz w:val="21"/>
                <w:szCs w:val="21"/>
                <w:highlight w:val="none"/>
                <w:lang w:val="en-US" w:eastAsia="zh-CN"/>
              </w:rPr>
              <w:t>工作</w:t>
            </w:r>
            <w:r>
              <w:rPr>
                <w:rFonts w:hint="eastAsia" w:ascii="宋体" w:hAnsi="宋体" w:eastAsia="宋体" w:cs="宋体"/>
                <w:b/>
                <w:color w:val="auto"/>
                <w:kern w:val="2"/>
                <w:sz w:val="21"/>
                <w:szCs w:val="21"/>
                <w:highlight w:val="none"/>
              </w:rPr>
              <w:t>内容复印件</w:t>
            </w:r>
            <w:r>
              <w:rPr>
                <w:rFonts w:hint="eastAsia" w:ascii="宋体" w:hAnsi="宋体" w:eastAsia="宋体" w:cs="宋体"/>
                <w:b/>
                <w:color w:val="auto"/>
                <w:kern w:val="2"/>
                <w:sz w:val="21"/>
                <w:szCs w:val="21"/>
                <w:highlight w:val="none"/>
                <w:lang w:val="en-US" w:eastAsia="zh-CN"/>
              </w:rPr>
              <w:t>加盖供应商公章</w:t>
            </w:r>
            <w:r>
              <w:rPr>
                <w:rFonts w:hint="eastAsia" w:ascii="宋体" w:hAnsi="宋体" w:cs="宋体"/>
                <w:b/>
                <w:bCs/>
                <w:color w:val="auto"/>
                <w:sz w:val="21"/>
                <w:szCs w:val="21"/>
                <w:highlight w:val="none"/>
                <w:lang w:val="en-US" w:eastAsia="zh-CN"/>
              </w:rPr>
              <w:t>；财税咨询类</w:t>
            </w:r>
            <w:r>
              <w:rPr>
                <w:rFonts w:hint="eastAsia" w:ascii="宋体" w:hAnsi="宋体" w:eastAsia="宋体" w:cs="宋体"/>
                <w:b/>
                <w:bCs w:val="0"/>
                <w:color w:val="auto"/>
                <w:kern w:val="2"/>
                <w:sz w:val="21"/>
                <w:szCs w:val="21"/>
                <w:highlight w:val="none"/>
                <w:lang w:val="en-US" w:eastAsia="zh-CN" w:bidi="ar-SA"/>
              </w:rPr>
              <w:t>负责人财税咨询服务</w:t>
            </w:r>
            <w:r>
              <w:rPr>
                <w:rFonts w:hint="eastAsia" w:ascii="宋体" w:hAnsi="宋体" w:cs="宋体"/>
                <w:b/>
                <w:bCs w:val="0"/>
                <w:color w:val="auto"/>
                <w:kern w:val="2"/>
                <w:sz w:val="21"/>
                <w:szCs w:val="21"/>
                <w:highlight w:val="none"/>
                <w:lang w:val="en-US" w:eastAsia="zh-CN" w:bidi="ar-SA"/>
              </w:rPr>
              <w:t>附以下证明材料：1.项目合同复印件；</w:t>
            </w:r>
            <w:r>
              <w:rPr>
                <w:rFonts w:hint="eastAsia" w:ascii="宋体"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color w:val="auto"/>
                <w:kern w:val="2"/>
                <w:sz w:val="21"/>
                <w:szCs w:val="21"/>
                <w:highlight w:val="none"/>
              </w:rPr>
              <w:t>主要</w:t>
            </w:r>
            <w:r>
              <w:rPr>
                <w:rFonts w:hint="eastAsia" w:ascii="宋体" w:hAnsi="宋体" w:eastAsia="宋体" w:cs="宋体"/>
                <w:b/>
                <w:color w:val="auto"/>
                <w:kern w:val="2"/>
                <w:sz w:val="21"/>
                <w:szCs w:val="21"/>
                <w:highlight w:val="none"/>
                <w:lang w:val="en-US" w:eastAsia="zh-CN"/>
              </w:rPr>
              <w:t>工作</w:t>
            </w:r>
            <w:r>
              <w:rPr>
                <w:rFonts w:hint="eastAsia" w:ascii="宋体" w:hAnsi="宋体" w:eastAsia="宋体" w:cs="宋体"/>
                <w:b/>
                <w:color w:val="auto"/>
                <w:kern w:val="2"/>
                <w:sz w:val="21"/>
                <w:szCs w:val="21"/>
                <w:highlight w:val="none"/>
              </w:rPr>
              <w:t>内容复印件</w:t>
            </w:r>
            <w:r>
              <w:rPr>
                <w:rFonts w:hint="eastAsia" w:ascii="宋体" w:hAnsi="宋体" w:eastAsia="宋体" w:cs="宋体"/>
                <w:b/>
                <w:color w:val="auto"/>
                <w:kern w:val="2"/>
                <w:sz w:val="21"/>
                <w:szCs w:val="21"/>
                <w:highlight w:val="none"/>
                <w:lang w:val="en-US" w:eastAsia="zh-CN"/>
              </w:rPr>
              <w:t>加盖供应商公章</w:t>
            </w:r>
            <w:r>
              <w:rPr>
                <w:rFonts w:hint="eastAsia" w:ascii="宋体" w:hAnsi="宋体" w:cs="宋体"/>
                <w:b/>
                <w:color w:val="auto"/>
                <w:kern w:val="2"/>
                <w:sz w:val="21"/>
                <w:szCs w:val="21"/>
                <w:highlight w:val="none"/>
                <w:lang w:val="en-US" w:eastAsia="zh-CN"/>
              </w:rPr>
              <w:t>；</w:t>
            </w:r>
            <w:r>
              <w:rPr>
                <w:rFonts w:hint="eastAsia" w:ascii="宋体" w:hAnsi="宋体" w:cs="宋体"/>
                <w:b/>
                <w:bCs/>
                <w:color w:val="auto"/>
                <w:sz w:val="21"/>
                <w:szCs w:val="21"/>
                <w:highlight w:val="none"/>
                <w:lang w:val="en-US" w:eastAsia="zh-CN"/>
              </w:rPr>
              <w:t>（若一个业绩中同时含有审计服务和财税服务的，只计一次得分，不重复计分）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④审计类及财税咨询类负责人可为同一人兼任；</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default"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⑤服务团队成员</w:t>
            </w:r>
            <w:r>
              <w:rPr>
                <w:rFonts w:hint="eastAsia" w:ascii="宋体" w:hAnsi="宋体" w:cs="宋体"/>
                <w:b/>
                <w:bCs/>
                <w:color w:val="auto"/>
                <w:sz w:val="21"/>
                <w:szCs w:val="21"/>
                <w:highlight w:val="none"/>
                <w:lang w:val="en-US" w:eastAsia="zh-CN"/>
              </w:rPr>
              <w:t>须提供相关参与项目的业绩合同证明材料。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行业信誉</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供应商自202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年1月1日以来，每进入</w:t>
            </w:r>
            <w:r>
              <w:rPr>
                <w:rFonts w:hint="eastAsia" w:ascii="宋体" w:hAnsi="宋体" w:cs="宋体"/>
                <w:color w:val="auto"/>
                <w:sz w:val="21"/>
                <w:szCs w:val="21"/>
                <w:highlight w:val="none"/>
                <w:lang w:val="en-US" w:eastAsia="zh-CN"/>
              </w:rPr>
              <w:t>中国注册会计师协会</w:t>
            </w:r>
            <w:r>
              <w:rPr>
                <w:rFonts w:hint="eastAsia" w:ascii="宋体" w:hAnsi="宋体" w:eastAsia="宋体" w:cs="宋体"/>
                <w:color w:val="auto"/>
                <w:sz w:val="21"/>
                <w:szCs w:val="21"/>
                <w:highlight w:val="none"/>
                <w:lang w:val="en-US" w:eastAsia="zh-CN"/>
              </w:rPr>
              <w:t>发布的会计师事务所综合评价排名名单一次，得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供应商自202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年1月1日以来，每进入</w:t>
            </w:r>
            <w:r>
              <w:rPr>
                <w:rFonts w:hint="eastAsia" w:ascii="宋体" w:hAnsi="宋体" w:cs="宋体"/>
                <w:color w:val="auto"/>
                <w:sz w:val="21"/>
                <w:szCs w:val="21"/>
                <w:highlight w:val="none"/>
                <w:lang w:val="en-US" w:eastAsia="zh-CN"/>
              </w:rPr>
              <w:t>省级注册会计师协会</w:t>
            </w:r>
            <w:r>
              <w:rPr>
                <w:rFonts w:hint="eastAsia" w:ascii="宋体" w:hAnsi="宋体" w:eastAsia="宋体" w:cs="宋体"/>
                <w:color w:val="auto"/>
                <w:sz w:val="21"/>
                <w:szCs w:val="21"/>
                <w:highlight w:val="none"/>
                <w:lang w:val="en-US" w:eastAsia="zh-CN"/>
              </w:rPr>
              <w:t>发布的会计师事务所综合评价排名名单一次，得1分。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bCs/>
                <w:color w:val="auto"/>
                <w:sz w:val="21"/>
                <w:szCs w:val="21"/>
                <w:highlight w:val="none"/>
                <w:lang w:val="en-US" w:eastAsia="zh-CN"/>
              </w:rPr>
              <w:t>备注：评审以</w:t>
            </w:r>
            <w:r>
              <w:rPr>
                <w:rFonts w:hint="eastAsia" w:ascii="宋体" w:hAnsi="宋体" w:cs="宋体"/>
                <w:b/>
                <w:bCs/>
                <w:color w:val="auto"/>
                <w:sz w:val="21"/>
                <w:szCs w:val="21"/>
                <w:highlight w:val="none"/>
                <w:lang w:val="en-US" w:eastAsia="zh-CN"/>
              </w:rPr>
              <w:t>注册会计师协会</w:t>
            </w:r>
            <w:r>
              <w:rPr>
                <w:rFonts w:hint="eastAsia" w:ascii="宋体" w:hAnsi="宋体" w:eastAsia="宋体" w:cs="宋体"/>
                <w:b/>
                <w:bCs/>
                <w:color w:val="auto"/>
                <w:sz w:val="21"/>
                <w:szCs w:val="21"/>
                <w:highlight w:val="none"/>
                <w:lang w:val="en-US" w:eastAsia="zh-CN"/>
              </w:rPr>
              <w:t>发布的</w:t>
            </w:r>
            <w:r>
              <w:rPr>
                <w:rFonts w:hint="eastAsia" w:ascii="宋体" w:hAnsi="宋体" w:cs="宋体"/>
                <w:b/>
                <w:bCs/>
                <w:color w:val="auto"/>
                <w:sz w:val="21"/>
                <w:szCs w:val="21"/>
                <w:highlight w:val="none"/>
                <w:lang w:val="en-US" w:eastAsia="zh-CN"/>
              </w:rPr>
              <w:t>会计师事务所综合评价</w:t>
            </w:r>
            <w:r>
              <w:rPr>
                <w:rFonts w:hint="eastAsia" w:ascii="宋体" w:hAnsi="宋体" w:eastAsia="宋体" w:cs="宋体"/>
                <w:b/>
                <w:bCs/>
                <w:color w:val="auto"/>
                <w:sz w:val="21"/>
                <w:szCs w:val="21"/>
                <w:highlight w:val="none"/>
                <w:lang w:val="en-US" w:eastAsia="zh-CN"/>
              </w:rPr>
              <w:t>名单公告为准，</w:t>
            </w:r>
            <w:r>
              <w:rPr>
                <w:rFonts w:hint="eastAsia" w:ascii="宋体" w:hAnsi="宋体" w:eastAsia="宋体" w:cs="宋体"/>
                <w:b/>
                <w:bCs/>
                <w:i w:val="0"/>
                <w:iCs w:val="0"/>
                <w:caps w:val="0"/>
                <w:color w:val="auto"/>
                <w:spacing w:val="0"/>
                <w:sz w:val="21"/>
                <w:szCs w:val="21"/>
                <w:highlight w:val="none"/>
              </w:rPr>
              <w:t>须提供对应年份</w:t>
            </w:r>
            <w:r>
              <w:rPr>
                <w:rFonts w:hint="eastAsia" w:ascii="宋体" w:hAnsi="宋体" w:eastAsia="宋体" w:cs="宋体"/>
                <w:b/>
                <w:bCs/>
                <w:i w:val="0"/>
                <w:iCs w:val="0"/>
                <w:caps w:val="0"/>
                <w:color w:val="auto"/>
                <w:spacing w:val="0"/>
                <w:sz w:val="21"/>
                <w:szCs w:val="21"/>
                <w:highlight w:val="none"/>
                <w:lang w:val="en-US" w:eastAsia="zh-CN"/>
              </w:rPr>
              <w:t>的协会</w:t>
            </w:r>
            <w:r>
              <w:rPr>
                <w:rFonts w:hint="eastAsia" w:ascii="宋体" w:hAnsi="宋体" w:eastAsia="宋体" w:cs="宋体"/>
                <w:b/>
                <w:bCs/>
                <w:color w:val="auto"/>
                <w:sz w:val="21"/>
                <w:szCs w:val="21"/>
                <w:highlight w:val="none"/>
                <w:lang w:val="en-US" w:eastAsia="zh-CN"/>
              </w:rPr>
              <w:t>公告截图【凭证界面需显示有相关协会名称并同时显示该网址】加盖供应商公章。</w:t>
            </w:r>
            <w:r>
              <w:rPr>
                <w:rFonts w:hint="eastAsia" w:ascii="宋体" w:hAnsi="宋体" w:eastAsia="宋体" w:cs="宋体"/>
                <w:b/>
                <w:bCs/>
                <w:i w:val="0"/>
                <w:iCs w:val="0"/>
                <w:caps w:val="0"/>
                <w:color w:val="auto"/>
                <w:spacing w:val="0"/>
                <w:sz w:val="21"/>
                <w:szCs w:val="21"/>
                <w:highlight w:val="none"/>
              </w:rPr>
              <w:t>不同年份每进入</w:t>
            </w:r>
            <w:r>
              <w:rPr>
                <w:rFonts w:hint="eastAsia" w:ascii="宋体" w:hAnsi="宋体" w:eastAsia="宋体" w:cs="宋体"/>
                <w:b/>
                <w:bCs/>
                <w:i w:val="0"/>
                <w:iCs w:val="0"/>
                <w:caps w:val="0"/>
                <w:color w:val="auto"/>
                <w:spacing w:val="0"/>
                <w:sz w:val="21"/>
                <w:szCs w:val="21"/>
                <w:highlight w:val="none"/>
                <w:lang w:val="en-US" w:eastAsia="zh-CN"/>
              </w:rPr>
              <w:t>排名名单的，可累计计分。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风险承担水平</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pacing w:before="0" w:beforeAutospacing="0" w:after="0" w:afterAutospacing="0" w:line="360" w:lineRule="auto"/>
              <w:ind w:left="0" w:right="0"/>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购买的会计师事务所职业责任保险累计赔偿金额（或累计责任金额）进行评分，累计赔偿金额（或累计责任金额）最高的供应商的金额为基准价，其分值为满分3分，其他供应商的金额得分统一按照下列公式计算：</w:t>
            </w:r>
          </w:p>
          <w:p>
            <w:pPr>
              <w:keepNext w:val="0"/>
              <w:keepLines w:val="0"/>
              <w:widowControl w:val="0"/>
              <w:suppressLineNumbers w:val="0"/>
              <w:adjustRightInd/>
              <w:spacing w:before="0" w:beforeAutospacing="0" w:after="0" w:afterAutospacing="0" w:line="360" w:lineRule="auto"/>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得分=【累计赔偿金额（或累计责任金额）/基准价】×3</w:t>
            </w:r>
          </w:p>
          <w:p>
            <w:pPr>
              <w:keepNext w:val="0"/>
              <w:keepLines w:val="0"/>
              <w:widowControl w:val="0"/>
              <w:suppressLineNumbers w:val="0"/>
              <w:adjustRightInd/>
              <w:spacing w:before="0" w:beforeAutospacing="0" w:after="0" w:afterAutospacing="0" w:line="360" w:lineRule="auto"/>
              <w:ind w:left="0" w:right="0"/>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注：须提供供应商购买的会计师事务所职业责任保险单复印件加盖供应商公章。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便利性</w:t>
            </w:r>
          </w:p>
        </w:tc>
        <w:tc>
          <w:tcPr>
            <w:tcW w:w="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4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根据供应商承诺的服务便利性响应时间进行评审：</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（1）供应商承诺</w:t>
            </w:r>
            <w:r>
              <w:rPr>
                <w:rFonts w:hint="eastAsia" w:ascii="宋体" w:hAnsi="宋体" w:eastAsia="宋体" w:cs="宋体"/>
                <w:b w:val="0"/>
                <w:bCs/>
                <w:color w:val="auto"/>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接到采购人通知后1小时(含)内响应，2小时(含)内到达采购人指定地点的，得</w:t>
            </w:r>
            <w:r>
              <w:rPr>
                <w:rFonts w:hint="default" w:ascii="宋体" w:hAnsi="宋体"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lang w:val="en-US" w:eastAsia="zh-CN"/>
              </w:rPr>
              <w:t>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（2）供应商承诺项目负责人接到采购人通知后2小时(含)内响应，4小时(含)内到达采购人指定地点的，得</w:t>
            </w:r>
            <w:r>
              <w:rPr>
                <w:rFonts w:hint="default" w:ascii="宋体" w:hAnsi="宋体" w:eastAsia="宋体" w:cs="宋体"/>
                <w:b w:val="0"/>
                <w:bCs/>
                <w:color w:val="auto"/>
                <w:kern w:val="2"/>
                <w:sz w:val="21"/>
                <w:szCs w:val="21"/>
                <w:highlight w:val="none"/>
                <w:lang w:val="en-US" w:eastAsia="zh-CN"/>
              </w:rPr>
              <w:t>1</w:t>
            </w:r>
            <w:r>
              <w:rPr>
                <w:rFonts w:hint="eastAsia" w:ascii="宋体" w:hAnsi="宋体" w:eastAsia="宋体" w:cs="宋体"/>
                <w:b w:val="0"/>
                <w:bCs/>
                <w:color w:val="auto"/>
                <w:kern w:val="2"/>
                <w:sz w:val="21"/>
                <w:szCs w:val="21"/>
                <w:highlight w:val="none"/>
                <w:lang w:val="en-US" w:eastAsia="zh-CN"/>
              </w:rPr>
              <w:t>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（3）供应商承诺项目负责人接到采购人通知后3小时(含)内响应，8小时(含)内到达采购人指定地点的，得</w:t>
            </w:r>
            <w:r>
              <w:rPr>
                <w:rFonts w:hint="default" w:ascii="宋体" w:hAnsi="宋体" w:eastAsia="宋体" w:cs="宋体"/>
                <w:b w:val="0"/>
                <w:bCs/>
                <w:color w:val="auto"/>
                <w:kern w:val="2"/>
                <w:sz w:val="21"/>
                <w:szCs w:val="21"/>
                <w:highlight w:val="none"/>
                <w:lang w:val="en-US" w:eastAsia="zh-CN"/>
              </w:rPr>
              <w:t>0.5</w:t>
            </w:r>
            <w:r>
              <w:rPr>
                <w:rFonts w:hint="eastAsia" w:ascii="宋体" w:hAnsi="宋体" w:eastAsia="宋体" w:cs="宋体"/>
                <w:b w:val="0"/>
                <w:bCs/>
                <w:color w:val="auto"/>
                <w:kern w:val="2"/>
                <w:sz w:val="21"/>
                <w:szCs w:val="21"/>
                <w:highlight w:val="none"/>
                <w:lang w:val="en-US" w:eastAsia="zh-CN"/>
              </w:rPr>
              <w:t>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（4）其他情况不得分。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1）提供供应商办公场地自有产权证明复印件（或非自有产权式提供承租人为供应商的租赁合同复印件），产权证明或租赁合同的有效期须至2025年12月31日或以后，否则在评标时将不予考虑；</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须同时提供供应商办公场地到采购人办公地址（东莞市南城街道滨河路100号二期（东莞市水务集团净水有限公司）新大门内3号楼3楼东莞市水务集团实业发展有限公司）时间的证明材料（包括但不限于地图软件截图）作为依据进行评审，证明材料与供应商提供的《服务便利性响应时间承诺表》承诺情况不符的，本项不得分。</w:t>
            </w:r>
          </w:p>
          <w:p>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3）供应商有多处办公场地符合评分条件的，按最高得分标准计算，不重复得分。</w:t>
            </w:r>
          </w:p>
        </w:tc>
      </w:tr>
    </w:tbl>
    <w:p>
      <w:pPr>
        <w:pStyle w:val="10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技术：</w:t>
      </w:r>
    </w:p>
    <w:tbl>
      <w:tblPr>
        <w:tblStyle w:val="5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78"/>
        <w:gridCol w:w="957"/>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工作方案</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w:t>
            </w:r>
            <w:r>
              <w:rPr>
                <w:rFonts w:hint="eastAsia" w:ascii="宋体" w:hAnsi="宋体" w:cs="宋体"/>
                <w:b/>
                <w:bCs/>
                <w:color w:val="auto"/>
                <w:sz w:val="21"/>
                <w:szCs w:val="21"/>
                <w:highlight w:val="none"/>
                <w:lang w:val="en-US" w:eastAsia="zh-CN"/>
              </w:rPr>
              <w:t>工作重点、难点及其解决措施</w:t>
            </w:r>
            <w:r>
              <w:rPr>
                <w:rFonts w:hint="eastAsia" w:ascii="宋体" w:hAnsi="宋体" w:eastAsia="宋体" w:cs="宋体"/>
                <w:b/>
                <w:bCs/>
                <w:color w:val="auto"/>
                <w:sz w:val="21"/>
                <w:szCs w:val="21"/>
                <w:highlight w:val="none"/>
                <w:lang w:val="en-US" w:eastAsia="zh-CN"/>
              </w:rPr>
              <w:t>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对项目背景所提及企业的营业范围的各项目业务有深入了解，熟悉其审计、税务重点难点，对审计、税务服务可预见性的问题能提出合理的解决方案</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对项目背景所提及企业的营业范围的各项目业务比较了解，基本知悉审计、税务重点难点，提出的解决方案较为合理</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对项目背景所提及企业的营业范围的各项目业务了解一般，知悉部分其审计、税务重点难点，提出的解决方案一般</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对项目背景所提及企业的营业范围的各项目业务不了解，知悉部分其审计、税务重点难点，提出的解决方案较差</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7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i w:val="0"/>
                <w:iCs w:val="0"/>
                <w:caps w:val="0"/>
                <w:color w:val="auto"/>
                <w:spacing w:val="0"/>
                <w:sz w:val="21"/>
                <w:szCs w:val="21"/>
                <w:highlight w:val="none"/>
                <w:shd w:val="clear" w:fill="auto"/>
                <w:lang w:val="en-US" w:eastAsia="zh-CN"/>
              </w:rPr>
              <w:t>信息安全管理</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根据供应商提供涉密数据保密措施、档案资料保存情况方案进行评审：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建立相关信息安全保障制度，涉密数据保密措施详细完整，档案资料保存方案完善、有利于项目后续使用查找的，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建立相关信息安全保障制度，涉密数据保密措施比较详细，档案资料保存方案比较完善、比较利于项目后续使用查找的，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建立相关信息安全保障制度，涉密数据保密措施一般，档案资料保存方案完善度一般、基本利于项目后续使用查找的，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建立相关信息安全保障制度，涉密数据保密措施差，档案资料保存方案完善度差、不利于项目后续使用查找的，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7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1"/>
                <w:szCs w:val="21"/>
                <w:highlight w:val="none"/>
                <w:shd w:val="clear" w:fill="auto"/>
                <w:lang w:val="en-US" w:eastAsia="zh-CN"/>
              </w:rPr>
              <w:t>质量管理水平</w:t>
            </w: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根据供应商提供的审计服务项目咨询方案进行评审：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方案制定非常详细、针对性强，非常科学合理且操作性非常强，处理措施和跟进保障措施完善严密的，得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方案制定较详细、针对性较强，科学合理、操作性较强，处理措施和跟进保障措施较完善严密的，得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方案制定基本详细、具有一定针对性，基本合理、操作性一般，处理措施和跟进保障措施基本完善严密的，得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方案制定一般、针对性、可操作性较差，处理措施和跟进保障措施较差的，得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p>
        </w:tc>
        <w:tc>
          <w:tcPr>
            <w:tcW w:w="117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i w:val="0"/>
                <w:iCs w:val="0"/>
                <w:caps w:val="0"/>
                <w:color w:val="auto"/>
                <w:spacing w:val="0"/>
                <w:sz w:val="21"/>
                <w:szCs w:val="21"/>
                <w:highlight w:val="none"/>
                <w:shd w:val="clear" w:fill="auto"/>
                <w:lang w:val="en-US" w:eastAsia="zh-CN"/>
              </w:rPr>
            </w:pP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根据供应商提供的审计服务意见分歧解决方案进行评审：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方案制定非常详细、针对性强，非常科学合理且操作性非常强，处理措施和跟进保障措施完善严密的，得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方案制定较详细、针对性较强，科学合理、操作性较强，处理措施和跟进保障措施较完善严密的，得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方案制定基本详细、具有一定针对性，基本合理、操作性一般，处理措施和跟进保障措施基本完善严密的，得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方案制定一般、针对性、可操作性较差，处理措施和跟进保障措施较差的，得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p>
        </w:tc>
        <w:tc>
          <w:tcPr>
            <w:tcW w:w="117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i w:val="0"/>
                <w:iCs w:val="0"/>
                <w:caps w:val="0"/>
                <w:color w:val="auto"/>
                <w:spacing w:val="0"/>
                <w:sz w:val="21"/>
                <w:szCs w:val="21"/>
                <w:highlight w:val="none"/>
                <w:shd w:val="clear" w:fill="auto"/>
                <w:lang w:val="en-US" w:eastAsia="zh-CN"/>
              </w:rPr>
            </w:pP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根据供应商提供的审计服务项目质量复核方案进行评审：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方案制定非常详细、针对性强，非常科学合理且操作性非常强，处理措施和跟进保障措施完善严密的，得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方案制定较详细、针对性较强，科学合理、操作性较强，处理措施和跟进保障措施较完善严密的，得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方案制定基本详细、具有一定针对性，基本合理、操作性一般，处理措施和跟进保障措施基本完善严密的，得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方案制定一般、针对性、可操作性较差，处理措施和跟进保障措施较差的，得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p>
        </w:tc>
        <w:tc>
          <w:tcPr>
            <w:tcW w:w="117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i w:val="0"/>
                <w:iCs w:val="0"/>
                <w:caps w:val="0"/>
                <w:color w:val="auto"/>
                <w:spacing w:val="0"/>
                <w:sz w:val="21"/>
                <w:szCs w:val="21"/>
                <w:highlight w:val="none"/>
                <w:shd w:val="clear" w:fill="auto"/>
                <w:lang w:val="en-US" w:eastAsia="zh-CN"/>
              </w:rPr>
            </w:pP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根据供应商提供的审计服务项目质量检查方案进行评审：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方案制定非常详细、针对性强，非常科学合理且操作性非常强，处理措施和跟进保障措施完善严密的，得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方案制定较详细、针对性较强，科学合理、操作性较强，处理措施和跟进保障措施较完善严密的，得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方案制定基本详细、具有一定针对性，基本合理、操作性一般，处理措施和跟进保障措施基本完善严密的，得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方案制定一般、针对性、可操作性较差，处理措施和跟进保障措施较差的，得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p>
        </w:tc>
        <w:tc>
          <w:tcPr>
            <w:tcW w:w="117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i w:val="0"/>
                <w:iCs w:val="0"/>
                <w:caps w:val="0"/>
                <w:color w:val="auto"/>
                <w:spacing w:val="0"/>
                <w:sz w:val="21"/>
                <w:szCs w:val="21"/>
                <w:highlight w:val="none"/>
                <w:shd w:val="clear" w:fill="auto"/>
                <w:lang w:val="en-US" w:eastAsia="zh-CN"/>
              </w:rPr>
            </w:pP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根据供应商提供的审计服务质量管理缺陷识别与整改方案进行评审：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方案制定非常详细、针对性强，非常科学合理且操作性非常强，处理措施和跟进保障措施完善严密的，得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方案制定较详细、针对性较强，科学合理、操作性较强，处理措施和跟进保障措施较完善严密的，得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方案制定基本详细、具有一定针对性，基本合理、操作性一般，处理措施和跟进保障措施基本完善严密的，得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方案制定一般、针对性、可操作性较差，处理措施和跟进保障措施较差的，得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p>
        </w:tc>
        <w:tc>
          <w:tcPr>
            <w:tcW w:w="117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cs="宋体"/>
                <w:i w:val="0"/>
                <w:iCs w:val="0"/>
                <w:caps w:val="0"/>
                <w:color w:val="auto"/>
                <w:spacing w:val="0"/>
                <w:sz w:val="21"/>
                <w:szCs w:val="21"/>
                <w:highlight w:val="none"/>
                <w:shd w:val="clear" w:fill="auto"/>
                <w:lang w:val="en-US" w:eastAsia="zh-CN"/>
              </w:rPr>
            </w:pPr>
          </w:p>
        </w:tc>
        <w:tc>
          <w:tcPr>
            <w:tcW w:w="9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35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根据供应商提供的审计、财税综合服务质量管理制度进行评审：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优：</w:t>
            </w:r>
            <w:r>
              <w:rPr>
                <w:rFonts w:hint="eastAsia" w:ascii="宋体" w:hAnsi="宋体" w:cs="宋体"/>
                <w:b w:val="0"/>
                <w:bCs w:val="0"/>
                <w:color w:val="auto"/>
                <w:sz w:val="21"/>
                <w:szCs w:val="21"/>
                <w:highlight w:val="none"/>
                <w:lang w:val="en-US" w:eastAsia="zh-CN"/>
              </w:rPr>
              <w:t>质量管理制度制定非常详细、针对性强，非常科学合理且操作性非常强的，得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良：</w:t>
            </w:r>
            <w:r>
              <w:rPr>
                <w:rFonts w:hint="eastAsia" w:ascii="宋体" w:hAnsi="宋体" w:cs="宋体"/>
                <w:b w:val="0"/>
                <w:bCs w:val="0"/>
                <w:color w:val="auto"/>
                <w:sz w:val="21"/>
                <w:szCs w:val="21"/>
                <w:highlight w:val="none"/>
                <w:lang w:val="en-US" w:eastAsia="zh-CN"/>
              </w:rPr>
              <w:t>质量管理制度制定较详细、针对性较强，科学合理、操作性较强的，得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cs="宋体"/>
                <w:color w:val="auto"/>
                <w:sz w:val="21"/>
                <w:szCs w:val="21"/>
                <w:highlight w:val="none"/>
                <w:lang w:val="zh-CN" w:eastAsia="zh-CN"/>
              </w:rPr>
            </w:pPr>
            <w:r>
              <w:rPr>
                <w:rFonts w:hint="eastAsia" w:ascii="宋体" w:hAnsi="宋体" w:cs="宋体"/>
                <w:b/>
                <w:bCs/>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质量管理制度制定基本详细、具有一定针对性，基本合理、操作性一般的，得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差：</w:t>
            </w:r>
            <w:r>
              <w:rPr>
                <w:rFonts w:hint="eastAsia" w:ascii="宋体" w:hAnsi="宋体" w:cs="宋体"/>
                <w:b w:val="0"/>
                <w:bCs w:val="0"/>
                <w:color w:val="auto"/>
                <w:sz w:val="21"/>
                <w:szCs w:val="21"/>
                <w:highlight w:val="none"/>
                <w:lang w:val="en-US" w:eastAsia="zh-CN"/>
              </w:rPr>
              <w:t>质量管理制度制定一般、针对性、可操作性较差的，得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分]</w:t>
            </w:r>
            <w:r>
              <w:rPr>
                <w:rFonts w:hint="eastAsia" w:ascii="宋体" w:hAnsi="宋体" w:cs="宋体"/>
                <w:color w:val="auto"/>
                <w:sz w:val="21"/>
                <w:szCs w:val="21"/>
                <w:highlight w:val="none"/>
                <w:lang w:val="zh-CN" w:eastAsia="zh-CN"/>
              </w:rPr>
              <w:t>。</w:t>
            </w:r>
          </w:p>
        </w:tc>
      </w:tr>
    </w:tbl>
    <w:p>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pPr>
        <w:autoSpaceDE w:val="0"/>
        <w:autoSpaceDN w:val="0"/>
        <w:adjustRightInd w:val="0"/>
        <w:spacing w:line="360" w:lineRule="auto"/>
        <w:ind w:left="480" w:leftChars="200" w:firstLine="422" w:firstLineChars="200"/>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③上述“评分项目”中按“优、良、中、差”区间评审的，若低于该项满分分值60%时，</w:t>
      </w:r>
      <w:r>
        <w:rPr>
          <w:rFonts w:hint="eastAsia" w:ascii="宋体" w:hAnsi="宋体" w:eastAsia="宋体" w:cs="宋体"/>
          <w:b/>
          <w:color w:val="auto"/>
          <w:sz w:val="21"/>
          <w:szCs w:val="21"/>
          <w:highlight w:val="none"/>
          <w:lang w:val="en-US" w:eastAsia="zh-CN"/>
        </w:rPr>
        <w:t>磋商小组成员</w:t>
      </w:r>
      <w:r>
        <w:rPr>
          <w:rFonts w:hint="eastAsia" w:ascii="宋体" w:hAnsi="宋体" w:eastAsia="宋体" w:cs="宋体"/>
          <w:b/>
          <w:color w:val="auto"/>
          <w:sz w:val="21"/>
          <w:szCs w:val="21"/>
          <w:highlight w:val="none"/>
          <w:lang w:val="zh-CN"/>
        </w:rPr>
        <w:t>需详细填写该项低分的充分理由，例如：该项目内容存在违反国家有关标准和规范或与项目实际不符等原则性问题。</w:t>
      </w:r>
    </w:p>
    <w:p>
      <w:pPr>
        <w:autoSpaceDE w:val="0"/>
        <w:autoSpaceDN w:val="0"/>
        <w:adjustRightInd w:val="0"/>
        <w:spacing w:line="360" w:lineRule="auto"/>
        <w:ind w:left="480" w:leftChars="200" w:firstLine="422"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en-US" w:eastAsia="zh-CN"/>
        </w:rPr>
        <w:t>磋商小组</w:t>
      </w:r>
      <w:r>
        <w:rPr>
          <w:rFonts w:hint="eastAsia" w:ascii="宋体" w:hAnsi="宋体" w:eastAsia="宋体" w:cs="宋体"/>
          <w:b/>
          <w:color w:val="auto"/>
          <w:kern w:val="0"/>
          <w:sz w:val="21"/>
          <w:szCs w:val="21"/>
          <w:highlight w:val="none"/>
          <w:lang w:val="zh-CN"/>
        </w:rPr>
        <w:t>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p>
      <w:pPr>
        <w:pStyle w:val="187"/>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2.3 价格评分：</w:t>
      </w:r>
      <w:r>
        <w:rPr>
          <w:rFonts w:hint="eastAsia" w:ascii="宋体" w:hAnsi="宋体" w:eastAsia="宋体" w:cs="宋体"/>
          <w:b/>
          <w:bCs/>
          <w:color w:val="auto"/>
          <w:sz w:val="21"/>
          <w:szCs w:val="21"/>
          <w:highlight w:val="none"/>
          <w:lang w:val="zh-CN"/>
        </w:rPr>
        <w:t>总分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A、根据有效</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供应商的</w:t>
      </w:r>
      <w:r>
        <w:rPr>
          <w:rFonts w:hint="eastAsia" w:ascii="宋体" w:hAnsi="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报价，所有有效的最终响应报价的</w:t>
      </w:r>
      <w:r>
        <w:rPr>
          <w:rFonts w:hint="eastAsia" w:ascii="宋体" w:hAnsi="宋体" w:eastAsia="宋体" w:cs="宋体"/>
          <w:b/>
          <w:bCs/>
          <w:color w:val="auto"/>
          <w:sz w:val="21"/>
          <w:szCs w:val="21"/>
          <w:highlight w:val="none"/>
        </w:rPr>
        <w:t>平均值</w:t>
      </w:r>
      <w:r>
        <w:rPr>
          <w:rFonts w:hint="eastAsia" w:ascii="宋体" w:hAnsi="宋体" w:eastAsia="宋体" w:cs="宋体"/>
          <w:color w:val="auto"/>
          <w:sz w:val="21"/>
          <w:szCs w:val="21"/>
          <w:highlight w:val="none"/>
        </w:rPr>
        <w:t>作为基准价，供应商最终响应报价等于基准价的得满分1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分，其他供应商的价格分统一按照下列公式计算：</w:t>
      </w:r>
    </w:p>
    <w:p>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价格得分=（1-∣基准价-最终响应报价∣/基准价）×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B、分数出现小数点，保留小数点后2位，从小数点后第3位四舍五入。</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13.综合得分排名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总得分=F1＋F2＋……+Fn</w:t>
      </w:r>
    </w:p>
    <w:p>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F1、F2、……Fn分别为各项评分因素的得分；</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pPr>
        <w:spacing w:line="360" w:lineRule="auto"/>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eastAsia="宋体" w:cs="宋体"/>
          <w:color w:val="auto"/>
          <w:kern w:val="2"/>
          <w:sz w:val="21"/>
          <w:highlight w:val="none"/>
          <w:lang w:val="en-US" w:eastAsia="zh-CN"/>
        </w:rPr>
        <w:t>按评审后得分由高到低顺序排列，并向采购人推荐最后综合得分最高的前二名供应商</w:t>
      </w:r>
    </w:p>
    <w:p>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为成交候选人（最后综合得分排名第一、第二的供应商分别为第一、第二成交候选人），采购人将确定第一成交候选人为成交人</w:t>
      </w:r>
      <w:r>
        <w:rPr>
          <w:rFonts w:hint="eastAsia" w:ascii="宋体" w:hAnsi="宋体" w:eastAsia="宋体" w:cs="宋体"/>
          <w:color w:val="auto"/>
          <w:kern w:val="2"/>
          <w:sz w:val="21"/>
          <w:highlight w:val="none"/>
          <w:lang w:val="zh-CN"/>
        </w:rPr>
        <w:t>。</w:t>
      </w:r>
    </w:p>
    <w:p>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pPr>
        <w:spacing w:line="360" w:lineRule="auto"/>
        <w:ind w:left="424" w:leftChars="-1" w:hanging="426" w:hangingChars="203"/>
        <w:jc w:val="both"/>
        <w:rPr>
          <w:rFonts w:hint="eastAsia" w:ascii="宋体" w:hAnsi="宋体" w:eastAsia="宋体" w:cs="宋体"/>
          <w:color w:val="auto"/>
          <w:kern w:val="2"/>
          <w:sz w:val="21"/>
          <w:highlight w:val="none"/>
          <w:lang w:val="zh-CN"/>
        </w:rPr>
      </w:pP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1）磋商邀请时间、</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pPr>
        <w:spacing w:line="360" w:lineRule="auto"/>
        <w:jc w:val="center"/>
        <w:rPr>
          <w:rFonts w:hint="eastAsia" w:ascii="宋体" w:hAnsi="宋体" w:eastAsia="宋体" w:cs="宋体"/>
          <w:b/>
          <w:bCs/>
          <w:color w:val="auto"/>
          <w:kern w:val="2"/>
          <w:sz w:val="28"/>
          <w:szCs w:val="28"/>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pPr>
        <w:spacing w:line="360" w:lineRule="auto"/>
        <w:ind w:left="315"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、为确保磋商活动的顺利进行，防止因泄密或其它意外而造成的不良后果及影响，凡参加磋商活动的人员都必须认真执行本规定：</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1）在磋商期间，所有分发的供应商响应文件、资料等仅限于在磋商场所中使用，不得带往其它地方，所有的磋商文件、供应商响应文件、资料等一律编号登记。</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评审无关的人员（包括亲朋好友和同事）不得进入磋商场所。</w:t>
      </w:r>
    </w:p>
    <w:p>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澄清会之前磋商小组应明确参加会议的人员及主谈人。任何需要供应商在澄清会上澄清的问题必须经磋商小组成员签字并由主谈人提出。在澄清期间，对于涉及本规定保密范畴的所有内容，主谈人不得向供应商透露。</w:t>
      </w:r>
    </w:p>
    <w:p>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pPr>
                      <w:pStyle w:val="3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0"/>
      </w:rPr>
    </w:pPr>
    <w:r>
      <w:fldChar w:fldCharType="begin"/>
    </w:r>
    <w:r>
      <w:rPr>
        <w:rStyle w:val="60"/>
      </w:rPr>
      <w:instrText xml:space="preserve">PAGE  </w:instrText>
    </w:r>
    <w:r>
      <w:fldChar w:fldCharType="end"/>
    </w:r>
  </w:p>
  <w:p>
    <w:pPr>
      <w:pStyle w:val="39"/>
      <w:ind w:right="360"/>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pPr>
                      <w:pStyle w:val="39"/>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AA5C4"/>
    <w:multiLevelType w:val="singleLevel"/>
    <w:tmpl w:val="D14AA5C4"/>
    <w:lvl w:ilvl="0" w:tentative="0">
      <w:start w:val="3"/>
      <w:numFmt w:val="chineseCounting"/>
      <w:suff w:val="space"/>
      <w:lvlText w:val="第%1条"/>
      <w:lvlJc w:val="left"/>
      <w:rPr>
        <w:rFonts w:hint="eastAsia"/>
      </w:rPr>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4DCE88C"/>
    <w:multiLevelType w:val="singleLevel"/>
    <w:tmpl w:val="14DCE88C"/>
    <w:lvl w:ilvl="0" w:tentative="0">
      <w:start w:val="3"/>
      <w:numFmt w:val="decimal"/>
      <w:suff w:val="nothing"/>
      <w:lvlText w:val="（%1）"/>
      <w:lvlJc w:val="left"/>
    </w:lvl>
  </w:abstractNum>
  <w:abstractNum w:abstractNumId="4">
    <w:nsid w:val="19340C4F"/>
    <w:multiLevelType w:val="singleLevel"/>
    <w:tmpl w:val="19340C4F"/>
    <w:lvl w:ilvl="0" w:tentative="0">
      <w:start w:val="12"/>
      <w:numFmt w:val="chineseCounting"/>
      <w:suff w:val="nothing"/>
      <w:lvlText w:val="%1、"/>
      <w:lvlJc w:val="left"/>
      <w:rPr>
        <w:rFonts w:hint="eastAsia"/>
      </w:rPr>
    </w:lvl>
  </w:abstractNum>
  <w:abstractNum w:abstractNumId="5">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5DE29EA"/>
    <w:multiLevelType w:val="singleLevel"/>
    <w:tmpl w:val="25DE29EA"/>
    <w:lvl w:ilvl="0" w:tentative="0">
      <w:start w:val="7"/>
      <w:numFmt w:val="chineseCounting"/>
      <w:suff w:val="nothing"/>
      <w:lvlText w:val="%1、"/>
      <w:lvlJc w:val="left"/>
      <w:rPr>
        <w:rFonts w:hint="eastAsia"/>
      </w:rPr>
    </w:lvl>
  </w:abstractNum>
  <w:abstractNum w:abstractNumId="8">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0">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5B4DB846"/>
    <w:multiLevelType w:val="singleLevel"/>
    <w:tmpl w:val="5B4DB846"/>
    <w:lvl w:ilvl="0" w:tentative="0">
      <w:start w:val="6"/>
      <w:numFmt w:val="chineseCounting"/>
      <w:pStyle w:val="16"/>
      <w:suff w:val="space"/>
      <w:lvlText w:val="第%1条"/>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4"/>
  </w:num>
  <w:num w:numId="3">
    <w:abstractNumId w:val="13"/>
  </w:num>
  <w:num w:numId="4">
    <w:abstractNumId w:val="10"/>
  </w:num>
  <w:num w:numId="5">
    <w:abstractNumId w:val="2"/>
  </w:num>
  <w:num w:numId="6">
    <w:abstractNumId w:val="1"/>
  </w:num>
  <w:num w:numId="7">
    <w:abstractNumId w:val="8"/>
  </w:num>
  <w:num w:numId="8">
    <w:abstractNumId w:val="11"/>
  </w:num>
  <w:num w:numId="9">
    <w:abstractNumId w:val="6"/>
  </w:num>
  <w:num w:numId="10">
    <w:abstractNumId w:val="9"/>
  </w:num>
  <w:num w:numId="11">
    <w:abstractNumId w:val="5"/>
  </w:num>
  <w:num w:numId="12">
    <w:abstractNumId w:val="0"/>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099E"/>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791910"/>
    <w:rsid w:val="0187402D"/>
    <w:rsid w:val="01A11310"/>
    <w:rsid w:val="01AF1A9C"/>
    <w:rsid w:val="01C37798"/>
    <w:rsid w:val="01C50F7C"/>
    <w:rsid w:val="01D6466C"/>
    <w:rsid w:val="01FD3964"/>
    <w:rsid w:val="02021029"/>
    <w:rsid w:val="021F6ED0"/>
    <w:rsid w:val="0227359C"/>
    <w:rsid w:val="023C3F2F"/>
    <w:rsid w:val="026A0669"/>
    <w:rsid w:val="02D432A2"/>
    <w:rsid w:val="02DA783B"/>
    <w:rsid w:val="030C79BF"/>
    <w:rsid w:val="031B5F33"/>
    <w:rsid w:val="032521BD"/>
    <w:rsid w:val="03305FFE"/>
    <w:rsid w:val="03311390"/>
    <w:rsid w:val="034123BB"/>
    <w:rsid w:val="03467369"/>
    <w:rsid w:val="03831373"/>
    <w:rsid w:val="03935A6A"/>
    <w:rsid w:val="039B0B09"/>
    <w:rsid w:val="03B748DD"/>
    <w:rsid w:val="03E07218"/>
    <w:rsid w:val="03F31506"/>
    <w:rsid w:val="03F83A17"/>
    <w:rsid w:val="04221A0D"/>
    <w:rsid w:val="04376843"/>
    <w:rsid w:val="04637F4D"/>
    <w:rsid w:val="046C3066"/>
    <w:rsid w:val="047B51B5"/>
    <w:rsid w:val="048030E8"/>
    <w:rsid w:val="048C54B6"/>
    <w:rsid w:val="04B74A42"/>
    <w:rsid w:val="04D712A6"/>
    <w:rsid w:val="04F16E8F"/>
    <w:rsid w:val="05227E31"/>
    <w:rsid w:val="053729A2"/>
    <w:rsid w:val="05453754"/>
    <w:rsid w:val="054A15F9"/>
    <w:rsid w:val="05605E35"/>
    <w:rsid w:val="057A02B5"/>
    <w:rsid w:val="0586370B"/>
    <w:rsid w:val="058C0616"/>
    <w:rsid w:val="05A351AD"/>
    <w:rsid w:val="05C97A35"/>
    <w:rsid w:val="06240FB0"/>
    <w:rsid w:val="06274119"/>
    <w:rsid w:val="064B43B6"/>
    <w:rsid w:val="06571077"/>
    <w:rsid w:val="06597EE2"/>
    <w:rsid w:val="067B00DB"/>
    <w:rsid w:val="068943A3"/>
    <w:rsid w:val="069845E6"/>
    <w:rsid w:val="06B53343"/>
    <w:rsid w:val="06BF7DC5"/>
    <w:rsid w:val="06E8731C"/>
    <w:rsid w:val="06E93A59"/>
    <w:rsid w:val="06F57B28"/>
    <w:rsid w:val="06FF4665"/>
    <w:rsid w:val="070600AB"/>
    <w:rsid w:val="070F5664"/>
    <w:rsid w:val="071010C3"/>
    <w:rsid w:val="071D23BF"/>
    <w:rsid w:val="074A1D85"/>
    <w:rsid w:val="075443A4"/>
    <w:rsid w:val="076444C8"/>
    <w:rsid w:val="076D7821"/>
    <w:rsid w:val="077C2B80"/>
    <w:rsid w:val="07951889"/>
    <w:rsid w:val="07A2403A"/>
    <w:rsid w:val="07B95428"/>
    <w:rsid w:val="07BA75CC"/>
    <w:rsid w:val="07C66F31"/>
    <w:rsid w:val="07C81BD2"/>
    <w:rsid w:val="07DE62F4"/>
    <w:rsid w:val="07E4488E"/>
    <w:rsid w:val="07EF46DA"/>
    <w:rsid w:val="07FE2B6F"/>
    <w:rsid w:val="081455E7"/>
    <w:rsid w:val="083C590F"/>
    <w:rsid w:val="0850658F"/>
    <w:rsid w:val="08747A4E"/>
    <w:rsid w:val="087F7D52"/>
    <w:rsid w:val="088E5CA1"/>
    <w:rsid w:val="08A74FB5"/>
    <w:rsid w:val="08C54B6C"/>
    <w:rsid w:val="08CD42C3"/>
    <w:rsid w:val="08F54AD4"/>
    <w:rsid w:val="08FB79D5"/>
    <w:rsid w:val="093218B8"/>
    <w:rsid w:val="09323D1A"/>
    <w:rsid w:val="0943163C"/>
    <w:rsid w:val="094429A9"/>
    <w:rsid w:val="09450EF5"/>
    <w:rsid w:val="094F030E"/>
    <w:rsid w:val="096B668A"/>
    <w:rsid w:val="098F2582"/>
    <w:rsid w:val="09982F06"/>
    <w:rsid w:val="09BC692F"/>
    <w:rsid w:val="09D92F4C"/>
    <w:rsid w:val="09DE3D77"/>
    <w:rsid w:val="09FA2A30"/>
    <w:rsid w:val="09FC086D"/>
    <w:rsid w:val="0A043418"/>
    <w:rsid w:val="0A066AE7"/>
    <w:rsid w:val="0A1E2CD7"/>
    <w:rsid w:val="0A1E38DB"/>
    <w:rsid w:val="0A345099"/>
    <w:rsid w:val="0A3E54A5"/>
    <w:rsid w:val="0A410AF1"/>
    <w:rsid w:val="0A822708"/>
    <w:rsid w:val="0AB062DE"/>
    <w:rsid w:val="0AB16AEB"/>
    <w:rsid w:val="0ADB4E00"/>
    <w:rsid w:val="0AF14BE1"/>
    <w:rsid w:val="0AF266E6"/>
    <w:rsid w:val="0B035CFD"/>
    <w:rsid w:val="0B330193"/>
    <w:rsid w:val="0B367B81"/>
    <w:rsid w:val="0B4D2041"/>
    <w:rsid w:val="0B4F350C"/>
    <w:rsid w:val="0B561904"/>
    <w:rsid w:val="0B810178"/>
    <w:rsid w:val="0B8C613C"/>
    <w:rsid w:val="0B9B2470"/>
    <w:rsid w:val="0BA42DF8"/>
    <w:rsid w:val="0BAD28E2"/>
    <w:rsid w:val="0BC05029"/>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3D31E7"/>
    <w:rsid w:val="0D3F57BC"/>
    <w:rsid w:val="0D4A5AE4"/>
    <w:rsid w:val="0D4A69C4"/>
    <w:rsid w:val="0D6B774E"/>
    <w:rsid w:val="0D6D759B"/>
    <w:rsid w:val="0D731909"/>
    <w:rsid w:val="0D894552"/>
    <w:rsid w:val="0D8E0749"/>
    <w:rsid w:val="0D974A81"/>
    <w:rsid w:val="0D9A6E96"/>
    <w:rsid w:val="0DAC1464"/>
    <w:rsid w:val="0DAF34F7"/>
    <w:rsid w:val="0DD435CE"/>
    <w:rsid w:val="0DD64FD6"/>
    <w:rsid w:val="0DFF72BF"/>
    <w:rsid w:val="0E0C3FEA"/>
    <w:rsid w:val="0E1A2764"/>
    <w:rsid w:val="0E2D3511"/>
    <w:rsid w:val="0E3015A8"/>
    <w:rsid w:val="0E457DA4"/>
    <w:rsid w:val="0E8536A2"/>
    <w:rsid w:val="0EB102CC"/>
    <w:rsid w:val="0EB64271"/>
    <w:rsid w:val="0EBD639E"/>
    <w:rsid w:val="0EC06F8B"/>
    <w:rsid w:val="0EC124C7"/>
    <w:rsid w:val="0ED07684"/>
    <w:rsid w:val="0ED71A24"/>
    <w:rsid w:val="0EDC1488"/>
    <w:rsid w:val="0F1308BE"/>
    <w:rsid w:val="0F1936C6"/>
    <w:rsid w:val="0F2F5BC8"/>
    <w:rsid w:val="0F4D46E4"/>
    <w:rsid w:val="0F586E8B"/>
    <w:rsid w:val="0F76267B"/>
    <w:rsid w:val="0F764DAA"/>
    <w:rsid w:val="0F7A0352"/>
    <w:rsid w:val="0FB21661"/>
    <w:rsid w:val="0FBA737B"/>
    <w:rsid w:val="0FBE3FDF"/>
    <w:rsid w:val="0FC13724"/>
    <w:rsid w:val="0FC13BA4"/>
    <w:rsid w:val="0FF5674C"/>
    <w:rsid w:val="100665E7"/>
    <w:rsid w:val="10234F21"/>
    <w:rsid w:val="10321608"/>
    <w:rsid w:val="10374E70"/>
    <w:rsid w:val="10490802"/>
    <w:rsid w:val="106D343E"/>
    <w:rsid w:val="109F7501"/>
    <w:rsid w:val="10BC4D9C"/>
    <w:rsid w:val="10D26947"/>
    <w:rsid w:val="10E63D07"/>
    <w:rsid w:val="10EA0B48"/>
    <w:rsid w:val="10EE7A36"/>
    <w:rsid w:val="112569BD"/>
    <w:rsid w:val="112C793F"/>
    <w:rsid w:val="112F3FEE"/>
    <w:rsid w:val="11535CDA"/>
    <w:rsid w:val="1165096A"/>
    <w:rsid w:val="117355CD"/>
    <w:rsid w:val="117B6FDE"/>
    <w:rsid w:val="11813F2D"/>
    <w:rsid w:val="119A5D6D"/>
    <w:rsid w:val="119D218D"/>
    <w:rsid w:val="11C27D8D"/>
    <w:rsid w:val="122E4051"/>
    <w:rsid w:val="12596AAD"/>
    <w:rsid w:val="125F2EFB"/>
    <w:rsid w:val="12684E18"/>
    <w:rsid w:val="127A1044"/>
    <w:rsid w:val="12901B64"/>
    <w:rsid w:val="12940358"/>
    <w:rsid w:val="129853FE"/>
    <w:rsid w:val="12A62601"/>
    <w:rsid w:val="12AF5E79"/>
    <w:rsid w:val="12BC7A08"/>
    <w:rsid w:val="12EB77BA"/>
    <w:rsid w:val="13021765"/>
    <w:rsid w:val="130848A2"/>
    <w:rsid w:val="1315735E"/>
    <w:rsid w:val="13175458"/>
    <w:rsid w:val="13315BA7"/>
    <w:rsid w:val="13427309"/>
    <w:rsid w:val="13451652"/>
    <w:rsid w:val="134674CA"/>
    <w:rsid w:val="13481E1B"/>
    <w:rsid w:val="134D58B5"/>
    <w:rsid w:val="134F29F1"/>
    <w:rsid w:val="13610F31"/>
    <w:rsid w:val="13814851"/>
    <w:rsid w:val="13983A06"/>
    <w:rsid w:val="139C5DDF"/>
    <w:rsid w:val="13C8403A"/>
    <w:rsid w:val="14276FAA"/>
    <w:rsid w:val="1428676E"/>
    <w:rsid w:val="14942891"/>
    <w:rsid w:val="14A32AD4"/>
    <w:rsid w:val="14B81621"/>
    <w:rsid w:val="14B9438E"/>
    <w:rsid w:val="14CD67D8"/>
    <w:rsid w:val="14DE0E97"/>
    <w:rsid w:val="15007F26"/>
    <w:rsid w:val="15010A1F"/>
    <w:rsid w:val="152A72CD"/>
    <w:rsid w:val="152E1A46"/>
    <w:rsid w:val="15310F27"/>
    <w:rsid w:val="15311B63"/>
    <w:rsid w:val="156D4E90"/>
    <w:rsid w:val="15820DF5"/>
    <w:rsid w:val="15836FE5"/>
    <w:rsid w:val="158C17BA"/>
    <w:rsid w:val="159D5775"/>
    <w:rsid w:val="159E0979"/>
    <w:rsid w:val="159E329B"/>
    <w:rsid w:val="15AF49FD"/>
    <w:rsid w:val="15B75686"/>
    <w:rsid w:val="15D40898"/>
    <w:rsid w:val="15D942D4"/>
    <w:rsid w:val="16210154"/>
    <w:rsid w:val="162B58E5"/>
    <w:rsid w:val="164370B9"/>
    <w:rsid w:val="16437564"/>
    <w:rsid w:val="165241DD"/>
    <w:rsid w:val="165247B2"/>
    <w:rsid w:val="1669533A"/>
    <w:rsid w:val="16721235"/>
    <w:rsid w:val="168258D3"/>
    <w:rsid w:val="168406E3"/>
    <w:rsid w:val="16A0147D"/>
    <w:rsid w:val="16CF110B"/>
    <w:rsid w:val="16D619CF"/>
    <w:rsid w:val="16DF591A"/>
    <w:rsid w:val="16EB52A0"/>
    <w:rsid w:val="171151D4"/>
    <w:rsid w:val="171E4694"/>
    <w:rsid w:val="172B37CA"/>
    <w:rsid w:val="173E6AE4"/>
    <w:rsid w:val="175763E9"/>
    <w:rsid w:val="17667DE9"/>
    <w:rsid w:val="177236B1"/>
    <w:rsid w:val="177421CC"/>
    <w:rsid w:val="178D1819"/>
    <w:rsid w:val="179A3525"/>
    <w:rsid w:val="17B60D70"/>
    <w:rsid w:val="17D729AD"/>
    <w:rsid w:val="17D975F9"/>
    <w:rsid w:val="17EA2613"/>
    <w:rsid w:val="17F04282"/>
    <w:rsid w:val="180C06FF"/>
    <w:rsid w:val="184B75B0"/>
    <w:rsid w:val="185F4F64"/>
    <w:rsid w:val="18624A54"/>
    <w:rsid w:val="18695063"/>
    <w:rsid w:val="186A5E5F"/>
    <w:rsid w:val="18716DD3"/>
    <w:rsid w:val="18810277"/>
    <w:rsid w:val="18940DBD"/>
    <w:rsid w:val="18AA4C3A"/>
    <w:rsid w:val="18C45972"/>
    <w:rsid w:val="18D11D43"/>
    <w:rsid w:val="18DD7277"/>
    <w:rsid w:val="18E62F75"/>
    <w:rsid w:val="18F25579"/>
    <w:rsid w:val="19052F7D"/>
    <w:rsid w:val="190F460C"/>
    <w:rsid w:val="191B572E"/>
    <w:rsid w:val="192C5653"/>
    <w:rsid w:val="194202DC"/>
    <w:rsid w:val="19426902"/>
    <w:rsid w:val="194955AD"/>
    <w:rsid w:val="194A350E"/>
    <w:rsid w:val="197C38F4"/>
    <w:rsid w:val="197F4E01"/>
    <w:rsid w:val="19831A11"/>
    <w:rsid w:val="19941D18"/>
    <w:rsid w:val="199F0C93"/>
    <w:rsid w:val="19ED5937"/>
    <w:rsid w:val="1A1F2B77"/>
    <w:rsid w:val="1A3420A1"/>
    <w:rsid w:val="1A4F01C3"/>
    <w:rsid w:val="1A514D80"/>
    <w:rsid w:val="1A605254"/>
    <w:rsid w:val="1A710F9A"/>
    <w:rsid w:val="1A793136"/>
    <w:rsid w:val="1A7B3BAB"/>
    <w:rsid w:val="1AAE7A56"/>
    <w:rsid w:val="1ADA4D76"/>
    <w:rsid w:val="1AF22F12"/>
    <w:rsid w:val="1AF83EF2"/>
    <w:rsid w:val="1AFC3CEE"/>
    <w:rsid w:val="1B04361C"/>
    <w:rsid w:val="1B0515CB"/>
    <w:rsid w:val="1B065B6B"/>
    <w:rsid w:val="1B34540E"/>
    <w:rsid w:val="1B59735D"/>
    <w:rsid w:val="1B5F6589"/>
    <w:rsid w:val="1B6B624B"/>
    <w:rsid w:val="1B867E2B"/>
    <w:rsid w:val="1B8F790E"/>
    <w:rsid w:val="1B9325AF"/>
    <w:rsid w:val="1BAB65F3"/>
    <w:rsid w:val="1BF54F23"/>
    <w:rsid w:val="1BFF71F2"/>
    <w:rsid w:val="1C203A59"/>
    <w:rsid w:val="1C2638BB"/>
    <w:rsid w:val="1C690AB7"/>
    <w:rsid w:val="1C857158"/>
    <w:rsid w:val="1C880752"/>
    <w:rsid w:val="1C9F0025"/>
    <w:rsid w:val="1CB03FE0"/>
    <w:rsid w:val="1CBB1806"/>
    <w:rsid w:val="1CD70A8D"/>
    <w:rsid w:val="1CE0094F"/>
    <w:rsid w:val="1CEA0B3E"/>
    <w:rsid w:val="1CFF05A2"/>
    <w:rsid w:val="1D142D0A"/>
    <w:rsid w:val="1D3D0699"/>
    <w:rsid w:val="1D41732E"/>
    <w:rsid w:val="1D4C1E48"/>
    <w:rsid w:val="1D555DBB"/>
    <w:rsid w:val="1D6D08C8"/>
    <w:rsid w:val="1D732583"/>
    <w:rsid w:val="1D943AC4"/>
    <w:rsid w:val="1DC713F1"/>
    <w:rsid w:val="1DE062F7"/>
    <w:rsid w:val="1E0B5246"/>
    <w:rsid w:val="1E2955AB"/>
    <w:rsid w:val="1E3A254E"/>
    <w:rsid w:val="1E467139"/>
    <w:rsid w:val="1E59183C"/>
    <w:rsid w:val="1E5A2DCB"/>
    <w:rsid w:val="1E6A4217"/>
    <w:rsid w:val="1EBC3475"/>
    <w:rsid w:val="1ED80E47"/>
    <w:rsid w:val="1EEA2418"/>
    <w:rsid w:val="1EF06916"/>
    <w:rsid w:val="1F291141"/>
    <w:rsid w:val="1F906557"/>
    <w:rsid w:val="1FA01FA3"/>
    <w:rsid w:val="1FA738B6"/>
    <w:rsid w:val="1FB57FD9"/>
    <w:rsid w:val="1FBA5871"/>
    <w:rsid w:val="1FD60202"/>
    <w:rsid w:val="1FD91AA0"/>
    <w:rsid w:val="1FFA436F"/>
    <w:rsid w:val="2023605D"/>
    <w:rsid w:val="202E0054"/>
    <w:rsid w:val="2039775F"/>
    <w:rsid w:val="205E12AA"/>
    <w:rsid w:val="206C2914"/>
    <w:rsid w:val="207259FF"/>
    <w:rsid w:val="208F03B0"/>
    <w:rsid w:val="20B322F1"/>
    <w:rsid w:val="20E912AD"/>
    <w:rsid w:val="20E97AC1"/>
    <w:rsid w:val="20EE4BC2"/>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B59F6"/>
    <w:rsid w:val="223F1EBC"/>
    <w:rsid w:val="2241472B"/>
    <w:rsid w:val="224A2034"/>
    <w:rsid w:val="22573022"/>
    <w:rsid w:val="225752E2"/>
    <w:rsid w:val="22611985"/>
    <w:rsid w:val="22776AA9"/>
    <w:rsid w:val="227930C6"/>
    <w:rsid w:val="229E2B2D"/>
    <w:rsid w:val="22B12D55"/>
    <w:rsid w:val="22BD2FEC"/>
    <w:rsid w:val="22D754B7"/>
    <w:rsid w:val="22F556ED"/>
    <w:rsid w:val="23052768"/>
    <w:rsid w:val="230B7D43"/>
    <w:rsid w:val="23235A35"/>
    <w:rsid w:val="2342582F"/>
    <w:rsid w:val="234A0DE6"/>
    <w:rsid w:val="236A2FB3"/>
    <w:rsid w:val="239857CE"/>
    <w:rsid w:val="23A40CAB"/>
    <w:rsid w:val="23D41DF4"/>
    <w:rsid w:val="2426102C"/>
    <w:rsid w:val="24300E1A"/>
    <w:rsid w:val="2432461A"/>
    <w:rsid w:val="24493596"/>
    <w:rsid w:val="24A01530"/>
    <w:rsid w:val="24FD3B3B"/>
    <w:rsid w:val="2508146F"/>
    <w:rsid w:val="25094DF1"/>
    <w:rsid w:val="250B47D5"/>
    <w:rsid w:val="250D1709"/>
    <w:rsid w:val="251B16DB"/>
    <w:rsid w:val="253416C3"/>
    <w:rsid w:val="256516E0"/>
    <w:rsid w:val="25775800"/>
    <w:rsid w:val="257A29E1"/>
    <w:rsid w:val="25826736"/>
    <w:rsid w:val="259A17FF"/>
    <w:rsid w:val="259F56DC"/>
    <w:rsid w:val="25B52667"/>
    <w:rsid w:val="25BE4930"/>
    <w:rsid w:val="25C82307"/>
    <w:rsid w:val="25DC58CF"/>
    <w:rsid w:val="25DC6A54"/>
    <w:rsid w:val="25EC2C9C"/>
    <w:rsid w:val="25ED3C47"/>
    <w:rsid w:val="260D79C5"/>
    <w:rsid w:val="265579DE"/>
    <w:rsid w:val="26571970"/>
    <w:rsid w:val="26753E72"/>
    <w:rsid w:val="267912AC"/>
    <w:rsid w:val="26925354"/>
    <w:rsid w:val="26A64EB5"/>
    <w:rsid w:val="26B7240F"/>
    <w:rsid w:val="26BE36E4"/>
    <w:rsid w:val="26EF04C4"/>
    <w:rsid w:val="2710174D"/>
    <w:rsid w:val="271E248E"/>
    <w:rsid w:val="271E423C"/>
    <w:rsid w:val="27243473"/>
    <w:rsid w:val="273768CB"/>
    <w:rsid w:val="274C6B6A"/>
    <w:rsid w:val="27545409"/>
    <w:rsid w:val="275F7D60"/>
    <w:rsid w:val="2781595E"/>
    <w:rsid w:val="27855A03"/>
    <w:rsid w:val="2787548C"/>
    <w:rsid w:val="27B6351B"/>
    <w:rsid w:val="27BA2AFC"/>
    <w:rsid w:val="27BF1E49"/>
    <w:rsid w:val="27D843EB"/>
    <w:rsid w:val="27FA6A57"/>
    <w:rsid w:val="281573ED"/>
    <w:rsid w:val="2832197B"/>
    <w:rsid w:val="283220EC"/>
    <w:rsid w:val="28371A20"/>
    <w:rsid w:val="28416434"/>
    <w:rsid w:val="2858675A"/>
    <w:rsid w:val="28752806"/>
    <w:rsid w:val="28754330"/>
    <w:rsid w:val="287965F1"/>
    <w:rsid w:val="2895052E"/>
    <w:rsid w:val="28C16AFD"/>
    <w:rsid w:val="28D36E69"/>
    <w:rsid w:val="28D91000"/>
    <w:rsid w:val="28DD75F1"/>
    <w:rsid w:val="28E079FB"/>
    <w:rsid w:val="293715E5"/>
    <w:rsid w:val="294729C4"/>
    <w:rsid w:val="29475665"/>
    <w:rsid w:val="29527F41"/>
    <w:rsid w:val="29656152"/>
    <w:rsid w:val="296708AB"/>
    <w:rsid w:val="2971739F"/>
    <w:rsid w:val="29757990"/>
    <w:rsid w:val="29A34B64"/>
    <w:rsid w:val="29B82726"/>
    <w:rsid w:val="29CA20EB"/>
    <w:rsid w:val="29EF6F2B"/>
    <w:rsid w:val="29F12595"/>
    <w:rsid w:val="29F23E8A"/>
    <w:rsid w:val="29F556BC"/>
    <w:rsid w:val="2A1E641E"/>
    <w:rsid w:val="2A327821"/>
    <w:rsid w:val="2A346998"/>
    <w:rsid w:val="2A850B83"/>
    <w:rsid w:val="2A860A4D"/>
    <w:rsid w:val="2A9B2ABC"/>
    <w:rsid w:val="2AA809EC"/>
    <w:rsid w:val="2ADA34F8"/>
    <w:rsid w:val="2ADC043E"/>
    <w:rsid w:val="2B1D4438"/>
    <w:rsid w:val="2B2636BF"/>
    <w:rsid w:val="2B5A3C59"/>
    <w:rsid w:val="2B6234F9"/>
    <w:rsid w:val="2B666BBA"/>
    <w:rsid w:val="2B69017C"/>
    <w:rsid w:val="2B741AE2"/>
    <w:rsid w:val="2BDF65F0"/>
    <w:rsid w:val="2BF066EE"/>
    <w:rsid w:val="2C2E3173"/>
    <w:rsid w:val="2C385DA0"/>
    <w:rsid w:val="2C792640"/>
    <w:rsid w:val="2C7967B4"/>
    <w:rsid w:val="2CA174A1"/>
    <w:rsid w:val="2CDC497D"/>
    <w:rsid w:val="2CE675AA"/>
    <w:rsid w:val="2D202FFC"/>
    <w:rsid w:val="2D240D94"/>
    <w:rsid w:val="2D2F7E73"/>
    <w:rsid w:val="2D3E1E3B"/>
    <w:rsid w:val="2D52784C"/>
    <w:rsid w:val="2D574004"/>
    <w:rsid w:val="2D587244"/>
    <w:rsid w:val="2D7E030B"/>
    <w:rsid w:val="2D874707"/>
    <w:rsid w:val="2D9B5F5C"/>
    <w:rsid w:val="2DA67467"/>
    <w:rsid w:val="2DA965AC"/>
    <w:rsid w:val="2DD41AF8"/>
    <w:rsid w:val="2DFB0E33"/>
    <w:rsid w:val="2E146C61"/>
    <w:rsid w:val="2E2024F4"/>
    <w:rsid w:val="2E50117F"/>
    <w:rsid w:val="2E521F8C"/>
    <w:rsid w:val="2E7108CE"/>
    <w:rsid w:val="2E89343E"/>
    <w:rsid w:val="2EC07B78"/>
    <w:rsid w:val="2ED51684"/>
    <w:rsid w:val="2ED8324F"/>
    <w:rsid w:val="2EDC01DB"/>
    <w:rsid w:val="2EDC786C"/>
    <w:rsid w:val="2F330D9C"/>
    <w:rsid w:val="2F651D57"/>
    <w:rsid w:val="2F8635D9"/>
    <w:rsid w:val="2F8B61E7"/>
    <w:rsid w:val="2F9B467C"/>
    <w:rsid w:val="2FA21DD2"/>
    <w:rsid w:val="2FAE47F3"/>
    <w:rsid w:val="2FB7230F"/>
    <w:rsid w:val="2FE211F5"/>
    <w:rsid w:val="301F71B6"/>
    <w:rsid w:val="30462597"/>
    <w:rsid w:val="305A4537"/>
    <w:rsid w:val="30773223"/>
    <w:rsid w:val="30843FBD"/>
    <w:rsid w:val="30A77352"/>
    <w:rsid w:val="30D31E1D"/>
    <w:rsid w:val="30D749CE"/>
    <w:rsid w:val="30E57CE4"/>
    <w:rsid w:val="30E718B8"/>
    <w:rsid w:val="30E87D95"/>
    <w:rsid w:val="30FB4493"/>
    <w:rsid w:val="30FB5378"/>
    <w:rsid w:val="30FD4EC2"/>
    <w:rsid w:val="31031A98"/>
    <w:rsid w:val="310456F9"/>
    <w:rsid w:val="31065E0B"/>
    <w:rsid w:val="31146C33"/>
    <w:rsid w:val="31216A4B"/>
    <w:rsid w:val="312608BD"/>
    <w:rsid w:val="313219C7"/>
    <w:rsid w:val="313703D4"/>
    <w:rsid w:val="315415C0"/>
    <w:rsid w:val="315F7FF4"/>
    <w:rsid w:val="317A3B38"/>
    <w:rsid w:val="317D2DCE"/>
    <w:rsid w:val="317E224F"/>
    <w:rsid w:val="318C34D6"/>
    <w:rsid w:val="319465D3"/>
    <w:rsid w:val="31A84CA4"/>
    <w:rsid w:val="31CD2AE7"/>
    <w:rsid w:val="31D97580"/>
    <w:rsid w:val="31E50F27"/>
    <w:rsid w:val="3214172E"/>
    <w:rsid w:val="321E7D45"/>
    <w:rsid w:val="32204376"/>
    <w:rsid w:val="32524842"/>
    <w:rsid w:val="32956620"/>
    <w:rsid w:val="32B614DA"/>
    <w:rsid w:val="32FA790B"/>
    <w:rsid w:val="32FD6730"/>
    <w:rsid w:val="332442D6"/>
    <w:rsid w:val="332C406F"/>
    <w:rsid w:val="33344883"/>
    <w:rsid w:val="336A54B0"/>
    <w:rsid w:val="337B160B"/>
    <w:rsid w:val="33987D41"/>
    <w:rsid w:val="33A15FD9"/>
    <w:rsid w:val="33A202EE"/>
    <w:rsid w:val="340C492A"/>
    <w:rsid w:val="34113733"/>
    <w:rsid w:val="3421711A"/>
    <w:rsid w:val="3428494C"/>
    <w:rsid w:val="343A5AC9"/>
    <w:rsid w:val="34422EDE"/>
    <w:rsid w:val="345427A3"/>
    <w:rsid w:val="34853DA1"/>
    <w:rsid w:val="349E7719"/>
    <w:rsid w:val="34AF45C0"/>
    <w:rsid w:val="34B33FAF"/>
    <w:rsid w:val="34D27F17"/>
    <w:rsid w:val="34F84CA4"/>
    <w:rsid w:val="350C1B78"/>
    <w:rsid w:val="35111E45"/>
    <w:rsid w:val="35201D4B"/>
    <w:rsid w:val="35357321"/>
    <w:rsid w:val="355E6877"/>
    <w:rsid w:val="356E1876"/>
    <w:rsid w:val="35AB1391"/>
    <w:rsid w:val="35F566E2"/>
    <w:rsid w:val="36084F79"/>
    <w:rsid w:val="361221A9"/>
    <w:rsid w:val="3619454C"/>
    <w:rsid w:val="362C3918"/>
    <w:rsid w:val="364B1250"/>
    <w:rsid w:val="364B2C6B"/>
    <w:rsid w:val="36583FC6"/>
    <w:rsid w:val="36624145"/>
    <w:rsid w:val="367E6CA2"/>
    <w:rsid w:val="368112E6"/>
    <w:rsid w:val="3682621C"/>
    <w:rsid w:val="36892355"/>
    <w:rsid w:val="36913CE5"/>
    <w:rsid w:val="36952F47"/>
    <w:rsid w:val="36B50719"/>
    <w:rsid w:val="36C941C4"/>
    <w:rsid w:val="36D72F9F"/>
    <w:rsid w:val="36E7464B"/>
    <w:rsid w:val="37055B53"/>
    <w:rsid w:val="370D6A0B"/>
    <w:rsid w:val="3716753C"/>
    <w:rsid w:val="37623835"/>
    <w:rsid w:val="376A110E"/>
    <w:rsid w:val="376E08C8"/>
    <w:rsid w:val="37702785"/>
    <w:rsid w:val="37905DDE"/>
    <w:rsid w:val="37975EEE"/>
    <w:rsid w:val="37B3452D"/>
    <w:rsid w:val="37D37EA2"/>
    <w:rsid w:val="37DB647A"/>
    <w:rsid w:val="37DC3558"/>
    <w:rsid w:val="37EB016A"/>
    <w:rsid w:val="38066D52"/>
    <w:rsid w:val="380D3FB3"/>
    <w:rsid w:val="38454CBB"/>
    <w:rsid w:val="38521F98"/>
    <w:rsid w:val="38527190"/>
    <w:rsid w:val="38575800"/>
    <w:rsid w:val="386C12AB"/>
    <w:rsid w:val="387463B2"/>
    <w:rsid w:val="387E2D8D"/>
    <w:rsid w:val="38820906"/>
    <w:rsid w:val="38A04AB1"/>
    <w:rsid w:val="38B75191"/>
    <w:rsid w:val="38C522B1"/>
    <w:rsid w:val="38CF0F38"/>
    <w:rsid w:val="38DB01DF"/>
    <w:rsid w:val="38DB1144"/>
    <w:rsid w:val="38FA2AE8"/>
    <w:rsid w:val="391C382C"/>
    <w:rsid w:val="391F1AD6"/>
    <w:rsid w:val="39205BF2"/>
    <w:rsid w:val="39231DE4"/>
    <w:rsid w:val="392950DA"/>
    <w:rsid w:val="39316051"/>
    <w:rsid w:val="39413981"/>
    <w:rsid w:val="39433D7D"/>
    <w:rsid w:val="395B4E7C"/>
    <w:rsid w:val="395F68DB"/>
    <w:rsid w:val="3964595B"/>
    <w:rsid w:val="3965545D"/>
    <w:rsid w:val="397228F1"/>
    <w:rsid w:val="397F4F63"/>
    <w:rsid w:val="398A3227"/>
    <w:rsid w:val="3991089E"/>
    <w:rsid w:val="39AD27A5"/>
    <w:rsid w:val="39AE31AA"/>
    <w:rsid w:val="39B822CE"/>
    <w:rsid w:val="39C21A0A"/>
    <w:rsid w:val="39C56CF2"/>
    <w:rsid w:val="39EF043F"/>
    <w:rsid w:val="3A2F07E2"/>
    <w:rsid w:val="3A3660E1"/>
    <w:rsid w:val="3A506899"/>
    <w:rsid w:val="3A581C40"/>
    <w:rsid w:val="3A7D7538"/>
    <w:rsid w:val="3A816B64"/>
    <w:rsid w:val="3A8D52FF"/>
    <w:rsid w:val="3A9435BF"/>
    <w:rsid w:val="3AA91952"/>
    <w:rsid w:val="3ABC2526"/>
    <w:rsid w:val="3AE41E37"/>
    <w:rsid w:val="3AEA67E2"/>
    <w:rsid w:val="3AF772EE"/>
    <w:rsid w:val="3AF966A0"/>
    <w:rsid w:val="3B157562"/>
    <w:rsid w:val="3B1E43B3"/>
    <w:rsid w:val="3B3E35BF"/>
    <w:rsid w:val="3B413B9B"/>
    <w:rsid w:val="3B6402E9"/>
    <w:rsid w:val="3B82290E"/>
    <w:rsid w:val="3B954675"/>
    <w:rsid w:val="3BA1126C"/>
    <w:rsid w:val="3BF336F9"/>
    <w:rsid w:val="3BF37A01"/>
    <w:rsid w:val="3C126A55"/>
    <w:rsid w:val="3C261771"/>
    <w:rsid w:val="3C4B0F1D"/>
    <w:rsid w:val="3C793F97"/>
    <w:rsid w:val="3C836BC3"/>
    <w:rsid w:val="3C8C784A"/>
    <w:rsid w:val="3D1A3AF9"/>
    <w:rsid w:val="3D232155"/>
    <w:rsid w:val="3D2C65C4"/>
    <w:rsid w:val="3D317E96"/>
    <w:rsid w:val="3D3659E4"/>
    <w:rsid w:val="3D4C3459"/>
    <w:rsid w:val="3D5A7726"/>
    <w:rsid w:val="3D5B1C38"/>
    <w:rsid w:val="3D5D604E"/>
    <w:rsid w:val="3D98739B"/>
    <w:rsid w:val="3DB77095"/>
    <w:rsid w:val="3DC4314B"/>
    <w:rsid w:val="3DC56FEF"/>
    <w:rsid w:val="3DCB32B8"/>
    <w:rsid w:val="3DD575F5"/>
    <w:rsid w:val="3DEF0812"/>
    <w:rsid w:val="3E270C30"/>
    <w:rsid w:val="3E3150C4"/>
    <w:rsid w:val="3E35213F"/>
    <w:rsid w:val="3E375AC1"/>
    <w:rsid w:val="3E6D57E8"/>
    <w:rsid w:val="3E7201E0"/>
    <w:rsid w:val="3E851D17"/>
    <w:rsid w:val="3E9C50F3"/>
    <w:rsid w:val="3EB62267"/>
    <w:rsid w:val="3EC62D97"/>
    <w:rsid w:val="3EDC6612"/>
    <w:rsid w:val="3EE849A4"/>
    <w:rsid w:val="3EEE0400"/>
    <w:rsid w:val="3F16473F"/>
    <w:rsid w:val="3F174BBC"/>
    <w:rsid w:val="3F1B7587"/>
    <w:rsid w:val="3FA550A3"/>
    <w:rsid w:val="3FBA2007"/>
    <w:rsid w:val="3FD1586E"/>
    <w:rsid w:val="40112738"/>
    <w:rsid w:val="401E02E8"/>
    <w:rsid w:val="40240ADB"/>
    <w:rsid w:val="402F0251"/>
    <w:rsid w:val="40436567"/>
    <w:rsid w:val="404569E7"/>
    <w:rsid w:val="40463591"/>
    <w:rsid w:val="40594887"/>
    <w:rsid w:val="408C4A92"/>
    <w:rsid w:val="40AE695B"/>
    <w:rsid w:val="40AF61D9"/>
    <w:rsid w:val="40ED1680"/>
    <w:rsid w:val="41016B68"/>
    <w:rsid w:val="41052399"/>
    <w:rsid w:val="4108722C"/>
    <w:rsid w:val="41162E6C"/>
    <w:rsid w:val="411F7F8E"/>
    <w:rsid w:val="41222C0F"/>
    <w:rsid w:val="413606A8"/>
    <w:rsid w:val="415E7BFF"/>
    <w:rsid w:val="41AF045B"/>
    <w:rsid w:val="41B75EC0"/>
    <w:rsid w:val="41BD0482"/>
    <w:rsid w:val="41D216D8"/>
    <w:rsid w:val="420C1409"/>
    <w:rsid w:val="42332B8B"/>
    <w:rsid w:val="42440B97"/>
    <w:rsid w:val="42755200"/>
    <w:rsid w:val="4280659A"/>
    <w:rsid w:val="4295517F"/>
    <w:rsid w:val="42A17DA3"/>
    <w:rsid w:val="42BF454B"/>
    <w:rsid w:val="42DB23BC"/>
    <w:rsid w:val="42DF267A"/>
    <w:rsid w:val="43000A22"/>
    <w:rsid w:val="4315253F"/>
    <w:rsid w:val="43367E14"/>
    <w:rsid w:val="433913A3"/>
    <w:rsid w:val="43592C8A"/>
    <w:rsid w:val="43855B75"/>
    <w:rsid w:val="43A12B25"/>
    <w:rsid w:val="43C52F58"/>
    <w:rsid w:val="43C86F4E"/>
    <w:rsid w:val="43F44D65"/>
    <w:rsid w:val="440231F1"/>
    <w:rsid w:val="442C18EF"/>
    <w:rsid w:val="4431246F"/>
    <w:rsid w:val="444F06AF"/>
    <w:rsid w:val="445F7F16"/>
    <w:rsid w:val="446A761A"/>
    <w:rsid w:val="4470274E"/>
    <w:rsid w:val="4475798E"/>
    <w:rsid w:val="44816B44"/>
    <w:rsid w:val="4485051C"/>
    <w:rsid w:val="448878B9"/>
    <w:rsid w:val="4491564E"/>
    <w:rsid w:val="44AD24DB"/>
    <w:rsid w:val="44AE67A8"/>
    <w:rsid w:val="45050ABD"/>
    <w:rsid w:val="45237196"/>
    <w:rsid w:val="453809C1"/>
    <w:rsid w:val="45573949"/>
    <w:rsid w:val="45693D2E"/>
    <w:rsid w:val="45897440"/>
    <w:rsid w:val="45997458"/>
    <w:rsid w:val="45C0799E"/>
    <w:rsid w:val="45D65E54"/>
    <w:rsid w:val="45FD706E"/>
    <w:rsid w:val="460C0E7F"/>
    <w:rsid w:val="461A71B3"/>
    <w:rsid w:val="4651027F"/>
    <w:rsid w:val="46991366"/>
    <w:rsid w:val="46A71F6C"/>
    <w:rsid w:val="46CC1F59"/>
    <w:rsid w:val="46EC722E"/>
    <w:rsid w:val="46EF38B3"/>
    <w:rsid w:val="46FA3710"/>
    <w:rsid w:val="46FB43C1"/>
    <w:rsid w:val="470E5446"/>
    <w:rsid w:val="47196ACD"/>
    <w:rsid w:val="47631957"/>
    <w:rsid w:val="47655843"/>
    <w:rsid w:val="476C4092"/>
    <w:rsid w:val="47923C35"/>
    <w:rsid w:val="47A838A3"/>
    <w:rsid w:val="47C31B76"/>
    <w:rsid w:val="47D47673"/>
    <w:rsid w:val="47D868BC"/>
    <w:rsid w:val="47DC027C"/>
    <w:rsid w:val="47EA5D49"/>
    <w:rsid w:val="480D56FC"/>
    <w:rsid w:val="481421FE"/>
    <w:rsid w:val="48350DC1"/>
    <w:rsid w:val="48474AA0"/>
    <w:rsid w:val="484A2C8B"/>
    <w:rsid w:val="487E0D7E"/>
    <w:rsid w:val="487F599F"/>
    <w:rsid w:val="488432D6"/>
    <w:rsid w:val="48965A85"/>
    <w:rsid w:val="48C04CFB"/>
    <w:rsid w:val="48D82928"/>
    <w:rsid w:val="48DE70DB"/>
    <w:rsid w:val="48E1539E"/>
    <w:rsid w:val="49144154"/>
    <w:rsid w:val="491E266C"/>
    <w:rsid w:val="49263D3E"/>
    <w:rsid w:val="492D2391"/>
    <w:rsid w:val="4981114E"/>
    <w:rsid w:val="498678A5"/>
    <w:rsid w:val="498D72D3"/>
    <w:rsid w:val="49903741"/>
    <w:rsid w:val="49964EBD"/>
    <w:rsid w:val="49A32653"/>
    <w:rsid w:val="49D550FD"/>
    <w:rsid w:val="49DA1730"/>
    <w:rsid w:val="49F26FD9"/>
    <w:rsid w:val="49F34767"/>
    <w:rsid w:val="4A022010"/>
    <w:rsid w:val="4A0D21C2"/>
    <w:rsid w:val="4A0F3823"/>
    <w:rsid w:val="4A1054A1"/>
    <w:rsid w:val="4A153830"/>
    <w:rsid w:val="4A190B67"/>
    <w:rsid w:val="4A2E604D"/>
    <w:rsid w:val="4A4847FA"/>
    <w:rsid w:val="4A5D1FEF"/>
    <w:rsid w:val="4A657109"/>
    <w:rsid w:val="4A7F0183"/>
    <w:rsid w:val="4A8221E7"/>
    <w:rsid w:val="4A8B0B12"/>
    <w:rsid w:val="4A8E6E5F"/>
    <w:rsid w:val="4A9B332A"/>
    <w:rsid w:val="4AA51929"/>
    <w:rsid w:val="4AAD435D"/>
    <w:rsid w:val="4AAE75A3"/>
    <w:rsid w:val="4AAF0A7D"/>
    <w:rsid w:val="4ABA1BC3"/>
    <w:rsid w:val="4ABB1C1E"/>
    <w:rsid w:val="4AD45646"/>
    <w:rsid w:val="4ADA0DA6"/>
    <w:rsid w:val="4AE64923"/>
    <w:rsid w:val="4B1C6783"/>
    <w:rsid w:val="4B266FED"/>
    <w:rsid w:val="4B320132"/>
    <w:rsid w:val="4B384825"/>
    <w:rsid w:val="4B4E7DF9"/>
    <w:rsid w:val="4B7324F9"/>
    <w:rsid w:val="4B9E0A3B"/>
    <w:rsid w:val="4BDF2047"/>
    <w:rsid w:val="4BED4059"/>
    <w:rsid w:val="4BF40341"/>
    <w:rsid w:val="4C054E48"/>
    <w:rsid w:val="4C102570"/>
    <w:rsid w:val="4C151C04"/>
    <w:rsid w:val="4C2338B2"/>
    <w:rsid w:val="4C3268E4"/>
    <w:rsid w:val="4C5A3ED4"/>
    <w:rsid w:val="4C6640F8"/>
    <w:rsid w:val="4CB41768"/>
    <w:rsid w:val="4CD3679A"/>
    <w:rsid w:val="4CE71F81"/>
    <w:rsid w:val="4CF04E3A"/>
    <w:rsid w:val="4D1A70D0"/>
    <w:rsid w:val="4D361929"/>
    <w:rsid w:val="4D3A3BC0"/>
    <w:rsid w:val="4D4D7280"/>
    <w:rsid w:val="4D5C27F9"/>
    <w:rsid w:val="4D7A5AB3"/>
    <w:rsid w:val="4D86137C"/>
    <w:rsid w:val="4D9F54AF"/>
    <w:rsid w:val="4DAE68B0"/>
    <w:rsid w:val="4DC06635"/>
    <w:rsid w:val="4DC93FA3"/>
    <w:rsid w:val="4DCE1994"/>
    <w:rsid w:val="4DD454D1"/>
    <w:rsid w:val="4DD60B09"/>
    <w:rsid w:val="4DD70B1E"/>
    <w:rsid w:val="4DDE1EAC"/>
    <w:rsid w:val="4DE35714"/>
    <w:rsid w:val="4E1753BE"/>
    <w:rsid w:val="4E1A6C5C"/>
    <w:rsid w:val="4E3B72FE"/>
    <w:rsid w:val="4E6A16E7"/>
    <w:rsid w:val="4E71191F"/>
    <w:rsid w:val="4E7E5BDD"/>
    <w:rsid w:val="4E9B2C6E"/>
    <w:rsid w:val="4E9D3807"/>
    <w:rsid w:val="4EA07161"/>
    <w:rsid w:val="4EBB3AF4"/>
    <w:rsid w:val="4ECB20FF"/>
    <w:rsid w:val="4EE518F2"/>
    <w:rsid w:val="4EED4970"/>
    <w:rsid w:val="4EF120B3"/>
    <w:rsid w:val="4EF20E6C"/>
    <w:rsid w:val="4F1E63CD"/>
    <w:rsid w:val="4F214299"/>
    <w:rsid w:val="4F3007F7"/>
    <w:rsid w:val="4F4626F3"/>
    <w:rsid w:val="4F560BB4"/>
    <w:rsid w:val="4F5E7E33"/>
    <w:rsid w:val="4F6603AB"/>
    <w:rsid w:val="4F847CE9"/>
    <w:rsid w:val="4F9C6C66"/>
    <w:rsid w:val="4FAB400F"/>
    <w:rsid w:val="4FB44881"/>
    <w:rsid w:val="4FD42959"/>
    <w:rsid w:val="4FE71856"/>
    <w:rsid w:val="4FE85264"/>
    <w:rsid w:val="4FEA5788"/>
    <w:rsid w:val="4FF516D5"/>
    <w:rsid w:val="500A7B73"/>
    <w:rsid w:val="501E1398"/>
    <w:rsid w:val="501F2099"/>
    <w:rsid w:val="502F5187"/>
    <w:rsid w:val="504C78B8"/>
    <w:rsid w:val="50593A6B"/>
    <w:rsid w:val="50783573"/>
    <w:rsid w:val="507D09FC"/>
    <w:rsid w:val="50940112"/>
    <w:rsid w:val="50AD3DB7"/>
    <w:rsid w:val="50C524F7"/>
    <w:rsid w:val="50DB0924"/>
    <w:rsid w:val="50EA68CF"/>
    <w:rsid w:val="50ED1237"/>
    <w:rsid w:val="51077FED"/>
    <w:rsid w:val="51280932"/>
    <w:rsid w:val="517010BB"/>
    <w:rsid w:val="517A05D1"/>
    <w:rsid w:val="51B02091"/>
    <w:rsid w:val="51C3718C"/>
    <w:rsid w:val="51F85506"/>
    <w:rsid w:val="5200022C"/>
    <w:rsid w:val="521560B8"/>
    <w:rsid w:val="521C46C2"/>
    <w:rsid w:val="52206824"/>
    <w:rsid w:val="52224331"/>
    <w:rsid w:val="522E2410"/>
    <w:rsid w:val="525C3CE7"/>
    <w:rsid w:val="526E0CD3"/>
    <w:rsid w:val="52747CBB"/>
    <w:rsid w:val="527A5F1B"/>
    <w:rsid w:val="52830462"/>
    <w:rsid w:val="52945EB6"/>
    <w:rsid w:val="52970A52"/>
    <w:rsid w:val="52AB5C1E"/>
    <w:rsid w:val="52C57EEA"/>
    <w:rsid w:val="52CB6777"/>
    <w:rsid w:val="52CE0DD3"/>
    <w:rsid w:val="52D83680"/>
    <w:rsid w:val="52E066C6"/>
    <w:rsid w:val="53016A22"/>
    <w:rsid w:val="5308541C"/>
    <w:rsid w:val="531E0F9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A70954"/>
    <w:rsid w:val="54AF4AA2"/>
    <w:rsid w:val="54D10A01"/>
    <w:rsid w:val="54E16E72"/>
    <w:rsid w:val="54EC6BC8"/>
    <w:rsid w:val="54F63F7F"/>
    <w:rsid w:val="550755AC"/>
    <w:rsid w:val="55087419"/>
    <w:rsid w:val="55164328"/>
    <w:rsid w:val="551663CF"/>
    <w:rsid w:val="55202C48"/>
    <w:rsid w:val="552F7094"/>
    <w:rsid w:val="55423A9A"/>
    <w:rsid w:val="555F5120"/>
    <w:rsid w:val="556935BA"/>
    <w:rsid w:val="55A22BA0"/>
    <w:rsid w:val="55CA3D0E"/>
    <w:rsid w:val="56165022"/>
    <w:rsid w:val="563B3C13"/>
    <w:rsid w:val="56517FD1"/>
    <w:rsid w:val="565B37BE"/>
    <w:rsid w:val="568C72A1"/>
    <w:rsid w:val="56B51C18"/>
    <w:rsid w:val="56BB705A"/>
    <w:rsid w:val="56DF4B61"/>
    <w:rsid w:val="56E51BE2"/>
    <w:rsid w:val="56EA529E"/>
    <w:rsid w:val="56EF2E12"/>
    <w:rsid w:val="56FD4B5F"/>
    <w:rsid w:val="57447EB8"/>
    <w:rsid w:val="57454581"/>
    <w:rsid w:val="575D6863"/>
    <w:rsid w:val="577E64AD"/>
    <w:rsid w:val="577F2CDD"/>
    <w:rsid w:val="578F07B4"/>
    <w:rsid w:val="578F46E5"/>
    <w:rsid w:val="57956048"/>
    <w:rsid w:val="57B037D9"/>
    <w:rsid w:val="57B56460"/>
    <w:rsid w:val="57B60848"/>
    <w:rsid w:val="57BC6C97"/>
    <w:rsid w:val="57BE36B7"/>
    <w:rsid w:val="57C054CB"/>
    <w:rsid w:val="57C8039F"/>
    <w:rsid w:val="57DF519E"/>
    <w:rsid w:val="582F1556"/>
    <w:rsid w:val="583829FC"/>
    <w:rsid w:val="584C723F"/>
    <w:rsid w:val="58515910"/>
    <w:rsid w:val="5854505F"/>
    <w:rsid w:val="58584120"/>
    <w:rsid w:val="58641763"/>
    <w:rsid w:val="586647F7"/>
    <w:rsid w:val="58664F09"/>
    <w:rsid w:val="58735E74"/>
    <w:rsid w:val="588911F4"/>
    <w:rsid w:val="58892E17"/>
    <w:rsid w:val="588C4F7F"/>
    <w:rsid w:val="58A35306"/>
    <w:rsid w:val="58BF589F"/>
    <w:rsid w:val="58DB180B"/>
    <w:rsid w:val="58E92BF8"/>
    <w:rsid w:val="58EC0E1B"/>
    <w:rsid w:val="58FC310E"/>
    <w:rsid w:val="58FC3B2E"/>
    <w:rsid w:val="58FC79DE"/>
    <w:rsid w:val="59044881"/>
    <w:rsid w:val="591551A9"/>
    <w:rsid w:val="591E1CF4"/>
    <w:rsid w:val="592159A6"/>
    <w:rsid w:val="5922354D"/>
    <w:rsid w:val="593C00D6"/>
    <w:rsid w:val="59665C2E"/>
    <w:rsid w:val="5976568E"/>
    <w:rsid w:val="598F6750"/>
    <w:rsid w:val="59AB24CA"/>
    <w:rsid w:val="59AD3660"/>
    <w:rsid w:val="59C653D9"/>
    <w:rsid w:val="59CA7788"/>
    <w:rsid w:val="59D21F6E"/>
    <w:rsid w:val="59DC0CC3"/>
    <w:rsid w:val="5A075CDA"/>
    <w:rsid w:val="5A1548B3"/>
    <w:rsid w:val="5A181E02"/>
    <w:rsid w:val="5A360C29"/>
    <w:rsid w:val="5A5752A8"/>
    <w:rsid w:val="5A5B33BB"/>
    <w:rsid w:val="5A635676"/>
    <w:rsid w:val="5A740B14"/>
    <w:rsid w:val="5A7B3695"/>
    <w:rsid w:val="5A8854A9"/>
    <w:rsid w:val="5AE62611"/>
    <w:rsid w:val="5AF95C18"/>
    <w:rsid w:val="5AFA5E4B"/>
    <w:rsid w:val="5B137B84"/>
    <w:rsid w:val="5B150723"/>
    <w:rsid w:val="5B2B24A8"/>
    <w:rsid w:val="5B777753"/>
    <w:rsid w:val="5B991B08"/>
    <w:rsid w:val="5BA94F78"/>
    <w:rsid w:val="5BBB0310"/>
    <w:rsid w:val="5BE522FA"/>
    <w:rsid w:val="5BEC3853"/>
    <w:rsid w:val="5BFF0CBA"/>
    <w:rsid w:val="5C043EF3"/>
    <w:rsid w:val="5C062149"/>
    <w:rsid w:val="5C3C7568"/>
    <w:rsid w:val="5C433822"/>
    <w:rsid w:val="5C464523"/>
    <w:rsid w:val="5C50666A"/>
    <w:rsid w:val="5C531CB7"/>
    <w:rsid w:val="5C61531C"/>
    <w:rsid w:val="5C6305A3"/>
    <w:rsid w:val="5CA036E1"/>
    <w:rsid w:val="5CA906F2"/>
    <w:rsid w:val="5CAF3653"/>
    <w:rsid w:val="5CC2673B"/>
    <w:rsid w:val="5CD96260"/>
    <w:rsid w:val="5CF14A3B"/>
    <w:rsid w:val="5D026815"/>
    <w:rsid w:val="5D037E3A"/>
    <w:rsid w:val="5D1A6C78"/>
    <w:rsid w:val="5D3214B0"/>
    <w:rsid w:val="5D4B6245"/>
    <w:rsid w:val="5D4D33BD"/>
    <w:rsid w:val="5D683540"/>
    <w:rsid w:val="5D7F70DB"/>
    <w:rsid w:val="5D972AB6"/>
    <w:rsid w:val="5DA02743"/>
    <w:rsid w:val="5DC104BC"/>
    <w:rsid w:val="5DCD0F95"/>
    <w:rsid w:val="5DD638E2"/>
    <w:rsid w:val="5DDA1C24"/>
    <w:rsid w:val="5E083F1F"/>
    <w:rsid w:val="5E115985"/>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3572D"/>
    <w:rsid w:val="5F1F5B51"/>
    <w:rsid w:val="5F203F68"/>
    <w:rsid w:val="5F3D7E31"/>
    <w:rsid w:val="5F47044E"/>
    <w:rsid w:val="5F4C2237"/>
    <w:rsid w:val="5F4C543D"/>
    <w:rsid w:val="5F645F89"/>
    <w:rsid w:val="5F654690"/>
    <w:rsid w:val="5F6E0DD5"/>
    <w:rsid w:val="5F754DBD"/>
    <w:rsid w:val="5F8A055D"/>
    <w:rsid w:val="5F97176C"/>
    <w:rsid w:val="5FAF541F"/>
    <w:rsid w:val="5FC4147E"/>
    <w:rsid w:val="5FF4555F"/>
    <w:rsid w:val="600339F4"/>
    <w:rsid w:val="601479AF"/>
    <w:rsid w:val="6015606F"/>
    <w:rsid w:val="601F0B00"/>
    <w:rsid w:val="603F0C8E"/>
    <w:rsid w:val="605B74DF"/>
    <w:rsid w:val="605D1356"/>
    <w:rsid w:val="606B4F6D"/>
    <w:rsid w:val="608770F4"/>
    <w:rsid w:val="60922F20"/>
    <w:rsid w:val="60996106"/>
    <w:rsid w:val="60AE7181"/>
    <w:rsid w:val="60B62814"/>
    <w:rsid w:val="60C34F31"/>
    <w:rsid w:val="60C81F99"/>
    <w:rsid w:val="60C95DD2"/>
    <w:rsid w:val="60F849D4"/>
    <w:rsid w:val="6112090E"/>
    <w:rsid w:val="611700C2"/>
    <w:rsid w:val="611B079E"/>
    <w:rsid w:val="613C4296"/>
    <w:rsid w:val="61AA2941"/>
    <w:rsid w:val="61C64F13"/>
    <w:rsid w:val="61C72DD0"/>
    <w:rsid w:val="61D257D4"/>
    <w:rsid w:val="61F25ACE"/>
    <w:rsid w:val="61FE790C"/>
    <w:rsid w:val="620F5454"/>
    <w:rsid w:val="62502AB3"/>
    <w:rsid w:val="62822C00"/>
    <w:rsid w:val="629C158C"/>
    <w:rsid w:val="62B9113F"/>
    <w:rsid w:val="62CF3560"/>
    <w:rsid w:val="62DF7F3F"/>
    <w:rsid w:val="62E27A38"/>
    <w:rsid w:val="63004B17"/>
    <w:rsid w:val="63041EC3"/>
    <w:rsid w:val="630A5099"/>
    <w:rsid w:val="63283A59"/>
    <w:rsid w:val="63304B00"/>
    <w:rsid w:val="633741A7"/>
    <w:rsid w:val="634467FD"/>
    <w:rsid w:val="635A3516"/>
    <w:rsid w:val="636429FB"/>
    <w:rsid w:val="63A67E4C"/>
    <w:rsid w:val="63B8377D"/>
    <w:rsid w:val="63C13B90"/>
    <w:rsid w:val="63E1404C"/>
    <w:rsid w:val="63EC2662"/>
    <w:rsid w:val="641D434E"/>
    <w:rsid w:val="6421739C"/>
    <w:rsid w:val="642541CA"/>
    <w:rsid w:val="64301A55"/>
    <w:rsid w:val="64333BB5"/>
    <w:rsid w:val="64414A7D"/>
    <w:rsid w:val="644F1C8C"/>
    <w:rsid w:val="645312C9"/>
    <w:rsid w:val="645B4190"/>
    <w:rsid w:val="647873B0"/>
    <w:rsid w:val="649262C2"/>
    <w:rsid w:val="649C5009"/>
    <w:rsid w:val="64BB4816"/>
    <w:rsid w:val="650C5F69"/>
    <w:rsid w:val="652266CA"/>
    <w:rsid w:val="6556522A"/>
    <w:rsid w:val="656E7B61"/>
    <w:rsid w:val="657C227E"/>
    <w:rsid w:val="658A426F"/>
    <w:rsid w:val="65B17A4E"/>
    <w:rsid w:val="65BA64D5"/>
    <w:rsid w:val="65BE0617"/>
    <w:rsid w:val="66135703"/>
    <w:rsid w:val="66215F5D"/>
    <w:rsid w:val="663F18EE"/>
    <w:rsid w:val="66401F7E"/>
    <w:rsid w:val="664572DC"/>
    <w:rsid w:val="66594E7C"/>
    <w:rsid w:val="66671102"/>
    <w:rsid w:val="66A45371"/>
    <w:rsid w:val="66CE465B"/>
    <w:rsid w:val="66FF1D1F"/>
    <w:rsid w:val="67065B78"/>
    <w:rsid w:val="67087B42"/>
    <w:rsid w:val="673A7D2E"/>
    <w:rsid w:val="67746F85"/>
    <w:rsid w:val="677B47B7"/>
    <w:rsid w:val="6784541A"/>
    <w:rsid w:val="678A67A9"/>
    <w:rsid w:val="679A69EC"/>
    <w:rsid w:val="67B86A83"/>
    <w:rsid w:val="67C521FA"/>
    <w:rsid w:val="67E660D5"/>
    <w:rsid w:val="68280DC6"/>
    <w:rsid w:val="684B0112"/>
    <w:rsid w:val="684F3176"/>
    <w:rsid w:val="68541CA5"/>
    <w:rsid w:val="68571AE7"/>
    <w:rsid w:val="68605065"/>
    <w:rsid w:val="68691EA8"/>
    <w:rsid w:val="68692862"/>
    <w:rsid w:val="687471BF"/>
    <w:rsid w:val="68817755"/>
    <w:rsid w:val="68B5181E"/>
    <w:rsid w:val="68D20407"/>
    <w:rsid w:val="68DE6DAC"/>
    <w:rsid w:val="690F14C9"/>
    <w:rsid w:val="693D1D24"/>
    <w:rsid w:val="693E17DA"/>
    <w:rsid w:val="693F5C3A"/>
    <w:rsid w:val="694458D4"/>
    <w:rsid w:val="695D26A8"/>
    <w:rsid w:val="695D2FE6"/>
    <w:rsid w:val="695D4E2E"/>
    <w:rsid w:val="697778D2"/>
    <w:rsid w:val="69A67729"/>
    <w:rsid w:val="69B724D8"/>
    <w:rsid w:val="69E0543F"/>
    <w:rsid w:val="69F800B0"/>
    <w:rsid w:val="6A09046B"/>
    <w:rsid w:val="6A0C7394"/>
    <w:rsid w:val="6A136090"/>
    <w:rsid w:val="6A1B7B8C"/>
    <w:rsid w:val="6A333F49"/>
    <w:rsid w:val="6A3B28B7"/>
    <w:rsid w:val="6A464C09"/>
    <w:rsid w:val="6A485E46"/>
    <w:rsid w:val="6A4D243B"/>
    <w:rsid w:val="6A4D33B9"/>
    <w:rsid w:val="6A696B49"/>
    <w:rsid w:val="6A7F6C6E"/>
    <w:rsid w:val="6A896D77"/>
    <w:rsid w:val="6A8E0EAB"/>
    <w:rsid w:val="6A9E67F3"/>
    <w:rsid w:val="6AC91EBE"/>
    <w:rsid w:val="6ADB35E0"/>
    <w:rsid w:val="6AFC003E"/>
    <w:rsid w:val="6B09157D"/>
    <w:rsid w:val="6B0F5943"/>
    <w:rsid w:val="6B364C7D"/>
    <w:rsid w:val="6B59096C"/>
    <w:rsid w:val="6B5B46E4"/>
    <w:rsid w:val="6B795DC3"/>
    <w:rsid w:val="6B7F67E4"/>
    <w:rsid w:val="6BB43DF4"/>
    <w:rsid w:val="6BBD0EFB"/>
    <w:rsid w:val="6BDD159D"/>
    <w:rsid w:val="6BEF1DAD"/>
    <w:rsid w:val="6C005149"/>
    <w:rsid w:val="6C105E57"/>
    <w:rsid w:val="6C19336A"/>
    <w:rsid w:val="6C1B6E53"/>
    <w:rsid w:val="6C2F432E"/>
    <w:rsid w:val="6C365542"/>
    <w:rsid w:val="6C36603C"/>
    <w:rsid w:val="6C465394"/>
    <w:rsid w:val="6C626D37"/>
    <w:rsid w:val="6C6C4AED"/>
    <w:rsid w:val="6C766A5A"/>
    <w:rsid w:val="6C7C7502"/>
    <w:rsid w:val="6C8E6D3B"/>
    <w:rsid w:val="6C953C26"/>
    <w:rsid w:val="6C972257"/>
    <w:rsid w:val="6C9B0852"/>
    <w:rsid w:val="6CA14324"/>
    <w:rsid w:val="6CA80604"/>
    <w:rsid w:val="6CA80759"/>
    <w:rsid w:val="6D19237D"/>
    <w:rsid w:val="6D1D702F"/>
    <w:rsid w:val="6D313A84"/>
    <w:rsid w:val="6D3B2FF6"/>
    <w:rsid w:val="6D450549"/>
    <w:rsid w:val="6D5E495F"/>
    <w:rsid w:val="6D8C5655"/>
    <w:rsid w:val="6D8E1B76"/>
    <w:rsid w:val="6DD469CF"/>
    <w:rsid w:val="6DE24C37"/>
    <w:rsid w:val="6DF57803"/>
    <w:rsid w:val="6E113780"/>
    <w:rsid w:val="6E201C15"/>
    <w:rsid w:val="6E274256"/>
    <w:rsid w:val="6E9E7296"/>
    <w:rsid w:val="6EA064C5"/>
    <w:rsid w:val="6EAE6B68"/>
    <w:rsid w:val="6EBC16AC"/>
    <w:rsid w:val="6ED106D2"/>
    <w:rsid w:val="6F050962"/>
    <w:rsid w:val="6F09639B"/>
    <w:rsid w:val="6F196431"/>
    <w:rsid w:val="6F1F6E65"/>
    <w:rsid w:val="6F570DBD"/>
    <w:rsid w:val="6F9D04EB"/>
    <w:rsid w:val="6F9E1043"/>
    <w:rsid w:val="6F9E7295"/>
    <w:rsid w:val="6FA85602"/>
    <w:rsid w:val="6FAF14A2"/>
    <w:rsid w:val="6FD44A65"/>
    <w:rsid w:val="6FDD4DE6"/>
    <w:rsid w:val="6FE4739E"/>
    <w:rsid w:val="700C165D"/>
    <w:rsid w:val="703E5FDE"/>
    <w:rsid w:val="703E6CF5"/>
    <w:rsid w:val="70487AF9"/>
    <w:rsid w:val="704E2A69"/>
    <w:rsid w:val="70716758"/>
    <w:rsid w:val="70853885"/>
    <w:rsid w:val="70877D29"/>
    <w:rsid w:val="70C35EB3"/>
    <w:rsid w:val="70DB7F7E"/>
    <w:rsid w:val="70DE203F"/>
    <w:rsid w:val="70E21BF9"/>
    <w:rsid w:val="70E9294B"/>
    <w:rsid w:val="70FE5F25"/>
    <w:rsid w:val="710429FA"/>
    <w:rsid w:val="710D32A0"/>
    <w:rsid w:val="71353C29"/>
    <w:rsid w:val="7148570A"/>
    <w:rsid w:val="71541A39"/>
    <w:rsid w:val="7157594D"/>
    <w:rsid w:val="715776FB"/>
    <w:rsid w:val="715E4EF3"/>
    <w:rsid w:val="716167CC"/>
    <w:rsid w:val="716D5171"/>
    <w:rsid w:val="71995F66"/>
    <w:rsid w:val="71A212BE"/>
    <w:rsid w:val="71C42ADE"/>
    <w:rsid w:val="71CA25C3"/>
    <w:rsid w:val="71CD20B4"/>
    <w:rsid w:val="71D57328"/>
    <w:rsid w:val="71E50374"/>
    <w:rsid w:val="71F118FE"/>
    <w:rsid w:val="722E1923"/>
    <w:rsid w:val="723434E6"/>
    <w:rsid w:val="72480F9D"/>
    <w:rsid w:val="72731A96"/>
    <w:rsid w:val="72862B6F"/>
    <w:rsid w:val="72884188"/>
    <w:rsid w:val="72AC42C5"/>
    <w:rsid w:val="72C61C9A"/>
    <w:rsid w:val="72EE22E1"/>
    <w:rsid w:val="73152EDD"/>
    <w:rsid w:val="733F017D"/>
    <w:rsid w:val="735D2FC3"/>
    <w:rsid w:val="73784A7A"/>
    <w:rsid w:val="73813156"/>
    <w:rsid w:val="73A5137E"/>
    <w:rsid w:val="73A52066"/>
    <w:rsid w:val="73DA21D9"/>
    <w:rsid w:val="73DF3F7C"/>
    <w:rsid w:val="73E32E5E"/>
    <w:rsid w:val="74184804"/>
    <w:rsid w:val="742E6B67"/>
    <w:rsid w:val="744D3038"/>
    <w:rsid w:val="744E11F2"/>
    <w:rsid w:val="745C192B"/>
    <w:rsid w:val="74777EE8"/>
    <w:rsid w:val="749F65FA"/>
    <w:rsid w:val="74A05D67"/>
    <w:rsid w:val="74A94712"/>
    <w:rsid w:val="74AD5DBC"/>
    <w:rsid w:val="74BC0B3B"/>
    <w:rsid w:val="74C15C2B"/>
    <w:rsid w:val="74F41F6E"/>
    <w:rsid w:val="74F57957"/>
    <w:rsid w:val="752718BC"/>
    <w:rsid w:val="7530013C"/>
    <w:rsid w:val="754E350B"/>
    <w:rsid w:val="757A3B9B"/>
    <w:rsid w:val="75920D9E"/>
    <w:rsid w:val="75992FD9"/>
    <w:rsid w:val="75A84C9D"/>
    <w:rsid w:val="75AC2CC8"/>
    <w:rsid w:val="75CB674E"/>
    <w:rsid w:val="75D155BD"/>
    <w:rsid w:val="75E1612D"/>
    <w:rsid w:val="760D2A7F"/>
    <w:rsid w:val="76174B94"/>
    <w:rsid w:val="76212A0B"/>
    <w:rsid w:val="76341D7D"/>
    <w:rsid w:val="763A7432"/>
    <w:rsid w:val="76426276"/>
    <w:rsid w:val="765E152C"/>
    <w:rsid w:val="76611993"/>
    <w:rsid w:val="767304AD"/>
    <w:rsid w:val="76791CCF"/>
    <w:rsid w:val="76866C66"/>
    <w:rsid w:val="768A0294"/>
    <w:rsid w:val="76B70727"/>
    <w:rsid w:val="76BD26F7"/>
    <w:rsid w:val="76D101FA"/>
    <w:rsid w:val="76D56E66"/>
    <w:rsid w:val="76E51B3D"/>
    <w:rsid w:val="771C4F16"/>
    <w:rsid w:val="772E6280"/>
    <w:rsid w:val="774E3D05"/>
    <w:rsid w:val="77650BE1"/>
    <w:rsid w:val="776802BA"/>
    <w:rsid w:val="779571D0"/>
    <w:rsid w:val="77A03423"/>
    <w:rsid w:val="77B53160"/>
    <w:rsid w:val="77C37209"/>
    <w:rsid w:val="77DA3C60"/>
    <w:rsid w:val="77F23A58"/>
    <w:rsid w:val="77F959B0"/>
    <w:rsid w:val="77FD31EB"/>
    <w:rsid w:val="781E6993"/>
    <w:rsid w:val="782521DE"/>
    <w:rsid w:val="78296732"/>
    <w:rsid w:val="782B6736"/>
    <w:rsid w:val="78400D2A"/>
    <w:rsid w:val="784B74B9"/>
    <w:rsid w:val="78543A79"/>
    <w:rsid w:val="788563B9"/>
    <w:rsid w:val="788923CC"/>
    <w:rsid w:val="789E1DBB"/>
    <w:rsid w:val="78B07A2A"/>
    <w:rsid w:val="78C37D6C"/>
    <w:rsid w:val="78CC27BF"/>
    <w:rsid w:val="78EA52F9"/>
    <w:rsid w:val="79053EE1"/>
    <w:rsid w:val="790C34C1"/>
    <w:rsid w:val="790C7ABB"/>
    <w:rsid w:val="790E49B4"/>
    <w:rsid w:val="79114CC7"/>
    <w:rsid w:val="791725BB"/>
    <w:rsid w:val="791B29B4"/>
    <w:rsid w:val="792739C2"/>
    <w:rsid w:val="7930196F"/>
    <w:rsid w:val="7969049B"/>
    <w:rsid w:val="796F7C4B"/>
    <w:rsid w:val="797639EB"/>
    <w:rsid w:val="797B4877"/>
    <w:rsid w:val="797C5064"/>
    <w:rsid w:val="799F60E4"/>
    <w:rsid w:val="79A01735"/>
    <w:rsid w:val="79A507FC"/>
    <w:rsid w:val="79B16059"/>
    <w:rsid w:val="79C11F1C"/>
    <w:rsid w:val="79D1107F"/>
    <w:rsid w:val="79D1504B"/>
    <w:rsid w:val="79D96644"/>
    <w:rsid w:val="79E34675"/>
    <w:rsid w:val="7A020420"/>
    <w:rsid w:val="7A5B1B0A"/>
    <w:rsid w:val="7A80638A"/>
    <w:rsid w:val="7A9D0993"/>
    <w:rsid w:val="7AA962C3"/>
    <w:rsid w:val="7AAF23D1"/>
    <w:rsid w:val="7AC94C96"/>
    <w:rsid w:val="7ACF4134"/>
    <w:rsid w:val="7AD1676C"/>
    <w:rsid w:val="7AD7609E"/>
    <w:rsid w:val="7AE70243"/>
    <w:rsid w:val="7B015DE4"/>
    <w:rsid w:val="7B02145B"/>
    <w:rsid w:val="7B153EB7"/>
    <w:rsid w:val="7B3B7AA1"/>
    <w:rsid w:val="7B42766E"/>
    <w:rsid w:val="7B463B65"/>
    <w:rsid w:val="7B5A78F1"/>
    <w:rsid w:val="7B602F50"/>
    <w:rsid w:val="7B70418D"/>
    <w:rsid w:val="7B73485E"/>
    <w:rsid w:val="7B761B3A"/>
    <w:rsid w:val="7B9A6520"/>
    <w:rsid w:val="7BA3799C"/>
    <w:rsid w:val="7BB83709"/>
    <w:rsid w:val="7BC52691"/>
    <w:rsid w:val="7BCF1967"/>
    <w:rsid w:val="7BCF6E26"/>
    <w:rsid w:val="7BEA273E"/>
    <w:rsid w:val="7C205083"/>
    <w:rsid w:val="7C4154FC"/>
    <w:rsid w:val="7C49047D"/>
    <w:rsid w:val="7C594C70"/>
    <w:rsid w:val="7C72264E"/>
    <w:rsid w:val="7C8166D6"/>
    <w:rsid w:val="7C8F5EED"/>
    <w:rsid w:val="7C905B5F"/>
    <w:rsid w:val="7CA204C2"/>
    <w:rsid w:val="7CAD745E"/>
    <w:rsid w:val="7CC32428"/>
    <w:rsid w:val="7CC61BD9"/>
    <w:rsid w:val="7CD3540E"/>
    <w:rsid w:val="7CD561B0"/>
    <w:rsid w:val="7CEC1640"/>
    <w:rsid w:val="7CEC328F"/>
    <w:rsid w:val="7CF70280"/>
    <w:rsid w:val="7D203272"/>
    <w:rsid w:val="7D24584E"/>
    <w:rsid w:val="7D284642"/>
    <w:rsid w:val="7D696557"/>
    <w:rsid w:val="7D871368"/>
    <w:rsid w:val="7D992BC9"/>
    <w:rsid w:val="7DB96E13"/>
    <w:rsid w:val="7DC273F6"/>
    <w:rsid w:val="7DD15C5F"/>
    <w:rsid w:val="7DED1EE6"/>
    <w:rsid w:val="7DF8620B"/>
    <w:rsid w:val="7DFB58B2"/>
    <w:rsid w:val="7DFD28CF"/>
    <w:rsid w:val="7E2C5F0E"/>
    <w:rsid w:val="7E3C65F7"/>
    <w:rsid w:val="7E4B1B16"/>
    <w:rsid w:val="7E4C0D1D"/>
    <w:rsid w:val="7E6D4A02"/>
    <w:rsid w:val="7E7A0ECD"/>
    <w:rsid w:val="7EB16548"/>
    <w:rsid w:val="7EB16AF4"/>
    <w:rsid w:val="7ECA6CA8"/>
    <w:rsid w:val="7EF24F07"/>
    <w:rsid w:val="7F256EBE"/>
    <w:rsid w:val="7F2A2F61"/>
    <w:rsid w:val="7F4B3971"/>
    <w:rsid w:val="7F5636E8"/>
    <w:rsid w:val="7F630CC2"/>
    <w:rsid w:val="7F822458"/>
    <w:rsid w:val="7FD812B9"/>
    <w:rsid w:val="7FD860E8"/>
    <w:rsid w:val="7FE951B8"/>
    <w:rsid w:val="7FEC5DFB"/>
    <w:rsid w:val="7FF32CE5"/>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2">
    <w:name w:val="heading 1"/>
    <w:basedOn w:val="1"/>
    <w:next w:val="1"/>
    <w:link w:val="74"/>
    <w:qFormat/>
    <w:uiPriority w:val="0"/>
    <w:pPr>
      <w:outlineLvl w:val="0"/>
    </w:pPr>
    <w:rPr>
      <w:rFonts w:hAnsi="幼圆" w:eastAsia="等线 Light"/>
    </w:rPr>
  </w:style>
  <w:style w:type="paragraph" w:styleId="3">
    <w:name w:val="heading 2"/>
    <w:basedOn w:val="1"/>
    <w:next w:val="1"/>
    <w:link w:val="75"/>
    <w:qFormat/>
    <w:uiPriority w:val="0"/>
    <w:pPr>
      <w:outlineLvl w:val="1"/>
    </w:pPr>
    <w:rPr>
      <w:rFonts w:hAnsi="幼圆" w:eastAsia="等线 Light"/>
    </w:rPr>
  </w:style>
  <w:style w:type="paragraph" w:styleId="4">
    <w:name w:val="heading 3"/>
    <w:basedOn w:val="1"/>
    <w:next w:val="1"/>
    <w:link w:val="76"/>
    <w:qFormat/>
    <w:uiPriority w:val="0"/>
    <w:pPr>
      <w:outlineLvl w:val="2"/>
    </w:pPr>
    <w:rPr>
      <w:rFonts w:hAnsi="幼圆" w:eastAsia="等线 Light"/>
    </w:rPr>
  </w:style>
  <w:style w:type="paragraph" w:styleId="5">
    <w:name w:val="heading 4"/>
    <w:basedOn w:val="1"/>
    <w:next w:val="1"/>
    <w:link w:val="77"/>
    <w:qFormat/>
    <w:uiPriority w:val="0"/>
    <w:pPr>
      <w:keepNext/>
      <w:keepLines/>
      <w:spacing w:before="280" w:after="290" w:line="376" w:lineRule="auto"/>
      <w:outlineLvl w:val="3"/>
    </w:pPr>
    <w:rPr>
      <w:rFonts w:ascii="楷体_GB2312" w:hAnsi="楷体_GB2312" w:eastAsia="PMingLiU"/>
      <w:b/>
      <w:bCs/>
      <w:sz w:val="28"/>
      <w:szCs w:val="28"/>
    </w:rPr>
  </w:style>
  <w:style w:type="paragraph" w:styleId="6">
    <w:name w:val="heading 5"/>
    <w:basedOn w:val="1"/>
    <w:next w:val="1"/>
    <w:link w:val="78"/>
    <w:qFormat/>
    <w:uiPriority w:val="9"/>
    <w:pPr>
      <w:keepNext/>
      <w:keepLines/>
      <w:spacing w:before="280" w:after="290" w:line="376" w:lineRule="auto"/>
      <w:outlineLvl w:val="4"/>
    </w:pPr>
    <w:rPr>
      <w:b/>
      <w:bCs/>
      <w:sz w:val="28"/>
      <w:szCs w:val="28"/>
    </w:rPr>
  </w:style>
  <w:style w:type="paragraph" w:styleId="7">
    <w:name w:val="heading 6"/>
    <w:basedOn w:val="1"/>
    <w:next w:val="8"/>
    <w:link w:val="79"/>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9">
    <w:name w:val="heading 7"/>
    <w:basedOn w:val="1"/>
    <w:next w:val="8"/>
    <w:link w:val="81"/>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0">
    <w:name w:val="heading 8"/>
    <w:basedOn w:val="1"/>
    <w:next w:val="8"/>
    <w:link w:val="82"/>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1">
    <w:name w:val="heading 9"/>
    <w:basedOn w:val="1"/>
    <w:next w:val="8"/>
    <w:link w:val="83"/>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unhideWhenUsed/>
    <w:qFormat/>
    <w:uiPriority w:val="1"/>
  </w:style>
  <w:style w:type="table" w:default="1" w:styleId="55">
    <w:name w:val="Normal Tabl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customStyle="1" w:styleId="8">
    <w:name w:val="模板正文"/>
    <w:basedOn w:val="1"/>
    <w:link w:val="80"/>
    <w:qFormat/>
    <w:uiPriority w:val="0"/>
    <w:pPr>
      <w:wordWrap w:val="0"/>
      <w:spacing w:beforeLines="50" w:line="360" w:lineRule="auto"/>
      <w:ind w:firstLine="200" w:firstLineChars="200"/>
    </w:pPr>
    <w:rPr>
      <w:rFonts w:eastAsia="font-weight : 400"/>
      <w:szCs w:val="21"/>
    </w:rPr>
  </w:style>
  <w:style w:type="paragraph" w:styleId="12">
    <w:name w:val="toc 7"/>
    <w:basedOn w:val="1"/>
    <w:next w:val="1"/>
    <w:unhideWhenUsed/>
    <w:qFormat/>
    <w:uiPriority w:val="39"/>
    <w:pPr>
      <w:ind w:left="1440"/>
    </w:pPr>
    <w:rPr>
      <w:rFonts w:ascii="Arial Unicode MS" w:hAnsi="Arial Unicode MS" w:cs="Arial Unicode MS"/>
      <w:sz w:val="18"/>
      <w:szCs w:val="18"/>
    </w:rPr>
  </w:style>
  <w:style w:type="paragraph" w:styleId="13">
    <w:name w:val="List Bullet 4"/>
    <w:basedOn w:val="1"/>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4">
    <w:name w:val="Normal Indent"/>
    <w:basedOn w:val="1"/>
    <w:link w:val="84"/>
    <w:qFormat/>
    <w:uiPriority w:val="0"/>
    <w:pPr>
      <w:widowControl/>
      <w:autoSpaceDE/>
      <w:autoSpaceDN/>
      <w:adjustRightInd/>
      <w:ind w:firstLine="420" w:firstLineChars="200"/>
    </w:pPr>
    <w:rPr>
      <w:rFonts w:ascii="幼圆"/>
      <w:sz w:val="20"/>
      <w:szCs w:val="20"/>
    </w:rPr>
  </w:style>
  <w:style w:type="paragraph" w:styleId="15">
    <w:name w:val="caption"/>
    <w:basedOn w:val="1"/>
    <w:next w:val="1"/>
    <w:link w:val="85"/>
    <w:qFormat/>
    <w:uiPriority w:val="0"/>
    <w:pPr>
      <w:spacing w:before="152" w:after="160"/>
    </w:pPr>
    <w:rPr>
      <w:rFonts w:ascii="楷体_GB2312" w:hAnsi="楷体_GB2312" w:eastAsia="PMingLiU"/>
      <w:sz w:val="20"/>
      <w:szCs w:val="20"/>
    </w:rPr>
  </w:style>
  <w:style w:type="paragraph" w:styleId="16">
    <w:name w:val="List Bullet"/>
    <w:basedOn w:val="1"/>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7">
    <w:name w:val="Document Map"/>
    <w:basedOn w:val="1"/>
    <w:link w:val="86"/>
    <w:qFormat/>
    <w:uiPriority w:val="0"/>
    <w:pPr>
      <w:shd w:val="clear" w:color="auto" w:fill="000080"/>
    </w:pPr>
    <w:rPr>
      <w:rFonts w:hAnsi="幼圆" w:eastAsia="等线 Light"/>
    </w:rPr>
  </w:style>
  <w:style w:type="paragraph" w:styleId="18">
    <w:name w:val="toa heading"/>
    <w:basedOn w:val="1"/>
    <w:next w:val="1"/>
    <w:qFormat/>
    <w:uiPriority w:val="0"/>
    <w:pPr>
      <w:snapToGrid w:val="0"/>
      <w:spacing w:before="120" w:line="360" w:lineRule="auto"/>
      <w:jc w:val="both"/>
    </w:pPr>
    <w:rPr>
      <w:rFonts w:ascii="楷体_GB2312" w:hAnsi="楷体_GB2312"/>
      <w:snapToGrid w:val="0"/>
      <w:color w:val="000000"/>
      <w:sz w:val="21"/>
      <w:szCs w:val="20"/>
    </w:rPr>
  </w:style>
  <w:style w:type="paragraph" w:styleId="19">
    <w:name w:val="annotation text"/>
    <w:basedOn w:val="1"/>
    <w:link w:val="87"/>
    <w:unhideWhenUsed/>
    <w:qFormat/>
    <w:uiPriority w:val="0"/>
    <w:rPr>
      <w:rFonts w:hAnsi="幼圆" w:eastAsia="等线 Light"/>
    </w:rPr>
  </w:style>
  <w:style w:type="paragraph" w:styleId="20">
    <w:name w:val="Body Text 3"/>
    <w:basedOn w:val="1"/>
    <w:link w:val="88"/>
    <w:qFormat/>
    <w:uiPriority w:val="0"/>
    <w:pPr>
      <w:ind w:right="-26"/>
      <w:jc w:val="center"/>
    </w:pPr>
    <w:rPr>
      <w:rFonts w:hAnsi="幼圆" w:eastAsia="等线 Light"/>
      <w:b/>
      <w:bCs/>
      <w:color w:val="3366FF"/>
      <w:sz w:val="52"/>
      <w:szCs w:val="52"/>
      <w:lang w:val="zh-CN"/>
    </w:rPr>
  </w:style>
  <w:style w:type="paragraph" w:styleId="21">
    <w:name w:val="List Bullet 3"/>
    <w:basedOn w:val="1"/>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2">
    <w:name w:val="Body Text"/>
    <w:basedOn w:val="1"/>
    <w:next w:val="23"/>
    <w:link w:val="89"/>
    <w:qFormat/>
    <w:uiPriority w:val="1"/>
    <w:pPr>
      <w:ind w:right="-26"/>
      <w:jc w:val="center"/>
    </w:pPr>
    <w:rPr>
      <w:rFonts w:eastAsia="等线 Light"/>
      <w:b/>
      <w:bCs/>
      <w:sz w:val="84"/>
      <w:szCs w:val="84"/>
      <w:lang w:val="zh-CN"/>
    </w:rPr>
  </w:style>
  <w:style w:type="paragraph" w:styleId="23">
    <w:name w:val="Body Text First Indent"/>
    <w:basedOn w:val="22"/>
    <w:link w:val="106"/>
    <w:unhideWhenUsed/>
    <w:qFormat/>
    <w:uiPriority w:val="99"/>
    <w:pPr>
      <w:ind w:firstLine="420" w:firstLineChars="100"/>
    </w:pPr>
    <w:rPr>
      <w:rFonts w:eastAsia="宋体"/>
    </w:rPr>
  </w:style>
  <w:style w:type="paragraph" w:styleId="24">
    <w:name w:val="Body Text Indent"/>
    <w:basedOn w:val="1"/>
    <w:next w:val="22"/>
    <w:link w:val="90"/>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unhideWhenUsed/>
    <w:qFormat/>
    <w:uiPriority w:val="0"/>
    <w:pPr>
      <w:ind w:left="200" w:hanging="200" w:hangingChars="200"/>
      <w:contextualSpacing/>
    </w:pPr>
  </w:style>
  <w:style w:type="paragraph" w:styleId="27">
    <w:name w:val="Block Text"/>
    <w:basedOn w:val="1"/>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unhideWhenUsed/>
    <w:qFormat/>
    <w:uiPriority w:val="39"/>
    <w:pPr>
      <w:ind w:left="960"/>
    </w:pPr>
    <w:rPr>
      <w:rFonts w:ascii="Arial Unicode MS" w:hAnsi="Arial Unicode MS" w:cs="Arial Unicode MS"/>
      <w:sz w:val="18"/>
      <w:szCs w:val="18"/>
    </w:rPr>
  </w:style>
  <w:style w:type="paragraph" w:styleId="31">
    <w:name w:val="toc 3"/>
    <w:basedOn w:val="1"/>
    <w:next w:val="1"/>
    <w:qFormat/>
    <w:uiPriority w:val="39"/>
    <w:pPr>
      <w:ind w:left="480"/>
    </w:pPr>
    <w:rPr>
      <w:rFonts w:ascii="Arial Unicode MS" w:hAnsi="Arial Unicode MS" w:cs="Arial Unicode MS"/>
      <w:i/>
      <w:iCs/>
      <w:sz w:val="20"/>
      <w:szCs w:val="20"/>
    </w:rPr>
  </w:style>
  <w:style w:type="paragraph" w:styleId="32">
    <w:name w:val="Plain Text"/>
    <w:basedOn w:val="1"/>
    <w:link w:val="91"/>
    <w:qFormat/>
    <w:uiPriority w:val="0"/>
    <w:pPr>
      <w:autoSpaceDE/>
      <w:autoSpaceDN/>
      <w:adjustRightInd/>
      <w:jc w:val="both"/>
    </w:pPr>
    <w:rPr>
      <w:rFonts w:hAnsi="Helv" w:eastAsia="等线 Light"/>
      <w:sz w:val="20"/>
      <w:szCs w:val="20"/>
    </w:rPr>
  </w:style>
  <w:style w:type="paragraph" w:styleId="33">
    <w:name w:val="List Bullet 5"/>
    <w:basedOn w:val="1"/>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unhideWhenUsed/>
    <w:qFormat/>
    <w:uiPriority w:val="39"/>
    <w:pPr>
      <w:ind w:left="1680"/>
    </w:pPr>
    <w:rPr>
      <w:rFonts w:ascii="Arial Unicode MS" w:hAnsi="Arial Unicode MS" w:cs="Arial Unicode MS"/>
      <w:sz w:val="18"/>
      <w:szCs w:val="18"/>
    </w:rPr>
  </w:style>
  <w:style w:type="paragraph" w:styleId="35">
    <w:name w:val="Date"/>
    <w:basedOn w:val="1"/>
    <w:next w:val="1"/>
    <w:link w:val="92"/>
    <w:qFormat/>
    <w:uiPriority w:val="0"/>
    <w:pPr>
      <w:ind w:left="100" w:leftChars="2500"/>
    </w:pPr>
    <w:rPr>
      <w:rFonts w:hAnsi="幼圆" w:eastAsia="等线 Light"/>
      <w:b/>
      <w:bCs/>
      <w:sz w:val="20"/>
      <w:szCs w:val="21"/>
      <w:lang w:val="zh-CN"/>
    </w:rPr>
  </w:style>
  <w:style w:type="paragraph" w:styleId="36">
    <w:name w:val="Body Text Indent 2"/>
    <w:basedOn w:val="1"/>
    <w:link w:val="93"/>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qFormat/>
    <w:uiPriority w:val="0"/>
    <w:pPr>
      <w:autoSpaceDE/>
      <w:autoSpaceDN/>
      <w:adjustRightInd/>
      <w:snapToGrid w:val="0"/>
    </w:pPr>
    <w:rPr>
      <w:rFonts w:ascii="Times New Roman"/>
      <w:kern w:val="2"/>
      <w:sz w:val="21"/>
    </w:rPr>
  </w:style>
  <w:style w:type="paragraph" w:styleId="38">
    <w:name w:val="Balloon Text"/>
    <w:basedOn w:val="1"/>
    <w:link w:val="95"/>
    <w:qFormat/>
    <w:uiPriority w:val="0"/>
    <w:pPr>
      <w:autoSpaceDE/>
      <w:autoSpaceDN/>
      <w:adjustRightInd/>
      <w:jc w:val="both"/>
    </w:pPr>
    <w:rPr>
      <w:rFonts w:ascii="幼圆" w:hAnsi="幼圆" w:eastAsia="等线 Light"/>
      <w:sz w:val="18"/>
      <w:szCs w:val="18"/>
    </w:rPr>
  </w:style>
  <w:style w:type="paragraph" w:styleId="39">
    <w:name w:val="footer"/>
    <w:basedOn w:val="1"/>
    <w:link w:val="96"/>
    <w:qFormat/>
    <w:uiPriority w:val="99"/>
    <w:pPr>
      <w:tabs>
        <w:tab w:val="center" w:pos="4153"/>
        <w:tab w:val="right" w:pos="8306"/>
      </w:tabs>
      <w:snapToGrid w:val="0"/>
    </w:pPr>
    <w:rPr>
      <w:rFonts w:eastAsia="等线 Light"/>
      <w:sz w:val="18"/>
      <w:szCs w:val="18"/>
    </w:rPr>
  </w:style>
  <w:style w:type="paragraph" w:styleId="40">
    <w:name w:val="header"/>
    <w:basedOn w:val="1"/>
    <w:link w:val="97"/>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2"/>
    <w:link w:val="98"/>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qFormat/>
    <w:uiPriority w:val="39"/>
    <w:pPr>
      <w:spacing w:before="120" w:after="120"/>
    </w:pPr>
    <w:rPr>
      <w:rFonts w:ascii="Arial Unicode MS" w:hAnsi="Arial Unicode MS" w:cs="Arial Unicode MS"/>
      <w:b/>
      <w:bCs/>
      <w:caps/>
      <w:sz w:val="20"/>
      <w:szCs w:val="20"/>
    </w:rPr>
  </w:style>
  <w:style w:type="paragraph" w:styleId="43">
    <w:name w:val="toc 4"/>
    <w:basedOn w:val="1"/>
    <w:next w:val="1"/>
    <w:unhideWhenUsed/>
    <w:qFormat/>
    <w:uiPriority w:val="39"/>
    <w:pPr>
      <w:ind w:left="720"/>
    </w:pPr>
    <w:rPr>
      <w:rFonts w:ascii="Arial Unicode MS" w:hAnsi="Arial Unicode MS" w:cs="Arial Unicode MS"/>
      <w:sz w:val="18"/>
      <w:szCs w:val="18"/>
    </w:rPr>
  </w:style>
  <w:style w:type="paragraph" w:styleId="44">
    <w:name w:val="footnote text"/>
    <w:basedOn w:val="1"/>
    <w:link w:val="99"/>
    <w:qFormat/>
    <w:uiPriority w:val="0"/>
    <w:pPr>
      <w:autoSpaceDE/>
      <w:autoSpaceDN/>
      <w:adjustRightInd/>
      <w:snapToGrid w:val="0"/>
    </w:pPr>
    <w:rPr>
      <w:rFonts w:ascii="Times New Roman"/>
      <w:kern w:val="2"/>
      <w:sz w:val="18"/>
      <w:szCs w:val="18"/>
    </w:rPr>
  </w:style>
  <w:style w:type="paragraph" w:styleId="45">
    <w:name w:val="toc 6"/>
    <w:basedOn w:val="1"/>
    <w:next w:val="1"/>
    <w:unhideWhenUsed/>
    <w:qFormat/>
    <w:uiPriority w:val="39"/>
    <w:pPr>
      <w:ind w:left="1200"/>
    </w:pPr>
    <w:rPr>
      <w:rFonts w:ascii="Arial Unicode MS" w:hAnsi="Arial Unicode MS" w:cs="Arial Unicode MS"/>
      <w:sz w:val="18"/>
      <w:szCs w:val="18"/>
    </w:rPr>
  </w:style>
  <w:style w:type="paragraph" w:styleId="46">
    <w:name w:val="Body Text Indent 3"/>
    <w:basedOn w:val="1"/>
    <w:link w:val="100"/>
    <w:qFormat/>
    <w:uiPriority w:val="0"/>
    <w:pPr>
      <w:spacing w:line="360" w:lineRule="auto"/>
      <w:ind w:firstLine="480" w:firstLineChars="200"/>
    </w:pPr>
    <w:rPr>
      <w:rFonts w:hAnsi="幼圆" w:eastAsia="等线 Light"/>
    </w:rPr>
  </w:style>
  <w:style w:type="paragraph" w:styleId="47">
    <w:name w:val="toc 2"/>
    <w:basedOn w:val="1"/>
    <w:next w:val="1"/>
    <w:unhideWhenUsed/>
    <w:qFormat/>
    <w:uiPriority w:val="39"/>
    <w:pPr>
      <w:ind w:left="240"/>
    </w:pPr>
    <w:rPr>
      <w:rFonts w:ascii="Arial Unicode MS" w:hAnsi="Arial Unicode MS" w:cs="Arial Unicode MS"/>
      <w:smallCaps/>
      <w:sz w:val="20"/>
      <w:szCs w:val="20"/>
    </w:rPr>
  </w:style>
  <w:style w:type="paragraph" w:styleId="48">
    <w:name w:val="toc 9"/>
    <w:basedOn w:val="1"/>
    <w:next w:val="1"/>
    <w:unhideWhenUsed/>
    <w:qFormat/>
    <w:uiPriority w:val="39"/>
    <w:pPr>
      <w:ind w:left="1920"/>
    </w:pPr>
    <w:rPr>
      <w:rFonts w:ascii="Arial Unicode MS" w:hAnsi="Arial Unicode MS" w:cs="Arial Unicode MS"/>
      <w:sz w:val="18"/>
      <w:szCs w:val="18"/>
    </w:rPr>
  </w:style>
  <w:style w:type="paragraph" w:styleId="49">
    <w:name w:val="Body Text 2"/>
    <w:basedOn w:val="1"/>
    <w:link w:val="101"/>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qFormat/>
    <w:uiPriority w:val="10"/>
    <w:pPr>
      <w:spacing w:before="240" w:after="60"/>
      <w:jc w:val="center"/>
      <w:outlineLvl w:val="0"/>
    </w:pPr>
    <w:rPr>
      <w:rFonts w:ascii="Roman" w:hAnsi="Roman"/>
      <w:b/>
      <w:bCs/>
      <w:sz w:val="32"/>
      <w:szCs w:val="32"/>
    </w:rPr>
  </w:style>
  <w:style w:type="paragraph" w:styleId="54">
    <w:name w:val="annotation subject"/>
    <w:basedOn w:val="19"/>
    <w:next w:val="19"/>
    <w:link w:val="105"/>
    <w:qFormat/>
    <w:uiPriority w:val="0"/>
    <w:rPr>
      <w:b/>
      <w:bCs/>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style>
  <w:style w:type="character" w:styleId="61">
    <w:name w:val="FollowedHyperlink"/>
    <w:qFormat/>
    <w:uiPriority w:val="99"/>
    <w:rPr>
      <w:rFonts w:ascii="楷体_GB2312" w:hAnsi="楷体_GB2312" w:cs="楷体_GB2312"/>
      <w:color w:val="000000"/>
      <w:sz w:val="20"/>
      <w:szCs w:val="20"/>
      <w:u w:val="none"/>
    </w:rPr>
  </w:style>
  <w:style w:type="character" w:styleId="62">
    <w:name w:val="Emphasis"/>
    <w:qFormat/>
    <w:uiPriority w:val="0"/>
    <w:rPr>
      <w:i/>
      <w:iCs/>
    </w:rPr>
  </w:style>
  <w:style w:type="character" w:styleId="63">
    <w:name w:val="line number"/>
    <w:qFormat/>
    <w:uiPriority w:val="0"/>
  </w:style>
  <w:style w:type="character" w:styleId="64">
    <w:name w:val="HTML Definition"/>
    <w:unhideWhenUsed/>
    <w:qFormat/>
    <w:uiPriority w:val="0"/>
  </w:style>
  <w:style w:type="character" w:styleId="65">
    <w:name w:val="HTML Variable"/>
    <w:unhideWhenUsed/>
    <w:qFormat/>
    <w:uiPriority w:val="0"/>
  </w:style>
  <w:style w:type="character" w:styleId="66">
    <w:name w:val="Hyperlink"/>
    <w:qFormat/>
    <w:uiPriority w:val="99"/>
    <w:rPr>
      <w:rFonts w:hint="default" w:ascii="楷体_GB2312" w:hAnsi="楷体_GB2312" w:cs="楷体_GB2312"/>
      <w:color w:val="000000"/>
      <w:sz w:val="20"/>
      <w:szCs w:val="20"/>
      <w:u w:val="none"/>
    </w:rPr>
  </w:style>
  <w:style w:type="character" w:styleId="67">
    <w:name w:val="HTML Code"/>
    <w:unhideWhenUsed/>
    <w:qFormat/>
    <w:uiPriority w:val="0"/>
    <w:rPr>
      <w:rFonts w:hint="default" w:ascii="Tahoma" w:hAnsi="Tahoma" w:eastAsia="Tahoma" w:cs="Tahoma"/>
      <w:sz w:val="21"/>
      <w:szCs w:val="21"/>
    </w:rPr>
  </w:style>
  <w:style w:type="character" w:styleId="68">
    <w:name w:val="annotation reference"/>
    <w:qFormat/>
    <w:uiPriority w:val="99"/>
    <w:rPr>
      <w:sz w:val="21"/>
      <w:szCs w:val="21"/>
    </w:rPr>
  </w:style>
  <w:style w:type="character" w:styleId="69">
    <w:name w:val="HTML Cite"/>
    <w:unhideWhenUsed/>
    <w:qFormat/>
    <w:uiPriority w:val="0"/>
  </w:style>
  <w:style w:type="character" w:styleId="70">
    <w:name w:val="footnote reference"/>
    <w:qFormat/>
    <w:uiPriority w:val="0"/>
    <w:rPr>
      <w:vertAlign w:val="superscript"/>
    </w:rPr>
  </w:style>
  <w:style w:type="character" w:styleId="71">
    <w:name w:val="HTML Keyboard"/>
    <w:unhideWhenUsed/>
    <w:qFormat/>
    <w:uiPriority w:val="0"/>
    <w:rPr>
      <w:rFonts w:ascii="Tahoma" w:hAnsi="Tahoma" w:eastAsia="Tahoma" w:cs="Tahoma"/>
      <w:sz w:val="21"/>
      <w:szCs w:val="21"/>
    </w:rPr>
  </w:style>
  <w:style w:type="character" w:styleId="72">
    <w:name w:val="HTML Sample"/>
    <w:unhideWhenUsed/>
    <w:qFormat/>
    <w:uiPriority w:val="0"/>
    <w:rPr>
      <w:rFonts w:hint="default" w:ascii="Tahoma" w:hAnsi="Tahoma" w:eastAsia="Tahoma" w:cs="Tahoma"/>
      <w:sz w:val="21"/>
      <w:szCs w:val="21"/>
    </w:rPr>
  </w:style>
  <w:style w:type="paragraph" w:customStyle="1" w:styleId="73">
    <w:name w:val="样式 宋体 行距: 1.5 倍行距"/>
    <w:basedOn w:val="1"/>
    <w:qFormat/>
    <w:uiPriority w:val="0"/>
    <w:pPr>
      <w:jc w:val="center"/>
    </w:pPr>
    <w:rPr>
      <w:rFonts w:ascii="Times New Roman" w:hAnsi="Times New Roman"/>
      <w:b/>
    </w:rPr>
  </w:style>
  <w:style w:type="character" w:customStyle="1" w:styleId="74">
    <w:name w:val="标题 1 字符"/>
    <w:link w:val="2"/>
    <w:qFormat/>
    <w:uiPriority w:val="0"/>
    <w:rPr>
      <w:rFonts w:ascii="等线 Light" w:hAnsi="幼圆" w:eastAsia="等线 Light" w:cs="幼圆"/>
      <w:kern w:val="0"/>
      <w:sz w:val="24"/>
      <w:szCs w:val="24"/>
    </w:rPr>
  </w:style>
  <w:style w:type="character" w:customStyle="1" w:styleId="75">
    <w:name w:val="标题 2 字符"/>
    <w:link w:val="3"/>
    <w:qFormat/>
    <w:uiPriority w:val="0"/>
    <w:rPr>
      <w:rFonts w:ascii="等线 Light" w:hAnsi="幼圆" w:eastAsia="等线 Light" w:cs="幼圆"/>
      <w:kern w:val="0"/>
      <w:sz w:val="24"/>
      <w:szCs w:val="24"/>
    </w:rPr>
  </w:style>
  <w:style w:type="character" w:customStyle="1" w:styleId="76">
    <w:name w:val="标题 3 字符"/>
    <w:link w:val="4"/>
    <w:qFormat/>
    <w:uiPriority w:val="0"/>
    <w:rPr>
      <w:rFonts w:ascii="等线 Light" w:hAnsi="幼圆" w:eastAsia="等线 Light" w:cs="幼圆"/>
      <w:kern w:val="0"/>
      <w:sz w:val="24"/>
      <w:szCs w:val="24"/>
    </w:rPr>
  </w:style>
  <w:style w:type="character" w:customStyle="1" w:styleId="77">
    <w:name w:val="标题 4 字符"/>
    <w:link w:val="5"/>
    <w:qFormat/>
    <w:uiPriority w:val="0"/>
    <w:rPr>
      <w:rFonts w:ascii="楷体_GB2312" w:hAnsi="楷体_GB2312" w:eastAsia="PMingLiU" w:cs="幼圆"/>
      <w:b/>
      <w:bCs/>
      <w:kern w:val="0"/>
      <w:sz w:val="28"/>
      <w:szCs w:val="28"/>
    </w:rPr>
  </w:style>
  <w:style w:type="character" w:customStyle="1" w:styleId="78">
    <w:name w:val="标题 5 字符1"/>
    <w:link w:val="6"/>
    <w:qFormat/>
    <w:uiPriority w:val="9"/>
    <w:rPr>
      <w:rFonts w:ascii="等线 Light"/>
      <w:b/>
      <w:bCs/>
      <w:sz w:val="28"/>
      <w:szCs w:val="28"/>
    </w:rPr>
  </w:style>
  <w:style w:type="character" w:customStyle="1" w:styleId="79">
    <w:name w:val="标题 6 字符1"/>
    <w:link w:val="7"/>
    <w:qFormat/>
    <w:uiPriority w:val="9"/>
    <w:rPr>
      <w:rFonts w:eastAsia="PMingLiU"/>
      <w:b/>
      <w:bCs/>
      <w:sz w:val="28"/>
      <w:szCs w:val="24"/>
    </w:rPr>
  </w:style>
  <w:style w:type="character" w:customStyle="1" w:styleId="80">
    <w:name w:val="模板正文 Char"/>
    <w:link w:val="8"/>
    <w:qFormat/>
    <w:uiPriority w:val="0"/>
    <w:rPr>
      <w:rFonts w:ascii="等线 Light" w:eastAsia="font-weight : 400"/>
      <w:sz w:val="24"/>
      <w:szCs w:val="21"/>
    </w:rPr>
  </w:style>
  <w:style w:type="character" w:customStyle="1" w:styleId="81">
    <w:name w:val="标题 7 字符"/>
    <w:link w:val="9"/>
    <w:qFormat/>
    <w:uiPriority w:val="0"/>
    <w:rPr>
      <w:rFonts w:eastAsia="PMingLiU"/>
      <w:b/>
      <w:bCs/>
      <w:sz w:val="28"/>
      <w:szCs w:val="24"/>
    </w:rPr>
  </w:style>
  <w:style w:type="character" w:customStyle="1" w:styleId="82">
    <w:name w:val="标题 8 字符"/>
    <w:link w:val="10"/>
    <w:qFormat/>
    <w:uiPriority w:val="0"/>
    <w:rPr>
      <w:rFonts w:eastAsia="PMingLiU"/>
      <w:b/>
      <w:sz w:val="28"/>
      <w:szCs w:val="24"/>
    </w:rPr>
  </w:style>
  <w:style w:type="character" w:customStyle="1" w:styleId="83">
    <w:name w:val="标题 9 字符"/>
    <w:link w:val="11"/>
    <w:qFormat/>
    <w:uiPriority w:val="0"/>
    <w:rPr>
      <w:rFonts w:eastAsia="PMingLiU"/>
      <w:b/>
      <w:sz w:val="28"/>
      <w:szCs w:val="24"/>
    </w:rPr>
  </w:style>
  <w:style w:type="character" w:customStyle="1" w:styleId="84">
    <w:name w:val="正文缩进 字符1"/>
    <w:link w:val="14"/>
    <w:qFormat/>
    <w:uiPriority w:val="0"/>
  </w:style>
  <w:style w:type="character" w:customStyle="1" w:styleId="85">
    <w:name w:val="题注 字符1"/>
    <w:link w:val="15"/>
    <w:qFormat/>
    <w:uiPriority w:val="0"/>
    <w:rPr>
      <w:rFonts w:ascii="楷体_GB2312" w:hAnsi="楷体_GB2312" w:eastAsia="PMingLiU" w:cs="楷体_GB2312"/>
    </w:rPr>
  </w:style>
  <w:style w:type="character" w:customStyle="1" w:styleId="86">
    <w:name w:val="文档结构图 字符"/>
    <w:link w:val="17"/>
    <w:qFormat/>
    <w:uiPriority w:val="0"/>
    <w:rPr>
      <w:rFonts w:ascii="等线 Light" w:hAnsi="幼圆" w:eastAsia="等线 Light" w:cs="幼圆"/>
      <w:kern w:val="0"/>
      <w:sz w:val="24"/>
      <w:szCs w:val="24"/>
      <w:shd w:val="clear" w:color="auto" w:fill="000080"/>
    </w:rPr>
  </w:style>
  <w:style w:type="character" w:customStyle="1" w:styleId="87">
    <w:name w:val="批注文字 字符1"/>
    <w:link w:val="19"/>
    <w:qFormat/>
    <w:uiPriority w:val="0"/>
    <w:rPr>
      <w:rFonts w:ascii="等线 Light" w:hAnsi="幼圆" w:eastAsia="等线 Light" w:cs="幼圆"/>
      <w:kern w:val="0"/>
      <w:sz w:val="24"/>
      <w:szCs w:val="24"/>
    </w:rPr>
  </w:style>
  <w:style w:type="character" w:customStyle="1" w:styleId="88">
    <w:name w:val="正文文本 3 字符"/>
    <w:link w:val="20"/>
    <w:qFormat/>
    <w:uiPriority w:val="0"/>
    <w:rPr>
      <w:rFonts w:ascii="等线 Light" w:hAnsi="幼圆" w:eastAsia="等线 Light" w:cs="幼圆"/>
      <w:b/>
      <w:bCs/>
      <w:color w:val="3366FF"/>
      <w:sz w:val="52"/>
      <w:szCs w:val="52"/>
      <w:lang w:val="zh-CN"/>
    </w:rPr>
  </w:style>
  <w:style w:type="character" w:customStyle="1" w:styleId="89">
    <w:name w:val="正文文本 字符"/>
    <w:link w:val="22"/>
    <w:qFormat/>
    <w:uiPriority w:val="1"/>
    <w:rPr>
      <w:rFonts w:ascii="等线 Light" w:eastAsia="等线 Light"/>
      <w:b/>
      <w:bCs/>
      <w:sz w:val="84"/>
      <w:szCs w:val="84"/>
      <w:lang w:val="zh-CN"/>
    </w:rPr>
  </w:style>
  <w:style w:type="character" w:customStyle="1" w:styleId="90">
    <w:name w:val="正文文本缩进 字符"/>
    <w:link w:val="24"/>
    <w:qFormat/>
    <w:uiPriority w:val="0"/>
    <w:rPr>
      <w:rFonts w:ascii="幼圆" w:hAnsi="幼圆" w:eastAsia="等线 Light" w:cs="幼圆"/>
      <w:szCs w:val="20"/>
    </w:rPr>
  </w:style>
  <w:style w:type="character" w:customStyle="1" w:styleId="91">
    <w:name w:val="纯文本 字符"/>
    <w:link w:val="32"/>
    <w:qFormat/>
    <w:uiPriority w:val="0"/>
    <w:rPr>
      <w:rFonts w:ascii="等线 Light" w:hAnsi="Helv" w:eastAsia="等线 Light"/>
    </w:rPr>
  </w:style>
  <w:style w:type="character" w:customStyle="1" w:styleId="92">
    <w:name w:val="日期 字符"/>
    <w:link w:val="35"/>
    <w:qFormat/>
    <w:uiPriority w:val="0"/>
    <w:rPr>
      <w:rFonts w:ascii="等线 Light" w:hAnsi="幼圆" w:eastAsia="等线 Light" w:cs="幼圆"/>
      <w:b/>
      <w:bCs/>
      <w:szCs w:val="21"/>
      <w:lang w:val="zh-CN"/>
    </w:rPr>
  </w:style>
  <w:style w:type="character" w:customStyle="1" w:styleId="93">
    <w:name w:val="正文文本缩进 2 字符"/>
    <w:link w:val="36"/>
    <w:qFormat/>
    <w:uiPriority w:val="0"/>
    <w:rPr>
      <w:rFonts w:ascii="等线 Light" w:hAnsi="幼圆" w:eastAsia="等线 Light" w:cs="幼圆"/>
      <w:szCs w:val="20"/>
    </w:rPr>
  </w:style>
  <w:style w:type="character" w:customStyle="1" w:styleId="94">
    <w:name w:val="尾注文本 字符1"/>
    <w:link w:val="37"/>
    <w:qFormat/>
    <w:uiPriority w:val="0"/>
    <w:rPr>
      <w:kern w:val="2"/>
      <w:sz w:val="21"/>
      <w:szCs w:val="24"/>
    </w:rPr>
  </w:style>
  <w:style w:type="character" w:customStyle="1" w:styleId="95">
    <w:name w:val="批注框文本 字符"/>
    <w:link w:val="38"/>
    <w:qFormat/>
    <w:uiPriority w:val="0"/>
    <w:rPr>
      <w:rFonts w:ascii="幼圆" w:hAnsi="幼圆" w:eastAsia="等线 Light" w:cs="幼圆"/>
      <w:sz w:val="18"/>
      <w:szCs w:val="18"/>
    </w:rPr>
  </w:style>
  <w:style w:type="character" w:customStyle="1" w:styleId="96">
    <w:name w:val="页脚 字符"/>
    <w:link w:val="39"/>
    <w:qFormat/>
    <w:uiPriority w:val="99"/>
    <w:rPr>
      <w:rFonts w:ascii="等线 Light" w:eastAsia="等线 Light"/>
      <w:sz w:val="18"/>
      <w:szCs w:val="18"/>
    </w:rPr>
  </w:style>
  <w:style w:type="character" w:customStyle="1" w:styleId="97">
    <w:name w:val="页眉 字符"/>
    <w:link w:val="40"/>
    <w:qFormat/>
    <w:uiPriority w:val="0"/>
    <w:rPr>
      <w:rFonts w:ascii="等线 Light" w:eastAsia="等线 Light"/>
      <w:sz w:val="18"/>
      <w:szCs w:val="18"/>
    </w:rPr>
  </w:style>
  <w:style w:type="character" w:customStyle="1" w:styleId="98">
    <w:name w:val="签名 字符"/>
    <w:link w:val="41"/>
    <w:qFormat/>
    <w:uiPriority w:val="0"/>
    <w:rPr>
      <w:rFonts w:ascii="仿宋_GB2312" w:hAnsi="仿宋_GB2312"/>
      <w:spacing w:val="-5"/>
      <w:kern w:val="2"/>
      <w:sz w:val="24"/>
      <w:szCs w:val="24"/>
    </w:rPr>
  </w:style>
  <w:style w:type="character" w:customStyle="1" w:styleId="99">
    <w:name w:val="脚注文本 字符1"/>
    <w:link w:val="44"/>
    <w:qFormat/>
    <w:uiPriority w:val="0"/>
    <w:rPr>
      <w:kern w:val="2"/>
      <w:sz w:val="18"/>
      <w:szCs w:val="18"/>
    </w:rPr>
  </w:style>
  <w:style w:type="character" w:customStyle="1" w:styleId="100">
    <w:name w:val="正文文本缩进 3 字符"/>
    <w:link w:val="46"/>
    <w:qFormat/>
    <w:uiPriority w:val="0"/>
    <w:rPr>
      <w:rFonts w:ascii="等线 Light" w:hAnsi="幼圆" w:eastAsia="等线 Light" w:cs="幼圆"/>
      <w:kern w:val="0"/>
      <w:sz w:val="24"/>
      <w:szCs w:val="24"/>
    </w:rPr>
  </w:style>
  <w:style w:type="character" w:customStyle="1" w:styleId="101">
    <w:name w:val="正文文本 2 字符"/>
    <w:link w:val="49"/>
    <w:qFormat/>
    <w:uiPriority w:val="0"/>
    <w:rPr>
      <w:rFonts w:ascii="楷体_GB2312" w:hAnsi="楷体_GB2312" w:eastAsia="等线 Light" w:cs="幼圆"/>
      <w:color w:val="000000"/>
      <w:szCs w:val="24"/>
    </w:rPr>
  </w:style>
  <w:style w:type="character" w:customStyle="1" w:styleId="102">
    <w:name w:val="HTML 预设格式 字符"/>
    <w:link w:val="50"/>
    <w:qFormat/>
    <w:uiPriority w:val="0"/>
    <w:rPr>
      <w:rFonts w:ascii="楷体_GB2312" w:hAnsi="楷体_GB2312" w:eastAsia="等线 Light" w:cs="楷体_GB2312"/>
      <w:szCs w:val="21"/>
    </w:rPr>
  </w:style>
  <w:style w:type="character" w:customStyle="1" w:styleId="103">
    <w:name w:val="普通(网站) 字符"/>
    <w:link w:val="51"/>
    <w:qFormat/>
    <w:locked/>
    <w:uiPriority w:val="99"/>
    <w:rPr>
      <w:rFonts w:ascii="等线 Light" w:hAnsi="等线 Light"/>
      <w:sz w:val="15"/>
      <w:szCs w:val="15"/>
    </w:rPr>
  </w:style>
  <w:style w:type="character" w:customStyle="1" w:styleId="104">
    <w:name w:val="标题 字符"/>
    <w:link w:val="53"/>
    <w:qFormat/>
    <w:uiPriority w:val="10"/>
    <w:rPr>
      <w:rFonts w:ascii="Roman" w:hAnsi="Roman"/>
      <w:b/>
      <w:bCs/>
      <w:sz w:val="32"/>
      <w:szCs w:val="32"/>
    </w:rPr>
  </w:style>
  <w:style w:type="character" w:customStyle="1" w:styleId="105">
    <w:name w:val="批注主题 字符"/>
    <w:link w:val="54"/>
    <w:qFormat/>
    <w:uiPriority w:val="0"/>
    <w:rPr>
      <w:rFonts w:ascii="等线 Light" w:hAnsi="幼圆" w:eastAsia="等线 Light" w:cs="幼圆"/>
      <w:b/>
      <w:bCs/>
      <w:kern w:val="0"/>
      <w:sz w:val="24"/>
      <w:szCs w:val="24"/>
    </w:rPr>
  </w:style>
  <w:style w:type="character" w:customStyle="1" w:styleId="106">
    <w:name w:val="正文首行缩进 字符1"/>
    <w:link w:val="23"/>
    <w:qFormat/>
    <w:uiPriority w:val="99"/>
    <w:rPr>
      <w:rFonts w:ascii="等线 Light"/>
      <w:b/>
      <w:bCs/>
      <w:sz w:val="84"/>
      <w:szCs w:val="84"/>
      <w:lang w:val="zh-CN"/>
    </w:rPr>
  </w:style>
  <w:style w:type="paragraph" w:customStyle="1" w:styleId="107">
    <w:name w:val="文档正文"/>
    <w:basedOn w:val="1"/>
    <w:qFormat/>
    <w:uiPriority w:val="0"/>
    <w:pPr>
      <w:spacing w:line="360" w:lineRule="auto"/>
    </w:pPr>
    <w:rPr>
      <w:rFonts w:cs="Arial"/>
      <w:bCs/>
    </w:rPr>
  </w:style>
  <w:style w:type="character" w:customStyle="1" w:styleId="108">
    <w:name w:val="themebody1"/>
    <w:qFormat/>
    <w:uiPriority w:val="0"/>
    <w:rPr>
      <w:color w:val="FFFFFF"/>
    </w:rPr>
  </w:style>
  <w:style w:type="character" w:customStyle="1" w:styleId="109">
    <w:name w:val="小 Char"/>
    <w:qFormat/>
    <w:uiPriority w:val="0"/>
    <w:rPr>
      <w:rFonts w:ascii="等线 Light" w:hAnsi="Helv" w:eastAsia="等线 Light"/>
      <w:kern w:val="2"/>
      <w:sz w:val="21"/>
      <w:lang w:val="en-US" w:eastAsia="zh-CN" w:bidi="ar-SA"/>
    </w:rPr>
  </w:style>
  <w:style w:type="character" w:customStyle="1" w:styleId="110">
    <w:name w:val="HTML 预设格式 Char"/>
    <w:qFormat/>
    <w:uiPriority w:val="99"/>
    <w:rPr>
      <w:rFonts w:ascii="PMingLiU" w:hAnsi="Helv" w:eastAsia="PMingLiU" w:cs="Helv"/>
      <w:kern w:val="2"/>
      <w:sz w:val="24"/>
      <w:szCs w:val="24"/>
      <w:lang w:val="en-US" w:eastAsia="zh-CN" w:bidi="ar-SA"/>
    </w:rPr>
  </w:style>
  <w:style w:type="character" w:customStyle="1" w:styleId="111">
    <w:name w:val="批注框文本 Char1"/>
    <w:semiHidden/>
    <w:qFormat/>
    <w:uiPriority w:val="99"/>
    <w:rPr>
      <w:rFonts w:ascii="宋体"/>
      <w:sz w:val="18"/>
      <w:szCs w:val="18"/>
    </w:rPr>
  </w:style>
  <w:style w:type="character" w:customStyle="1" w:styleId="112">
    <w:name w:val="标题 4 Char"/>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qFormat/>
    <w:uiPriority w:val="0"/>
  </w:style>
  <w:style w:type="character" w:customStyle="1" w:styleId="114">
    <w:name w:val="批注主题 Char"/>
    <w:qFormat/>
    <w:uiPriority w:val="99"/>
    <w:rPr>
      <w:rFonts w:ascii="幼圆" w:hAnsi="幼圆" w:eastAsia="等线 Light" w:cs="幼圆"/>
      <w:b/>
      <w:bCs/>
      <w:kern w:val="2"/>
      <w:sz w:val="24"/>
      <w:szCs w:val="24"/>
      <w:lang w:val="en-US" w:eastAsia="zh-CN" w:bidi="ar-SA"/>
    </w:rPr>
  </w:style>
  <w:style w:type="character" w:customStyle="1" w:styleId="115">
    <w:name w:val="icon-code-weixin"/>
    <w:qFormat/>
    <w:uiPriority w:val="0"/>
  </w:style>
  <w:style w:type="character" w:customStyle="1" w:styleId="116">
    <w:name w:val="正文文本缩进 2 Char"/>
    <w:qFormat/>
    <w:uiPriority w:val="0"/>
    <w:rPr>
      <w:rFonts w:ascii="幼圆" w:hAnsi="幼圆" w:eastAsia="等线 Light" w:cs="幼圆"/>
      <w:kern w:val="2"/>
      <w:sz w:val="24"/>
      <w:szCs w:val="24"/>
      <w:lang w:val="en-US" w:eastAsia="zh-CN" w:bidi="ar-SA"/>
    </w:rPr>
  </w:style>
  <w:style w:type="character" w:customStyle="1" w:styleId="117">
    <w:name w:val="icontext2"/>
    <w:basedOn w:val="57"/>
    <w:qFormat/>
    <w:uiPriority w:val="0"/>
  </w:style>
  <w:style w:type="character" w:customStyle="1" w:styleId="118">
    <w:name w:val="日期 Char"/>
    <w:qFormat/>
    <w:uiPriority w:val="0"/>
    <w:rPr>
      <w:rFonts w:ascii="幼圆" w:hAnsi="幼圆" w:eastAsia="等线 Light" w:cs="幼圆"/>
      <w:kern w:val="2"/>
      <w:sz w:val="24"/>
      <w:szCs w:val="20"/>
      <w:lang w:val="en-US" w:eastAsia="zh-CN" w:bidi="ar-SA"/>
    </w:rPr>
  </w:style>
  <w:style w:type="character" w:customStyle="1" w:styleId="119">
    <w:name w:val="正文文本缩进 3 Char1"/>
    <w:semiHidden/>
    <w:qFormat/>
    <w:uiPriority w:val="0"/>
    <w:rPr>
      <w:rFonts w:ascii="宋体"/>
      <w:sz w:val="16"/>
      <w:szCs w:val="16"/>
    </w:rPr>
  </w:style>
  <w:style w:type="character" w:customStyle="1" w:styleId="120">
    <w:name w:val="尾注文本 字符2"/>
    <w:semiHidden/>
    <w:qFormat/>
    <w:uiPriority w:val="99"/>
    <w:rPr>
      <w:rFonts w:ascii="等线 Light"/>
      <w:sz w:val="24"/>
      <w:szCs w:val="24"/>
    </w:rPr>
  </w:style>
  <w:style w:type="character" w:customStyle="1" w:styleId="121">
    <w:name w:val="img8"/>
    <w:basedOn w:val="57"/>
    <w:qFormat/>
    <w:uiPriority w:val="0"/>
  </w:style>
  <w:style w:type="character" w:customStyle="1" w:styleId="122">
    <w:name w:val="highlight1"/>
    <w:qFormat/>
    <w:uiPriority w:val="0"/>
    <w:rPr>
      <w:sz w:val="21"/>
      <w:szCs w:val="21"/>
    </w:rPr>
  </w:style>
  <w:style w:type="character" w:customStyle="1" w:styleId="123">
    <w:name w:val="批注框文本 Char"/>
    <w:qFormat/>
    <w:uiPriority w:val="99"/>
    <w:rPr>
      <w:rFonts w:ascii="幼圆" w:hAnsi="幼圆" w:eastAsia="等线 Light" w:cs="幼圆"/>
      <w:kern w:val="2"/>
      <w:sz w:val="18"/>
      <w:szCs w:val="18"/>
      <w:lang w:val="en-US" w:eastAsia="zh-CN" w:bidi="ar-SA"/>
    </w:rPr>
  </w:style>
  <w:style w:type="character" w:customStyle="1" w:styleId="124">
    <w:name w:val="标题 9 Char1"/>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qFormat/>
    <w:uiPriority w:val="99"/>
    <w:rPr>
      <w:rFonts w:ascii="等线 Light" w:eastAsia="等线 Light"/>
      <w:b/>
      <w:bCs/>
      <w:sz w:val="84"/>
      <w:szCs w:val="84"/>
      <w:lang w:val="zh-CN"/>
    </w:rPr>
  </w:style>
  <w:style w:type="character" w:customStyle="1" w:styleId="126">
    <w:name w:val="首航缩进 Char Char"/>
    <w:qFormat/>
    <w:uiPriority w:val="0"/>
    <w:rPr>
      <w:rFonts w:eastAsia="微软雅黑"/>
      <w:color w:val="000000"/>
      <w:kern w:val="2"/>
      <w:sz w:val="24"/>
      <w:szCs w:val="24"/>
      <w:lang w:val="en-US" w:eastAsia="zh-CN" w:bidi="ar-SA"/>
    </w:rPr>
  </w:style>
  <w:style w:type="character" w:customStyle="1" w:styleId="127">
    <w:name w:val="尾注文本 Char"/>
    <w:qFormat/>
    <w:uiPriority w:val="0"/>
    <w:rPr>
      <w:rFonts w:ascii="幼圆" w:hAnsi="幼圆" w:eastAsia="等线 Light" w:cs="幼圆"/>
      <w:kern w:val="2"/>
      <w:sz w:val="24"/>
      <w:szCs w:val="24"/>
      <w:lang w:bidi="ar-SA"/>
    </w:rPr>
  </w:style>
  <w:style w:type="character" w:customStyle="1" w:styleId="128">
    <w:name w:val="正文文本 3 Char1"/>
    <w:semiHidden/>
    <w:qFormat/>
    <w:uiPriority w:val="0"/>
    <w:rPr>
      <w:rFonts w:ascii="宋体"/>
      <w:sz w:val="16"/>
      <w:szCs w:val="16"/>
    </w:rPr>
  </w:style>
  <w:style w:type="character" w:customStyle="1" w:styleId="129">
    <w:name w:val="文档结构图 Char3"/>
    <w:qFormat/>
    <w:uiPriority w:val="0"/>
    <w:rPr>
      <w:rFonts w:eastAsia="等线 Light"/>
      <w:kern w:val="2"/>
      <w:sz w:val="21"/>
      <w:szCs w:val="24"/>
      <w:shd w:val="clear" w:color="auto" w:fill="000080"/>
      <w:lang w:val="en-US" w:eastAsia="zh-CN" w:bidi="ar-SA"/>
    </w:rPr>
  </w:style>
  <w:style w:type="character" w:customStyle="1" w:styleId="130">
    <w:name w:val="cy"/>
    <w:basedOn w:val="57"/>
    <w:qFormat/>
    <w:uiPriority w:val="0"/>
  </w:style>
  <w:style w:type="character" w:customStyle="1" w:styleId="131">
    <w:name w:val="icontext3"/>
    <w:basedOn w:val="57"/>
    <w:qFormat/>
    <w:uiPriority w:val="0"/>
  </w:style>
  <w:style w:type="character" w:customStyle="1" w:styleId="132">
    <w:name w:val="unnamed1"/>
    <w:qFormat/>
    <w:uiPriority w:val="0"/>
    <w:rPr>
      <w:rFonts w:eastAsia="等线 Light"/>
      <w:kern w:val="2"/>
      <w:sz w:val="24"/>
      <w:szCs w:val="24"/>
      <w:lang w:val="en-US" w:eastAsia="zh-CN" w:bidi="ar-SA"/>
    </w:rPr>
  </w:style>
  <w:style w:type="character" w:customStyle="1" w:styleId="133">
    <w:name w:val="批注文字 字符"/>
    <w:qFormat/>
    <w:uiPriority w:val="0"/>
    <w:rPr>
      <w:rFonts w:ascii="等线 Light" w:hAnsi="幼圆" w:eastAsia="等线 Light" w:cs="幼圆"/>
      <w:kern w:val="0"/>
      <w:sz w:val="24"/>
      <w:szCs w:val="24"/>
    </w:rPr>
  </w:style>
  <w:style w:type="character" w:customStyle="1" w:styleId="134">
    <w:name w:val="iconline2"/>
    <w:basedOn w:val="57"/>
    <w:qFormat/>
    <w:uiPriority w:val="0"/>
  </w:style>
  <w:style w:type="character" w:customStyle="1" w:styleId="135">
    <w:name w:val="ca-41"/>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qFormat/>
    <w:uiPriority w:val="0"/>
    <w:rPr>
      <w:rFonts w:eastAsia="微软雅黑"/>
      <w:sz w:val="28"/>
      <w:szCs w:val="24"/>
    </w:rPr>
  </w:style>
  <w:style w:type="paragraph" w:customStyle="1" w:styleId="137">
    <w:name w:val="表格文字"/>
    <w:basedOn w:val="1"/>
    <w:link w:val="136"/>
    <w:qFormat/>
    <w:uiPriority w:val="0"/>
    <w:pPr>
      <w:autoSpaceDE/>
      <w:autoSpaceDN/>
      <w:adjustRightInd/>
      <w:jc w:val="both"/>
    </w:pPr>
    <w:rPr>
      <w:rFonts w:ascii="Times New Roman" w:eastAsia="微软雅黑"/>
      <w:sz w:val="28"/>
    </w:rPr>
  </w:style>
  <w:style w:type="character" w:customStyle="1" w:styleId="138">
    <w:name w:val="keyfeatures1"/>
    <w:qFormat/>
    <w:uiPriority w:val="0"/>
    <w:rPr>
      <w:rFonts w:hint="default" w:ascii="楷体_GB2312" w:hAnsi="楷体_GB2312" w:cs="楷体_GB2312"/>
      <w:color w:val="003366"/>
      <w:sz w:val="17"/>
      <w:szCs w:val="17"/>
      <w:u w:val="none"/>
    </w:rPr>
  </w:style>
  <w:style w:type="character" w:customStyle="1" w:styleId="139">
    <w:name w:val="标题 6 字符"/>
    <w:qFormat/>
    <w:uiPriority w:val="0"/>
    <w:rPr>
      <w:rFonts w:ascii="FrutigerNext LT Light" w:hAnsi="FrutigerNext LT Light" w:eastAsia="FrutigerNext LT Light" w:cs="幼圆"/>
      <w:b/>
      <w:bCs/>
      <w:sz w:val="24"/>
      <w:szCs w:val="24"/>
    </w:rPr>
  </w:style>
  <w:style w:type="character" w:customStyle="1" w:styleId="140">
    <w:name w:val="font21"/>
    <w:basedOn w:val="57"/>
    <w:qFormat/>
    <w:uiPriority w:val="0"/>
    <w:rPr>
      <w:rFonts w:hint="eastAsia" w:ascii="等线 Light" w:hAnsi="等线 Light" w:eastAsia="等线 Light" w:cs="等线 Light"/>
      <w:color w:val="000000"/>
      <w:sz w:val="20"/>
      <w:szCs w:val="20"/>
      <w:u w:val="none"/>
    </w:rPr>
  </w:style>
  <w:style w:type="character" w:customStyle="1" w:styleId="141">
    <w:name w:val="标题 6 Char1"/>
    <w:qFormat/>
    <w:uiPriority w:val="0"/>
    <w:rPr>
      <w:rFonts w:ascii="楷体_GB2312" w:hAnsi="楷体_GB2312" w:eastAsia="PMingLiU"/>
      <w:b/>
      <w:bCs/>
      <w:kern w:val="2"/>
      <w:sz w:val="24"/>
      <w:szCs w:val="24"/>
      <w:lang w:val="en-US" w:eastAsia="zh-CN" w:bidi="ar-SA"/>
    </w:rPr>
  </w:style>
  <w:style w:type="character" w:customStyle="1" w:styleId="142">
    <w:name w:val="批注文字 Char2"/>
    <w:qFormat/>
    <w:uiPriority w:val="99"/>
  </w:style>
  <w:style w:type="character" w:customStyle="1" w:styleId="143">
    <w:name w:val="Char Char8"/>
    <w:qFormat/>
    <w:uiPriority w:val="0"/>
    <w:rPr>
      <w:kern w:val="2"/>
      <w:sz w:val="18"/>
      <w:szCs w:val="18"/>
    </w:rPr>
  </w:style>
  <w:style w:type="character" w:customStyle="1" w:styleId="144">
    <w:name w:val="l-btn-text36"/>
    <w:qFormat/>
    <w:uiPriority w:val="0"/>
  </w:style>
  <w:style w:type="character" w:customStyle="1" w:styleId="145">
    <w:name w:val="cdropleft"/>
    <w:basedOn w:val="57"/>
    <w:qFormat/>
    <w:uiPriority w:val="0"/>
  </w:style>
  <w:style w:type="character" w:customStyle="1" w:styleId="146">
    <w:name w:val="标书正文格式 Char Char"/>
    <w:link w:val="147"/>
    <w:qFormat/>
    <w:uiPriority w:val="0"/>
    <w:rPr>
      <w:rFonts w:eastAsia="Cambria Math"/>
      <w:kern w:val="2"/>
      <w:sz w:val="24"/>
      <w:lang w:val="en-US" w:eastAsia="zh-CN" w:bidi="ar-SA"/>
    </w:rPr>
  </w:style>
  <w:style w:type="paragraph" w:customStyle="1" w:styleId="147">
    <w:name w:val="标书正文格式"/>
    <w:link w:val="146"/>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qFormat/>
    <w:uiPriority w:val="0"/>
    <w:rPr>
      <w:sz w:val="23"/>
    </w:rPr>
  </w:style>
  <w:style w:type="character" w:customStyle="1" w:styleId="149">
    <w:name w:val="apple-style-span"/>
    <w:qFormat/>
    <w:uiPriority w:val="0"/>
  </w:style>
  <w:style w:type="character" w:customStyle="1" w:styleId="150">
    <w:name w:val="font81"/>
    <w:qFormat/>
    <w:uiPriority w:val="0"/>
    <w:rPr>
      <w:rFonts w:hint="default" w:ascii="幼圆" w:hAnsi="幼圆" w:cs="幼圆"/>
      <w:color w:val="000000"/>
      <w:sz w:val="20"/>
      <w:szCs w:val="20"/>
      <w:u w:val="none"/>
    </w:rPr>
  </w:style>
  <w:style w:type="character" w:customStyle="1" w:styleId="151">
    <w:name w:val="postbody"/>
    <w:qFormat/>
    <w:uiPriority w:val="0"/>
  </w:style>
  <w:style w:type="character" w:customStyle="1" w:styleId="152">
    <w:name w:val="标题 4 Char1"/>
    <w:qFormat/>
    <w:uiPriority w:val="9"/>
    <w:rPr>
      <w:rFonts w:ascii="楷体_GB2312" w:hAnsi="楷体_GB2312" w:eastAsia="等线 Light" w:cs="幼圆"/>
      <w:b/>
      <w:bCs/>
      <w:szCs w:val="28"/>
    </w:rPr>
  </w:style>
  <w:style w:type="character" w:customStyle="1" w:styleId="153">
    <w:name w:val="正文文本缩进 Char"/>
    <w:qFormat/>
    <w:uiPriority w:val="0"/>
    <w:rPr>
      <w:rFonts w:ascii="幼圆" w:hAnsi="幼圆" w:eastAsia="等线 Light" w:cs="幼圆"/>
      <w:szCs w:val="20"/>
      <w:lang w:val="en-US" w:eastAsia="zh-CN"/>
    </w:rPr>
  </w:style>
  <w:style w:type="character" w:customStyle="1" w:styleId="154">
    <w:name w:val=" Char Char3"/>
    <w:qFormat/>
    <w:uiPriority w:val="0"/>
    <w:rPr>
      <w:rFonts w:eastAsia="等线 Light"/>
      <w:kern w:val="2"/>
      <w:sz w:val="28"/>
      <w:szCs w:val="24"/>
      <w:lang w:val="en-US" w:eastAsia="zh-CN" w:bidi="ar-SA"/>
    </w:rPr>
  </w:style>
  <w:style w:type="character" w:customStyle="1" w:styleId="155">
    <w:name w:val="彩色列表 - 强调文字颜色 1 Char"/>
    <w:link w:val="156"/>
    <w:qFormat/>
    <w:uiPriority w:val="0"/>
    <w:rPr>
      <w:rFonts w:ascii="等线 Light"/>
      <w:sz w:val="24"/>
      <w:szCs w:val="24"/>
    </w:rPr>
  </w:style>
  <w:style w:type="paragraph" w:customStyle="1" w:styleId="156">
    <w:name w:val="彩色列表 - 强调文字颜色 11"/>
    <w:basedOn w:val="1"/>
    <w:link w:val="155"/>
    <w:qFormat/>
    <w:uiPriority w:val="0"/>
    <w:pPr>
      <w:ind w:firstLine="420" w:firstLineChars="200"/>
    </w:pPr>
  </w:style>
  <w:style w:type="character" w:customStyle="1" w:styleId="157">
    <w:name w:val="标题 字符1"/>
    <w:qFormat/>
    <w:uiPriority w:val="10"/>
    <w:rPr>
      <w:rFonts w:ascii="FrutigerNext LT Light" w:hAnsi="FrutigerNext LT Light" w:eastAsia="font-weight : 400"/>
      <w:b/>
      <w:bCs/>
      <w:kern w:val="2"/>
      <w:sz w:val="28"/>
      <w:szCs w:val="32"/>
    </w:rPr>
  </w:style>
  <w:style w:type="character" w:customStyle="1" w:styleId="158">
    <w:name w:val="页脚 Char"/>
    <w:qFormat/>
    <w:uiPriority w:val="99"/>
    <w:rPr>
      <w:rFonts w:eastAsia="Arial Unicode MS"/>
      <w:sz w:val="21"/>
    </w:rPr>
  </w:style>
  <w:style w:type="character" w:customStyle="1" w:styleId="159">
    <w:name w:val="签名 Char1"/>
    <w:qFormat/>
    <w:uiPriority w:val="0"/>
    <w:rPr>
      <w:rFonts w:eastAsia="等线 Light"/>
      <w:kern w:val="2"/>
      <w:sz w:val="21"/>
      <w:szCs w:val="24"/>
      <w:lang w:val="en-US" w:eastAsia="zh-CN" w:bidi="ar-SA"/>
    </w:rPr>
  </w:style>
  <w:style w:type="character" w:customStyle="1" w:styleId="160">
    <w:name w:val="正文文本 2 Char1"/>
    <w:qFormat/>
    <w:uiPriority w:val="0"/>
    <w:rPr>
      <w:rFonts w:ascii="等线 Light" w:hAnsi="等线 Light" w:eastAsia="等线 Light"/>
      <w:kern w:val="2"/>
      <w:sz w:val="24"/>
      <w:szCs w:val="24"/>
      <w:lang w:val="en-US" w:eastAsia="zh-CN" w:bidi="ar-SA"/>
    </w:rPr>
  </w:style>
  <w:style w:type="character" w:customStyle="1" w:styleId="161">
    <w:name w:val="正文文本 Char3"/>
    <w:qFormat/>
    <w:uiPriority w:val="0"/>
    <w:rPr>
      <w:rFonts w:eastAsia="等线 Light"/>
      <w:kern w:val="2"/>
      <w:sz w:val="21"/>
      <w:szCs w:val="24"/>
      <w:lang w:val="en-US" w:eastAsia="zh-CN" w:bidi="ar-SA"/>
    </w:rPr>
  </w:style>
  <w:style w:type="character" w:customStyle="1" w:styleId="162">
    <w:name w:val="正文文本 3 Char2"/>
    <w:qFormat/>
    <w:uiPriority w:val="0"/>
    <w:rPr>
      <w:rFonts w:ascii="等线 Light" w:hAnsi="等线 Light" w:eastAsia="等线 Light"/>
      <w:kern w:val="2"/>
      <w:sz w:val="28"/>
      <w:szCs w:val="24"/>
      <w:lang w:val="en-US" w:eastAsia="zh-CN" w:bidi="ar-SA"/>
    </w:rPr>
  </w:style>
  <w:style w:type="character" w:customStyle="1" w:styleId="163">
    <w:name w:val="ca-0"/>
    <w:qFormat/>
    <w:uiPriority w:val="0"/>
  </w:style>
  <w:style w:type="character" w:customStyle="1" w:styleId="164">
    <w:name w:val="hilite6"/>
    <w:qFormat/>
    <w:uiPriority w:val="0"/>
    <w:rPr>
      <w:color w:val="FFFFFF"/>
      <w:shd w:val="clear" w:color="auto" w:fill="666666"/>
    </w:rPr>
  </w:style>
  <w:style w:type="character" w:customStyle="1" w:styleId="165">
    <w:name w:val="Char Char3"/>
    <w:qFormat/>
    <w:uiPriority w:val="0"/>
    <w:rPr>
      <w:rFonts w:ascii="Cambria Math" w:eastAsia="Cambria Math"/>
      <w:sz w:val="18"/>
      <w:szCs w:val="18"/>
    </w:rPr>
  </w:style>
  <w:style w:type="character" w:customStyle="1" w:styleId="166">
    <w:name w:val="纯文本 Char2"/>
    <w:qFormat/>
    <w:uiPriority w:val="0"/>
    <w:rPr>
      <w:rFonts w:ascii="等线 Light" w:hAnsi="Helv" w:eastAsia="等线 Light"/>
    </w:rPr>
  </w:style>
  <w:style w:type="character" w:customStyle="1" w:styleId="167">
    <w:name w:val="签名 Char"/>
    <w:qFormat/>
    <w:uiPriority w:val="0"/>
    <w:rPr>
      <w:rFonts w:eastAsia="等线 Light"/>
      <w:kern w:val="2"/>
      <w:sz w:val="21"/>
      <w:szCs w:val="24"/>
      <w:lang w:val="en-US" w:eastAsia="zh-CN" w:bidi="ar-SA"/>
    </w:rPr>
  </w:style>
  <w:style w:type="character" w:customStyle="1" w:styleId="168">
    <w:name w:val="正文文本 Char2"/>
    <w:qFormat/>
    <w:uiPriority w:val="0"/>
  </w:style>
  <w:style w:type="character" w:customStyle="1" w:styleId="169">
    <w:name w:val="彩色列表 - 着色 1 字符"/>
    <w:link w:val="170"/>
    <w:qFormat/>
    <w:uiPriority w:val="0"/>
    <w:rPr>
      <w:rFonts w:ascii="Arial Unicode MS" w:hAnsi="Arial Unicode MS"/>
      <w:kern w:val="2"/>
      <w:sz w:val="21"/>
      <w:szCs w:val="22"/>
    </w:rPr>
  </w:style>
  <w:style w:type="paragraph" w:customStyle="1" w:styleId="170">
    <w:name w:val="彩色列表 - 着色 11"/>
    <w:basedOn w:val="1"/>
    <w:link w:val="169"/>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qFormat/>
    <w:uiPriority w:val="99"/>
  </w:style>
  <w:style w:type="character" w:customStyle="1" w:styleId="172">
    <w:name w:val="标题 1 Char"/>
    <w:qFormat/>
    <w:uiPriority w:val="9"/>
    <w:rPr>
      <w:rFonts w:ascii="幼圆" w:hAnsi="幼圆" w:eastAsia="等线 Light" w:cs="幼圆"/>
      <w:b/>
      <w:bCs/>
      <w:kern w:val="44"/>
      <w:sz w:val="44"/>
      <w:szCs w:val="44"/>
      <w:lang w:val="en-US" w:eastAsia="zh-CN" w:bidi="ar-SA"/>
    </w:rPr>
  </w:style>
  <w:style w:type="character" w:customStyle="1" w:styleId="173">
    <w:name w:val="尾注文本 Char2"/>
    <w:semiHidden/>
    <w:qFormat/>
    <w:uiPriority w:val="99"/>
    <w:rPr>
      <w:rFonts w:ascii="等线 Light"/>
      <w:sz w:val="24"/>
      <w:szCs w:val="24"/>
    </w:rPr>
  </w:style>
  <w:style w:type="character" w:customStyle="1" w:styleId="174">
    <w:name w:val="访问过的超链接1"/>
    <w:qFormat/>
    <w:uiPriority w:val="0"/>
    <w:rPr>
      <w:rFonts w:ascii="楷体_GB2312" w:hAnsi="楷体_GB2312" w:cs="楷体_GB2312"/>
      <w:color w:val="000000"/>
      <w:sz w:val="20"/>
      <w:szCs w:val="20"/>
      <w:u w:val="none"/>
    </w:rPr>
  </w:style>
  <w:style w:type="character" w:customStyle="1" w:styleId="175">
    <w:name w:val="font11"/>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semiHidden/>
    <w:qFormat/>
    <w:uiPriority w:val="99"/>
    <w:rPr>
      <w:rFonts w:ascii="等线 Light" w:eastAsia="等线 Light"/>
      <w:b/>
      <w:bCs/>
      <w:sz w:val="24"/>
      <w:szCs w:val="24"/>
      <w:lang w:val="zh-CN"/>
    </w:rPr>
  </w:style>
  <w:style w:type="character" w:customStyle="1" w:styleId="177">
    <w:name w:val="批注框文本 Char3"/>
    <w:qFormat/>
    <w:uiPriority w:val="99"/>
    <w:rPr>
      <w:rFonts w:eastAsia="等线 Light"/>
      <w:kern w:val="2"/>
      <w:sz w:val="18"/>
      <w:szCs w:val="18"/>
      <w:lang w:val="en-US" w:eastAsia="zh-CN" w:bidi="ar-SA"/>
    </w:rPr>
  </w:style>
  <w:style w:type="character" w:customStyle="1" w:styleId="178">
    <w:name w:val="脚注文本 Char"/>
    <w:qFormat/>
    <w:uiPriority w:val="99"/>
    <w:rPr>
      <w:rFonts w:ascii="幼圆" w:hAnsi="幼圆" w:eastAsia="等线 Light" w:cs="幼圆"/>
      <w:kern w:val="2"/>
      <w:sz w:val="18"/>
      <w:szCs w:val="18"/>
      <w:lang w:bidi="ar-SA"/>
    </w:rPr>
  </w:style>
  <w:style w:type="character" w:customStyle="1" w:styleId="179">
    <w:name w:val="fontstrikethrough"/>
    <w:qFormat/>
    <w:uiPriority w:val="0"/>
    <w:rPr>
      <w:strike/>
    </w:rPr>
  </w:style>
  <w:style w:type="character" w:customStyle="1" w:styleId="180">
    <w:name w:val="font101"/>
    <w:qFormat/>
    <w:uiPriority w:val="0"/>
    <w:rPr>
      <w:rFonts w:hint="default" w:ascii="幼圆" w:hAnsi="幼圆" w:cs="幼圆"/>
      <w:color w:val="000000"/>
      <w:sz w:val="21"/>
      <w:szCs w:val="21"/>
      <w:u w:val="none"/>
    </w:rPr>
  </w:style>
  <w:style w:type="character" w:customStyle="1" w:styleId="181">
    <w:name w:val="spantable1"/>
    <w:qFormat/>
    <w:uiPriority w:val="0"/>
    <w:rPr>
      <w:rFonts w:hint="default" w:eastAsia="等线 Light"/>
      <w:spacing w:val="360"/>
      <w:kern w:val="2"/>
      <w:sz w:val="18"/>
      <w:szCs w:val="18"/>
      <w:lang w:val="en-US" w:eastAsia="zh-CN" w:bidi="ar-SA"/>
    </w:rPr>
  </w:style>
  <w:style w:type="character" w:customStyle="1" w:styleId="182">
    <w:name w:val="disabled"/>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qFormat/>
    <w:uiPriority w:val="0"/>
    <w:rPr>
      <w:rFonts w:hint="eastAsia" w:ascii="等线 Light" w:hAnsi="等线 Light" w:eastAsia="等线 Light" w:cs="等线 Light"/>
      <w:color w:val="000000"/>
      <w:sz w:val="21"/>
      <w:szCs w:val="21"/>
      <w:u w:val="none"/>
    </w:rPr>
  </w:style>
  <w:style w:type="character" w:customStyle="1" w:styleId="184">
    <w:name w:val=" Char Char6"/>
    <w:qFormat/>
    <w:uiPriority w:val="0"/>
    <w:rPr>
      <w:rFonts w:ascii="等线 Light" w:hAnsi="Helv" w:eastAsia="等线 Light"/>
      <w:szCs w:val="24"/>
    </w:rPr>
  </w:style>
  <w:style w:type="character" w:customStyle="1" w:styleId="185">
    <w:name w:val="正文无缩进 Char"/>
    <w:link w:val="186"/>
    <w:qFormat/>
    <w:locked/>
    <w:uiPriority w:val="0"/>
    <w:rPr>
      <w:rFonts w:ascii="微软雅黑" w:hAnsi="等线 Light" w:eastAsia="微软雅黑"/>
      <w:kern w:val="2"/>
      <w:sz w:val="31"/>
      <w:szCs w:val="28"/>
    </w:rPr>
  </w:style>
  <w:style w:type="paragraph" w:customStyle="1" w:styleId="186">
    <w:name w:val="正文无缩进"/>
    <w:basedOn w:val="187"/>
    <w:link w:val="185"/>
    <w:qFormat/>
    <w:uiPriority w:val="0"/>
    <w:pPr>
      <w:ind w:firstLine="0" w:firstLineChars="0"/>
    </w:pPr>
    <w:rPr>
      <w:kern w:val="2"/>
    </w:rPr>
  </w:style>
  <w:style w:type="paragraph" w:customStyle="1" w:styleId="187">
    <w:name w:val="正文缩进2格"/>
    <w:basedOn w:val="1"/>
    <w:link w:val="188"/>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qFormat/>
    <w:uiPriority w:val="0"/>
    <w:rPr>
      <w:rFonts w:ascii="微软雅黑" w:hAnsi="等线 Light" w:eastAsia="微软雅黑"/>
      <w:sz w:val="31"/>
      <w:szCs w:val="28"/>
    </w:rPr>
  </w:style>
  <w:style w:type="character" w:customStyle="1" w:styleId="189">
    <w:name w:val="font91"/>
    <w:qFormat/>
    <w:uiPriority w:val="0"/>
    <w:rPr>
      <w:rFonts w:hint="default" w:ascii="幼圆" w:hAnsi="幼圆" w:cs="幼圆"/>
      <w:color w:val="000000"/>
      <w:sz w:val="21"/>
      <w:szCs w:val="21"/>
      <w:u w:val="none"/>
      <w:vertAlign w:val="subscript"/>
    </w:rPr>
  </w:style>
  <w:style w:type="character" w:customStyle="1" w:styleId="190">
    <w:name w:val="页脚 Char1"/>
    <w:semiHidden/>
    <w:qFormat/>
    <w:uiPriority w:val="99"/>
    <w:rPr>
      <w:rFonts w:ascii="等线 Light" w:hAnsi="幼圆" w:eastAsia="等线 Light" w:cs="幼圆"/>
      <w:kern w:val="0"/>
      <w:sz w:val="18"/>
      <w:szCs w:val="18"/>
    </w:rPr>
  </w:style>
  <w:style w:type="character" w:customStyle="1" w:styleId="191">
    <w:name w:val="+正文 Char4"/>
    <w:link w:val="192"/>
    <w:qFormat/>
    <w:uiPriority w:val="0"/>
    <w:rPr>
      <w:kern w:val="2"/>
      <w:sz w:val="24"/>
      <w:szCs w:val="28"/>
    </w:rPr>
  </w:style>
  <w:style w:type="paragraph" w:customStyle="1" w:styleId="192">
    <w:name w:val="+正文"/>
    <w:basedOn w:val="1"/>
    <w:link w:val="191"/>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qFormat/>
    <w:uiPriority w:val="0"/>
    <w:rPr>
      <w:rFonts w:eastAsia="微软雅黑"/>
      <w:b/>
      <w:sz w:val="28"/>
      <w:szCs w:val="21"/>
    </w:rPr>
  </w:style>
  <w:style w:type="paragraph" w:customStyle="1" w:styleId="194">
    <w:name w:val="表头文字"/>
    <w:basedOn w:val="1"/>
    <w:link w:val="193"/>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semiHidden/>
    <w:qFormat/>
    <w:uiPriority w:val="0"/>
    <w:rPr>
      <w:rFonts w:ascii="宋体"/>
      <w:sz w:val="24"/>
      <w:szCs w:val="24"/>
    </w:rPr>
  </w:style>
  <w:style w:type="character" w:customStyle="1" w:styleId="196">
    <w:name w:val="标题 3.1 Char"/>
    <w:link w:val="197"/>
    <w:qFormat/>
    <w:uiPriority w:val="0"/>
    <w:rPr>
      <w:rFonts w:ascii="等线 Light" w:hAnsi="等线 Light"/>
      <w:b/>
      <w:bCs/>
      <w:sz w:val="32"/>
      <w:szCs w:val="32"/>
    </w:rPr>
  </w:style>
  <w:style w:type="paragraph" w:customStyle="1" w:styleId="197">
    <w:name w:val="标题 3.1"/>
    <w:basedOn w:val="4"/>
    <w:link w:val="196"/>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qFormat/>
    <w:uiPriority w:val="0"/>
    <w:rPr>
      <w:rFonts w:eastAsia="等线 Light"/>
      <w:kern w:val="2"/>
      <w:sz w:val="24"/>
      <w:szCs w:val="24"/>
      <w:lang w:val="en-US" w:eastAsia="zh-CN" w:bidi="ar-SA"/>
    </w:rPr>
  </w:style>
  <w:style w:type="character" w:customStyle="1" w:styleId="199">
    <w:name w:val="标题 2 字符2"/>
    <w:qFormat/>
    <w:uiPriority w:val="0"/>
    <w:rPr>
      <w:rFonts w:ascii="楷体_GB2312" w:hAnsi="楷体_GB2312" w:eastAsia="PMingLiU"/>
      <w:b/>
      <w:bCs/>
      <w:kern w:val="2"/>
      <w:sz w:val="32"/>
      <w:szCs w:val="32"/>
      <w:lang w:val="en-US" w:eastAsia="zh-CN" w:bidi="ar-SA"/>
    </w:rPr>
  </w:style>
  <w:style w:type="character" w:customStyle="1" w:styleId="200">
    <w:name w:val="img9"/>
    <w:basedOn w:val="57"/>
    <w:qFormat/>
    <w:uiPriority w:val="0"/>
  </w:style>
  <w:style w:type="character" w:customStyle="1" w:styleId="201">
    <w:name w:val="fontborder"/>
    <w:qFormat/>
    <w:uiPriority w:val="0"/>
    <w:rPr>
      <w:bdr w:val="single" w:color="000000" w:sz="6" w:space="0"/>
    </w:rPr>
  </w:style>
  <w:style w:type="character" w:customStyle="1" w:styleId="202">
    <w:name w:val="标题 7 Char"/>
    <w:qFormat/>
    <w:uiPriority w:val="0"/>
    <w:rPr>
      <w:rFonts w:ascii="幼圆" w:hAnsi="幼圆" w:eastAsia="等线 Light" w:cs="幼圆"/>
      <w:bCs/>
      <w:color w:val="000000"/>
      <w:kern w:val="2"/>
      <w:sz w:val="32"/>
      <w:szCs w:val="21"/>
      <w:lang w:val="en-US" w:eastAsia="zh-CN" w:bidi="ar-SA"/>
    </w:rPr>
  </w:style>
  <w:style w:type="character" w:customStyle="1" w:styleId="203">
    <w:name w:val="active7"/>
    <w:qFormat/>
    <w:uiPriority w:val="0"/>
    <w:rPr>
      <w:color w:val="00FF00"/>
      <w:shd w:val="clear" w:color="auto" w:fill="111111"/>
    </w:rPr>
  </w:style>
  <w:style w:type="character" w:customStyle="1" w:styleId="204">
    <w:name w:val="curr"/>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qFormat/>
    <w:uiPriority w:val="0"/>
    <w:rPr>
      <w:rFonts w:ascii="微软雅黑" w:hAnsi="等线 Light" w:eastAsia="微软雅黑"/>
      <w:kern w:val="2"/>
      <w:sz w:val="31"/>
      <w:szCs w:val="28"/>
      <w:lang w:val="en-US" w:eastAsia="zh-CN" w:bidi="ar-SA"/>
    </w:rPr>
  </w:style>
  <w:style w:type="character" w:customStyle="1" w:styleId="206">
    <w:name w:val="font01"/>
    <w:qFormat/>
    <w:uiPriority w:val="0"/>
    <w:rPr>
      <w:rFonts w:hint="eastAsia" w:ascii="等线 Light" w:hAnsi="等线 Light" w:eastAsia="等线 Light" w:cs="等线 Light"/>
      <w:color w:val="000000"/>
      <w:sz w:val="28"/>
      <w:szCs w:val="28"/>
      <w:u w:val="none"/>
    </w:rPr>
  </w:style>
  <w:style w:type="character" w:customStyle="1" w:styleId="207">
    <w:name w:val="show"/>
    <w:qFormat/>
    <w:uiPriority w:val="0"/>
  </w:style>
  <w:style w:type="character" w:customStyle="1" w:styleId="208">
    <w:name w:val="批注文字 Char"/>
    <w:qFormat/>
    <w:uiPriority w:val="99"/>
    <w:rPr>
      <w:rFonts w:ascii="幼圆" w:hAnsi="幼圆" w:eastAsia="等线 Light" w:cs="幼圆"/>
      <w:kern w:val="2"/>
      <w:sz w:val="24"/>
      <w:szCs w:val="24"/>
      <w:lang w:val="en-US" w:eastAsia="zh-CN" w:bidi="ar-SA"/>
    </w:rPr>
  </w:style>
  <w:style w:type="character" w:customStyle="1" w:styleId="209">
    <w:name w:val="ziti"/>
    <w:qFormat/>
    <w:uiPriority w:val="0"/>
    <w:rPr>
      <w:rFonts w:hint="default" w:ascii="楷体_GB2312" w:hAnsi="楷体_GB2312" w:cs="楷体_GB2312"/>
      <w:sz w:val="16"/>
      <w:szCs w:val="16"/>
    </w:rPr>
  </w:style>
  <w:style w:type="character" w:customStyle="1" w:styleId="210">
    <w:name w:val="脚注文本 字符2"/>
    <w:semiHidden/>
    <w:qFormat/>
    <w:uiPriority w:val="99"/>
    <w:rPr>
      <w:rFonts w:ascii="等线 Light"/>
      <w:sz w:val="18"/>
      <w:szCs w:val="18"/>
    </w:rPr>
  </w:style>
  <w:style w:type="character" w:customStyle="1" w:styleId="211">
    <w:name w:val="标题 Char"/>
    <w:qFormat/>
    <w:uiPriority w:val="10"/>
    <w:rPr>
      <w:rFonts w:ascii="Cambria" w:hAnsi="Cambria"/>
      <w:b/>
      <w:bCs/>
      <w:sz w:val="32"/>
      <w:szCs w:val="32"/>
    </w:rPr>
  </w:style>
  <w:style w:type="character" w:customStyle="1" w:styleId="212">
    <w:name w:val="正文缩进 Char"/>
    <w:qFormat/>
    <w:uiPriority w:val="0"/>
    <w:rPr>
      <w:rFonts w:ascii="幼圆" w:hAnsi="幼圆" w:eastAsia="等线 Light" w:cs="幼圆"/>
      <w:kern w:val="0"/>
      <w:sz w:val="20"/>
      <w:szCs w:val="20"/>
    </w:rPr>
  </w:style>
  <w:style w:type="character" w:customStyle="1" w:styleId="213">
    <w:name w:val="hover23"/>
    <w:qFormat/>
    <w:uiPriority w:val="0"/>
    <w:rPr>
      <w:color w:val="D52222"/>
    </w:rPr>
  </w:style>
  <w:style w:type="character" w:customStyle="1" w:styleId="214">
    <w:name w:val="标题 3 字符1"/>
    <w:qFormat/>
    <w:uiPriority w:val="0"/>
    <w:rPr>
      <w:rFonts w:ascii="等线 Light" w:hAnsi="幼圆" w:eastAsia="等线 Light" w:cs="幼圆"/>
      <w:kern w:val="0"/>
      <w:sz w:val="24"/>
      <w:szCs w:val="24"/>
    </w:rPr>
  </w:style>
  <w:style w:type="character" w:customStyle="1" w:styleId="215">
    <w:name w:val="ico1656"/>
    <w:basedOn w:val="57"/>
    <w:qFormat/>
    <w:uiPriority w:val="0"/>
  </w:style>
  <w:style w:type="character" w:customStyle="1" w:styleId="216">
    <w:name w:val="中等深浅网格 2 字符"/>
    <w:link w:val="217"/>
    <w:qFormat/>
    <w:uiPriority w:val="1"/>
    <w:rPr>
      <w:kern w:val="2"/>
      <w:sz w:val="21"/>
      <w:szCs w:val="22"/>
      <w:lang w:val="en-US" w:eastAsia="zh-CN" w:bidi="ar-SA"/>
    </w:rPr>
  </w:style>
  <w:style w:type="paragraph" w:customStyle="1" w:styleId="217">
    <w:name w:val="中等深浅网格 21"/>
    <w:link w:val="21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qFormat/>
    <w:uiPriority w:val="0"/>
    <w:rPr>
      <w:rFonts w:hint="default" w:ascii="幼圆" w:hAnsi="幼圆" w:cs="幼圆"/>
      <w:color w:val="000000"/>
      <w:sz w:val="21"/>
      <w:szCs w:val="21"/>
      <w:u w:val="none"/>
    </w:rPr>
  </w:style>
  <w:style w:type="character" w:customStyle="1" w:styleId="219">
    <w:name w:val="正文首行缩进 字符"/>
    <w:basedOn w:val="161"/>
    <w:qFormat/>
    <w:uiPriority w:val="0"/>
  </w:style>
  <w:style w:type="character" w:customStyle="1" w:styleId="220">
    <w:name w:val="标题 9 Char"/>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qFormat/>
    <w:uiPriority w:val="0"/>
    <w:rPr>
      <w:rFonts w:eastAsia="Cambria Math"/>
      <w:kern w:val="2"/>
      <w:sz w:val="24"/>
      <w:lang w:val="en-US" w:eastAsia="zh-CN" w:bidi="ar-SA"/>
    </w:rPr>
  </w:style>
  <w:style w:type="character" w:customStyle="1" w:styleId="222">
    <w:name w:val="layui-layer-tabnow"/>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qFormat/>
    <w:uiPriority w:val="0"/>
    <w:rPr>
      <w:rFonts w:ascii="_x001A_" w:eastAsia="_x001A_"/>
      <w:b/>
      <w:sz w:val="28"/>
    </w:rPr>
  </w:style>
  <w:style w:type="character" w:customStyle="1" w:styleId="224">
    <w:name w:val="hover64"/>
    <w:qFormat/>
    <w:uiPriority w:val="0"/>
    <w:rPr>
      <w:rFonts w:eastAsia="等线 Light"/>
      <w:color w:val="D52222"/>
      <w:kern w:val="2"/>
      <w:sz w:val="24"/>
      <w:szCs w:val="24"/>
      <w:lang w:val="en-US" w:eastAsia="zh-CN" w:bidi="ar-SA"/>
    </w:rPr>
  </w:style>
  <w:style w:type="character" w:customStyle="1" w:styleId="225">
    <w:name w:val="正文文本缩进 Char1"/>
    <w:semiHidden/>
    <w:qFormat/>
    <w:uiPriority w:val="99"/>
    <w:rPr>
      <w:rFonts w:ascii="宋体"/>
      <w:sz w:val="24"/>
      <w:szCs w:val="24"/>
    </w:rPr>
  </w:style>
  <w:style w:type="character" w:customStyle="1" w:styleId="226">
    <w:name w:val="标题 2 Char"/>
    <w:qFormat/>
    <w:uiPriority w:val="0"/>
    <w:rPr>
      <w:rFonts w:ascii="楷体_GB2312" w:hAnsi="楷体_GB2312" w:eastAsia="PMingLiU" w:cs="幼圆"/>
      <w:b/>
      <w:bCs/>
      <w:kern w:val="2"/>
      <w:sz w:val="32"/>
      <w:szCs w:val="32"/>
      <w:lang w:val="en-US" w:eastAsia="zh-CN" w:bidi="ar-SA"/>
    </w:rPr>
  </w:style>
  <w:style w:type="character" w:customStyle="1" w:styleId="227">
    <w:name w:val="icon-pd-bbs"/>
    <w:qFormat/>
    <w:uiPriority w:val="0"/>
  </w:style>
  <w:style w:type="character" w:customStyle="1" w:styleId="228">
    <w:name w:val="正文文本 3 Char"/>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qFormat/>
    <w:uiPriority w:val="0"/>
  </w:style>
  <w:style w:type="character" w:customStyle="1" w:styleId="230">
    <w:name w:val="associateddata"/>
    <w:qFormat/>
    <w:uiPriority w:val="0"/>
    <w:rPr>
      <w:shd w:val="clear" w:color="auto" w:fill="50A6F9"/>
    </w:rPr>
  </w:style>
  <w:style w:type="character" w:customStyle="1" w:styleId="231">
    <w:name w:val="bigfont1"/>
    <w:qFormat/>
    <w:uiPriority w:val="0"/>
    <w:rPr>
      <w:rFonts w:hint="default" w:ascii="MS Sans Serif" w:hAnsi="MS Sans Serif"/>
      <w:color w:val="000000"/>
      <w:sz w:val="24"/>
      <w:szCs w:val="24"/>
      <w:u w:val="none"/>
    </w:rPr>
  </w:style>
  <w:style w:type="character" w:customStyle="1" w:styleId="232">
    <w:name w:val="正文文本缩进 2 Char1"/>
    <w:qFormat/>
    <w:uiPriority w:val="0"/>
    <w:rPr>
      <w:rFonts w:eastAsia="等线 Light"/>
      <w:kern w:val="2"/>
      <w:sz w:val="21"/>
      <w:szCs w:val="24"/>
      <w:lang w:val="en-US" w:eastAsia="zh-CN" w:bidi="ar-SA"/>
    </w:rPr>
  </w:style>
  <w:style w:type="character" w:customStyle="1" w:styleId="233">
    <w:name w:val="正文文本缩进 3 Char"/>
    <w:qFormat/>
    <w:uiPriority w:val="0"/>
    <w:rPr>
      <w:rFonts w:ascii="幼圆" w:hAnsi="幼圆" w:eastAsia="等线 Light" w:cs="幼圆"/>
      <w:kern w:val="2"/>
      <w:sz w:val="24"/>
      <w:szCs w:val="21"/>
      <w:lang w:val="en-US" w:eastAsia="zh-CN" w:bidi="ar-SA"/>
    </w:rPr>
  </w:style>
  <w:style w:type="character" w:customStyle="1" w:styleId="234">
    <w:name w:val="DAS正文 Char"/>
    <w:qFormat/>
    <w:uiPriority w:val="0"/>
    <w:rPr>
      <w:rFonts w:ascii="Lucida Grande" w:hAnsi="Lucida Grande" w:eastAsia="等线 Light"/>
      <w:kern w:val="2"/>
      <w:sz w:val="21"/>
      <w:szCs w:val="21"/>
      <w:lang w:val="en-US" w:eastAsia="zh-CN" w:bidi="ar-SA"/>
    </w:rPr>
  </w:style>
  <w:style w:type="character" w:customStyle="1" w:styleId="235">
    <w:name w:val="iconline21"/>
    <w:basedOn w:val="57"/>
    <w:qFormat/>
    <w:uiPriority w:val="0"/>
  </w:style>
  <w:style w:type="character" w:customStyle="1" w:styleId="236">
    <w:name w:val="cdropright"/>
    <w:basedOn w:val="57"/>
    <w:qFormat/>
    <w:uiPriority w:val="0"/>
  </w:style>
  <w:style w:type="character" w:customStyle="1" w:styleId="237">
    <w:name w:val="drapbtn"/>
    <w:basedOn w:val="57"/>
    <w:qFormat/>
    <w:uiPriority w:val="0"/>
  </w:style>
  <w:style w:type="character" w:customStyle="1" w:styleId="238">
    <w:name w:val="HTML Markup"/>
    <w:qFormat/>
    <w:uiPriority w:val="0"/>
    <w:rPr>
      <w:vanish/>
      <w:color w:val="FF0000"/>
    </w:rPr>
  </w:style>
  <w:style w:type="character" w:customStyle="1" w:styleId="239">
    <w:name w:val="first-child"/>
    <w:qFormat/>
    <w:uiPriority w:val="0"/>
  </w:style>
  <w:style w:type="character" w:customStyle="1" w:styleId="240">
    <w:name w:val="标题 1 Char1"/>
    <w:qFormat/>
    <w:uiPriority w:val="0"/>
    <w:rPr>
      <w:rFonts w:eastAsia="等线 Light"/>
      <w:b/>
      <w:bCs/>
      <w:kern w:val="44"/>
      <w:sz w:val="44"/>
      <w:szCs w:val="44"/>
      <w:lang w:val="en-US" w:eastAsia="zh-CN" w:bidi="ar-SA"/>
    </w:rPr>
  </w:style>
  <w:style w:type="character" w:customStyle="1" w:styleId="241">
    <w:name w:val="普通(网站) Char"/>
    <w:qFormat/>
    <w:uiPriority w:val="99"/>
    <w:rPr>
      <w:rFonts w:ascii="等线 Light" w:hAnsi="等线 Light"/>
      <w:sz w:val="15"/>
      <w:szCs w:val="15"/>
    </w:rPr>
  </w:style>
  <w:style w:type="character" w:customStyle="1" w:styleId="242">
    <w:name w:val="style61"/>
    <w:qFormat/>
    <w:uiPriority w:val="0"/>
    <w:rPr>
      <w:b/>
      <w:bCs/>
    </w:rPr>
  </w:style>
  <w:style w:type="character" w:customStyle="1" w:styleId="243">
    <w:name w:val="font51"/>
    <w:qFormat/>
    <w:uiPriority w:val="0"/>
    <w:rPr>
      <w:rFonts w:hint="default" w:ascii="幼圆" w:hAnsi="幼圆" w:cs="幼圆"/>
      <w:color w:val="000000"/>
      <w:sz w:val="20"/>
      <w:szCs w:val="20"/>
      <w:u w:val="none"/>
    </w:rPr>
  </w:style>
  <w:style w:type="character" w:customStyle="1" w:styleId="244">
    <w:name w:val="Char Char Char Char Char Char Char1 Char"/>
    <w:qFormat/>
    <w:uiPriority w:val="0"/>
    <w:rPr>
      <w:rFonts w:ascii="PMingLiU" w:hAnsi="Lucida Grande" w:eastAsia="PMingLiU"/>
      <w:sz w:val="32"/>
      <w:szCs w:val="32"/>
      <w:lang w:eastAsia="en-US"/>
    </w:rPr>
  </w:style>
  <w:style w:type="character" w:customStyle="1" w:styleId="245">
    <w:name w:val="Char Char2"/>
    <w:qFormat/>
    <w:uiPriority w:val="0"/>
    <w:rPr>
      <w:kern w:val="2"/>
      <w:sz w:val="21"/>
      <w:szCs w:val="24"/>
    </w:rPr>
  </w:style>
  <w:style w:type="character" w:customStyle="1" w:styleId="246">
    <w:name w:val="标题 8 Char"/>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qFormat/>
    <w:uiPriority w:val="0"/>
    <w:rPr>
      <w:rFonts w:ascii="等线 Light" w:hAnsi="等线 Light"/>
      <w:color w:val="000000"/>
      <w:kern w:val="2"/>
      <w:sz w:val="24"/>
    </w:rPr>
  </w:style>
  <w:style w:type="paragraph" w:customStyle="1" w:styleId="248">
    <w:name w:val="样式 样式 标准正文 + 宋体 + 黑色"/>
    <w:basedOn w:val="1"/>
    <w:link w:val="247"/>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qFormat/>
    <w:uiPriority w:val="0"/>
    <w:rPr>
      <w:rFonts w:ascii="幼圆" w:hAnsi="幼圆" w:eastAsia="等线 Light" w:cs="幼圆"/>
      <w:kern w:val="2"/>
      <w:sz w:val="24"/>
      <w:szCs w:val="24"/>
      <w:lang w:bidi="ar-SA"/>
    </w:rPr>
  </w:style>
  <w:style w:type="character" w:customStyle="1" w:styleId="250">
    <w:name w:val="article1"/>
    <w:qFormat/>
    <w:uiPriority w:val="0"/>
    <w:rPr>
      <w:sz w:val="30"/>
      <w:szCs w:val="30"/>
    </w:rPr>
  </w:style>
  <w:style w:type="character" w:customStyle="1" w:styleId="251">
    <w:name w:val="apple-converted-space"/>
    <w:qFormat/>
    <w:uiPriority w:val="0"/>
  </w:style>
  <w:style w:type="character" w:customStyle="1" w:styleId="252">
    <w:name w:val="纯文本 Char1"/>
    <w:qFormat/>
    <w:uiPriority w:val="0"/>
    <w:rPr>
      <w:rFonts w:ascii="等线 Light" w:hAnsi="Helv" w:eastAsia="等线 Light" w:cs="Helv"/>
      <w:kern w:val="0"/>
      <w:szCs w:val="21"/>
    </w:rPr>
  </w:style>
  <w:style w:type="character" w:customStyle="1" w:styleId="253">
    <w:name w:val="文档结构图 Char1"/>
    <w:semiHidden/>
    <w:qFormat/>
    <w:uiPriority w:val="99"/>
    <w:rPr>
      <w:rFonts w:ascii="Microsoft YaHei UI" w:eastAsia="Microsoft YaHei UI"/>
      <w:sz w:val="18"/>
      <w:szCs w:val="18"/>
    </w:rPr>
  </w:style>
  <w:style w:type="character" w:customStyle="1" w:styleId="254">
    <w:name w:val="l-btn-text35"/>
    <w:qFormat/>
    <w:uiPriority w:val="0"/>
  </w:style>
  <w:style w:type="character" w:customStyle="1" w:styleId="255">
    <w:name w:val=" Char Char Char Char Char Char Char1 Char Char"/>
    <w:link w:val="256"/>
    <w:qFormat/>
    <w:uiPriority w:val="0"/>
    <w:rPr>
      <w:rFonts w:ascii="PMingLiU" w:hAnsi="Lucida Grande" w:eastAsia="PMingLiU"/>
      <w:sz w:val="32"/>
      <w:szCs w:val="32"/>
      <w:lang w:eastAsia="en-US"/>
    </w:rPr>
  </w:style>
  <w:style w:type="paragraph" w:customStyle="1" w:styleId="256">
    <w:name w:val=" Char Char Char Char Char Char Char1"/>
    <w:basedOn w:val="1"/>
    <w:link w:val="255"/>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qFormat/>
    <w:uiPriority w:val="0"/>
    <w:rPr>
      <w:color w:val="2490F8"/>
    </w:rPr>
  </w:style>
  <w:style w:type="character" w:customStyle="1" w:styleId="258">
    <w:name w:val="font71"/>
    <w:qFormat/>
    <w:uiPriority w:val="0"/>
    <w:rPr>
      <w:rFonts w:hint="eastAsia" w:ascii="等线 Light" w:hAnsi="等线 Light" w:eastAsia="等线 Light" w:cs="等线 Light"/>
      <w:color w:val="000000"/>
      <w:sz w:val="20"/>
      <w:szCs w:val="20"/>
      <w:u w:val="none"/>
    </w:rPr>
  </w:style>
  <w:style w:type="character" w:customStyle="1" w:styleId="259">
    <w:name w:val="页眉 Char2"/>
    <w:qFormat/>
    <w:uiPriority w:val="0"/>
    <w:rPr>
      <w:rFonts w:eastAsia="等线 Light"/>
      <w:kern w:val="2"/>
      <w:sz w:val="18"/>
      <w:szCs w:val="18"/>
      <w:lang w:val="en-US" w:eastAsia="zh-CN" w:bidi="ar-SA"/>
    </w:rPr>
  </w:style>
  <w:style w:type="character" w:customStyle="1" w:styleId="260">
    <w:name w:val="首航所进 Char"/>
    <w:qFormat/>
    <w:uiPriority w:val="0"/>
    <w:rPr>
      <w:rFonts w:eastAsia="等线 Light"/>
      <w:kern w:val="2"/>
      <w:sz w:val="24"/>
      <w:szCs w:val="24"/>
      <w:lang w:val="en-US" w:eastAsia="zh-CN" w:bidi="ar-SA"/>
    </w:rPr>
  </w:style>
  <w:style w:type="character" w:customStyle="1" w:styleId="261">
    <w:name w:val="样式 样式 标准正文 + 宋体 + 黑色 Char"/>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qFormat/>
    <w:uiPriority w:val="0"/>
    <w:rPr>
      <w:rFonts w:ascii="PMingLiU" w:hAnsi="Lucida Grande" w:eastAsia="PMingLiU"/>
      <w:sz w:val="32"/>
      <w:szCs w:val="32"/>
      <w:lang w:eastAsia="en-US"/>
    </w:rPr>
  </w:style>
  <w:style w:type="paragraph" w:customStyle="1" w:styleId="263">
    <w:name w:val="Char Char Char Char Char Char Char1"/>
    <w:basedOn w:val="1"/>
    <w:link w:val="262"/>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qFormat/>
    <w:uiPriority w:val="0"/>
    <w:rPr>
      <w:rFonts w:hint="eastAsia" w:ascii="微软雅黑" w:eastAsia="微软雅黑"/>
      <w:kern w:val="2"/>
      <w:sz w:val="32"/>
      <w:szCs w:val="32"/>
      <w:lang w:val="en-US" w:eastAsia="zh-CN" w:bidi="ar-SA"/>
    </w:rPr>
  </w:style>
  <w:style w:type="character" w:customStyle="1" w:styleId="265">
    <w:name w:val="hover63"/>
    <w:qFormat/>
    <w:uiPriority w:val="0"/>
    <w:rPr>
      <w:rFonts w:eastAsia="等线 Light"/>
      <w:color w:val="2B84B5"/>
      <w:kern w:val="2"/>
      <w:sz w:val="24"/>
      <w:szCs w:val="24"/>
      <w:lang w:val="en-US" w:eastAsia="zh-CN" w:bidi="ar-SA"/>
    </w:rPr>
  </w:style>
  <w:style w:type="character" w:customStyle="1" w:styleId="266">
    <w:name w:val="标题 2 字符1"/>
    <w:qFormat/>
    <w:uiPriority w:val="0"/>
    <w:rPr>
      <w:rFonts w:ascii="楷体_GB2312" w:hAnsi="楷体_GB2312" w:eastAsia="PMingLiU"/>
      <w:b/>
      <w:bCs/>
      <w:kern w:val="2"/>
      <w:sz w:val="32"/>
      <w:szCs w:val="32"/>
      <w:lang w:val="en-US" w:eastAsia="zh-CN" w:bidi="ar-SA"/>
    </w:rPr>
  </w:style>
  <w:style w:type="character" w:customStyle="1" w:styleId="267">
    <w:name w:val="页眉 Char"/>
    <w:qFormat/>
    <w:uiPriority w:val="99"/>
    <w:rPr>
      <w:rFonts w:eastAsia="等线 Light"/>
      <w:kern w:val="2"/>
      <w:sz w:val="18"/>
      <w:szCs w:val="18"/>
      <w:lang w:val="en-US" w:eastAsia="zh-CN" w:bidi="ar-SA"/>
    </w:rPr>
  </w:style>
  <w:style w:type="character" w:customStyle="1" w:styleId="268">
    <w:name w:val="after"/>
    <w:qFormat/>
    <w:uiPriority w:val="0"/>
    <w:rPr>
      <w:sz w:val="16"/>
      <w:szCs w:val="0"/>
    </w:rPr>
  </w:style>
  <w:style w:type="character" w:customStyle="1" w:styleId="269">
    <w:name w:val="pagechatarealistclose_box1"/>
    <w:basedOn w:val="57"/>
    <w:qFormat/>
    <w:uiPriority w:val="0"/>
  </w:style>
  <w:style w:type="character" w:customStyle="1" w:styleId="270">
    <w:name w:val="批注主题 Char2"/>
    <w:qFormat/>
    <w:uiPriority w:val="99"/>
    <w:rPr>
      <w:rFonts w:eastAsia="等线 Light"/>
      <w:b/>
      <w:bCs/>
      <w:kern w:val="2"/>
      <w:sz w:val="21"/>
      <w:szCs w:val="24"/>
      <w:lang w:val="en-US" w:eastAsia="zh-CN" w:bidi="ar-SA"/>
    </w:rPr>
  </w:style>
  <w:style w:type="character" w:customStyle="1" w:styleId="271">
    <w:name w:val="标题 7 Char1"/>
    <w:qFormat/>
    <w:uiPriority w:val="0"/>
    <w:rPr>
      <w:rFonts w:eastAsia="等线 Light"/>
      <w:bCs/>
      <w:color w:val="000000"/>
      <w:kern w:val="2"/>
      <w:sz w:val="32"/>
      <w:szCs w:val="21"/>
      <w:lang w:val="en-US" w:eastAsia="zh-CN" w:bidi="ar-SA"/>
    </w:rPr>
  </w:style>
  <w:style w:type="character" w:customStyle="1" w:styleId="272">
    <w:name w:val="tmpztreemove_arrow"/>
    <w:basedOn w:val="57"/>
    <w:qFormat/>
    <w:uiPriority w:val="0"/>
  </w:style>
  <w:style w:type="character" w:customStyle="1" w:styleId="273">
    <w:name w:val="页脚 Char2"/>
    <w:qFormat/>
    <w:uiPriority w:val="99"/>
    <w:rPr>
      <w:rFonts w:eastAsia="等线 Light"/>
      <w:kern w:val="2"/>
      <w:sz w:val="18"/>
      <w:szCs w:val="18"/>
      <w:lang w:val="en-US" w:eastAsia="zh-CN" w:bidi="ar-SA"/>
    </w:rPr>
  </w:style>
  <w:style w:type="character" w:customStyle="1" w:styleId="274">
    <w:name w:val="button"/>
    <w:basedOn w:val="57"/>
    <w:qFormat/>
    <w:uiPriority w:val="0"/>
  </w:style>
  <w:style w:type="character" w:customStyle="1" w:styleId="275">
    <w:name w:val="标题 5 字符"/>
    <w:qFormat/>
    <w:uiPriority w:val="0"/>
    <w:rPr>
      <w:rFonts w:ascii="等线 Light"/>
      <w:b/>
      <w:bCs/>
      <w:sz w:val="28"/>
      <w:szCs w:val="28"/>
    </w:rPr>
  </w:style>
  <w:style w:type="character" w:customStyle="1" w:styleId="276">
    <w:name w:val="icontext1"/>
    <w:basedOn w:val="57"/>
    <w:qFormat/>
    <w:uiPriority w:val="0"/>
  </w:style>
  <w:style w:type="character" w:customStyle="1" w:styleId="277">
    <w:name w:val="标题 Char1"/>
    <w:qFormat/>
    <w:uiPriority w:val="10"/>
    <w:rPr>
      <w:rFonts w:ascii="Calibri Light" w:hAnsi="Calibri Light" w:cs="Times New Roman"/>
      <w:b/>
      <w:bCs/>
      <w:sz w:val="32"/>
      <w:szCs w:val="32"/>
    </w:rPr>
  </w:style>
  <w:style w:type="character" w:customStyle="1" w:styleId="278">
    <w:name w:val="吉奥正文 Char"/>
    <w:link w:val="279"/>
    <w:qFormat/>
    <w:locked/>
    <w:uiPriority w:val="0"/>
    <w:rPr>
      <w:rFonts w:eastAsia="微软雅黑"/>
      <w:kern w:val="2"/>
      <w:sz w:val="28"/>
    </w:rPr>
  </w:style>
  <w:style w:type="paragraph" w:customStyle="1" w:styleId="279">
    <w:name w:val="吉奥正文"/>
    <w:basedOn w:val="1"/>
    <w:link w:val="278"/>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qFormat/>
    <w:uiPriority w:val="0"/>
    <w:rPr>
      <w:rFonts w:ascii="等线 Light" w:hAnsi="Helv" w:eastAsia="等线 Light"/>
    </w:rPr>
  </w:style>
  <w:style w:type="character" w:customStyle="1" w:styleId="281">
    <w:name w:val="ico1654"/>
    <w:basedOn w:val="57"/>
    <w:qFormat/>
    <w:uiPriority w:val="0"/>
  </w:style>
  <w:style w:type="character" w:customStyle="1" w:styleId="282">
    <w:name w:val="批注文字 字符2"/>
    <w:qFormat/>
    <w:uiPriority w:val="99"/>
    <w:rPr>
      <w:rFonts w:ascii="等线 Light" w:hAnsi="幼圆" w:eastAsia="等线 Light" w:cs="幼圆"/>
      <w:kern w:val="0"/>
      <w:sz w:val="24"/>
      <w:szCs w:val="24"/>
    </w:rPr>
  </w:style>
  <w:style w:type="character" w:customStyle="1" w:styleId="283">
    <w:name w:val="icon-help-center"/>
    <w:qFormat/>
    <w:uiPriority w:val="0"/>
  </w:style>
  <w:style w:type="character" w:customStyle="1" w:styleId="284">
    <w:name w:val="批注文字 Char1"/>
    <w:qFormat/>
    <w:uiPriority w:val="99"/>
    <w:rPr>
      <w:rFonts w:ascii="幼圆" w:hAnsi="幼圆" w:eastAsia="Cambria Math" w:cs="幼圆"/>
      <w:spacing w:val="-20"/>
      <w:sz w:val="32"/>
      <w:szCs w:val="20"/>
    </w:rPr>
  </w:style>
  <w:style w:type="character" w:customStyle="1" w:styleId="285">
    <w:name w:val="HTML 预设格式 Char1"/>
    <w:qFormat/>
    <w:uiPriority w:val="99"/>
    <w:rPr>
      <w:rFonts w:ascii="Helv" w:hAnsi="Helv" w:eastAsia="等线 Light" w:cs="Helv"/>
      <w:kern w:val="0"/>
      <w:sz w:val="20"/>
      <w:szCs w:val="20"/>
    </w:rPr>
  </w:style>
  <w:style w:type="character" w:customStyle="1" w:styleId="286">
    <w:name w:val="标题 3 Char"/>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qFormat/>
    <w:uiPriority w:val="0"/>
    <w:rPr>
      <w:rFonts w:ascii="幼圆" w:hAnsi="幼圆" w:eastAsia="等线 Light" w:cs="幼圆"/>
      <w:szCs w:val="20"/>
    </w:rPr>
  </w:style>
  <w:style w:type="character" w:customStyle="1" w:styleId="288">
    <w:name w:val=" Char Char2"/>
    <w:qFormat/>
    <w:uiPriority w:val="0"/>
    <w:rPr>
      <w:rFonts w:ascii="等线 Light" w:hAnsi="Helv" w:eastAsia="等线 Light"/>
      <w:kern w:val="2"/>
      <w:sz w:val="21"/>
      <w:lang w:val="en-US" w:eastAsia="zh-CN" w:bidi="ar-SA"/>
    </w:rPr>
  </w:style>
  <w:style w:type="character" w:customStyle="1" w:styleId="289">
    <w:name w:val="标题 3 Char1"/>
    <w:qFormat/>
    <w:uiPriority w:val="0"/>
    <w:rPr>
      <w:rFonts w:eastAsia="等线 Light"/>
      <w:b/>
      <w:bCs/>
      <w:kern w:val="2"/>
      <w:sz w:val="32"/>
      <w:szCs w:val="32"/>
      <w:lang w:val="en-US" w:eastAsia="zh-CN" w:bidi="ar-SA"/>
    </w:rPr>
  </w:style>
  <w:style w:type="character" w:customStyle="1" w:styleId="290">
    <w:name w:val="copytolefthover"/>
    <w:qFormat/>
    <w:uiPriority w:val="0"/>
    <w:rPr>
      <w:vanish/>
    </w:rPr>
  </w:style>
  <w:style w:type="character" w:customStyle="1" w:styleId="291">
    <w:name w:val="w32"/>
    <w:basedOn w:val="57"/>
    <w:qFormat/>
    <w:uiPriority w:val="0"/>
  </w:style>
  <w:style w:type="character" w:customStyle="1" w:styleId="292">
    <w:name w:val="纯文本 Char"/>
    <w:qFormat/>
    <w:uiPriority w:val="0"/>
    <w:rPr>
      <w:rFonts w:ascii="等线 Light" w:hAnsi="Helv" w:eastAsia="等线 Light" w:cs="幼圆"/>
      <w:szCs w:val="20"/>
    </w:rPr>
  </w:style>
  <w:style w:type="character" w:customStyle="1" w:styleId="293">
    <w:name w:val="标题 2 Char2"/>
    <w:qFormat/>
    <w:uiPriority w:val="0"/>
    <w:rPr>
      <w:rFonts w:ascii="楷体_GB2312" w:hAnsi="楷体_GB2312" w:eastAsia="PMingLiU"/>
      <w:b/>
      <w:bCs/>
      <w:kern w:val="2"/>
      <w:sz w:val="32"/>
      <w:szCs w:val="32"/>
      <w:lang w:val="en-US" w:eastAsia="zh-CN" w:bidi="ar-SA"/>
    </w:rPr>
  </w:style>
  <w:style w:type="character" w:customStyle="1" w:styleId="294">
    <w:name w:val="eschoolnr"/>
    <w:qFormat/>
    <w:uiPriority w:val="0"/>
    <w:rPr>
      <w:sz w:val="23"/>
      <w:szCs w:val="23"/>
    </w:rPr>
  </w:style>
  <w:style w:type="character" w:customStyle="1" w:styleId="295">
    <w:name w:val="题注 字符"/>
    <w:qFormat/>
    <w:uiPriority w:val="0"/>
    <w:rPr>
      <w:rFonts w:ascii="等线 Light" w:hAnsi="等线 Light" w:eastAsia="PMingLiU" w:cs="幼圆"/>
      <w:b/>
      <w:szCs w:val="21"/>
    </w:rPr>
  </w:style>
  <w:style w:type="character" w:customStyle="1" w:styleId="296">
    <w:name w:val="List Paragraph Char"/>
    <w:link w:val="297"/>
    <w:qFormat/>
    <w:uiPriority w:val="34"/>
    <w:rPr>
      <w:rFonts w:ascii="Arial Unicode MS" w:hAnsi="Arial Unicode MS"/>
      <w:kern w:val="2"/>
      <w:sz w:val="21"/>
      <w:szCs w:val="22"/>
    </w:rPr>
  </w:style>
  <w:style w:type="paragraph" w:customStyle="1" w:styleId="297">
    <w:name w:val="列出段落1"/>
    <w:basedOn w:val="1"/>
    <w:link w:val="296"/>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qFormat/>
    <w:uiPriority w:val="33"/>
    <w:rPr>
      <w:rFonts w:eastAsia="等线 Light"/>
      <w:b/>
      <w:bCs/>
      <w:smallCaps/>
      <w:spacing w:val="5"/>
      <w:kern w:val="2"/>
      <w:sz w:val="24"/>
      <w:szCs w:val="24"/>
      <w:lang w:val="en-US" w:eastAsia="zh-CN" w:bidi="ar-SA"/>
    </w:rPr>
  </w:style>
  <w:style w:type="character" w:customStyle="1" w:styleId="299">
    <w:name w:val="标题 2 Char1"/>
    <w:qFormat/>
    <w:uiPriority w:val="0"/>
    <w:rPr>
      <w:rFonts w:ascii="楷体_GB2312" w:hAnsi="楷体_GB2312" w:eastAsia="PMingLiU" w:cs="幼圆"/>
      <w:b/>
      <w:kern w:val="0"/>
      <w:sz w:val="32"/>
      <w:szCs w:val="20"/>
    </w:rPr>
  </w:style>
  <w:style w:type="character" w:customStyle="1" w:styleId="300">
    <w:name w:val="日期 Char2"/>
    <w:qFormat/>
    <w:uiPriority w:val="0"/>
    <w:rPr>
      <w:rFonts w:eastAsia="等线 Light"/>
      <w:kern w:val="2"/>
      <w:sz w:val="24"/>
      <w:szCs w:val="24"/>
      <w:lang w:val="en-US" w:eastAsia="zh-CN" w:bidi="ar-SA"/>
    </w:rPr>
  </w:style>
  <w:style w:type="character" w:customStyle="1" w:styleId="301">
    <w:name w:val="页眉 Char1"/>
    <w:semiHidden/>
    <w:qFormat/>
    <w:uiPriority w:val="99"/>
    <w:rPr>
      <w:rFonts w:ascii="等线 Light" w:hAnsi="幼圆" w:eastAsia="等线 Light" w:cs="幼圆"/>
      <w:kern w:val="0"/>
      <w:sz w:val="18"/>
      <w:szCs w:val="18"/>
    </w:rPr>
  </w:style>
  <w:style w:type="character" w:customStyle="1" w:styleId="302">
    <w:name w:val="para"/>
    <w:qFormat/>
    <w:uiPriority w:val="0"/>
    <w:rPr>
      <w:rFonts w:eastAsia="等线 Light"/>
      <w:kern w:val="2"/>
      <w:sz w:val="24"/>
      <w:szCs w:val="24"/>
      <w:lang w:val="en-US" w:eastAsia="zh-CN" w:bidi="ar-SA"/>
    </w:rPr>
  </w:style>
  <w:style w:type="character" w:customStyle="1" w:styleId="303">
    <w:name w:val="标题 4 Char2"/>
    <w:qFormat/>
    <w:uiPriority w:val="0"/>
    <w:rPr>
      <w:rFonts w:ascii="楷体_GB2312" w:hAnsi="楷体_GB2312" w:eastAsia="PMingLiU"/>
      <w:b/>
      <w:bCs/>
      <w:kern w:val="2"/>
      <w:sz w:val="28"/>
      <w:szCs w:val="28"/>
      <w:lang w:val="en-US" w:eastAsia="zh-CN" w:bidi="ar-SA"/>
    </w:rPr>
  </w:style>
  <w:style w:type="character" w:customStyle="1" w:styleId="304">
    <w:name w:val="正文缩进 字符"/>
    <w:qFormat/>
    <w:uiPriority w:val="0"/>
    <w:rPr>
      <w:rFonts w:ascii="幼圆" w:hAnsi="幼圆" w:eastAsia="等线 Light" w:cs="幼圆"/>
      <w:kern w:val="0"/>
      <w:sz w:val="20"/>
      <w:szCs w:val="20"/>
    </w:rPr>
  </w:style>
  <w:style w:type="character" w:customStyle="1" w:styleId="305">
    <w:name w:val="批注主题 Char1"/>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qFormat/>
    <w:uiPriority w:val="0"/>
    <w:rPr>
      <w:rFonts w:ascii="等线 Light" w:hAnsi="Helv" w:eastAsia="等线 Light"/>
      <w:kern w:val="2"/>
      <w:sz w:val="21"/>
      <w:szCs w:val="24"/>
      <w:lang w:val="en-US" w:eastAsia="zh-CN" w:bidi="ar-SA"/>
    </w:rPr>
  </w:style>
  <w:style w:type="character" w:customStyle="1" w:styleId="307">
    <w:name w:val="正文文本 Char1"/>
    <w:qFormat/>
    <w:uiPriority w:val="99"/>
    <w:rPr>
      <w:rFonts w:ascii="等线 Light" w:hAnsi="幼圆" w:eastAsia="等线 Light" w:cs="幼圆"/>
      <w:kern w:val="0"/>
      <w:sz w:val="24"/>
      <w:szCs w:val="24"/>
    </w:rPr>
  </w:style>
  <w:style w:type="character" w:customStyle="1" w:styleId="308">
    <w:name w:val="Char Char9"/>
    <w:qFormat/>
    <w:uiPriority w:val="0"/>
    <w:rPr>
      <w:kern w:val="2"/>
      <w:sz w:val="18"/>
      <w:szCs w:val="18"/>
    </w:rPr>
  </w:style>
  <w:style w:type="character" w:customStyle="1" w:styleId="309">
    <w:name w:val="d Char"/>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qFormat/>
    <w:uiPriority w:val="0"/>
    <w:rPr>
      <w:rFonts w:eastAsia="等线 Light"/>
      <w:b/>
      <w:bCs/>
      <w:kern w:val="2"/>
      <w:sz w:val="32"/>
      <w:szCs w:val="32"/>
      <w:lang w:val="en-US" w:eastAsia="zh-CN" w:bidi="ar-SA"/>
    </w:rPr>
  </w:style>
  <w:style w:type="character" w:customStyle="1" w:styleId="311">
    <w:name w:val="标题 6 Char"/>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qFormat/>
    <w:uiPriority w:val="0"/>
    <w:rPr>
      <w:rFonts w:ascii="幼圆" w:hAnsi="幼圆" w:eastAsia="等线 Light" w:cs="幼圆"/>
      <w:kern w:val="2"/>
      <w:sz w:val="18"/>
      <w:szCs w:val="18"/>
      <w:lang w:bidi="ar-SA"/>
    </w:rPr>
  </w:style>
  <w:style w:type="character" w:customStyle="1" w:styleId="313">
    <w:name w:val="正文文本缩进 Char2"/>
    <w:qFormat/>
    <w:uiPriority w:val="0"/>
    <w:rPr>
      <w:rFonts w:eastAsia="等线 Light"/>
      <w:kern w:val="2"/>
      <w:sz w:val="28"/>
      <w:szCs w:val="24"/>
      <w:lang w:val="en-US" w:eastAsia="zh-CN" w:bidi="ar-SA"/>
    </w:rPr>
  </w:style>
  <w:style w:type="character" w:customStyle="1" w:styleId="314">
    <w:name w:val="标题 5 Char"/>
    <w:qFormat/>
    <w:uiPriority w:val="0"/>
    <w:rPr>
      <w:rFonts w:ascii="幼圆" w:hAnsi="幼圆" w:eastAsia="等线 Light" w:cs="幼圆"/>
      <w:b/>
      <w:bCs/>
      <w:kern w:val="2"/>
      <w:sz w:val="28"/>
      <w:szCs w:val="28"/>
      <w:lang w:val="en-US" w:eastAsia="zh-CN" w:bidi="ar-SA"/>
    </w:rPr>
  </w:style>
  <w:style w:type="character" w:customStyle="1" w:styleId="315">
    <w:name w:val="正文首行缩进 Char"/>
    <w:qFormat/>
    <w:uiPriority w:val="0"/>
    <w:rPr>
      <w:rFonts w:eastAsia="等线 Light"/>
      <w:kern w:val="2"/>
      <w:sz w:val="21"/>
      <w:szCs w:val="24"/>
      <w:lang w:val="en-US" w:eastAsia="zh-CN" w:bidi="ar-SA"/>
    </w:rPr>
  </w:style>
  <w:style w:type="character" w:customStyle="1" w:styleId="316">
    <w:name w:val="black11"/>
    <w:qFormat/>
    <w:uiPriority w:val="0"/>
    <w:rPr>
      <w:color w:val="000000"/>
      <w:sz w:val="18"/>
      <w:szCs w:val="18"/>
    </w:rPr>
  </w:style>
  <w:style w:type="character" w:customStyle="1" w:styleId="317">
    <w:name w:val="hover22"/>
    <w:qFormat/>
    <w:uiPriority w:val="0"/>
    <w:rPr>
      <w:color w:val="2B84B5"/>
    </w:rPr>
  </w:style>
  <w:style w:type="character" w:customStyle="1" w:styleId="318">
    <w:name w:val="正文文本缩进 3 Char2"/>
    <w:qFormat/>
    <w:uiPriority w:val="0"/>
    <w:rPr>
      <w:rFonts w:eastAsia="等线 Light"/>
      <w:kern w:val="2"/>
      <w:sz w:val="21"/>
      <w:szCs w:val="21"/>
      <w:lang w:val="en-US" w:eastAsia="zh-CN" w:bidi="ar-SA"/>
    </w:rPr>
  </w:style>
  <w:style w:type="character" w:customStyle="1" w:styleId="319">
    <w:name w:val="脚注文本 Char2"/>
    <w:semiHidden/>
    <w:qFormat/>
    <w:uiPriority w:val="99"/>
    <w:rPr>
      <w:rFonts w:ascii="等线 Light"/>
      <w:sz w:val="18"/>
      <w:szCs w:val="18"/>
    </w:rPr>
  </w:style>
  <w:style w:type="character" w:customStyle="1" w:styleId="320">
    <w:name w:val="ico1655"/>
    <w:basedOn w:val="57"/>
    <w:qFormat/>
    <w:uiPriority w:val="0"/>
  </w:style>
  <w:style w:type="character" w:customStyle="1" w:styleId="321">
    <w:name w:val="huei12b1"/>
    <w:qFormat/>
    <w:uiPriority w:val="0"/>
    <w:rPr>
      <w:b/>
      <w:bCs/>
      <w:color w:val="333333"/>
      <w:sz w:val="18"/>
      <w:szCs w:val="18"/>
    </w:rPr>
  </w:style>
  <w:style w:type="character" w:customStyle="1" w:styleId="322">
    <w:name w:val="普通(网站) 字符1"/>
    <w:qFormat/>
    <w:locked/>
    <w:uiPriority w:val="0"/>
    <w:rPr>
      <w:rFonts w:ascii="等线 Light" w:hAnsi="等线 Light"/>
      <w:sz w:val="15"/>
      <w:szCs w:val="15"/>
    </w:rPr>
  </w:style>
  <w:style w:type="character" w:customStyle="1" w:styleId="323">
    <w:name w:val="ca-51"/>
    <w:qFormat/>
    <w:uiPriority w:val="0"/>
    <w:rPr>
      <w:rFonts w:hint="eastAsia" w:ascii="微软雅黑" w:eastAsia="微软雅黑"/>
      <w:color w:val="FF00FF"/>
      <w:kern w:val="2"/>
      <w:sz w:val="32"/>
      <w:szCs w:val="32"/>
      <w:lang w:val="en-US" w:eastAsia="zh-CN" w:bidi="ar-SA"/>
    </w:rPr>
  </w:style>
  <w:style w:type="character" w:customStyle="1" w:styleId="324">
    <w:name w:val="_Style 323"/>
    <w:qFormat/>
    <w:uiPriority w:val="33"/>
    <w:rPr>
      <w:rFonts w:eastAsia="等线 Light"/>
      <w:b/>
      <w:bCs/>
      <w:smallCaps/>
      <w:spacing w:val="5"/>
      <w:kern w:val="2"/>
      <w:sz w:val="24"/>
      <w:szCs w:val="24"/>
      <w:lang w:val="en-US" w:eastAsia="zh-CN" w:bidi="ar-SA"/>
    </w:rPr>
  </w:style>
  <w:style w:type="character" w:customStyle="1" w:styleId="325">
    <w:name w:val="font31"/>
    <w:basedOn w:val="57"/>
    <w:qFormat/>
    <w:uiPriority w:val="0"/>
    <w:rPr>
      <w:rFonts w:ascii="黑体" w:hAnsi="黑体" w:eastAsia="黑体" w:cs="黑体"/>
      <w:color w:val="000000"/>
      <w:sz w:val="22"/>
      <w:szCs w:val="22"/>
      <w:u w:val="none"/>
    </w:rPr>
  </w:style>
  <w:style w:type="character" w:customStyle="1" w:styleId="326">
    <w:name w:val="ca-1"/>
    <w:qFormat/>
    <w:uiPriority w:val="0"/>
  </w:style>
  <w:style w:type="character" w:customStyle="1" w:styleId="327">
    <w:name w:val="签名 Char3"/>
    <w:semiHidden/>
    <w:qFormat/>
    <w:uiPriority w:val="99"/>
    <w:rPr>
      <w:rFonts w:ascii="等线 Light"/>
      <w:sz w:val="24"/>
      <w:szCs w:val="24"/>
    </w:rPr>
  </w:style>
  <w:style w:type="character" w:customStyle="1" w:styleId="328">
    <w:name w:val="pt9-hui-line201"/>
    <w:qFormat/>
    <w:uiPriority w:val="0"/>
    <w:rPr>
      <w:color w:val="333333"/>
      <w:sz w:val="18"/>
      <w:szCs w:val="18"/>
      <w:u w:val="none"/>
    </w:rPr>
  </w:style>
  <w:style w:type="character" w:customStyle="1" w:styleId="329">
    <w:name w:val="纯文本 Char3"/>
    <w:qFormat/>
    <w:uiPriority w:val="0"/>
    <w:rPr>
      <w:rFonts w:ascii="等线 Light" w:hAnsi="Helv" w:eastAsia="等线 Light"/>
      <w:kern w:val="2"/>
      <w:sz w:val="21"/>
      <w:szCs w:val="24"/>
      <w:lang w:val="en-US" w:eastAsia="zh-CN" w:bidi="ar-SA"/>
    </w:rPr>
  </w:style>
  <w:style w:type="character" w:customStyle="1" w:styleId="330">
    <w:name w:val="文档结构图 Char"/>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qFormat/>
    <w:uiPriority w:val="0"/>
    <w:rPr>
      <w:rFonts w:ascii="Arial Unicode MS" w:hAnsi="Arial Unicode MS" w:eastAsia="font-weight : 400"/>
      <w:kern w:val="2"/>
      <w:sz w:val="24"/>
      <w:szCs w:val="21"/>
    </w:rPr>
  </w:style>
  <w:style w:type="paragraph" w:customStyle="1" w:styleId="332">
    <w:name w:val="标书正文"/>
    <w:basedOn w:val="1"/>
    <w:link w:val="331"/>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qFormat/>
    <w:uiPriority w:val="0"/>
    <w:rPr>
      <w:rFonts w:ascii="等线 Light" w:hAnsi="等线 Light" w:eastAsia="等线 Light" w:cs="幼圆"/>
      <w:kern w:val="2"/>
      <w:sz w:val="24"/>
      <w:szCs w:val="24"/>
      <w:lang w:val="en-US" w:eastAsia="zh-CN" w:bidi="ar-SA"/>
    </w:rPr>
  </w:style>
  <w:style w:type="character" w:customStyle="1" w:styleId="334">
    <w:name w:val="t31"/>
    <w:qFormat/>
    <w:uiPriority w:val="0"/>
    <w:rPr>
      <w:rFonts w:hint="eastAsia" w:ascii="等线 Light" w:hAnsi="等线 Light" w:eastAsia="等线 Light"/>
      <w:color w:val="000060"/>
      <w:sz w:val="28"/>
      <w:szCs w:val="28"/>
    </w:rPr>
  </w:style>
  <w:style w:type="character" w:customStyle="1" w:styleId="335">
    <w:name w:val="正文文本 字符1"/>
    <w:qFormat/>
    <w:uiPriority w:val="0"/>
    <w:rPr>
      <w:rFonts w:ascii="等线 Light" w:eastAsia="等线 Light"/>
      <w:b/>
      <w:bCs/>
      <w:sz w:val="84"/>
      <w:szCs w:val="84"/>
      <w:lang w:val="zh-CN"/>
    </w:rPr>
  </w:style>
  <w:style w:type="character" w:customStyle="1" w:styleId="336">
    <w:name w:val="pagechatarealistclose_box"/>
    <w:basedOn w:val="57"/>
    <w:qFormat/>
    <w:uiPriority w:val="0"/>
  </w:style>
  <w:style w:type="character" w:customStyle="1" w:styleId="337">
    <w:name w:val="签名 字符1"/>
    <w:semiHidden/>
    <w:qFormat/>
    <w:uiPriority w:val="99"/>
    <w:rPr>
      <w:rFonts w:ascii="等线 Light"/>
      <w:sz w:val="24"/>
      <w:szCs w:val="24"/>
    </w:rPr>
  </w:style>
  <w:style w:type="character" w:customStyle="1" w:styleId="338">
    <w:name w:val="neir1"/>
    <w:qFormat/>
    <w:uiPriority w:val="0"/>
    <w:rPr>
      <w:rFonts w:hint="default" w:ascii="等线" w:hAnsi="等线"/>
      <w:color w:val="333333"/>
      <w:sz w:val="21"/>
      <w:szCs w:val="21"/>
      <w:u w:val="none"/>
    </w:rPr>
  </w:style>
  <w:style w:type="character" w:customStyle="1" w:styleId="339">
    <w:name w:val="icon-weibo"/>
    <w:qFormat/>
    <w:uiPriority w:val="0"/>
  </w:style>
  <w:style w:type="character" w:customStyle="1" w:styleId="340">
    <w:name w:val="标题 8 Char1"/>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qFormat/>
    <w:uiPriority w:val="0"/>
    <w:rPr>
      <w:rFonts w:ascii="PMingLiU" w:hAnsi="Lucida Grande" w:eastAsia="PMingLiU"/>
      <w:sz w:val="32"/>
      <w:szCs w:val="32"/>
      <w:lang w:val="en-US" w:eastAsia="en-US" w:bidi="ar-SA"/>
    </w:rPr>
  </w:style>
  <w:style w:type="character" w:customStyle="1" w:styleId="342">
    <w:name w:val="标题 31"/>
    <w:qFormat/>
    <w:uiPriority w:val="0"/>
    <w:rPr>
      <w:rFonts w:eastAsia="等线 Light"/>
      <w:b/>
      <w:bCs/>
      <w:kern w:val="2"/>
      <w:sz w:val="32"/>
      <w:szCs w:val="32"/>
      <w:lang w:val="en-US" w:eastAsia="zh-CN" w:bidi="ar-SA"/>
    </w:rPr>
  </w:style>
  <w:style w:type="character" w:customStyle="1" w:styleId="343">
    <w:name w:val="标题 5 Char1"/>
    <w:qFormat/>
    <w:uiPriority w:val="0"/>
    <w:rPr>
      <w:rFonts w:eastAsia="等线 Light"/>
      <w:b/>
      <w:bCs/>
      <w:kern w:val="2"/>
      <w:sz w:val="28"/>
      <w:szCs w:val="28"/>
      <w:lang w:val="en-US" w:eastAsia="zh-CN" w:bidi="ar-SA"/>
    </w:rPr>
  </w:style>
  <w:style w:type="paragraph" w:customStyle="1" w:styleId="344">
    <w:name w:val="xl3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qFormat/>
    <w:uiPriority w:val="99"/>
    <w:rPr>
      <w:rFonts w:ascii="等线 Light" w:hAnsi="Arial Unicode MS" w:eastAsia="等线 Light" w:cs="幼圆"/>
      <w:color w:val="auto"/>
    </w:rPr>
  </w:style>
  <w:style w:type="paragraph" w:customStyle="1" w:styleId="34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qFormat/>
    <w:uiPriority w:val="0"/>
    <w:rPr>
      <w:rFonts w:ascii="Arial Unicode MS" w:hAnsi="Arial Unicode MS" w:eastAsia="宋体" w:cs="Times New Roman"/>
      <w:caps/>
      <w:lang w:val="en-US" w:eastAsia="zh-CN" w:bidi="ar-SA"/>
    </w:rPr>
  </w:style>
  <w:style w:type="paragraph" w:customStyle="1" w:styleId="353">
    <w:name w:val="Pa8"/>
    <w:basedOn w:val="1"/>
    <w:next w:val="1"/>
    <w:qFormat/>
    <w:uiPriority w:val="99"/>
    <w:pPr>
      <w:spacing w:line="181" w:lineRule="atLeast"/>
    </w:pPr>
    <w:rPr>
      <w:rFonts w:ascii="font-weight : 400" w:hAnsi="Arial Unicode MS" w:eastAsia="font-weight : 400"/>
    </w:rPr>
  </w:style>
  <w:style w:type="paragraph" w:customStyle="1" w:styleId="354">
    <w:name w:val=" Char"/>
    <w:basedOn w:val="17"/>
    <w:qFormat/>
    <w:uiPriority w:val="0"/>
    <w:pPr>
      <w:autoSpaceDE/>
      <w:autoSpaceDN/>
      <w:spacing w:line="436" w:lineRule="exact"/>
      <w:ind w:left="357"/>
      <w:outlineLvl w:val="3"/>
    </w:pPr>
    <w:rPr>
      <w:rFonts w:ascii="Calibri" w:hAnsi="Calibri"/>
      <w:b/>
      <w:kern w:val="2"/>
    </w:rPr>
  </w:style>
  <w:style w:type="paragraph" w:customStyle="1" w:styleId="355">
    <w:name w:val="xl39"/>
    <w:basedOn w:val="1"/>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qFormat/>
    <w:uiPriority w:val="0"/>
    <w:pPr>
      <w:numPr>
        <w:ilvl w:val="4"/>
        <w:numId w:val="3"/>
      </w:numPr>
      <w:tabs>
        <w:tab w:val="left" w:pos="2100"/>
      </w:tabs>
      <w:outlineLvl w:val="4"/>
    </w:pPr>
  </w:style>
  <w:style w:type="paragraph" w:customStyle="1" w:styleId="367">
    <w:name w:val="样式 四号 行距: 1.5 倍行距"/>
    <w:basedOn w:val="1"/>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5"/>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2"/>
    <w:next w:val="1"/>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4"/>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4"/>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qFormat/>
    <w:uiPriority w:val="0"/>
    <w:pPr>
      <w:widowControl/>
      <w:autoSpaceDE/>
      <w:autoSpaceDN/>
      <w:adjustRightInd/>
      <w:jc w:val="both"/>
    </w:pPr>
    <w:rPr>
      <w:rFonts w:ascii="Arial Unicode MS" w:hAnsi="Arial Unicode MS"/>
      <w:sz w:val="21"/>
      <w:szCs w:val="20"/>
    </w:rPr>
  </w:style>
  <w:style w:type="paragraph" w:customStyle="1" w:styleId="400">
    <w:name w:val="1)"/>
    <w:basedOn w:val="1"/>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6"/>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3"/>
    <w:next w:val="1"/>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8"/>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unhideWhenUsed/>
    <w:qFormat/>
    <w:uiPriority w:val="34"/>
    <w:pPr>
      <w:ind w:firstLine="420" w:firstLineChars="200"/>
    </w:pPr>
  </w:style>
  <w:style w:type="paragraph" w:customStyle="1" w:styleId="410">
    <w:name w:val="_Style 26"/>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7"/>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qFormat/>
    <w:uiPriority w:val="0"/>
    <w:pPr>
      <w:autoSpaceDE/>
      <w:autoSpaceDN/>
      <w:adjustRightInd/>
      <w:jc w:val="both"/>
    </w:pPr>
    <w:rPr>
      <w:rFonts w:ascii="Calibri" w:hAnsi="Calibri"/>
      <w:kern w:val="2"/>
      <w:szCs w:val="20"/>
    </w:rPr>
  </w:style>
  <w:style w:type="paragraph" w:customStyle="1" w:styleId="419">
    <w:name w:val=" Char Char"/>
    <w:basedOn w:val="1"/>
    <w:qFormat/>
    <w:uiPriority w:val="0"/>
    <w:pPr>
      <w:autoSpaceDE/>
      <w:autoSpaceDN/>
      <w:adjustRightInd/>
      <w:jc w:val="both"/>
    </w:pPr>
    <w:rPr>
      <w:rFonts w:ascii="Calibri" w:hAnsi="Calibri"/>
      <w:kern w:val="2"/>
      <w:szCs w:val="20"/>
    </w:rPr>
  </w:style>
  <w:style w:type="paragraph" w:customStyle="1" w:styleId="420">
    <w:name w:val="xl53"/>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7"/>
    <w:qFormat/>
    <w:uiPriority w:val="0"/>
    <w:pPr>
      <w:autoSpaceDE/>
      <w:autoSpaceDN/>
      <w:adjustRightInd/>
      <w:jc w:val="both"/>
    </w:pPr>
    <w:rPr>
      <w:rFonts w:ascii="Arial Unicode MS" w:hAnsi="Arial Unicode MS"/>
      <w:kern w:val="2"/>
    </w:rPr>
  </w:style>
  <w:style w:type="paragraph" w:customStyle="1" w:styleId="422">
    <w:name w:val="xl57"/>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2"/>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7"/>
    <w:qFormat/>
    <w:uiPriority w:val="0"/>
    <w:pPr>
      <w:autoSpaceDE/>
      <w:autoSpaceDN/>
      <w:adjustRightInd/>
      <w:jc w:val="both"/>
    </w:pPr>
    <w:rPr>
      <w:rFonts w:ascii="Calibri" w:hAnsi="Calibri"/>
      <w:kern w:val="2"/>
      <w:szCs w:val="20"/>
    </w:rPr>
  </w:style>
  <w:style w:type="paragraph" w:customStyle="1" w:styleId="429">
    <w:name w:val="reader-word-layer"/>
    <w:basedOn w:val="1"/>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4"/>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4"/>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4"/>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qFormat/>
    <w:uiPriority w:val="0"/>
    <w:pPr>
      <w:ind w:left="720" w:leftChars="300"/>
      <w:outlineLvl w:val="4"/>
    </w:pPr>
    <w:rPr>
      <w:rFonts w:eastAsia="Cambria Math" w:cs="楷体_GB2312"/>
      <w:b/>
    </w:rPr>
  </w:style>
  <w:style w:type="paragraph" w:customStyle="1" w:styleId="447">
    <w:name w:val="2册标题4"/>
    <w:basedOn w:val="1"/>
    <w:next w:val="1"/>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2"/>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qFormat/>
    <w:uiPriority w:val="0"/>
    <w:pPr>
      <w:autoSpaceDE/>
      <w:autoSpaceDN/>
      <w:snapToGrid w:val="0"/>
      <w:ind w:firstLine="360" w:firstLineChars="400"/>
    </w:pPr>
    <w:rPr>
      <w:rFonts w:cs="等线 Light"/>
      <w:kern w:val="2"/>
      <w:szCs w:val="20"/>
    </w:rPr>
  </w:style>
  <w:style w:type="paragraph" w:customStyle="1" w:styleId="454">
    <w:name w:val="xl2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7"/>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qFormat/>
    <w:uiPriority w:val="0"/>
    <w:rPr>
      <w:rFonts w:ascii="Arial Unicode MS" w:hAnsi="Arial Unicode MS"/>
    </w:rPr>
  </w:style>
  <w:style w:type="paragraph" w:customStyle="1" w:styleId="458">
    <w:name w:val="6.3.5.5"/>
    <w:basedOn w:val="1"/>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7"/>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7"/>
    <w:qFormat/>
    <w:uiPriority w:val="0"/>
    <w:pPr>
      <w:autoSpaceDE/>
      <w:autoSpaceDN/>
      <w:adjustRightInd/>
      <w:jc w:val="both"/>
    </w:pPr>
    <w:rPr>
      <w:rFonts w:ascii="Calibri" w:hAnsi="Calibri"/>
      <w:kern w:val="2"/>
    </w:rPr>
  </w:style>
  <w:style w:type="paragraph" w:customStyle="1" w:styleId="469">
    <w:name w:val="Char Char Char"/>
    <w:basedOn w:val="1"/>
    <w:qFormat/>
    <w:uiPriority w:val="0"/>
    <w:pPr>
      <w:autoSpaceDE/>
      <w:autoSpaceDN/>
      <w:adjustRightInd/>
      <w:jc w:val="both"/>
    </w:pPr>
    <w:rPr>
      <w:rFonts w:ascii="Calibri" w:hAnsi="Calibri"/>
      <w:kern w:val="2"/>
      <w:szCs w:val="20"/>
    </w:rPr>
  </w:style>
  <w:style w:type="paragraph" w:customStyle="1" w:styleId="470">
    <w:name w:val="Blockquote"/>
    <w:basedOn w:val="1"/>
    <w:qFormat/>
    <w:uiPriority w:val="0"/>
    <w:pPr>
      <w:spacing w:before="100" w:after="100"/>
      <w:ind w:left="360" w:right="360"/>
    </w:pPr>
    <w:rPr>
      <w:rFonts w:ascii="Arial Unicode MS" w:hAnsi="Arial Unicode MS"/>
      <w:szCs w:val="20"/>
    </w:rPr>
  </w:style>
  <w:style w:type="paragraph" w:customStyle="1" w:styleId="471">
    <w:name w:val="TOC 标题1"/>
    <w:basedOn w:val="2"/>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qFormat/>
    <w:uiPriority w:val="34"/>
    <w:pPr>
      <w:ind w:firstLine="420" w:firstLineChars="200"/>
    </w:pPr>
    <w:rPr>
      <w:kern w:val="2"/>
      <w:sz w:val="21"/>
      <w:szCs w:val="24"/>
    </w:rPr>
  </w:style>
  <w:style w:type="paragraph" w:customStyle="1" w:styleId="474">
    <w:name w:val="xl22"/>
    <w:basedOn w:val="1"/>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19"/>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4"/>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qFormat/>
    <w:uiPriority w:val="0"/>
    <w:pPr>
      <w:jc w:val="center"/>
    </w:pPr>
    <w:rPr>
      <w:rFonts w:cs="等线 Light"/>
      <w:szCs w:val="20"/>
    </w:rPr>
  </w:style>
  <w:style w:type="paragraph" w:customStyle="1" w:styleId="485">
    <w:name w:val="xl62"/>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2"/>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qFormat/>
    <w:uiPriority w:val="0"/>
    <w:pPr>
      <w:keepNext/>
      <w:tabs>
        <w:tab w:val="left" w:pos="2940"/>
      </w:tabs>
      <w:ind w:hanging="420"/>
    </w:pPr>
    <w:rPr>
      <w:rFonts w:ascii="Arial Unicode MS" w:hAnsi="Arial Unicode MS"/>
      <w:sz w:val="20"/>
      <w:szCs w:val="20"/>
    </w:rPr>
  </w:style>
  <w:style w:type="paragraph" w:customStyle="1" w:styleId="494">
    <w:name w:val="xl56"/>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6"/>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3"/>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2"/>
    <w:next w:val="22"/>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3"/>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4"/>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4"/>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4"/>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qFormat/>
    <w:uiPriority w:val="0"/>
    <w:pPr>
      <w:autoSpaceDE/>
      <w:autoSpaceDN/>
      <w:adjustRightInd/>
      <w:jc w:val="both"/>
    </w:pPr>
    <w:rPr>
      <w:rFonts w:ascii="Arial Unicode MS" w:hAnsi="Arial Unicode MS"/>
      <w:kern w:val="2"/>
    </w:rPr>
  </w:style>
  <w:style w:type="paragraph" w:customStyle="1" w:styleId="530">
    <w:name w:val="A- Arial.9 Normal"/>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qFormat/>
    <w:uiPriority w:val="0"/>
    <w:pPr>
      <w:autoSpaceDE/>
      <w:autoSpaceDN/>
      <w:adjustRightInd/>
      <w:jc w:val="both"/>
    </w:pPr>
    <w:rPr>
      <w:rFonts w:ascii="Calibri" w:hAnsi="Calibri"/>
      <w:kern w:val="2"/>
      <w:szCs w:val="20"/>
    </w:rPr>
  </w:style>
  <w:style w:type="paragraph" w:customStyle="1" w:styleId="532">
    <w:name w:val="(1)"/>
    <w:basedOn w:val="1"/>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qFormat/>
    <w:uiPriority w:val="0"/>
    <w:rPr>
      <w:rFonts w:ascii="Times New Roman" w:hAnsi="Times New Roman" w:eastAsia="宋体" w:cs="Times New Roman"/>
      <w:lang w:val="en-US" w:eastAsia="zh-CN" w:bidi="ar-SA"/>
    </w:rPr>
  </w:style>
  <w:style w:type="paragraph" w:customStyle="1" w:styleId="535">
    <w:name w:val="_Style 349"/>
    <w:next w:val="1"/>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qFormat/>
    <w:uiPriority w:val="0"/>
    <w:pPr>
      <w:autoSpaceDE/>
      <w:autoSpaceDN/>
      <w:adjustRightInd/>
      <w:jc w:val="both"/>
    </w:pPr>
    <w:rPr>
      <w:rFonts w:ascii="Calibri" w:hAnsi="Calibri"/>
      <w:kern w:val="2"/>
      <w:szCs w:val="20"/>
    </w:rPr>
  </w:style>
  <w:style w:type="paragraph" w:customStyle="1" w:styleId="538">
    <w:name w:val="font5"/>
    <w:basedOn w:val="1"/>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4"/>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4"/>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6"/>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2"/>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2"/>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qFormat/>
    <w:uiPriority w:val="0"/>
    <w:pPr>
      <w:widowControl/>
      <w:autoSpaceDE/>
      <w:autoSpaceDN/>
      <w:adjustRightInd/>
      <w:jc w:val="center"/>
    </w:pPr>
    <w:rPr>
      <w:rFonts w:hAnsi="Arial Unicode MS"/>
      <w:b/>
      <w:sz w:val="36"/>
      <w:szCs w:val="20"/>
    </w:rPr>
  </w:style>
  <w:style w:type="paragraph" w:customStyle="1" w:styleId="574">
    <w:name w:val="纯文本1"/>
    <w:basedOn w:val="1"/>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qFormat/>
    <w:uiPriority w:val="34"/>
    <w:pPr>
      <w:ind w:firstLine="420" w:firstLineChars="200"/>
    </w:pPr>
  </w:style>
  <w:style w:type="paragraph" w:customStyle="1" w:styleId="577">
    <w:name w:val="_Style 166"/>
    <w:next w:val="1"/>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2"/>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qFormat/>
    <w:uiPriority w:val="0"/>
    <w:pPr>
      <w:autoSpaceDE/>
      <w:autoSpaceDN/>
      <w:adjustRightInd/>
      <w:jc w:val="both"/>
    </w:pPr>
    <w:rPr>
      <w:rFonts w:ascii="Arial Unicode MS" w:hAnsi="Arial Unicode MS"/>
      <w:kern w:val="2"/>
      <w:sz w:val="21"/>
    </w:rPr>
  </w:style>
  <w:style w:type="paragraph" w:customStyle="1" w:styleId="581">
    <w:name w:val="+标题3"/>
    <w:basedOn w:val="4"/>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qFormat/>
    <w:uiPriority w:val="0"/>
    <w:pPr>
      <w:autoSpaceDE/>
      <w:autoSpaceDN/>
      <w:adjustRightInd/>
      <w:jc w:val="both"/>
    </w:pPr>
    <w:rPr>
      <w:rFonts w:hAnsi="Helv"/>
      <w:kern w:val="2"/>
      <w:sz w:val="21"/>
      <w:szCs w:val="20"/>
    </w:rPr>
  </w:style>
  <w:style w:type="paragraph" w:customStyle="1" w:styleId="583">
    <w:name w:val="_Style 582"/>
    <w:qFormat/>
    <w:uiPriority w:val="99"/>
    <w:rPr>
      <w:rFonts w:ascii="等线 Light" w:hAnsi="Times New Roman" w:eastAsia="宋体" w:cs="Times New Roman"/>
      <w:sz w:val="24"/>
      <w:szCs w:val="24"/>
      <w:lang w:val="en-US" w:eastAsia="zh-CN" w:bidi="ar-SA"/>
    </w:rPr>
  </w:style>
  <w:style w:type="paragraph" w:customStyle="1" w:styleId="584">
    <w:name w:val="编号"/>
    <w:basedOn w:val="1"/>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qFormat/>
    <w:uiPriority w:val="0"/>
    <w:pPr>
      <w:jc w:val="both"/>
    </w:pPr>
    <w:rPr>
      <w:b w:val="0"/>
    </w:rPr>
  </w:style>
  <w:style w:type="paragraph" w:customStyle="1" w:styleId="587">
    <w:name w:val="xl34"/>
    <w:basedOn w:val="1"/>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qFormat/>
    <w:uiPriority w:val="0"/>
    <w:rPr>
      <w:rFonts w:ascii="Arial Unicode MS" w:hAnsi="Arial Unicode MS"/>
    </w:rPr>
  </w:style>
  <w:style w:type="paragraph" w:customStyle="1" w:styleId="594">
    <w:name w:val="项目"/>
    <w:basedOn w:val="1"/>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4"/>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4"/>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4"/>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5"/>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qFormat/>
    <w:uiPriority w:val="0"/>
    <w:pPr>
      <w:autoSpaceDE/>
      <w:autoSpaceDN/>
      <w:spacing w:line="360" w:lineRule="auto"/>
      <w:jc w:val="both"/>
    </w:pPr>
    <w:rPr>
      <w:rFonts w:ascii="Arial Unicode MS" w:hAnsi="Arial Unicode MS"/>
      <w:szCs w:val="20"/>
    </w:rPr>
  </w:style>
  <w:style w:type="paragraph" w:customStyle="1" w:styleId="605">
    <w:name w:val="xl50"/>
    <w:basedOn w:val="1"/>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4"/>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7"/>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5"/>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qFormat/>
    <w:uiPriority w:val="0"/>
    <w:pPr>
      <w:ind w:firstLine="480" w:firstLineChars="200"/>
    </w:pPr>
    <w:rPr>
      <w:lang w:val="zh-CN"/>
    </w:rPr>
  </w:style>
  <w:style w:type="paragraph" w:customStyle="1" w:styleId="620">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qFormat/>
    <w:uiPriority w:val="0"/>
    <w:pPr>
      <w:autoSpaceDE/>
      <w:autoSpaceDN/>
      <w:adjustRightInd/>
      <w:jc w:val="both"/>
    </w:pPr>
    <w:rPr>
      <w:rFonts w:ascii="Calibri" w:hAnsi="Calibri"/>
      <w:kern w:val="2"/>
      <w:szCs w:val="20"/>
    </w:rPr>
  </w:style>
  <w:style w:type="paragraph" w:customStyle="1" w:styleId="622">
    <w:name w:val="font10"/>
    <w:basedOn w:val="1"/>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qFormat/>
    <w:uiPriority w:val="0"/>
    <w:rPr>
      <w:rFonts w:hint="eastAsia" w:ascii="Microsoft YaHei UI" w:hAnsi="Microsoft YaHei UI" w:eastAsia="Microsoft YaHei UI"/>
      <w:sz w:val="18"/>
      <w:szCs w:val="18"/>
    </w:rPr>
  </w:style>
  <w:style w:type="paragraph" w:customStyle="1" w:styleId="630">
    <w:name w:val="Table Paragraph"/>
    <w:basedOn w:val="1"/>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qFormat/>
    <w:uiPriority w:val="0"/>
    <w:pPr>
      <w:ind w:firstLine="0" w:firstLineChars="0"/>
      <w:jc w:val="center"/>
    </w:pPr>
    <w:rPr>
      <w:rFonts w:eastAsia="等线"/>
    </w:rPr>
  </w:style>
  <w:style w:type="paragraph" w:customStyle="1" w:styleId="632">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43574</Words>
  <Characters>45560</Characters>
  <Lines>383</Lines>
  <Paragraphs>107</Paragraphs>
  <TotalTime>6</TotalTime>
  <ScaleCrop>false</ScaleCrop>
  <LinksUpToDate>false</LinksUpToDate>
  <CharactersWithSpaces>47561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三方诚信-陈工</cp:lastModifiedBy>
  <cp:lastPrinted>2025-05-21T01:46:00Z</cp:lastPrinted>
  <dcterms:modified xsi:type="dcterms:W3CDTF">2025-08-13T00:25:51Z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EC0A1D0654EE48A8AE75AAE57C8E6428_13</vt:lpwstr>
  </property>
  <property fmtid="{D5CDD505-2E9C-101B-9397-08002B2CF9AE}" pid="4" name="KSOTemplateDocerSaveRecord">
    <vt:lpwstr>eyJoZGlkIjoiOTVjMGEyOTZkNjk5MTkzNDI0NGVjZDJhMzI1NTRmYmUiLCJ1c2VySWQiOiIxNjAyNjcwNjAxIn0=</vt:lpwstr>
  </property>
</Properties>
</file>