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C0693D">
      <w:pPr>
        <w:autoSpaceDE w:val="0"/>
        <w:autoSpaceDN w:val="0"/>
        <w:adjustRightInd w:val="0"/>
        <w:spacing w:line="276" w:lineRule="auto"/>
        <w:ind w:left="357" w:leftChars="170" w:right="-23" w:rightChars="-11"/>
        <w:jc w:val="center"/>
        <w:rPr>
          <w:rFonts w:hint="eastAsia" w:ascii="宋体" w:hAnsi="宋体" w:eastAsia="宋体" w:cs="宋体"/>
          <w:b/>
          <w:bCs/>
          <w:color w:val="auto"/>
          <w:kern w:val="0"/>
          <w:sz w:val="52"/>
          <w:szCs w:val="52"/>
          <w:highlight w:val="none"/>
          <w:lang w:val="zh-CN"/>
        </w:rPr>
      </w:pPr>
    </w:p>
    <w:p w14:paraId="030BD2E9">
      <w:pPr>
        <w:autoSpaceDE w:val="0"/>
        <w:autoSpaceDN w:val="0"/>
        <w:adjustRightInd w:val="0"/>
        <w:spacing w:line="276" w:lineRule="auto"/>
        <w:ind w:left="357" w:leftChars="170" w:right="-23" w:rightChars="-11"/>
        <w:jc w:val="center"/>
        <w:rPr>
          <w:rFonts w:ascii="宋体" w:hAnsi="宋体" w:eastAsia="宋体" w:cs="宋体"/>
          <w:b/>
          <w:bCs/>
          <w:color w:val="auto"/>
          <w:kern w:val="0"/>
          <w:sz w:val="60"/>
          <w:szCs w:val="60"/>
          <w:highlight w:val="none"/>
          <w:lang w:val="zh-CN"/>
        </w:rPr>
      </w:pPr>
      <w:r>
        <w:rPr>
          <w:rFonts w:hint="eastAsia" w:ascii="宋体" w:hAnsi="宋体" w:eastAsia="宋体" w:cs="宋体"/>
          <w:b/>
          <w:bCs/>
          <w:color w:val="auto"/>
          <w:kern w:val="0"/>
          <w:sz w:val="60"/>
          <w:szCs w:val="60"/>
          <w:highlight w:val="none"/>
          <w:lang w:val="zh-CN"/>
        </w:rPr>
        <w:t>东莞市石鼓净水有限公司污水处理厂及提标项目中控系统集约化升级改造项目</w:t>
      </w:r>
    </w:p>
    <w:p w14:paraId="7460EBF7">
      <w:pPr>
        <w:autoSpaceDE w:val="0"/>
        <w:autoSpaceDN w:val="0"/>
        <w:adjustRightInd w:val="0"/>
        <w:spacing w:line="276" w:lineRule="auto"/>
        <w:ind w:left="357" w:leftChars="170" w:right="-23" w:rightChars="-11"/>
        <w:jc w:val="center"/>
        <w:rPr>
          <w:rFonts w:ascii="宋体" w:hAnsi="宋体" w:eastAsia="宋体" w:cs="宋体"/>
          <w:b/>
          <w:bCs/>
          <w:color w:val="auto"/>
          <w:kern w:val="0"/>
          <w:sz w:val="44"/>
          <w:szCs w:val="44"/>
          <w:highlight w:val="none"/>
          <w:lang w:val="zh-CN"/>
        </w:rPr>
      </w:pPr>
    </w:p>
    <w:p w14:paraId="094975E3">
      <w:pPr>
        <w:autoSpaceDE w:val="0"/>
        <w:autoSpaceDN w:val="0"/>
        <w:adjustRightInd w:val="0"/>
        <w:ind w:right="-23" w:rightChars="-11"/>
        <w:jc w:val="left"/>
        <w:rPr>
          <w:rFonts w:ascii="宋体" w:hAnsi="宋体" w:eastAsia="宋体" w:cs="宋体"/>
          <w:b/>
          <w:bCs/>
          <w:color w:val="auto"/>
          <w:sz w:val="44"/>
          <w:szCs w:val="44"/>
          <w:highlight w:val="none"/>
          <w:lang w:val="zh-CN"/>
        </w:rPr>
      </w:pPr>
    </w:p>
    <w:p w14:paraId="6FB2D69E">
      <w:pPr>
        <w:autoSpaceDE w:val="0"/>
        <w:autoSpaceDN w:val="0"/>
        <w:adjustRightInd w:val="0"/>
        <w:ind w:right="-23" w:rightChars="-11"/>
        <w:jc w:val="center"/>
        <w:rPr>
          <w:rFonts w:ascii="宋体" w:hAnsi="宋体" w:eastAsia="宋体" w:cs="Times New Roman"/>
          <w:b/>
          <w:bCs/>
          <w:color w:val="auto"/>
          <w:sz w:val="72"/>
          <w:szCs w:val="72"/>
          <w:highlight w:val="none"/>
          <w:lang w:val="zh-CN"/>
        </w:rPr>
      </w:pPr>
    </w:p>
    <w:p w14:paraId="781EBB03">
      <w:pPr>
        <w:autoSpaceDE w:val="0"/>
        <w:autoSpaceDN w:val="0"/>
        <w:adjustRightInd w:val="0"/>
        <w:ind w:right="-23" w:rightChars="-11"/>
        <w:jc w:val="center"/>
        <w:rPr>
          <w:rFonts w:ascii="宋体" w:hAnsi="宋体" w:eastAsia="宋体" w:cs="Times New Roman"/>
          <w:b/>
          <w:bCs/>
          <w:color w:val="auto"/>
          <w:sz w:val="72"/>
          <w:szCs w:val="72"/>
          <w:highlight w:val="none"/>
          <w:lang w:val="zh-CN"/>
        </w:rPr>
      </w:pPr>
      <w:r>
        <w:rPr>
          <w:rFonts w:hint="eastAsia" w:ascii="宋体" w:hAnsi="宋体" w:eastAsia="宋体" w:cs="Times New Roman"/>
          <w:b/>
          <w:bCs/>
          <w:color w:val="auto"/>
          <w:sz w:val="72"/>
          <w:szCs w:val="72"/>
          <w:highlight w:val="none"/>
          <w:lang w:val="zh-CN"/>
        </w:rPr>
        <w:t>招</w:t>
      </w:r>
      <w:r>
        <w:rPr>
          <w:rFonts w:hint="eastAsia" w:ascii="宋体" w:hAnsi="宋体" w:eastAsia="宋体" w:cs="Times New Roman"/>
          <w:b/>
          <w:bCs/>
          <w:color w:val="auto"/>
          <w:sz w:val="72"/>
          <w:szCs w:val="72"/>
          <w:highlight w:val="none"/>
        </w:rPr>
        <w:t xml:space="preserve"> </w:t>
      </w:r>
      <w:r>
        <w:rPr>
          <w:rFonts w:hint="eastAsia" w:ascii="宋体" w:hAnsi="宋体" w:eastAsia="宋体" w:cs="Times New Roman"/>
          <w:b/>
          <w:bCs/>
          <w:color w:val="auto"/>
          <w:sz w:val="72"/>
          <w:szCs w:val="72"/>
          <w:highlight w:val="none"/>
          <w:lang w:val="zh-CN"/>
        </w:rPr>
        <w:t>标</w:t>
      </w:r>
      <w:r>
        <w:rPr>
          <w:rFonts w:hint="eastAsia" w:ascii="宋体" w:hAnsi="宋体" w:eastAsia="宋体" w:cs="Times New Roman"/>
          <w:b/>
          <w:bCs/>
          <w:color w:val="auto"/>
          <w:sz w:val="72"/>
          <w:szCs w:val="72"/>
          <w:highlight w:val="none"/>
        </w:rPr>
        <w:t xml:space="preserve"> </w:t>
      </w:r>
      <w:r>
        <w:rPr>
          <w:rFonts w:hint="eastAsia" w:ascii="宋体" w:hAnsi="宋体" w:eastAsia="宋体" w:cs="Times New Roman"/>
          <w:b/>
          <w:bCs/>
          <w:color w:val="auto"/>
          <w:sz w:val="72"/>
          <w:szCs w:val="72"/>
          <w:highlight w:val="none"/>
          <w:lang w:val="zh-CN"/>
        </w:rPr>
        <w:t>文</w:t>
      </w:r>
      <w:r>
        <w:rPr>
          <w:rFonts w:hint="eastAsia" w:ascii="宋体" w:hAnsi="宋体" w:eastAsia="宋体" w:cs="Times New Roman"/>
          <w:b/>
          <w:bCs/>
          <w:color w:val="auto"/>
          <w:sz w:val="72"/>
          <w:szCs w:val="72"/>
          <w:highlight w:val="none"/>
        </w:rPr>
        <w:t xml:space="preserve"> </w:t>
      </w:r>
      <w:r>
        <w:rPr>
          <w:rFonts w:hint="eastAsia" w:ascii="宋体" w:hAnsi="宋体" w:eastAsia="宋体" w:cs="Times New Roman"/>
          <w:b/>
          <w:bCs/>
          <w:color w:val="auto"/>
          <w:sz w:val="72"/>
          <w:szCs w:val="72"/>
          <w:highlight w:val="none"/>
          <w:lang w:val="zh-CN"/>
        </w:rPr>
        <w:t>件</w:t>
      </w:r>
    </w:p>
    <w:p w14:paraId="47AB0D34">
      <w:pPr>
        <w:autoSpaceDE w:val="0"/>
        <w:autoSpaceDN w:val="0"/>
        <w:adjustRightInd w:val="0"/>
        <w:ind w:right="-23" w:rightChars="-11"/>
        <w:jc w:val="center"/>
        <w:rPr>
          <w:rFonts w:ascii="宋体" w:hAnsi="宋体" w:eastAsia="宋体" w:cs="宋体"/>
          <w:b/>
          <w:bCs/>
          <w:color w:val="auto"/>
          <w:sz w:val="32"/>
          <w:szCs w:val="32"/>
          <w:highlight w:val="none"/>
          <w:lang w:val="zh-CN"/>
        </w:rPr>
      </w:pPr>
    </w:p>
    <w:p w14:paraId="730964F1">
      <w:pPr>
        <w:autoSpaceDE w:val="0"/>
        <w:autoSpaceDN w:val="0"/>
        <w:adjustRightInd w:val="0"/>
        <w:ind w:right="-23" w:rightChars="-11"/>
        <w:jc w:val="center"/>
        <w:rPr>
          <w:rFonts w:ascii="宋体" w:hAnsi="宋体" w:eastAsia="宋体" w:cs="宋体"/>
          <w:b/>
          <w:bCs/>
          <w:color w:val="auto"/>
          <w:sz w:val="44"/>
          <w:szCs w:val="44"/>
          <w:highlight w:val="none"/>
          <w:lang w:val="zh-CN"/>
        </w:rPr>
      </w:pPr>
    </w:p>
    <w:p w14:paraId="7A172ABC">
      <w:pPr>
        <w:autoSpaceDE w:val="0"/>
        <w:autoSpaceDN w:val="0"/>
        <w:adjustRightInd w:val="0"/>
        <w:ind w:right="-23" w:rightChars="-11"/>
        <w:jc w:val="left"/>
        <w:rPr>
          <w:rFonts w:ascii="宋体" w:hAnsi="宋体" w:eastAsia="宋体" w:cs="宋体"/>
          <w:b/>
          <w:bCs/>
          <w:color w:val="auto"/>
          <w:sz w:val="32"/>
          <w:szCs w:val="32"/>
          <w:highlight w:val="none"/>
          <w:u w:val="single"/>
          <w:lang w:val="zh-CN"/>
        </w:rPr>
      </w:pPr>
    </w:p>
    <w:p w14:paraId="7F8DA5E7">
      <w:pPr>
        <w:tabs>
          <w:tab w:val="left" w:pos="9240"/>
        </w:tabs>
        <w:autoSpaceDE w:val="0"/>
        <w:autoSpaceDN w:val="0"/>
        <w:adjustRightInd w:val="0"/>
        <w:spacing w:line="700" w:lineRule="exact"/>
        <w:ind w:right="-23" w:rightChars="-11"/>
        <w:jc w:val="left"/>
        <w:rPr>
          <w:rFonts w:ascii="宋体" w:hAnsi="宋体" w:eastAsia="宋体" w:cs="宋体"/>
          <w:b/>
          <w:bCs/>
          <w:color w:val="auto"/>
          <w:sz w:val="32"/>
          <w:szCs w:val="32"/>
          <w:highlight w:val="none"/>
          <w:lang w:val="zh-CN"/>
        </w:rPr>
      </w:pPr>
    </w:p>
    <w:p w14:paraId="735249F6">
      <w:pPr>
        <w:autoSpaceDE w:val="0"/>
        <w:autoSpaceDN w:val="0"/>
        <w:adjustRightInd w:val="0"/>
        <w:spacing w:line="480" w:lineRule="auto"/>
        <w:ind w:left="1842" w:leftChars="877" w:firstLine="19" w:firstLineChars="6"/>
        <w:jc w:val="left"/>
        <w:rPr>
          <w:rFonts w:ascii="宋体" w:hAnsi="宋体" w:eastAsia="宋体" w:cs="Times New Roman"/>
          <w:b/>
          <w:bCs/>
          <w:color w:val="auto"/>
          <w:sz w:val="32"/>
          <w:szCs w:val="32"/>
          <w:highlight w:val="none"/>
          <w:lang w:val="zh-CN"/>
        </w:rPr>
      </w:pPr>
      <w:r>
        <w:rPr>
          <w:rFonts w:hint="eastAsia" w:ascii="宋体" w:hAnsi="宋体" w:eastAsia="宋体" w:cs="Times New Roman"/>
          <w:b/>
          <w:bCs/>
          <w:color w:val="auto"/>
          <w:sz w:val="32"/>
          <w:szCs w:val="32"/>
          <w:highlight w:val="none"/>
          <w:lang w:val="zh-CN"/>
        </w:rPr>
        <w:t>招</w:t>
      </w:r>
      <w:r>
        <w:rPr>
          <w:rFonts w:hint="eastAsia" w:ascii="宋体" w:hAnsi="宋体" w:eastAsia="宋体" w:cs="Times New Roman"/>
          <w:b/>
          <w:bCs/>
          <w:color w:val="auto"/>
          <w:sz w:val="32"/>
          <w:szCs w:val="32"/>
          <w:highlight w:val="none"/>
        </w:rPr>
        <w:t xml:space="preserve"> </w:t>
      </w:r>
      <w:r>
        <w:rPr>
          <w:rFonts w:hint="eastAsia" w:ascii="宋体" w:hAnsi="宋体" w:eastAsia="宋体" w:cs="Times New Roman"/>
          <w:b/>
          <w:bCs/>
          <w:color w:val="auto"/>
          <w:sz w:val="32"/>
          <w:szCs w:val="32"/>
          <w:highlight w:val="none"/>
          <w:lang w:val="zh-CN"/>
        </w:rPr>
        <w:t>标</w:t>
      </w:r>
      <w:r>
        <w:rPr>
          <w:rFonts w:hint="eastAsia" w:ascii="宋体" w:hAnsi="宋体" w:eastAsia="宋体" w:cs="Times New Roman"/>
          <w:b/>
          <w:bCs/>
          <w:color w:val="auto"/>
          <w:sz w:val="32"/>
          <w:szCs w:val="32"/>
          <w:highlight w:val="none"/>
        </w:rPr>
        <w:t xml:space="preserve"> </w:t>
      </w:r>
      <w:r>
        <w:rPr>
          <w:rFonts w:hint="eastAsia" w:ascii="宋体" w:hAnsi="宋体" w:eastAsia="宋体" w:cs="Times New Roman"/>
          <w:b/>
          <w:bCs/>
          <w:color w:val="auto"/>
          <w:sz w:val="32"/>
          <w:szCs w:val="32"/>
          <w:highlight w:val="none"/>
          <w:lang w:val="zh-CN"/>
        </w:rPr>
        <w:t>编</w:t>
      </w:r>
      <w:r>
        <w:rPr>
          <w:rFonts w:hint="eastAsia" w:ascii="宋体" w:hAnsi="宋体" w:eastAsia="宋体" w:cs="Times New Roman"/>
          <w:b/>
          <w:bCs/>
          <w:color w:val="auto"/>
          <w:sz w:val="32"/>
          <w:szCs w:val="32"/>
          <w:highlight w:val="none"/>
        </w:rPr>
        <w:t xml:space="preserve"> </w:t>
      </w:r>
      <w:r>
        <w:rPr>
          <w:rFonts w:hint="eastAsia" w:ascii="宋体" w:hAnsi="宋体" w:eastAsia="宋体" w:cs="Times New Roman"/>
          <w:b/>
          <w:bCs/>
          <w:color w:val="auto"/>
          <w:sz w:val="32"/>
          <w:szCs w:val="32"/>
          <w:highlight w:val="none"/>
          <w:lang w:val="zh-CN"/>
        </w:rPr>
        <w:t xml:space="preserve">号：SSWSSZ12501186                </w:t>
      </w:r>
    </w:p>
    <w:p w14:paraId="5117323D">
      <w:pPr>
        <w:autoSpaceDE w:val="0"/>
        <w:autoSpaceDN w:val="0"/>
        <w:adjustRightInd w:val="0"/>
        <w:spacing w:line="480" w:lineRule="auto"/>
        <w:ind w:left="1842" w:leftChars="877" w:firstLine="19" w:firstLineChars="6"/>
        <w:jc w:val="left"/>
        <w:rPr>
          <w:rFonts w:ascii="宋体" w:hAnsi="宋体" w:eastAsia="宋体" w:cs="Times New Roman"/>
          <w:b/>
          <w:bCs/>
          <w:color w:val="auto"/>
          <w:sz w:val="32"/>
          <w:szCs w:val="32"/>
          <w:highlight w:val="none"/>
          <w:lang w:val="zh-CN"/>
        </w:rPr>
      </w:pPr>
      <w:r>
        <w:rPr>
          <w:rFonts w:hint="eastAsia" w:ascii="宋体" w:hAnsi="宋体" w:eastAsia="宋体" w:cs="Times New Roman"/>
          <w:b/>
          <w:bCs/>
          <w:color w:val="auto"/>
          <w:sz w:val="32"/>
          <w:szCs w:val="32"/>
          <w:highlight w:val="none"/>
          <w:lang w:val="zh-CN"/>
        </w:rPr>
        <w:t>招</w:t>
      </w:r>
      <w:r>
        <w:rPr>
          <w:rFonts w:hint="eastAsia" w:ascii="宋体" w:hAnsi="宋体" w:eastAsia="宋体" w:cs="Times New Roman"/>
          <w:b/>
          <w:bCs/>
          <w:color w:val="auto"/>
          <w:sz w:val="32"/>
          <w:szCs w:val="32"/>
          <w:highlight w:val="none"/>
        </w:rPr>
        <w:t xml:space="preserve"> </w:t>
      </w:r>
      <w:r>
        <w:rPr>
          <w:rFonts w:hint="eastAsia" w:ascii="宋体" w:hAnsi="宋体" w:eastAsia="宋体" w:cs="Times New Roman"/>
          <w:b/>
          <w:bCs/>
          <w:color w:val="auto"/>
          <w:sz w:val="32"/>
          <w:szCs w:val="32"/>
          <w:highlight w:val="none"/>
          <w:lang w:val="zh-CN"/>
        </w:rPr>
        <w:t>标</w:t>
      </w:r>
      <w:r>
        <w:rPr>
          <w:rFonts w:hint="eastAsia" w:ascii="宋体" w:hAnsi="宋体" w:eastAsia="宋体" w:cs="Times New Roman"/>
          <w:b/>
          <w:bCs/>
          <w:color w:val="auto"/>
          <w:sz w:val="32"/>
          <w:szCs w:val="32"/>
          <w:highlight w:val="none"/>
        </w:rPr>
        <w:t xml:space="preserve"> </w:t>
      </w:r>
      <w:r>
        <w:rPr>
          <w:rFonts w:hint="eastAsia" w:ascii="宋体" w:hAnsi="宋体" w:eastAsia="宋体" w:cs="Times New Roman"/>
          <w:b/>
          <w:bCs/>
          <w:color w:val="auto"/>
          <w:sz w:val="32"/>
          <w:szCs w:val="32"/>
          <w:highlight w:val="none"/>
          <w:lang w:val="zh-CN"/>
        </w:rPr>
        <w:t>人：东莞市石鼓净水有限公司</w:t>
      </w:r>
    </w:p>
    <w:p w14:paraId="7DF57CB8">
      <w:pPr>
        <w:autoSpaceDE w:val="0"/>
        <w:autoSpaceDN w:val="0"/>
        <w:adjustRightInd w:val="0"/>
        <w:spacing w:line="480" w:lineRule="auto"/>
        <w:ind w:left="1842" w:leftChars="877" w:firstLine="19" w:firstLineChars="6"/>
        <w:jc w:val="left"/>
        <w:rPr>
          <w:rFonts w:ascii="宋体" w:hAnsi="宋体" w:eastAsia="宋体" w:cs="Times New Roman"/>
          <w:b/>
          <w:bCs/>
          <w:color w:val="auto"/>
          <w:sz w:val="32"/>
          <w:szCs w:val="32"/>
          <w:highlight w:val="none"/>
          <w:lang w:val="zh-CN"/>
        </w:rPr>
      </w:pPr>
      <w:r>
        <w:rPr>
          <w:rFonts w:hint="eastAsia" w:ascii="宋体" w:hAnsi="宋体" w:eastAsia="宋体" w:cs="Times New Roman"/>
          <w:b/>
          <w:bCs/>
          <w:color w:val="auto"/>
          <w:sz w:val="32"/>
          <w:szCs w:val="32"/>
          <w:highlight w:val="none"/>
          <w:lang w:val="zh-CN"/>
        </w:rPr>
        <w:t>招标代理机构：东莞市达盛招标代理有限公司</w:t>
      </w:r>
    </w:p>
    <w:p w14:paraId="2DF97462">
      <w:pPr>
        <w:autoSpaceDE w:val="0"/>
        <w:autoSpaceDN w:val="0"/>
        <w:adjustRightInd w:val="0"/>
        <w:ind w:right="-23" w:rightChars="-11"/>
        <w:jc w:val="left"/>
        <w:rPr>
          <w:rFonts w:ascii="宋体" w:hAnsi="宋体" w:eastAsia="宋体" w:cs="Times New Roman"/>
          <w:b/>
          <w:bCs/>
          <w:color w:val="auto"/>
          <w:kern w:val="0"/>
          <w:sz w:val="32"/>
          <w:szCs w:val="32"/>
          <w:highlight w:val="none"/>
          <w:lang w:val="zh-CN"/>
        </w:rPr>
      </w:pPr>
    </w:p>
    <w:p w14:paraId="5F63AD8A">
      <w:pPr>
        <w:autoSpaceDE w:val="0"/>
        <w:autoSpaceDN w:val="0"/>
        <w:adjustRightInd w:val="0"/>
        <w:ind w:right="-23" w:rightChars="-11"/>
        <w:jc w:val="center"/>
        <w:rPr>
          <w:rFonts w:ascii="宋体" w:hAnsi="宋体" w:eastAsia="宋体" w:cs="Times New Roman"/>
          <w:b/>
          <w:bCs/>
          <w:color w:val="auto"/>
          <w:kern w:val="0"/>
          <w:sz w:val="84"/>
          <w:szCs w:val="84"/>
          <w:highlight w:val="none"/>
          <w:lang w:val="zh-CN"/>
        </w:rPr>
      </w:pPr>
    </w:p>
    <w:p w14:paraId="6CB0C85A">
      <w:pPr>
        <w:autoSpaceDE w:val="0"/>
        <w:autoSpaceDN w:val="0"/>
        <w:adjustRightInd w:val="0"/>
        <w:spacing w:line="360" w:lineRule="auto"/>
        <w:ind w:left="357" w:leftChars="170" w:right="-23" w:rightChars="-11" w:firstLine="321" w:firstLineChars="100"/>
        <w:jc w:val="center"/>
        <w:rPr>
          <w:rFonts w:ascii="宋体" w:hAnsi="宋体" w:eastAsia="宋体" w:cs="宋体"/>
          <w:b/>
          <w:bCs/>
          <w:color w:val="auto"/>
          <w:kern w:val="0"/>
          <w:sz w:val="52"/>
          <w:szCs w:val="52"/>
          <w:highlight w:val="none"/>
        </w:rPr>
      </w:pPr>
      <w:r>
        <w:rPr>
          <w:rFonts w:hint="eastAsia" w:ascii="宋体" w:hAnsi="宋体" w:eastAsia="宋体" w:cs="宋体"/>
          <w:b/>
          <w:bCs/>
          <w:color w:val="auto"/>
          <w:sz w:val="32"/>
          <w:szCs w:val="32"/>
          <w:highlight w:val="none"/>
          <w:lang w:val="en-US" w:eastAsia="zh-CN"/>
        </w:rPr>
        <w:t>2025</w:t>
      </w:r>
      <w:r>
        <w:rPr>
          <w:rFonts w:hint="eastAsia" w:ascii="宋体" w:hAnsi="宋体" w:eastAsia="宋体" w:cs="宋体"/>
          <w:b/>
          <w:bCs/>
          <w:color w:val="auto"/>
          <w:sz w:val="32"/>
          <w:szCs w:val="32"/>
          <w:highlight w:val="none"/>
          <w:lang w:val="zh-CN"/>
        </w:rPr>
        <w:t>年</w:t>
      </w:r>
      <w:r>
        <w:rPr>
          <w:rFonts w:hint="eastAsia" w:ascii="宋体" w:hAnsi="宋体" w:eastAsia="宋体" w:cs="宋体"/>
          <w:b/>
          <w:bCs/>
          <w:color w:val="auto"/>
          <w:sz w:val="32"/>
          <w:szCs w:val="32"/>
          <w:highlight w:val="none"/>
          <w:lang w:val="en-US" w:eastAsia="zh-CN"/>
        </w:rPr>
        <w:t>07</w:t>
      </w:r>
      <w:r>
        <w:rPr>
          <w:rFonts w:hint="eastAsia" w:ascii="宋体" w:hAnsi="宋体" w:eastAsia="宋体" w:cs="宋体"/>
          <w:b/>
          <w:bCs/>
          <w:color w:val="auto"/>
          <w:sz w:val="32"/>
          <w:szCs w:val="32"/>
          <w:highlight w:val="none"/>
          <w:lang w:val="zh-CN"/>
        </w:rPr>
        <w:t>月</w:t>
      </w:r>
      <w:r>
        <w:rPr>
          <w:rFonts w:hint="eastAsia" w:ascii="宋体" w:hAnsi="宋体" w:eastAsia="宋体" w:cs="宋体"/>
          <w:b/>
          <w:bCs/>
          <w:color w:val="auto"/>
          <w:sz w:val="32"/>
          <w:szCs w:val="32"/>
          <w:highlight w:val="none"/>
          <w:lang w:val="en-US" w:eastAsia="zh-CN"/>
        </w:rPr>
        <w:t>10</w:t>
      </w:r>
      <w:r>
        <w:rPr>
          <w:rFonts w:hint="eastAsia" w:ascii="宋体" w:hAnsi="宋体" w:eastAsia="宋体" w:cs="宋体"/>
          <w:b/>
          <w:bCs/>
          <w:color w:val="auto"/>
          <w:sz w:val="32"/>
          <w:szCs w:val="32"/>
          <w:highlight w:val="none"/>
          <w:lang w:val="zh-CN"/>
        </w:rPr>
        <w:t>日</w:t>
      </w:r>
    </w:p>
    <w:p w14:paraId="6A17960A">
      <w:pPr>
        <w:spacing w:line="360" w:lineRule="auto"/>
        <w:jc w:val="center"/>
        <w:rPr>
          <w:rFonts w:ascii="宋体" w:hAnsi="宋体" w:eastAsia="宋体" w:cs="宋体"/>
          <w:b/>
          <w:color w:val="auto"/>
          <w:sz w:val="36"/>
          <w:szCs w:val="36"/>
          <w:highlight w:val="none"/>
        </w:rPr>
      </w:pPr>
      <w:bookmarkStart w:id="0" w:name="_Toc29891_WPSOffice_Type3"/>
      <w:r>
        <w:rPr>
          <w:rFonts w:hint="eastAsia" w:ascii="宋体" w:hAnsi="宋体" w:eastAsia="宋体" w:cs="宋体"/>
          <w:b/>
          <w:color w:val="auto"/>
          <w:sz w:val="36"/>
          <w:szCs w:val="36"/>
          <w:highlight w:val="none"/>
          <w:lang w:bidi="ar"/>
        </w:rPr>
        <w:t>重要提示</w:t>
      </w:r>
    </w:p>
    <w:p w14:paraId="011A01E7">
      <w:pPr>
        <w:pStyle w:val="39"/>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 本次招标项目采用电子标书。</w:t>
      </w:r>
    </w:p>
    <w:p w14:paraId="14B6F4E1">
      <w:pPr>
        <w:pStyle w:val="39"/>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 投标人将被要求递交具备法律效力的电子投标文件。为此，投标人应当具备使用依法设立的电子认证服务提供者签发的电子签名认证证书对电子投标文件进行电子签名的能力。投标人可向依法设立的电子认证服务提供者申请办理电子签名认证证书（简称：数字证书，包括企业数字证书和个人数字证书）。</w:t>
      </w:r>
    </w:p>
    <w:p w14:paraId="385A7611">
      <w:pPr>
        <w:pStyle w:val="39"/>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 除特别说明外，招标文件相关条款中提及的以及第六篇“投标文件格式”中包括但不限于“企业数字证书电子签名”及“电子签名”等要求签名的均指由数字证书电子签章或电子签名。</w:t>
      </w:r>
    </w:p>
    <w:p w14:paraId="77C58175">
      <w:pPr>
        <w:pStyle w:val="39"/>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 投标人必须使用计算机互联网络（以下简称网络）将投标文件以jjb格式上传提交至东莞市公共资源交易E网通管理平台建设工程交易系统（以下简称交易系统），并在网上签到时，关联到对应的投标项目中。</w:t>
      </w:r>
    </w:p>
    <w:p w14:paraId="7080C189">
      <w:pPr>
        <w:pStyle w:val="39"/>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 投标人在交易系统中对投标文件进行解密的电子签名认证证书必须为机构证书或制作本项目投标文件的业务证书。</w:t>
      </w:r>
    </w:p>
    <w:p w14:paraId="15173C6C">
      <w:pPr>
        <w:pStyle w:val="39"/>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 投标人应及时提交投标文件，如在投标文件截止时间前因网络等任何原因未能成功上传投标文件，相关后果由投标人自行承担。</w:t>
      </w:r>
    </w:p>
    <w:p w14:paraId="696D527D">
      <w:pPr>
        <w:pStyle w:val="39"/>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投标人上传投标文件时，需设置投标文件查询密码（用于查询投标文件递交情况、撤销投标文件及签到时匹配对应的招标文件）。成功上传投标文件后，交易系统将自动随机生成投标文件识别码。识别码是交易系统确认投标人提交投标文件的唯一凭证，投标人须妥善保管。识别码丢失后，投标人将无法找回投标文件，需重新上传提交。</w:t>
      </w:r>
    </w:p>
    <w:p w14:paraId="1D617B92">
      <w:pPr>
        <w:pStyle w:val="39"/>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8.如未在投标文件递交截止时间前匹配对应的投标文件，视为投标人未提交。本招标文件中签到、投标文件匹配、投标保证金关联等时间均以东莞市公共资源交易E网通管理平台时间为准。</w:t>
      </w:r>
    </w:p>
    <w:p w14:paraId="245268D5">
      <w:pPr>
        <w:pStyle w:val="39"/>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9.本招标项目在全国公共资源交易平台（广东省·东莞市）（https://ygp.gdzwfw.gov.cn/#/441900/index）等媒体发布招标公告，本项目招标公告及招标文件的修改、补充在全国公共资源交易平台（广东省·东莞市）发布。发布内容在其他媒体发布的文本如有不同之处，以在全国公共资源交易平台（广东省·东莞市）发布的文本为准。</w:t>
      </w:r>
    </w:p>
    <w:p w14:paraId="6045CE01">
      <w:pPr>
        <w:spacing w:line="360" w:lineRule="auto"/>
        <w:ind w:firstLine="480" w:firstLineChars="200"/>
        <w:rPr>
          <w:rFonts w:ascii="宋体" w:hAnsi="宋体" w:eastAsia="宋体" w:cs="宋体"/>
          <w:color w:val="auto"/>
          <w:sz w:val="24"/>
          <w:szCs w:val="24"/>
          <w:highlight w:val="none"/>
        </w:rPr>
      </w:pPr>
    </w:p>
    <w:p w14:paraId="0D0105EB">
      <w:pPr>
        <w:tabs>
          <w:tab w:val="left" w:pos="9923"/>
          <w:tab w:val="left" w:pos="10206"/>
        </w:tabs>
        <w:autoSpaceDE w:val="0"/>
        <w:autoSpaceDN w:val="0"/>
        <w:adjustRightInd w:val="0"/>
        <w:spacing w:line="360" w:lineRule="auto"/>
        <w:jc w:val="center"/>
        <w:rPr>
          <w:rFonts w:ascii="宋体" w:hAnsi="宋体" w:eastAsia="宋体" w:cs="Times New Roman"/>
          <w:b/>
          <w:color w:val="auto"/>
          <w:kern w:val="0"/>
          <w:szCs w:val="21"/>
          <w:highlight w:val="none"/>
        </w:rPr>
      </w:pPr>
      <w:r>
        <w:rPr>
          <w:rFonts w:ascii="宋体" w:hAnsi="宋体" w:eastAsia="宋体" w:cs="Times New Roman"/>
          <w:b/>
          <w:color w:val="auto"/>
          <w:kern w:val="0"/>
          <w:szCs w:val="21"/>
          <w:highlight w:val="none"/>
        </w:rPr>
        <w:br w:type="page"/>
      </w:r>
      <w:r>
        <w:rPr>
          <w:rFonts w:ascii="宋体" w:hAnsi="宋体" w:eastAsia="宋体" w:cs="Times New Roman"/>
          <w:b/>
          <w:color w:val="auto"/>
          <w:kern w:val="0"/>
          <w:sz w:val="24"/>
          <w:szCs w:val="24"/>
          <w:highlight w:val="none"/>
        </w:rPr>
        <w:t>目</w:t>
      </w:r>
      <w:r>
        <w:rPr>
          <w:rFonts w:hint="eastAsia" w:ascii="宋体" w:hAnsi="宋体" w:eastAsia="宋体" w:cs="Times New Roman"/>
          <w:b/>
          <w:color w:val="auto"/>
          <w:kern w:val="0"/>
          <w:sz w:val="24"/>
          <w:szCs w:val="24"/>
          <w:highlight w:val="none"/>
        </w:rPr>
        <w:t xml:space="preserve">  </w:t>
      </w:r>
      <w:r>
        <w:rPr>
          <w:rFonts w:ascii="宋体" w:hAnsi="宋体" w:eastAsia="宋体" w:cs="Times New Roman"/>
          <w:b/>
          <w:color w:val="auto"/>
          <w:kern w:val="0"/>
          <w:sz w:val="24"/>
          <w:szCs w:val="24"/>
          <w:highlight w:val="none"/>
        </w:rPr>
        <w:t>录</w:t>
      </w:r>
    </w:p>
    <w:p w14:paraId="71A36B16">
      <w:pPr>
        <w:pStyle w:val="30"/>
        <w:tabs>
          <w:tab w:val="right" w:leader="dot" w:pos="9346"/>
        </w:tabs>
        <w:rPr>
          <w:color w:val="auto"/>
          <w:highlight w:val="none"/>
        </w:rPr>
      </w:pPr>
      <w:r>
        <w:rPr>
          <w:rFonts w:ascii="宋体" w:hAnsi="宋体" w:eastAsia="宋体" w:cs="宋体"/>
          <w:b/>
          <w:bCs/>
          <w:color w:val="auto"/>
          <w:szCs w:val="21"/>
          <w:highlight w:val="none"/>
        </w:rPr>
        <w:fldChar w:fldCharType="begin"/>
      </w:r>
      <w:r>
        <w:rPr>
          <w:rFonts w:ascii="宋体" w:hAnsi="宋体" w:eastAsia="宋体" w:cs="宋体"/>
          <w:b/>
          <w:bCs/>
          <w:color w:val="auto"/>
          <w:szCs w:val="21"/>
          <w:highlight w:val="none"/>
        </w:rPr>
        <w:instrText xml:space="preserve">TOC \o "1-3" \h \u </w:instrText>
      </w:r>
      <w:r>
        <w:rPr>
          <w:rFonts w:ascii="宋体" w:hAnsi="宋体" w:eastAsia="宋体" w:cs="宋体"/>
          <w:b/>
          <w:bCs/>
          <w:color w:val="auto"/>
          <w:szCs w:val="21"/>
          <w:highlight w:val="none"/>
        </w:rPr>
        <w:fldChar w:fldCharType="separate"/>
      </w: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_Toc20957 </w:instrText>
      </w:r>
      <w:r>
        <w:rPr>
          <w:rFonts w:ascii="宋体" w:hAnsi="宋体" w:eastAsia="宋体" w:cs="宋体"/>
          <w:bCs/>
          <w:color w:val="auto"/>
          <w:szCs w:val="21"/>
          <w:highlight w:val="none"/>
        </w:rPr>
        <w:fldChar w:fldCharType="separate"/>
      </w:r>
      <w:r>
        <w:rPr>
          <w:rFonts w:ascii="宋体" w:hAnsi="宋体" w:eastAsia="宋体" w:cs="Times New Roman"/>
          <w:bCs/>
          <w:color w:val="auto"/>
          <w:kern w:val="44"/>
          <w:szCs w:val="32"/>
          <w:highlight w:val="none"/>
          <w:lang w:val="zh-CN"/>
        </w:rPr>
        <w:t>第一篇 招标公告</w:t>
      </w:r>
      <w:r>
        <w:rPr>
          <w:color w:val="auto"/>
          <w:highlight w:val="none"/>
        </w:rPr>
        <w:tab/>
      </w:r>
      <w:r>
        <w:rPr>
          <w:color w:val="auto"/>
          <w:highlight w:val="none"/>
        </w:rPr>
        <w:fldChar w:fldCharType="begin"/>
      </w:r>
      <w:r>
        <w:rPr>
          <w:color w:val="auto"/>
          <w:highlight w:val="none"/>
        </w:rPr>
        <w:instrText xml:space="preserve"> PAGEREF _Toc20957 \h </w:instrText>
      </w:r>
      <w:r>
        <w:rPr>
          <w:color w:val="auto"/>
          <w:highlight w:val="none"/>
        </w:rPr>
        <w:fldChar w:fldCharType="separate"/>
      </w:r>
      <w:r>
        <w:rPr>
          <w:color w:val="auto"/>
          <w:highlight w:val="none"/>
        </w:rPr>
        <w:t>5</w:t>
      </w:r>
      <w:r>
        <w:rPr>
          <w:color w:val="auto"/>
          <w:highlight w:val="none"/>
        </w:rPr>
        <w:fldChar w:fldCharType="end"/>
      </w:r>
      <w:r>
        <w:rPr>
          <w:rFonts w:ascii="宋体" w:hAnsi="宋体" w:eastAsia="宋体" w:cs="宋体"/>
          <w:bCs/>
          <w:color w:val="auto"/>
          <w:szCs w:val="21"/>
          <w:highlight w:val="none"/>
        </w:rPr>
        <w:fldChar w:fldCharType="end"/>
      </w:r>
    </w:p>
    <w:p w14:paraId="2AE695A0">
      <w:pPr>
        <w:pStyle w:val="30"/>
        <w:tabs>
          <w:tab w:val="right" w:leader="dot" w:pos="9346"/>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_Toc21384 </w:instrText>
      </w:r>
      <w:r>
        <w:rPr>
          <w:rFonts w:ascii="宋体" w:hAnsi="宋体" w:eastAsia="宋体" w:cs="宋体"/>
          <w:bCs/>
          <w:color w:val="auto"/>
          <w:szCs w:val="21"/>
          <w:highlight w:val="none"/>
        </w:rPr>
        <w:fldChar w:fldCharType="separate"/>
      </w:r>
      <w:r>
        <w:rPr>
          <w:rFonts w:hint="eastAsia" w:ascii="宋体" w:hAnsi="宋体" w:eastAsia="宋体" w:cs="宋体"/>
          <w:bCs/>
          <w:color w:val="auto"/>
          <w:kern w:val="44"/>
          <w:szCs w:val="32"/>
          <w:highlight w:val="none"/>
          <w:lang w:val="zh-CN"/>
        </w:rPr>
        <w:t>第二篇</w:t>
      </w:r>
      <w:r>
        <w:rPr>
          <w:rFonts w:ascii="宋体" w:hAnsi="宋体" w:eastAsia="宋体" w:cs="宋体"/>
          <w:bCs/>
          <w:color w:val="auto"/>
          <w:kern w:val="44"/>
          <w:szCs w:val="32"/>
          <w:highlight w:val="none"/>
        </w:rPr>
        <w:t xml:space="preserve"> </w:t>
      </w:r>
      <w:r>
        <w:rPr>
          <w:rFonts w:hint="eastAsia" w:ascii="宋体" w:hAnsi="宋体" w:eastAsia="宋体" w:cs="宋体"/>
          <w:bCs/>
          <w:color w:val="auto"/>
          <w:kern w:val="44"/>
          <w:szCs w:val="32"/>
          <w:highlight w:val="none"/>
          <w:lang w:val="zh-CN"/>
        </w:rPr>
        <w:t>投标人须知</w:t>
      </w:r>
      <w:r>
        <w:rPr>
          <w:color w:val="auto"/>
          <w:highlight w:val="none"/>
        </w:rPr>
        <w:tab/>
      </w:r>
      <w:r>
        <w:rPr>
          <w:color w:val="auto"/>
          <w:highlight w:val="none"/>
        </w:rPr>
        <w:fldChar w:fldCharType="begin"/>
      </w:r>
      <w:r>
        <w:rPr>
          <w:color w:val="auto"/>
          <w:highlight w:val="none"/>
        </w:rPr>
        <w:instrText xml:space="preserve"> PAGEREF _Toc21384 \h </w:instrText>
      </w:r>
      <w:r>
        <w:rPr>
          <w:color w:val="auto"/>
          <w:highlight w:val="none"/>
        </w:rPr>
        <w:fldChar w:fldCharType="separate"/>
      </w:r>
      <w:r>
        <w:rPr>
          <w:color w:val="auto"/>
          <w:highlight w:val="none"/>
        </w:rPr>
        <w:t>8</w:t>
      </w:r>
      <w:r>
        <w:rPr>
          <w:color w:val="auto"/>
          <w:highlight w:val="none"/>
        </w:rPr>
        <w:fldChar w:fldCharType="end"/>
      </w:r>
      <w:r>
        <w:rPr>
          <w:rFonts w:ascii="宋体" w:hAnsi="宋体" w:eastAsia="宋体" w:cs="宋体"/>
          <w:bCs/>
          <w:color w:val="auto"/>
          <w:szCs w:val="21"/>
          <w:highlight w:val="none"/>
        </w:rPr>
        <w:fldChar w:fldCharType="end"/>
      </w:r>
    </w:p>
    <w:p w14:paraId="022EE158">
      <w:pPr>
        <w:pStyle w:val="30"/>
        <w:tabs>
          <w:tab w:val="right" w:leader="dot" w:pos="9346"/>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_Toc26584 </w:instrText>
      </w:r>
      <w:r>
        <w:rPr>
          <w:rFonts w:ascii="宋体" w:hAnsi="宋体" w:eastAsia="宋体" w:cs="宋体"/>
          <w:bCs/>
          <w:color w:val="auto"/>
          <w:szCs w:val="21"/>
          <w:highlight w:val="none"/>
        </w:rPr>
        <w:fldChar w:fldCharType="separate"/>
      </w:r>
      <w:r>
        <w:rPr>
          <w:rFonts w:hint="eastAsia" w:ascii="宋体" w:hAnsi="宋体" w:eastAsia="宋体" w:cs="宋体"/>
          <w:bCs/>
          <w:color w:val="auto"/>
          <w:kern w:val="44"/>
          <w:szCs w:val="21"/>
          <w:highlight w:val="none"/>
          <w:lang w:val="zh-CN"/>
        </w:rPr>
        <w:t>一、总则</w:t>
      </w:r>
      <w:r>
        <w:rPr>
          <w:color w:val="auto"/>
          <w:highlight w:val="none"/>
        </w:rPr>
        <w:tab/>
      </w:r>
      <w:r>
        <w:rPr>
          <w:color w:val="auto"/>
          <w:highlight w:val="none"/>
        </w:rPr>
        <w:fldChar w:fldCharType="begin"/>
      </w:r>
      <w:r>
        <w:rPr>
          <w:color w:val="auto"/>
          <w:highlight w:val="none"/>
        </w:rPr>
        <w:instrText xml:space="preserve"> PAGEREF _Toc26584 \h </w:instrText>
      </w:r>
      <w:r>
        <w:rPr>
          <w:color w:val="auto"/>
          <w:highlight w:val="none"/>
        </w:rPr>
        <w:fldChar w:fldCharType="separate"/>
      </w:r>
      <w:r>
        <w:rPr>
          <w:color w:val="auto"/>
          <w:highlight w:val="none"/>
        </w:rPr>
        <w:t>8</w:t>
      </w:r>
      <w:r>
        <w:rPr>
          <w:color w:val="auto"/>
          <w:highlight w:val="none"/>
        </w:rPr>
        <w:fldChar w:fldCharType="end"/>
      </w:r>
      <w:r>
        <w:rPr>
          <w:rFonts w:ascii="宋体" w:hAnsi="宋体" w:eastAsia="宋体" w:cs="宋体"/>
          <w:bCs/>
          <w:color w:val="auto"/>
          <w:szCs w:val="21"/>
          <w:highlight w:val="none"/>
        </w:rPr>
        <w:fldChar w:fldCharType="end"/>
      </w:r>
    </w:p>
    <w:p w14:paraId="3BD75D91">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_Toc20001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1</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资金来源：企业自筹资金。</w:t>
      </w:r>
      <w:r>
        <w:rPr>
          <w:color w:val="auto"/>
          <w:highlight w:val="none"/>
        </w:rPr>
        <w:tab/>
      </w:r>
      <w:r>
        <w:rPr>
          <w:color w:val="auto"/>
          <w:highlight w:val="none"/>
        </w:rPr>
        <w:fldChar w:fldCharType="begin"/>
      </w:r>
      <w:r>
        <w:rPr>
          <w:color w:val="auto"/>
          <w:highlight w:val="none"/>
        </w:rPr>
        <w:instrText xml:space="preserve"> PAGEREF _Toc20001 \h </w:instrText>
      </w:r>
      <w:r>
        <w:rPr>
          <w:color w:val="auto"/>
          <w:highlight w:val="none"/>
        </w:rPr>
        <w:fldChar w:fldCharType="separate"/>
      </w:r>
      <w:r>
        <w:rPr>
          <w:color w:val="auto"/>
          <w:highlight w:val="none"/>
        </w:rPr>
        <w:t>8</w:t>
      </w:r>
      <w:r>
        <w:rPr>
          <w:color w:val="auto"/>
          <w:highlight w:val="none"/>
        </w:rPr>
        <w:fldChar w:fldCharType="end"/>
      </w:r>
      <w:r>
        <w:rPr>
          <w:rFonts w:ascii="宋体" w:hAnsi="宋体" w:eastAsia="宋体" w:cs="宋体"/>
          <w:bCs/>
          <w:color w:val="auto"/>
          <w:szCs w:val="21"/>
          <w:highlight w:val="none"/>
        </w:rPr>
        <w:fldChar w:fldCharType="end"/>
      </w:r>
    </w:p>
    <w:p w14:paraId="141F0C29">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_Toc9225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2</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合格的投标人</w:t>
      </w:r>
      <w:r>
        <w:rPr>
          <w:color w:val="auto"/>
          <w:highlight w:val="none"/>
        </w:rPr>
        <w:tab/>
      </w:r>
      <w:r>
        <w:rPr>
          <w:color w:val="auto"/>
          <w:highlight w:val="none"/>
        </w:rPr>
        <w:fldChar w:fldCharType="begin"/>
      </w:r>
      <w:r>
        <w:rPr>
          <w:color w:val="auto"/>
          <w:highlight w:val="none"/>
        </w:rPr>
        <w:instrText xml:space="preserve"> PAGEREF _Toc9225 \h </w:instrText>
      </w:r>
      <w:r>
        <w:rPr>
          <w:color w:val="auto"/>
          <w:highlight w:val="none"/>
        </w:rPr>
        <w:fldChar w:fldCharType="separate"/>
      </w:r>
      <w:r>
        <w:rPr>
          <w:color w:val="auto"/>
          <w:highlight w:val="none"/>
        </w:rPr>
        <w:t>8</w:t>
      </w:r>
      <w:r>
        <w:rPr>
          <w:color w:val="auto"/>
          <w:highlight w:val="none"/>
        </w:rPr>
        <w:fldChar w:fldCharType="end"/>
      </w:r>
      <w:r>
        <w:rPr>
          <w:rFonts w:ascii="宋体" w:hAnsi="宋体" w:eastAsia="宋体" w:cs="宋体"/>
          <w:bCs/>
          <w:color w:val="auto"/>
          <w:szCs w:val="21"/>
          <w:highlight w:val="none"/>
        </w:rPr>
        <w:fldChar w:fldCharType="end"/>
      </w:r>
    </w:p>
    <w:p w14:paraId="5D9054E6">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_Toc28856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3</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合格的货物</w:t>
      </w:r>
      <w:r>
        <w:rPr>
          <w:color w:val="auto"/>
          <w:highlight w:val="none"/>
        </w:rPr>
        <w:tab/>
      </w:r>
      <w:r>
        <w:rPr>
          <w:color w:val="auto"/>
          <w:highlight w:val="none"/>
        </w:rPr>
        <w:fldChar w:fldCharType="begin"/>
      </w:r>
      <w:r>
        <w:rPr>
          <w:color w:val="auto"/>
          <w:highlight w:val="none"/>
        </w:rPr>
        <w:instrText xml:space="preserve"> PAGEREF _Toc28856 \h </w:instrText>
      </w:r>
      <w:r>
        <w:rPr>
          <w:color w:val="auto"/>
          <w:highlight w:val="none"/>
        </w:rPr>
        <w:fldChar w:fldCharType="separate"/>
      </w:r>
      <w:r>
        <w:rPr>
          <w:color w:val="auto"/>
          <w:highlight w:val="none"/>
        </w:rPr>
        <w:t>8</w:t>
      </w:r>
      <w:r>
        <w:rPr>
          <w:color w:val="auto"/>
          <w:highlight w:val="none"/>
        </w:rPr>
        <w:fldChar w:fldCharType="end"/>
      </w:r>
      <w:r>
        <w:rPr>
          <w:rFonts w:ascii="宋体" w:hAnsi="宋体" w:eastAsia="宋体" w:cs="宋体"/>
          <w:bCs/>
          <w:color w:val="auto"/>
          <w:szCs w:val="21"/>
          <w:highlight w:val="none"/>
        </w:rPr>
        <w:fldChar w:fldCharType="end"/>
      </w:r>
    </w:p>
    <w:p w14:paraId="4CF252EF">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_Toc9570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4</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其它说明</w:t>
      </w:r>
      <w:r>
        <w:rPr>
          <w:color w:val="auto"/>
          <w:highlight w:val="none"/>
        </w:rPr>
        <w:tab/>
      </w:r>
      <w:r>
        <w:rPr>
          <w:color w:val="auto"/>
          <w:highlight w:val="none"/>
        </w:rPr>
        <w:fldChar w:fldCharType="begin"/>
      </w:r>
      <w:r>
        <w:rPr>
          <w:color w:val="auto"/>
          <w:highlight w:val="none"/>
        </w:rPr>
        <w:instrText xml:space="preserve"> PAGEREF _Toc9570 \h </w:instrText>
      </w:r>
      <w:r>
        <w:rPr>
          <w:color w:val="auto"/>
          <w:highlight w:val="none"/>
        </w:rPr>
        <w:fldChar w:fldCharType="separate"/>
      </w:r>
      <w:r>
        <w:rPr>
          <w:color w:val="auto"/>
          <w:highlight w:val="none"/>
        </w:rPr>
        <w:t>9</w:t>
      </w:r>
      <w:r>
        <w:rPr>
          <w:color w:val="auto"/>
          <w:highlight w:val="none"/>
        </w:rPr>
        <w:fldChar w:fldCharType="end"/>
      </w:r>
      <w:r>
        <w:rPr>
          <w:rFonts w:ascii="宋体" w:hAnsi="宋体" w:eastAsia="宋体" w:cs="宋体"/>
          <w:bCs/>
          <w:color w:val="auto"/>
          <w:szCs w:val="21"/>
          <w:highlight w:val="none"/>
        </w:rPr>
        <w:fldChar w:fldCharType="end"/>
      </w:r>
    </w:p>
    <w:p w14:paraId="7B9492E1">
      <w:pPr>
        <w:pStyle w:val="30"/>
        <w:tabs>
          <w:tab w:val="right" w:leader="dot" w:pos="9346"/>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_Toc25972 </w:instrText>
      </w:r>
      <w:r>
        <w:rPr>
          <w:rFonts w:ascii="宋体" w:hAnsi="宋体" w:eastAsia="宋体" w:cs="宋体"/>
          <w:bCs/>
          <w:color w:val="auto"/>
          <w:szCs w:val="21"/>
          <w:highlight w:val="none"/>
        </w:rPr>
        <w:fldChar w:fldCharType="separate"/>
      </w:r>
      <w:r>
        <w:rPr>
          <w:rFonts w:hint="eastAsia" w:ascii="宋体" w:hAnsi="宋体" w:eastAsia="宋体" w:cs="宋体"/>
          <w:bCs/>
          <w:color w:val="auto"/>
          <w:kern w:val="44"/>
          <w:szCs w:val="21"/>
          <w:highlight w:val="none"/>
          <w:lang w:val="zh-CN"/>
        </w:rPr>
        <w:t>二、招标文件</w:t>
      </w:r>
      <w:r>
        <w:rPr>
          <w:color w:val="auto"/>
          <w:highlight w:val="none"/>
        </w:rPr>
        <w:tab/>
      </w:r>
      <w:r>
        <w:rPr>
          <w:color w:val="auto"/>
          <w:highlight w:val="none"/>
        </w:rPr>
        <w:fldChar w:fldCharType="begin"/>
      </w:r>
      <w:r>
        <w:rPr>
          <w:color w:val="auto"/>
          <w:highlight w:val="none"/>
        </w:rPr>
        <w:instrText xml:space="preserve"> PAGEREF _Toc25972 \h </w:instrText>
      </w:r>
      <w:r>
        <w:rPr>
          <w:color w:val="auto"/>
          <w:highlight w:val="none"/>
        </w:rPr>
        <w:fldChar w:fldCharType="separate"/>
      </w:r>
      <w:r>
        <w:rPr>
          <w:color w:val="auto"/>
          <w:highlight w:val="none"/>
        </w:rPr>
        <w:t>10</w:t>
      </w:r>
      <w:r>
        <w:rPr>
          <w:color w:val="auto"/>
          <w:highlight w:val="none"/>
        </w:rPr>
        <w:fldChar w:fldCharType="end"/>
      </w:r>
      <w:r>
        <w:rPr>
          <w:rFonts w:ascii="宋体" w:hAnsi="宋体" w:eastAsia="宋体" w:cs="宋体"/>
          <w:bCs/>
          <w:color w:val="auto"/>
          <w:szCs w:val="21"/>
          <w:highlight w:val="none"/>
        </w:rPr>
        <w:fldChar w:fldCharType="end"/>
      </w:r>
    </w:p>
    <w:p w14:paraId="0C27EDCC">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_Toc16514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5</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招标文件的构成</w:t>
      </w:r>
      <w:r>
        <w:rPr>
          <w:color w:val="auto"/>
          <w:highlight w:val="none"/>
        </w:rPr>
        <w:tab/>
      </w:r>
      <w:r>
        <w:rPr>
          <w:color w:val="auto"/>
          <w:highlight w:val="none"/>
        </w:rPr>
        <w:fldChar w:fldCharType="begin"/>
      </w:r>
      <w:r>
        <w:rPr>
          <w:color w:val="auto"/>
          <w:highlight w:val="none"/>
        </w:rPr>
        <w:instrText xml:space="preserve"> PAGEREF _Toc16514 \h </w:instrText>
      </w:r>
      <w:r>
        <w:rPr>
          <w:color w:val="auto"/>
          <w:highlight w:val="none"/>
        </w:rPr>
        <w:fldChar w:fldCharType="separate"/>
      </w:r>
      <w:r>
        <w:rPr>
          <w:color w:val="auto"/>
          <w:highlight w:val="none"/>
        </w:rPr>
        <w:t>10</w:t>
      </w:r>
      <w:r>
        <w:rPr>
          <w:color w:val="auto"/>
          <w:highlight w:val="none"/>
        </w:rPr>
        <w:fldChar w:fldCharType="end"/>
      </w:r>
      <w:r>
        <w:rPr>
          <w:rFonts w:ascii="宋体" w:hAnsi="宋体" w:eastAsia="宋体" w:cs="宋体"/>
          <w:bCs/>
          <w:color w:val="auto"/>
          <w:szCs w:val="21"/>
          <w:highlight w:val="none"/>
        </w:rPr>
        <w:fldChar w:fldCharType="end"/>
      </w:r>
    </w:p>
    <w:p w14:paraId="7430DF85">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_Toc32057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6</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招标文件的异议</w:t>
      </w:r>
      <w:r>
        <w:rPr>
          <w:color w:val="auto"/>
          <w:highlight w:val="none"/>
        </w:rPr>
        <w:tab/>
      </w:r>
      <w:r>
        <w:rPr>
          <w:color w:val="auto"/>
          <w:highlight w:val="none"/>
        </w:rPr>
        <w:fldChar w:fldCharType="begin"/>
      </w:r>
      <w:r>
        <w:rPr>
          <w:color w:val="auto"/>
          <w:highlight w:val="none"/>
        </w:rPr>
        <w:instrText xml:space="preserve"> PAGEREF _Toc32057 \h </w:instrText>
      </w:r>
      <w:r>
        <w:rPr>
          <w:color w:val="auto"/>
          <w:highlight w:val="none"/>
        </w:rPr>
        <w:fldChar w:fldCharType="separate"/>
      </w:r>
      <w:r>
        <w:rPr>
          <w:color w:val="auto"/>
          <w:highlight w:val="none"/>
        </w:rPr>
        <w:t>11</w:t>
      </w:r>
      <w:r>
        <w:rPr>
          <w:color w:val="auto"/>
          <w:highlight w:val="none"/>
        </w:rPr>
        <w:fldChar w:fldCharType="end"/>
      </w:r>
      <w:r>
        <w:rPr>
          <w:rFonts w:ascii="宋体" w:hAnsi="宋体" w:eastAsia="宋体" w:cs="宋体"/>
          <w:bCs/>
          <w:color w:val="auto"/>
          <w:szCs w:val="21"/>
          <w:highlight w:val="none"/>
        </w:rPr>
        <w:fldChar w:fldCharType="end"/>
      </w:r>
    </w:p>
    <w:p w14:paraId="6E134A1E">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_Toc15962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7</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招标文件的澄清及修改</w:t>
      </w:r>
      <w:r>
        <w:rPr>
          <w:color w:val="auto"/>
          <w:highlight w:val="none"/>
        </w:rPr>
        <w:tab/>
      </w:r>
      <w:r>
        <w:rPr>
          <w:color w:val="auto"/>
          <w:highlight w:val="none"/>
        </w:rPr>
        <w:fldChar w:fldCharType="begin"/>
      </w:r>
      <w:r>
        <w:rPr>
          <w:color w:val="auto"/>
          <w:highlight w:val="none"/>
        </w:rPr>
        <w:instrText xml:space="preserve"> PAGEREF _Toc15962 \h </w:instrText>
      </w:r>
      <w:r>
        <w:rPr>
          <w:color w:val="auto"/>
          <w:highlight w:val="none"/>
        </w:rPr>
        <w:fldChar w:fldCharType="separate"/>
      </w:r>
      <w:r>
        <w:rPr>
          <w:color w:val="auto"/>
          <w:highlight w:val="none"/>
        </w:rPr>
        <w:t>11</w:t>
      </w:r>
      <w:r>
        <w:rPr>
          <w:color w:val="auto"/>
          <w:highlight w:val="none"/>
        </w:rPr>
        <w:fldChar w:fldCharType="end"/>
      </w:r>
      <w:r>
        <w:rPr>
          <w:rFonts w:ascii="宋体" w:hAnsi="宋体" w:eastAsia="宋体" w:cs="宋体"/>
          <w:bCs/>
          <w:color w:val="auto"/>
          <w:szCs w:val="21"/>
          <w:highlight w:val="none"/>
        </w:rPr>
        <w:fldChar w:fldCharType="end"/>
      </w:r>
    </w:p>
    <w:p w14:paraId="7E933238">
      <w:pPr>
        <w:pStyle w:val="30"/>
        <w:tabs>
          <w:tab w:val="right" w:leader="dot" w:pos="9346"/>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_Toc12888 </w:instrText>
      </w:r>
      <w:r>
        <w:rPr>
          <w:rFonts w:ascii="宋体" w:hAnsi="宋体" w:eastAsia="宋体" w:cs="宋体"/>
          <w:bCs/>
          <w:color w:val="auto"/>
          <w:szCs w:val="21"/>
          <w:highlight w:val="none"/>
        </w:rPr>
        <w:fldChar w:fldCharType="separate"/>
      </w:r>
      <w:r>
        <w:rPr>
          <w:rFonts w:hint="eastAsia" w:ascii="宋体" w:hAnsi="宋体" w:eastAsia="宋体" w:cs="宋体"/>
          <w:bCs/>
          <w:color w:val="auto"/>
          <w:kern w:val="44"/>
          <w:szCs w:val="21"/>
          <w:highlight w:val="none"/>
          <w:lang w:val="zh-CN"/>
        </w:rPr>
        <w:t>三、投标文件的编制</w:t>
      </w:r>
      <w:r>
        <w:rPr>
          <w:color w:val="auto"/>
          <w:highlight w:val="none"/>
        </w:rPr>
        <w:tab/>
      </w:r>
      <w:r>
        <w:rPr>
          <w:color w:val="auto"/>
          <w:highlight w:val="none"/>
        </w:rPr>
        <w:fldChar w:fldCharType="begin"/>
      </w:r>
      <w:r>
        <w:rPr>
          <w:color w:val="auto"/>
          <w:highlight w:val="none"/>
        </w:rPr>
        <w:instrText xml:space="preserve"> PAGEREF _Toc12888 \h </w:instrText>
      </w:r>
      <w:r>
        <w:rPr>
          <w:color w:val="auto"/>
          <w:highlight w:val="none"/>
        </w:rPr>
        <w:fldChar w:fldCharType="separate"/>
      </w:r>
      <w:r>
        <w:rPr>
          <w:color w:val="auto"/>
          <w:highlight w:val="none"/>
        </w:rPr>
        <w:t>11</w:t>
      </w:r>
      <w:r>
        <w:rPr>
          <w:color w:val="auto"/>
          <w:highlight w:val="none"/>
        </w:rPr>
        <w:fldChar w:fldCharType="end"/>
      </w:r>
      <w:r>
        <w:rPr>
          <w:rFonts w:ascii="宋体" w:hAnsi="宋体" w:eastAsia="宋体" w:cs="宋体"/>
          <w:bCs/>
          <w:color w:val="auto"/>
          <w:szCs w:val="21"/>
          <w:highlight w:val="none"/>
        </w:rPr>
        <w:fldChar w:fldCharType="end"/>
      </w:r>
    </w:p>
    <w:p w14:paraId="4D6DB2C3">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_Toc6318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8</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投标使用的文字及度量衡单位</w:t>
      </w:r>
      <w:r>
        <w:rPr>
          <w:color w:val="auto"/>
          <w:highlight w:val="none"/>
        </w:rPr>
        <w:tab/>
      </w:r>
      <w:r>
        <w:rPr>
          <w:color w:val="auto"/>
          <w:highlight w:val="none"/>
        </w:rPr>
        <w:fldChar w:fldCharType="begin"/>
      </w:r>
      <w:r>
        <w:rPr>
          <w:color w:val="auto"/>
          <w:highlight w:val="none"/>
        </w:rPr>
        <w:instrText xml:space="preserve"> PAGEREF _Toc6318 \h </w:instrText>
      </w:r>
      <w:r>
        <w:rPr>
          <w:color w:val="auto"/>
          <w:highlight w:val="none"/>
        </w:rPr>
        <w:fldChar w:fldCharType="separate"/>
      </w:r>
      <w:r>
        <w:rPr>
          <w:color w:val="auto"/>
          <w:highlight w:val="none"/>
        </w:rPr>
        <w:t>11</w:t>
      </w:r>
      <w:r>
        <w:rPr>
          <w:color w:val="auto"/>
          <w:highlight w:val="none"/>
        </w:rPr>
        <w:fldChar w:fldCharType="end"/>
      </w:r>
      <w:r>
        <w:rPr>
          <w:rFonts w:ascii="宋体" w:hAnsi="宋体" w:eastAsia="宋体" w:cs="宋体"/>
          <w:bCs/>
          <w:color w:val="auto"/>
          <w:szCs w:val="21"/>
          <w:highlight w:val="none"/>
        </w:rPr>
        <w:fldChar w:fldCharType="end"/>
      </w:r>
    </w:p>
    <w:p w14:paraId="11E26605">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_Toc9575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9</w:t>
      </w:r>
      <w:r>
        <w:rPr>
          <w:rFonts w:ascii="宋体" w:hAnsi="宋体" w:eastAsia="宋体" w:cs="宋体"/>
          <w:color w:val="auto"/>
          <w:szCs w:val="24"/>
          <w:highlight w:val="none"/>
          <w:lang w:val="zh-CN"/>
        </w:rPr>
        <w:t xml:space="preserve"> </w:t>
      </w:r>
      <w:r>
        <w:rPr>
          <w:rFonts w:hint="eastAsia" w:ascii="宋体" w:hAnsi="宋体" w:eastAsia="宋体" w:cs="宋体"/>
          <w:color w:val="auto"/>
          <w:szCs w:val="21"/>
          <w:highlight w:val="none"/>
          <w:lang w:val="zh-CN"/>
        </w:rPr>
        <w:t>投标文件的组成</w:t>
      </w:r>
      <w:r>
        <w:rPr>
          <w:color w:val="auto"/>
          <w:highlight w:val="none"/>
        </w:rPr>
        <w:tab/>
      </w:r>
      <w:r>
        <w:rPr>
          <w:color w:val="auto"/>
          <w:highlight w:val="none"/>
        </w:rPr>
        <w:fldChar w:fldCharType="begin"/>
      </w:r>
      <w:r>
        <w:rPr>
          <w:color w:val="auto"/>
          <w:highlight w:val="none"/>
        </w:rPr>
        <w:instrText xml:space="preserve"> PAGEREF _Toc9575 \h </w:instrText>
      </w:r>
      <w:r>
        <w:rPr>
          <w:color w:val="auto"/>
          <w:highlight w:val="none"/>
        </w:rPr>
        <w:fldChar w:fldCharType="separate"/>
      </w:r>
      <w:r>
        <w:rPr>
          <w:color w:val="auto"/>
          <w:highlight w:val="none"/>
        </w:rPr>
        <w:t>11</w:t>
      </w:r>
      <w:r>
        <w:rPr>
          <w:color w:val="auto"/>
          <w:highlight w:val="none"/>
        </w:rPr>
        <w:fldChar w:fldCharType="end"/>
      </w:r>
      <w:r>
        <w:rPr>
          <w:rFonts w:ascii="宋体" w:hAnsi="宋体" w:eastAsia="宋体" w:cs="宋体"/>
          <w:bCs/>
          <w:color w:val="auto"/>
          <w:szCs w:val="21"/>
          <w:highlight w:val="none"/>
        </w:rPr>
        <w:fldChar w:fldCharType="end"/>
      </w:r>
    </w:p>
    <w:p w14:paraId="7589AD4E">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_Toc27646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10</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投标函</w:t>
      </w:r>
      <w:r>
        <w:rPr>
          <w:color w:val="auto"/>
          <w:highlight w:val="none"/>
        </w:rPr>
        <w:tab/>
      </w:r>
      <w:r>
        <w:rPr>
          <w:color w:val="auto"/>
          <w:highlight w:val="none"/>
        </w:rPr>
        <w:fldChar w:fldCharType="begin"/>
      </w:r>
      <w:r>
        <w:rPr>
          <w:color w:val="auto"/>
          <w:highlight w:val="none"/>
        </w:rPr>
        <w:instrText xml:space="preserve"> PAGEREF _Toc27646 \h </w:instrText>
      </w:r>
      <w:r>
        <w:rPr>
          <w:color w:val="auto"/>
          <w:highlight w:val="none"/>
        </w:rPr>
        <w:fldChar w:fldCharType="separate"/>
      </w:r>
      <w:r>
        <w:rPr>
          <w:color w:val="auto"/>
          <w:highlight w:val="none"/>
        </w:rPr>
        <w:t>13</w:t>
      </w:r>
      <w:r>
        <w:rPr>
          <w:color w:val="auto"/>
          <w:highlight w:val="none"/>
        </w:rPr>
        <w:fldChar w:fldCharType="end"/>
      </w:r>
      <w:r>
        <w:rPr>
          <w:rFonts w:ascii="宋体" w:hAnsi="宋体" w:eastAsia="宋体" w:cs="宋体"/>
          <w:bCs/>
          <w:color w:val="auto"/>
          <w:szCs w:val="21"/>
          <w:highlight w:val="none"/>
        </w:rPr>
        <w:fldChar w:fldCharType="end"/>
      </w:r>
    </w:p>
    <w:p w14:paraId="5CD9EE3F">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_Toc3621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11</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投标报价</w:t>
      </w:r>
      <w:r>
        <w:rPr>
          <w:color w:val="auto"/>
          <w:highlight w:val="none"/>
        </w:rPr>
        <w:tab/>
      </w:r>
      <w:r>
        <w:rPr>
          <w:color w:val="auto"/>
          <w:highlight w:val="none"/>
        </w:rPr>
        <w:fldChar w:fldCharType="begin"/>
      </w:r>
      <w:r>
        <w:rPr>
          <w:color w:val="auto"/>
          <w:highlight w:val="none"/>
        </w:rPr>
        <w:instrText xml:space="preserve"> PAGEREF _Toc3621 \h </w:instrText>
      </w:r>
      <w:r>
        <w:rPr>
          <w:color w:val="auto"/>
          <w:highlight w:val="none"/>
        </w:rPr>
        <w:fldChar w:fldCharType="separate"/>
      </w:r>
      <w:r>
        <w:rPr>
          <w:color w:val="auto"/>
          <w:highlight w:val="none"/>
        </w:rPr>
        <w:t>13</w:t>
      </w:r>
      <w:r>
        <w:rPr>
          <w:color w:val="auto"/>
          <w:highlight w:val="none"/>
        </w:rPr>
        <w:fldChar w:fldCharType="end"/>
      </w:r>
      <w:r>
        <w:rPr>
          <w:rFonts w:ascii="宋体" w:hAnsi="宋体" w:eastAsia="宋体" w:cs="宋体"/>
          <w:bCs/>
          <w:color w:val="auto"/>
          <w:szCs w:val="21"/>
          <w:highlight w:val="none"/>
        </w:rPr>
        <w:fldChar w:fldCharType="end"/>
      </w:r>
    </w:p>
    <w:p w14:paraId="4844534F">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_Toc20827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12</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投标报价货币</w:t>
      </w:r>
      <w:r>
        <w:rPr>
          <w:color w:val="auto"/>
          <w:highlight w:val="none"/>
        </w:rPr>
        <w:tab/>
      </w:r>
      <w:r>
        <w:rPr>
          <w:color w:val="auto"/>
          <w:highlight w:val="none"/>
        </w:rPr>
        <w:fldChar w:fldCharType="begin"/>
      </w:r>
      <w:r>
        <w:rPr>
          <w:color w:val="auto"/>
          <w:highlight w:val="none"/>
        </w:rPr>
        <w:instrText xml:space="preserve"> PAGEREF _Toc20827 \h </w:instrText>
      </w:r>
      <w:r>
        <w:rPr>
          <w:color w:val="auto"/>
          <w:highlight w:val="none"/>
        </w:rPr>
        <w:fldChar w:fldCharType="separate"/>
      </w:r>
      <w:r>
        <w:rPr>
          <w:color w:val="auto"/>
          <w:highlight w:val="none"/>
        </w:rPr>
        <w:t>14</w:t>
      </w:r>
      <w:r>
        <w:rPr>
          <w:color w:val="auto"/>
          <w:highlight w:val="none"/>
        </w:rPr>
        <w:fldChar w:fldCharType="end"/>
      </w:r>
      <w:r>
        <w:rPr>
          <w:rFonts w:ascii="宋体" w:hAnsi="宋体" w:eastAsia="宋体" w:cs="宋体"/>
          <w:bCs/>
          <w:color w:val="auto"/>
          <w:szCs w:val="21"/>
          <w:highlight w:val="none"/>
        </w:rPr>
        <w:fldChar w:fldCharType="end"/>
      </w:r>
    </w:p>
    <w:p w14:paraId="49950101">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_Toc10342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13</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证明投标人的合格性和资格的声明文件</w:t>
      </w:r>
      <w:r>
        <w:rPr>
          <w:color w:val="auto"/>
          <w:highlight w:val="none"/>
        </w:rPr>
        <w:tab/>
      </w:r>
      <w:r>
        <w:rPr>
          <w:color w:val="auto"/>
          <w:highlight w:val="none"/>
        </w:rPr>
        <w:fldChar w:fldCharType="begin"/>
      </w:r>
      <w:r>
        <w:rPr>
          <w:color w:val="auto"/>
          <w:highlight w:val="none"/>
        </w:rPr>
        <w:instrText xml:space="preserve"> PAGEREF _Toc10342 \h </w:instrText>
      </w:r>
      <w:r>
        <w:rPr>
          <w:color w:val="auto"/>
          <w:highlight w:val="none"/>
        </w:rPr>
        <w:fldChar w:fldCharType="separate"/>
      </w:r>
      <w:r>
        <w:rPr>
          <w:color w:val="auto"/>
          <w:highlight w:val="none"/>
        </w:rPr>
        <w:t>14</w:t>
      </w:r>
      <w:r>
        <w:rPr>
          <w:color w:val="auto"/>
          <w:highlight w:val="none"/>
        </w:rPr>
        <w:fldChar w:fldCharType="end"/>
      </w:r>
      <w:r>
        <w:rPr>
          <w:rFonts w:ascii="宋体" w:hAnsi="宋体" w:eastAsia="宋体" w:cs="宋体"/>
          <w:bCs/>
          <w:color w:val="auto"/>
          <w:szCs w:val="21"/>
          <w:highlight w:val="none"/>
        </w:rPr>
        <w:fldChar w:fldCharType="end"/>
      </w:r>
    </w:p>
    <w:p w14:paraId="39CE8DDB">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_Toc10286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14</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证明货物的合格性并符合招标文件规定的声明文件</w:t>
      </w:r>
      <w:r>
        <w:rPr>
          <w:color w:val="auto"/>
          <w:highlight w:val="none"/>
        </w:rPr>
        <w:tab/>
      </w:r>
      <w:r>
        <w:rPr>
          <w:color w:val="auto"/>
          <w:highlight w:val="none"/>
        </w:rPr>
        <w:fldChar w:fldCharType="begin"/>
      </w:r>
      <w:r>
        <w:rPr>
          <w:color w:val="auto"/>
          <w:highlight w:val="none"/>
        </w:rPr>
        <w:instrText xml:space="preserve"> PAGEREF _Toc10286 \h </w:instrText>
      </w:r>
      <w:r>
        <w:rPr>
          <w:color w:val="auto"/>
          <w:highlight w:val="none"/>
        </w:rPr>
        <w:fldChar w:fldCharType="separate"/>
      </w:r>
      <w:r>
        <w:rPr>
          <w:color w:val="auto"/>
          <w:highlight w:val="none"/>
        </w:rPr>
        <w:t>14</w:t>
      </w:r>
      <w:r>
        <w:rPr>
          <w:color w:val="auto"/>
          <w:highlight w:val="none"/>
        </w:rPr>
        <w:fldChar w:fldCharType="end"/>
      </w:r>
      <w:r>
        <w:rPr>
          <w:rFonts w:ascii="宋体" w:hAnsi="宋体" w:eastAsia="宋体" w:cs="宋体"/>
          <w:bCs/>
          <w:color w:val="auto"/>
          <w:szCs w:val="21"/>
          <w:highlight w:val="none"/>
        </w:rPr>
        <w:fldChar w:fldCharType="end"/>
      </w:r>
    </w:p>
    <w:p w14:paraId="1787CC39">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_Toc9548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15</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投标保证金</w:t>
      </w:r>
      <w:r>
        <w:rPr>
          <w:color w:val="auto"/>
          <w:highlight w:val="none"/>
        </w:rPr>
        <w:tab/>
      </w:r>
      <w:r>
        <w:rPr>
          <w:color w:val="auto"/>
          <w:highlight w:val="none"/>
        </w:rPr>
        <w:fldChar w:fldCharType="begin"/>
      </w:r>
      <w:r>
        <w:rPr>
          <w:color w:val="auto"/>
          <w:highlight w:val="none"/>
        </w:rPr>
        <w:instrText xml:space="preserve"> PAGEREF _Toc9548 \h </w:instrText>
      </w:r>
      <w:r>
        <w:rPr>
          <w:color w:val="auto"/>
          <w:highlight w:val="none"/>
        </w:rPr>
        <w:fldChar w:fldCharType="separate"/>
      </w:r>
      <w:r>
        <w:rPr>
          <w:color w:val="auto"/>
          <w:highlight w:val="none"/>
        </w:rPr>
        <w:t>15</w:t>
      </w:r>
      <w:r>
        <w:rPr>
          <w:color w:val="auto"/>
          <w:highlight w:val="none"/>
        </w:rPr>
        <w:fldChar w:fldCharType="end"/>
      </w:r>
      <w:r>
        <w:rPr>
          <w:rFonts w:ascii="宋体" w:hAnsi="宋体" w:eastAsia="宋体" w:cs="宋体"/>
          <w:bCs/>
          <w:color w:val="auto"/>
          <w:szCs w:val="21"/>
          <w:highlight w:val="none"/>
        </w:rPr>
        <w:fldChar w:fldCharType="end"/>
      </w:r>
    </w:p>
    <w:p w14:paraId="675F7BB6">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_Toc22274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16</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投标有效期</w:t>
      </w:r>
      <w:r>
        <w:rPr>
          <w:color w:val="auto"/>
          <w:highlight w:val="none"/>
        </w:rPr>
        <w:tab/>
      </w:r>
      <w:r>
        <w:rPr>
          <w:color w:val="auto"/>
          <w:highlight w:val="none"/>
        </w:rPr>
        <w:fldChar w:fldCharType="begin"/>
      </w:r>
      <w:r>
        <w:rPr>
          <w:color w:val="auto"/>
          <w:highlight w:val="none"/>
        </w:rPr>
        <w:instrText xml:space="preserve"> PAGEREF _Toc22274 \h </w:instrText>
      </w:r>
      <w:r>
        <w:rPr>
          <w:color w:val="auto"/>
          <w:highlight w:val="none"/>
        </w:rPr>
        <w:fldChar w:fldCharType="separate"/>
      </w:r>
      <w:r>
        <w:rPr>
          <w:color w:val="auto"/>
          <w:highlight w:val="none"/>
        </w:rPr>
        <w:t>16</w:t>
      </w:r>
      <w:r>
        <w:rPr>
          <w:color w:val="auto"/>
          <w:highlight w:val="none"/>
        </w:rPr>
        <w:fldChar w:fldCharType="end"/>
      </w:r>
      <w:r>
        <w:rPr>
          <w:rFonts w:ascii="宋体" w:hAnsi="宋体" w:eastAsia="宋体" w:cs="宋体"/>
          <w:bCs/>
          <w:color w:val="auto"/>
          <w:szCs w:val="21"/>
          <w:highlight w:val="none"/>
        </w:rPr>
        <w:fldChar w:fldCharType="end"/>
      </w:r>
    </w:p>
    <w:p w14:paraId="4B5B25F5">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_Toc11099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17</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投标文件的编制和签署</w:t>
      </w:r>
      <w:r>
        <w:rPr>
          <w:color w:val="auto"/>
          <w:highlight w:val="none"/>
        </w:rPr>
        <w:tab/>
      </w:r>
      <w:r>
        <w:rPr>
          <w:color w:val="auto"/>
          <w:highlight w:val="none"/>
        </w:rPr>
        <w:fldChar w:fldCharType="begin"/>
      </w:r>
      <w:r>
        <w:rPr>
          <w:color w:val="auto"/>
          <w:highlight w:val="none"/>
        </w:rPr>
        <w:instrText xml:space="preserve"> PAGEREF _Toc11099 \h </w:instrText>
      </w:r>
      <w:r>
        <w:rPr>
          <w:color w:val="auto"/>
          <w:highlight w:val="none"/>
        </w:rPr>
        <w:fldChar w:fldCharType="separate"/>
      </w:r>
      <w:r>
        <w:rPr>
          <w:color w:val="auto"/>
          <w:highlight w:val="none"/>
        </w:rPr>
        <w:t>17</w:t>
      </w:r>
      <w:r>
        <w:rPr>
          <w:color w:val="auto"/>
          <w:highlight w:val="none"/>
        </w:rPr>
        <w:fldChar w:fldCharType="end"/>
      </w:r>
      <w:r>
        <w:rPr>
          <w:rFonts w:ascii="宋体" w:hAnsi="宋体" w:eastAsia="宋体" w:cs="宋体"/>
          <w:bCs/>
          <w:color w:val="auto"/>
          <w:szCs w:val="21"/>
          <w:highlight w:val="none"/>
        </w:rPr>
        <w:fldChar w:fldCharType="end"/>
      </w:r>
    </w:p>
    <w:p w14:paraId="73BB1147">
      <w:pPr>
        <w:pStyle w:val="30"/>
        <w:tabs>
          <w:tab w:val="right" w:leader="dot" w:pos="9346"/>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_Toc974 </w:instrText>
      </w:r>
      <w:r>
        <w:rPr>
          <w:rFonts w:ascii="宋体" w:hAnsi="宋体" w:eastAsia="宋体" w:cs="宋体"/>
          <w:bCs/>
          <w:color w:val="auto"/>
          <w:szCs w:val="21"/>
          <w:highlight w:val="none"/>
        </w:rPr>
        <w:fldChar w:fldCharType="separate"/>
      </w:r>
      <w:r>
        <w:rPr>
          <w:rFonts w:hint="eastAsia" w:ascii="宋体" w:hAnsi="宋体" w:eastAsia="宋体" w:cs="宋体"/>
          <w:bCs/>
          <w:color w:val="auto"/>
          <w:kern w:val="44"/>
          <w:szCs w:val="21"/>
          <w:highlight w:val="none"/>
          <w:lang w:val="zh-CN"/>
        </w:rPr>
        <w:t>四、投标文件的递交</w:t>
      </w:r>
      <w:r>
        <w:rPr>
          <w:color w:val="auto"/>
          <w:highlight w:val="none"/>
        </w:rPr>
        <w:tab/>
      </w:r>
      <w:r>
        <w:rPr>
          <w:color w:val="auto"/>
          <w:highlight w:val="none"/>
        </w:rPr>
        <w:fldChar w:fldCharType="begin"/>
      </w:r>
      <w:r>
        <w:rPr>
          <w:color w:val="auto"/>
          <w:highlight w:val="none"/>
        </w:rPr>
        <w:instrText xml:space="preserve"> PAGEREF _Toc974 \h </w:instrText>
      </w:r>
      <w:r>
        <w:rPr>
          <w:color w:val="auto"/>
          <w:highlight w:val="none"/>
        </w:rPr>
        <w:fldChar w:fldCharType="separate"/>
      </w:r>
      <w:r>
        <w:rPr>
          <w:color w:val="auto"/>
          <w:highlight w:val="none"/>
        </w:rPr>
        <w:t>17</w:t>
      </w:r>
      <w:r>
        <w:rPr>
          <w:color w:val="auto"/>
          <w:highlight w:val="none"/>
        </w:rPr>
        <w:fldChar w:fldCharType="end"/>
      </w:r>
      <w:r>
        <w:rPr>
          <w:rFonts w:ascii="宋体" w:hAnsi="宋体" w:eastAsia="宋体" w:cs="宋体"/>
          <w:bCs/>
          <w:color w:val="auto"/>
          <w:szCs w:val="21"/>
          <w:highlight w:val="none"/>
        </w:rPr>
        <w:fldChar w:fldCharType="end"/>
      </w:r>
    </w:p>
    <w:p w14:paraId="406FF3F2">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_Toc1072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18</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投标文件的密封和标记</w:t>
      </w:r>
      <w:r>
        <w:rPr>
          <w:color w:val="auto"/>
          <w:highlight w:val="none"/>
        </w:rPr>
        <w:tab/>
      </w:r>
      <w:r>
        <w:rPr>
          <w:color w:val="auto"/>
          <w:highlight w:val="none"/>
        </w:rPr>
        <w:fldChar w:fldCharType="begin"/>
      </w:r>
      <w:r>
        <w:rPr>
          <w:color w:val="auto"/>
          <w:highlight w:val="none"/>
        </w:rPr>
        <w:instrText xml:space="preserve"> PAGEREF _Toc1072 \h </w:instrText>
      </w:r>
      <w:r>
        <w:rPr>
          <w:color w:val="auto"/>
          <w:highlight w:val="none"/>
        </w:rPr>
        <w:fldChar w:fldCharType="separate"/>
      </w:r>
      <w:r>
        <w:rPr>
          <w:color w:val="auto"/>
          <w:highlight w:val="none"/>
        </w:rPr>
        <w:t>17</w:t>
      </w:r>
      <w:r>
        <w:rPr>
          <w:color w:val="auto"/>
          <w:highlight w:val="none"/>
        </w:rPr>
        <w:fldChar w:fldCharType="end"/>
      </w:r>
      <w:r>
        <w:rPr>
          <w:rFonts w:ascii="宋体" w:hAnsi="宋体" w:eastAsia="宋体" w:cs="宋体"/>
          <w:bCs/>
          <w:color w:val="auto"/>
          <w:szCs w:val="21"/>
          <w:highlight w:val="none"/>
        </w:rPr>
        <w:fldChar w:fldCharType="end"/>
      </w:r>
    </w:p>
    <w:p w14:paraId="76234773">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_Toc1869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rPr>
        <w:t xml:space="preserve">19 </w:t>
      </w:r>
      <w:r>
        <w:rPr>
          <w:rFonts w:hint="eastAsia" w:ascii="宋体" w:hAnsi="宋体" w:eastAsia="宋体" w:cs="宋体"/>
          <w:color w:val="auto"/>
          <w:szCs w:val="21"/>
          <w:highlight w:val="none"/>
          <w:lang w:val="zh-CN"/>
        </w:rPr>
        <w:t>投标文件的提交</w:t>
      </w:r>
      <w:r>
        <w:rPr>
          <w:color w:val="auto"/>
          <w:highlight w:val="none"/>
        </w:rPr>
        <w:tab/>
      </w:r>
      <w:r>
        <w:rPr>
          <w:color w:val="auto"/>
          <w:highlight w:val="none"/>
        </w:rPr>
        <w:fldChar w:fldCharType="begin"/>
      </w:r>
      <w:r>
        <w:rPr>
          <w:color w:val="auto"/>
          <w:highlight w:val="none"/>
        </w:rPr>
        <w:instrText xml:space="preserve"> PAGEREF _Toc1869 \h </w:instrText>
      </w:r>
      <w:r>
        <w:rPr>
          <w:color w:val="auto"/>
          <w:highlight w:val="none"/>
        </w:rPr>
        <w:fldChar w:fldCharType="separate"/>
      </w:r>
      <w:r>
        <w:rPr>
          <w:color w:val="auto"/>
          <w:highlight w:val="none"/>
        </w:rPr>
        <w:t>18</w:t>
      </w:r>
      <w:r>
        <w:rPr>
          <w:color w:val="auto"/>
          <w:highlight w:val="none"/>
        </w:rPr>
        <w:fldChar w:fldCharType="end"/>
      </w:r>
      <w:r>
        <w:rPr>
          <w:rFonts w:ascii="宋体" w:hAnsi="宋体" w:eastAsia="宋体" w:cs="宋体"/>
          <w:bCs/>
          <w:color w:val="auto"/>
          <w:szCs w:val="21"/>
          <w:highlight w:val="none"/>
        </w:rPr>
        <w:fldChar w:fldCharType="end"/>
      </w:r>
    </w:p>
    <w:p w14:paraId="49BCA773">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_Toc19676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rPr>
        <w:t xml:space="preserve">20 </w:t>
      </w:r>
      <w:r>
        <w:rPr>
          <w:rFonts w:hint="eastAsia" w:ascii="宋体" w:hAnsi="宋体" w:eastAsia="宋体" w:cs="宋体"/>
          <w:color w:val="auto"/>
          <w:szCs w:val="21"/>
          <w:highlight w:val="none"/>
          <w:lang w:val="zh-CN"/>
        </w:rPr>
        <w:t>投标会时间、地点及投标文件提交的截止时间</w:t>
      </w:r>
      <w:r>
        <w:rPr>
          <w:color w:val="auto"/>
          <w:highlight w:val="none"/>
        </w:rPr>
        <w:tab/>
      </w:r>
      <w:r>
        <w:rPr>
          <w:color w:val="auto"/>
          <w:highlight w:val="none"/>
        </w:rPr>
        <w:fldChar w:fldCharType="begin"/>
      </w:r>
      <w:r>
        <w:rPr>
          <w:color w:val="auto"/>
          <w:highlight w:val="none"/>
        </w:rPr>
        <w:instrText xml:space="preserve"> PAGEREF _Toc19676 \h </w:instrText>
      </w:r>
      <w:r>
        <w:rPr>
          <w:color w:val="auto"/>
          <w:highlight w:val="none"/>
        </w:rPr>
        <w:fldChar w:fldCharType="separate"/>
      </w:r>
      <w:r>
        <w:rPr>
          <w:color w:val="auto"/>
          <w:highlight w:val="none"/>
        </w:rPr>
        <w:t>18</w:t>
      </w:r>
      <w:r>
        <w:rPr>
          <w:color w:val="auto"/>
          <w:highlight w:val="none"/>
        </w:rPr>
        <w:fldChar w:fldCharType="end"/>
      </w:r>
      <w:r>
        <w:rPr>
          <w:rFonts w:ascii="宋体" w:hAnsi="宋体" w:eastAsia="宋体" w:cs="宋体"/>
          <w:bCs/>
          <w:color w:val="auto"/>
          <w:szCs w:val="21"/>
          <w:highlight w:val="none"/>
        </w:rPr>
        <w:fldChar w:fldCharType="end"/>
      </w:r>
    </w:p>
    <w:p w14:paraId="4A92AD3D">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_Toc15468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 xml:space="preserve">1 </w:t>
      </w:r>
      <w:r>
        <w:rPr>
          <w:rFonts w:hint="eastAsia" w:ascii="宋体" w:hAnsi="宋体" w:eastAsia="宋体" w:cs="宋体"/>
          <w:color w:val="auto"/>
          <w:szCs w:val="21"/>
          <w:highlight w:val="none"/>
          <w:lang w:val="zh-CN"/>
        </w:rPr>
        <w:t>投标文件的拒绝</w:t>
      </w:r>
      <w:r>
        <w:rPr>
          <w:color w:val="auto"/>
          <w:highlight w:val="none"/>
        </w:rPr>
        <w:tab/>
      </w:r>
      <w:r>
        <w:rPr>
          <w:color w:val="auto"/>
          <w:highlight w:val="none"/>
        </w:rPr>
        <w:fldChar w:fldCharType="begin"/>
      </w:r>
      <w:r>
        <w:rPr>
          <w:color w:val="auto"/>
          <w:highlight w:val="none"/>
        </w:rPr>
        <w:instrText xml:space="preserve"> PAGEREF _Toc15468 \h </w:instrText>
      </w:r>
      <w:r>
        <w:rPr>
          <w:color w:val="auto"/>
          <w:highlight w:val="none"/>
        </w:rPr>
        <w:fldChar w:fldCharType="separate"/>
      </w:r>
      <w:r>
        <w:rPr>
          <w:color w:val="auto"/>
          <w:highlight w:val="none"/>
        </w:rPr>
        <w:t>18</w:t>
      </w:r>
      <w:r>
        <w:rPr>
          <w:color w:val="auto"/>
          <w:highlight w:val="none"/>
        </w:rPr>
        <w:fldChar w:fldCharType="end"/>
      </w:r>
      <w:r>
        <w:rPr>
          <w:rFonts w:ascii="宋体" w:hAnsi="宋体" w:eastAsia="宋体" w:cs="宋体"/>
          <w:bCs/>
          <w:color w:val="auto"/>
          <w:szCs w:val="21"/>
          <w:highlight w:val="none"/>
        </w:rPr>
        <w:fldChar w:fldCharType="end"/>
      </w:r>
    </w:p>
    <w:p w14:paraId="411CD29F">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_Toc26167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 xml:space="preserve">2 </w:t>
      </w:r>
      <w:r>
        <w:rPr>
          <w:rFonts w:hint="eastAsia" w:ascii="宋体" w:hAnsi="宋体" w:eastAsia="宋体" w:cs="宋体"/>
          <w:color w:val="auto"/>
          <w:szCs w:val="21"/>
          <w:highlight w:val="none"/>
          <w:lang w:val="zh-CN"/>
        </w:rPr>
        <w:t>投标文件的补充、修改与撤回</w:t>
      </w:r>
      <w:r>
        <w:rPr>
          <w:color w:val="auto"/>
          <w:highlight w:val="none"/>
        </w:rPr>
        <w:tab/>
      </w:r>
      <w:r>
        <w:rPr>
          <w:color w:val="auto"/>
          <w:highlight w:val="none"/>
        </w:rPr>
        <w:fldChar w:fldCharType="begin"/>
      </w:r>
      <w:r>
        <w:rPr>
          <w:color w:val="auto"/>
          <w:highlight w:val="none"/>
        </w:rPr>
        <w:instrText xml:space="preserve"> PAGEREF _Toc26167 \h </w:instrText>
      </w:r>
      <w:r>
        <w:rPr>
          <w:color w:val="auto"/>
          <w:highlight w:val="none"/>
        </w:rPr>
        <w:fldChar w:fldCharType="separate"/>
      </w:r>
      <w:r>
        <w:rPr>
          <w:color w:val="auto"/>
          <w:highlight w:val="none"/>
        </w:rPr>
        <w:t>18</w:t>
      </w:r>
      <w:r>
        <w:rPr>
          <w:color w:val="auto"/>
          <w:highlight w:val="none"/>
        </w:rPr>
        <w:fldChar w:fldCharType="end"/>
      </w:r>
      <w:r>
        <w:rPr>
          <w:rFonts w:ascii="宋体" w:hAnsi="宋体" w:eastAsia="宋体" w:cs="宋体"/>
          <w:bCs/>
          <w:color w:val="auto"/>
          <w:szCs w:val="21"/>
          <w:highlight w:val="none"/>
        </w:rPr>
        <w:fldChar w:fldCharType="end"/>
      </w:r>
    </w:p>
    <w:p w14:paraId="300ED793">
      <w:pPr>
        <w:pStyle w:val="30"/>
        <w:tabs>
          <w:tab w:val="right" w:leader="dot" w:pos="9346"/>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_Toc5078 </w:instrText>
      </w:r>
      <w:r>
        <w:rPr>
          <w:rFonts w:ascii="宋体" w:hAnsi="宋体" w:eastAsia="宋体" w:cs="宋体"/>
          <w:bCs/>
          <w:color w:val="auto"/>
          <w:szCs w:val="21"/>
          <w:highlight w:val="none"/>
        </w:rPr>
        <w:fldChar w:fldCharType="separate"/>
      </w:r>
      <w:r>
        <w:rPr>
          <w:rFonts w:hint="eastAsia" w:ascii="宋体" w:hAnsi="宋体" w:eastAsia="宋体" w:cs="宋体"/>
          <w:bCs/>
          <w:color w:val="auto"/>
          <w:kern w:val="44"/>
          <w:szCs w:val="21"/>
          <w:highlight w:val="none"/>
          <w:lang w:val="zh-CN"/>
        </w:rPr>
        <w:t>五、开标与评标</w:t>
      </w:r>
      <w:r>
        <w:rPr>
          <w:color w:val="auto"/>
          <w:highlight w:val="none"/>
        </w:rPr>
        <w:tab/>
      </w:r>
      <w:r>
        <w:rPr>
          <w:color w:val="auto"/>
          <w:highlight w:val="none"/>
        </w:rPr>
        <w:fldChar w:fldCharType="begin"/>
      </w:r>
      <w:r>
        <w:rPr>
          <w:color w:val="auto"/>
          <w:highlight w:val="none"/>
        </w:rPr>
        <w:instrText xml:space="preserve"> PAGEREF _Toc5078 \h </w:instrText>
      </w:r>
      <w:r>
        <w:rPr>
          <w:color w:val="auto"/>
          <w:highlight w:val="none"/>
        </w:rPr>
        <w:fldChar w:fldCharType="separate"/>
      </w:r>
      <w:r>
        <w:rPr>
          <w:color w:val="auto"/>
          <w:highlight w:val="none"/>
        </w:rPr>
        <w:t>19</w:t>
      </w:r>
      <w:r>
        <w:rPr>
          <w:color w:val="auto"/>
          <w:highlight w:val="none"/>
        </w:rPr>
        <w:fldChar w:fldCharType="end"/>
      </w:r>
      <w:r>
        <w:rPr>
          <w:rFonts w:ascii="宋体" w:hAnsi="宋体" w:eastAsia="宋体" w:cs="宋体"/>
          <w:bCs/>
          <w:color w:val="auto"/>
          <w:szCs w:val="21"/>
          <w:highlight w:val="none"/>
        </w:rPr>
        <w:fldChar w:fldCharType="end"/>
      </w:r>
    </w:p>
    <w:p w14:paraId="4A3968D2">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_Toc3237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 xml:space="preserve">3 </w:t>
      </w:r>
      <w:r>
        <w:rPr>
          <w:rFonts w:hint="eastAsia" w:ascii="宋体" w:hAnsi="宋体" w:eastAsia="宋体" w:cs="宋体"/>
          <w:color w:val="auto"/>
          <w:szCs w:val="21"/>
          <w:highlight w:val="none"/>
          <w:lang w:val="zh-CN"/>
        </w:rPr>
        <w:t>开标</w:t>
      </w:r>
      <w:r>
        <w:rPr>
          <w:color w:val="auto"/>
          <w:highlight w:val="none"/>
        </w:rPr>
        <w:tab/>
      </w:r>
      <w:r>
        <w:rPr>
          <w:color w:val="auto"/>
          <w:highlight w:val="none"/>
        </w:rPr>
        <w:fldChar w:fldCharType="begin"/>
      </w:r>
      <w:r>
        <w:rPr>
          <w:color w:val="auto"/>
          <w:highlight w:val="none"/>
        </w:rPr>
        <w:instrText xml:space="preserve"> PAGEREF _Toc3237 \h </w:instrText>
      </w:r>
      <w:r>
        <w:rPr>
          <w:color w:val="auto"/>
          <w:highlight w:val="none"/>
        </w:rPr>
        <w:fldChar w:fldCharType="separate"/>
      </w:r>
      <w:r>
        <w:rPr>
          <w:color w:val="auto"/>
          <w:highlight w:val="none"/>
        </w:rPr>
        <w:t>19</w:t>
      </w:r>
      <w:r>
        <w:rPr>
          <w:color w:val="auto"/>
          <w:highlight w:val="none"/>
        </w:rPr>
        <w:fldChar w:fldCharType="end"/>
      </w:r>
      <w:r>
        <w:rPr>
          <w:rFonts w:ascii="宋体" w:hAnsi="宋体" w:eastAsia="宋体" w:cs="宋体"/>
          <w:bCs/>
          <w:color w:val="auto"/>
          <w:szCs w:val="21"/>
          <w:highlight w:val="none"/>
        </w:rPr>
        <w:fldChar w:fldCharType="end"/>
      </w:r>
    </w:p>
    <w:p w14:paraId="7BEE6145">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_Toc21794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rPr>
        <w:t>24</w:t>
      </w:r>
      <w:r>
        <w:rPr>
          <w:rFonts w:ascii="宋体" w:hAnsi="宋体" w:eastAsia="宋体" w:cs="宋体"/>
          <w:color w:val="auto"/>
          <w:szCs w:val="21"/>
          <w:highlight w:val="none"/>
          <w:lang w:val="zh-CN"/>
        </w:rPr>
        <w:t xml:space="preserve"> </w:t>
      </w:r>
      <w:r>
        <w:rPr>
          <w:rFonts w:hint="eastAsia" w:ascii="宋体" w:hAnsi="宋体" w:eastAsia="宋体" w:cs="宋体"/>
          <w:color w:val="auto"/>
          <w:kern w:val="0"/>
          <w:szCs w:val="24"/>
          <w:highlight w:val="none"/>
        </w:rPr>
        <w:t>评标过程的保密性</w:t>
      </w:r>
      <w:r>
        <w:rPr>
          <w:color w:val="auto"/>
          <w:highlight w:val="none"/>
        </w:rPr>
        <w:tab/>
      </w:r>
      <w:r>
        <w:rPr>
          <w:color w:val="auto"/>
          <w:highlight w:val="none"/>
        </w:rPr>
        <w:fldChar w:fldCharType="begin"/>
      </w:r>
      <w:r>
        <w:rPr>
          <w:color w:val="auto"/>
          <w:highlight w:val="none"/>
        </w:rPr>
        <w:instrText xml:space="preserve"> PAGEREF _Toc21794 \h </w:instrText>
      </w:r>
      <w:r>
        <w:rPr>
          <w:color w:val="auto"/>
          <w:highlight w:val="none"/>
        </w:rPr>
        <w:fldChar w:fldCharType="separate"/>
      </w:r>
      <w:r>
        <w:rPr>
          <w:color w:val="auto"/>
          <w:highlight w:val="none"/>
        </w:rPr>
        <w:t>19</w:t>
      </w:r>
      <w:r>
        <w:rPr>
          <w:color w:val="auto"/>
          <w:highlight w:val="none"/>
        </w:rPr>
        <w:fldChar w:fldCharType="end"/>
      </w:r>
      <w:r>
        <w:rPr>
          <w:rFonts w:ascii="宋体" w:hAnsi="宋体" w:eastAsia="宋体" w:cs="宋体"/>
          <w:bCs/>
          <w:color w:val="auto"/>
          <w:szCs w:val="21"/>
          <w:highlight w:val="none"/>
        </w:rPr>
        <w:fldChar w:fldCharType="end"/>
      </w:r>
    </w:p>
    <w:p w14:paraId="302402B6">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_Toc31520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rPr>
        <w:t>25</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评标委员会</w:t>
      </w:r>
      <w:r>
        <w:rPr>
          <w:color w:val="auto"/>
          <w:highlight w:val="none"/>
        </w:rPr>
        <w:tab/>
      </w:r>
      <w:r>
        <w:rPr>
          <w:color w:val="auto"/>
          <w:highlight w:val="none"/>
        </w:rPr>
        <w:fldChar w:fldCharType="begin"/>
      </w:r>
      <w:r>
        <w:rPr>
          <w:color w:val="auto"/>
          <w:highlight w:val="none"/>
        </w:rPr>
        <w:instrText xml:space="preserve"> PAGEREF _Toc31520 \h </w:instrText>
      </w:r>
      <w:r>
        <w:rPr>
          <w:color w:val="auto"/>
          <w:highlight w:val="none"/>
        </w:rPr>
        <w:fldChar w:fldCharType="separate"/>
      </w:r>
      <w:r>
        <w:rPr>
          <w:color w:val="auto"/>
          <w:highlight w:val="none"/>
        </w:rPr>
        <w:t>19</w:t>
      </w:r>
      <w:r>
        <w:rPr>
          <w:color w:val="auto"/>
          <w:highlight w:val="none"/>
        </w:rPr>
        <w:fldChar w:fldCharType="end"/>
      </w:r>
      <w:r>
        <w:rPr>
          <w:rFonts w:ascii="宋体" w:hAnsi="宋体" w:eastAsia="宋体" w:cs="宋体"/>
          <w:bCs/>
          <w:color w:val="auto"/>
          <w:szCs w:val="21"/>
          <w:highlight w:val="none"/>
        </w:rPr>
        <w:fldChar w:fldCharType="end"/>
      </w:r>
    </w:p>
    <w:p w14:paraId="2E83A8DE">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_Toc562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26</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投标文件的有效性</w:t>
      </w:r>
      <w:r>
        <w:rPr>
          <w:color w:val="auto"/>
          <w:highlight w:val="none"/>
        </w:rPr>
        <w:tab/>
      </w:r>
      <w:r>
        <w:rPr>
          <w:color w:val="auto"/>
          <w:highlight w:val="none"/>
        </w:rPr>
        <w:fldChar w:fldCharType="begin"/>
      </w:r>
      <w:r>
        <w:rPr>
          <w:color w:val="auto"/>
          <w:highlight w:val="none"/>
        </w:rPr>
        <w:instrText xml:space="preserve"> PAGEREF _Toc562 \h </w:instrText>
      </w:r>
      <w:r>
        <w:rPr>
          <w:color w:val="auto"/>
          <w:highlight w:val="none"/>
        </w:rPr>
        <w:fldChar w:fldCharType="separate"/>
      </w:r>
      <w:r>
        <w:rPr>
          <w:color w:val="auto"/>
          <w:highlight w:val="none"/>
        </w:rPr>
        <w:t>19</w:t>
      </w:r>
      <w:r>
        <w:rPr>
          <w:color w:val="auto"/>
          <w:highlight w:val="none"/>
        </w:rPr>
        <w:fldChar w:fldCharType="end"/>
      </w:r>
      <w:r>
        <w:rPr>
          <w:rFonts w:ascii="宋体" w:hAnsi="宋体" w:eastAsia="宋体" w:cs="宋体"/>
          <w:bCs/>
          <w:color w:val="auto"/>
          <w:szCs w:val="21"/>
          <w:highlight w:val="none"/>
        </w:rPr>
        <w:fldChar w:fldCharType="end"/>
      </w:r>
    </w:p>
    <w:p w14:paraId="128F0F94">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_Toc23436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7</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投标文件的初审</w:t>
      </w:r>
      <w:r>
        <w:rPr>
          <w:color w:val="auto"/>
          <w:highlight w:val="none"/>
        </w:rPr>
        <w:tab/>
      </w:r>
      <w:r>
        <w:rPr>
          <w:color w:val="auto"/>
          <w:highlight w:val="none"/>
        </w:rPr>
        <w:fldChar w:fldCharType="begin"/>
      </w:r>
      <w:r>
        <w:rPr>
          <w:color w:val="auto"/>
          <w:highlight w:val="none"/>
        </w:rPr>
        <w:instrText xml:space="preserve"> PAGEREF _Toc23436 \h </w:instrText>
      </w:r>
      <w:r>
        <w:rPr>
          <w:color w:val="auto"/>
          <w:highlight w:val="none"/>
        </w:rPr>
        <w:fldChar w:fldCharType="separate"/>
      </w:r>
      <w:r>
        <w:rPr>
          <w:color w:val="auto"/>
          <w:highlight w:val="none"/>
        </w:rPr>
        <w:t>20</w:t>
      </w:r>
      <w:r>
        <w:rPr>
          <w:color w:val="auto"/>
          <w:highlight w:val="none"/>
        </w:rPr>
        <w:fldChar w:fldCharType="end"/>
      </w:r>
      <w:r>
        <w:rPr>
          <w:rFonts w:ascii="宋体" w:hAnsi="宋体" w:eastAsia="宋体" w:cs="宋体"/>
          <w:bCs/>
          <w:color w:val="auto"/>
          <w:szCs w:val="21"/>
          <w:highlight w:val="none"/>
        </w:rPr>
        <w:fldChar w:fldCharType="end"/>
      </w:r>
    </w:p>
    <w:p w14:paraId="7139E264">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_Toc14014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8</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投标文件的澄清</w:t>
      </w:r>
      <w:r>
        <w:rPr>
          <w:color w:val="auto"/>
          <w:highlight w:val="none"/>
        </w:rPr>
        <w:tab/>
      </w:r>
      <w:r>
        <w:rPr>
          <w:color w:val="auto"/>
          <w:highlight w:val="none"/>
        </w:rPr>
        <w:fldChar w:fldCharType="begin"/>
      </w:r>
      <w:r>
        <w:rPr>
          <w:color w:val="auto"/>
          <w:highlight w:val="none"/>
        </w:rPr>
        <w:instrText xml:space="preserve"> PAGEREF _Toc14014 \h </w:instrText>
      </w:r>
      <w:r>
        <w:rPr>
          <w:color w:val="auto"/>
          <w:highlight w:val="none"/>
        </w:rPr>
        <w:fldChar w:fldCharType="separate"/>
      </w:r>
      <w:r>
        <w:rPr>
          <w:color w:val="auto"/>
          <w:highlight w:val="none"/>
        </w:rPr>
        <w:t>20</w:t>
      </w:r>
      <w:r>
        <w:rPr>
          <w:color w:val="auto"/>
          <w:highlight w:val="none"/>
        </w:rPr>
        <w:fldChar w:fldCharType="end"/>
      </w:r>
      <w:r>
        <w:rPr>
          <w:rFonts w:ascii="宋体" w:hAnsi="宋体" w:eastAsia="宋体" w:cs="宋体"/>
          <w:bCs/>
          <w:color w:val="auto"/>
          <w:szCs w:val="21"/>
          <w:highlight w:val="none"/>
        </w:rPr>
        <w:fldChar w:fldCharType="end"/>
      </w:r>
    </w:p>
    <w:p w14:paraId="69E910FD">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_Toc5783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9</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对投标文件的比较和评价</w:t>
      </w:r>
      <w:r>
        <w:rPr>
          <w:color w:val="auto"/>
          <w:highlight w:val="none"/>
        </w:rPr>
        <w:tab/>
      </w:r>
      <w:r>
        <w:rPr>
          <w:color w:val="auto"/>
          <w:highlight w:val="none"/>
        </w:rPr>
        <w:fldChar w:fldCharType="begin"/>
      </w:r>
      <w:r>
        <w:rPr>
          <w:color w:val="auto"/>
          <w:highlight w:val="none"/>
        </w:rPr>
        <w:instrText xml:space="preserve"> PAGEREF _Toc5783 \h </w:instrText>
      </w:r>
      <w:r>
        <w:rPr>
          <w:color w:val="auto"/>
          <w:highlight w:val="none"/>
        </w:rPr>
        <w:fldChar w:fldCharType="separate"/>
      </w:r>
      <w:r>
        <w:rPr>
          <w:color w:val="auto"/>
          <w:highlight w:val="none"/>
        </w:rPr>
        <w:t>21</w:t>
      </w:r>
      <w:r>
        <w:rPr>
          <w:color w:val="auto"/>
          <w:highlight w:val="none"/>
        </w:rPr>
        <w:fldChar w:fldCharType="end"/>
      </w:r>
      <w:r>
        <w:rPr>
          <w:rFonts w:ascii="宋体" w:hAnsi="宋体" w:eastAsia="宋体" w:cs="宋体"/>
          <w:bCs/>
          <w:color w:val="auto"/>
          <w:szCs w:val="21"/>
          <w:highlight w:val="none"/>
        </w:rPr>
        <w:fldChar w:fldCharType="end"/>
      </w:r>
    </w:p>
    <w:p w14:paraId="0E8EF414">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_Toc27950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rPr>
        <w:t>30</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评标原则及方法</w:t>
      </w:r>
      <w:r>
        <w:rPr>
          <w:color w:val="auto"/>
          <w:highlight w:val="none"/>
        </w:rPr>
        <w:tab/>
      </w:r>
      <w:r>
        <w:rPr>
          <w:color w:val="auto"/>
          <w:highlight w:val="none"/>
        </w:rPr>
        <w:fldChar w:fldCharType="begin"/>
      </w:r>
      <w:r>
        <w:rPr>
          <w:color w:val="auto"/>
          <w:highlight w:val="none"/>
        </w:rPr>
        <w:instrText xml:space="preserve"> PAGEREF _Toc27950 \h </w:instrText>
      </w:r>
      <w:r>
        <w:rPr>
          <w:color w:val="auto"/>
          <w:highlight w:val="none"/>
        </w:rPr>
        <w:fldChar w:fldCharType="separate"/>
      </w:r>
      <w:r>
        <w:rPr>
          <w:color w:val="auto"/>
          <w:highlight w:val="none"/>
        </w:rPr>
        <w:t>21</w:t>
      </w:r>
      <w:r>
        <w:rPr>
          <w:color w:val="auto"/>
          <w:highlight w:val="none"/>
        </w:rPr>
        <w:fldChar w:fldCharType="end"/>
      </w:r>
      <w:r>
        <w:rPr>
          <w:rFonts w:ascii="宋体" w:hAnsi="宋体" w:eastAsia="宋体" w:cs="宋体"/>
          <w:bCs/>
          <w:color w:val="auto"/>
          <w:szCs w:val="21"/>
          <w:highlight w:val="none"/>
        </w:rPr>
        <w:fldChar w:fldCharType="end"/>
      </w:r>
    </w:p>
    <w:p w14:paraId="720B2F1F">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_Toc26551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rPr>
        <w:t xml:space="preserve">31 </w:t>
      </w:r>
      <w:r>
        <w:rPr>
          <w:rFonts w:hint="eastAsia" w:ascii="宋体" w:hAnsi="宋体" w:eastAsia="宋体" w:cs="宋体"/>
          <w:color w:val="auto"/>
          <w:szCs w:val="21"/>
          <w:highlight w:val="none"/>
          <w:lang w:val="zh-CN"/>
        </w:rPr>
        <w:t>评标结果公</w:t>
      </w:r>
      <w:r>
        <w:rPr>
          <w:rFonts w:hint="eastAsia" w:ascii="宋体" w:hAnsi="宋体" w:eastAsia="宋体" w:cs="Times New Roman"/>
          <w:color w:val="auto"/>
          <w:szCs w:val="21"/>
          <w:highlight w:val="none"/>
          <w:lang w:val="zh-CN"/>
        </w:rPr>
        <w:t>示</w:t>
      </w:r>
      <w:r>
        <w:rPr>
          <w:rFonts w:hint="eastAsia" w:ascii="宋体" w:hAnsi="宋体" w:eastAsia="宋体" w:cs="宋体"/>
          <w:color w:val="auto"/>
          <w:szCs w:val="21"/>
          <w:highlight w:val="none"/>
          <w:lang w:val="zh-CN"/>
        </w:rPr>
        <w:t>及异议、投诉</w:t>
      </w:r>
      <w:r>
        <w:rPr>
          <w:color w:val="auto"/>
          <w:highlight w:val="none"/>
        </w:rPr>
        <w:tab/>
      </w:r>
      <w:r>
        <w:rPr>
          <w:color w:val="auto"/>
          <w:highlight w:val="none"/>
        </w:rPr>
        <w:fldChar w:fldCharType="begin"/>
      </w:r>
      <w:r>
        <w:rPr>
          <w:color w:val="auto"/>
          <w:highlight w:val="none"/>
        </w:rPr>
        <w:instrText xml:space="preserve"> PAGEREF _Toc26551 \h </w:instrText>
      </w:r>
      <w:r>
        <w:rPr>
          <w:color w:val="auto"/>
          <w:highlight w:val="none"/>
        </w:rPr>
        <w:fldChar w:fldCharType="separate"/>
      </w:r>
      <w:r>
        <w:rPr>
          <w:color w:val="auto"/>
          <w:highlight w:val="none"/>
        </w:rPr>
        <w:t>21</w:t>
      </w:r>
      <w:r>
        <w:rPr>
          <w:color w:val="auto"/>
          <w:highlight w:val="none"/>
        </w:rPr>
        <w:fldChar w:fldCharType="end"/>
      </w:r>
      <w:r>
        <w:rPr>
          <w:rFonts w:ascii="宋体" w:hAnsi="宋体" w:eastAsia="宋体" w:cs="宋体"/>
          <w:bCs/>
          <w:color w:val="auto"/>
          <w:szCs w:val="21"/>
          <w:highlight w:val="none"/>
        </w:rPr>
        <w:fldChar w:fldCharType="end"/>
      </w:r>
    </w:p>
    <w:p w14:paraId="3102AD70">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_Toc6945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rPr>
        <w:t>32</w:t>
      </w:r>
      <w:r>
        <w:rPr>
          <w:rFonts w:hint="eastAsia" w:ascii="宋体" w:hAnsi="宋体" w:eastAsia="宋体" w:cs="宋体"/>
          <w:color w:val="auto"/>
          <w:szCs w:val="21"/>
          <w:highlight w:val="none"/>
          <w:lang w:val="zh-CN"/>
        </w:rPr>
        <w:t xml:space="preserve"> 真实性审查</w:t>
      </w:r>
      <w:r>
        <w:rPr>
          <w:color w:val="auto"/>
          <w:highlight w:val="none"/>
        </w:rPr>
        <w:tab/>
      </w:r>
      <w:r>
        <w:rPr>
          <w:color w:val="auto"/>
          <w:highlight w:val="none"/>
        </w:rPr>
        <w:fldChar w:fldCharType="begin"/>
      </w:r>
      <w:r>
        <w:rPr>
          <w:color w:val="auto"/>
          <w:highlight w:val="none"/>
        </w:rPr>
        <w:instrText xml:space="preserve"> PAGEREF _Toc6945 \h </w:instrText>
      </w:r>
      <w:r>
        <w:rPr>
          <w:color w:val="auto"/>
          <w:highlight w:val="none"/>
        </w:rPr>
        <w:fldChar w:fldCharType="separate"/>
      </w:r>
      <w:r>
        <w:rPr>
          <w:color w:val="auto"/>
          <w:highlight w:val="none"/>
        </w:rPr>
        <w:t>22</w:t>
      </w:r>
      <w:r>
        <w:rPr>
          <w:color w:val="auto"/>
          <w:highlight w:val="none"/>
        </w:rPr>
        <w:fldChar w:fldCharType="end"/>
      </w:r>
      <w:r>
        <w:rPr>
          <w:rFonts w:ascii="宋体" w:hAnsi="宋体" w:eastAsia="宋体" w:cs="宋体"/>
          <w:bCs/>
          <w:color w:val="auto"/>
          <w:szCs w:val="21"/>
          <w:highlight w:val="none"/>
        </w:rPr>
        <w:fldChar w:fldCharType="end"/>
      </w:r>
    </w:p>
    <w:p w14:paraId="00E1E207">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_Toc32262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rPr>
        <w:t>33</w:t>
      </w:r>
      <w:r>
        <w:rPr>
          <w:rFonts w:hint="eastAsia" w:ascii="宋体" w:hAnsi="宋体" w:eastAsia="宋体" w:cs="宋体"/>
          <w:color w:val="auto"/>
          <w:szCs w:val="21"/>
          <w:highlight w:val="none"/>
          <w:lang w:val="zh-CN"/>
        </w:rPr>
        <w:t xml:space="preserve"> 评标委员会和招标人接受或拒绝任何投标或所有投标的权利</w:t>
      </w:r>
      <w:r>
        <w:rPr>
          <w:color w:val="auto"/>
          <w:highlight w:val="none"/>
        </w:rPr>
        <w:tab/>
      </w:r>
      <w:r>
        <w:rPr>
          <w:color w:val="auto"/>
          <w:highlight w:val="none"/>
        </w:rPr>
        <w:fldChar w:fldCharType="begin"/>
      </w:r>
      <w:r>
        <w:rPr>
          <w:color w:val="auto"/>
          <w:highlight w:val="none"/>
        </w:rPr>
        <w:instrText xml:space="preserve"> PAGEREF _Toc32262 \h </w:instrText>
      </w:r>
      <w:r>
        <w:rPr>
          <w:color w:val="auto"/>
          <w:highlight w:val="none"/>
        </w:rPr>
        <w:fldChar w:fldCharType="separate"/>
      </w:r>
      <w:r>
        <w:rPr>
          <w:color w:val="auto"/>
          <w:highlight w:val="none"/>
        </w:rPr>
        <w:t>23</w:t>
      </w:r>
      <w:r>
        <w:rPr>
          <w:color w:val="auto"/>
          <w:highlight w:val="none"/>
        </w:rPr>
        <w:fldChar w:fldCharType="end"/>
      </w:r>
      <w:r>
        <w:rPr>
          <w:rFonts w:ascii="宋体" w:hAnsi="宋体" w:eastAsia="宋体" w:cs="宋体"/>
          <w:bCs/>
          <w:color w:val="auto"/>
          <w:szCs w:val="21"/>
          <w:highlight w:val="none"/>
        </w:rPr>
        <w:fldChar w:fldCharType="end"/>
      </w:r>
    </w:p>
    <w:p w14:paraId="35BA35A0">
      <w:pPr>
        <w:pStyle w:val="30"/>
        <w:tabs>
          <w:tab w:val="right" w:leader="dot" w:pos="9346"/>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_Toc27480 </w:instrText>
      </w:r>
      <w:r>
        <w:rPr>
          <w:rFonts w:ascii="宋体" w:hAnsi="宋体" w:eastAsia="宋体" w:cs="宋体"/>
          <w:bCs/>
          <w:color w:val="auto"/>
          <w:szCs w:val="21"/>
          <w:highlight w:val="none"/>
        </w:rPr>
        <w:fldChar w:fldCharType="separate"/>
      </w:r>
      <w:r>
        <w:rPr>
          <w:rFonts w:hint="eastAsia" w:ascii="宋体" w:hAnsi="宋体" w:eastAsia="宋体" w:cs="宋体"/>
          <w:bCs/>
          <w:color w:val="auto"/>
          <w:kern w:val="44"/>
          <w:szCs w:val="21"/>
          <w:highlight w:val="none"/>
          <w:lang w:val="zh-CN"/>
        </w:rPr>
        <w:t>六、授予合同</w:t>
      </w:r>
      <w:r>
        <w:rPr>
          <w:color w:val="auto"/>
          <w:highlight w:val="none"/>
        </w:rPr>
        <w:tab/>
      </w:r>
      <w:r>
        <w:rPr>
          <w:color w:val="auto"/>
          <w:highlight w:val="none"/>
        </w:rPr>
        <w:fldChar w:fldCharType="begin"/>
      </w:r>
      <w:r>
        <w:rPr>
          <w:color w:val="auto"/>
          <w:highlight w:val="none"/>
        </w:rPr>
        <w:instrText xml:space="preserve"> PAGEREF _Toc27480 \h </w:instrText>
      </w:r>
      <w:r>
        <w:rPr>
          <w:color w:val="auto"/>
          <w:highlight w:val="none"/>
        </w:rPr>
        <w:fldChar w:fldCharType="separate"/>
      </w:r>
      <w:r>
        <w:rPr>
          <w:color w:val="auto"/>
          <w:highlight w:val="none"/>
        </w:rPr>
        <w:t>23</w:t>
      </w:r>
      <w:r>
        <w:rPr>
          <w:color w:val="auto"/>
          <w:highlight w:val="none"/>
        </w:rPr>
        <w:fldChar w:fldCharType="end"/>
      </w:r>
      <w:r>
        <w:rPr>
          <w:rFonts w:ascii="宋体" w:hAnsi="宋体" w:eastAsia="宋体" w:cs="宋体"/>
          <w:bCs/>
          <w:color w:val="auto"/>
          <w:szCs w:val="21"/>
          <w:highlight w:val="none"/>
        </w:rPr>
        <w:fldChar w:fldCharType="end"/>
      </w:r>
    </w:p>
    <w:p w14:paraId="087AF9D8">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_Toc30988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rPr>
        <w:t>34</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授予合同的准则</w:t>
      </w:r>
      <w:r>
        <w:rPr>
          <w:color w:val="auto"/>
          <w:highlight w:val="none"/>
        </w:rPr>
        <w:tab/>
      </w:r>
      <w:r>
        <w:rPr>
          <w:color w:val="auto"/>
          <w:highlight w:val="none"/>
        </w:rPr>
        <w:fldChar w:fldCharType="begin"/>
      </w:r>
      <w:r>
        <w:rPr>
          <w:color w:val="auto"/>
          <w:highlight w:val="none"/>
        </w:rPr>
        <w:instrText xml:space="preserve"> PAGEREF _Toc30988 \h </w:instrText>
      </w:r>
      <w:r>
        <w:rPr>
          <w:color w:val="auto"/>
          <w:highlight w:val="none"/>
        </w:rPr>
        <w:fldChar w:fldCharType="separate"/>
      </w:r>
      <w:r>
        <w:rPr>
          <w:color w:val="auto"/>
          <w:highlight w:val="none"/>
        </w:rPr>
        <w:t>23</w:t>
      </w:r>
      <w:r>
        <w:rPr>
          <w:color w:val="auto"/>
          <w:highlight w:val="none"/>
        </w:rPr>
        <w:fldChar w:fldCharType="end"/>
      </w:r>
      <w:r>
        <w:rPr>
          <w:rFonts w:ascii="宋体" w:hAnsi="宋体" w:eastAsia="宋体" w:cs="宋体"/>
          <w:bCs/>
          <w:color w:val="auto"/>
          <w:szCs w:val="21"/>
          <w:highlight w:val="none"/>
        </w:rPr>
        <w:fldChar w:fldCharType="end"/>
      </w:r>
    </w:p>
    <w:p w14:paraId="64B36D27">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_Toc18405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rPr>
        <w:t>35</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中标通知</w:t>
      </w:r>
      <w:r>
        <w:rPr>
          <w:color w:val="auto"/>
          <w:highlight w:val="none"/>
        </w:rPr>
        <w:tab/>
      </w:r>
      <w:r>
        <w:rPr>
          <w:color w:val="auto"/>
          <w:highlight w:val="none"/>
        </w:rPr>
        <w:fldChar w:fldCharType="begin"/>
      </w:r>
      <w:r>
        <w:rPr>
          <w:color w:val="auto"/>
          <w:highlight w:val="none"/>
        </w:rPr>
        <w:instrText xml:space="preserve"> PAGEREF _Toc18405 \h </w:instrText>
      </w:r>
      <w:r>
        <w:rPr>
          <w:color w:val="auto"/>
          <w:highlight w:val="none"/>
        </w:rPr>
        <w:fldChar w:fldCharType="separate"/>
      </w:r>
      <w:r>
        <w:rPr>
          <w:color w:val="auto"/>
          <w:highlight w:val="none"/>
        </w:rPr>
        <w:t>23</w:t>
      </w:r>
      <w:r>
        <w:rPr>
          <w:color w:val="auto"/>
          <w:highlight w:val="none"/>
        </w:rPr>
        <w:fldChar w:fldCharType="end"/>
      </w:r>
      <w:r>
        <w:rPr>
          <w:rFonts w:ascii="宋体" w:hAnsi="宋体" w:eastAsia="宋体" w:cs="宋体"/>
          <w:bCs/>
          <w:color w:val="auto"/>
          <w:szCs w:val="21"/>
          <w:highlight w:val="none"/>
        </w:rPr>
        <w:fldChar w:fldCharType="end"/>
      </w:r>
    </w:p>
    <w:p w14:paraId="3E998AB4">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_Toc18607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rPr>
        <w:t>36</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签署合同</w:t>
      </w:r>
      <w:r>
        <w:rPr>
          <w:color w:val="auto"/>
          <w:highlight w:val="none"/>
        </w:rPr>
        <w:tab/>
      </w:r>
      <w:r>
        <w:rPr>
          <w:color w:val="auto"/>
          <w:highlight w:val="none"/>
        </w:rPr>
        <w:fldChar w:fldCharType="begin"/>
      </w:r>
      <w:r>
        <w:rPr>
          <w:color w:val="auto"/>
          <w:highlight w:val="none"/>
        </w:rPr>
        <w:instrText xml:space="preserve"> PAGEREF _Toc18607 \h </w:instrText>
      </w:r>
      <w:r>
        <w:rPr>
          <w:color w:val="auto"/>
          <w:highlight w:val="none"/>
        </w:rPr>
        <w:fldChar w:fldCharType="separate"/>
      </w:r>
      <w:r>
        <w:rPr>
          <w:color w:val="auto"/>
          <w:highlight w:val="none"/>
        </w:rPr>
        <w:t>23</w:t>
      </w:r>
      <w:r>
        <w:rPr>
          <w:color w:val="auto"/>
          <w:highlight w:val="none"/>
        </w:rPr>
        <w:fldChar w:fldCharType="end"/>
      </w:r>
      <w:r>
        <w:rPr>
          <w:rFonts w:ascii="宋体" w:hAnsi="宋体" w:eastAsia="宋体" w:cs="宋体"/>
          <w:bCs/>
          <w:color w:val="auto"/>
          <w:szCs w:val="21"/>
          <w:highlight w:val="none"/>
        </w:rPr>
        <w:fldChar w:fldCharType="end"/>
      </w:r>
    </w:p>
    <w:p w14:paraId="5C13CB1B">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_Toc16066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rPr>
        <w:t>37</w:t>
      </w:r>
      <w:r>
        <w:rPr>
          <w:rFonts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履约担保</w:t>
      </w:r>
      <w:r>
        <w:rPr>
          <w:color w:val="auto"/>
          <w:highlight w:val="none"/>
        </w:rPr>
        <w:tab/>
      </w:r>
      <w:r>
        <w:rPr>
          <w:color w:val="auto"/>
          <w:highlight w:val="none"/>
        </w:rPr>
        <w:fldChar w:fldCharType="begin"/>
      </w:r>
      <w:r>
        <w:rPr>
          <w:color w:val="auto"/>
          <w:highlight w:val="none"/>
        </w:rPr>
        <w:instrText xml:space="preserve"> PAGEREF _Toc16066 \h </w:instrText>
      </w:r>
      <w:r>
        <w:rPr>
          <w:color w:val="auto"/>
          <w:highlight w:val="none"/>
        </w:rPr>
        <w:fldChar w:fldCharType="separate"/>
      </w:r>
      <w:r>
        <w:rPr>
          <w:color w:val="auto"/>
          <w:highlight w:val="none"/>
        </w:rPr>
        <w:t>24</w:t>
      </w:r>
      <w:r>
        <w:rPr>
          <w:color w:val="auto"/>
          <w:highlight w:val="none"/>
        </w:rPr>
        <w:fldChar w:fldCharType="end"/>
      </w:r>
      <w:r>
        <w:rPr>
          <w:rFonts w:ascii="宋体" w:hAnsi="宋体" w:eastAsia="宋体" w:cs="宋体"/>
          <w:bCs/>
          <w:color w:val="auto"/>
          <w:szCs w:val="21"/>
          <w:highlight w:val="none"/>
        </w:rPr>
        <w:fldChar w:fldCharType="end"/>
      </w:r>
    </w:p>
    <w:p w14:paraId="49361D68">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_Toc29161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rPr>
        <w:t>38</w:t>
      </w:r>
      <w:r>
        <w:rPr>
          <w:rFonts w:hint="eastAsia" w:ascii="宋体" w:hAnsi="宋体" w:eastAsia="宋体" w:cs="宋体"/>
          <w:color w:val="auto"/>
          <w:szCs w:val="21"/>
          <w:highlight w:val="none"/>
          <w:lang w:val="zh-CN"/>
        </w:rPr>
        <w:t xml:space="preserve"> 在合同履行中变更采购范围的权利</w:t>
      </w:r>
      <w:r>
        <w:rPr>
          <w:color w:val="auto"/>
          <w:highlight w:val="none"/>
        </w:rPr>
        <w:tab/>
      </w:r>
      <w:r>
        <w:rPr>
          <w:color w:val="auto"/>
          <w:highlight w:val="none"/>
        </w:rPr>
        <w:fldChar w:fldCharType="begin"/>
      </w:r>
      <w:r>
        <w:rPr>
          <w:color w:val="auto"/>
          <w:highlight w:val="none"/>
        </w:rPr>
        <w:instrText xml:space="preserve"> PAGEREF _Toc29161 \h </w:instrText>
      </w:r>
      <w:r>
        <w:rPr>
          <w:color w:val="auto"/>
          <w:highlight w:val="none"/>
        </w:rPr>
        <w:fldChar w:fldCharType="separate"/>
      </w:r>
      <w:r>
        <w:rPr>
          <w:color w:val="auto"/>
          <w:highlight w:val="none"/>
        </w:rPr>
        <w:t>25</w:t>
      </w:r>
      <w:r>
        <w:rPr>
          <w:color w:val="auto"/>
          <w:highlight w:val="none"/>
        </w:rPr>
        <w:fldChar w:fldCharType="end"/>
      </w:r>
      <w:r>
        <w:rPr>
          <w:rFonts w:ascii="宋体" w:hAnsi="宋体" w:eastAsia="宋体" w:cs="宋体"/>
          <w:bCs/>
          <w:color w:val="auto"/>
          <w:szCs w:val="21"/>
          <w:highlight w:val="none"/>
        </w:rPr>
        <w:fldChar w:fldCharType="end"/>
      </w:r>
    </w:p>
    <w:p w14:paraId="120DB16C">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_Toc23619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rPr>
        <w:t>39</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中标服务费</w:t>
      </w:r>
      <w:r>
        <w:rPr>
          <w:color w:val="auto"/>
          <w:highlight w:val="none"/>
        </w:rPr>
        <w:tab/>
      </w:r>
      <w:r>
        <w:rPr>
          <w:color w:val="auto"/>
          <w:highlight w:val="none"/>
        </w:rPr>
        <w:fldChar w:fldCharType="begin"/>
      </w:r>
      <w:r>
        <w:rPr>
          <w:color w:val="auto"/>
          <w:highlight w:val="none"/>
        </w:rPr>
        <w:instrText xml:space="preserve"> PAGEREF _Toc23619 \h </w:instrText>
      </w:r>
      <w:r>
        <w:rPr>
          <w:color w:val="auto"/>
          <w:highlight w:val="none"/>
        </w:rPr>
        <w:fldChar w:fldCharType="separate"/>
      </w:r>
      <w:r>
        <w:rPr>
          <w:color w:val="auto"/>
          <w:highlight w:val="none"/>
        </w:rPr>
        <w:t>26</w:t>
      </w:r>
      <w:r>
        <w:rPr>
          <w:color w:val="auto"/>
          <w:highlight w:val="none"/>
        </w:rPr>
        <w:fldChar w:fldCharType="end"/>
      </w:r>
      <w:r>
        <w:rPr>
          <w:rFonts w:ascii="宋体" w:hAnsi="宋体" w:eastAsia="宋体" w:cs="宋体"/>
          <w:bCs/>
          <w:color w:val="auto"/>
          <w:szCs w:val="21"/>
          <w:highlight w:val="none"/>
        </w:rPr>
        <w:fldChar w:fldCharType="end"/>
      </w:r>
    </w:p>
    <w:p w14:paraId="094B3D2D">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_Toc1528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rPr>
        <w:t>40</w:t>
      </w:r>
      <w:r>
        <w:rPr>
          <w:rFonts w:hint="eastAsia" w:ascii="宋体" w:hAnsi="宋体" w:eastAsia="宋体" w:cs="宋体"/>
          <w:color w:val="auto"/>
          <w:szCs w:val="21"/>
          <w:highlight w:val="none"/>
          <w:lang w:val="zh-CN"/>
        </w:rPr>
        <w:t xml:space="preserve"> 发票</w:t>
      </w:r>
      <w:r>
        <w:rPr>
          <w:color w:val="auto"/>
          <w:highlight w:val="none"/>
        </w:rPr>
        <w:tab/>
      </w:r>
      <w:r>
        <w:rPr>
          <w:color w:val="auto"/>
          <w:highlight w:val="none"/>
        </w:rPr>
        <w:fldChar w:fldCharType="begin"/>
      </w:r>
      <w:r>
        <w:rPr>
          <w:color w:val="auto"/>
          <w:highlight w:val="none"/>
        </w:rPr>
        <w:instrText xml:space="preserve"> PAGEREF _Toc1528 \h </w:instrText>
      </w:r>
      <w:r>
        <w:rPr>
          <w:color w:val="auto"/>
          <w:highlight w:val="none"/>
        </w:rPr>
        <w:fldChar w:fldCharType="separate"/>
      </w:r>
      <w:r>
        <w:rPr>
          <w:color w:val="auto"/>
          <w:highlight w:val="none"/>
        </w:rPr>
        <w:t>26</w:t>
      </w:r>
      <w:r>
        <w:rPr>
          <w:color w:val="auto"/>
          <w:highlight w:val="none"/>
        </w:rPr>
        <w:fldChar w:fldCharType="end"/>
      </w:r>
      <w:r>
        <w:rPr>
          <w:rFonts w:ascii="宋体" w:hAnsi="宋体" w:eastAsia="宋体" w:cs="宋体"/>
          <w:bCs/>
          <w:color w:val="auto"/>
          <w:szCs w:val="21"/>
          <w:highlight w:val="none"/>
        </w:rPr>
        <w:fldChar w:fldCharType="end"/>
      </w:r>
    </w:p>
    <w:p w14:paraId="0956F044">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_Toc12802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rPr>
        <w:t>41</w:t>
      </w:r>
      <w:r>
        <w:rPr>
          <w:rFonts w:ascii="宋体" w:hAnsi="宋体" w:eastAsia="宋体" w:cs="宋体"/>
          <w:color w:val="auto"/>
          <w:szCs w:val="21"/>
          <w:highlight w:val="none"/>
        </w:rPr>
        <w:t xml:space="preserve"> 招标相关补充约定</w:t>
      </w:r>
      <w:r>
        <w:rPr>
          <w:color w:val="auto"/>
          <w:highlight w:val="none"/>
        </w:rPr>
        <w:tab/>
      </w:r>
      <w:r>
        <w:rPr>
          <w:color w:val="auto"/>
          <w:highlight w:val="none"/>
        </w:rPr>
        <w:fldChar w:fldCharType="begin"/>
      </w:r>
      <w:r>
        <w:rPr>
          <w:color w:val="auto"/>
          <w:highlight w:val="none"/>
        </w:rPr>
        <w:instrText xml:space="preserve"> PAGEREF _Toc12802 \h </w:instrText>
      </w:r>
      <w:r>
        <w:rPr>
          <w:color w:val="auto"/>
          <w:highlight w:val="none"/>
        </w:rPr>
        <w:fldChar w:fldCharType="separate"/>
      </w:r>
      <w:r>
        <w:rPr>
          <w:color w:val="auto"/>
          <w:highlight w:val="none"/>
        </w:rPr>
        <w:t>26</w:t>
      </w:r>
      <w:r>
        <w:rPr>
          <w:color w:val="auto"/>
          <w:highlight w:val="none"/>
        </w:rPr>
        <w:fldChar w:fldCharType="end"/>
      </w:r>
      <w:r>
        <w:rPr>
          <w:rFonts w:ascii="宋体" w:hAnsi="宋体" w:eastAsia="宋体" w:cs="宋体"/>
          <w:bCs/>
          <w:color w:val="auto"/>
          <w:szCs w:val="21"/>
          <w:highlight w:val="none"/>
        </w:rPr>
        <w:fldChar w:fldCharType="end"/>
      </w:r>
    </w:p>
    <w:p w14:paraId="04582ED6">
      <w:pPr>
        <w:pStyle w:val="22"/>
        <w:tabs>
          <w:tab w:val="right" w:leader="dot" w:pos="9346"/>
          <w:tab w:val="clear" w:pos="10144"/>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_Toc18453 </w:instrText>
      </w:r>
      <w:r>
        <w:rPr>
          <w:rFonts w:ascii="宋体" w:hAnsi="宋体" w:eastAsia="宋体" w:cs="宋体"/>
          <w:bCs/>
          <w:color w:val="auto"/>
          <w:szCs w:val="21"/>
          <w:highlight w:val="none"/>
        </w:rPr>
        <w:fldChar w:fldCharType="separate"/>
      </w:r>
      <w:r>
        <w:rPr>
          <w:rFonts w:hint="eastAsia" w:ascii="宋体" w:hAnsi="宋体" w:eastAsia="宋体" w:cs="宋体"/>
          <w:color w:val="auto"/>
          <w:szCs w:val="21"/>
          <w:highlight w:val="none"/>
        </w:rPr>
        <w:t>42 本次招标活动的最终解释权归招标代理机构及招标人所有。</w:t>
      </w:r>
      <w:r>
        <w:rPr>
          <w:color w:val="auto"/>
          <w:highlight w:val="none"/>
        </w:rPr>
        <w:tab/>
      </w:r>
      <w:r>
        <w:rPr>
          <w:color w:val="auto"/>
          <w:highlight w:val="none"/>
        </w:rPr>
        <w:fldChar w:fldCharType="begin"/>
      </w:r>
      <w:r>
        <w:rPr>
          <w:color w:val="auto"/>
          <w:highlight w:val="none"/>
        </w:rPr>
        <w:instrText xml:space="preserve"> PAGEREF _Toc18453 \h </w:instrText>
      </w:r>
      <w:r>
        <w:rPr>
          <w:color w:val="auto"/>
          <w:highlight w:val="none"/>
        </w:rPr>
        <w:fldChar w:fldCharType="separate"/>
      </w:r>
      <w:r>
        <w:rPr>
          <w:color w:val="auto"/>
          <w:highlight w:val="none"/>
        </w:rPr>
        <w:t>26</w:t>
      </w:r>
      <w:r>
        <w:rPr>
          <w:color w:val="auto"/>
          <w:highlight w:val="none"/>
        </w:rPr>
        <w:fldChar w:fldCharType="end"/>
      </w:r>
      <w:r>
        <w:rPr>
          <w:rFonts w:ascii="宋体" w:hAnsi="宋体" w:eastAsia="宋体" w:cs="宋体"/>
          <w:bCs/>
          <w:color w:val="auto"/>
          <w:szCs w:val="21"/>
          <w:highlight w:val="none"/>
        </w:rPr>
        <w:fldChar w:fldCharType="end"/>
      </w:r>
    </w:p>
    <w:p w14:paraId="4942F45F">
      <w:pPr>
        <w:pStyle w:val="30"/>
        <w:tabs>
          <w:tab w:val="right" w:leader="dot" w:pos="9346"/>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_Toc13875 </w:instrText>
      </w:r>
      <w:r>
        <w:rPr>
          <w:rFonts w:ascii="宋体" w:hAnsi="宋体" w:eastAsia="宋体" w:cs="宋体"/>
          <w:bCs/>
          <w:color w:val="auto"/>
          <w:szCs w:val="21"/>
          <w:highlight w:val="none"/>
        </w:rPr>
        <w:fldChar w:fldCharType="separate"/>
      </w:r>
      <w:r>
        <w:rPr>
          <w:rFonts w:hint="eastAsia" w:ascii="宋体" w:hAnsi="宋体" w:eastAsia="宋体" w:cs="宋体"/>
          <w:bCs/>
          <w:color w:val="auto"/>
          <w:kern w:val="44"/>
          <w:szCs w:val="32"/>
          <w:highlight w:val="none"/>
          <w:lang w:val="zh-CN"/>
        </w:rPr>
        <w:t>第三篇</w:t>
      </w:r>
      <w:r>
        <w:rPr>
          <w:rFonts w:ascii="宋体" w:hAnsi="宋体" w:eastAsia="宋体" w:cs="宋体"/>
          <w:bCs/>
          <w:color w:val="auto"/>
          <w:kern w:val="44"/>
          <w:szCs w:val="32"/>
          <w:highlight w:val="none"/>
          <w:lang w:val="zh-CN"/>
        </w:rPr>
        <w:t xml:space="preserve"> </w:t>
      </w:r>
      <w:r>
        <w:rPr>
          <w:rFonts w:hint="eastAsia" w:ascii="宋体" w:hAnsi="宋体" w:eastAsia="宋体" w:cs="宋体"/>
          <w:bCs/>
          <w:color w:val="auto"/>
          <w:kern w:val="44"/>
          <w:szCs w:val="32"/>
          <w:highlight w:val="none"/>
          <w:lang w:val="zh-CN"/>
        </w:rPr>
        <w:t>用户需求书</w:t>
      </w:r>
      <w:r>
        <w:rPr>
          <w:color w:val="auto"/>
          <w:highlight w:val="none"/>
        </w:rPr>
        <w:tab/>
      </w:r>
      <w:r>
        <w:rPr>
          <w:color w:val="auto"/>
          <w:highlight w:val="none"/>
        </w:rPr>
        <w:fldChar w:fldCharType="begin"/>
      </w:r>
      <w:r>
        <w:rPr>
          <w:color w:val="auto"/>
          <w:highlight w:val="none"/>
        </w:rPr>
        <w:instrText xml:space="preserve"> PAGEREF _Toc13875 \h </w:instrText>
      </w:r>
      <w:r>
        <w:rPr>
          <w:color w:val="auto"/>
          <w:highlight w:val="none"/>
        </w:rPr>
        <w:fldChar w:fldCharType="separate"/>
      </w:r>
      <w:r>
        <w:rPr>
          <w:color w:val="auto"/>
          <w:highlight w:val="none"/>
        </w:rPr>
        <w:t>27</w:t>
      </w:r>
      <w:r>
        <w:rPr>
          <w:color w:val="auto"/>
          <w:highlight w:val="none"/>
        </w:rPr>
        <w:fldChar w:fldCharType="end"/>
      </w:r>
      <w:r>
        <w:rPr>
          <w:rFonts w:ascii="宋体" w:hAnsi="宋体" w:eastAsia="宋体" w:cs="宋体"/>
          <w:bCs/>
          <w:color w:val="auto"/>
          <w:szCs w:val="21"/>
          <w:highlight w:val="none"/>
        </w:rPr>
        <w:fldChar w:fldCharType="end"/>
      </w:r>
    </w:p>
    <w:p w14:paraId="6CD14513">
      <w:pPr>
        <w:pStyle w:val="30"/>
        <w:tabs>
          <w:tab w:val="right" w:leader="dot" w:pos="9346"/>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_Toc19547 </w:instrText>
      </w:r>
      <w:r>
        <w:rPr>
          <w:rFonts w:ascii="宋体" w:hAnsi="宋体" w:eastAsia="宋体" w:cs="宋体"/>
          <w:bCs/>
          <w:color w:val="auto"/>
          <w:szCs w:val="21"/>
          <w:highlight w:val="none"/>
        </w:rPr>
        <w:fldChar w:fldCharType="separate"/>
      </w:r>
      <w:r>
        <w:rPr>
          <w:rFonts w:hint="eastAsia" w:ascii="宋体" w:hAnsi="宋体" w:eastAsia="宋体" w:cs="宋体"/>
          <w:bCs/>
          <w:color w:val="auto"/>
          <w:kern w:val="44"/>
          <w:szCs w:val="32"/>
          <w:highlight w:val="none"/>
          <w:lang w:val="zh-CN"/>
        </w:rPr>
        <w:t>第四篇</w:t>
      </w:r>
      <w:r>
        <w:rPr>
          <w:rFonts w:ascii="宋体" w:hAnsi="宋体" w:eastAsia="宋体" w:cs="宋体"/>
          <w:bCs/>
          <w:color w:val="auto"/>
          <w:kern w:val="44"/>
          <w:szCs w:val="32"/>
          <w:highlight w:val="none"/>
          <w:lang w:val="zh-CN"/>
        </w:rPr>
        <w:t xml:space="preserve"> </w:t>
      </w:r>
      <w:r>
        <w:rPr>
          <w:rFonts w:hint="eastAsia" w:ascii="宋体" w:hAnsi="宋体" w:eastAsia="宋体" w:cs="宋体"/>
          <w:bCs/>
          <w:color w:val="auto"/>
          <w:kern w:val="44"/>
          <w:szCs w:val="32"/>
          <w:highlight w:val="none"/>
          <w:lang w:val="zh-CN"/>
        </w:rPr>
        <w:t>合同条款格式</w:t>
      </w:r>
      <w:r>
        <w:rPr>
          <w:color w:val="auto"/>
          <w:highlight w:val="none"/>
        </w:rPr>
        <w:tab/>
      </w:r>
      <w:r>
        <w:rPr>
          <w:color w:val="auto"/>
          <w:highlight w:val="none"/>
        </w:rPr>
        <w:fldChar w:fldCharType="begin"/>
      </w:r>
      <w:r>
        <w:rPr>
          <w:color w:val="auto"/>
          <w:highlight w:val="none"/>
        </w:rPr>
        <w:instrText xml:space="preserve"> PAGEREF _Toc19547 \h </w:instrText>
      </w:r>
      <w:r>
        <w:rPr>
          <w:color w:val="auto"/>
          <w:highlight w:val="none"/>
        </w:rPr>
        <w:fldChar w:fldCharType="separate"/>
      </w:r>
      <w:r>
        <w:rPr>
          <w:color w:val="auto"/>
          <w:highlight w:val="none"/>
        </w:rPr>
        <w:t>101</w:t>
      </w:r>
      <w:r>
        <w:rPr>
          <w:color w:val="auto"/>
          <w:highlight w:val="none"/>
        </w:rPr>
        <w:fldChar w:fldCharType="end"/>
      </w:r>
      <w:r>
        <w:rPr>
          <w:rFonts w:ascii="宋体" w:hAnsi="宋体" w:eastAsia="宋体" w:cs="宋体"/>
          <w:bCs/>
          <w:color w:val="auto"/>
          <w:szCs w:val="21"/>
          <w:highlight w:val="none"/>
        </w:rPr>
        <w:fldChar w:fldCharType="end"/>
      </w:r>
    </w:p>
    <w:p w14:paraId="320592AC">
      <w:pPr>
        <w:pStyle w:val="30"/>
        <w:tabs>
          <w:tab w:val="right" w:leader="dot" w:pos="9346"/>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_Toc16457 </w:instrText>
      </w:r>
      <w:r>
        <w:rPr>
          <w:rFonts w:ascii="宋体" w:hAnsi="宋体" w:eastAsia="宋体" w:cs="宋体"/>
          <w:bCs/>
          <w:color w:val="auto"/>
          <w:szCs w:val="21"/>
          <w:highlight w:val="none"/>
        </w:rPr>
        <w:fldChar w:fldCharType="separate"/>
      </w:r>
      <w:r>
        <w:rPr>
          <w:rFonts w:hint="eastAsia" w:ascii="宋体" w:hAnsi="宋体" w:eastAsia="宋体" w:cs="Times New Roman"/>
          <w:bCs/>
          <w:color w:val="auto"/>
          <w:szCs w:val="32"/>
          <w:highlight w:val="none"/>
          <w:lang w:val="zh-CN"/>
        </w:rPr>
        <w:t>第五篇</w:t>
      </w:r>
      <w:r>
        <w:rPr>
          <w:rFonts w:ascii="宋体" w:hAnsi="宋体" w:eastAsia="宋体" w:cs="Times New Roman"/>
          <w:bCs/>
          <w:color w:val="auto"/>
          <w:szCs w:val="32"/>
          <w:highlight w:val="none"/>
          <w:lang w:val="zh-CN"/>
        </w:rPr>
        <w:t xml:space="preserve"> </w:t>
      </w:r>
      <w:r>
        <w:rPr>
          <w:rFonts w:hint="eastAsia" w:ascii="宋体" w:hAnsi="宋体" w:eastAsia="宋体" w:cs="Times New Roman"/>
          <w:bCs/>
          <w:color w:val="auto"/>
          <w:szCs w:val="32"/>
          <w:highlight w:val="none"/>
          <w:lang w:val="zh-CN"/>
        </w:rPr>
        <w:t>相关保函格式</w:t>
      </w:r>
      <w:r>
        <w:rPr>
          <w:color w:val="auto"/>
          <w:highlight w:val="none"/>
        </w:rPr>
        <w:tab/>
      </w:r>
      <w:r>
        <w:rPr>
          <w:color w:val="auto"/>
          <w:highlight w:val="none"/>
        </w:rPr>
        <w:fldChar w:fldCharType="begin"/>
      </w:r>
      <w:r>
        <w:rPr>
          <w:color w:val="auto"/>
          <w:highlight w:val="none"/>
        </w:rPr>
        <w:instrText xml:space="preserve"> PAGEREF _Toc16457 \h </w:instrText>
      </w:r>
      <w:r>
        <w:rPr>
          <w:color w:val="auto"/>
          <w:highlight w:val="none"/>
        </w:rPr>
        <w:fldChar w:fldCharType="separate"/>
      </w:r>
      <w:r>
        <w:rPr>
          <w:color w:val="auto"/>
          <w:highlight w:val="none"/>
        </w:rPr>
        <w:t>128</w:t>
      </w:r>
      <w:r>
        <w:rPr>
          <w:color w:val="auto"/>
          <w:highlight w:val="none"/>
        </w:rPr>
        <w:fldChar w:fldCharType="end"/>
      </w:r>
      <w:r>
        <w:rPr>
          <w:rFonts w:ascii="宋体" w:hAnsi="宋体" w:eastAsia="宋体" w:cs="宋体"/>
          <w:bCs/>
          <w:color w:val="auto"/>
          <w:szCs w:val="21"/>
          <w:highlight w:val="none"/>
        </w:rPr>
        <w:fldChar w:fldCharType="end"/>
      </w:r>
    </w:p>
    <w:p w14:paraId="71A9992F">
      <w:pPr>
        <w:pStyle w:val="30"/>
        <w:tabs>
          <w:tab w:val="right" w:leader="dot" w:pos="9346"/>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_Toc9056 </w:instrText>
      </w:r>
      <w:r>
        <w:rPr>
          <w:rFonts w:ascii="宋体" w:hAnsi="宋体" w:eastAsia="宋体" w:cs="宋体"/>
          <w:bCs/>
          <w:color w:val="auto"/>
          <w:szCs w:val="21"/>
          <w:highlight w:val="none"/>
        </w:rPr>
        <w:fldChar w:fldCharType="separate"/>
      </w:r>
      <w:r>
        <w:rPr>
          <w:rFonts w:hint="eastAsia" w:ascii="宋体" w:hAnsi="宋体" w:eastAsia="宋体" w:cs="宋体"/>
          <w:bCs/>
          <w:color w:val="auto"/>
          <w:kern w:val="44"/>
          <w:szCs w:val="32"/>
          <w:highlight w:val="none"/>
          <w:lang w:val="zh-CN"/>
        </w:rPr>
        <w:t>第六篇 投标文件格式</w:t>
      </w:r>
      <w:r>
        <w:rPr>
          <w:color w:val="auto"/>
          <w:highlight w:val="none"/>
        </w:rPr>
        <w:tab/>
      </w:r>
      <w:r>
        <w:rPr>
          <w:color w:val="auto"/>
          <w:highlight w:val="none"/>
        </w:rPr>
        <w:fldChar w:fldCharType="begin"/>
      </w:r>
      <w:r>
        <w:rPr>
          <w:color w:val="auto"/>
          <w:highlight w:val="none"/>
        </w:rPr>
        <w:instrText xml:space="preserve"> PAGEREF _Toc9056 \h </w:instrText>
      </w:r>
      <w:r>
        <w:rPr>
          <w:color w:val="auto"/>
          <w:highlight w:val="none"/>
        </w:rPr>
        <w:fldChar w:fldCharType="separate"/>
      </w:r>
      <w:r>
        <w:rPr>
          <w:color w:val="auto"/>
          <w:highlight w:val="none"/>
        </w:rPr>
        <w:t>131</w:t>
      </w:r>
      <w:r>
        <w:rPr>
          <w:color w:val="auto"/>
          <w:highlight w:val="none"/>
        </w:rPr>
        <w:fldChar w:fldCharType="end"/>
      </w:r>
      <w:r>
        <w:rPr>
          <w:rFonts w:ascii="宋体" w:hAnsi="宋体" w:eastAsia="宋体" w:cs="宋体"/>
          <w:bCs/>
          <w:color w:val="auto"/>
          <w:szCs w:val="21"/>
          <w:highlight w:val="none"/>
        </w:rPr>
        <w:fldChar w:fldCharType="end"/>
      </w:r>
    </w:p>
    <w:p w14:paraId="0FAEAB77">
      <w:pPr>
        <w:pStyle w:val="30"/>
        <w:tabs>
          <w:tab w:val="right" w:leader="dot" w:pos="9346"/>
        </w:tabs>
        <w:rPr>
          <w:color w:val="auto"/>
          <w:highlight w:val="none"/>
        </w:rPr>
      </w:pPr>
      <w:r>
        <w:rPr>
          <w:rFonts w:ascii="宋体" w:hAnsi="宋体" w:eastAsia="宋体" w:cs="宋体"/>
          <w:bCs/>
          <w:color w:val="auto"/>
          <w:szCs w:val="21"/>
          <w:highlight w:val="none"/>
        </w:rPr>
        <w:fldChar w:fldCharType="begin"/>
      </w:r>
      <w:r>
        <w:rPr>
          <w:rFonts w:ascii="宋体" w:hAnsi="宋体" w:eastAsia="宋体" w:cs="宋体"/>
          <w:bCs/>
          <w:color w:val="auto"/>
          <w:szCs w:val="21"/>
          <w:highlight w:val="none"/>
        </w:rPr>
        <w:instrText xml:space="preserve"> HYPERLINK \l _Toc15947 </w:instrText>
      </w:r>
      <w:r>
        <w:rPr>
          <w:rFonts w:ascii="宋体" w:hAnsi="宋体" w:eastAsia="宋体" w:cs="宋体"/>
          <w:bCs/>
          <w:color w:val="auto"/>
          <w:szCs w:val="21"/>
          <w:highlight w:val="none"/>
        </w:rPr>
        <w:fldChar w:fldCharType="separate"/>
      </w:r>
      <w:r>
        <w:rPr>
          <w:rFonts w:hint="eastAsia" w:ascii="宋体" w:hAnsi="宋体" w:eastAsia="宋体" w:cs="宋体"/>
          <w:bCs/>
          <w:color w:val="auto"/>
          <w:kern w:val="44"/>
          <w:szCs w:val="32"/>
          <w:highlight w:val="none"/>
          <w:lang w:val="zh-CN"/>
        </w:rPr>
        <w:t>附件一：评标工作大纲</w:t>
      </w:r>
      <w:r>
        <w:rPr>
          <w:color w:val="auto"/>
          <w:highlight w:val="none"/>
        </w:rPr>
        <w:tab/>
      </w:r>
      <w:r>
        <w:rPr>
          <w:color w:val="auto"/>
          <w:highlight w:val="none"/>
        </w:rPr>
        <w:fldChar w:fldCharType="begin"/>
      </w:r>
      <w:r>
        <w:rPr>
          <w:color w:val="auto"/>
          <w:highlight w:val="none"/>
        </w:rPr>
        <w:instrText xml:space="preserve"> PAGEREF _Toc15947 \h </w:instrText>
      </w:r>
      <w:r>
        <w:rPr>
          <w:color w:val="auto"/>
          <w:highlight w:val="none"/>
        </w:rPr>
        <w:fldChar w:fldCharType="separate"/>
      </w:r>
      <w:r>
        <w:rPr>
          <w:color w:val="auto"/>
          <w:highlight w:val="none"/>
        </w:rPr>
        <w:t>175</w:t>
      </w:r>
      <w:r>
        <w:rPr>
          <w:color w:val="auto"/>
          <w:highlight w:val="none"/>
        </w:rPr>
        <w:fldChar w:fldCharType="end"/>
      </w:r>
      <w:r>
        <w:rPr>
          <w:rFonts w:ascii="宋体" w:hAnsi="宋体" w:eastAsia="宋体" w:cs="宋体"/>
          <w:bCs/>
          <w:color w:val="auto"/>
          <w:szCs w:val="21"/>
          <w:highlight w:val="none"/>
        </w:rPr>
        <w:fldChar w:fldCharType="end"/>
      </w:r>
    </w:p>
    <w:p w14:paraId="6EB9AB25">
      <w:pPr>
        <w:keepNext w:val="0"/>
        <w:keepLines w:val="0"/>
        <w:pageBreakBefore w:val="0"/>
        <w:widowControl w:val="0"/>
        <w:tabs>
          <w:tab w:val="left" w:pos="851"/>
          <w:tab w:val="right" w:leader="dot" w:pos="10206"/>
        </w:tabs>
        <w:kinsoku/>
        <w:wordWrap/>
        <w:overflowPunct/>
        <w:topLinePunct w:val="0"/>
        <w:autoSpaceDE/>
        <w:autoSpaceDN/>
        <w:bidi w:val="0"/>
        <w:adjustRightInd/>
        <w:snapToGrid w:val="0"/>
        <w:spacing w:line="360" w:lineRule="auto"/>
        <w:ind w:left="0" w:leftChars="0" w:firstLine="0" w:firstLineChars="0"/>
        <w:textAlignment w:val="auto"/>
        <w:rPr>
          <w:rFonts w:ascii="宋体" w:hAnsi="宋体" w:eastAsia="宋体" w:cs="宋体"/>
          <w:b/>
          <w:bCs/>
          <w:color w:val="auto"/>
          <w:szCs w:val="21"/>
          <w:highlight w:val="none"/>
        </w:rPr>
      </w:pPr>
      <w:r>
        <w:rPr>
          <w:rFonts w:ascii="宋体" w:hAnsi="宋体" w:eastAsia="宋体" w:cs="宋体"/>
          <w:bCs/>
          <w:color w:val="auto"/>
          <w:szCs w:val="21"/>
          <w:highlight w:val="none"/>
        </w:rPr>
        <w:fldChar w:fldCharType="end"/>
      </w:r>
    </w:p>
    <w:bookmarkEnd w:id="0"/>
    <w:p w14:paraId="65CDB111">
      <w:pPr>
        <w:keepNext/>
        <w:keepLines/>
        <w:pageBreakBefore/>
        <w:tabs>
          <w:tab w:val="left" w:pos="1080"/>
        </w:tabs>
        <w:autoSpaceDE w:val="0"/>
        <w:autoSpaceDN w:val="0"/>
        <w:adjustRightInd w:val="0"/>
        <w:spacing w:line="360" w:lineRule="auto"/>
        <w:ind w:left="357" w:leftChars="-100" w:hanging="567"/>
        <w:jc w:val="center"/>
        <w:outlineLvl w:val="0"/>
        <w:rPr>
          <w:rFonts w:ascii="宋体" w:hAnsi="宋体" w:eastAsia="宋体" w:cs="Times New Roman"/>
          <w:b/>
          <w:bCs/>
          <w:color w:val="auto"/>
          <w:kern w:val="44"/>
          <w:sz w:val="44"/>
          <w:szCs w:val="44"/>
          <w:highlight w:val="none"/>
          <w:lang w:val="zh-CN"/>
        </w:rPr>
      </w:pPr>
      <w:bookmarkStart w:id="1" w:name="_Toc486167660"/>
      <w:bookmarkStart w:id="2" w:name="_Toc20957"/>
      <w:bookmarkStart w:id="3" w:name="_Toc2723_WPSOffice_Level1"/>
      <w:bookmarkStart w:id="4" w:name="_Toc195714214"/>
      <w:bookmarkStart w:id="5" w:name="_Toc17326"/>
      <w:bookmarkStart w:id="6" w:name="_Toc4869"/>
      <w:bookmarkStart w:id="7" w:name="_Toc142508310"/>
      <w:bookmarkStart w:id="8" w:name="_Toc450662846"/>
      <w:r>
        <w:rPr>
          <w:rFonts w:ascii="宋体" w:hAnsi="宋体" w:eastAsia="宋体" w:cs="Times New Roman"/>
          <w:b/>
          <w:bCs/>
          <w:color w:val="auto"/>
          <w:kern w:val="44"/>
          <w:sz w:val="32"/>
          <w:szCs w:val="32"/>
          <w:highlight w:val="none"/>
          <w:lang w:val="zh-CN"/>
        </w:rPr>
        <w:t>第一篇 招标公告</w:t>
      </w:r>
      <w:bookmarkEnd w:id="1"/>
      <w:bookmarkEnd w:id="2"/>
      <w:bookmarkEnd w:id="3"/>
      <w:bookmarkEnd w:id="4"/>
      <w:bookmarkEnd w:id="5"/>
      <w:bookmarkEnd w:id="6"/>
      <w:bookmarkEnd w:id="7"/>
      <w:bookmarkEnd w:id="8"/>
    </w:p>
    <w:p w14:paraId="5E74B256">
      <w:pPr>
        <w:autoSpaceDE w:val="0"/>
        <w:autoSpaceDN w:val="0"/>
        <w:adjustRightInd w:val="0"/>
        <w:snapToGrid w:val="0"/>
        <w:spacing w:line="360" w:lineRule="auto"/>
        <w:ind w:right="-34" w:firstLine="420" w:firstLineChars="200"/>
        <w:rPr>
          <w:rFonts w:ascii="宋体" w:hAnsi="宋体" w:eastAsia="宋体" w:cs="Times New Roman"/>
          <w:color w:val="auto"/>
          <w:szCs w:val="21"/>
          <w:highlight w:val="none"/>
          <w:lang w:val="zh-CN"/>
        </w:rPr>
      </w:pPr>
      <w:r>
        <w:rPr>
          <w:rFonts w:hint="eastAsia" w:ascii="宋体" w:hAnsi="宋体" w:eastAsia="宋体" w:cs="Times New Roman"/>
          <w:color w:val="auto"/>
          <w:kern w:val="0"/>
          <w:szCs w:val="21"/>
          <w:highlight w:val="none"/>
        </w:rPr>
        <w:t>东莞市达盛招标代理有限公司</w:t>
      </w:r>
      <w:r>
        <w:rPr>
          <w:rFonts w:ascii="宋体" w:hAnsi="宋体" w:eastAsia="宋体" w:cs="Times New Roman"/>
          <w:color w:val="auto"/>
          <w:szCs w:val="21"/>
          <w:highlight w:val="none"/>
          <w:lang w:val="zh-CN"/>
        </w:rPr>
        <w:t>（以下简称“招标代理机构”）受</w:t>
      </w:r>
      <w:r>
        <w:rPr>
          <w:rFonts w:hint="eastAsia" w:ascii="宋体" w:hAnsi="宋体" w:eastAsia="宋体" w:cs="Times New Roman"/>
          <w:color w:val="auto"/>
          <w:kern w:val="0"/>
          <w:szCs w:val="21"/>
          <w:highlight w:val="none"/>
        </w:rPr>
        <w:t>东莞市石鼓净水有限公司</w:t>
      </w:r>
      <w:r>
        <w:rPr>
          <w:rFonts w:ascii="宋体" w:hAnsi="宋体" w:eastAsia="宋体" w:cs="Times New Roman"/>
          <w:color w:val="auto"/>
          <w:szCs w:val="21"/>
          <w:highlight w:val="none"/>
          <w:lang w:val="zh-CN"/>
        </w:rPr>
        <w:t>（以下简称“招标人”）的委托，对</w:t>
      </w:r>
      <w:bookmarkStart w:id="9" w:name="_Hlk41903390"/>
      <w:r>
        <w:rPr>
          <w:rFonts w:hint="eastAsia" w:ascii="宋体" w:hAnsi="宋体" w:eastAsia="宋体" w:cs="Times New Roman"/>
          <w:color w:val="auto"/>
          <w:kern w:val="0"/>
          <w:szCs w:val="21"/>
          <w:highlight w:val="none"/>
        </w:rPr>
        <w:t>东莞市石鼓净水有限公司污水处理厂及提标项目中控系统集约化升级改造项目</w:t>
      </w:r>
      <w:r>
        <w:rPr>
          <w:rFonts w:ascii="宋体" w:hAnsi="宋体" w:eastAsia="宋体" w:cs="Times New Roman"/>
          <w:color w:val="auto"/>
          <w:szCs w:val="21"/>
          <w:highlight w:val="none"/>
          <w:lang w:val="zh-CN"/>
        </w:rPr>
        <w:t>(招标编号：</w:t>
      </w:r>
      <w:r>
        <w:rPr>
          <w:rFonts w:hint="eastAsia" w:ascii="宋体" w:hAnsi="宋体" w:eastAsia="宋体" w:cs="Times New Roman"/>
          <w:color w:val="auto"/>
          <w:szCs w:val="21"/>
          <w:highlight w:val="none"/>
          <w:lang w:val="zh-CN"/>
        </w:rPr>
        <w:t>SSWSSZ12501186</w:t>
      </w:r>
      <w:r>
        <w:rPr>
          <w:rFonts w:ascii="宋体" w:hAnsi="宋体" w:eastAsia="宋体" w:cs="Times New Roman"/>
          <w:color w:val="auto"/>
          <w:szCs w:val="21"/>
          <w:highlight w:val="none"/>
          <w:lang w:val="zh-CN"/>
        </w:rPr>
        <w:t>)</w:t>
      </w:r>
      <w:bookmarkEnd w:id="9"/>
      <w:r>
        <w:rPr>
          <w:rFonts w:ascii="宋体" w:hAnsi="宋体" w:eastAsia="宋体" w:cs="Times New Roman"/>
          <w:color w:val="auto"/>
          <w:szCs w:val="21"/>
          <w:highlight w:val="none"/>
          <w:lang w:val="zh-CN"/>
        </w:rPr>
        <w:t>进行国内公开招标，</w:t>
      </w:r>
      <w:r>
        <w:rPr>
          <w:rFonts w:hint="eastAsia" w:ascii="宋体" w:hAnsi="宋体" w:eastAsia="宋体" w:cs="Times New Roman"/>
          <w:bCs/>
          <w:color w:val="auto"/>
          <w:kern w:val="0"/>
          <w:szCs w:val="21"/>
          <w:highlight w:val="none"/>
        </w:rPr>
        <w:t>详情请参见本招标文件</w:t>
      </w:r>
      <w:r>
        <w:rPr>
          <w:rFonts w:ascii="宋体" w:hAnsi="宋体" w:eastAsia="宋体" w:cs="Times New Roman"/>
          <w:bCs/>
          <w:color w:val="auto"/>
          <w:kern w:val="0"/>
          <w:szCs w:val="21"/>
          <w:highlight w:val="none"/>
        </w:rPr>
        <w:t>。</w:t>
      </w:r>
      <w:r>
        <w:rPr>
          <w:rFonts w:hint="eastAsia" w:ascii="宋体" w:hAnsi="宋体" w:eastAsia="宋体" w:cs="Times New Roman"/>
          <w:color w:val="auto"/>
          <w:kern w:val="0"/>
          <w:szCs w:val="21"/>
          <w:highlight w:val="none"/>
        </w:rPr>
        <w:t>欢迎符合条件的合格投标人参加投标，</w:t>
      </w:r>
      <w:r>
        <w:rPr>
          <w:rFonts w:hint="eastAsia" w:ascii="宋体" w:hAnsi="宋体" w:eastAsia="宋体" w:cs="Times New Roman"/>
          <w:bCs/>
          <w:color w:val="auto"/>
          <w:kern w:val="0"/>
          <w:szCs w:val="21"/>
          <w:highlight w:val="none"/>
        </w:rPr>
        <w:t>有关事项如下：</w:t>
      </w:r>
    </w:p>
    <w:p w14:paraId="30082BE2">
      <w:pPr>
        <w:autoSpaceDE w:val="0"/>
        <w:autoSpaceDN w:val="0"/>
        <w:adjustRightInd w:val="0"/>
        <w:spacing w:line="360" w:lineRule="auto"/>
        <w:ind w:right="-29" w:rightChars="-14" w:firstLine="420" w:firstLineChars="200"/>
        <w:rPr>
          <w:rFonts w:ascii="宋体" w:hAnsi="宋体" w:eastAsia="宋体" w:cs="Times New Roman"/>
          <w:color w:val="auto"/>
          <w:szCs w:val="21"/>
          <w:highlight w:val="none"/>
          <w:lang w:val="zh-CN"/>
        </w:rPr>
      </w:pPr>
    </w:p>
    <w:p w14:paraId="46B61600">
      <w:pPr>
        <w:numPr>
          <w:ilvl w:val="0"/>
          <w:numId w:val="1"/>
        </w:numPr>
        <w:autoSpaceDE w:val="0"/>
        <w:autoSpaceDN w:val="0"/>
        <w:adjustRightInd w:val="0"/>
        <w:snapToGrid w:val="0"/>
        <w:spacing w:line="360" w:lineRule="auto"/>
        <w:ind w:right="-34"/>
        <w:jc w:val="left"/>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招标范围：</w:t>
      </w:r>
    </w:p>
    <w:p w14:paraId="5246D62B">
      <w:pPr>
        <w:autoSpaceDE w:val="0"/>
        <w:autoSpaceDN w:val="0"/>
        <w:adjustRightInd w:val="0"/>
        <w:snapToGrid w:val="0"/>
        <w:spacing w:line="360" w:lineRule="auto"/>
        <w:ind w:right="-34" w:firstLine="420" w:firstLineChars="200"/>
        <w:jc w:val="left"/>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东莞市石鼓净水有限公司污水处理厂及提标项目中控系统集约化升级改造项目（具体内容详见：第三篇用户需求书）。</w:t>
      </w:r>
    </w:p>
    <w:p w14:paraId="1C380BF3">
      <w:pPr>
        <w:autoSpaceDE w:val="0"/>
        <w:autoSpaceDN w:val="0"/>
        <w:adjustRightInd w:val="0"/>
        <w:spacing w:line="360" w:lineRule="auto"/>
        <w:ind w:right="-29" w:rightChars="-14"/>
        <w:rPr>
          <w:rFonts w:ascii="宋体" w:hAnsi="宋体" w:eastAsia="宋体" w:cs="Times New Roman"/>
          <w:color w:val="auto"/>
          <w:szCs w:val="21"/>
          <w:highlight w:val="none"/>
          <w:lang w:val="zh-CN"/>
        </w:rPr>
      </w:pPr>
    </w:p>
    <w:p w14:paraId="2CCA9EEC">
      <w:pPr>
        <w:numPr>
          <w:ilvl w:val="0"/>
          <w:numId w:val="1"/>
        </w:numPr>
        <w:autoSpaceDE w:val="0"/>
        <w:autoSpaceDN w:val="0"/>
        <w:adjustRightInd w:val="0"/>
        <w:snapToGrid w:val="0"/>
        <w:spacing w:line="360" w:lineRule="auto"/>
        <w:ind w:right="-34"/>
        <w:jc w:val="left"/>
        <w:rPr>
          <w:rFonts w:ascii="宋体" w:hAnsi="宋体" w:eastAsia="宋体" w:cs="Times New Roman"/>
          <w:b/>
          <w:color w:val="auto"/>
          <w:szCs w:val="21"/>
          <w:highlight w:val="none"/>
          <w:lang w:val="zh-CN"/>
        </w:rPr>
      </w:pPr>
      <w:r>
        <w:rPr>
          <w:rFonts w:ascii="宋体" w:hAnsi="宋体" w:eastAsia="宋体" w:cs="Times New Roman"/>
          <w:b/>
          <w:color w:val="auto"/>
          <w:szCs w:val="21"/>
          <w:highlight w:val="none"/>
          <w:lang w:val="zh-CN"/>
        </w:rPr>
        <w:t>合格投标人</w:t>
      </w:r>
      <w:r>
        <w:rPr>
          <w:rFonts w:hint="eastAsia" w:ascii="宋体" w:hAnsi="宋体" w:eastAsia="宋体" w:cs="Times New Roman"/>
          <w:b/>
          <w:color w:val="auto"/>
          <w:szCs w:val="21"/>
          <w:highlight w:val="none"/>
          <w:lang w:val="zh-CN"/>
        </w:rPr>
        <w:t>资格要求</w:t>
      </w:r>
      <w:r>
        <w:rPr>
          <w:rFonts w:ascii="宋体" w:hAnsi="宋体" w:eastAsia="宋体" w:cs="Times New Roman"/>
          <w:b/>
          <w:color w:val="auto"/>
          <w:szCs w:val="21"/>
          <w:highlight w:val="none"/>
          <w:lang w:val="zh-CN"/>
        </w:rPr>
        <w:t>：</w:t>
      </w:r>
    </w:p>
    <w:p w14:paraId="5D76C00B">
      <w:pPr>
        <w:pStyle w:val="165"/>
        <w:spacing w:line="360" w:lineRule="auto"/>
        <w:ind w:left="422" w:right="-29" w:rightChars="-14" w:hanging="422" w:hangingChars="200"/>
        <w:jc w:val="both"/>
        <w:rPr>
          <w:rFonts w:hAnsi="宋体" w:eastAsia="宋体"/>
          <w:b/>
          <w:color w:val="auto"/>
          <w:sz w:val="21"/>
          <w:szCs w:val="21"/>
          <w:highlight w:val="none"/>
          <w:lang w:val="zh-CN"/>
        </w:rPr>
      </w:pPr>
      <w:r>
        <w:rPr>
          <w:rFonts w:hint="eastAsia" w:hAnsi="宋体" w:eastAsia="宋体"/>
          <w:b/>
          <w:color w:val="auto"/>
          <w:sz w:val="21"/>
          <w:szCs w:val="21"/>
          <w:highlight w:val="none"/>
          <w:lang w:val="zh-CN"/>
        </w:rPr>
        <w:t>2</w:t>
      </w:r>
      <w:r>
        <w:rPr>
          <w:rFonts w:hAnsi="宋体" w:eastAsia="宋体"/>
          <w:b/>
          <w:color w:val="auto"/>
          <w:sz w:val="21"/>
          <w:szCs w:val="21"/>
          <w:highlight w:val="none"/>
          <w:lang w:val="zh-CN"/>
        </w:rPr>
        <w:t xml:space="preserve">.1 </w:t>
      </w:r>
      <w:r>
        <w:rPr>
          <w:rFonts w:hint="eastAsia" w:hAnsi="宋体" w:eastAsia="宋体"/>
          <w:b/>
          <w:color w:val="auto"/>
          <w:sz w:val="21"/>
          <w:szCs w:val="21"/>
          <w:highlight w:val="none"/>
          <w:lang w:val="zh-CN"/>
        </w:rPr>
        <w:t>在中华人民共和国境内登记注册、合法存续、正常经营且具有独立承担民事责任能力的法人或其他组织</w:t>
      </w:r>
      <w:r>
        <w:rPr>
          <w:rFonts w:hAnsi="宋体" w:eastAsia="宋体"/>
          <w:b/>
          <w:color w:val="auto"/>
          <w:sz w:val="21"/>
          <w:szCs w:val="21"/>
          <w:highlight w:val="none"/>
          <w:lang w:val="zh-CN"/>
        </w:rPr>
        <w:t>；</w:t>
      </w:r>
    </w:p>
    <w:p w14:paraId="61F45D4F">
      <w:pPr>
        <w:pStyle w:val="165"/>
        <w:spacing w:line="360" w:lineRule="auto"/>
        <w:ind w:left="422" w:right="-29" w:rightChars="-14" w:hanging="422" w:hangingChars="200"/>
        <w:jc w:val="both"/>
        <w:rPr>
          <w:rFonts w:hAnsi="宋体" w:eastAsia="宋体"/>
          <w:b/>
          <w:color w:val="auto"/>
          <w:sz w:val="21"/>
          <w:szCs w:val="21"/>
          <w:highlight w:val="none"/>
        </w:rPr>
      </w:pPr>
      <w:bookmarkStart w:id="10" w:name="_Toc25819"/>
      <w:r>
        <w:rPr>
          <w:rFonts w:hint="eastAsia" w:hAnsi="宋体" w:eastAsia="宋体"/>
          <w:b/>
          <w:color w:val="auto"/>
          <w:sz w:val="21"/>
          <w:szCs w:val="21"/>
          <w:highlight w:val="none"/>
          <w:lang w:val="zh-CN"/>
        </w:rPr>
        <w:t>2.2 投标人</w:t>
      </w:r>
      <w:r>
        <w:rPr>
          <w:rFonts w:hint="eastAsia" w:hAnsi="宋体" w:eastAsia="宋体"/>
          <w:b/>
          <w:color w:val="auto"/>
          <w:sz w:val="21"/>
          <w:szCs w:val="21"/>
          <w:highlight w:val="none"/>
          <w:lang w:val="en-US" w:eastAsia="zh-CN"/>
        </w:rPr>
        <w:t>须</w:t>
      </w:r>
      <w:r>
        <w:rPr>
          <w:rFonts w:hint="eastAsia" w:hAnsi="宋体" w:eastAsia="宋体"/>
          <w:b/>
          <w:color w:val="auto"/>
          <w:sz w:val="21"/>
          <w:szCs w:val="21"/>
          <w:highlight w:val="none"/>
          <w:lang w:val="zh-CN"/>
        </w:rPr>
        <w:t>具有有效期内的电子与智能化工程专业承包二级（</w:t>
      </w:r>
      <w:r>
        <w:rPr>
          <w:rFonts w:hint="eastAsia" w:hAnsi="宋体" w:eastAsia="宋体"/>
          <w:b/>
          <w:color w:val="auto"/>
          <w:sz w:val="21"/>
          <w:szCs w:val="21"/>
          <w:highlight w:val="none"/>
          <w:lang w:val="en-US" w:eastAsia="zh-CN"/>
        </w:rPr>
        <w:t>或以上</w:t>
      </w:r>
      <w:r>
        <w:rPr>
          <w:rFonts w:hint="eastAsia" w:hAnsi="宋体" w:eastAsia="宋体"/>
          <w:b/>
          <w:color w:val="auto"/>
          <w:sz w:val="21"/>
          <w:szCs w:val="21"/>
          <w:highlight w:val="none"/>
          <w:lang w:val="zh-CN"/>
        </w:rPr>
        <w:t>）资质；</w:t>
      </w:r>
    </w:p>
    <w:p w14:paraId="343EB319">
      <w:pPr>
        <w:pStyle w:val="165"/>
        <w:spacing w:line="360" w:lineRule="auto"/>
        <w:ind w:left="422" w:right="-29" w:rightChars="-14" w:hanging="422" w:hangingChars="200"/>
        <w:jc w:val="both"/>
        <w:rPr>
          <w:rFonts w:hAnsi="宋体" w:eastAsia="宋体"/>
          <w:b/>
          <w:color w:val="auto"/>
          <w:sz w:val="21"/>
          <w:szCs w:val="21"/>
          <w:highlight w:val="none"/>
        </w:rPr>
      </w:pPr>
      <w:r>
        <w:rPr>
          <w:rFonts w:hint="eastAsia" w:hAnsi="宋体" w:eastAsia="宋体"/>
          <w:b/>
          <w:color w:val="auto"/>
          <w:sz w:val="21"/>
          <w:szCs w:val="21"/>
          <w:highlight w:val="none"/>
          <w:lang w:val="zh-CN"/>
        </w:rPr>
        <w:t>2.</w:t>
      </w:r>
      <w:r>
        <w:rPr>
          <w:rFonts w:hint="eastAsia" w:hAnsi="宋体" w:eastAsia="宋体"/>
          <w:b/>
          <w:color w:val="auto"/>
          <w:sz w:val="21"/>
          <w:szCs w:val="21"/>
          <w:highlight w:val="none"/>
          <w:lang w:val="en-US" w:eastAsia="zh-CN"/>
        </w:rPr>
        <w:t>3</w:t>
      </w:r>
      <w:r>
        <w:rPr>
          <w:rFonts w:hint="eastAsia" w:hAnsi="宋体" w:eastAsia="宋体"/>
          <w:b/>
          <w:color w:val="auto"/>
          <w:sz w:val="21"/>
          <w:szCs w:val="21"/>
          <w:highlight w:val="none"/>
          <w:lang w:val="zh-CN"/>
        </w:rPr>
        <w:t xml:space="preserve"> 投标人</w:t>
      </w:r>
      <w:r>
        <w:rPr>
          <w:rFonts w:hint="eastAsia" w:hAnsi="宋体" w:eastAsia="宋体"/>
          <w:b/>
          <w:color w:val="auto"/>
          <w:sz w:val="21"/>
          <w:szCs w:val="21"/>
          <w:highlight w:val="none"/>
        </w:rPr>
        <w:t>2020年1月1日</w:t>
      </w:r>
      <w:r>
        <w:rPr>
          <w:rFonts w:hint="eastAsia" w:hAnsi="宋体" w:eastAsia="宋体"/>
          <w:b/>
          <w:color w:val="auto"/>
          <w:sz w:val="21"/>
          <w:szCs w:val="21"/>
          <w:highlight w:val="none"/>
          <w:lang w:val="zh-CN"/>
        </w:rPr>
        <w:t>以来</w:t>
      </w:r>
      <w:r>
        <w:rPr>
          <w:rFonts w:hAnsi="宋体" w:eastAsia="宋体"/>
          <w:b/>
          <w:color w:val="auto"/>
          <w:sz w:val="21"/>
          <w:szCs w:val="21"/>
          <w:highlight w:val="none"/>
        </w:rPr>
        <w:t>具有</w:t>
      </w:r>
      <w:r>
        <w:rPr>
          <w:rFonts w:hint="eastAsia" w:hAnsi="宋体" w:eastAsia="宋体"/>
          <w:b/>
          <w:color w:val="auto"/>
          <w:sz w:val="21"/>
          <w:szCs w:val="21"/>
          <w:highlight w:val="none"/>
          <w:lang w:val="zh-CN"/>
        </w:rPr>
        <w:t>一份水务、电力、能源相关的</w:t>
      </w:r>
      <w:r>
        <w:rPr>
          <w:rFonts w:hint="eastAsia" w:hAnsi="宋体" w:eastAsia="宋体" w:cs="宋体"/>
          <w:b/>
          <w:color w:val="auto"/>
          <w:sz w:val="21"/>
          <w:szCs w:val="21"/>
          <w:highlight w:val="none"/>
          <w:lang w:bidi="ar"/>
        </w:rPr>
        <w:t>集中控制系统或水务、电力、能源相关的自动化控制系统建设项目业绩</w:t>
      </w:r>
      <w:r>
        <w:rPr>
          <w:rFonts w:hint="eastAsia" w:hAnsi="宋体" w:eastAsia="宋体"/>
          <w:b/>
          <w:color w:val="auto"/>
          <w:sz w:val="21"/>
          <w:szCs w:val="21"/>
          <w:highlight w:val="none"/>
          <w:lang w:val="zh-CN"/>
        </w:rPr>
        <w:t>（合同签订日期为</w:t>
      </w:r>
      <w:r>
        <w:rPr>
          <w:rFonts w:hint="eastAsia" w:hAnsi="宋体" w:eastAsia="宋体"/>
          <w:b/>
          <w:color w:val="auto"/>
          <w:sz w:val="21"/>
          <w:szCs w:val="21"/>
          <w:highlight w:val="none"/>
        </w:rPr>
        <w:t>2020年1月1日</w:t>
      </w:r>
      <w:r>
        <w:rPr>
          <w:rFonts w:hint="eastAsia" w:hAnsi="宋体" w:eastAsia="宋体"/>
          <w:b/>
          <w:color w:val="auto"/>
          <w:sz w:val="21"/>
          <w:szCs w:val="21"/>
          <w:highlight w:val="none"/>
          <w:lang w:val="zh-CN"/>
        </w:rPr>
        <w:t>或以后）；</w:t>
      </w:r>
    </w:p>
    <w:p w14:paraId="1A3E7274">
      <w:pPr>
        <w:pStyle w:val="165"/>
        <w:spacing w:line="360" w:lineRule="auto"/>
        <w:ind w:right="-29" w:rightChars="-14" w:firstLine="0" w:firstLineChars="0"/>
        <w:jc w:val="both"/>
        <w:rPr>
          <w:rFonts w:hAnsi="宋体" w:eastAsia="宋体"/>
          <w:b/>
          <w:color w:val="auto"/>
          <w:sz w:val="21"/>
          <w:szCs w:val="21"/>
          <w:highlight w:val="none"/>
          <w:lang w:val="zh-CN"/>
        </w:rPr>
      </w:pPr>
      <w:r>
        <w:rPr>
          <w:rFonts w:hint="eastAsia" w:hAnsi="宋体" w:eastAsia="宋体"/>
          <w:b/>
          <w:color w:val="auto"/>
          <w:sz w:val="21"/>
          <w:szCs w:val="21"/>
          <w:highlight w:val="none"/>
        </w:rPr>
        <w:t>2.</w:t>
      </w:r>
      <w:r>
        <w:rPr>
          <w:rFonts w:hint="eastAsia" w:hAnsi="宋体" w:eastAsia="宋体"/>
          <w:b/>
          <w:color w:val="auto"/>
          <w:sz w:val="21"/>
          <w:szCs w:val="21"/>
          <w:highlight w:val="none"/>
          <w:lang w:val="en-US" w:eastAsia="zh-CN"/>
        </w:rPr>
        <w:t>4</w:t>
      </w:r>
      <w:r>
        <w:rPr>
          <w:rFonts w:hint="eastAsia" w:hAnsi="宋体" w:eastAsia="宋体"/>
          <w:b/>
          <w:color w:val="auto"/>
          <w:sz w:val="21"/>
          <w:szCs w:val="21"/>
          <w:highlight w:val="none"/>
        </w:rPr>
        <w:t xml:space="preserve"> </w:t>
      </w:r>
      <w:r>
        <w:rPr>
          <w:rFonts w:hint="eastAsia" w:hAnsi="宋体" w:eastAsia="宋体"/>
          <w:b/>
          <w:color w:val="auto"/>
          <w:sz w:val="21"/>
          <w:szCs w:val="21"/>
          <w:highlight w:val="none"/>
          <w:lang w:val="zh-CN"/>
        </w:rPr>
        <w:t>本项目不接受联合体投标</w:t>
      </w:r>
      <w:bookmarkEnd w:id="10"/>
      <w:r>
        <w:rPr>
          <w:rFonts w:hint="eastAsia" w:hAnsi="宋体" w:eastAsia="宋体"/>
          <w:b/>
          <w:color w:val="auto"/>
          <w:sz w:val="21"/>
          <w:szCs w:val="21"/>
          <w:highlight w:val="none"/>
          <w:lang w:val="zh-CN"/>
        </w:rPr>
        <w:t>；</w:t>
      </w:r>
    </w:p>
    <w:p w14:paraId="37DEC1A3">
      <w:pPr>
        <w:pStyle w:val="165"/>
        <w:spacing w:line="360" w:lineRule="auto"/>
        <w:ind w:right="-29" w:rightChars="-14" w:firstLine="0" w:firstLineChars="0"/>
        <w:jc w:val="both"/>
        <w:rPr>
          <w:rFonts w:hAnsi="宋体" w:eastAsia="宋体"/>
          <w:b/>
          <w:color w:val="auto"/>
          <w:sz w:val="21"/>
          <w:szCs w:val="21"/>
          <w:highlight w:val="none"/>
          <w:lang w:val="zh-CN"/>
        </w:rPr>
      </w:pPr>
      <w:r>
        <w:rPr>
          <w:rFonts w:hint="eastAsia" w:hAnsi="宋体" w:eastAsia="宋体"/>
          <w:b/>
          <w:color w:val="auto"/>
          <w:sz w:val="21"/>
          <w:szCs w:val="21"/>
          <w:highlight w:val="none"/>
        </w:rPr>
        <w:t>2</w:t>
      </w:r>
      <w:r>
        <w:rPr>
          <w:rFonts w:hint="eastAsia" w:hAnsi="宋体" w:eastAsia="宋体"/>
          <w:b/>
          <w:color w:val="auto"/>
          <w:sz w:val="21"/>
          <w:szCs w:val="21"/>
          <w:highlight w:val="none"/>
          <w:lang w:val="zh-CN"/>
        </w:rPr>
        <w:t>.</w:t>
      </w:r>
      <w:r>
        <w:rPr>
          <w:rFonts w:hint="eastAsia" w:hAnsi="宋体" w:eastAsia="宋体"/>
          <w:b/>
          <w:color w:val="auto"/>
          <w:sz w:val="21"/>
          <w:szCs w:val="21"/>
          <w:highlight w:val="none"/>
          <w:lang w:val="en-US" w:eastAsia="zh-CN"/>
        </w:rPr>
        <w:t>5</w:t>
      </w:r>
      <w:r>
        <w:rPr>
          <w:rFonts w:hint="eastAsia" w:hAnsi="宋体" w:eastAsia="宋体"/>
          <w:b/>
          <w:color w:val="auto"/>
          <w:sz w:val="21"/>
          <w:szCs w:val="21"/>
          <w:highlight w:val="none"/>
        </w:rPr>
        <w:t xml:space="preserve"> </w:t>
      </w:r>
      <w:r>
        <w:rPr>
          <w:rFonts w:hint="eastAsia" w:hAnsi="宋体" w:eastAsia="宋体"/>
          <w:b/>
          <w:color w:val="auto"/>
          <w:sz w:val="21"/>
          <w:szCs w:val="21"/>
          <w:highlight w:val="none"/>
          <w:lang w:val="zh-CN"/>
        </w:rPr>
        <w:t>其他要求：</w:t>
      </w:r>
    </w:p>
    <w:p w14:paraId="7F399F4E">
      <w:pPr>
        <w:pStyle w:val="165"/>
        <w:autoSpaceDE/>
        <w:autoSpaceDN/>
        <w:spacing w:line="360" w:lineRule="auto"/>
        <w:ind w:left="420" w:leftChars="200" w:firstLine="0" w:firstLineChars="0"/>
        <w:jc w:val="both"/>
        <w:rPr>
          <w:rFonts w:hAnsi="宋体" w:eastAsia="宋体"/>
          <w:b/>
          <w:color w:val="auto"/>
          <w:sz w:val="21"/>
          <w:szCs w:val="21"/>
          <w:highlight w:val="none"/>
          <w:lang w:val="zh-CN"/>
        </w:rPr>
      </w:pPr>
      <w:r>
        <w:rPr>
          <w:rFonts w:hint="eastAsia" w:hAnsi="宋体" w:eastAsia="宋体"/>
          <w:b/>
          <w:color w:val="auto"/>
          <w:sz w:val="21"/>
          <w:szCs w:val="21"/>
          <w:highlight w:val="none"/>
          <w:lang w:val="zh-CN"/>
        </w:rPr>
        <w:t>（1）投标人应在东莞市公共资源交易企业库建档；</w:t>
      </w:r>
    </w:p>
    <w:p w14:paraId="0F8B7F91">
      <w:pPr>
        <w:pStyle w:val="165"/>
        <w:autoSpaceDE/>
        <w:autoSpaceDN/>
        <w:spacing w:line="360" w:lineRule="auto"/>
        <w:ind w:left="420" w:leftChars="200" w:firstLine="0" w:firstLineChars="0"/>
        <w:jc w:val="both"/>
        <w:rPr>
          <w:rFonts w:hAnsi="宋体" w:eastAsia="宋体"/>
          <w:b/>
          <w:color w:val="auto"/>
          <w:sz w:val="21"/>
          <w:szCs w:val="21"/>
          <w:highlight w:val="none"/>
          <w:lang w:val="zh-CN"/>
        </w:rPr>
      </w:pPr>
      <w:r>
        <w:rPr>
          <w:rFonts w:hint="eastAsia" w:hAnsi="宋体" w:eastAsia="宋体"/>
          <w:b/>
          <w:color w:val="auto"/>
          <w:sz w:val="21"/>
          <w:szCs w:val="21"/>
          <w:highlight w:val="none"/>
          <w:lang w:val="zh-CN"/>
        </w:rPr>
        <w:t>（2）在招标文件规定的东莞市公共资源交易E网通管理平台建设工程交易系统（以下简称交易系统）信息数据采集时间前，投标人已在东莞市公共资源交易企业库建档，且法人、法定代表人名称或企业、人员资质证书等与本次招标项目密切相关的信息发生变更时已办结该变更的登记手续，投标人应登录交易系统核实企业填报数据真实有效。</w:t>
      </w:r>
    </w:p>
    <w:p w14:paraId="25A4AE18">
      <w:pPr>
        <w:autoSpaceDE w:val="0"/>
        <w:autoSpaceDN w:val="0"/>
        <w:adjustRightInd w:val="0"/>
        <w:spacing w:line="360" w:lineRule="auto"/>
        <w:ind w:right="-29" w:rightChars="-14" w:firstLine="420" w:firstLineChars="200"/>
        <w:rPr>
          <w:rFonts w:ascii="宋体" w:hAnsi="宋体" w:eastAsia="宋体" w:cs="Times New Roman"/>
          <w:color w:val="auto"/>
          <w:szCs w:val="21"/>
          <w:highlight w:val="none"/>
          <w:lang w:val="zh-CN"/>
        </w:rPr>
      </w:pPr>
    </w:p>
    <w:p w14:paraId="62870CEB">
      <w:pPr>
        <w:pStyle w:val="183"/>
        <w:numPr>
          <w:ilvl w:val="0"/>
          <w:numId w:val="1"/>
        </w:numPr>
        <w:spacing w:line="360" w:lineRule="auto"/>
        <w:ind w:left="426" w:right="-34" w:hanging="426" w:firstLineChars="0"/>
        <w:rPr>
          <w:rFonts w:ascii="宋体" w:hAnsi="宋体" w:cs="宋体"/>
          <w:color w:val="auto"/>
          <w:szCs w:val="21"/>
          <w:highlight w:val="none"/>
        </w:rPr>
      </w:pPr>
      <w:r>
        <w:rPr>
          <w:rFonts w:hint="eastAsia" w:ascii="宋体" w:hAnsi="宋体" w:cs="宋体"/>
          <w:color w:val="auto"/>
          <w:szCs w:val="21"/>
          <w:highlight w:val="none"/>
          <w:lang w:val="zh-CN"/>
        </w:rPr>
        <w:t>获取招标文件的方式：凡有意参加投标者，可于</w:t>
      </w:r>
      <w:r>
        <w:rPr>
          <w:rFonts w:hint="eastAsia" w:ascii="宋体" w:hAnsi="宋体" w:cs="宋体"/>
          <w:color w:val="auto"/>
          <w:szCs w:val="21"/>
          <w:highlight w:val="none"/>
          <w:u w:val="single"/>
          <w:lang w:val="zh-CN"/>
        </w:rPr>
        <w:t>2025年</w:t>
      </w:r>
      <w:r>
        <w:rPr>
          <w:rFonts w:hint="eastAsia" w:ascii="宋体" w:hAnsi="宋体" w:cs="宋体"/>
          <w:color w:val="auto"/>
          <w:szCs w:val="21"/>
          <w:highlight w:val="none"/>
          <w:u w:val="single"/>
          <w:lang w:val="en-US" w:eastAsia="zh-CN"/>
        </w:rPr>
        <w:t>07</w:t>
      </w:r>
      <w:r>
        <w:rPr>
          <w:rFonts w:hint="eastAsia" w:ascii="宋体" w:hAnsi="宋体" w:cs="宋体"/>
          <w:color w:val="auto"/>
          <w:szCs w:val="21"/>
          <w:highlight w:val="none"/>
          <w:u w:val="single"/>
          <w:lang w:val="zh-CN"/>
        </w:rPr>
        <w:t>月</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lang w:val="zh-CN"/>
        </w:rPr>
        <w:t>日</w:t>
      </w:r>
      <w:r>
        <w:rPr>
          <w:rFonts w:hint="eastAsia" w:ascii="宋体" w:hAnsi="宋体" w:cs="宋体"/>
          <w:color w:val="auto"/>
          <w:szCs w:val="21"/>
          <w:highlight w:val="none"/>
          <w:lang w:val="zh-CN"/>
        </w:rPr>
        <w:t>至投标截止时间前登录交易系统下载本次招标项目的招标文件等资料。</w:t>
      </w:r>
    </w:p>
    <w:p w14:paraId="7A08D1DB">
      <w:pPr>
        <w:autoSpaceDE w:val="0"/>
        <w:autoSpaceDN w:val="0"/>
        <w:adjustRightInd w:val="0"/>
        <w:spacing w:line="360" w:lineRule="auto"/>
        <w:ind w:left="630" w:leftChars="100" w:right="-29" w:rightChars="-14" w:hanging="420" w:hangingChars="200"/>
        <w:rPr>
          <w:rFonts w:ascii="宋体" w:hAnsi="宋体" w:eastAsia="宋体" w:cs="Times New Roman"/>
          <w:color w:val="auto"/>
          <w:szCs w:val="21"/>
          <w:highlight w:val="none"/>
          <w:lang w:val="zh-CN"/>
        </w:rPr>
      </w:pPr>
    </w:p>
    <w:p w14:paraId="6B207858">
      <w:pPr>
        <w:numPr>
          <w:ilvl w:val="0"/>
          <w:numId w:val="1"/>
        </w:numPr>
        <w:autoSpaceDE w:val="0"/>
        <w:autoSpaceDN w:val="0"/>
        <w:adjustRightInd w:val="0"/>
        <w:snapToGrid w:val="0"/>
        <w:spacing w:line="360" w:lineRule="auto"/>
        <w:ind w:right="-34"/>
        <w:jc w:val="left"/>
        <w:rPr>
          <w:rFonts w:ascii="宋体" w:hAnsi="宋体" w:eastAsia="宋体" w:cs="Times New Roman"/>
          <w:color w:val="auto"/>
          <w:szCs w:val="21"/>
          <w:highlight w:val="none"/>
          <w:lang w:val="zh-CN"/>
        </w:rPr>
      </w:pPr>
      <w:r>
        <w:rPr>
          <w:rFonts w:ascii="宋体" w:hAnsi="宋体" w:eastAsia="宋体" w:cs="Times New Roman"/>
          <w:color w:val="auto"/>
          <w:szCs w:val="21"/>
          <w:highlight w:val="none"/>
          <w:lang w:val="zh-CN"/>
        </w:rPr>
        <w:t>招标代理机构</w:t>
      </w:r>
      <w:r>
        <w:rPr>
          <w:rFonts w:hint="eastAsia" w:ascii="宋体" w:hAnsi="宋体" w:eastAsia="宋体" w:cs="Times New Roman"/>
          <w:color w:val="auto"/>
          <w:szCs w:val="21"/>
          <w:highlight w:val="none"/>
          <w:lang w:val="zh-CN"/>
        </w:rPr>
        <w:t>在递交投标文件截止时间当天通过“信用中国”网站（www.creditchina.gov.cn）查询投标人（含其不具有独立法人资格的分支机构）信用记录。招标代理机构对投标人信用记录进行甄别，对列入失信被执行人、重大税收违法失信主体、</w:t>
      </w:r>
      <w:r>
        <w:rPr>
          <w:rFonts w:hint="eastAsia" w:ascii="宋体" w:hAnsi="宋体" w:eastAsia="宋体" w:cs="Times New Roman"/>
          <w:color w:val="auto"/>
          <w:szCs w:val="21"/>
          <w:highlight w:val="none"/>
        </w:rPr>
        <w:t>政府采购</w:t>
      </w:r>
      <w:r>
        <w:rPr>
          <w:rFonts w:hint="eastAsia" w:ascii="宋体" w:hAnsi="宋体" w:eastAsia="宋体" w:cs="Times New Roman"/>
          <w:color w:val="auto"/>
          <w:szCs w:val="21"/>
          <w:highlight w:val="none"/>
          <w:lang w:val="zh-CN"/>
        </w:rPr>
        <w:t>严重违法失信行为记录名单的投标人，做好相关记录（处罚期限届满的除外）</w:t>
      </w:r>
      <w:r>
        <w:rPr>
          <w:rFonts w:ascii="宋体" w:hAnsi="宋体" w:eastAsia="宋体" w:cs="Times New Roman"/>
          <w:color w:val="auto"/>
          <w:szCs w:val="21"/>
          <w:highlight w:val="none"/>
          <w:lang w:val="zh-CN"/>
        </w:rPr>
        <w:t>。</w:t>
      </w:r>
    </w:p>
    <w:p w14:paraId="62679298">
      <w:pPr>
        <w:autoSpaceDE w:val="0"/>
        <w:autoSpaceDN w:val="0"/>
        <w:adjustRightInd w:val="0"/>
        <w:spacing w:line="360" w:lineRule="auto"/>
        <w:ind w:right="-29" w:rightChars="-14" w:firstLine="420"/>
        <w:rPr>
          <w:rFonts w:ascii="宋体" w:hAnsi="宋体" w:eastAsia="宋体" w:cs="Times New Roman"/>
          <w:color w:val="auto"/>
          <w:szCs w:val="21"/>
          <w:highlight w:val="none"/>
          <w:lang w:val="zh-CN"/>
        </w:rPr>
      </w:pPr>
    </w:p>
    <w:p w14:paraId="5B48035F">
      <w:pPr>
        <w:numPr>
          <w:ilvl w:val="0"/>
          <w:numId w:val="1"/>
        </w:numPr>
        <w:autoSpaceDE w:val="0"/>
        <w:autoSpaceDN w:val="0"/>
        <w:adjustRightInd w:val="0"/>
        <w:snapToGrid w:val="0"/>
        <w:spacing w:line="360" w:lineRule="auto"/>
        <w:ind w:right="-34"/>
        <w:jc w:val="left"/>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投标会时间、地点及投标文件提交截止时间</w:t>
      </w:r>
      <w:r>
        <w:rPr>
          <w:rFonts w:ascii="宋体" w:hAnsi="宋体" w:eastAsia="宋体" w:cs="Times New Roman"/>
          <w:color w:val="auto"/>
          <w:szCs w:val="21"/>
          <w:highlight w:val="none"/>
          <w:lang w:val="zh-CN"/>
        </w:rPr>
        <w:t>：</w:t>
      </w:r>
    </w:p>
    <w:p w14:paraId="59843722">
      <w:pPr>
        <w:pStyle w:val="165"/>
        <w:spacing w:line="360" w:lineRule="auto"/>
        <w:ind w:left="420" w:hanging="420" w:hangingChars="200"/>
        <w:jc w:val="both"/>
        <w:rPr>
          <w:rFonts w:hint="eastAsia" w:hAnsi="宋体" w:eastAsia="宋体"/>
          <w:bCs/>
          <w:color w:val="auto"/>
          <w:sz w:val="21"/>
          <w:szCs w:val="21"/>
          <w:highlight w:val="none"/>
          <w:lang w:val="zh-CN"/>
        </w:rPr>
      </w:pPr>
      <w:r>
        <w:rPr>
          <w:rFonts w:hint="eastAsia" w:hAnsi="宋体" w:eastAsia="宋体"/>
          <w:bCs/>
          <w:color w:val="auto"/>
          <w:sz w:val="21"/>
          <w:szCs w:val="21"/>
          <w:highlight w:val="none"/>
          <w:lang w:val="en-US" w:eastAsia="zh-CN"/>
        </w:rPr>
        <w:t xml:space="preserve">5.1 </w:t>
      </w:r>
      <w:r>
        <w:rPr>
          <w:rFonts w:hint="eastAsia" w:hAnsi="宋体" w:eastAsia="宋体"/>
          <w:bCs/>
          <w:color w:val="auto"/>
          <w:sz w:val="21"/>
          <w:szCs w:val="21"/>
          <w:highlight w:val="none"/>
          <w:lang w:val="zh-CN"/>
        </w:rPr>
        <w:t>投标会召开时间：</w:t>
      </w:r>
      <w:r>
        <w:rPr>
          <w:rFonts w:hint="eastAsia" w:hAnsi="宋体" w:eastAsia="宋体"/>
          <w:bCs/>
          <w:color w:val="auto"/>
          <w:sz w:val="21"/>
          <w:szCs w:val="21"/>
          <w:highlight w:val="none"/>
          <w:u w:val="single"/>
          <w:lang w:val="zh-CN"/>
        </w:rPr>
        <w:t>2025年</w:t>
      </w:r>
      <w:r>
        <w:rPr>
          <w:rFonts w:hint="eastAsia" w:hAnsi="宋体" w:eastAsia="宋体"/>
          <w:bCs/>
          <w:color w:val="auto"/>
          <w:sz w:val="21"/>
          <w:szCs w:val="21"/>
          <w:highlight w:val="none"/>
          <w:u w:val="single"/>
          <w:lang w:val="en-US" w:eastAsia="zh-CN"/>
        </w:rPr>
        <w:t>07</w:t>
      </w:r>
      <w:r>
        <w:rPr>
          <w:rFonts w:hint="eastAsia" w:hAnsi="宋体" w:eastAsia="宋体"/>
          <w:bCs/>
          <w:color w:val="auto"/>
          <w:sz w:val="21"/>
          <w:szCs w:val="21"/>
          <w:highlight w:val="none"/>
          <w:u w:val="single"/>
          <w:lang w:val="zh-CN"/>
        </w:rPr>
        <w:t>月</w:t>
      </w:r>
      <w:r>
        <w:rPr>
          <w:rFonts w:hint="eastAsia" w:hAnsi="宋体" w:eastAsia="宋体"/>
          <w:bCs/>
          <w:color w:val="auto"/>
          <w:sz w:val="21"/>
          <w:szCs w:val="21"/>
          <w:highlight w:val="none"/>
          <w:u w:val="single"/>
          <w:lang w:val="en-US" w:eastAsia="zh-CN"/>
        </w:rPr>
        <w:t>31</w:t>
      </w:r>
      <w:r>
        <w:rPr>
          <w:rFonts w:hint="eastAsia" w:hAnsi="宋体" w:eastAsia="宋体"/>
          <w:bCs/>
          <w:color w:val="auto"/>
          <w:sz w:val="21"/>
          <w:szCs w:val="21"/>
          <w:highlight w:val="none"/>
          <w:u w:val="single"/>
          <w:lang w:val="zh-CN"/>
        </w:rPr>
        <w:t>日</w:t>
      </w:r>
      <w:r>
        <w:rPr>
          <w:rFonts w:hint="eastAsia" w:hAnsi="宋体" w:eastAsia="宋体"/>
          <w:bCs/>
          <w:color w:val="auto"/>
          <w:sz w:val="21"/>
          <w:szCs w:val="21"/>
          <w:highlight w:val="none"/>
          <w:u w:val="single"/>
          <w:lang w:val="en-US" w:eastAsia="zh-CN"/>
        </w:rPr>
        <w:t>09</w:t>
      </w:r>
      <w:r>
        <w:rPr>
          <w:rFonts w:hint="eastAsia" w:hAnsi="宋体" w:eastAsia="宋体"/>
          <w:bCs/>
          <w:color w:val="auto"/>
          <w:sz w:val="21"/>
          <w:szCs w:val="21"/>
          <w:highlight w:val="none"/>
          <w:u w:val="single"/>
          <w:lang w:val="zh-CN"/>
        </w:rPr>
        <w:t>时</w:t>
      </w:r>
      <w:r>
        <w:rPr>
          <w:rFonts w:hint="eastAsia" w:hAnsi="宋体" w:eastAsia="宋体"/>
          <w:bCs/>
          <w:color w:val="auto"/>
          <w:sz w:val="21"/>
          <w:szCs w:val="21"/>
          <w:highlight w:val="none"/>
          <w:u w:val="single"/>
          <w:lang w:val="en-US" w:eastAsia="zh-CN"/>
        </w:rPr>
        <w:t>30</w:t>
      </w:r>
      <w:r>
        <w:rPr>
          <w:rFonts w:hint="eastAsia" w:hAnsi="宋体" w:eastAsia="宋体"/>
          <w:bCs/>
          <w:color w:val="auto"/>
          <w:sz w:val="21"/>
          <w:szCs w:val="21"/>
          <w:highlight w:val="none"/>
          <w:u w:val="single"/>
          <w:lang w:val="zh-CN"/>
        </w:rPr>
        <w:t>分</w:t>
      </w:r>
      <w:r>
        <w:rPr>
          <w:rFonts w:hint="eastAsia" w:hAnsi="宋体" w:eastAsia="宋体"/>
          <w:bCs/>
          <w:color w:val="auto"/>
          <w:sz w:val="21"/>
          <w:szCs w:val="21"/>
          <w:highlight w:val="none"/>
          <w:lang w:val="zh-CN"/>
        </w:rPr>
        <w:t>，投标会召开地点：东莞市南城街道西平社区宏伟三路45号东莞市公共资源交易中心开标室（</w:t>
      </w:r>
      <w:r>
        <w:rPr>
          <w:rFonts w:hint="eastAsia" w:hAnsi="宋体" w:eastAsia="宋体"/>
          <w:bCs/>
          <w:color w:val="auto"/>
          <w:sz w:val="21"/>
          <w:szCs w:val="21"/>
          <w:highlight w:val="none"/>
          <w:lang w:val="en-US" w:eastAsia="zh-CN"/>
        </w:rPr>
        <w:t>13</w:t>
      </w:r>
      <w:r>
        <w:rPr>
          <w:rFonts w:hint="eastAsia" w:hAnsi="宋体" w:eastAsia="宋体"/>
          <w:bCs/>
          <w:color w:val="auto"/>
          <w:sz w:val="21"/>
          <w:szCs w:val="21"/>
          <w:highlight w:val="none"/>
          <w:lang w:val="zh-CN"/>
        </w:rPr>
        <w:t>）；</w:t>
      </w:r>
    </w:p>
    <w:p w14:paraId="118AFDD0">
      <w:pPr>
        <w:pStyle w:val="165"/>
        <w:spacing w:line="360" w:lineRule="auto"/>
        <w:ind w:left="420" w:hanging="420" w:hangingChars="200"/>
        <w:jc w:val="both"/>
        <w:rPr>
          <w:rFonts w:hAnsi="宋体" w:eastAsia="宋体"/>
          <w:bCs/>
          <w:color w:val="auto"/>
          <w:sz w:val="21"/>
          <w:szCs w:val="21"/>
          <w:highlight w:val="none"/>
          <w:lang w:val="zh-CN"/>
        </w:rPr>
      </w:pPr>
      <w:r>
        <w:rPr>
          <w:rFonts w:hint="eastAsia" w:hAnsi="宋体" w:eastAsia="宋体"/>
          <w:bCs/>
          <w:color w:val="auto"/>
          <w:sz w:val="21"/>
          <w:szCs w:val="21"/>
          <w:highlight w:val="none"/>
          <w:lang w:val="zh-CN"/>
        </w:rPr>
        <w:t>5.</w:t>
      </w:r>
      <w:r>
        <w:rPr>
          <w:rFonts w:hint="eastAsia" w:hAnsi="宋体" w:eastAsia="宋体"/>
          <w:bCs/>
          <w:color w:val="auto"/>
          <w:sz w:val="21"/>
          <w:szCs w:val="21"/>
          <w:highlight w:val="none"/>
          <w:lang w:val="en-US" w:eastAsia="zh-CN"/>
        </w:rPr>
        <w:t>2</w:t>
      </w:r>
      <w:r>
        <w:rPr>
          <w:rFonts w:hint="eastAsia" w:hAnsi="宋体" w:eastAsia="宋体"/>
          <w:bCs/>
          <w:color w:val="auto"/>
          <w:sz w:val="21"/>
          <w:szCs w:val="21"/>
          <w:highlight w:val="none"/>
          <w:lang w:val="zh-CN"/>
        </w:rPr>
        <w:t xml:space="preserve"> 投标文件递交的截止时间（投标截止时间，下同）：</w:t>
      </w:r>
      <w:r>
        <w:rPr>
          <w:rFonts w:hint="eastAsia" w:hAnsi="宋体" w:eastAsia="宋体"/>
          <w:bCs/>
          <w:color w:val="auto"/>
          <w:sz w:val="21"/>
          <w:szCs w:val="21"/>
          <w:highlight w:val="none"/>
          <w:u w:val="single"/>
          <w:lang w:val="zh-CN"/>
        </w:rPr>
        <w:t>2025年</w:t>
      </w:r>
      <w:r>
        <w:rPr>
          <w:rFonts w:hint="eastAsia" w:hAnsi="宋体" w:eastAsia="宋体"/>
          <w:bCs/>
          <w:color w:val="auto"/>
          <w:sz w:val="21"/>
          <w:szCs w:val="21"/>
          <w:highlight w:val="none"/>
          <w:u w:val="single"/>
          <w:lang w:val="en-US" w:eastAsia="zh-CN"/>
        </w:rPr>
        <w:t>07</w:t>
      </w:r>
      <w:r>
        <w:rPr>
          <w:rFonts w:hint="eastAsia" w:hAnsi="宋体" w:eastAsia="宋体"/>
          <w:bCs/>
          <w:color w:val="auto"/>
          <w:sz w:val="21"/>
          <w:szCs w:val="21"/>
          <w:highlight w:val="none"/>
          <w:u w:val="single"/>
          <w:lang w:val="zh-CN"/>
        </w:rPr>
        <w:t>月</w:t>
      </w:r>
      <w:r>
        <w:rPr>
          <w:rFonts w:hint="eastAsia" w:hAnsi="宋体" w:eastAsia="宋体"/>
          <w:bCs/>
          <w:color w:val="auto"/>
          <w:sz w:val="21"/>
          <w:szCs w:val="21"/>
          <w:highlight w:val="none"/>
          <w:u w:val="single"/>
          <w:lang w:val="en-US" w:eastAsia="zh-CN"/>
        </w:rPr>
        <w:t>31</w:t>
      </w:r>
      <w:r>
        <w:rPr>
          <w:rFonts w:hint="eastAsia" w:hAnsi="宋体" w:eastAsia="宋体"/>
          <w:bCs/>
          <w:color w:val="auto"/>
          <w:sz w:val="21"/>
          <w:szCs w:val="21"/>
          <w:highlight w:val="none"/>
          <w:u w:val="single"/>
          <w:lang w:val="zh-CN"/>
        </w:rPr>
        <w:t>日</w:t>
      </w:r>
      <w:r>
        <w:rPr>
          <w:rFonts w:hint="eastAsia" w:hAnsi="宋体" w:eastAsia="宋体"/>
          <w:bCs/>
          <w:color w:val="auto"/>
          <w:sz w:val="21"/>
          <w:szCs w:val="21"/>
          <w:highlight w:val="none"/>
          <w:u w:val="single"/>
          <w:lang w:val="en-US" w:eastAsia="zh-CN"/>
        </w:rPr>
        <w:t>09</w:t>
      </w:r>
      <w:r>
        <w:rPr>
          <w:rFonts w:hint="eastAsia" w:hAnsi="宋体" w:eastAsia="宋体"/>
          <w:bCs/>
          <w:color w:val="auto"/>
          <w:sz w:val="21"/>
          <w:szCs w:val="21"/>
          <w:highlight w:val="none"/>
          <w:u w:val="single"/>
          <w:lang w:val="zh-CN"/>
        </w:rPr>
        <w:t>时</w:t>
      </w:r>
      <w:r>
        <w:rPr>
          <w:rFonts w:hint="eastAsia" w:hAnsi="宋体" w:eastAsia="宋体"/>
          <w:bCs/>
          <w:color w:val="auto"/>
          <w:sz w:val="21"/>
          <w:szCs w:val="21"/>
          <w:highlight w:val="none"/>
          <w:u w:val="single"/>
          <w:lang w:val="en-US" w:eastAsia="zh-CN"/>
        </w:rPr>
        <w:t>30</w:t>
      </w:r>
      <w:r>
        <w:rPr>
          <w:rFonts w:hint="eastAsia" w:hAnsi="宋体" w:eastAsia="宋体"/>
          <w:bCs/>
          <w:color w:val="auto"/>
          <w:sz w:val="21"/>
          <w:szCs w:val="21"/>
          <w:highlight w:val="none"/>
          <w:u w:val="single"/>
          <w:lang w:val="zh-CN"/>
        </w:rPr>
        <w:t>分，</w:t>
      </w:r>
      <w:r>
        <w:rPr>
          <w:rFonts w:hint="eastAsia" w:hAnsi="宋体" w:eastAsia="宋体"/>
          <w:bCs/>
          <w:color w:val="auto"/>
          <w:sz w:val="21"/>
          <w:szCs w:val="21"/>
          <w:highlight w:val="none"/>
          <w:lang w:val="zh-CN"/>
        </w:rPr>
        <w:t>地点：通过东莞市公共资源交易E网通管理平台建设工程交易系统网上提交；</w:t>
      </w:r>
    </w:p>
    <w:p w14:paraId="31F80368">
      <w:pPr>
        <w:pStyle w:val="165"/>
        <w:spacing w:line="360" w:lineRule="auto"/>
        <w:ind w:left="420" w:hanging="420" w:hangingChars="200"/>
        <w:rPr>
          <w:rFonts w:hint="eastAsia" w:hAnsi="宋体" w:eastAsia="宋体"/>
          <w:bCs/>
          <w:color w:val="auto"/>
          <w:sz w:val="21"/>
          <w:szCs w:val="21"/>
          <w:highlight w:val="none"/>
          <w:lang w:val="zh-CN"/>
        </w:rPr>
      </w:pPr>
      <w:r>
        <w:rPr>
          <w:rFonts w:hint="eastAsia" w:hAnsi="宋体" w:eastAsia="宋体"/>
          <w:bCs/>
          <w:color w:val="auto"/>
          <w:sz w:val="21"/>
          <w:szCs w:val="21"/>
          <w:highlight w:val="none"/>
          <w:lang w:val="zh-CN"/>
        </w:rPr>
        <w:t>5.</w:t>
      </w:r>
      <w:r>
        <w:rPr>
          <w:rFonts w:hint="eastAsia" w:hAnsi="宋体" w:eastAsia="宋体"/>
          <w:bCs/>
          <w:color w:val="auto"/>
          <w:sz w:val="21"/>
          <w:szCs w:val="21"/>
          <w:highlight w:val="none"/>
          <w:lang w:val="en-US" w:eastAsia="zh-CN"/>
        </w:rPr>
        <w:t>3</w:t>
      </w:r>
      <w:r>
        <w:rPr>
          <w:rFonts w:hint="eastAsia" w:hAnsi="宋体" w:eastAsia="宋体"/>
          <w:bCs/>
          <w:color w:val="auto"/>
          <w:sz w:val="21"/>
          <w:szCs w:val="21"/>
          <w:highlight w:val="none"/>
          <w:lang w:val="zh-CN"/>
        </w:rPr>
        <w:t xml:space="preserve"> 投标人必须通过交易系统在线上传投标文件，上述方式外提交的投标文件及逾期通过网络上传的电子投标文件，招标人不予受理。</w:t>
      </w:r>
    </w:p>
    <w:p w14:paraId="2FE6AFE0">
      <w:pPr>
        <w:pStyle w:val="165"/>
        <w:spacing w:line="360" w:lineRule="auto"/>
        <w:ind w:left="420" w:hanging="420" w:hangingChars="200"/>
        <w:rPr>
          <w:rFonts w:hint="eastAsia" w:hAnsi="宋体" w:eastAsia="宋体"/>
          <w:bCs/>
          <w:color w:val="auto"/>
          <w:sz w:val="21"/>
          <w:szCs w:val="21"/>
          <w:highlight w:val="none"/>
          <w:lang w:val="zh-CN"/>
        </w:rPr>
      </w:pPr>
    </w:p>
    <w:p w14:paraId="371C149B">
      <w:pPr>
        <w:numPr>
          <w:ilvl w:val="0"/>
          <w:numId w:val="1"/>
        </w:numPr>
        <w:snapToGrid w:val="0"/>
        <w:ind w:right="-34"/>
        <w:rPr>
          <w:rFonts w:hint="eastAsia" w:hAnsi="宋体" w:eastAsia="宋体"/>
          <w:bCs/>
          <w:color w:val="auto"/>
          <w:sz w:val="21"/>
          <w:szCs w:val="21"/>
          <w:highlight w:val="none"/>
          <w:lang w:val="zh-CN"/>
        </w:rPr>
      </w:pPr>
      <w:r>
        <w:rPr>
          <w:rFonts w:hint="eastAsia" w:hAnsi="宋体" w:eastAsia="宋体"/>
          <w:bCs/>
          <w:color w:val="auto"/>
          <w:sz w:val="21"/>
          <w:szCs w:val="21"/>
          <w:highlight w:val="none"/>
          <w:lang w:val="zh-CN"/>
        </w:rPr>
        <w:t>开标时间和地点：</w:t>
      </w:r>
    </w:p>
    <w:p w14:paraId="61044375">
      <w:pPr>
        <w:pStyle w:val="165"/>
        <w:spacing w:line="360" w:lineRule="auto"/>
        <w:ind w:left="420" w:hanging="420" w:hangingChars="200"/>
        <w:rPr>
          <w:rFonts w:hint="eastAsia" w:hAnsi="宋体" w:eastAsia="宋体"/>
          <w:bCs/>
          <w:color w:val="auto"/>
          <w:sz w:val="21"/>
          <w:szCs w:val="21"/>
          <w:highlight w:val="none"/>
          <w:lang w:val="zh-CN"/>
        </w:rPr>
      </w:pPr>
      <w:r>
        <w:rPr>
          <w:rFonts w:hint="eastAsia" w:hAnsi="宋体" w:eastAsia="宋体"/>
          <w:bCs/>
          <w:color w:val="auto"/>
          <w:sz w:val="21"/>
          <w:szCs w:val="21"/>
          <w:highlight w:val="none"/>
          <w:lang w:val="zh-CN" w:eastAsia="zh-CN"/>
        </w:rPr>
        <w:t xml:space="preserve">6.1 </w:t>
      </w:r>
      <w:r>
        <w:rPr>
          <w:rFonts w:hint="eastAsia" w:hAnsi="宋体" w:eastAsia="宋体"/>
          <w:bCs/>
          <w:color w:val="auto"/>
          <w:sz w:val="21"/>
          <w:szCs w:val="21"/>
          <w:highlight w:val="none"/>
          <w:lang w:val="zh-CN"/>
        </w:rPr>
        <w:t>开标时间：同投标截止时间；</w:t>
      </w:r>
    </w:p>
    <w:p w14:paraId="2F1045B4">
      <w:pPr>
        <w:pStyle w:val="165"/>
        <w:spacing w:line="360" w:lineRule="auto"/>
        <w:ind w:left="420" w:hanging="420" w:hangingChars="200"/>
        <w:rPr>
          <w:rFonts w:hint="eastAsia" w:hAnsi="宋体" w:eastAsia="宋体"/>
          <w:bCs/>
          <w:color w:val="auto"/>
          <w:sz w:val="21"/>
          <w:szCs w:val="21"/>
          <w:highlight w:val="none"/>
          <w:lang w:val="zh-CN"/>
        </w:rPr>
      </w:pPr>
      <w:r>
        <w:rPr>
          <w:rFonts w:hint="eastAsia" w:hAnsi="宋体" w:eastAsia="宋体"/>
          <w:bCs/>
          <w:color w:val="auto"/>
          <w:sz w:val="21"/>
          <w:szCs w:val="21"/>
          <w:highlight w:val="none"/>
          <w:lang w:val="zh-CN" w:eastAsia="zh-CN"/>
        </w:rPr>
        <w:t xml:space="preserve">6.2 </w:t>
      </w:r>
      <w:r>
        <w:rPr>
          <w:rFonts w:hint="eastAsia" w:hAnsi="宋体" w:eastAsia="宋体"/>
          <w:bCs/>
          <w:color w:val="auto"/>
          <w:sz w:val="21"/>
          <w:szCs w:val="21"/>
          <w:highlight w:val="none"/>
          <w:lang w:val="zh-CN"/>
        </w:rPr>
        <w:t>开标地点：东莞市南城街道西平社区宏伟三路45号东莞市公共资源交易中心开标室（</w:t>
      </w:r>
      <w:r>
        <w:rPr>
          <w:rFonts w:hint="eastAsia" w:hAnsi="宋体" w:eastAsia="宋体"/>
          <w:bCs/>
          <w:color w:val="auto"/>
          <w:sz w:val="21"/>
          <w:szCs w:val="21"/>
          <w:highlight w:val="none"/>
          <w:lang w:val="en-US" w:eastAsia="zh-CN"/>
        </w:rPr>
        <w:t>13</w:t>
      </w:r>
      <w:bookmarkStart w:id="1048" w:name="_GoBack"/>
      <w:bookmarkEnd w:id="1048"/>
      <w:r>
        <w:rPr>
          <w:rFonts w:hint="eastAsia" w:hAnsi="宋体" w:eastAsia="宋体"/>
          <w:bCs/>
          <w:color w:val="auto"/>
          <w:sz w:val="21"/>
          <w:szCs w:val="21"/>
          <w:highlight w:val="none"/>
          <w:lang w:val="zh-CN"/>
        </w:rPr>
        <w:t>）。</w:t>
      </w:r>
    </w:p>
    <w:p w14:paraId="1AB9A245">
      <w:pPr>
        <w:pStyle w:val="165"/>
        <w:spacing w:line="360" w:lineRule="auto"/>
        <w:ind w:left="420" w:hanging="420" w:hangingChars="200"/>
        <w:rPr>
          <w:rFonts w:hAnsi="宋体" w:eastAsia="宋体"/>
          <w:bCs/>
          <w:color w:val="auto"/>
          <w:sz w:val="21"/>
          <w:szCs w:val="21"/>
          <w:highlight w:val="none"/>
          <w:lang w:val="zh-CN"/>
        </w:rPr>
      </w:pPr>
      <w:r>
        <w:rPr>
          <w:rFonts w:hint="eastAsia" w:hAnsi="宋体" w:eastAsia="宋体"/>
          <w:bCs/>
          <w:color w:val="auto"/>
          <w:sz w:val="21"/>
          <w:szCs w:val="21"/>
          <w:highlight w:val="none"/>
          <w:lang w:val="en-US" w:eastAsia="zh-CN"/>
        </w:rPr>
        <w:t xml:space="preserve">6.3 </w:t>
      </w:r>
      <w:r>
        <w:rPr>
          <w:rFonts w:hint="eastAsia" w:hAnsi="宋体" w:eastAsia="宋体"/>
          <w:bCs/>
          <w:color w:val="auto"/>
          <w:sz w:val="21"/>
          <w:szCs w:val="21"/>
          <w:highlight w:val="none"/>
          <w:lang w:val="zh-CN"/>
        </w:rPr>
        <w:t>对投标人提示如下：开标视频网上直播，建议投标人可通过投标人企业数字证书登录到东莞市公共资源交易中心的E网通管理平台后，可通过“建设工程”栏目，点击“开标直播”、“标室列表”，查看标室直播画面。</w:t>
      </w:r>
    </w:p>
    <w:p w14:paraId="27656BD4">
      <w:pPr>
        <w:autoSpaceDE w:val="0"/>
        <w:autoSpaceDN w:val="0"/>
        <w:adjustRightInd w:val="0"/>
        <w:spacing w:line="360" w:lineRule="auto"/>
        <w:ind w:left="210" w:leftChars="100" w:right="-29" w:rightChars="-14"/>
        <w:rPr>
          <w:rFonts w:ascii="宋体" w:hAnsi="宋体" w:eastAsia="宋体" w:cs="Times New Roman"/>
          <w:color w:val="auto"/>
          <w:szCs w:val="21"/>
          <w:highlight w:val="none"/>
          <w:lang w:val="zh-CN"/>
        </w:rPr>
      </w:pPr>
    </w:p>
    <w:p w14:paraId="35CCC775">
      <w:pPr>
        <w:numPr>
          <w:ilvl w:val="0"/>
          <w:numId w:val="1"/>
        </w:numPr>
        <w:wordWrap w:val="0"/>
        <w:autoSpaceDE w:val="0"/>
        <w:autoSpaceDN w:val="0"/>
        <w:adjustRightInd w:val="0"/>
        <w:snapToGrid w:val="0"/>
        <w:spacing w:line="360" w:lineRule="auto"/>
        <w:ind w:left="363" w:right="-34" w:hanging="363"/>
        <w:jc w:val="left"/>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本项目相关公告在以下媒介发布：全国公共资源交易平台（广东省·东莞市）（https://ygp.gdzwfw.gov.cn/#/441900/index）、中国招标投标公共服务平台（www.cebpubservice.com）、东莞市水务集团有限公司网（www.dgswjt.cn）、招标代理机构网站（</w:t>
      </w:r>
      <w:r>
        <w:rPr>
          <w:rFonts w:hint="eastAsia" w:ascii="宋体" w:hAnsi="宋体" w:eastAsia="宋体" w:cs="Times New Roman"/>
          <w:bCs/>
          <w:color w:val="auto"/>
          <w:szCs w:val="21"/>
          <w:highlight w:val="none"/>
          <w:u w:val="single"/>
        </w:rPr>
        <w:t>www.dashengtd.com</w:t>
      </w:r>
      <w:r>
        <w:rPr>
          <w:rFonts w:ascii="宋体" w:hAnsi="宋体" w:eastAsia="宋体" w:cs="Times New Roman"/>
          <w:bCs/>
          <w:color w:val="auto"/>
          <w:szCs w:val="21"/>
          <w:highlight w:val="none"/>
        </w:rPr>
        <w:t>）</w:t>
      </w:r>
      <w:r>
        <w:rPr>
          <w:rFonts w:ascii="宋体" w:hAnsi="宋体" w:eastAsia="宋体" w:cs="Times New Roman"/>
          <w:color w:val="auto"/>
          <w:szCs w:val="21"/>
          <w:highlight w:val="none"/>
          <w:lang w:val="zh-CN"/>
        </w:rPr>
        <w:t>。</w:t>
      </w:r>
    </w:p>
    <w:p w14:paraId="30CBC5D2">
      <w:pPr>
        <w:autoSpaceDE w:val="0"/>
        <w:autoSpaceDN w:val="0"/>
        <w:adjustRightInd w:val="0"/>
        <w:snapToGrid w:val="0"/>
        <w:spacing w:line="360" w:lineRule="auto"/>
        <w:ind w:right="-34"/>
        <w:jc w:val="left"/>
        <w:rPr>
          <w:rFonts w:ascii="宋体" w:hAnsi="宋体" w:eastAsia="宋体" w:cs="Times New Roman"/>
          <w:bCs/>
          <w:color w:val="auto"/>
          <w:szCs w:val="21"/>
          <w:highlight w:val="none"/>
        </w:rPr>
      </w:pPr>
    </w:p>
    <w:p w14:paraId="2FC43DB1">
      <w:pPr>
        <w:numPr>
          <w:ilvl w:val="0"/>
          <w:numId w:val="1"/>
        </w:numPr>
        <w:autoSpaceDE w:val="0"/>
        <w:autoSpaceDN w:val="0"/>
        <w:adjustRightInd w:val="0"/>
        <w:snapToGrid w:val="0"/>
        <w:spacing w:line="360" w:lineRule="auto"/>
        <w:ind w:right="-34"/>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投标保证金</w:t>
      </w:r>
    </w:p>
    <w:p w14:paraId="55B4ED46">
      <w:pPr>
        <w:widowControl w:val="0"/>
        <w:autoSpaceDE w:val="0"/>
        <w:autoSpaceDN w:val="0"/>
        <w:adjustRightInd w:val="0"/>
        <w:spacing w:line="360" w:lineRule="auto"/>
        <w:ind w:left="420" w:hanging="420" w:hangingChars="200"/>
        <w:jc w:val="left"/>
        <w:rPr>
          <w:rFonts w:ascii="宋体" w:hAnsi="宋体" w:eastAsia="宋体" w:cstheme="minorBidi"/>
          <w:bCs/>
          <w:color w:val="auto"/>
          <w:kern w:val="2"/>
          <w:sz w:val="21"/>
          <w:szCs w:val="21"/>
          <w:highlight w:val="none"/>
          <w:lang w:val="zh-CN" w:eastAsia="zh-CN" w:bidi="ar-SA"/>
        </w:rPr>
      </w:pPr>
      <w:r>
        <w:rPr>
          <w:rFonts w:hint="eastAsia" w:ascii="宋体" w:hAnsi="宋体" w:eastAsia="宋体" w:cstheme="minorBidi"/>
          <w:bCs/>
          <w:color w:val="auto"/>
          <w:kern w:val="2"/>
          <w:sz w:val="21"/>
          <w:szCs w:val="21"/>
          <w:highlight w:val="none"/>
          <w:lang w:val="en-US" w:eastAsia="zh-CN" w:bidi="ar-SA"/>
        </w:rPr>
        <w:t>8</w:t>
      </w:r>
      <w:r>
        <w:rPr>
          <w:rFonts w:hint="eastAsia" w:ascii="宋体" w:hAnsi="宋体" w:eastAsia="宋体" w:cstheme="minorBidi"/>
          <w:bCs/>
          <w:color w:val="auto"/>
          <w:kern w:val="2"/>
          <w:sz w:val="21"/>
          <w:szCs w:val="21"/>
          <w:highlight w:val="none"/>
          <w:lang w:val="zh-CN" w:eastAsia="zh-CN" w:bidi="ar-SA"/>
        </w:rPr>
        <w:t>.1 本次招标投标人须提交投标保证金金额：</w:t>
      </w:r>
      <w:r>
        <w:rPr>
          <w:rFonts w:hint="eastAsia" w:ascii="宋体" w:hAnsi="宋体" w:eastAsia="宋体" w:cstheme="minorBidi"/>
          <w:bCs/>
          <w:color w:val="auto"/>
          <w:kern w:val="2"/>
          <w:sz w:val="21"/>
          <w:szCs w:val="21"/>
          <w:highlight w:val="none"/>
          <w:u w:val="single"/>
          <w:lang w:val="en-US" w:eastAsia="zh-CN" w:bidi="ar-SA"/>
        </w:rPr>
        <w:t>183,000.00</w:t>
      </w:r>
      <w:r>
        <w:rPr>
          <w:rFonts w:hint="eastAsia" w:ascii="宋体" w:hAnsi="宋体" w:eastAsia="宋体" w:cstheme="minorBidi"/>
          <w:bCs/>
          <w:color w:val="auto"/>
          <w:kern w:val="2"/>
          <w:sz w:val="21"/>
          <w:szCs w:val="21"/>
          <w:highlight w:val="none"/>
          <w:lang w:val="zh-CN" w:eastAsia="zh-CN" w:bidi="ar-SA"/>
        </w:rPr>
        <w:t>元。</w:t>
      </w:r>
    </w:p>
    <w:p w14:paraId="6FEA11DD">
      <w:pPr>
        <w:widowControl w:val="0"/>
        <w:autoSpaceDE w:val="0"/>
        <w:autoSpaceDN w:val="0"/>
        <w:adjustRightInd w:val="0"/>
        <w:spacing w:line="360" w:lineRule="auto"/>
        <w:ind w:left="420" w:hanging="420" w:hangingChars="200"/>
        <w:jc w:val="left"/>
        <w:rPr>
          <w:rFonts w:ascii="宋体" w:hAnsi="宋体" w:eastAsia="宋体" w:cstheme="minorBidi"/>
          <w:bCs/>
          <w:color w:val="auto"/>
          <w:kern w:val="2"/>
          <w:sz w:val="21"/>
          <w:szCs w:val="21"/>
          <w:highlight w:val="none"/>
          <w:lang w:val="zh-CN" w:eastAsia="zh-CN" w:bidi="ar-SA"/>
        </w:rPr>
      </w:pPr>
      <w:r>
        <w:rPr>
          <w:rFonts w:hint="eastAsia" w:ascii="宋体" w:hAnsi="宋体" w:eastAsia="宋体" w:cstheme="minorBidi"/>
          <w:bCs/>
          <w:color w:val="auto"/>
          <w:kern w:val="2"/>
          <w:sz w:val="21"/>
          <w:szCs w:val="21"/>
          <w:highlight w:val="none"/>
          <w:lang w:val="en-US" w:eastAsia="zh-CN" w:bidi="ar-SA"/>
        </w:rPr>
        <w:t>8</w:t>
      </w:r>
      <w:r>
        <w:rPr>
          <w:rFonts w:hint="eastAsia" w:ascii="宋体" w:hAnsi="宋体" w:eastAsia="宋体" w:cstheme="minorBidi"/>
          <w:bCs/>
          <w:color w:val="auto"/>
          <w:kern w:val="2"/>
          <w:sz w:val="21"/>
          <w:szCs w:val="21"/>
          <w:highlight w:val="none"/>
          <w:lang w:val="zh-CN" w:eastAsia="zh-CN" w:bidi="ar-SA"/>
        </w:rPr>
        <w:t>.2</w:t>
      </w:r>
      <w:r>
        <w:rPr>
          <w:rFonts w:hint="eastAsia" w:ascii="宋体" w:hAnsi="宋体" w:eastAsia="宋体" w:cstheme="minorBidi"/>
          <w:bCs/>
          <w:color w:val="auto"/>
          <w:kern w:val="2"/>
          <w:sz w:val="21"/>
          <w:szCs w:val="21"/>
          <w:highlight w:val="none"/>
          <w:lang w:val="en-US" w:eastAsia="zh-CN" w:bidi="ar-SA"/>
        </w:rPr>
        <w:t xml:space="preserve"> </w:t>
      </w:r>
      <w:r>
        <w:rPr>
          <w:rFonts w:hint="eastAsia" w:ascii="宋体" w:hAnsi="宋体" w:eastAsia="宋体" w:cstheme="minorBidi"/>
          <w:bCs/>
          <w:color w:val="auto"/>
          <w:kern w:val="2"/>
          <w:sz w:val="21"/>
          <w:szCs w:val="21"/>
          <w:highlight w:val="none"/>
          <w:lang w:val="zh-CN" w:eastAsia="zh-CN" w:bidi="ar-SA"/>
        </w:rPr>
        <w:t>投标保证金形式：单项投标保证金；银行电子保函；保险电子保单；</w:t>
      </w:r>
    </w:p>
    <w:p w14:paraId="4AEFE116">
      <w:pPr>
        <w:widowControl w:val="0"/>
        <w:autoSpaceDE w:val="0"/>
        <w:autoSpaceDN w:val="0"/>
        <w:adjustRightInd w:val="0"/>
        <w:spacing w:line="360" w:lineRule="auto"/>
        <w:ind w:left="420" w:leftChars="200" w:firstLine="218" w:firstLineChars="104"/>
        <w:jc w:val="left"/>
        <w:rPr>
          <w:rFonts w:ascii="宋体" w:hAnsi="宋体" w:eastAsia="宋体" w:cstheme="minorBidi"/>
          <w:bCs/>
          <w:color w:val="auto"/>
          <w:kern w:val="2"/>
          <w:sz w:val="21"/>
          <w:szCs w:val="21"/>
          <w:highlight w:val="none"/>
          <w:lang w:val="zh-CN" w:eastAsia="zh-CN" w:bidi="ar-SA"/>
        </w:rPr>
      </w:pPr>
      <w:r>
        <w:rPr>
          <w:rFonts w:hint="eastAsia" w:ascii="宋体" w:hAnsi="宋体" w:eastAsia="宋体" w:cstheme="minorBidi"/>
          <w:bCs/>
          <w:color w:val="auto"/>
          <w:kern w:val="2"/>
          <w:sz w:val="21"/>
          <w:szCs w:val="21"/>
          <w:highlight w:val="none"/>
          <w:lang w:val="zh-CN" w:eastAsia="zh-CN" w:bidi="ar-SA"/>
        </w:rPr>
        <w:t>其它：</w:t>
      </w:r>
      <w:r>
        <w:rPr>
          <w:rFonts w:hint="eastAsia" w:ascii="宋体" w:hAnsi="宋体" w:eastAsia="宋体" w:cstheme="minorBidi"/>
          <w:bCs/>
          <w:color w:val="auto"/>
          <w:kern w:val="2"/>
          <w:sz w:val="21"/>
          <w:szCs w:val="21"/>
          <w:highlight w:val="none"/>
          <w:u w:val="single"/>
          <w:lang w:val="zh-CN" w:eastAsia="zh-CN" w:bidi="ar-SA"/>
        </w:rPr>
        <w:t xml:space="preserve">      /       </w:t>
      </w:r>
      <w:r>
        <w:rPr>
          <w:rFonts w:hint="eastAsia" w:ascii="宋体" w:hAnsi="宋体" w:eastAsia="宋体" w:cstheme="minorBidi"/>
          <w:bCs/>
          <w:color w:val="auto"/>
          <w:kern w:val="2"/>
          <w:sz w:val="21"/>
          <w:szCs w:val="21"/>
          <w:highlight w:val="none"/>
          <w:lang w:val="zh-CN" w:eastAsia="zh-CN" w:bidi="ar-SA"/>
        </w:rPr>
        <w:t>。</w:t>
      </w:r>
    </w:p>
    <w:p w14:paraId="39D9CDB3">
      <w:pPr>
        <w:widowControl w:val="0"/>
        <w:autoSpaceDE w:val="0"/>
        <w:autoSpaceDN w:val="0"/>
        <w:adjustRightInd w:val="0"/>
        <w:spacing w:line="360" w:lineRule="auto"/>
        <w:ind w:left="420" w:hanging="420" w:hangingChars="200"/>
        <w:jc w:val="left"/>
        <w:rPr>
          <w:rFonts w:ascii="宋体" w:hAnsi="宋体" w:eastAsia="宋体" w:cstheme="minorBidi"/>
          <w:bCs/>
          <w:color w:val="auto"/>
          <w:kern w:val="2"/>
          <w:sz w:val="21"/>
          <w:szCs w:val="21"/>
          <w:highlight w:val="none"/>
          <w:lang w:val="zh-CN" w:eastAsia="zh-CN" w:bidi="ar-SA"/>
        </w:rPr>
      </w:pPr>
      <w:r>
        <w:rPr>
          <w:rFonts w:hint="eastAsia" w:ascii="宋体" w:hAnsi="宋体" w:eastAsia="宋体" w:cstheme="minorBidi"/>
          <w:bCs/>
          <w:color w:val="auto"/>
          <w:kern w:val="2"/>
          <w:sz w:val="21"/>
          <w:szCs w:val="21"/>
          <w:highlight w:val="none"/>
          <w:lang w:val="en-US" w:eastAsia="zh-CN" w:bidi="ar-SA"/>
        </w:rPr>
        <w:t>8</w:t>
      </w:r>
      <w:r>
        <w:rPr>
          <w:rFonts w:hint="eastAsia" w:ascii="宋体" w:hAnsi="宋体" w:eastAsia="宋体" w:cstheme="minorBidi"/>
          <w:bCs/>
          <w:color w:val="auto"/>
          <w:kern w:val="2"/>
          <w:sz w:val="21"/>
          <w:szCs w:val="21"/>
          <w:highlight w:val="none"/>
          <w:lang w:val="zh-CN" w:eastAsia="zh-CN" w:bidi="ar-SA"/>
        </w:rPr>
        <w:t>.</w:t>
      </w:r>
      <w:r>
        <w:rPr>
          <w:rFonts w:hint="eastAsia" w:ascii="宋体" w:hAnsi="宋体" w:eastAsia="宋体" w:cstheme="minorBidi"/>
          <w:bCs/>
          <w:color w:val="auto"/>
          <w:kern w:val="2"/>
          <w:sz w:val="21"/>
          <w:szCs w:val="21"/>
          <w:highlight w:val="none"/>
          <w:lang w:val="en-US" w:eastAsia="zh-CN" w:bidi="ar-SA"/>
        </w:rPr>
        <w:t xml:space="preserve">3 </w:t>
      </w:r>
      <w:r>
        <w:rPr>
          <w:rFonts w:hint="eastAsia" w:ascii="宋体" w:hAnsi="宋体" w:eastAsia="宋体" w:cstheme="minorBidi"/>
          <w:bCs/>
          <w:color w:val="auto"/>
          <w:kern w:val="2"/>
          <w:sz w:val="21"/>
          <w:szCs w:val="21"/>
          <w:highlight w:val="none"/>
          <w:lang w:val="zh-CN" w:eastAsia="zh-CN" w:bidi="ar-SA"/>
        </w:rPr>
        <w:t>投标保证金形式注意事项：</w:t>
      </w:r>
    </w:p>
    <w:p w14:paraId="3E62B6A2">
      <w:pPr>
        <w:widowControl w:val="0"/>
        <w:autoSpaceDE w:val="0"/>
        <w:autoSpaceDN w:val="0"/>
        <w:adjustRightInd w:val="0"/>
        <w:spacing w:line="360" w:lineRule="auto"/>
        <w:ind w:left="420" w:hanging="420" w:hangingChars="200"/>
        <w:jc w:val="left"/>
        <w:rPr>
          <w:rFonts w:ascii="宋体" w:hAnsi="宋体" w:eastAsia="宋体" w:cstheme="minorBidi"/>
          <w:bCs/>
          <w:color w:val="auto"/>
          <w:kern w:val="2"/>
          <w:sz w:val="21"/>
          <w:szCs w:val="21"/>
          <w:highlight w:val="none"/>
          <w:lang w:val="zh-CN" w:eastAsia="zh-CN" w:bidi="ar-SA"/>
        </w:rPr>
      </w:pPr>
      <w:r>
        <w:rPr>
          <w:rFonts w:hint="eastAsia" w:ascii="宋体" w:hAnsi="宋体" w:eastAsia="宋体" w:cstheme="minorBidi"/>
          <w:bCs/>
          <w:color w:val="auto"/>
          <w:kern w:val="2"/>
          <w:sz w:val="21"/>
          <w:szCs w:val="21"/>
          <w:highlight w:val="none"/>
          <w:lang w:val="zh-CN" w:eastAsia="zh-CN" w:bidi="ar-SA"/>
        </w:rPr>
        <w:t>（1）投标保证金到账时间应为投标保证金的关联时间。</w:t>
      </w:r>
    </w:p>
    <w:p w14:paraId="68220546">
      <w:pPr>
        <w:widowControl w:val="0"/>
        <w:autoSpaceDE w:val="0"/>
        <w:autoSpaceDN w:val="0"/>
        <w:adjustRightInd w:val="0"/>
        <w:spacing w:line="360" w:lineRule="auto"/>
        <w:ind w:left="420" w:hanging="420" w:hangingChars="200"/>
        <w:jc w:val="left"/>
        <w:rPr>
          <w:rFonts w:ascii="宋体" w:hAnsi="宋体" w:eastAsia="宋体" w:cstheme="minorBidi"/>
          <w:bCs/>
          <w:color w:val="auto"/>
          <w:kern w:val="2"/>
          <w:sz w:val="21"/>
          <w:szCs w:val="21"/>
          <w:highlight w:val="none"/>
          <w:lang w:val="zh-CN" w:eastAsia="zh-CN" w:bidi="ar-SA"/>
        </w:rPr>
      </w:pPr>
      <w:r>
        <w:rPr>
          <w:rFonts w:hint="eastAsia" w:ascii="宋体" w:hAnsi="宋体" w:eastAsia="宋体" w:cstheme="minorBidi"/>
          <w:bCs/>
          <w:color w:val="auto"/>
          <w:kern w:val="2"/>
          <w:sz w:val="21"/>
          <w:szCs w:val="21"/>
          <w:highlight w:val="none"/>
          <w:lang w:val="zh-CN" w:eastAsia="zh-CN" w:bidi="ar-SA"/>
        </w:rPr>
        <w:t>（2）投标保证金数据超过投标截止时间后到达交易系统的，无法关联。</w:t>
      </w:r>
    </w:p>
    <w:p w14:paraId="1A9B65F0">
      <w:pPr>
        <w:widowControl w:val="0"/>
        <w:autoSpaceDE w:val="0"/>
        <w:autoSpaceDN w:val="0"/>
        <w:adjustRightInd w:val="0"/>
        <w:spacing w:line="360" w:lineRule="auto"/>
        <w:ind w:left="420" w:hanging="420" w:hangingChars="200"/>
        <w:jc w:val="left"/>
        <w:rPr>
          <w:rFonts w:ascii="宋体" w:hAnsi="宋体" w:eastAsia="宋体" w:cstheme="minorBidi"/>
          <w:bCs/>
          <w:color w:val="auto"/>
          <w:kern w:val="2"/>
          <w:sz w:val="21"/>
          <w:szCs w:val="21"/>
          <w:highlight w:val="none"/>
          <w:lang w:val="zh-CN" w:eastAsia="zh-CN" w:bidi="ar-SA"/>
        </w:rPr>
      </w:pPr>
      <w:r>
        <w:rPr>
          <w:rFonts w:hint="eastAsia" w:ascii="宋体" w:hAnsi="宋体" w:eastAsia="宋体" w:cstheme="minorBidi"/>
          <w:bCs/>
          <w:color w:val="auto"/>
          <w:kern w:val="2"/>
          <w:sz w:val="21"/>
          <w:szCs w:val="21"/>
          <w:highlight w:val="none"/>
          <w:lang w:val="zh-CN" w:eastAsia="zh-CN" w:bidi="ar-SA"/>
        </w:rPr>
        <w:t>（3）投标人应提前办理投标保证金手续，自行承担数据延误风险。</w:t>
      </w:r>
    </w:p>
    <w:p w14:paraId="2EECA631">
      <w:pPr>
        <w:autoSpaceDE w:val="0"/>
        <w:autoSpaceDN w:val="0"/>
        <w:adjustRightInd w:val="0"/>
        <w:snapToGrid w:val="0"/>
        <w:spacing w:line="360" w:lineRule="auto"/>
        <w:ind w:right="-34"/>
        <w:jc w:val="left"/>
        <w:rPr>
          <w:rFonts w:ascii="宋体" w:hAnsi="宋体" w:eastAsia="宋体" w:cs="Times New Roman"/>
          <w:bCs/>
          <w:color w:val="auto"/>
          <w:szCs w:val="21"/>
          <w:highlight w:val="none"/>
        </w:rPr>
      </w:pPr>
    </w:p>
    <w:p w14:paraId="3B7E28F7">
      <w:pPr>
        <w:numPr>
          <w:ilvl w:val="0"/>
          <w:numId w:val="1"/>
        </w:numPr>
        <w:autoSpaceDE w:val="0"/>
        <w:autoSpaceDN w:val="0"/>
        <w:adjustRightInd w:val="0"/>
        <w:snapToGrid w:val="0"/>
        <w:spacing w:line="360" w:lineRule="auto"/>
        <w:ind w:right="-34"/>
        <w:jc w:val="left"/>
        <w:rPr>
          <w:rFonts w:ascii="宋体" w:hAnsi="宋体" w:eastAsia="宋体" w:cs="Times New Roman"/>
          <w:color w:val="auto"/>
          <w:szCs w:val="21"/>
          <w:highlight w:val="none"/>
        </w:rPr>
      </w:pPr>
      <w:r>
        <w:rPr>
          <w:rFonts w:ascii="宋体" w:hAnsi="宋体" w:eastAsia="宋体" w:cs="Times New Roman"/>
          <w:bCs/>
          <w:color w:val="auto"/>
          <w:szCs w:val="21"/>
          <w:highlight w:val="none"/>
          <w:lang w:val="zh-CN"/>
        </w:rPr>
        <w:t>招标人联系方式</w:t>
      </w:r>
    </w:p>
    <w:p w14:paraId="022CDBE0">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招标人：</w:t>
      </w:r>
      <w:r>
        <w:rPr>
          <w:rFonts w:hint="eastAsia" w:ascii="宋体" w:hAnsi="宋体" w:eastAsia="宋体" w:cs="Times New Roman"/>
          <w:color w:val="auto"/>
          <w:kern w:val="0"/>
          <w:szCs w:val="21"/>
          <w:highlight w:val="none"/>
        </w:rPr>
        <w:t>东莞市石鼓净水有限公司</w:t>
      </w:r>
    </w:p>
    <w:p w14:paraId="0127CFE2">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地</w:t>
      </w:r>
      <w:r>
        <w:rPr>
          <w:rFonts w:hint="eastAsia" w:ascii="宋体" w:hAnsi="宋体" w:eastAsia="宋体" w:cs="Times New Roman"/>
          <w:color w:val="auto"/>
          <w:kern w:val="0"/>
          <w:szCs w:val="21"/>
          <w:highlight w:val="none"/>
        </w:rPr>
        <w:t xml:space="preserve"> </w:t>
      </w:r>
      <w:r>
        <w:rPr>
          <w:rFonts w:ascii="宋体" w:hAnsi="宋体" w:eastAsia="宋体" w:cs="Times New Roman"/>
          <w:color w:val="auto"/>
          <w:kern w:val="0"/>
          <w:szCs w:val="21"/>
          <w:highlight w:val="none"/>
        </w:rPr>
        <w:t xml:space="preserve"> 址：</w:t>
      </w:r>
      <w:r>
        <w:rPr>
          <w:rFonts w:hint="eastAsia" w:ascii="宋体" w:hAnsi="宋体" w:eastAsia="宋体" w:cs="Times New Roman"/>
          <w:color w:val="auto"/>
          <w:kern w:val="0"/>
          <w:szCs w:val="21"/>
          <w:highlight w:val="none"/>
        </w:rPr>
        <w:t>东莞市南城街道滨河路100号一期1号楼101室</w:t>
      </w:r>
    </w:p>
    <w:p w14:paraId="403862B3">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联系人</w:t>
      </w:r>
      <w:r>
        <w:rPr>
          <w:rFonts w:hint="eastAsia" w:ascii="宋体" w:hAnsi="宋体" w:eastAsia="宋体" w:cs="Times New Roman"/>
          <w:color w:val="auto"/>
          <w:kern w:val="0"/>
          <w:szCs w:val="21"/>
          <w:highlight w:val="none"/>
        </w:rPr>
        <w:t>：李建聪</w:t>
      </w:r>
    </w:p>
    <w:p w14:paraId="31CE2396">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电  话：</w:t>
      </w:r>
      <w:r>
        <w:rPr>
          <w:rFonts w:hint="eastAsia" w:ascii="宋体" w:hAnsi="宋体" w:eastAsia="宋体" w:cs="Times New Roman"/>
          <w:color w:val="auto"/>
          <w:kern w:val="0"/>
          <w:szCs w:val="21"/>
          <w:highlight w:val="none"/>
        </w:rPr>
        <w:t>0769-21663952</w:t>
      </w:r>
    </w:p>
    <w:p w14:paraId="7ED641E1">
      <w:pPr>
        <w:autoSpaceDE w:val="0"/>
        <w:autoSpaceDN w:val="0"/>
        <w:adjustRightInd w:val="0"/>
        <w:spacing w:line="360" w:lineRule="auto"/>
        <w:ind w:right="-29" w:rightChars="-14" w:firstLine="420"/>
        <w:rPr>
          <w:rFonts w:ascii="宋体" w:hAnsi="宋体" w:eastAsia="宋体" w:cs="Times New Roman"/>
          <w:color w:val="auto"/>
          <w:kern w:val="0"/>
          <w:szCs w:val="21"/>
          <w:highlight w:val="none"/>
        </w:rPr>
      </w:pPr>
    </w:p>
    <w:p w14:paraId="13215E01">
      <w:pPr>
        <w:numPr>
          <w:ilvl w:val="0"/>
          <w:numId w:val="1"/>
        </w:numPr>
        <w:autoSpaceDE w:val="0"/>
        <w:autoSpaceDN w:val="0"/>
        <w:adjustRightInd w:val="0"/>
        <w:snapToGrid w:val="0"/>
        <w:spacing w:line="360" w:lineRule="auto"/>
        <w:ind w:right="-34"/>
        <w:jc w:val="left"/>
        <w:rPr>
          <w:rFonts w:ascii="宋体" w:hAnsi="宋体" w:eastAsia="宋体" w:cs="Times New Roman"/>
          <w:color w:val="auto"/>
          <w:szCs w:val="21"/>
          <w:highlight w:val="none"/>
        </w:rPr>
      </w:pPr>
      <w:r>
        <w:rPr>
          <w:rFonts w:ascii="宋体" w:hAnsi="宋体" w:eastAsia="宋体" w:cs="Times New Roman"/>
          <w:color w:val="auto"/>
          <w:szCs w:val="21"/>
          <w:highlight w:val="none"/>
        </w:rPr>
        <w:t>招标代理机构</w:t>
      </w:r>
      <w:r>
        <w:rPr>
          <w:rFonts w:hint="eastAsia" w:ascii="宋体" w:hAnsi="宋体" w:eastAsia="宋体" w:cs="Times New Roman"/>
          <w:color w:val="auto"/>
          <w:szCs w:val="21"/>
          <w:highlight w:val="none"/>
        </w:rPr>
        <w:t>及异议受理</w:t>
      </w:r>
      <w:r>
        <w:rPr>
          <w:rFonts w:ascii="宋体" w:hAnsi="宋体" w:eastAsia="宋体" w:cs="Times New Roman"/>
          <w:color w:val="auto"/>
          <w:szCs w:val="21"/>
          <w:highlight w:val="none"/>
        </w:rPr>
        <w:t>联系方式</w:t>
      </w:r>
    </w:p>
    <w:p w14:paraId="039F7EE7">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auto"/>
          <w:kern w:val="0"/>
          <w:szCs w:val="21"/>
          <w:highlight w:val="none"/>
        </w:rPr>
      </w:pPr>
      <w:bookmarkStart w:id="11" w:name="_Toc31764_WPSOffice_Level1"/>
      <w:bookmarkStart w:id="12" w:name="_Toc486167661"/>
      <w:bookmarkStart w:id="13" w:name="_Toc450662847"/>
      <w:r>
        <w:rPr>
          <w:rFonts w:ascii="宋体" w:hAnsi="宋体" w:eastAsia="宋体" w:cs="Times New Roman"/>
          <w:color w:val="auto"/>
          <w:kern w:val="0"/>
          <w:szCs w:val="21"/>
          <w:highlight w:val="none"/>
        </w:rPr>
        <w:t>招标代理机构：</w:t>
      </w:r>
      <w:r>
        <w:rPr>
          <w:rFonts w:hint="eastAsia" w:ascii="宋体" w:hAnsi="宋体" w:eastAsia="宋体" w:cs="Times New Roman"/>
          <w:color w:val="auto"/>
          <w:kern w:val="0"/>
          <w:szCs w:val="21"/>
          <w:highlight w:val="none"/>
        </w:rPr>
        <w:t>东莞市达盛招标代理有限公司</w:t>
      </w:r>
    </w:p>
    <w:p w14:paraId="2D61E4A2">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地  址：</w:t>
      </w:r>
      <w:r>
        <w:rPr>
          <w:rFonts w:hint="eastAsia" w:ascii="宋体" w:hAnsi="宋体" w:eastAsia="宋体" w:cs="Times New Roman"/>
          <w:color w:val="auto"/>
          <w:kern w:val="0"/>
          <w:szCs w:val="21"/>
          <w:highlight w:val="none"/>
        </w:rPr>
        <w:t>东莞市东城街道御景大厦303室（东城区政府旁）</w:t>
      </w:r>
    </w:p>
    <w:p w14:paraId="557CC79D">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联系人：</w:t>
      </w:r>
      <w:r>
        <w:rPr>
          <w:rFonts w:hint="eastAsia" w:ascii="宋体" w:hAnsi="宋体" w:eastAsia="宋体" w:cs="Times New Roman"/>
          <w:color w:val="auto"/>
          <w:kern w:val="0"/>
          <w:szCs w:val="21"/>
          <w:highlight w:val="none"/>
        </w:rPr>
        <w:t>杨浩林</w:t>
      </w:r>
    </w:p>
    <w:p w14:paraId="02E35765">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xml:space="preserve">电 </w:t>
      </w:r>
      <w:r>
        <w:rPr>
          <w:rFonts w:ascii="宋体" w:hAnsi="宋体" w:eastAsia="宋体" w:cs="Times New Roman"/>
          <w:color w:val="auto"/>
          <w:kern w:val="0"/>
          <w:szCs w:val="21"/>
          <w:highlight w:val="none"/>
        </w:rPr>
        <w:t xml:space="preserve"> </w:t>
      </w:r>
      <w:r>
        <w:rPr>
          <w:rFonts w:hint="eastAsia" w:ascii="宋体" w:hAnsi="宋体" w:eastAsia="宋体" w:cs="Times New Roman"/>
          <w:color w:val="auto"/>
          <w:kern w:val="0"/>
          <w:szCs w:val="21"/>
          <w:highlight w:val="none"/>
        </w:rPr>
        <w:t>话</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0769-22113229</w:t>
      </w:r>
    </w:p>
    <w:p w14:paraId="73A2B8E2">
      <w:pPr>
        <w:pageBreakBefore/>
        <w:tabs>
          <w:tab w:val="left" w:pos="1080"/>
        </w:tabs>
        <w:autoSpaceDE w:val="0"/>
        <w:autoSpaceDN w:val="0"/>
        <w:adjustRightInd w:val="0"/>
        <w:spacing w:line="360" w:lineRule="auto"/>
        <w:ind w:left="-167" w:leftChars="-100" w:hanging="43"/>
        <w:jc w:val="center"/>
        <w:outlineLvl w:val="0"/>
        <w:rPr>
          <w:rFonts w:ascii="宋体" w:hAnsi="宋体" w:eastAsia="宋体" w:cs="宋体"/>
          <w:b/>
          <w:bCs/>
          <w:color w:val="auto"/>
          <w:kern w:val="44"/>
          <w:sz w:val="32"/>
          <w:szCs w:val="32"/>
          <w:highlight w:val="none"/>
        </w:rPr>
      </w:pPr>
      <w:bookmarkStart w:id="14" w:name="_Toc18212"/>
      <w:bookmarkStart w:id="15" w:name="_Toc142508311"/>
      <w:bookmarkStart w:id="16" w:name="_Toc15111"/>
      <w:bookmarkStart w:id="17" w:name="_Toc195714215"/>
      <w:bookmarkStart w:id="18" w:name="_Toc21384"/>
      <w:r>
        <w:rPr>
          <w:rFonts w:hint="eastAsia" w:ascii="宋体" w:hAnsi="宋体" w:eastAsia="宋体" w:cs="宋体"/>
          <w:b/>
          <w:bCs/>
          <w:color w:val="auto"/>
          <w:kern w:val="44"/>
          <w:sz w:val="32"/>
          <w:szCs w:val="32"/>
          <w:highlight w:val="none"/>
          <w:lang w:val="zh-CN"/>
        </w:rPr>
        <w:t>第二篇</w:t>
      </w:r>
      <w:r>
        <w:rPr>
          <w:rFonts w:ascii="宋体" w:hAnsi="宋体" w:eastAsia="宋体" w:cs="宋体"/>
          <w:b/>
          <w:bCs/>
          <w:color w:val="auto"/>
          <w:kern w:val="44"/>
          <w:sz w:val="32"/>
          <w:szCs w:val="32"/>
          <w:highlight w:val="none"/>
        </w:rPr>
        <w:t xml:space="preserve"> </w:t>
      </w:r>
      <w:r>
        <w:rPr>
          <w:rFonts w:hint="eastAsia" w:ascii="宋体" w:hAnsi="宋体" w:eastAsia="宋体" w:cs="宋体"/>
          <w:b/>
          <w:bCs/>
          <w:color w:val="auto"/>
          <w:kern w:val="44"/>
          <w:sz w:val="32"/>
          <w:szCs w:val="32"/>
          <w:highlight w:val="none"/>
          <w:lang w:val="zh-CN"/>
        </w:rPr>
        <w:t>投标人须知</w:t>
      </w:r>
      <w:bookmarkEnd w:id="11"/>
      <w:bookmarkEnd w:id="12"/>
      <w:bookmarkEnd w:id="13"/>
      <w:bookmarkEnd w:id="14"/>
      <w:bookmarkEnd w:id="15"/>
      <w:bookmarkEnd w:id="16"/>
      <w:bookmarkEnd w:id="17"/>
      <w:bookmarkEnd w:id="18"/>
    </w:p>
    <w:p w14:paraId="50A194F7">
      <w:pPr>
        <w:keepNext/>
        <w:keepLines/>
        <w:autoSpaceDE w:val="0"/>
        <w:autoSpaceDN w:val="0"/>
        <w:adjustRightInd w:val="0"/>
        <w:spacing w:line="360" w:lineRule="auto"/>
        <w:jc w:val="left"/>
        <w:outlineLvl w:val="0"/>
        <w:rPr>
          <w:rFonts w:ascii="宋体" w:hAnsi="宋体" w:eastAsia="宋体" w:cs="宋体"/>
          <w:b/>
          <w:bCs/>
          <w:color w:val="auto"/>
          <w:kern w:val="44"/>
          <w:szCs w:val="21"/>
          <w:highlight w:val="none"/>
          <w:lang w:val="zh-CN"/>
        </w:rPr>
      </w:pPr>
      <w:bookmarkStart w:id="19" w:name="_Toc142508312"/>
      <w:bookmarkStart w:id="20" w:name="_Toc450662848"/>
      <w:bookmarkStart w:id="21" w:name="_Toc24479"/>
      <w:bookmarkStart w:id="22" w:name="_Toc140596871"/>
      <w:bookmarkStart w:id="23" w:name="_Toc9555"/>
      <w:bookmarkStart w:id="24" w:name="_Toc15366_WPSOffice_Level2"/>
      <w:bookmarkStart w:id="25" w:name="_Toc26584"/>
      <w:bookmarkStart w:id="26" w:name="_Toc486167662"/>
      <w:bookmarkStart w:id="27" w:name="_Toc195714216"/>
      <w:r>
        <w:rPr>
          <w:rFonts w:hint="eastAsia" w:ascii="宋体" w:hAnsi="宋体" w:eastAsia="宋体" w:cs="宋体"/>
          <w:b/>
          <w:bCs/>
          <w:color w:val="auto"/>
          <w:kern w:val="44"/>
          <w:szCs w:val="21"/>
          <w:highlight w:val="none"/>
          <w:lang w:val="zh-CN"/>
        </w:rPr>
        <w:t>一、总则</w:t>
      </w:r>
      <w:bookmarkEnd w:id="19"/>
      <w:bookmarkEnd w:id="20"/>
      <w:bookmarkEnd w:id="21"/>
      <w:bookmarkEnd w:id="22"/>
      <w:bookmarkEnd w:id="23"/>
      <w:bookmarkEnd w:id="24"/>
      <w:bookmarkEnd w:id="25"/>
      <w:bookmarkEnd w:id="26"/>
      <w:bookmarkEnd w:id="27"/>
    </w:p>
    <w:p w14:paraId="1207F72C">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8" w:name="_Toc23333"/>
      <w:bookmarkStart w:id="29" w:name="_Toc21710_WPSOffice_Level3"/>
      <w:bookmarkStart w:id="30" w:name="_Toc450662849"/>
      <w:bookmarkStart w:id="31" w:name="_Toc9608"/>
      <w:bookmarkStart w:id="32" w:name="_Toc195714217"/>
      <w:bookmarkStart w:id="33" w:name="_Toc142508313"/>
      <w:bookmarkStart w:id="34" w:name="_Toc486167663"/>
      <w:bookmarkStart w:id="35" w:name="_Toc20001"/>
      <w:r>
        <w:rPr>
          <w:rFonts w:hint="eastAsia" w:ascii="宋体" w:hAnsi="宋体" w:eastAsia="宋体" w:cs="宋体"/>
          <w:color w:val="auto"/>
          <w:szCs w:val="21"/>
          <w:highlight w:val="none"/>
          <w:lang w:val="zh-CN"/>
        </w:rPr>
        <w:t>1</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资金来源：企业自筹资金。</w:t>
      </w:r>
      <w:bookmarkEnd w:id="28"/>
      <w:bookmarkEnd w:id="29"/>
      <w:bookmarkEnd w:id="30"/>
      <w:bookmarkEnd w:id="31"/>
      <w:bookmarkEnd w:id="32"/>
      <w:bookmarkEnd w:id="33"/>
      <w:bookmarkEnd w:id="34"/>
      <w:bookmarkEnd w:id="35"/>
    </w:p>
    <w:p w14:paraId="50C6CFDA">
      <w:pPr>
        <w:autoSpaceDE w:val="0"/>
        <w:autoSpaceDN w:val="0"/>
        <w:adjustRightInd w:val="0"/>
        <w:jc w:val="left"/>
        <w:rPr>
          <w:rFonts w:ascii="宋体" w:hAnsi="宋体" w:eastAsia="宋体" w:cs="宋体"/>
          <w:color w:val="auto"/>
          <w:kern w:val="0"/>
          <w:sz w:val="24"/>
          <w:szCs w:val="24"/>
          <w:highlight w:val="none"/>
        </w:rPr>
      </w:pPr>
    </w:p>
    <w:p w14:paraId="619D35AA">
      <w:pPr>
        <w:tabs>
          <w:tab w:val="left" w:pos="570"/>
        </w:tabs>
        <w:autoSpaceDE w:val="0"/>
        <w:autoSpaceDN w:val="0"/>
        <w:adjustRightInd w:val="0"/>
        <w:spacing w:line="360" w:lineRule="auto"/>
        <w:ind w:left="357" w:leftChars="-100" w:hanging="567"/>
        <w:jc w:val="left"/>
        <w:outlineLvl w:val="2"/>
        <w:rPr>
          <w:rFonts w:ascii="宋体" w:hAnsi="宋体" w:eastAsia="宋体" w:cs="宋体"/>
          <w:b/>
          <w:color w:val="auto"/>
          <w:szCs w:val="21"/>
          <w:highlight w:val="none"/>
          <w:lang w:val="zh-CN"/>
        </w:rPr>
      </w:pPr>
      <w:bookmarkStart w:id="36" w:name="_Toc9225"/>
      <w:bookmarkStart w:id="37" w:name="_Toc142508314"/>
      <w:bookmarkStart w:id="38" w:name="_Toc32244"/>
      <w:bookmarkStart w:id="39" w:name="_Toc80_WPSOffice_Level3"/>
      <w:bookmarkStart w:id="40" w:name="_Toc450662850"/>
      <w:bookmarkStart w:id="41" w:name="_Toc18557"/>
      <w:bookmarkStart w:id="42" w:name="_Toc195714218"/>
      <w:bookmarkStart w:id="43" w:name="_Toc486167664"/>
      <w:r>
        <w:rPr>
          <w:rFonts w:hint="eastAsia" w:ascii="宋体" w:hAnsi="宋体" w:eastAsia="宋体" w:cs="宋体"/>
          <w:b/>
          <w:color w:val="auto"/>
          <w:szCs w:val="21"/>
          <w:highlight w:val="none"/>
          <w:lang w:val="zh-CN"/>
        </w:rPr>
        <w:t>2</w:t>
      </w:r>
      <w:r>
        <w:rPr>
          <w:rFonts w:ascii="宋体" w:hAnsi="宋体" w:eastAsia="宋体" w:cs="宋体"/>
          <w:b/>
          <w:color w:val="auto"/>
          <w:szCs w:val="21"/>
          <w:highlight w:val="none"/>
          <w:lang w:val="zh-CN"/>
        </w:rPr>
        <w:t xml:space="preserve"> </w:t>
      </w:r>
      <w:r>
        <w:rPr>
          <w:rFonts w:hint="eastAsia" w:ascii="宋体" w:hAnsi="宋体" w:eastAsia="宋体" w:cs="宋体"/>
          <w:b/>
          <w:color w:val="auto"/>
          <w:szCs w:val="21"/>
          <w:highlight w:val="none"/>
          <w:lang w:val="zh-CN"/>
        </w:rPr>
        <w:t>合格的投标人</w:t>
      </w:r>
      <w:bookmarkEnd w:id="36"/>
      <w:bookmarkEnd w:id="37"/>
      <w:bookmarkEnd w:id="38"/>
      <w:bookmarkEnd w:id="39"/>
      <w:bookmarkEnd w:id="40"/>
      <w:bookmarkEnd w:id="41"/>
      <w:bookmarkEnd w:id="42"/>
      <w:bookmarkEnd w:id="43"/>
    </w:p>
    <w:p w14:paraId="3CD62D04">
      <w:pPr>
        <w:autoSpaceDE w:val="0"/>
        <w:autoSpaceDN w:val="0"/>
        <w:adjustRightInd w:val="0"/>
        <w:spacing w:line="360" w:lineRule="auto"/>
        <w:ind w:left="317" w:leftChars="-100" w:hanging="527" w:hangingChars="250"/>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2.1  合格的投标人条件见第一篇《招标公告》中第</w:t>
      </w:r>
      <w:r>
        <w:rPr>
          <w:rFonts w:ascii="宋体" w:hAnsi="宋体" w:eastAsia="宋体" w:cs="宋体"/>
          <w:b/>
          <w:color w:val="auto"/>
          <w:szCs w:val="21"/>
          <w:highlight w:val="none"/>
          <w:lang w:val="zh-CN"/>
        </w:rPr>
        <w:t>2</w:t>
      </w:r>
      <w:r>
        <w:rPr>
          <w:rFonts w:hint="eastAsia" w:ascii="宋体" w:hAnsi="宋体" w:eastAsia="宋体" w:cs="宋体"/>
          <w:b/>
          <w:color w:val="auto"/>
          <w:szCs w:val="21"/>
          <w:highlight w:val="none"/>
          <w:lang w:val="zh-CN"/>
        </w:rPr>
        <w:t>条的“合格投标人资格要求”及本条以下2.2款至</w:t>
      </w:r>
      <w:r>
        <w:rPr>
          <w:rFonts w:hint="eastAsia" w:ascii="宋体" w:hAnsi="宋体" w:eastAsia="宋体" w:cs="宋体"/>
          <w:b/>
          <w:color w:val="auto"/>
          <w:szCs w:val="21"/>
          <w:highlight w:val="none"/>
        </w:rPr>
        <w:t>2.5</w:t>
      </w:r>
      <w:r>
        <w:rPr>
          <w:rFonts w:hint="eastAsia" w:ascii="宋体" w:hAnsi="宋体" w:eastAsia="宋体" w:cs="宋体"/>
          <w:b/>
          <w:color w:val="auto"/>
          <w:szCs w:val="21"/>
          <w:highlight w:val="none"/>
          <w:lang w:val="zh-CN"/>
        </w:rPr>
        <w:t>款的通用要求。</w:t>
      </w:r>
    </w:p>
    <w:p w14:paraId="52DF8D47">
      <w:pPr>
        <w:autoSpaceDE w:val="0"/>
        <w:autoSpaceDN w:val="0"/>
        <w:adjustRightInd w:val="0"/>
        <w:spacing w:line="360" w:lineRule="auto"/>
        <w:ind w:left="359" w:leftChars="-100" w:hanging="569" w:hangingChars="270"/>
        <w:rPr>
          <w:rFonts w:ascii="宋体" w:hAnsi="宋体" w:eastAsia="宋体" w:cs="宋体"/>
          <w:b/>
          <w:color w:val="auto"/>
          <w:kern w:val="0"/>
          <w:szCs w:val="21"/>
          <w:highlight w:val="none"/>
        </w:rPr>
      </w:pPr>
      <w:r>
        <w:rPr>
          <w:rFonts w:hint="eastAsia" w:ascii="宋体" w:hAnsi="宋体" w:eastAsia="宋体" w:cs="宋体"/>
          <w:b/>
          <w:color w:val="auto"/>
          <w:kern w:val="0"/>
          <w:szCs w:val="24"/>
          <w:highlight w:val="none"/>
        </w:rPr>
        <w:t xml:space="preserve">2.2  </w:t>
      </w:r>
      <w:r>
        <w:rPr>
          <w:rFonts w:hint="eastAsia" w:ascii="宋体" w:hAnsi="宋体" w:eastAsia="宋体" w:cs="宋体"/>
          <w:b/>
          <w:color w:val="auto"/>
          <w:kern w:val="0"/>
          <w:szCs w:val="21"/>
          <w:highlight w:val="none"/>
        </w:rPr>
        <w:t>投标人</w:t>
      </w:r>
      <w:r>
        <w:rPr>
          <w:rFonts w:hint="eastAsia" w:ascii="宋体" w:hAnsi="宋体" w:eastAsia="宋体" w:cs="Times New Roman"/>
          <w:b/>
          <w:color w:val="auto"/>
          <w:kern w:val="0"/>
          <w:szCs w:val="21"/>
          <w:highlight w:val="none"/>
        </w:rPr>
        <w:t>在参加本项目投标前的三年内不得在投标活动中存在《中华人民共和国招标投标法》第五十三条（相互串通投标或者与招标人串通投标，以向招标人或者评标委员会成员行贿的手段谋取中标）、第五十四条（以他人名义投标或者以其他方式弄虚作假，骗取中标）、第六十条（中标人不履行与招标人订立的合同）、《中华人民共和国招标投标法实施条例》第七十六条（将中标项目转让给他人的，将中标项目肢解后分别转让给他人的，违反招标投标法和本条例规定将中标项目的部分主体、关键性工作分包给他人的，或者分包人再次分包）、第七十七条（捏造事实、伪造材料或者以非法手段取得证明材料进行投诉）规定的违法行为，而受到各级管理部门的处罚。投标人存在前述处罚的，在投标文件中必须主动按招标文件的要求填报“最近3年投标人牵涉的其他（失信和违法）</w:t>
      </w:r>
      <w:r>
        <w:rPr>
          <w:rFonts w:hint="eastAsia" w:ascii="宋体" w:hAnsi="宋体" w:eastAsia="宋体" w:cs="Times New Roman"/>
          <w:b/>
          <w:color w:val="auto"/>
          <w:kern w:val="0"/>
          <w:szCs w:val="21"/>
          <w:highlight w:val="none"/>
          <w:lang w:val="zh-CN"/>
        </w:rPr>
        <w:t>处罚说明</w:t>
      </w:r>
      <w:r>
        <w:rPr>
          <w:rFonts w:hint="eastAsia" w:ascii="宋体" w:hAnsi="宋体" w:eastAsia="宋体" w:cs="Times New Roman"/>
          <w:b/>
          <w:color w:val="auto"/>
          <w:kern w:val="0"/>
          <w:szCs w:val="21"/>
          <w:highlight w:val="none"/>
        </w:rPr>
        <w:t>”，如果不主动填报而被事后发现的，将取消其投标（中标）资格，并按有关规定从重处理</w:t>
      </w:r>
      <w:r>
        <w:rPr>
          <w:rFonts w:hint="eastAsia" w:ascii="宋体" w:hAnsi="宋体" w:eastAsia="宋体" w:cs="宋体"/>
          <w:b/>
          <w:color w:val="auto"/>
          <w:kern w:val="0"/>
          <w:szCs w:val="21"/>
          <w:highlight w:val="none"/>
        </w:rPr>
        <w:t>。</w:t>
      </w:r>
    </w:p>
    <w:p w14:paraId="4984AD38">
      <w:pPr>
        <w:autoSpaceDE w:val="0"/>
        <w:autoSpaceDN w:val="0"/>
        <w:adjustRightInd w:val="0"/>
        <w:spacing w:line="360" w:lineRule="auto"/>
        <w:ind w:left="317" w:leftChars="-100" w:hanging="527" w:hangingChars="250"/>
        <w:rPr>
          <w:rFonts w:ascii="宋体" w:hAnsi="宋体" w:eastAsia="宋体" w:cs="宋体"/>
          <w:b/>
          <w:color w:val="auto"/>
          <w:szCs w:val="21"/>
          <w:highlight w:val="none"/>
          <w:lang w:val="zh-CN"/>
        </w:rPr>
      </w:pPr>
      <w:r>
        <w:rPr>
          <w:rFonts w:hint="eastAsia" w:ascii="宋体" w:hAnsi="宋体" w:eastAsia="宋体" w:cs="宋体"/>
          <w:b/>
          <w:color w:val="auto"/>
          <w:kern w:val="0"/>
          <w:szCs w:val="21"/>
          <w:highlight w:val="none"/>
          <w:lang w:val="zh-CN"/>
        </w:rPr>
        <w:t>2.</w:t>
      </w:r>
      <w:r>
        <w:rPr>
          <w:rFonts w:ascii="宋体" w:hAnsi="宋体" w:eastAsia="宋体" w:cs="宋体"/>
          <w:b/>
          <w:color w:val="auto"/>
          <w:kern w:val="0"/>
          <w:szCs w:val="21"/>
          <w:highlight w:val="none"/>
          <w:lang w:val="zh-CN"/>
        </w:rPr>
        <w:t>3</w:t>
      </w:r>
      <w:r>
        <w:rPr>
          <w:rFonts w:hint="eastAsia" w:ascii="宋体" w:hAnsi="宋体" w:eastAsia="宋体" w:cs="宋体"/>
          <w:b/>
          <w:color w:val="auto"/>
          <w:kern w:val="0"/>
          <w:szCs w:val="21"/>
          <w:highlight w:val="none"/>
          <w:lang w:val="zh-CN"/>
        </w:rPr>
        <w:t xml:space="preserve">  投标人</w:t>
      </w:r>
      <w:r>
        <w:rPr>
          <w:rFonts w:hint="eastAsia" w:ascii="宋体" w:hAnsi="宋体" w:eastAsia="宋体" w:cs="宋体"/>
          <w:b/>
          <w:color w:val="auto"/>
          <w:szCs w:val="21"/>
          <w:highlight w:val="none"/>
          <w:lang w:val="zh-CN"/>
        </w:rPr>
        <w:t>符合《中华人民共和国招标投标法》第二十六条规定。</w:t>
      </w:r>
    </w:p>
    <w:p w14:paraId="44149977">
      <w:pPr>
        <w:autoSpaceDE w:val="0"/>
        <w:autoSpaceDN w:val="0"/>
        <w:adjustRightInd w:val="0"/>
        <w:spacing w:line="360" w:lineRule="auto"/>
        <w:ind w:left="359" w:leftChars="-99" w:hanging="567" w:hangingChars="269"/>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2.</w:t>
      </w:r>
      <w:r>
        <w:rPr>
          <w:rFonts w:ascii="宋体" w:hAnsi="宋体" w:eastAsia="宋体" w:cs="宋体"/>
          <w:b/>
          <w:color w:val="auto"/>
          <w:kern w:val="0"/>
          <w:szCs w:val="21"/>
          <w:highlight w:val="none"/>
        </w:rPr>
        <w:t>4</w:t>
      </w:r>
      <w:r>
        <w:rPr>
          <w:rFonts w:hint="eastAsia" w:ascii="宋体" w:hAnsi="宋体" w:eastAsia="宋体" w:cs="宋体"/>
          <w:b/>
          <w:color w:val="auto"/>
          <w:kern w:val="0"/>
          <w:szCs w:val="21"/>
          <w:highlight w:val="none"/>
        </w:rPr>
        <w:t xml:space="preserve">  </w:t>
      </w:r>
      <w:r>
        <w:rPr>
          <w:rFonts w:hint="eastAsia" w:ascii="宋体" w:hAnsi="宋体" w:eastAsia="宋体" w:cs="Times New Roman"/>
          <w:b/>
          <w:color w:val="auto"/>
          <w:kern w:val="0"/>
          <w:szCs w:val="21"/>
          <w:highlight w:val="none"/>
        </w:rPr>
        <w:t>投标人（含其不具有独立法人资格的分支机构）未被列入“信用中国”网站（ www.creditchina.gov.cn）失信被执行人、重大税收违法失信主体、政府采购严重违法失信行为记录名单（处罚期限届满的除外）</w:t>
      </w:r>
      <w:r>
        <w:rPr>
          <w:rFonts w:hint="eastAsia" w:ascii="宋体" w:hAnsi="宋体" w:eastAsia="宋体" w:cs="宋体"/>
          <w:b/>
          <w:color w:val="auto"/>
          <w:kern w:val="0"/>
          <w:szCs w:val="21"/>
          <w:highlight w:val="none"/>
        </w:rPr>
        <w:t>。</w:t>
      </w:r>
    </w:p>
    <w:p w14:paraId="219DA9C0">
      <w:pPr>
        <w:autoSpaceDE w:val="0"/>
        <w:autoSpaceDN w:val="0"/>
        <w:adjustRightInd w:val="0"/>
        <w:spacing w:line="360" w:lineRule="auto"/>
        <w:ind w:left="317" w:leftChars="-100" w:hanging="527" w:hangingChars="250"/>
        <w:rPr>
          <w:rFonts w:ascii="宋体" w:hAnsi="宋体" w:eastAsia="宋体" w:cs="宋体"/>
          <w:b/>
          <w:color w:val="auto"/>
          <w:kern w:val="0"/>
          <w:szCs w:val="21"/>
          <w:highlight w:val="none"/>
          <w:lang w:val="zh-CN"/>
        </w:rPr>
      </w:pPr>
      <w:r>
        <w:rPr>
          <w:rFonts w:hint="eastAsia" w:ascii="宋体" w:hAnsi="宋体" w:eastAsia="宋体" w:cs="宋体"/>
          <w:b/>
          <w:color w:val="auto"/>
          <w:szCs w:val="21"/>
          <w:highlight w:val="none"/>
          <w:lang w:val="zh-CN"/>
        </w:rPr>
        <w:t>2.</w:t>
      </w:r>
      <w:r>
        <w:rPr>
          <w:rFonts w:ascii="宋体" w:hAnsi="宋体" w:eastAsia="宋体" w:cs="宋体"/>
          <w:b/>
          <w:color w:val="auto"/>
          <w:szCs w:val="21"/>
          <w:highlight w:val="none"/>
          <w:lang w:val="zh-CN"/>
        </w:rPr>
        <w:t>5</w:t>
      </w:r>
      <w:r>
        <w:rPr>
          <w:rFonts w:hint="eastAsia" w:ascii="宋体" w:hAnsi="宋体" w:eastAsia="宋体" w:cs="宋体"/>
          <w:b/>
          <w:color w:val="auto"/>
          <w:szCs w:val="21"/>
          <w:highlight w:val="none"/>
          <w:lang w:val="zh-CN"/>
        </w:rPr>
        <w:t xml:space="preserve">  </w:t>
      </w:r>
      <w:r>
        <w:rPr>
          <w:rFonts w:hint="eastAsia" w:ascii="宋体" w:hAnsi="宋体" w:eastAsia="宋体" w:cs="Times New Roman"/>
          <w:b/>
          <w:color w:val="auto"/>
          <w:kern w:val="0"/>
          <w:szCs w:val="21"/>
          <w:highlight w:val="none"/>
        </w:rPr>
        <w:t>根据《中华人民共和国招标投标法实施条例》第三十四条规定，与招标人存在利害关系可能影响招标公正性的法人、其他组织或者个人，不得参加投标；投标人负责人为同一人或者存在控股、管理关系的不同投标人，不得参加同一项目投标。上述情况一经发现，相关投标均无效</w:t>
      </w:r>
      <w:r>
        <w:rPr>
          <w:rFonts w:hint="eastAsia" w:ascii="宋体" w:hAnsi="宋体" w:eastAsia="宋体" w:cs="宋体"/>
          <w:b/>
          <w:color w:val="auto"/>
          <w:szCs w:val="21"/>
          <w:highlight w:val="none"/>
          <w:lang w:val="zh-CN"/>
        </w:rPr>
        <w:t>。</w:t>
      </w:r>
    </w:p>
    <w:p w14:paraId="5B28B452">
      <w:pPr>
        <w:tabs>
          <w:tab w:val="left" w:pos="426"/>
        </w:tabs>
        <w:autoSpaceDE w:val="0"/>
        <w:autoSpaceDN w:val="0"/>
        <w:adjustRightInd w:val="0"/>
        <w:spacing w:line="360" w:lineRule="auto"/>
        <w:ind w:left="319" w:leftChars="-100" w:hanging="529" w:hangingChars="252"/>
        <w:rPr>
          <w:rFonts w:ascii="宋体" w:hAnsi="宋体" w:eastAsia="宋体" w:cs="宋体"/>
          <w:color w:val="auto"/>
          <w:kern w:val="0"/>
          <w:szCs w:val="24"/>
          <w:highlight w:val="none"/>
        </w:rPr>
      </w:pPr>
    </w:p>
    <w:p w14:paraId="11F133C6">
      <w:pPr>
        <w:tabs>
          <w:tab w:val="left" w:pos="570"/>
        </w:tabs>
        <w:adjustRightInd w:val="0"/>
        <w:spacing w:line="360" w:lineRule="auto"/>
        <w:ind w:left="357" w:leftChars="-100" w:hanging="567"/>
        <w:jc w:val="left"/>
        <w:outlineLvl w:val="2"/>
        <w:rPr>
          <w:rFonts w:ascii="宋体" w:hAnsi="宋体" w:eastAsia="宋体" w:cs="宋体"/>
          <w:b/>
          <w:color w:val="auto"/>
          <w:szCs w:val="21"/>
          <w:highlight w:val="none"/>
          <w:lang w:val="zh-CN"/>
        </w:rPr>
      </w:pPr>
      <w:bookmarkStart w:id="44" w:name="_Toc4066"/>
      <w:bookmarkStart w:id="45" w:name="_Toc8199"/>
      <w:bookmarkStart w:id="46" w:name="_Toc195714219"/>
      <w:bookmarkStart w:id="47" w:name="_Toc28856"/>
      <w:bookmarkStart w:id="48" w:name="_Toc19774"/>
      <w:bookmarkStart w:id="49" w:name="_Toc142508315"/>
      <w:bookmarkStart w:id="50" w:name="_Toc23847_WPSOffice_Level3"/>
      <w:bookmarkStart w:id="51" w:name="_Toc11689"/>
      <w:bookmarkStart w:id="52" w:name="_Toc486167665"/>
      <w:bookmarkStart w:id="53" w:name="_Toc450662851"/>
      <w:r>
        <w:rPr>
          <w:rFonts w:hint="eastAsia" w:ascii="宋体" w:hAnsi="宋体" w:eastAsia="宋体" w:cs="宋体"/>
          <w:b/>
          <w:color w:val="auto"/>
          <w:szCs w:val="21"/>
          <w:highlight w:val="none"/>
          <w:lang w:val="zh-CN"/>
        </w:rPr>
        <w:t>3</w:t>
      </w:r>
      <w:r>
        <w:rPr>
          <w:rFonts w:ascii="宋体" w:hAnsi="宋体" w:eastAsia="宋体" w:cs="宋体"/>
          <w:b/>
          <w:color w:val="auto"/>
          <w:szCs w:val="21"/>
          <w:highlight w:val="none"/>
          <w:lang w:val="zh-CN"/>
        </w:rPr>
        <w:t xml:space="preserve"> </w:t>
      </w:r>
      <w:r>
        <w:rPr>
          <w:rFonts w:hint="eastAsia" w:ascii="宋体" w:hAnsi="宋体" w:eastAsia="宋体" w:cs="宋体"/>
          <w:b/>
          <w:color w:val="auto"/>
          <w:szCs w:val="21"/>
          <w:highlight w:val="none"/>
          <w:lang w:val="zh-CN"/>
        </w:rPr>
        <w:t>合格的</w:t>
      </w:r>
      <w:bookmarkEnd w:id="44"/>
      <w:bookmarkEnd w:id="45"/>
      <w:r>
        <w:rPr>
          <w:rFonts w:hint="eastAsia" w:ascii="宋体" w:hAnsi="宋体" w:eastAsia="宋体" w:cs="宋体"/>
          <w:b/>
          <w:color w:val="auto"/>
          <w:szCs w:val="21"/>
          <w:highlight w:val="none"/>
          <w:lang w:val="zh-CN"/>
        </w:rPr>
        <w:t>货物</w:t>
      </w:r>
      <w:bookmarkEnd w:id="46"/>
      <w:bookmarkEnd w:id="47"/>
    </w:p>
    <w:p w14:paraId="130A27EF">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ascii="宋体" w:hAnsi="宋体" w:eastAsia="宋体" w:cs="Times New Roman"/>
          <w:color w:val="auto"/>
          <w:szCs w:val="21"/>
          <w:highlight w:val="none"/>
          <w:lang w:val="zh-CN"/>
        </w:rPr>
        <w:t>3.</w:t>
      </w:r>
      <w:r>
        <w:rPr>
          <w:rFonts w:hint="eastAsia" w:ascii="宋体" w:hAnsi="宋体" w:eastAsia="宋体" w:cs="Times New Roman"/>
          <w:color w:val="auto"/>
          <w:szCs w:val="21"/>
          <w:highlight w:val="none"/>
          <w:lang w:val="zh-CN"/>
        </w:rPr>
        <w:t>1</w:t>
      </w: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lang w:val="zh-CN"/>
        </w:rPr>
        <w:t>本款所述的“原产地”指最终供货货物生产制造地方。所述的货物是指制造、加工或使用重要的和主要的原材料制作而成的货物，必须是全新、原装、符合国家质量检测标准和国家安全技术标准，且在商业上公认其基本特征、性能或功能与部件（或原材料）有着实质性区别的产品。</w:t>
      </w:r>
    </w:p>
    <w:p w14:paraId="6B906111">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3.2  投标人</w:t>
      </w:r>
      <w:r>
        <w:rPr>
          <w:rFonts w:hint="eastAsia" w:ascii="宋体" w:hAnsi="宋体" w:eastAsia="宋体" w:cs="Times New Roman"/>
          <w:color w:val="auto"/>
          <w:szCs w:val="21"/>
          <w:highlight w:val="none"/>
          <w:lang w:val="zh-CN"/>
        </w:rPr>
        <w:t>中标后提供的货物</w:t>
      </w:r>
      <w:r>
        <w:rPr>
          <w:rFonts w:hint="eastAsia" w:ascii="宋体" w:hAnsi="宋体" w:eastAsia="宋体" w:cs="Times New Roman"/>
          <w:color w:val="auto"/>
          <w:kern w:val="0"/>
          <w:szCs w:val="21"/>
          <w:highlight w:val="none"/>
        </w:rPr>
        <w:t>必须是合法生产、合法来源的原厂生产的、全新的、未使用过的，并完全符合原厂质量检测标准和国家质量检测标准、行业标准和招标文件要求、投标文件承诺。涉及进口产品或原材料的，中标人</w:t>
      </w:r>
      <w:r>
        <w:rPr>
          <w:rFonts w:ascii="宋体" w:hAnsi="宋体" w:eastAsia="宋体" w:cs="Times New Roman"/>
          <w:color w:val="auto"/>
          <w:kern w:val="0"/>
          <w:szCs w:val="21"/>
          <w:highlight w:val="none"/>
        </w:rPr>
        <w:t>负责办理所有货物的进口及商检手续</w:t>
      </w:r>
      <w:r>
        <w:rPr>
          <w:rFonts w:hint="eastAsia" w:ascii="宋体" w:hAnsi="宋体" w:eastAsia="宋体" w:cs="Times New Roman"/>
          <w:color w:val="auto"/>
          <w:kern w:val="0"/>
          <w:szCs w:val="21"/>
          <w:highlight w:val="none"/>
        </w:rPr>
        <w:t>，并承担相关费用</w:t>
      </w:r>
      <w:r>
        <w:rPr>
          <w:rFonts w:hint="eastAsia" w:ascii="宋体" w:hAnsi="宋体" w:eastAsia="宋体" w:cs="宋体"/>
          <w:color w:val="auto"/>
          <w:szCs w:val="21"/>
          <w:highlight w:val="none"/>
          <w:lang w:val="zh-CN"/>
        </w:rPr>
        <w:t>。</w:t>
      </w:r>
    </w:p>
    <w:p w14:paraId="11977C1E">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bookmarkStart w:id="54" w:name="_Toc533708064"/>
      <w:bookmarkStart w:id="55" w:name="_Toc1977664"/>
      <w:r>
        <w:rPr>
          <w:rFonts w:hint="eastAsia" w:ascii="宋体" w:hAnsi="宋体" w:eastAsia="宋体" w:cs="宋体"/>
          <w:color w:val="auto"/>
          <w:szCs w:val="21"/>
          <w:highlight w:val="none"/>
          <w:lang w:val="zh-CN"/>
        </w:rPr>
        <w:t>3.</w:t>
      </w:r>
      <w:bookmarkEnd w:id="54"/>
      <w:bookmarkEnd w:id="55"/>
      <w:r>
        <w:rPr>
          <w:rFonts w:hint="eastAsia" w:ascii="宋体" w:hAnsi="宋体" w:eastAsia="宋体" w:cs="宋体"/>
          <w:color w:val="auto"/>
          <w:szCs w:val="21"/>
          <w:highlight w:val="none"/>
          <w:lang w:val="zh-CN"/>
        </w:rPr>
        <w:t>3  投标人</w:t>
      </w:r>
      <w:r>
        <w:rPr>
          <w:rFonts w:hint="eastAsia" w:ascii="宋体" w:hAnsi="宋体" w:eastAsia="宋体" w:cs="Times New Roman"/>
          <w:color w:val="auto"/>
          <w:szCs w:val="21"/>
          <w:highlight w:val="none"/>
          <w:lang w:val="zh-CN"/>
        </w:rPr>
        <w:t>必须保证提供的所有货物或货物的任何部分均为最新正式版本</w:t>
      </w:r>
      <w:r>
        <w:rPr>
          <w:rFonts w:hint="eastAsia" w:ascii="宋体" w:hAnsi="宋体" w:eastAsia="宋体" w:cs="宋体"/>
          <w:color w:val="auto"/>
          <w:szCs w:val="21"/>
          <w:highlight w:val="none"/>
          <w:lang w:val="zh-CN"/>
        </w:rPr>
        <w:t>。</w:t>
      </w:r>
    </w:p>
    <w:p w14:paraId="207E5B2E">
      <w:pPr>
        <w:autoSpaceDE w:val="0"/>
        <w:autoSpaceDN w:val="0"/>
        <w:adjustRightInd w:val="0"/>
        <w:spacing w:line="360" w:lineRule="auto"/>
        <w:ind w:left="315" w:leftChars="-100" w:hanging="525" w:hangingChars="250"/>
        <w:rPr>
          <w:rFonts w:ascii="宋体" w:hAnsi="宋体" w:eastAsia="宋体" w:cs="Times New Roman"/>
          <w:color w:val="auto"/>
          <w:kern w:val="0"/>
          <w:szCs w:val="21"/>
          <w:highlight w:val="none"/>
        </w:rPr>
      </w:pPr>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zh-CN"/>
        </w:rPr>
        <w:t xml:space="preserve">  </w:t>
      </w:r>
      <w:r>
        <w:rPr>
          <w:rFonts w:hint="eastAsia" w:ascii="宋体" w:hAnsi="宋体" w:eastAsia="宋体" w:cs="Times New Roman"/>
          <w:color w:val="auto"/>
          <w:kern w:val="0"/>
          <w:szCs w:val="21"/>
          <w:highlight w:val="none"/>
        </w:rPr>
        <w:t>进口的货物及其有关服务必须符合原产地和中华人民共和国的设计和制造生产或行业标准。进口的货物须是具有合法的进口手续和途径，并通过了中华人民共和国商检部门的检验。中标人负责办理所有货物的进口及商检手续，并承担相关费用，还应提供原产地证书、报关资料及检验检疫证明、完税证明。</w:t>
      </w:r>
    </w:p>
    <w:p w14:paraId="52D871C9">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zh-CN"/>
        </w:rPr>
        <w:t xml:space="preserve">  投标人</w:t>
      </w:r>
      <w:r>
        <w:rPr>
          <w:rFonts w:hint="eastAsia" w:ascii="宋体" w:hAnsi="宋体" w:eastAsia="宋体" w:cs="Times New Roman"/>
          <w:color w:val="auto"/>
          <w:kern w:val="0"/>
          <w:szCs w:val="21"/>
          <w:highlight w:val="none"/>
        </w:rPr>
        <w:t>应保证招标人在中华人民共和国使用货物或货物的任何一部分时，招标人免受第三方提出侵犯其专利权、商标权或其它知识产权的起诉。如果投标人不拥有相应的知识产权，则须在报价中包括合法获取该知识产权的相关费用，并在招标文件中附有相关证明文件。如有违反，造成招标人任何经济损失或其他损失的，由投标人承担全部赔偿责任</w:t>
      </w:r>
      <w:r>
        <w:rPr>
          <w:rFonts w:hint="eastAsia" w:ascii="宋体" w:hAnsi="宋体" w:eastAsia="宋体" w:cs="宋体"/>
          <w:color w:val="auto"/>
          <w:szCs w:val="21"/>
          <w:highlight w:val="none"/>
          <w:lang w:val="zh-CN"/>
        </w:rPr>
        <w:t>。</w:t>
      </w:r>
    </w:p>
    <w:p w14:paraId="3A43B58E">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val="zh-CN"/>
        </w:rPr>
        <w:t xml:space="preserve">  无论投标人</w:t>
      </w:r>
      <w:r>
        <w:rPr>
          <w:rFonts w:hint="eastAsia" w:ascii="宋体" w:hAnsi="宋体" w:eastAsia="宋体" w:cs="Times New Roman"/>
          <w:color w:val="auto"/>
          <w:kern w:val="0"/>
          <w:szCs w:val="21"/>
          <w:highlight w:val="none"/>
        </w:rPr>
        <w:t>是否在投标报价表中明示，均视为投标报价已包含所有应支付的对专利权、商标权和版权、设计或其他知识产权而需要向其他方支付的版税和使用费等相关费用。如投标人未依法向第三方支付应缴版税和使用费等相关费用的，造成招标人任何经济损失的，由投标人承担全部赔偿责任</w:t>
      </w:r>
      <w:r>
        <w:rPr>
          <w:rFonts w:hint="eastAsia" w:ascii="宋体" w:hAnsi="宋体" w:eastAsia="宋体" w:cs="宋体"/>
          <w:color w:val="auto"/>
          <w:szCs w:val="21"/>
          <w:highlight w:val="none"/>
          <w:lang w:val="zh-CN"/>
        </w:rPr>
        <w:t>。</w:t>
      </w:r>
    </w:p>
    <w:bookmarkEnd w:id="48"/>
    <w:bookmarkEnd w:id="49"/>
    <w:bookmarkEnd w:id="50"/>
    <w:bookmarkEnd w:id="51"/>
    <w:p w14:paraId="194AB574">
      <w:pPr>
        <w:autoSpaceDE w:val="0"/>
        <w:autoSpaceDN w:val="0"/>
        <w:adjustRightInd w:val="0"/>
        <w:spacing w:line="360" w:lineRule="auto"/>
        <w:jc w:val="left"/>
        <w:rPr>
          <w:rFonts w:ascii="宋体" w:hAnsi="宋体" w:eastAsia="宋体" w:cs="宋体"/>
          <w:color w:val="auto"/>
          <w:szCs w:val="21"/>
          <w:highlight w:val="none"/>
          <w:lang w:val="zh-CN"/>
        </w:rPr>
      </w:pPr>
    </w:p>
    <w:p w14:paraId="4F867E92">
      <w:pPr>
        <w:tabs>
          <w:tab w:val="left" w:pos="570"/>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56" w:name="_Toc9570"/>
      <w:bookmarkStart w:id="57" w:name="_Toc195714220"/>
      <w:bookmarkStart w:id="58" w:name="_Toc142508316"/>
      <w:bookmarkStart w:id="59" w:name="_Toc11533"/>
      <w:bookmarkStart w:id="60" w:name="_Toc9658_WPSOffice_Level3"/>
      <w:bookmarkStart w:id="61" w:name="_Toc3404"/>
      <w:r>
        <w:rPr>
          <w:rFonts w:hint="eastAsia" w:ascii="宋体" w:hAnsi="宋体" w:eastAsia="宋体" w:cs="宋体"/>
          <w:color w:val="auto"/>
          <w:szCs w:val="21"/>
          <w:highlight w:val="none"/>
          <w:lang w:val="zh-CN"/>
        </w:rPr>
        <w:t>4</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其它说明</w:t>
      </w:r>
      <w:bookmarkEnd w:id="56"/>
      <w:bookmarkEnd w:id="57"/>
      <w:bookmarkEnd w:id="58"/>
      <w:bookmarkEnd w:id="59"/>
      <w:bookmarkEnd w:id="60"/>
      <w:bookmarkEnd w:id="61"/>
    </w:p>
    <w:p w14:paraId="2B0C2A9F">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bookmarkStart w:id="62" w:name="_Toc1977670"/>
      <w:bookmarkStart w:id="63" w:name="_Toc533708070"/>
      <w:r>
        <w:rPr>
          <w:rFonts w:hint="eastAsia" w:ascii="宋体" w:hAnsi="宋体" w:eastAsia="宋体" w:cs="宋体"/>
          <w:color w:val="auto"/>
          <w:szCs w:val="21"/>
          <w:highlight w:val="none"/>
          <w:lang w:val="zh-CN"/>
        </w:rPr>
        <w:t>4.1  投标费用</w:t>
      </w:r>
      <w:bookmarkEnd w:id="62"/>
      <w:bookmarkEnd w:id="63"/>
    </w:p>
    <w:p w14:paraId="6E659C6A">
      <w:pPr>
        <w:autoSpaceDE w:val="0"/>
        <w:autoSpaceDN w:val="0"/>
        <w:adjustRightInd w:val="0"/>
        <w:spacing w:line="360" w:lineRule="auto"/>
        <w:ind w:left="210" w:leftChars="100" w:firstLine="420" w:firstLineChars="200"/>
        <w:rPr>
          <w:rFonts w:ascii="宋体" w:hAnsi="宋体" w:eastAsia="宋体" w:cs="宋体"/>
          <w:color w:val="auto"/>
          <w:szCs w:val="21"/>
          <w:highlight w:val="none"/>
          <w:lang w:val="zh-CN"/>
        </w:rPr>
      </w:pPr>
      <w:bookmarkStart w:id="64" w:name="_Toc533708072"/>
      <w:bookmarkStart w:id="65" w:name="_Toc1977672"/>
      <w:r>
        <w:rPr>
          <w:rFonts w:hint="eastAsia" w:ascii="宋体" w:hAnsi="宋体" w:eastAsia="宋体" w:cs="Times New Roman"/>
          <w:color w:val="auto"/>
          <w:szCs w:val="21"/>
          <w:highlight w:val="none"/>
          <w:lang w:val="zh-CN"/>
        </w:rPr>
        <w:t>无论招标过程中的做法和结果如何，投标人须承担所有与编写和递交投标文件有关的费用，招标人和招标代理机构在任何情况下不负担这些费用</w:t>
      </w:r>
      <w:r>
        <w:rPr>
          <w:rFonts w:hint="eastAsia" w:ascii="宋体" w:hAnsi="宋体" w:eastAsia="宋体" w:cs="宋体"/>
          <w:color w:val="auto"/>
          <w:szCs w:val="21"/>
          <w:highlight w:val="none"/>
          <w:lang w:val="zh-CN"/>
        </w:rPr>
        <w:t>。</w:t>
      </w:r>
      <w:bookmarkEnd w:id="64"/>
      <w:bookmarkEnd w:id="65"/>
    </w:p>
    <w:p w14:paraId="38B92002">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bookmarkStart w:id="66" w:name="_Toc533708073"/>
      <w:bookmarkStart w:id="67" w:name="_Toc1977673"/>
      <w:r>
        <w:rPr>
          <w:rFonts w:hint="eastAsia" w:ascii="宋体" w:hAnsi="宋体" w:eastAsia="宋体" w:cs="宋体"/>
          <w:color w:val="auto"/>
          <w:szCs w:val="21"/>
          <w:highlight w:val="none"/>
          <w:lang w:val="zh-CN"/>
        </w:rPr>
        <w:t>4.2  踏勘现场</w:t>
      </w:r>
      <w:bookmarkEnd w:id="66"/>
      <w:bookmarkEnd w:id="67"/>
    </w:p>
    <w:p w14:paraId="2FE197EA">
      <w:pPr>
        <w:autoSpaceDE w:val="0"/>
        <w:autoSpaceDN w:val="0"/>
        <w:adjustRightInd w:val="0"/>
        <w:spacing w:line="360" w:lineRule="auto"/>
        <w:ind w:left="300" w:leftChars="-59" w:hanging="424" w:hangingChars="202"/>
        <w:jc w:val="left"/>
        <w:rPr>
          <w:rFonts w:ascii="宋体" w:hAnsi="宋体" w:eastAsia="宋体" w:cs="Times New Roman"/>
          <w:color w:val="auto"/>
          <w:kern w:val="0"/>
          <w:szCs w:val="21"/>
          <w:highlight w:val="none"/>
        </w:rPr>
      </w:pPr>
      <w:bookmarkStart w:id="68" w:name="_Toc533708076"/>
      <w:bookmarkStart w:id="69" w:name="_Toc1977676"/>
      <w:r>
        <w:rPr>
          <w:rFonts w:hint="eastAsia" w:ascii="宋体" w:hAnsi="宋体" w:eastAsia="宋体" w:cs="Times New Roman"/>
          <w:color w:val="auto"/>
          <w:kern w:val="0"/>
          <w:szCs w:val="21"/>
          <w:highlight w:val="none"/>
        </w:rPr>
        <w:t>（1）本项目不组织集中踏勘现场和答疑，投标人应自行到实地踏勘考察。</w:t>
      </w:r>
    </w:p>
    <w:p w14:paraId="7A5A52DB">
      <w:pPr>
        <w:autoSpaceDE w:val="0"/>
        <w:autoSpaceDN w:val="0"/>
        <w:adjustRightInd w:val="0"/>
        <w:spacing w:line="360" w:lineRule="auto"/>
        <w:ind w:left="300" w:leftChars="-59" w:hanging="424" w:hangingChars="202"/>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（2）潜在投标人应承担踏勘现场自身所发生的费用。</w:t>
      </w:r>
    </w:p>
    <w:p w14:paraId="4C02356F">
      <w:pPr>
        <w:spacing w:line="360" w:lineRule="auto"/>
        <w:ind w:left="300" w:leftChars="-59" w:hanging="424" w:hangingChars="202"/>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（3）招标人和招标代理机构在踏勘现场中介绍的有关现场和相关的周边环境情况，供投标人在编制投标文件时参考，招标人不对投标人据此作出的判断和决策负责。</w:t>
      </w:r>
    </w:p>
    <w:p w14:paraId="4C3142D3">
      <w:pPr>
        <w:spacing w:line="360" w:lineRule="auto"/>
        <w:ind w:left="300" w:leftChars="-59" w:hanging="424" w:hangingChars="202"/>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（4）潜在投标人可为踏勘需要而进入招标人的项目现场，但潜在投标人不得因此使招标人承担有关的责任和蒙受损失。潜在投标人应承担踏勘现场的责任和风险。</w:t>
      </w:r>
    </w:p>
    <w:p w14:paraId="525E182E">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4.3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纪律与保密事项</w:t>
      </w:r>
      <w:bookmarkEnd w:id="52"/>
      <w:bookmarkEnd w:id="53"/>
      <w:bookmarkEnd w:id="68"/>
      <w:bookmarkEnd w:id="69"/>
    </w:p>
    <w:p w14:paraId="042250AF">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（1）获得本招标文件的投标人，不得用作本次投标以外的任何用途。</w:t>
      </w:r>
    </w:p>
    <w:p w14:paraId="4D046461">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val="zh-CN"/>
        </w:rPr>
        <w:t>（2</w:t>
      </w:r>
      <w:r>
        <w:rPr>
          <w:rFonts w:hint="eastAsia" w:ascii="宋体" w:hAnsi="宋体" w:eastAsia="宋体" w:cs="Times New Roman"/>
          <w:color w:val="auto"/>
          <w:kern w:val="0"/>
          <w:szCs w:val="21"/>
          <w:highlight w:val="none"/>
        </w:rPr>
        <w:t>）凡参与招标工作的有关人员均应自觉接受有关主管部门的监督，不得向他人透露可能影响公平竞争的情况。</w:t>
      </w:r>
    </w:p>
    <w:p w14:paraId="37B056A4">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（3）开标后，直至向中标人授予合同期间，凡与审查、澄清、评价和比较报价的有关资料以及授标意见等，参与评标工作的有关人员均不得向投标人及与评标无关的其他人透露。</w:t>
      </w:r>
    </w:p>
    <w:p w14:paraId="0AAB4EC8">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（4）除投标人被要求对投标文件进行澄清外，从递交投标文件截止之时起至授予合同期间，投标人不得就与其投标文件有关的事项主动与评标委员会、招标代理机构以及招标人联系。</w:t>
      </w:r>
    </w:p>
    <w:p w14:paraId="374EA73D">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5）从开标之日起至授予合同期间，在投标文件的审查、澄清、比较和评价阶段，投标人试图对评标委员会和招标代理机构施加任何影响或对招标人的比较及授予合同的决定产生影响，都可能导致其投标文件被拒绝。</w:t>
      </w:r>
    </w:p>
    <w:p w14:paraId="349FA720">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（6）投标人不得串通作弊，以不正当的手段妨碍、排挤其他投标人，扰乱采购市场，破坏公平竞争原则。</w:t>
      </w:r>
    </w:p>
    <w:p w14:paraId="244AB476">
      <w:pPr>
        <w:autoSpaceDE w:val="0"/>
        <w:autoSpaceDN w:val="0"/>
        <w:adjustRightInd w:val="0"/>
        <w:spacing w:line="360" w:lineRule="auto"/>
        <w:ind w:left="315" w:leftChars="-100" w:hanging="525" w:hangingChars="250"/>
        <w:rPr>
          <w:rFonts w:ascii="宋体" w:hAnsi="宋体" w:eastAsia="宋体" w:cs="宋体"/>
          <w:color w:val="auto"/>
          <w:szCs w:val="21"/>
          <w:highlight w:val="none"/>
        </w:rPr>
      </w:pPr>
    </w:p>
    <w:p w14:paraId="5088C733">
      <w:pPr>
        <w:keepNext/>
        <w:keepLines/>
        <w:autoSpaceDE w:val="0"/>
        <w:autoSpaceDN w:val="0"/>
        <w:adjustRightInd w:val="0"/>
        <w:spacing w:line="360" w:lineRule="auto"/>
        <w:jc w:val="left"/>
        <w:outlineLvl w:val="0"/>
        <w:rPr>
          <w:rFonts w:ascii="宋体" w:hAnsi="宋体" w:eastAsia="宋体" w:cs="宋体"/>
          <w:b/>
          <w:bCs/>
          <w:color w:val="auto"/>
          <w:kern w:val="44"/>
          <w:szCs w:val="21"/>
          <w:highlight w:val="none"/>
          <w:lang w:val="zh-CN"/>
        </w:rPr>
      </w:pPr>
      <w:bookmarkStart w:id="70" w:name="_Toc140596876"/>
      <w:bookmarkStart w:id="71" w:name="_Toc486167667"/>
      <w:bookmarkStart w:id="72" w:name="_Toc5395"/>
      <w:bookmarkStart w:id="73" w:name="_Toc195714221"/>
      <w:bookmarkStart w:id="74" w:name="_Toc25972"/>
      <w:bookmarkStart w:id="75" w:name="_Toc30507_WPSOffice_Level2"/>
      <w:bookmarkStart w:id="76" w:name="_Toc450662853"/>
      <w:bookmarkStart w:id="77" w:name="_Toc1565"/>
      <w:bookmarkStart w:id="78" w:name="_Toc142508317"/>
      <w:r>
        <w:rPr>
          <w:rFonts w:hint="eastAsia" w:ascii="宋体" w:hAnsi="宋体" w:eastAsia="宋体" w:cs="宋体"/>
          <w:b/>
          <w:bCs/>
          <w:color w:val="auto"/>
          <w:kern w:val="44"/>
          <w:szCs w:val="21"/>
          <w:highlight w:val="none"/>
          <w:lang w:val="zh-CN"/>
        </w:rPr>
        <w:t>二、招标文件</w:t>
      </w:r>
      <w:bookmarkEnd w:id="70"/>
      <w:bookmarkEnd w:id="71"/>
      <w:bookmarkEnd w:id="72"/>
      <w:bookmarkEnd w:id="73"/>
      <w:bookmarkEnd w:id="74"/>
      <w:bookmarkEnd w:id="75"/>
      <w:bookmarkEnd w:id="76"/>
      <w:bookmarkEnd w:id="77"/>
      <w:bookmarkEnd w:id="78"/>
    </w:p>
    <w:p w14:paraId="2C23DC68">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79" w:name="_Toc486167668"/>
      <w:bookmarkStart w:id="80" w:name="_Toc450662854"/>
      <w:bookmarkStart w:id="81" w:name="_Toc142508318"/>
      <w:bookmarkStart w:id="82" w:name="_Toc16514"/>
      <w:bookmarkStart w:id="83" w:name="_Toc28893"/>
      <w:bookmarkStart w:id="84" w:name="_Toc2406"/>
      <w:bookmarkStart w:id="85" w:name="_Toc195714222"/>
      <w:bookmarkStart w:id="86" w:name="_Toc26635_WPSOffice_Level3"/>
      <w:r>
        <w:rPr>
          <w:rFonts w:hint="eastAsia" w:ascii="宋体" w:hAnsi="宋体" w:eastAsia="宋体" w:cs="宋体"/>
          <w:color w:val="auto"/>
          <w:szCs w:val="21"/>
          <w:highlight w:val="none"/>
          <w:lang w:val="zh-CN"/>
        </w:rPr>
        <w:t>5</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招标文件的构成</w:t>
      </w:r>
      <w:bookmarkEnd w:id="79"/>
      <w:bookmarkEnd w:id="80"/>
      <w:bookmarkEnd w:id="81"/>
      <w:bookmarkEnd w:id="82"/>
      <w:bookmarkEnd w:id="83"/>
      <w:bookmarkEnd w:id="84"/>
      <w:bookmarkEnd w:id="85"/>
      <w:bookmarkEnd w:id="86"/>
    </w:p>
    <w:p w14:paraId="6EC83402">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5.1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招标文件包括：</w:t>
      </w:r>
    </w:p>
    <w:p w14:paraId="2522A2D2">
      <w:pPr>
        <w:tabs>
          <w:tab w:val="left" w:pos="1890"/>
        </w:tabs>
        <w:autoSpaceDE w:val="0"/>
        <w:autoSpaceDN w:val="0"/>
        <w:adjustRightInd w:val="0"/>
        <w:spacing w:line="360" w:lineRule="auto"/>
        <w:ind w:firstLine="424" w:firstLineChars="202"/>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第一篇 招标公告</w:t>
      </w:r>
    </w:p>
    <w:p w14:paraId="49374334">
      <w:pPr>
        <w:tabs>
          <w:tab w:val="left" w:pos="1890"/>
        </w:tabs>
        <w:autoSpaceDE w:val="0"/>
        <w:autoSpaceDN w:val="0"/>
        <w:adjustRightInd w:val="0"/>
        <w:spacing w:line="360" w:lineRule="auto"/>
        <w:ind w:firstLine="424" w:firstLineChars="202"/>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第二篇 投标人须知</w:t>
      </w:r>
    </w:p>
    <w:p w14:paraId="37970205">
      <w:pPr>
        <w:tabs>
          <w:tab w:val="left" w:pos="1890"/>
        </w:tabs>
        <w:autoSpaceDE w:val="0"/>
        <w:autoSpaceDN w:val="0"/>
        <w:adjustRightInd w:val="0"/>
        <w:spacing w:line="360" w:lineRule="auto"/>
        <w:ind w:firstLine="424" w:firstLineChars="202"/>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第三篇 用户需求书</w:t>
      </w:r>
    </w:p>
    <w:p w14:paraId="041985B4">
      <w:pPr>
        <w:tabs>
          <w:tab w:val="left" w:pos="1890"/>
        </w:tabs>
        <w:autoSpaceDE w:val="0"/>
        <w:autoSpaceDN w:val="0"/>
        <w:adjustRightInd w:val="0"/>
        <w:spacing w:line="360" w:lineRule="auto"/>
        <w:ind w:firstLine="424" w:firstLineChars="202"/>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第四篇 合同条款</w:t>
      </w:r>
    </w:p>
    <w:p w14:paraId="2867E522">
      <w:pPr>
        <w:tabs>
          <w:tab w:val="left" w:pos="1890"/>
        </w:tabs>
        <w:autoSpaceDE w:val="0"/>
        <w:autoSpaceDN w:val="0"/>
        <w:adjustRightInd w:val="0"/>
        <w:spacing w:line="360" w:lineRule="auto"/>
        <w:ind w:firstLine="424" w:firstLineChars="202"/>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第五篇 相关保函格式</w:t>
      </w:r>
    </w:p>
    <w:p w14:paraId="244E13A7">
      <w:pPr>
        <w:tabs>
          <w:tab w:val="left" w:pos="1890"/>
        </w:tabs>
        <w:autoSpaceDE w:val="0"/>
        <w:autoSpaceDN w:val="0"/>
        <w:adjustRightInd w:val="0"/>
        <w:spacing w:line="360" w:lineRule="auto"/>
        <w:ind w:firstLine="424" w:firstLineChars="202"/>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第六篇 投标文件格式</w:t>
      </w:r>
    </w:p>
    <w:p w14:paraId="24016979">
      <w:pPr>
        <w:tabs>
          <w:tab w:val="left" w:pos="1890"/>
        </w:tabs>
        <w:autoSpaceDE w:val="0"/>
        <w:autoSpaceDN w:val="0"/>
        <w:adjustRightInd w:val="0"/>
        <w:spacing w:line="360" w:lineRule="auto"/>
        <w:ind w:firstLine="424" w:firstLineChars="202"/>
        <w:rPr>
          <w:rFonts w:ascii="宋体" w:hAnsi="宋体" w:eastAsia="宋体" w:cs="Times New Roman"/>
          <w:color w:val="auto"/>
          <w:szCs w:val="21"/>
          <w:highlight w:val="none"/>
          <w:lang w:val="zh-CN"/>
        </w:rPr>
      </w:pPr>
      <w:r>
        <w:rPr>
          <w:rFonts w:hint="eastAsia" w:ascii="宋体" w:hAnsi="宋体" w:eastAsia="宋体" w:cs="宋体"/>
          <w:color w:val="auto"/>
          <w:szCs w:val="21"/>
          <w:highlight w:val="none"/>
          <w:lang w:val="zh-CN"/>
        </w:rPr>
        <w:t>附件一：评标工作大纲</w:t>
      </w:r>
    </w:p>
    <w:p w14:paraId="384A224B">
      <w:pPr>
        <w:autoSpaceDE w:val="0"/>
        <w:autoSpaceDN w:val="0"/>
        <w:adjustRightInd w:val="0"/>
        <w:spacing w:line="360" w:lineRule="auto"/>
        <w:ind w:left="356" w:leftChars="-99" w:hanging="564" w:hangingChars="269"/>
        <w:rPr>
          <w:rFonts w:ascii="宋体" w:hAnsi="宋体" w:eastAsia="宋体" w:cs="宋体"/>
          <w:b/>
          <w:bCs/>
          <w:color w:val="auto"/>
          <w:szCs w:val="21"/>
          <w:highlight w:val="none"/>
          <w:u w:val="single"/>
          <w:lang w:val="zh-CN"/>
        </w:rPr>
      </w:pPr>
      <w:r>
        <w:rPr>
          <w:rFonts w:hint="eastAsia" w:ascii="宋体" w:hAnsi="宋体" w:eastAsia="宋体" w:cs="宋体"/>
          <w:bCs/>
          <w:color w:val="auto"/>
          <w:szCs w:val="21"/>
          <w:highlight w:val="none"/>
          <w:lang w:val="zh-CN"/>
        </w:rPr>
        <w:t>5.2</w:t>
      </w:r>
      <w:r>
        <w:rPr>
          <w:rFonts w:hint="eastAsia" w:ascii="宋体" w:hAnsi="宋体" w:eastAsia="宋体" w:cs="宋体"/>
          <w:b/>
          <w:bCs/>
          <w:color w:val="auto"/>
          <w:szCs w:val="21"/>
          <w:highlight w:val="none"/>
          <w:lang w:val="zh-CN"/>
        </w:rPr>
        <w:tab/>
      </w:r>
      <w:r>
        <w:rPr>
          <w:rFonts w:hint="eastAsia" w:ascii="宋体" w:hAnsi="宋体" w:eastAsia="宋体" w:cs="宋体"/>
          <w:b/>
          <w:bCs/>
          <w:color w:val="auto"/>
          <w:szCs w:val="21"/>
          <w:highlight w:val="none"/>
          <w:u w:val="single"/>
          <w:lang w:val="zh-CN"/>
        </w:rPr>
        <w:t>投标人</w:t>
      </w:r>
      <w:r>
        <w:rPr>
          <w:rFonts w:hint="eastAsia" w:ascii="宋体" w:hAnsi="宋体" w:eastAsia="宋体" w:cs="Times New Roman"/>
          <w:b/>
          <w:bCs/>
          <w:color w:val="auto"/>
          <w:szCs w:val="21"/>
          <w:highlight w:val="none"/>
          <w:u w:val="single"/>
          <w:lang w:val="zh-CN"/>
        </w:rPr>
        <w:t>应审阅招标文件中所有须知、格式、条款和规格。投标人未按招标文件要求提供全部资料或提交的投标文件未对招标文件作出实质性响应（</w:t>
      </w:r>
      <w:r>
        <w:rPr>
          <w:rFonts w:hint="eastAsia" w:ascii="宋体" w:hAnsi="宋体" w:eastAsia="宋体" w:cs="宋体"/>
          <w:b/>
          <w:bCs/>
          <w:color w:val="auto"/>
          <w:szCs w:val="21"/>
          <w:highlight w:val="none"/>
          <w:u w:val="single"/>
          <w:lang w:val="zh-CN"/>
        </w:rPr>
        <w:t>★</w:t>
      </w:r>
      <w:r>
        <w:rPr>
          <w:rFonts w:hint="eastAsia" w:ascii="宋体" w:hAnsi="宋体" w:eastAsia="宋体" w:cs="Times New Roman"/>
          <w:b/>
          <w:bCs/>
          <w:color w:val="auto"/>
          <w:szCs w:val="21"/>
          <w:highlight w:val="none"/>
          <w:u w:val="single"/>
          <w:lang w:val="zh-CN"/>
        </w:rPr>
        <w:t>标志的部分为投标人、投标拟供货物必备的条件或重要指示），那么投标人的投标文件将有可能被拒绝接收或评审为无效投标文件</w:t>
      </w:r>
      <w:r>
        <w:rPr>
          <w:rFonts w:hint="eastAsia" w:ascii="宋体" w:hAnsi="宋体" w:eastAsia="宋体" w:cs="宋体"/>
          <w:b/>
          <w:bCs/>
          <w:color w:val="auto"/>
          <w:szCs w:val="21"/>
          <w:highlight w:val="none"/>
          <w:u w:val="single"/>
          <w:lang w:val="zh-CN"/>
        </w:rPr>
        <w:t>。</w:t>
      </w:r>
    </w:p>
    <w:p w14:paraId="6B77AFBD">
      <w:pPr>
        <w:autoSpaceDE w:val="0"/>
        <w:autoSpaceDN w:val="0"/>
        <w:adjustRightInd w:val="0"/>
        <w:spacing w:line="360" w:lineRule="auto"/>
        <w:ind w:left="356" w:leftChars="-99" w:hanging="564" w:hangingChars="269"/>
        <w:rPr>
          <w:rFonts w:ascii="宋体" w:hAnsi="宋体" w:eastAsia="宋体" w:cs="宋体"/>
          <w:b/>
          <w:bCs/>
          <w:color w:val="auto"/>
          <w:szCs w:val="21"/>
          <w:highlight w:val="none"/>
          <w:u w:val="single"/>
        </w:rPr>
      </w:pPr>
      <w:r>
        <w:rPr>
          <w:rFonts w:hint="eastAsia" w:ascii="宋体" w:hAnsi="宋体" w:eastAsia="宋体" w:cs="宋体"/>
          <w:color w:val="auto"/>
          <w:szCs w:val="21"/>
          <w:highlight w:val="none"/>
          <w:lang w:val="zh-CN"/>
        </w:rPr>
        <w:t>5.3  本招标文件使用的词语有如下定义：</w:t>
      </w:r>
    </w:p>
    <w:p w14:paraId="0B0FA477">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（1）“招标人”指东莞市石鼓净水有限公司；</w:t>
      </w:r>
    </w:p>
    <w:p w14:paraId="190DC1D6">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2</w:t>
      </w:r>
      <w:r>
        <w:rPr>
          <w:rFonts w:hint="eastAsia" w:ascii="宋体" w:hAnsi="宋体" w:eastAsia="宋体" w:cs="Times New Roman"/>
          <w:color w:val="auto"/>
          <w:kern w:val="0"/>
          <w:szCs w:val="21"/>
          <w:highlight w:val="none"/>
        </w:rPr>
        <w:t>）“招标代理机构”指东莞市达盛招标代理有限公司；</w:t>
      </w:r>
    </w:p>
    <w:p w14:paraId="78690611">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3</w:t>
      </w:r>
      <w:r>
        <w:rPr>
          <w:rFonts w:hint="eastAsia" w:ascii="宋体" w:hAnsi="宋体" w:eastAsia="宋体" w:cs="Times New Roman"/>
          <w:color w:val="auto"/>
          <w:kern w:val="0"/>
          <w:szCs w:val="21"/>
          <w:highlight w:val="none"/>
        </w:rPr>
        <w:t>）“投标人”指参加东莞市石鼓净水有限公司污水处理厂及提标项目中控系统集约化升级改造项目所需的货物及有关服务的投标，并向交易系统在线上传投标文件的当事人；</w:t>
      </w:r>
    </w:p>
    <w:p w14:paraId="72B2C088">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4</w:t>
      </w:r>
      <w:r>
        <w:rPr>
          <w:rFonts w:hint="eastAsia" w:ascii="宋体" w:hAnsi="宋体" w:eastAsia="宋体" w:cs="Times New Roman"/>
          <w:color w:val="auto"/>
          <w:kern w:val="0"/>
          <w:szCs w:val="21"/>
          <w:highlight w:val="none"/>
        </w:rPr>
        <w:t>）“评标委员会”是依照《中华人民共和国招标投标法》等法规组建的专门负责本次评标工作的临时性机构；</w:t>
      </w:r>
    </w:p>
    <w:p w14:paraId="08DD7961">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5</w:t>
      </w:r>
      <w:r>
        <w:rPr>
          <w:rFonts w:hint="eastAsia" w:ascii="宋体" w:hAnsi="宋体" w:eastAsia="宋体" w:cs="Times New Roman"/>
          <w:color w:val="auto"/>
          <w:kern w:val="0"/>
          <w:szCs w:val="21"/>
          <w:highlight w:val="none"/>
        </w:rPr>
        <w:t>）“中标人”指其投标被招标人接受，并与招标人签订合同的当事人；</w:t>
      </w:r>
    </w:p>
    <w:p w14:paraId="5D6EFC6E">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6</w:t>
      </w:r>
      <w:r>
        <w:rPr>
          <w:rFonts w:hint="eastAsia" w:ascii="宋体" w:hAnsi="宋体" w:eastAsia="宋体" w:cs="Times New Roman"/>
          <w:color w:val="auto"/>
          <w:kern w:val="0"/>
          <w:szCs w:val="21"/>
          <w:highlight w:val="none"/>
        </w:rPr>
        <w:t>）“甲方”指在合同条款中指明的购买货物及有关服务的单位，即东莞市石鼓净水有限公司；</w:t>
      </w:r>
    </w:p>
    <w:p w14:paraId="3F96907E">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7</w:t>
      </w:r>
      <w:r>
        <w:rPr>
          <w:rFonts w:hint="eastAsia" w:ascii="宋体" w:hAnsi="宋体" w:eastAsia="宋体" w:cs="Times New Roman"/>
          <w:color w:val="auto"/>
          <w:kern w:val="0"/>
          <w:szCs w:val="21"/>
          <w:highlight w:val="none"/>
        </w:rPr>
        <w:t>）“乙方”指在合同条款中指明的本合同项下提供货物及有关服务的公司或实体；</w:t>
      </w:r>
    </w:p>
    <w:p w14:paraId="63869FC8">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8</w:t>
      </w:r>
      <w:r>
        <w:rPr>
          <w:rFonts w:hint="eastAsia" w:ascii="宋体" w:hAnsi="宋体" w:eastAsia="宋体" w:cs="Times New Roman"/>
          <w:color w:val="auto"/>
          <w:kern w:val="0"/>
          <w:szCs w:val="21"/>
          <w:highlight w:val="none"/>
        </w:rPr>
        <w:t>）“招标文件”指包括招标公告和招标文件及其补充、变更和澄清等一系列文件；</w:t>
      </w:r>
    </w:p>
    <w:p w14:paraId="5904C921">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9</w:t>
      </w:r>
      <w:r>
        <w:rPr>
          <w:rFonts w:hint="eastAsia" w:ascii="宋体" w:hAnsi="宋体" w:eastAsia="宋体" w:cs="Times New Roman"/>
          <w:color w:val="auto"/>
          <w:kern w:val="0"/>
          <w:szCs w:val="21"/>
          <w:highlight w:val="none"/>
        </w:rPr>
        <w:t>）“投标文件”指投标人根据本招标文件向交易系统在线上传的全部文件；</w:t>
      </w:r>
    </w:p>
    <w:p w14:paraId="522FE39E">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10</w:t>
      </w:r>
      <w:r>
        <w:rPr>
          <w:rFonts w:hint="eastAsia" w:ascii="宋体" w:hAnsi="宋体" w:eastAsia="宋体" w:cs="Times New Roman"/>
          <w:color w:val="auto"/>
          <w:kern w:val="0"/>
          <w:szCs w:val="21"/>
          <w:highlight w:val="none"/>
        </w:rPr>
        <w:t>）“书面函件”指手写、打字或印刷的函件，包括电传、电报和传真；</w:t>
      </w:r>
    </w:p>
    <w:p w14:paraId="1A56B874">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11</w:t>
      </w:r>
      <w:r>
        <w:rPr>
          <w:rFonts w:hint="eastAsia" w:ascii="宋体" w:hAnsi="宋体" w:eastAsia="宋体" w:cs="Times New Roman"/>
          <w:color w:val="auto"/>
          <w:kern w:val="0"/>
          <w:szCs w:val="21"/>
          <w:highlight w:val="none"/>
        </w:rPr>
        <w:t>）“合同”指由本次招标所产生的合同或合约文件；</w:t>
      </w:r>
    </w:p>
    <w:p w14:paraId="312240ED">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12</w:t>
      </w:r>
      <w:r>
        <w:rPr>
          <w:rFonts w:hint="eastAsia" w:ascii="宋体" w:hAnsi="宋体" w:eastAsia="宋体" w:cs="Times New Roman"/>
          <w:color w:val="auto"/>
          <w:kern w:val="0"/>
          <w:szCs w:val="21"/>
          <w:highlight w:val="none"/>
        </w:rPr>
        <w:t>）“日期”指公历日，“时间”指北京时间；</w:t>
      </w:r>
    </w:p>
    <w:p w14:paraId="67B39A64">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13</w:t>
      </w:r>
      <w:r>
        <w:rPr>
          <w:rFonts w:hint="eastAsia" w:ascii="宋体" w:hAnsi="宋体" w:eastAsia="宋体" w:cs="Times New Roman"/>
          <w:color w:val="auto"/>
          <w:kern w:val="0"/>
          <w:szCs w:val="21"/>
          <w:highlight w:val="none"/>
        </w:rPr>
        <w:t>）本招标文件中的“境内”特指中华人民共和国海关关境以内，“境外”特指中华人民共和国海关关境以外；</w:t>
      </w:r>
    </w:p>
    <w:p w14:paraId="6B872309">
      <w:pPr>
        <w:autoSpaceDE w:val="0"/>
        <w:autoSpaceDN w:val="0"/>
        <w:adjustRightInd w:val="0"/>
        <w:spacing w:line="360" w:lineRule="auto"/>
        <w:ind w:left="441" w:leftChars="-6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14</w:t>
      </w:r>
      <w:r>
        <w:rPr>
          <w:rFonts w:hint="eastAsia" w:ascii="宋体" w:hAnsi="宋体" w:eastAsia="宋体" w:cs="Times New Roman"/>
          <w:color w:val="auto"/>
          <w:kern w:val="0"/>
          <w:szCs w:val="21"/>
          <w:highlight w:val="none"/>
        </w:rPr>
        <w:t>）不含税价，即为《中华人民共和国增值税暂行条例》（国务院令第6</w:t>
      </w:r>
      <w:r>
        <w:rPr>
          <w:rFonts w:ascii="宋体" w:hAnsi="宋体" w:eastAsia="宋体" w:cs="Times New Roman"/>
          <w:color w:val="auto"/>
          <w:kern w:val="0"/>
          <w:szCs w:val="21"/>
          <w:highlight w:val="none"/>
        </w:rPr>
        <w:t>91</w:t>
      </w:r>
      <w:r>
        <w:rPr>
          <w:rFonts w:hint="eastAsia" w:ascii="宋体" w:hAnsi="宋体" w:eastAsia="宋体" w:cs="Times New Roman"/>
          <w:color w:val="auto"/>
          <w:kern w:val="0"/>
          <w:szCs w:val="21"/>
          <w:highlight w:val="none"/>
        </w:rPr>
        <w:t>号修订版）规定的销售额。本招标文件所称的不含税价和不含税合同价是指不含本采购项目投标人的销项税额，包含了投标人完成合同义务（含投标人代缴代扣、分包及委外服务、施工、采购货物等所产生的价税）的其他全部费用。本采购项目投标人的销项税额由招标人承担，不计入投标报价。</w:t>
      </w:r>
    </w:p>
    <w:p w14:paraId="4D014D19">
      <w:pPr>
        <w:autoSpaceDE w:val="0"/>
        <w:autoSpaceDN w:val="0"/>
        <w:adjustRightInd w:val="0"/>
        <w:spacing w:line="360" w:lineRule="auto"/>
        <w:ind w:left="951" w:leftChars="78" w:hanging="787" w:hangingChars="375"/>
        <w:rPr>
          <w:rFonts w:ascii="宋体" w:hAnsi="宋体" w:eastAsia="宋体" w:cs="宋体"/>
          <w:color w:val="auto"/>
          <w:szCs w:val="21"/>
          <w:highlight w:val="none"/>
          <w:lang w:val="zh-CN"/>
        </w:rPr>
      </w:pPr>
    </w:p>
    <w:p w14:paraId="660F570E">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87" w:name="_Toc450662855"/>
      <w:bookmarkStart w:id="88" w:name="_Toc3727"/>
      <w:bookmarkStart w:id="89" w:name="_Toc32057"/>
      <w:bookmarkStart w:id="90" w:name="_Toc29125_WPSOffice_Level3"/>
      <w:bookmarkStart w:id="91" w:name="_Toc11346"/>
      <w:bookmarkStart w:id="92" w:name="_Toc142508319"/>
      <w:bookmarkStart w:id="93" w:name="_Toc486167669"/>
      <w:bookmarkStart w:id="94" w:name="_Toc195714223"/>
      <w:r>
        <w:rPr>
          <w:rFonts w:hint="eastAsia" w:ascii="宋体" w:hAnsi="宋体" w:eastAsia="宋体" w:cs="宋体"/>
          <w:color w:val="auto"/>
          <w:szCs w:val="21"/>
          <w:highlight w:val="none"/>
          <w:lang w:val="zh-CN"/>
        </w:rPr>
        <w:t>6</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招标文件的异议</w:t>
      </w:r>
      <w:bookmarkEnd w:id="87"/>
      <w:bookmarkEnd w:id="88"/>
      <w:bookmarkEnd w:id="89"/>
      <w:bookmarkEnd w:id="90"/>
      <w:bookmarkEnd w:id="91"/>
      <w:bookmarkEnd w:id="92"/>
      <w:bookmarkEnd w:id="93"/>
      <w:bookmarkEnd w:id="94"/>
    </w:p>
    <w:p w14:paraId="288CEA09">
      <w:pPr>
        <w:autoSpaceDE w:val="0"/>
        <w:autoSpaceDN w:val="0"/>
        <w:adjustRightInd w:val="0"/>
        <w:spacing w:line="360" w:lineRule="auto"/>
        <w:ind w:left="288" w:leftChars="137" w:firstLine="420" w:firstLineChars="200"/>
        <w:rPr>
          <w:rFonts w:ascii="宋体" w:hAnsi="宋体" w:eastAsia="宋体" w:cs="宋体"/>
          <w:bCs/>
          <w:color w:val="auto"/>
          <w:szCs w:val="21"/>
          <w:highlight w:val="none"/>
          <w:lang w:val="zh-CN"/>
        </w:rPr>
      </w:pPr>
      <w:r>
        <w:rPr>
          <w:rFonts w:hint="eastAsia" w:ascii="宋体" w:hAnsi="宋体" w:eastAsia="宋体" w:cs="Times New Roman"/>
          <w:bCs/>
          <w:color w:val="auto"/>
          <w:szCs w:val="21"/>
          <w:highlight w:val="none"/>
          <w:lang w:val="zh-CN"/>
        </w:rPr>
        <w:t>投标人或者其他利害关系人对招标文件有异议的，应当在投标截止时间10日前以书面形式向招标代理机构提出，并将材料原件送达招标代理机构，逾期则视为对招标文件所有内容无异议。异议书面材料必须加盖投标人法人公章，并注明联系人、联系电话、联系地址。超出提交接收异议截止时间而提出的任何疑问，招标代理机构可不予答复。</w:t>
      </w:r>
      <w:r>
        <w:rPr>
          <w:rFonts w:hint="eastAsia" w:ascii="宋体" w:hAnsi="宋体" w:eastAsia="宋体" w:cs="Times New Roman"/>
          <w:b/>
          <w:bCs/>
          <w:color w:val="auto"/>
          <w:szCs w:val="21"/>
          <w:highlight w:val="none"/>
          <w:u w:val="single"/>
          <w:lang w:val="zh-CN"/>
        </w:rPr>
        <w:t>投标人必须在投标文件中提供投标承诺书（格式详见第六篇投标文件格式）</w:t>
      </w:r>
      <w:r>
        <w:rPr>
          <w:rFonts w:hint="eastAsia" w:ascii="宋体" w:hAnsi="宋体" w:eastAsia="宋体" w:cs="宋体"/>
          <w:b/>
          <w:bCs/>
          <w:color w:val="auto"/>
          <w:szCs w:val="21"/>
          <w:highlight w:val="none"/>
          <w:lang w:val="zh-CN"/>
        </w:rPr>
        <w:t>。</w:t>
      </w:r>
    </w:p>
    <w:p w14:paraId="03AE4E57">
      <w:pPr>
        <w:autoSpaceDE w:val="0"/>
        <w:autoSpaceDN w:val="0"/>
        <w:adjustRightInd w:val="0"/>
        <w:spacing w:line="360" w:lineRule="auto"/>
        <w:ind w:left="290" w:leftChars="137" w:hanging="2" w:hangingChars="1"/>
        <w:rPr>
          <w:rFonts w:ascii="宋体" w:hAnsi="宋体" w:eastAsia="宋体" w:cs="宋体"/>
          <w:b/>
          <w:bCs/>
          <w:color w:val="auto"/>
          <w:szCs w:val="21"/>
          <w:highlight w:val="none"/>
          <w:lang w:val="zh-CN"/>
        </w:rPr>
      </w:pPr>
    </w:p>
    <w:p w14:paraId="7B792B3D">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95" w:name="_Toc23483_WPSOffice_Level3"/>
      <w:bookmarkStart w:id="96" w:name="_Toc17145"/>
      <w:bookmarkStart w:id="97" w:name="_Toc195714224"/>
      <w:bookmarkStart w:id="98" w:name="_Toc142508320"/>
      <w:bookmarkStart w:id="99" w:name="_Toc450662856"/>
      <w:bookmarkStart w:id="100" w:name="_Toc486167670"/>
      <w:bookmarkStart w:id="101" w:name="_Toc29864"/>
      <w:bookmarkStart w:id="102" w:name="_Toc15962"/>
      <w:r>
        <w:rPr>
          <w:rFonts w:hint="eastAsia" w:ascii="宋体" w:hAnsi="宋体" w:eastAsia="宋体" w:cs="宋体"/>
          <w:color w:val="auto"/>
          <w:szCs w:val="21"/>
          <w:highlight w:val="none"/>
          <w:lang w:val="zh-CN"/>
        </w:rPr>
        <w:t>7</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招标文件的澄清及修改</w:t>
      </w:r>
      <w:bookmarkEnd w:id="95"/>
      <w:bookmarkEnd w:id="96"/>
      <w:bookmarkEnd w:id="97"/>
      <w:bookmarkEnd w:id="98"/>
      <w:bookmarkEnd w:id="99"/>
      <w:bookmarkEnd w:id="100"/>
      <w:bookmarkEnd w:id="101"/>
      <w:bookmarkEnd w:id="102"/>
    </w:p>
    <w:p w14:paraId="1517166D">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7.1  招标代理机构对已发出的招标文件进行必要澄清或者修改的，将在招标文件要求提交投标文件截止时间1</w:t>
      </w:r>
      <w:r>
        <w:rPr>
          <w:rFonts w:ascii="宋体" w:hAnsi="宋体" w:eastAsia="宋体" w:cs="宋体"/>
          <w:color w:val="auto"/>
          <w:szCs w:val="21"/>
          <w:highlight w:val="none"/>
          <w:lang w:val="zh-CN"/>
        </w:rPr>
        <w:t>5</w:t>
      </w:r>
      <w:r>
        <w:rPr>
          <w:rFonts w:hint="eastAsia" w:ascii="宋体" w:hAnsi="宋体" w:eastAsia="宋体" w:cs="宋体"/>
          <w:color w:val="auto"/>
          <w:szCs w:val="21"/>
          <w:highlight w:val="none"/>
          <w:lang w:val="zh-CN"/>
        </w:rPr>
        <w:t>日前，在招标信息发布媒介上发布更正公告，请各投标人密切留意。该澄清或者修改的内容为招标文件的组成部分。</w:t>
      </w:r>
    </w:p>
    <w:p w14:paraId="6603A399">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7.2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项目特定情况下，招标代理机构必须延长投标截止时间和开标时间时，将在招标文件要求提交投标文件的截止时间前，在招标信息发布媒介上发布变更公告。</w:t>
      </w:r>
    </w:p>
    <w:p w14:paraId="14CD9654">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7.3  招标文件的修改、补充通知在</w:t>
      </w:r>
      <w:r>
        <w:rPr>
          <w:rFonts w:hint="eastAsia" w:ascii="宋体" w:hAnsi="宋体" w:eastAsia="宋体" w:cs="Times New Roman"/>
          <w:bCs/>
          <w:color w:val="auto"/>
          <w:szCs w:val="21"/>
          <w:highlight w:val="none"/>
        </w:rPr>
        <w:t>全国公共资源交易平台（广东省·东莞市）（https://ygp.gdzwfw.gov.cn/#/441900/index）、</w:t>
      </w:r>
      <w:r>
        <w:rPr>
          <w:rFonts w:ascii="宋体" w:hAnsi="宋体" w:eastAsia="宋体" w:cs="Times New Roman"/>
          <w:color w:val="auto"/>
          <w:szCs w:val="21"/>
          <w:highlight w:val="none"/>
          <w:lang w:val="zh-CN"/>
        </w:rPr>
        <w:t>中国招标投标公共服务平台</w:t>
      </w:r>
      <w:r>
        <w:rPr>
          <w:rFonts w:ascii="宋体" w:hAnsi="宋体" w:eastAsia="宋体" w:cs="Times New Roman"/>
          <w:color w:val="auto"/>
          <w:szCs w:val="21"/>
          <w:highlight w:val="none"/>
        </w:rPr>
        <w:t>（</w:t>
      </w:r>
      <w:r>
        <w:rPr>
          <w:color w:val="auto"/>
          <w:highlight w:val="none"/>
        </w:rPr>
        <w:fldChar w:fldCharType="begin"/>
      </w:r>
      <w:r>
        <w:rPr>
          <w:color w:val="auto"/>
          <w:highlight w:val="none"/>
        </w:rPr>
        <w:instrText xml:space="preserve"> HYPERLINK "http://www.cebpubservice.com）、广东省招标投标监管" </w:instrText>
      </w:r>
      <w:r>
        <w:rPr>
          <w:color w:val="auto"/>
          <w:highlight w:val="none"/>
        </w:rPr>
        <w:fldChar w:fldCharType="separate"/>
      </w:r>
      <w:r>
        <w:rPr>
          <w:rFonts w:ascii="宋体" w:hAnsi="宋体" w:eastAsia="宋体" w:cs="Times New Roman"/>
          <w:color w:val="auto"/>
          <w:szCs w:val="21"/>
          <w:highlight w:val="none"/>
        </w:rPr>
        <w:t>www.cebpubservice.com）</w:t>
      </w:r>
      <w:r>
        <w:rPr>
          <w:rFonts w:ascii="宋体" w:hAnsi="宋体" w:eastAsia="宋体" w:cs="Times New Roman"/>
          <w:color w:val="auto"/>
          <w:szCs w:val="21"/>
          <w:highlight w:val="none"/>
          <w:lang w:val="zh-CN"/>
        </w:rPr>
        <w:t>、</w:t>
      </w:r>
      <w:r>
        <w:rPr>
          <w:rFonts w:ascii="宋体" w:hAnsi="宋体" w:eastAsia="宋体" w:cs="Times New Roman"/>
          <w:color w:val="auto"/>
          <w:szCs w:val="21"/>
          <w:highlight w:val="none"/>
          <w:lang w:val="zh-CN"/>
        </w:rPr>
        <w:fldChar w:fldCharType="end"/>
      </w:r>
      <w:r>
        <w:rPr>
          <w:rFonts w:ascii="宋体" w:hAnsi="宋体" w:eastAsia="宋体" w:cs="Times New Roman"/>
          <w:color w:val="auto"/>
          <w:szCs w:val="21"/>
          <w:highlight w:val="none"/>
          <w:lang w:val="zh-CN"/>
        </w:rPr>
        <w:t>东莞市水务集团有限公司网</w:t>
      </w:r>
      <w:r>
        <w:rPr>
          <w:rFonts w:ascii="宋体" w:hAnsi="宋体" w:eastAsia="宋体" w:cs="Times New Roman"/>
          <w:color w:val="auto"/>
          <w:szCs w:val="21"/>
          <w:highlight w:val="none"/>
        </w:rPr>
        <w:t>（</w:t>
      </w:r>
      <w:r>
        <w:rPr>
          <w:color w:val="auto"/>
          <w:highlight w:val="none"/>
        </w:rPr>
        <w:fldChar w:fldCharType="begin"/>
      </w:r>
      <w:r>
        <w:rPr>
          <w:color w:val="auto"/>
          <w:highlight w:val="none"/>
        </w:rPr>
        <w:instrText xml:space="preserve"> HYPERLINK "www.dgswjt.cn）、招标代理公司网站（http://%20%20%20%20%20%20%20%20%20%20%20%20%20%20）" </w:instrText>
      </w:r>
      <w:r>
        <w:rPr>
          <w:color w:val="auto"/>
          <w:highlight w:val="none"/>
        </w:rPr>
        <w:fldChar w:fldCharType="separate"/>
      </w:r>
      <w:r>
        <w:rPr>
          <w:rStyle w:val="50"/>
          <w:rFonts w:ascii="宋体" w:hAnsi="宋体" w:eastAsia="宋体" w:cs="Times New Roman"/>
          <w:color w:val="auto"/>
          <w:sz w:val="21"/>
          <w:szCs w:val="21"/>
          <w:highlight w:val="none"/>
        </w:rPr>
        <w:t>www.dgswjt.cn）</w:t>
      </w:r>
      <w:r>
        <w:rPr>
          <w:rStyle w:val="50"/>
          <w:rFonts w:ascii="宋体" w:hAnsi="宋体" w:eastAsia="宋体" w:cs="Times New Roman"/>
          <w:color w:val="auto"/>
          <w:sz w:val="21"/>
          <w:szCs w:val="21"/>
          <w:highlight w:val="none"/>
          <w:lang w:val="zh-CN"/>
        </w:rPr>
        <w:t>、</w:t>
      </w:r>
      <w:r>
        <w:rPr>
          <w:rStyle w:val="50"/>
          <w:rFonts w:hint="eastAsia" w:ascii="宋体" w:hAnsi="宋体" w:eastAsia="宋体" w:cs="Times New Roman"/>
          <w:bCs/>
          <w:color w:val="auto"/>
          <w:kern w:val="0"/>
          <w:sz w:val="21"/>
          <w:szCs w:val="21"/>
          <w:highlight w:val="none"/>
        </w:rPr>
        <w:t>招标代理机构网站（</w:t>
      </w:r>
      <w:r>
        <w:rPr>
          <w:rStyle w:val="50"/>
          <w:rFonts w:hint="eastAsia" w:ascii="宋体" w:hAnsi="宋体" w:eastAsia="宋体" w:cs="Times New Roman"/>
          <w:bCs/>
          <w:color w:val="auto"/>
          <w:kern w:val="0"/>
          <w:sz w:val="21"/>
          <w:szCs w:val="21"/>
          <w:highlight w:val="none"/>
          <w:u w:val="single"/>
        </w:rPr>
        <w:t>www.dashengtd.com</w:t>
      </w:r>
      <w:r>
        <w:rPr>
          <w:rStyle w:val="50"/>
          <w:rFonts w:ascii="宋体" w:hAnsi="宋体" w:eastAsia="宋体" w:cs="Times New Roman"/>
          <w:bCs/>
          <w:color w:val="auto"/>
          <w:kern w:val="0"/>
          <w:sz w:val="21"/>
          <w:szCs w:val="21"/>
          <w:highlight w:val="none"/>
        </w:rPr>
        <w:t>）</w:t>
      </w:r>
      <w:r>
        <w:rPr>
          <w:rStyle w:val="50"/>
          <w:rFonts w:ascii="宋体" w:hAnsi="宋体" w:eastAsia="宋体" w:cs="Times New Roman"/>
          <w:bCs/>
          <w:color w:val="auto"/>
          <w:kern w:val="0"/>
          <w:sz w:val="21"/>
          <w:szCs w:val="21"/>
          <w:highlight w:val="none"/>
        </w:rPr>
        <w:fldChar w:fldCharType="end"/>
      </w:r>
      <w:r>
        <w:rPr>
          <w:rFonts w:hint="eastAsia" w:ascii="宋体" w:hAnsi="宋体" w:eastAsia="宋体" w:cs="宋体"/>
          <w:color w:val="auto"/>
          <w:szCs w:val="21"/>
          <w:highlight w:val="none"/>
          <w:lang w:val="zh-CN"/>
        </w:rPr>
        <w:t>公布，请各投标人密切留意。</w:t>
      </w:r>
    </w:p>
    <w:p w14:paraId="3BC42509">
      <w:pPr>
        <w:autoSpaceDE w:val="0"/>
        <w:autoSpaceDN w:val="0"/>
        <w:adjustRightInd w:val="0"/>
        <w:spacing w:line="360" w:lineRule="auto"/>
        <w:ind w:left="357" w:leftChars="-100" w:hanging="567"/>
        <w:rPr>
          <w:rFonts w:ascii="宋体" w:hAnsi="宋体" w:eastAsia="宋体" w:cs="宋体"/>
          <w:color w:val="auto"/>
          <w:szCs w:val="21"/>
          <w:highlight w:val="none"/>
        </w:rPr>
      </w:pPr>
    </w:p>
    <w:p w14:paraId="4484DE76">
      <w:pPr>
        <w:keepNext/>
        <w:keepLines/>
        <w:tabs>
          <w:tab w:val="left" w:pos="509"/>
        </w:tabs>
        <w:autoSpaceDE w:val="0"/>
        <w:autoSpaceDN w:val="0"/>
        <w:adjustRightInd w:val="0"/>
        <w:spacing w:line="360" w:lineRule="auto"/>
        <w:jc w:val="left"/>
        <w:outlineLvl w:val="0"/>
        <w:rPr>
          <w:rFonts w:ascii="宋体" w:hAnsi="宋体" w:eastAsia="宋体" w:cs="宋体"/>
          <w:b/>
          <w:bCs/>
          <w:color w:val="auto"/>
          <w:kern w:val="44"/>
          <w:szCs w:val="21"/>
          <w:highlight w:val="none"/>
          <w:lang w:val="zh-CN"/>
        </w:rPr>
      </w:pPr>
      <w:bookmarkStart w:id="103" w:name="_Toc450662857"/>
      <w:bookmarkStart w:id="104" w:name="_Toc23342"/>
      <w:bookmarkStart w:id="105" w:name="_Toc29659_WPSOffice_Level2"/>
      <w:bookmarkStart w:id="106" w:name="_Toc8711"/>
      <w:bookmarkStart w:id="107" w:name="_Toc486167671"/>
      <w:bookmarkStart w:id="108" w:name="_Toc140596880"/>
      <w:bookmarkStart w:id="109" w:name="_Toc142508321"/>
      <w:bookmarkStart w:id="110" w:name="_Toc195714225"/>
      <w:bookmarkStart w:id="111" w:name="_Toc12888"/>
      <w:r>
        <w:rPr>
          <w:rFonts w:hint="eastAsia" w:ascii="宋体" w:hAnsi="宋体" w:eastAsia="宋体" w:cs="宋体"/>
          <w:b/>
          <w:bCs/>
          <w:color w:val="auto"/>
          <w:kern w:val="44"/>
          <w:szCs w:val="21"/>
          <w:highlight w:val="none"/>
          <w:lang w:val="zh-CN"/>
        </w:rPr>
        <w:t>三、投标文件的编制</w:t>
      </w:r>
      <w:bookmarkEnd w:id="103"/>
      <w:bookmarkEnd w:id="104"/>
      <w:bookmarkEnd w:id="105"/>
      <w:bookmarkEnd w:id="106"/>
      <w:bookmarkEnd w:id="107"/>
      <w:bookmarkEnd w:id="108"/>
      <w:bookmarkEnd w:id="109"/>
      <w:bookmarkEnd w:id="110"/>
      <w:bookmarkEnd w:id="111"/>
    </w:p>
    <w:p w14:paraId="1E0B6FD7">
      <w:pPr>
        <w:tabs>
          <w:tab w:val="left" w:pos="675"/>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12" w:name="_Toc450662858"/>
      <w:bookmarkStart w:id="113" w:name="_Toc31162"/>
      <w:bookmarkStart w:id="114" w:name="_Toc142508322"/>
      <w:bookmarkStart w:id="115" w:name="_Toc6318"/>
      <w:bookmarkStart w:id="116" w:name="_Toc486167672"/>
      <w:bookmarkStart w:id="117" w:name="_Toc195714226"/>
      <w:bookmarkStart w:id="118" w:name="_Toc6244"/>
      <w:bookmarkStart w:id="119" w:name="_Toc10015_WPSOffice_Level3"/>
      <w:r>
        <w:rPr>
          <w:rFonts w:hint="eastAsia" w:ascii="宋体" w:hAnsi="宋体" w:eastAsia="宋体" w:cs="宋体"/>
          <w:color w:val="auto"/>
          <w:szCs w:val="21"/>
          <w:highlight w:val="none"/>
          <w:lang w:val="zh-CN"/>
        </w:rPr>
        <w:t>8</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投标使用的文字及度量衡单位</w:t>
      </w:r>
      <w:bookmarkEnd w:id="112"/>
      <w:bookmarkEnd w:id="113"/>
      <w:bookmarkEnd w:id="114"/>
      <w:bookmarkEnd w:id="115"/>
      <w:bookmarkEnd w:id="116"/>
      <w:bookmarkEnd w:id="117"/>
      <w:bookmarkEnd w:id="118"/>
      <w:bookmarkEnd w:id="119"/>
    </w:p>
    <w:p w14:paraId="31DF8077">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8.1  投标人的投标文件以及投标人与招标代理机构就有关投标的所有往来函电均应使用简体中文。</w:t>
      </w:r>
    </w:p>
    <w:p w14:paraId="194A718C">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8.2  投标文件使用的度量衡单位采用中华人民共和国法定计量单位。</w:t>
      </w:r>
    </w:p>
    <w:p w14:paraId="484E3639">
      <w:pPr>
        <w:autoSpaceDE w:val="0"/>
        <w:autoSpaceDN w:val="0"/>
        <w:adjustRightInd w:val="0"/>
        <w:spacing w:line="360" w:lineRule="auto"/>
        <w:rPr>
          <w:rFonts w:ascii="宋体" w:hAnsi="宋体" w:eastAsia="宋体" w:cs="宋体"/>
          <w:color w:val="auto"/>
          <w:szCs w:val="21"/>
          <w:highlight w:val="none"/>
          <w:lang w:val="zh-CN"/>
        </w:rPr>
      </w:pPr>
    </w:p>
    <w:p w14:paraId="06495EE6">
      <w:pPr>
        <w:tabs>
          <w:tab w:val="left" w:pos="540"/>
        </w:tabs>
        <w:autoSpaceDE w:val="0"/>
        <w:autoSpaceDN w:val="0"/>
        <w:adjustRightInd w:val="0"/>
        <w:spacing w:line="360" w:lineRule="auto"/>
        <w:ind w:left="357" w:leftChars="-100" w:hanging="567"/>
        <w:jc w:val="left"/>
        <w:outlineLvl w:val="2"/>
        <w:rPr>
          <w:rFonts w:ascii="宋体" w:hAnsi="宋体" w:eastAsia="宋体" w:cs="宋体"/>
          <w:color w:val="auto"/>
          <w:sz w:val="24"/>
          <w:szCs w:val="24"/>
          <w:highlight w:val="none"/>
          <w:lang w:val="zh-CN"/>
        </w:rPr>
      </w:pPr>
      <w:bookmarkStart w:id="120" w:name="_Toc142508323"/>
      <w:bookmarkStart w:id="121" w:name="_Toc195714227"/>
      <w:bookmarkStart w:id="122" w:name="_Toc7348"/>
      <w:bookmarkStart w:id="123" w:name="_Toc14943"/>
      <w:bookmarkStart w:id="124" w:name="_Toc486167673"/>
      <w:bookmarkStart w:id="125" w:name="_Toc450662859"/>
      <w:bookmarkStart w:id="126" w:name="_Toc9575"/>
      <w:bookmarkStart w:id="127" w:name="_Toc24916_WPSOffice_Level3"/>
      <w:r>
        <w:rPr>
          <w:rFonts w:hint="eastAsia" w:ascii="宋体" w:hAnsi="宋体" w:eastAsia="宋体" w:cs="宋体"/>
          <w:color w:val="auto"/>
          <w:szCs w:val="21"/>
          <w:highlight w:val="none"/>
          <w:lang w:val="zh-CN"/>
        </w:rPr>
        <w:t>9</w:t>
      </w:r>
      <w:r>
        <w:rPr>
          <w:rFonts w:ascii="宋体" w:hAnsi="宋体" w:eastAsia="宋体" w:cs="宋体"/>
          <w:color w:val="auto"/>
          <w:sz w:val="24"/>
          <w:szCs w:val="24"/>
          <w:highlight w:val="none"/>
          <w:lang w:val="zh-CN"/>
        </w:rPr>
        <w:t xml:space="preserve"> </w:t>
      </w:r>
      <w:r>
        <w:rPr>
          <w:rFonts w:hint="eastAsia" w:ascii="宋体" w:hAnsi="宋体" w:eastAsia="宋体" w:cs="宋体"/>
          <w:color w:val="auto"/>
          <w:szCs w:val="21"/>
          <w:highlight w:val="none"/>
          <w:lang w:val="zh-CN"/>
        </w:rPr>
        <w:t>投标文件的组成</w:t>
      </w:r>
      <w:bookmarkEnd w:id="120"/>
      <w:bookmarkEnd w:id="121"/>
      <w:bookmarkEnd w:id="122"/>
      <w:bookmarkEnd w:id="123"/>
      <w:bookmarkEnd w:id="124"/>
      <w:bookmarkEnd w:id="125"/>
      <w:bookmarkEnd w:id="126"/>
      <w:bookmarkEnd w:id="127"/>
    </w:p>
    <w:p w14:paraId="0F8EA76D">
      <w:pPr>
        <w:autoSpaceDE w:val="0"/>
        <w:autoSpaceDN w:val="0"/>
        <w:adjustRightInd w:val="0"/>
        <w:spacing w:line="360" w:lineRule="auto"/>
        <w:ind w:left="422" w:leftChars="-100" w:hanging="632" w:hangingChars="300"/>
        <w:rPr>
          <w:rFonts w:ascii="宋体" w:hAnsi="宋体" w:eastAsia="宋体" w:cs="Times New Roman"/>
          <w:b/>
          <w:color w:val="auto"/>
          <w:kern w:val="0"/>
          <w:szCs w:val="21"/>
          <w:highlight w:val="none"/>
        </w:rPr>
      </w:pPr>
      <w:r>
        <w:rPr>
          <w:rFonts w:hint="eastAsia" w:ascii="宋体" w:hAnsi="宋体" w:eastAsia="宋体" w:cs="宋体"/>
          <w:b/>
          <w:color w:val="auto"/>
          <w:kern w:val="0"/>
          <w:szCs w:val="24"/>
          <w:highlight w:val="none"/>
        </w:rPr>
        <w:t xml:space="preserve">9.1  </w:t>
      </w:r>
      <w:r>
        <w:rPr>
          <w:rFonts w:hint="eastAsia" w:ascii="宋体" w:hAnsi="宋体" w:eastAsia="宋体" w:cs="宋体"/>
          <w:color w:val="auto"/>
          <w:kern w:val="0"/>
          <w:szCs w:val="24"/>
          <w:highlight w:val="none"/>
        </w:rPr>
        <w:t>投标文件的组成：</w:t>
      </w:r>
      <w:r>
        <w:rPr>
          <w:rFonts w:hint="eastAsia" w:ascii="宋体" w:hAnsi="宋体" w:eastAsia="宋体" w:cs="Times New Roman"/>
          <w:b/>
          <w:color w:val="auto"/>
          <w:kern w:val="0"/>
          <w:szCs w:val="21"/>
          <w:highlight w:val="none"/>
          <w:u w:val="single"/>
        </w:rPr>
        <w:t>商务标、技术标、报价信封三部分组成。</w:t>
      </w:r>
    </w:p>
    <w:p w14:paraId="4E8269A0">
      <w:pPr>
        <w:autoSpaceDE w:val="0"/>
        <w:autoSpaceDN w:val="0"/>
        <w:adjustRightInd w:val="0"/>
        <w:spacing w:line="360" w:lineRule="auto"/>
        <w:ind w:left="422" w:leftChars="-100" w:hanging="632" w:hangingChars="300"/>
        <w:rPr>
          <w:rFonts w:ascii="宋体" w:hAnsi="宋体" w:eastAsia="宋体" w:cs="Times New Roman"/>
          <w:b/>
          <w:color w:val="auto"/>
          <w:kern w:val="0"/>
          <w:szCs w:val="21"/>
          <w:highlight w:val="none"/>
        </w:rPr>
      </w:pPr>
      <w:r>
        <w:rPr>
          <w:rFonts w:hint="eastAsia" w:ascii="宋体" w:hAnsi="宋体" w:eastAsia="宋体" w:cs="宋体"/>
          <w:b/>
          <w:color w:val="auto"/>
          <w:kern w:val="0"/>
          <w:szCs w:val="24"/>
          <w:highlight w:val="none"/>
        </w:rPr>
        <w:t>9.1.1 商务标：</w:t>
      </w:r>
    </w:p>
    <w:p w14:paraId="0BBA80CB">
      <w:pPr>
        <w:autoSpaceDE w:val="0"/>
        <w:autoSpaceDN w:val="0"/>
        <w:adjustRightInd w:val="0"/>
        <w:spacing w:line="360" w:lineRule="auto"/>
        <w:jc w:val="left"/>
        <w:rPr>
          <w:rFonts w:ascii="宋体" w:hAnsi="宋体" w:eastAsia="宋体" w:cs="Times New Roman"/>
          <w:b/>
          <w:color w:val="auto"/>
          <w:kern w:val="0"/>
          <w:szCs w:val="21"/>
          <w:highlight w:val="none"/>
          <w:lang w:val="zh-CN"/>
        </w:rPr>
      </w:pPr>
      <w:r>
        <w:rPr>
          <w:rFonts w:hint="eastAsia" w:ascii="宋体" w:hAnsi="宋体" w:eastAsia="宋体" w:cs="Times New Roman"/>
          <w:color w:val="auto"/>
          <w:kern w:val="0"/>
          <w:sz w:val="24"/>
          <w:szCs w:val="24"/>
          <w:highlight w:val="none"/>
          <w:lang w:val="zh-CN"/>
        </w:rPr>
        <w:t xml:space="preserve">  </w:t>
      </w:r>
      <w:r>
        <w:rPr>
          <w:rFonts w:ascii="宋体" w:hAnsi="宋体" w:eastAsia="宋体" w:cs="Times New Roman"/>
          <w:color w:val="auto"/>
          <w:kern w:val="0"/>
          <w:sz w:val="24"/>
          <w:szCs w:val="24"/>
          <w:highlight w:val="none"/>
          <w:lang w:val="zh-CN"/>
        </w:rPr>
        <w:t xml:space="preserve"> </w:t>
      </w:r>
      <w:r>
        <w:rPr>
          <w:rFonts w:hint="eastAsia" w:ascii="宋体" w:hAnsi="宋体" w:eastAsia="宋体" w:cs="Times New Roman"/>
          <w:b/>
          <w:color w:val="auto"/>
          <w:kern w:val="0"/>
          <w:szCs w:val="21"/>
          <w:highlight w:val="none"/>
          <w:lang w:val="zh-CN"/>
        </w:rPr>
        <w:t>目录：</w:t>
      </w:r>
    </w:p>
    <w:p w14:paraId="657F7309">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（1）投标函；</w:t>
      </w:r>
    </w:p>
    <w:p w14:paraId="26DEE204">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（2）投标承诺书；</w:t>
      </w:r>
    </w:p>
    <w:p w14:paraId="53C3064A">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ascii="宋体" w:hAnsi="宋体" w:eastAsia="宋体" w:cs="宋体"/>
          <w:color w:val="auto"/>
          <w:szCs w:val="21"/>
          <w:highlight w:val="none"/>
          <w:lang w:val="zh-CN"/>
        </w:rPr>
        <w:t>3</w:t>
      </w:r>
      <w:r>
        <w:rPr>
          <w:rFonts w:hint="eastAsia" w:ascii="宋体" w:hAnsi="宋体" w:eastAsia="宋体" w:cs="宋体"/>
          <w:color w:val="auto"/>
          <w:szCs w:val="21"/>
          <w:highlight w:val="none"/>
          <w:lang w:val="zh-CN"/>
        </w:rPr>
        <w:t>）供货及/或提供服务过程承诺函；</w:t>
      </w:r>
    </w:p>
    <w:p w14:paraId="471807E7">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zh-CN"/>
        </w:rPr>
        <w:t>）分项报价表；</w:t>
      </w:r>
    </w:p>
    <w:p w14:paraId="18258C5C">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zh-CN"/>
        </w:rPr>
        <w:t>）投标人资格证明文件：</w:t>
      </w:r>
    </w:p>
    <w:p w14:paraId="6E0C2029">
      <w:pPr>
        <w:autoSpaceDE w:val="0"/>
        <w:autoSpaceDN w:val="0"/>
        <w:adjustRightInd w:val="0"/>
        <w:spacing w:line="360" w:lineRule="auto"/>
        <w:ind w:left="283" w:hanging="283" w:hangingChars="135"/>
        <w:rPr>
          <w:rFonts w:ascii="宋体" w:hAnsi="宋体" w:eastAsia="宋体" w:cs="Times New Roman"/>
          <w:color w:val="auto"/>
          <w:szCs w:val="21"/>
          <w:highlight w:val="none"/>
          <w:lang w:val="zh-CN"/>
        </w:rPr>
      </w:pPr>
      <w:r>
        <w:rPr>
          <w:rFonts w:ascii="宋体" w:hAnsi="宋体" w:eastAsia="宋体" w:cs="Times New Roman"/>
          <w:color w:val="auto"/>
          <w:szCs w:val="21"/>
          <w:highlight w:val="none"/>
          <w:lang w:val="zh-CN"/>
        </w:rPr>
        <w:t>1）多证合一营业执照</w:t>
      </w:r>
      <w:r>
        <w:rPr>
          <w:rFonts w:hint="eastAsia" w:ascii="宋体" w:hAnsi="宋体" w:eastAsia="宋体" w:cs="Times New Roman"/>
          <w:color w:val="auto"/>
          <w:kern w:val="0"/>
          <w:szCs w:val="21"/>
          <w:highlight w:val="none"/>
        </w:rPr>
        <w:t>（或事业单位法人证书）</w:t>
      </w:r>
      <w:r>
        <w:rPr>
          <w:rFonts w:hint="eastAsia" w:ascii="宋体" w:hAnsi="宋体" w:eastAsia="宋体" w:cs="Times New Roman"/>
          <w:color w:val="auto"/>
          <w:szCs w:val="21"/>
          <w:highlight w:val="none"/>
          <w:lang w:val="zh-CN"/>
        </w:rPr>
        <w:t>原件扫描件</w:t>
      </w:r>
      <w:r>
        <w:rPr>
          <w:rFonts w:ascii="宋体" w:hAnsi="宋体" w:eastAsia="宋体" w:cs="Times New Roman"/>
          <w:color w:val="auto"/>
          <w:szCs w:val="21"/>
          <w:highlight w:val="none"/>
          <w:lang w:val="zh-CN"/>
        </w:rPr>
        <w:t>；</w:t>
      </w:r>
    </w:p>
    <w:p w14:paraId="4579D62F">
      <w:pPr>
        <w:autoSpaceDE w:val="0"/>
        <w:autoSpaceDN w:val="0"/>
        <w:adjustRightInd w:val="0"/>
        <w:spacing w:line="360" w:lineRule="auto"/>
        <w:ind w:left="283" w:hanging="283" w:hangingChars="135"/>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rPr>
        <w:t>2</w:t>
      </w:r>
      <w:r>
        <w:rPr>
          <w:rFonts w:hint="eastAsia" w:ascii="宋体" w:hAnsi="宋体" w:eastAsia="宋体" w:cs="Times New Roman"/>
          <w:color w:val="auto"/>
          <w:szCs w:val="21"/>
          <w:highlight w:val="none"/>
          <w:lang w:val="zh-CN"/>
        </w:rPr>
        <w:t>）</w:t>
      </w:r>
      <w:r>
        <w:rPr>
          <w:rFonts w:ascii="宋体" w:hAnsi="宋体" w:eastAsia="宋体" w:cs="Times New Roman"/>
          <w:color w:val="auto"/>
          <w:szCs w:val="21"/>
          <w:highlight w:val="none"/>
          <w:lang w:val="zh-CN"/>
        </w:rPr>
        <w:t>开户许可证</w:t>
      </w:r>
      <w:r>
        <w:rPr>
          <w:rFonts w:hint="eastAsia" w:ascii="宋体" w:hAnsi="宋体" w:eastAsia="宋体" w:cs="Times New Roman"/>
          <w:color w:val="auto"/>
          <w:szCs w:val="21"/>
          <w:highlight w:val="none"/>
          <w:lang w:val="zh-CN"/>
        </w:rPr>
        <w:t>原件扫描件</w:t>
      </w:r>
      <w:r>
        <w:rPr>
          <w:rFonts w:ascii="宋体" w:hAnsi="宋体" w:eastAsia="宋体" w:cs="Times New Roman"/>
          <w:color w:val="auto"/>
          <w:szCs w:val="21"/>
          <w:highlight w:val="none"/>
          <w:lang w:val="zh-CN"/>
        </w:rPr>
        <w:t>（基本存款账户）</w:t>
      </w:r>
      <w:r>
        <w:rPr>
          <w:rFonts w:hint="eastAsia" w:ascii="宋体" w:hAnsi="宋体" w:eastAsia="宋体" w:cs="Times New Roman"/>
          <w:color w:val="auto"/>
          <w:szCs w:val="21"/>
          <w:highlight w:val="none"/>
          <w:lang w:val="zh-CN"/>
        </w:rPr>
        <w:t>，如投标人企业银行账户开户所在地区已取消企业银行账户许可，投标人应提供基本存款账户开户名称、开户银行、账号、编号等信息及相关备案证明（如有）或其他能证明其为基本存款账户的资料原件扫描件</w:t>
      </w:r>
      <w:r>
        <w:rPr>
          <w:rFonts w:ascii="宋体" w:hAnsi="宋体" w:eastAsia="宋体" w:cs="Times New Roman"/>
          <w:color w:val="auto"/>
          <w:szCs w:val="21"/>
          <w:highlight w:val="none"/>
          <w:lang w:val="zh-CN"/>
        </w:rPr>
        <w:t>；</w:t>
      </w:r>
    </w:p>
    <w:p w14:paraId="78081A06">
      <w:pPr>
        <w:autoSpaceDE w:val="0"/>
        <w:autoSpaceDN w:val="0"/>
        <w:adjustRightInd w:val="0"/>
        <w:spacing w:line="360" w:lineRule="auto"/>
        <w:ind w:left="283" w:hanging="283" w:hangingChars="135"/>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rPr>
        <w:t>3</w:t>
      </w:r>
      <w:r>
        <w:rPr>
          <w:rFonts w:ascii="宋体" w:hAnsi="宋体" w:eastAsia="宋体" w:cs="Times New Roman"/>
          <w:color w:val="auto"/>
          <w:szCs w:val="21"/>
          <w:highlight w:val="none"/>
          <w:lang w:val="zh-CN"/>
        </w:rPr>
        <w:t>）法定代表人身份证明书</w:t>
      </w:r>
      <w:r>
        <w:rPr>
          <w:rFonts w:hint="eastAsia" w:ascii="宋体" w:hAnsi="宋体" w:eastAsia="宋体" w:cs="Times New Roman"/>
          <w:color w:val="auto"/>
          <w:szCs w:val="21"/>
          <w:highlight w:val="none"/>
          <w:lang w:val="zh-CN"/>
        </w:rPr>
        <w:t>原件扫描件</w:t>
      </w:r>
      <w:r>
        <w:rPr>
          <w:rFonts w:ascii="宋体" w:hAnsi="宋体" w:eastAsia="宋体" w:cs="Times New Roman"/>
          <w:color w:val="auto"/>
          <w:szCs w:val="21"/>
          <w:highlight w:val="none"/>
          <w:lang w:val="zh-CN"/>
        </w:rPr>
        <w:t>和法定代表人授权书原件</w:t>
      </w:r>
      <w:r>
        <w:rPr>
          <w:rFonts w:hint="eastAsia" w:ascii="宋体" w:hAnsi="宋体" w:eastAsia="宋体" w:cs="Times New Roman"/>
          <w:color w:val="auto"/>
          <w:szCs w:val="21"/>
          <w:highlight w:val="none"/>
          <w:lang w:val="zh-CN"/>
        </w:rPr>
        <w:t>扫描件</w:t>
      </w:r>
      <w:r>
        <w:rPr>
          <w:rFonts w:ascii="宋体" w:hAnsi="宋体" w:eastAsia="宋体" w:cs="Times New Roman"/>
          <w:color w:val="auto"/>
          <w:szCs w:val="21"/>
          <w:highlight w:val="none"/>
          <w:lang w:val="zh-CN"/>
        </w:rPr>
        <w:t>（法定代表人投标时只提供法定代表人身份证明书，委托</w:t>
      </w:r>
      <w:r>
        <w:rPr>
          <w:rFonts w:ascii="宋体" w:hAnsi="宋体" w:eastAsia="宋体" w:cs="Times New Roman"/>
          <w:color w:val="auto"/>
          <w:szCs w:val="21"/>
          <w:highlight w:val="none"/>
        </w:rPr>
        <w:t>他人</w:t>
      </w:r>
      <w:r>
        <w:rPr>
          <w:rFonts w:ascii="宋体" w:hAnsi="宋体" w:eastAsia="宋体" w:cs="Times New Roman"/>
          <w:color w:val="auto"/>
          <w:szCs w:val="21"/>
          <w:highlight w:val="none"/>
          <w:lang w:val="zh-CN"/>
        </w:rPr>
        <w:t>为投标代表</w:t>
      </w:r>
      <w:r>
        <w:rPr>
          <w:rFonts w:hint="eastAsia" w:ascii="宋体" w:hAnsi="宋体" w:eastAsia="宋体" w:cs="Times New Roman"/>
          <w:color w:val="auto"/>
          <w:szCs w:val="21"/>
          <w:highlight w:val="none"/>
          <w:lang w:val="zh-CN"/>
        </w:rPr>
        <w:t>或签署投标文件时需</w:t>
      </w:r>
      <w:r>
        <w:rPr>
          <w:rFonts w:ascii="宋体" w:hAnsi="宋体" w:eastAsia="宋体" w:cs="Times New Roman"/>
          <w:color w:val="auto"/>
          <w:szCs w:val="21"/>
          <w:highlight w:val="none"/>
          <w:lang w:val="zh-CN"/>
        </w:rPr>
        <w:t>同时提供法定代表人授权书）；</w:t>
      </w:r>
    </w:p>
    <w:p w14:paraId="455F326B">
      <w:pPr>
        <w:autoSpaceDE w:val="0"/>
        <w:autoSpaceDN w:val="0"/>
        <w:adjustRightInd w:val="0"/>
        <w:spacing w:line="360" w:lineRule="auto"/>
        <w:ind w:left="283" w:hanging="283" w:hangingChars="135"/>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en-US" w:eastAsia="zh-CN"/>
        </w:rPr>
        <w:t>4</w:t>
      </w:r>
      <w:r>
        <w:rPr>
          <w:rFonts w:ascii="宋体" w:hAnsi="宋体" w:eastAsia="宋体" w:cs="Times New Roman"/>
          <w:color w:val="auto"/>
          <w:szCs w:val="21"/>
          <w:highlight w:val="none"/>
          <w:lang w:val="zh-CN"/>
        </w:rPr>
        <w:t>）</w:t>
      </w:r>
      <w:r>
        <w:rPr>
          <w:rFonts w:hint="eastAsia" w:ascii="宋体" w:hAnsi="宋体" w:eastAsia="宋体" w:cs="Times New Roman"/>
          <w:color w:val="auto"/>
          <w:szCs w:val="21"/>
          <w:highlight w:val="none"/>
          <w:lang w:val="zh-CN"/>
        </w:rPr>
        <w:t>有效期内的电子与智能化工程专业承包二级（或以上）资质原件扫描件</w:t>
      </w:r>
      <w:r>
        <w:rPr>
          <w:rFonts w:ascii="宋体" w:hAnsi="宋体" w:eastAsia="宋体" w:cs="Times New Roman"/>
          <w:color w:val="auto"/>
          <w:szCs w:val="21"/>
          <w:highlight w:val="none"/>
          <w:lang w:val="zh-CN"/>
        </w:rPr>
        <w:t>；</w:t>
      </w:r>
    </w:p>
    <w:p w14:paraId="6237CE5F">
      <w:pPr>
        <w:tabs>
          <w:tab w:val="left" w:pos="1276"/>
        </w:tabs>
        <w:spacing w:line="360" w:lineRule="auto"/>
        <w:ind w:left="283" w:hanging="283" w:hangingChars="135"/>
        <w:rPr>
          <w:rFonts w:ascii="宋体" w:hAnsi="宋体" w:eastAsia="宋体" w:cs="宋体"/>
          <w:color w:val="auto"/>
          <w:szCs w:val="21"/>
          <w:highlight w:val="none"/>
        </w:rPr>
      </w:pPr>
      <w:r>
        <w:rPr>
          <w:rFonts w:hint="eastAsia" w:ascii="宋体" w:hAnsi="宋体" w:eastAsia="宋体" w:cs="Times New Roman"/>
          <w:color w:val="auto"/>
          <w:szCs w:val="21"/>
          <w:highlight w:val="none"/>
          <w:lang w:val="en-US" w:eastAsia="zh-CN"/>
        </w:rPr>
        <w:t>5</w:t>
      </w:r>
      <w:r>
        <w:rPr>
          <w:rFonts w:hint="eastAsia" w:ascii="宋体" w:hAnsi="宋体" w:eastAsia="宋体" w:cs="宋体"/>
          <w:color w:val="auto"/>
          <w:szCs w:val="21"/>
          <w:highlight w:val="none"/>
        </w:rPr>
        <w:t>）</w:t>
      </w:r>
      <w:r>
        <w:rPr>
          <w:rFonts w:hint="eastAsia" w:ascii="宋体" w:hAnsi="宋体" w:eastAsia="宋体"/>
          <w:color w:val="auto"/>
          <w:szCs w:val="21"/>
          <w:highlight w:val="none"/>
        </w:rPr>
        <w:t>资格业绩【</w:t>
      </w:r>
      <w:r>
        <w:rPr>
          <w:rFonts w:hint="eastAsia" w:ascii="宋体" w:hAnsi="宋体" w:eastAsia="宋体"/>
          <w:color w:val="auto"/>
          <w:szCs w:val="21"/>
          <w:highlight w:val="none"/>
          <w:lang w:val="zh-CN"/>
        </w:rPr>
        <w:t>投标人</w:t>
      </w:r>
      <w:r>
        <w:rPr>
          <w:rFonts w:hint="eastAsia" w:ascii="宋体" w:hAnsi="宋体" w:eastAsia="宋体"/>
          <w:color w:val="auto"/>
          <w:szCs w:val="21"/>
          <w:highlight w:val="none"/>
        </w:rPr>
        <w:t>2020</w:t>
      </w:r>
      <w:r>
        <w:rPr>
          <w:rFonts w:hint="eastAsia" w:ascii="宋体" w:hAnsi="宋体" w:eastAsia="宋体"/>
          <w:color w:val="auto"/>
          <w:szCs w:val="21"/>
          <w:highlight w:val="none"/>
          <w:lang w:val="zh-CN"/>
        </w:rPr>
        <w:t>年1月1日以来具有一份水务、电力、能源相关的集中控制系统或水务、电力、能源相关的自动化控制系统建设项目业绩</w:t>
      </w:r>
      <w:r>
        <w:rPr>
          <w:rFonts w:hint="eastAsia" w:ascii="宋体" w:hAnsi="宋体" w:eastAsia="宋体"/>
          <w:color w:val="auto"/>
          <w:szCs w:val="21"/>
          <w:highlight w:val="none"/>
        </w:rPr>
        <w:t>（合同签订日期为2020年1月1日或以后，资格业绩证明材料提交要求详见招标文件第六篇投标文件格式</w:t>
      </w:r>
      <w:r>
        <w:rPr>
          <w:rFonts w:hint="eastAsia" w:ascii="宋体" w:hAnsi="宋体" w:eastAsia="宋体"/>
          <w:color w:val="auto"/>
          <w:szCs w:val="21"/>
          <w:highlight w:val="none"/>
          <w:u w:val="single"/>
        </w:rPr>
        <w:t>5.4</w:t>
      </w:r>
      <w:r>
        <w:rPr>
          <w:rFonts w:hint="eastAsia" w:ascii="宋体" w:hAnsi="宋体" w:eastAsia="宋体"/>
          <w:color w:val="auto"/>
          <w:szCs w:val="21"/>
          <w:highlight w:val="none"/>
        </w:rPr>
        <w:t>】；</w:t>
      </w:r>
    </w:p>
    <w:p w14:paraId="6BA97130">
      <w:pPr>
        <w:autoSpaceDE w:val="0"/>
        <w:autoSpaceDN w:val="0"/>
        <w:adjustRightInd w:val="0"/>
        <w:spacing w:line="360" w:lineRule="auto"/>
        <w:ind w:left="913" w:hanging="913" w:hangingChars="435"/>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zh-CN"/>
        </w:rPr>
        <w:t>最近3年投标人牵涉的其他（失信和违法）</w:t>
      </w:r>
      <w:r>
        <w:rPr>
          <w:rFonts w:hint="eastAsia" w:ascii="宋体" w:hAnsi="宋体" w:eastAsia="宋体" w:cs="宋体"/>
          <w:color w:val="auto"/>
          <w:kern w:val="0"/>
          <w:szCs w:val="21"/>
          <w:highlight w:val="none"/>
        </w:rPr>
        <w:t>处罚说明</w:t>
      </w:r>
      <w:r>
        <w:rPr>
          <w:rFonts w:hint="eastAsia" w:ascii="宋体" w:hAnsi="宋体" w:eastAsia="宋体" w:cs="宋体"/>
          <w:color w:val="auto"/>
          <w:szCs w:val="21"/>
          <w:highlight w:val="none"/>
          <w:lang w:val="zh-CN"/>
        </w:rPr>
        <w:t>；</w:t>
      </w:r>
    </w:p>
    <w:p w14:paraId="2935CCFC">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val="zh-CN"/>
        </w:rPr>
        <w:t>）投标人基本情况一览表；</w:t>
      </w:r>
    </w:p>
    <w:p w14:paraId="1B5271C7">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zh-CN"/>
        </w:rPr>
        <w:t>）投标人财务状况表；</w:t>
      </w:r>
    </w:p>
    <w:p w14:paraId="033F549B">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kern w:val="0"/>
          <w:szCs w:val="21"/>
          <w:highlight w:val="none"/>
        </w:rPr>
        <w:t>（8）合同条款响应程度（合同条款偏离表）；</w:t>
      </w:r>
    </w:p>
    <w:p w14:paraId="57C45CF3">
      <w:pPr>
        <w:tabs>
          <w:tab w:val="left" w:pos="567"/>
        </w:tabs>
        <w:autoSpaceDE w:val="0"/>
        <w:autoSpaceDN w:val="0"/>
        <w:adjustRightInd w:val="0"/>
        <w:spacing w:line="360" w:lineRule="auto"/>
        <w:ind w:left="105" w:leftChars="-100" w:hanging="315" w:hanging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）业绩表；</w:t>
      </w:r>
    </w:p>
    <w:p w14:paraId="15381CC7">
      <w:pPr>
        <w:tabs>
          <w:tab w:val="left" w:pos="567"/>
        </w:tabs>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lang w:val="zh-CN"/>
        </w:rPr>
        <w:t>）项目人员配备表；</w:t>
      </w:r>
    </w:p>
    <w:p w14:paraId="59F43932">
      <w:pPr>
        <w:tabs>
          <w:tab w:val="left" w:pos="567"/>
        </w:tabs>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val="zh-CN"/>
        </w:rPr>
        <w:t>）投标人资格证明文件以外的其他资质证书、知识产权证书及获得的相关获奖、认证证书、社会评价资料证明文件扫描件等投标人认为有需要证明其具备为本次招标项目提供货物及有关服务能力的有关其它商务文件（不做强制要求）。</w:t>
      </w:r>
    </w:p>
    <w:p w14:paraId="21ED3749">
      <w:pPr>
        <w:autoSpaceDE w:val="0"/>
        <w:autoSpaceDN w:val="0"/>
        <w:adjustRightInd w:val="0"/>
        <w:spacing w:line="360" w:lineRule="auto"/>
        <w:ind w:left="422" w:leftChars="-100" w:hanging="632" w:hangingChars="300"/>
        <w:rPr>
          <w:rFonts w:ascii="宋体" w:hAnsi="宋体" w:eastAsia="宋体" w:cs="宋体"/>
          <w:b/>
          <w:color w:val="auto"/>
          <w:kern w:val="0"/>
          <w:szCs w:val="24"/>
          <w:highlight w:val="none"/>
        </w:rPr>
      </w:pPr>
      <w:r>
        <w:rPr>
          <w:rFonts w:hint="eastAsia" w:ascii="宋体" w:hAnsi="宋体" w:eastAsia="宋体" w:cs="宋体"/>
          <w:b/>
          <w:color w:val="auto"/>
          <w:kern w:val="0"/>
          <w:szCs w:val="24"/>
          <w:highlight w:val="none"/>
        </w:rPr>
        <w:t>9.1.2 技术标：</w:t>
      </w:r>
    </w:p>
    <w:p w14:paraId="28B1EDC9">
      <w:pPr>
        <w:autoSpaceDE w:val="0"/>
        <w:autoSpaceDN w:val="0"/>
        <w:adjustRightInd w:val="0"/>
        <w:spacing w:line="360" w:lineRule="auto"/>
        <w:ind w:right="-23" w:rightChars="-11"/>
        <w:jc w:val="left"/>
        <w:rPr>
          <w:rFonts w:ascii="宋体" w:hAnsi="宋体" w:eastAsia="宋体" w:cs="Times New Roman"/>
          <w:b/>
          <w:bCs/>
          <w:color w:val="auto"/>
          <w:kern w:val="0"/>
          <w:szCs w:val="21"/>
          <w:highlight w:val="none"/>
          <w:lang w:val="zh-CN"/>
        </w:rPr>
      </w:pPr>
      <w:r>
        <w:rPr>
          <w:rFonts w:hint="eastAsia" w:ascii="宋体" w:hAnsi="宋体" w:eastAsia="宋体" w:cs="Times New Roman"/>
          <w:b/>
          <w:bCs/>
          <w:color w:val="auto"/>
          <w:kern w:val="0"/>
          <w:szCs w:val="21"/>
          <w:highlight w:val="none"/>
          <w:lang w:val="zh-CN"/>
        </w:rPr>
        <w:t xml:space="preserve"> </w:t>
      </w:r>
      <w:r>
        <w:rPr>
          <w:rFonts w:ascii="宋体" w:hAnsi="宋体" w:eastAsia="宋体" w:cs="Times New Roman"/>
          <w:b/>
          <w:bCs/>
          <w:color w:val="auto"/>
          <w:kern w:val="0"/>
          <w:szCs w:val="21"/>
          <w:highlight w:val="none"/>
          <w:lang w:val="zh-CN"/>
        </w:rPr>
        <w:t xml:space="preserve">   </w:t>
      </w:r>
      <w:r>
        <w:rPr>
          <w:rFonts w:hint="eastAsia" w:ascii="宋体" w:hAnsi="宋体" w:eastAsia="宋体" w:cs="Times New Roman"/>
          <w:b/>
          <w:bCs/>
          <w:color w:val="auto"/>
          <w:kern w:val="0"/>
          <w:szCs w:val="21"/>
          <w:highlight w:val="none"/>
          <w:lang w:val="zh-CN"/>
        </w:rPr>
        <w:t>目录：</w:t>
      </w:r>
    </w:p>
    <w:p w14:paraId="5D0CAA32">
      <w:pPr>
        <w:spacing w:line="360" w:lineRule="auto"/>
        <w:ind w:left="105" w:leftChars="-100" w:hanging="315" w:hangingChars="15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（1）用户需求响应程度（即用户需求偏离表）；</w:t>
      </w:r>
    </w:p>
    <w:p w14:paraId="02BF0CD5">
      <w:pPr>
        <w:spacing w:line="360" w:lineRule="auto"/>
        <w:ind w:left="315" w:leftChars="-100" w:hanging="525" w:hangingChars="25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（2）整体方案</w:t>
      </w:r>
      <w:r>
        <w:rPr>
          <w:rFonts w:hint="eastAsia" w:ascii="宋体" w:hAnsi="宋体" w:eastAsia="宋体" w:cs="Times New Roman"/>
          <w:color w:val="auto"/>
          <w:kern w:val="0"/>
          <w:szCs w:val="21"/>
          <w:highlight w:val="none"/>
          <w:lang w:val="zh-CN"/>
        </w:rPr>
        <w:t>；</w:t>
      </w:r>
    </w:p>
    <w:p w14:paraId="3D242F72">
      <w:pPr>
        <w:spacing w:line="360" w:lineRule="auto"/>
        <w:ind w:left="315" w:leftChars="-100" w:hanging="525" w:hangingChars="25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）硬件质量水平；</w:t>
      </w:r>
    </w:p>
    <w:p w14:paraId="57063A56">
      <w:pPr>
        <w:spacing w:line="360" w:lineRule="auto"/>
        <w:ind w:left="315" w:leftChars="-100" w:hanging="525" w:hangingChars="25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4</w:t>
      </w:r>
      <w:r>
        <w:rPr>
          <w:rFonts w:hint="eastAsia" w:ascii="宋体" w:hAnsi="宋体" w:eastAsia="宋体" w:cs="宋体"/>
          <w:color w:val="auto"/>
          <w:kern w:val="0"/>
          <w:szCs w:val="21"/>
          <w:highlight w:val="none"/>
        </w:rPr>
        <w:t>）软件质量水平；</w:t>
      </w:r>
    </w:p>
    <w:p w14:paraId="41C521C1">
      <w:pPr>
        <w:spacing w:line="360" w:lineRule="auto"/>
        <w:ind w:left="315" w:leftChars="-100" w:hanging="525" w:hangingChars="25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rPr>
        <w:t>）进度保证；</w:t>
      </w:r>
    </w:p>
    <w:p w14:paraId="63CA7BD4">
      <w:pPr>
        <w:spacing w:line="360" w:lineRule="auto"/>
        <w:ind w:left="315" w:leftChars="-100" w:hanging="525" w:hangingChars="25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6</w:t>
      </w:r>
      <w:r>
        <w:rPr>
          <w:rFonts w:hint="eastAsia" w:ascii="宋体" w:hAnsi="宋体" w:eastAsia="宋体" w:cs="宋体"/>
          <w:color w:val="auto"/>
          <w:kern w:val="0"/>
          <w:szCs w:val="21"/>
          <w:highlight w:val="none"/>
        </w:rPr>
        <w:t>）售后服务保障；</w:t>
      </w:r>
    </w:p>
    <w:p w14:paraId="0C5D816F">
      <w:pPr>
        <w:spacing w:line="360" w:lineRule="auto"/>
        <w:ind w:left="105" w:leftChars="-100" w:hanging="315" w:hangingChars="15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7</w:t>
      </w:r>
      <w:r>
        <w:rPr>
          <w:rFonts w:hint="eastAsia" w:ascii="宋体" w:hAnsi="宋体" w:eastAsia="宋体" w:cs="宋体"/>
          <w:color w:val="auto"/>
          <w:kern w:val="0"/>
          <w:szCs w:val="21"/>
          <w:highlight w:val="none"/>
        </w:rPr>
        <w:t>）投标人认为有必要提供的其它材料（不做强制要求）。</w:t>
      </w:r>
    </w:p>
    <w:p w14:paraId="10241FD2">
      <w:pPr>
        <w:autoSpaceDE w:val="0"/>
        <w:autoSpaceDN w:val="0"/>
        <w:adjustRightInd w:val="0"/>
        <w:spacing w:line="360" w:lineRule="auto"/>
        <w:ind w:left="422" w:leftChars="-100" w:hanging="632" w:hangingChars="300"/>
        <w:rPr>
          <w:rFonts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9.1.</w:t>
      </w:r>
      <w:r>
        <w:rPr>
          <w:rFonts w:hint="eastAsia" w:ascii="宋体" w:hAnsi="宋体" w:eastAsia="宋体" w:cs="宋体"/>
          <w:b/>
          <w:bCs/>
          <w:color w:val="auto"/>
          <w:szCs w:val="21"/>
          <w:highlight w:val="none"/>
        </w:rPr>
        <w:t>3</w:t>
      </w:r>
      <w:r>
        <w:rPr>
          <w:rFonts w:hint="eastAsia" w:ascii="宋体" w:hAnsi="宋体" w:eastAsia="宋体" w:cs="宋体"/>
          <w:b/>
          <w:bCs/>
          <w:color w:val="auto"/>
          <w:szCs w:val="21"/>
          <w:highlight w:val="none"/>
          <w:lang w:val="zh-CN"/>
        </w:rPr>
        <w:t xml:space="preserve"> 报价信封</w:t>
      </w:r>
    </w:p>
    <w:p w14:paraId="585252CD">
      <w:pPr>
        <w:autoSpaceDE w:val="0"/>
        <w:autoSpaceDN w:val="0"/>
        <w:adjustRightInd w:val="0"/>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按照投标文件格式中的要求进行编制。</w:t>
      </w:r>
    </w:p>
    <w:p w14:paraId="1AE17BF2">
      <w:pPr>
        <w:autoSpaceDE w:val="0"/>
        <w:autoSpaceDN w:val="0"/>
        <w:adjustRightInd w:val="0"/>
        <w:spacing w:line="360" w:lineRule="auto"/>
        <w:ind w:left="317" w:leftChars="-100" w:hanging="527" w:hangingChars="250"/>
        <w:rPr>
          <w:rFonts w:ascii="宋体" w:hAnsi="宋体" w:eastAsia="宋体" w:cs="宋体"/>
          <w:b/>
          <w:bCs/>
          <w:color w:val="auto"/>
          <w:szCs w:val="21"/>
          <w:highlight w:val="none"/>
        </w:rPr>
      </w:pPr>
      <w:r>
        <w:rPr>
          <w:rFonts w:ascii="宋体" w:hAnsi="宋体" w:eastAsia="宋体" w:cs="宋体"/>
          <w:b/>
          <w:bCs/>
          <w:color w:val="auto"/>
          <w:szCs w:val="21"/>
          <w:highlight w:val="none"/>
        </w:rPr>
        <w:t xml:space="preserve">9.2  </w:t>
      </w:r>
      <w:r>
        <w:rPr>
          <w:rFonts w:hint="eastAsia" w:ascii="宋体" w:hAnsi="宋体" w:eastAsia="宋体" w:cs="宋体"/>
          <w:b/>
          <w:bCs/>
          <w:color w:val="auto"/>
          <w:szCs w:val="21"/>
          <w:highlight w:val="none"/>
        </w:rPr>
        <w:t>投标文件格式</w:t>
      </w:r>
      <w:r>
        <w:rPr>
          <w:rFonts w:ascii="宋体" w:hAnsi="宋体" w:eastAsia="宋体" w:cs="宋体"/>
          <w:b/>
          <w:bCs/>
          <w:color w:val="auto"/>
          <w:szCs w:val="21"/>
          <w:highlight w:val="none"/>
        </w:rPr>
        <w:t xml:space="preserve"> </w:t>
      </w:r>
    </w:p>
    <w:p w14:paraId="6834FBD2">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zh-CN"/>
        </w:rPr>
        <w:t>）商务标必须按招标文件所附的商务标格式编制（参见第六篇）。</w:t>
      </w:r>
    </w:p>
    <w:p w14:paraId="47A5BEAA">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）技术标必须按招标文件所附的技术标格式编制（参见第六篇）。</w:t>
      </w:r>
    </w:p>
    <w:p w14:paraId="7AB8D754">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zh-CN"/>
        </w:rPr>
        <w:t>）报价信封由投标人使用电子标书制作软件编制（参见第六篇）。</w:t>
      </w:r>
    </w:p>
    <w:p w14:paraId="2F8C8133">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9.</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zh-CN"/>
        </w:rPr>
        <w:t xml:space="preserve">  投标人按照投标文件的组成目录编制投标文件应包括上述内容，但不限于上述内容。招标文件提供了相关格式的，严格按照招标文件的要求编制，投标文件未含格式的，投标人自行编制。投标文件编制中要求的复印件、照片可为该资料扫描件。</w:t>
      </w:r>
    </w:p>
    <w:p w14:paraId="13C71CE2">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9.</w:t>
      </w: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zh-CN"/>
        </w:rPr>
        <w:t xml:space="preserve">  </w:t>
      </w:r>
      <w:r>
        <w:rPr>
          <w:rFonts w:hint="eastAsia" w:ascii="宋体" w:hAnsi="宋体" w:eastAsia="宋体" w:cs="宋体"/>
          <w:b/>
          <w:color w:val="auto"/>
          <w:szCs w:val="21"/>
          <w:highlight w:val="none"/>
          <w:u w:val="single"/>
          <w:lang w:val="zh-CN"/>
        </w:rPr>
        <w:t>投标文件中相关证件、证书、合同、</w:t>
      </w:r>
      <w:r>
        <w:rPr>
          <w:rFonts w:hint="eastAsia" w:ascii="宋体" w:hAnsi="宋体" w:eastAsia="宋体" w:cs="Times New Roman"/>
          <w:b/>
          <w:color w:val="auto"/>
          <w:szCs w:val="21"/>
          <w:highlight w:val="none"/>
          <w:u w:val="single"/>
          <w:lang w:val="zh-CN"/>
        </w:rPr>
        <w:t>发票、照片</w:t>
      </w:r>
      <w:r>
        <w:rPr>
          <w:rFonts w:hint="eastAsia" w:ascii="宋体" w:hAnsi="宋体" w:eastAsia="宋体" w:cs="宋体"/>
          <w:b/>
          <w:color w:val="auto"/>
          <w:szCs w:val="21"/>
          <w:highlight w:val="none"/>
          <w:u w:val="single"/>
          <w:lang w:val="zh-CN"/>
        </w:rPr>
        <w:t>等证明材料中的原始印章、签名、关键内容必须清晰、可辨认，否则视为无效证明材料；投标文件中存在外文资料的，投标人必须同时提供中文译本，且必须保证中文译本的准确，否则招标人不予认可，视为无效材料；投标人须承担因此对应造成投标无效，或评标时因无效证明材料不得分，或拒绝接受投标的风险</w:t>
      </w:r>
      <w:r>
        <w:rPr>
          <w:rFonts w:hint="eastAsia" w:ascii="宋体" w:hAnsi="宋体" w:eastAsia="宋体" w:cs="宋体"/>
          <w:color w:val="auto"/>
          <w:szCs w:val="21"/>
          <w:highlight w:val="none"/>
          <w:lang w:val="zh-CN"/>
        </w:rPr>
        <w:t>。</w:t>
      </w:r>
    </w:p>
    <w:p w14:paraId="693BFA67">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p>
    <w:p w14:paraId="4AD9D0C7">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28" w:name="_Toc195714228"/>
      <w:bookmarkStart w:id="129" w:name="_Toc11170"/>
      <w:bookmarkStart w:id="130" w:name="_Toc27646"/>
      <w:bookmarkStart w:id="131" w:name="_Toc142508324"/>
      <w:bookmarkStart w:id="132" w:name="_Toc13214"/>
      <w:bookmarkStart w:id="133" w:name="_Toc8675_WPSOffice_Level3"/>
      <w:bookmarkStart w:id="134" w:name="_Toc450662860"/>
      <w:bookmarkStart w:id="135" w:name="_Toc486167674"/>
      <w:r>
        <w:rPr>
          <w:rFonts w:hint="eastAsia" w:ascii="宋体" w:hAnsi="宋体" w:eastAsia="宋体" w:cs="宋体"/>
          <w:color w:val="auto"/>
          <w:szCs w:val="21"/>
          <w:highlight w:val="none"/>
          <w:lang w:val="zh-CN"/>
        </w:rPr>
        <w:t>10</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投标函</w:t>
      </w:r>
      <w:bookmarkEnd w:id="128"/>
      <w:bookmarkEnd w:id="129"/>
      <w:bookmarkEnd w:id="130"/>
      <w:bookmarkEnd w:id="131"/>
      <w:bookmarkEnd w:id="132"/>
      <w:bookmarkEnd w:id="133"/>
      <w:bookmarkEnd w:id="134"/>
      <w:bookmarkEnd w:id="135"/>
    </w:p>
    <w:p w14:paraId="22D220C1">
      <w:pPr>
        <w:autoSpaceDE w:val="0"/>
        <w:autoSpaceDN w:val="0"/>
        <w:adjustRightInd w:val="0"/>
        <w:spacing w:line="360" w:lineRule="auto"/>
        <w:ind w:left="265" w:leftChars="119" w:hanging="15"/>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投标人应完整填写投标文件格式中规定的投标函。</w:t>
      </w:r>
    </w:p>
    <w:p w14:paraId="61F1831F">
      <w:pPr>
        <w:autoSpaceDE w:val="0"/>
        <w:autoSpaceDN w:val="0"/>
        <w:adjustRightInd w:val="0"/>
        <w:spacing w:line="360" w:lineRule="auto"/>
        <w:ind w:left="265" w:leftChars="119" w:hanging="15"/>
        <w:rPr>
          <w:rFonts w:ascii="宋体" w:hAnsi="宋体" w:eastAsia="宋体" w:cs="宋体"/>
          <w:color w:val="auto"/>
          <w:szCs w:val="21"/>
          <w:highlight w:val="none"/>
          <w:lang w:val="zh-CN"/>
        </w:rPr>
      </w:pPr>
    </w:p>
    <w:p w14:paraId="262A9698">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36" w:name="_Toc450662861"/>
      <w:bookmarkStart w:id="137" w:name="_Toc3621"/>
      <w:bookmarkStart w:id="138" w:name="_Toc15427"/>
      <w:bookmarkStart w:id="139" w:name="_Toc24311"/>
      <w:bookmarkStart w:id="140" w:name="_Toc195714229"/>
      <w:bookmarkStart w:id="141" w:name="_Toc142508325"/>
      <w:bookmarkStart w:id="142" w:name="_Toc486167675"/>
      <w:bookmarkStart w:id="143" w:name="_Toc4385_WPSOffice_Level3"/>
      <w:r>
        <w:rPr>
          <w:rFonts w:hint="eastAsia" w:ascii="宋体" w:hAnsi="宋体" w:eastAsia="宋体" w:cs="宋体"/>
          <w:color w:val="auto"/>
          <w:szCs w:val="21"/>
          <w:highlight w:val="none"/>
          <w:lang w:val="zh-CN"/>
        </w:rPr>
        <w:t>11</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投标报价</w:t>
      </w:r>
      <w:bookmarkEnd w:id="136"/>
      <w:bookmarkEnd w:id="137"/>
      <w:bookmarkEnd w:id="138"/>
      <w:bookmarkEnd w:id="139"/>
      <w:bookmarkEnd w:id="140"/>
      <w:bookmarkEnd w:id="141"/>
      <w:bookmarkEnd w:id="142"/>
      <w:bookmarkEnd w:id="143"/>
    </w:p>
    <w:p w14:paraId="5590F9AA">
      <w:pPr>
        <w:tabs>
          <w:tab w:val="left" w:pos="567"/>
        </w:tabs>
        <w:autoSpaceDE w:val="0"/>
        <w:autoSpaceDN w:val="0"/>
        <w:adjustRightInd w:val="0"/>
        <w:spacing w:line="360" w:lineRule="auto"/>
        <w:ind w:left="357" w:leftChars="-100" w:hanging="567"/>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11.1 本项目</w:t>
      </w:r>
      <w:r>
        <w:rPr>
          <w:rFonts w:hint="eastAsia" w:ascii="宋体" w:hAnsi="宋体" w:eastAsia="宋体" w:cs="Times New Roman"/>
          <w:b/>
          <w:color w:val="auto"/>
          <w:szCs w:val="21"/>
          <w:highlight w:val="none"/>
          <w:lang w:val="zh-CN"/>
        </w:rPr>
        <w:t>只允许有一个报价价格，任何有选择的或</w:t>
      </w:r>
      <w:r>
        <w:rPr>
          <w:rFonts w:hint="eastAsia" w:ascii="宋体" w:hAnsi="宋体" w:eastAsia="宋体" w:cs="Times New Roman"/>
          <w:b/>
          <w:color w:val="auto"/>
          <w:kern w:val="0"/>
          <w:szCs w:val="21"/>
          <w:highlight w:val="none"/>
          <w:lang w:val="zh-CN"/>
        </w:rPr>
        <w:t>不是固定价的</w:t>
      </w:r>
      <w:r>
        <w:rPr>
          <w:rFonts w:hint="eastAsia" w:ascii="宋体" w:hAnsi="宋体" w:eastAsia="宋体" w:cs="Times New Roman"/>
          <w:b/>
          <w:color w:val="auto"/>
          <w:szCs w:val="21"/>
          <w:highlight w:val="none"/>
          <w:lang w:val="zh-CN"/>
        </w:rPr>
        <w:t>投标报价将不予接受，</w:t>
      </w:r>
      <w:r>
        <w:rPr>
          <w:rFonts w:hint="eastAsia" w:ascii="宋体" w:hAnsi="宋体" w:eastAsia="宋体" w:cs="Times New Roman"/>
          <w:b/>
          <w:color w:val="auto"/>
          <w:kern w:val="0"/>
          <w:szCs w:val="21"/>
          <w:highlight w:val="none"/>
          <w:lang w:val="zh-CN"/>
        </w:rPr>
        <w:t>作为非实质性响应投标而予以拒绝。</w:t>
      </w:r>
      <w:r>
        <w:rPr>
          <w:rFonts w:hint="eastAsia" w:ascii="宋体" w:hAnsi="宋体" w:eastAsia="宋体" w:cs="Times New Roman"/>
          <w:b/>
          <w:color w:val="auto"/>
          <w:kern w:val="0"/>
          <w:szCs w:val="21"/>
          <w:highlight w:val="none"/>
        </w:rPr>
        <w:t>投标人不得以低于企业自身成本的价格竞投</w:t>
      </w:r>
      <w:r>
        <w:rPr>
          <w:rFonts w:hint="eastAsia" w:ascii="宋体" w:hAnsi="宋体" w:eastAsia="宋体" w:cs="宋体"/>
          <w:b/>
          <w:color w:val="auto"/>
          <w:szCs w:val="21"/>
          <w:highlight w:val="none"/>
          <w:lang w:val="zh-CN"/>
        </w:rPr>
        <w:t>。</w:t>
      </w:r>
    </w:p>
    <w:p w14:paraId="6F4FB967">
      <w:pPr>
        <w:tabs>
          <w:tab w:val="left" w:pos="567"/>
        </w:tabs>
        <w:autoSpaceDE w:val="0"/>
        <w:autoSpaceDN w:val="0"/>
        <w:adjustRightInd w:val="0"/>
        <w:spacing w:line="360" w:lineRule="auto"/>
        <w:ind w:firstLine="567"/>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若投标人出现超低报价，有可能影响服务质量和不能诚信履约的，评标委员会将要求该投标人作出书面说明并提供相关证明材料，以确定投标人是否以低于企业成本价报价。若投标人不能合理说明或不能提供相关证明材料的，评标委员会将认定其投标报价低于成本，同时否决其投标。</w:t>
      </w:r>
    </w:p>
    <w:p w14:paraId="3861A5D3">
      <w:pPr>
        <w:tabs>
          <w:tab w:val="left" w:pos="567"/>
        </w:tabs>
        <w:autoSpaceDE w:val="0"/>
        <w:autoSpaceDN w:val="0"/>
        <w:adjustRightInd w:val="0"/>
        <w:spacing w:line="360" w:lineRule="auto"/>
        <w:ind w:firstLine="567"/>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对是否低于企业成本价报价的事宜有争议的投标文件，评标委员会成员将以记名方式表决，</w:t>
      </w:r>
      <w:r>
        <w:rPr>
          <w:rFonts w:hint="eastAsia" w:ascii="宋体" w:hAnsi="宋体" w:eastAsia="宋体" w:cs="宋体"/>
          <w:b/>
          <w:color w:val="auto"/>
          <w:szCs w:val="21"/>
          <w:highlight w:val="none"/>
        </w:rPr>
        <w:t>根据少数服从多数的原则，获多数表决通过</w:t>
      </w:r>
      <w:r>
        <w:rPr>
          <w:rFonts w:hint="eastAsia" w:ascii="宋体" w:hAnsi="宋体" w:eastAsia="宋体" w:cs="宋体"/>
          <w:b/>
          <w:color w:val="auto"/>
          <w:szCs w:val="21"/>
          <w:highlight w:val="none"/>
          <w:lang w:val="zh-CN"/>
        </w:rPr>
        <w:t>的投标人才有资格进入下一阶段的评审，否则将按无效投标处理。</w:t>
      </w:r>
    </w:p>
    <w:p w14:paraId="6394A92D">
      <w:pPr>
        <w:autoSpaceDE w:val="0"/>
        <w:autoSpaceDN w:val="0"/>
        <w:adjustRightInd w:val="0"/>
        <w:spacing w:line="360" w:lineRule="auto"/>
        <w:ind w:left="357" w:leftChars="-100" w:hanging="567"/>
        <w:rPr>
          <w:rFonts w:ascii="宋体" w:hAnsi="宋体" w:eastAsia="宋体" w:cs="宋体"/>
          <w:color w:val="auto"/>
          <w:kern w:val="0"/>
          <w:szCs w:val="21"/>
          <w:highlight w:val="none"/>
        </w:rPr>
      </w:pPr>
      <w:r>
        <w:rPr>
          <w:rFonts w:hint="eastAsia" w:ascii="宋体" w:hAnsi="宋体" w:eastAsia="宋体" w:cs="宋体"/>
          <w:color w:val="auto"/>
          <w:szCs w:val="21"/>
          <w:highlight w:val="none"/>
          <w:lang w:val="zh-CN"/>
        </w:rPr>
        <w:t>11.2</w:t>
      </w:r>
      <w:r>
        <w:rPr>
          <w:rFonts w:hint="eastAsia" w:ascii="宋体" w:hAnsi="宋体" w:eastAsia="宋体" w:cs="宋体"/>
          <w:color w:val="auto"/>
          <w:szCs w:val="21"/>
          <w:highlight w:val="none"/>
          <w:lang w:val="zh-CN"/>
        </w:rPr>
        <w:tab/>
      </w:r>
      <w:r>
        <w:rPr>
          <w:rFonts w:hint="eastAsia" w:ascii="宋体" w:hAnsi="宋体" w:eastAsia="宋体" w:cs="Times New Roman"/>
          <w:b/>
          <w:color w:val="auto"/>
          <w:szCs w:val="21"/>
          <w:highlight w:val="none"/>
          <w:u w:val="single"/>
          <w:lang w:val="zh-CN"/>
        </w:rPr>
        <w:t>本项目投标报价为不含税价，即为《中华人民共和国增值税暂行条例》（国务院令第6</w:t>
      </w:r>
      <w:r>
        <w:rPr>
          <w:rFonts w:ascii="宋体" w:hAnsi="宋体" w:eastAsia="宋体" w:cs="Times New Roman"/>
          <w:b/>
          <w:color w:val="auto"/>
          <w:szCs w:val="21"/>
          <w:highlight w:val="none"/>
          <w:u w:val="single"/>
          <w:lang w:val="zh-CN"/>
        </w:rPr>
        <w:t>91</w:t>
      </w:r>
      <w:r>
        <w:rPr>
          <w:rFonts w:hint="eastAsia" w:ascii="宋体" w:hAnsi="宋体" w:eastAsia="宋体" w:cs="Times New Roman"/>
          <w:b/>
          <w:color w:val="auto"/>
          <w:szCs w:val="21"/>
          <w:highlight w:val="none"/>
          <w:u w:val="single"/>
          <w:lang w:val="zh-CN"/>
        </w:rPr>
        <w:t>号修订版）规定的销售额</w:t>
      </w:r>
      <w:r>
        <w:rPr>
          <w:rFonts w:hint="eastAsia" w:ascii="宋体" w:hAnsi="宋体" w:eastAsia="宋体" w:cs="Times New Roman"/>
          <w:color w:val="auto"/>
          <w:szCs w:val="21"/>
          <w:highlight w:val="none"/>
          <w:lang w:val="zh-CN"/>
        </w:rPr>
        <w:t>。本招标文件所称的不含税价和不含税合同价是指不含本采购项目投标人的销项税额，包含了投标人完成合同义务（含投标人代缴代扣、分包及委外服务、安装、采购货物等所产生的价税）的其他全部费用。本采购项目的销项税额由招标人承担，不计入投标报价。</w:t>
      </w:r>
      <w:r>
        <w:rPr>
          <w:rFonts w:hint="eastAsia" w:ascii="宋体" w:hAnsi="宋体" w:eastAsia="宋体" w:cs="宋体"/>
          <w:color w:val="auto"/>
          <w:kern w:val="0"/>
          <w:szCs w:val="21"/>
          <w:highlight w:val="none"/>
        </w:rPr>
        <w:t>本采购项目投标报价已含投标人履行本招标内容全部义务的一切费用，包括但不限于：</w:t>
      </w:r>
    </w:p>
    <w:p w14:paraId="38773A77">
      <w:pPr>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zh-CN"/>
        </w:rPr>
        <w:t>）合理利润、投标人销项税额以外的税费等；</w:t>
      </w:r>
    </w:p>
    <w:p w14:paraId="53D1405F">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）法律法规、商业公认、招标文件规定由投标人承担的其他直接及间接费用；</w:t>
      </w:r>
    </w:p>
    <w:p w14:paraId="2B835032">
      <w:pPr>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zh-CN"/>
        </w:rPr>
        <w:t>）</w:t>
      </w:r>
      <w:r>
        <w:rPr>
          <w:rFonts w:hint="eastAsia" w:ascii="宋体" w:hAnsi="宋体" w:eastAsia="宋体" w:cs="宋体"/>
          <w:color w:val="auto"/>
          <w:kern w:val="0"/>
          <w:szCs w:val="21"/>
          <w:highlight w:val="none"/>
        </w:rPr>
        <w:t>开发费、安装调试费，系统接口费、系统集成费、第三方商业软件费、培训费、电子设备费、人工费、驻点办公食宿及水电等费用、管理费、交通费、通讯费、加班费等服务范围内所有应预见和不可预见费用及完成服务内容所需的一切费用，涉及到审核交付成果过程中的修改完善后多次审核的相关费用亦包含在内。投标人须了解项目情况、各类费用以及风险情况，合同签订后，不再另行增加任何费用。</w:t>
      </w:r>
    </w:p>
    <w:p w14:paraId="2A79169C">
      <w:pPr>
        <w:autoSpaceDE w:val="0"/>
        <w:autoSpaceDN w:val="0"/>
        <w:adjustRightInd w:val="0"/>
        <w:spacing w:line="360" w:lineRule="auto"/>
        <w:ind w:left="357" w:leftChars="-100" w:hanging="567"/>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（4）免费硬件售后和系统运维服务包括但不限于由投标人承担完成质保期的工作而产生的运费、购置费、测试费、人工费、维护费等各项费用。</w:t>
      </w:r>
    </w:p>
    <w:p w14:paraId="59274BB0">
      <w:pPr>
        <w:autoSpaceDE w:val="0"/>
        <w:autoSpaceDN w:val="0"/>
        <w:adjustRightInd w:val="0"/>
        <w:spacing w:line="360" w:lineRule="auto"/>
        <w:ind w:left="357" w:leftChars="-100" w:hanging="567"/>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11.3</w:t>
      </w:r>
      <w:r>
        <w:rPr>
          <w:rFonts w:ascii="宋体" w:hAnsi="宋体" w:eastAsia="宋体" w:cs="宋体"/>
          <w:color w:val="auto"/>
          <w:kern w:val="0"/>
          <w:szCs w:val="21"/>
          <w:highlight w:val="none"/>
        </w:rPr>
        <w:t xml:space="preserve"> </w:t>
      </w:r>
      <w:r>
        <w:rPr>
          <w:rFonts w:hint="eastAsia" w:ascii="宋体" w:hAnsi="宋体" w:eastAsia="宋体" w:cs="Times New Roman"/>
          <w:color w:val="auto"/>
          <w:szCs w:val="21"/>
          <w:highlight w:val="none"/>
          <w:lang w:val="zh-CN"/>
        </w:rPr>
        <w:t>投标人根据</w:t>
      </w:r>
      <w:r>
        <w:rPr>
          <w:color w:val="auto"/>
          <w:highlight w:val="none"/>
        </w:rPr>
        <w:fldChar w:fldCharType="begin"/>
      </w:r>
      <w:r>
        <w:rPr>
          <w:color w:val="auto"/>
          <w:highlight w:val="none"/>
        </w:rPr>
        <w:instrText xml:space="preserve"> HYPERLINK "file:///E:\\招标文件\\用户目录\\Documents\\WeChat%20Files\\wxid_d71qzxy6fjr811\\FileStorage\\File\\2021-09\\1、挂网资料、呈批表-抽取专家模板\\挂网资料（东莞市水务集团净水有限公司保安服务定点采购项目）\\挂网资料（东莞市长安锦厦三洲水质净化厂提标工程新增格栅机、闸门等设备采购项目）\\石鼓工作（201807）\\01%20%20项目资料\\Administrator\\AppData\\Roaming\\Microsoft\\Word\\AppData\\审核工作\\审核的文件\\l" </w:instrText>
      </w:r>
      <w:r>
        <w:rPr>
          <w:color w:val="auto"/>
          <w:highlight w:val="none"/>
        </w:rPr>
        <w:fldChar w:fldCharType="separate"/>
      </w:r>
      <w:r>
        <w:rPr>
          <w:rFonts w:hint="eastAsia" w:ascii="宋体" w:hAnsi="宋体" w:eastAsia="宋体" w:cs="Times New Roman"/>
          <w:color w:val="auto"/>
          <w:szCs w:val="21"/>
          <w:highlight w:val="none"/>
          <w:lang w:val="zh-CN"/>
        </w:rPr>
        <w:t>第</w:t>
      </w:r>
      <w:r>
        <w:rPr>
          <w:rFonts w:ascii="宋体" w:hAnsi="宋体" w:eastAsia="宋体" w:cs="Times New Roman"/>
          <w:color w:val="auto"/>
          <w:szCs w:val="21"/>
          <w:highlight w:val="none"/>
          <w:lang w:val="zh-CN"/>
        </w:rPr>
        <w:t>11.</w:t>
      </w:r>
      <w:r>
        <w:rPr>
          <w:rFonts w:hint="eastAsia" w:ascii="宋体" w:hAnsi="宋体" w:eastAsia="宋体" w:cs="Times New Roman"/>
          <w:color w:val="auto"/>
          <w:szCs w:val="21"/>
          <w:highlight w:val="none"/>
        </w:rPr>
        <w:t>2</w:t>
      </w:r>
      <w:r>
        <w:rPr>
          <w:rFonts w:hint="eastAsia" w:ascii="宋体" w:hAnsi="宋体" w:eastAsia="宋体" w:cs="Times New Roman"/>
          <w:color w:val="auto"/>
          <w:szCs w:val="21"/>
          <w:highlight w:val="none"/>
          <w:lang w:val="zh-CN"/>
        </w:rPr>
        <w:t>款</w:t>
      </w:r>
      <w:r>
        <w:rPr>
          <w:rFonts w:hint="eastAsia" w:ascii="宋体" w:hAnsi="宋体" w:eastAsia="宋体" w:cs="Times New Roman"/>
          <w:color w:val="auto"/>
          <w:szCs w:val="21"/>
          <w:highlight w:val="none"/>
          <w:lang w:val="zh-CN"/>
        </w:rPr>
        <w:fldChar w:fldCharType="end"/>
      </w:r>
      <w:r>
        <w:rPr>
          <w:rFonts w:hint="eastAsia" w:ascii="宋体" w:hAnsi="宋体" w:eastAsia="宋体" w:cs="Times New Roman"/>
          <w:color w:val="auto"/>
          <w:szCs w:val="21"/>
          <w:highlight w:val="none"/>
          <w:lang w:val="zh-CN"/>
        </w:rPr>
        <w:t>所报的价格分项仅供评标委员会评审时使用；在任何情况下不限制投标人以不同的条件中标的权利。</w:t>
      </w:r>
    </w:p>
    <w:p w14:paraId="53048102">
      <w:pPr>
        <w:autoSpaceDE w:val="0"/>
        <w:autoSpaceDN w:val="0"/>
        <w:adjustRightInd w:val="0"/>
        <w:spacing w:line="360" w:lineRule="auto"/>
        <w:ind w:left="268" w:leftChars="-100" w:hanging="478" w:hangingChars="228"/>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11.4 在合同期间，投标报价不随国家政策或法规、标准、市场因素及采购数量的变化而进行调整</w:t>
      </w:r>
      <w:r>
        <w:rPr>
          <w:rFonts w:hint="eastAsia" w:ascii="宋体" w:hAnsi="宋体" w:eastAsia="宋体" w:cs="Times New Roman"/>
          <w:color w:val="auto"/>
          <w:kern w:val="0"/>
          <w:szCs w:val="21"/>
          <w:highlight w:val="none"/>
          <w:lang w:val="zh-CN"/>
        </w:rPr>
        <w:t>。</w:t>
      </w:r>
      <w:r>
        <w:rPr>
          <w:rFonts w:hint="eastAsia" w:ascii="宋体" w:hAnsi="宋体" w:eastAsia="宋体" w:cs="宋体"/>
          <w:color w:val="auto"/>
          <w:kern w:val="0"/>
          <w:szCs w:val="21"/>
          <w:highlight w:val="none"/>
        </w:rPr>
        <w:t xml:space="preserve"> </w:t>
      </w:r>
    </w:p>
    <w:p w14:paraId="65B20D23">
      <w:pPr>
        <w:autoSpaceDE w:val="0"/>
        <w:autoSpaceDN w:val="0"/>
        <w:adjustRightInd w:val="0"/>
        <w:spacing w:line="360" w:lineRule="auto"/>
        <w:ind w:left="357" w:leftChars="-100" w:hanging="567"/>
        <w:rPr>
          <w:rFonts w:ascii="宋体" w:hAnsi="宋体" w:eastAsia="宋体" w:cs="Times New Roman"/>
          <w:b/>
          <w:bCs/>
          <w:color w:val="auto"/>
          <w:szCs w:val="21"/>
          <w:highlight w:val="none"/>
          <w:lang w:val="zh-CN"/>
        </w:rPr>
      </w:pPr>
      <w:r>
        <w:rPr>
          <w:rFonts w:hint="eastAsia" w:ascii="宋体" w:hAnsi="宋体" w:eastAsia="宋体" w:cs="宋体"/>
          <w:color w:val="auto"/>
          <w:szCs w:val="21"/>
          <w:highlight w:val="none"/>
          <w:lang w:val="zh-CN"/>
        </w:rPr>
        <w:t xml:space="preserve">11.5 </w:t>
      </w:r>
      <w:r>
        <w:rPr>
          <w:rFonts w:hint="eastAsia" w:ascii="宋体" w:hAnsi="宋体" w:eastAsia="宋体" w:cs="Times New Roman"/>
          <w:b/>
          <w:bCs/>
          <w:color w:val="auto"/>
          <w:szCs w:val="21"/>
          <w:highlight w:val="none"/>
          <w:lang w:val="zh-CN"/>
        </w:rPr>
        <w:t>合同项下，招标人需要的</w:t>
      </w:r>
      <w:r>
        <w:rPr>
          <w:rFonts w:hint="eastAsia" w:ascii="宋体" w:hAnsi="宋体" w:eastAsia="宋体" w:cs="Times New Roman"/>
          <w:b/>
          <w:bCs/>
          <w:color w:val="auto"/>
          <w:szCs w:val="21"/>
          <w:highlight w:val="none"/>
        </w:rPr>
        <w:t>货物及有关</w:t>
      </w:r>
      <w:r>
        <w:rPr>
          <w:rFonts w:hint="eastAsia" w:ascii="宋体" w:hAnsi="宋体" w:eastAsia="宋体" w:cs="Times New Roman"/>
          <w:b/>
          <w:bCs/>
          <w:color w:val="auto"/>
          <w:szCs w:val="21"/>
          <w:highlight w:val="none"/>
          <w:lang w:val="zh-CN"/>
        </w:rPr>
        <w:t>服务所需的费用，投标人都应计入投标报价总价。</w:t>
      </w:r>
    </w:p>
    <w:p w14:paraId="6422C881">
      <w:pPr>
        <w:autoSpaceDE w:val="0"/>
        <w:autoSpaceDN w:val="0"/>
        <w:adjustRightInd w:val="0"/>
        <w:spacing w:line="360" w:lineRule="auto"/>
        <w:ind w:left="357" w:leftChars="-100" w:hanging="567"/>
        <w:rPr>
          <w:rFonts w:hint="default" w:ascii="宋体" w:hAnsi="宋体" w:eastAsia="宋体" w:cs="宋体"/>
          <w:b/>
          <w:color w:val="auto"/>
          <w:szCs w:val="21"/>
          <w:highlight w:val="none"/>
          <w:lang w:val="en-US" w:eastAsia="zh-CN"/>
        </w:rPr>
      </w:pPr>
      <w:r>
        <w:rPr>
          <w:rFonts w:hint="eastAsia" w:ascii="宋体" w:hAnsi="宋体" w:eastAsia="宋体" w:cs="宋体"/>
          <w:color w:val="auto"/>
          <w:szCs w:val="21"/>
          <w:highlight w:val="none"/>
          <w:lang w:val="zh-CN"/>
        </w:rPr>
        <w:t>11.6</w:t>
      </w:r>
      <w:r>
        <w:rPr>
          <w:rFonts w:hint="eastAsia" w:ascii="宋体" w:hAnsi="宋体" w:eastAsia="宋体" w:cs="Times New Roman"/>
          <w:b/>
          <w:bCs/>
          <w:color w:val="auto"/>
          <w:szCs w:val="21"/>
          <w:highlight w:val="none"/>
          <w:u w:val="single"/>
        </w:rPr>
        <w:t xml:space="preserve"> </w:t>
      </w:r>
      <w:r>
        <w:rPr>
          <w:rFonts w:hint="eastAsia" w:ascii="宋体" w:hAnsi="宋体" w:eastAsia="宋体" w:cs="宋体"/>
          <w:b/>
          <w:color w:val="auto"/>
          <w:szCs w:val="21"/>
          <w:highlight w:val="none"/>
          <w:u w:val="single"/>
          <w:lang w:val="zh-CN"/>
        </w:rPr>
        <w:t>投标人</w:t>
      </w:r>
      <w:r>
        <w:rPr>
          <w:rFonts w:hint="eastAsia" w:ascii="宋体" w:hAnsi="宋体" w:eastAsia="宋体" w:cs="Times New Roman"/>
          <w:b/>
          <w:bCs/>
          <w:color w:val="auto"/>
          <w:kern w:val="0"/>
          <w:szCs w:val="24"/>
          <w:highlight w:val="none"/>
          <w:u w:val="single"/>
        </w:rPr>
        <w:t>的投标报价高于不含税最高投标限价的，该投标人的投标文件将被视为无效投标</w:t>
      </w:r>
      <w:r>
        <w:rPr>
          <w:rFonts w:hint="eastAsia" w:ascii="宋体" w:hAnsi="宋体" w:eastAsia="宋体" w:cs="宋体"/>
          <w:b/>
          <w:color w:val="auto"/>
          <w:szCs w:val="21"/>
          <w:highlight w:val="none"/>
          <w:u w:val="single"/>
          <w:lang w:val="zh-CN"/>
        </w:rPr>
        <w:t>。本项目的不含税最高投标限价</w:t>
      </w:r>
      <w:r>
        <w:rPr>
          <w:rFonts w:hint="eastAsia" w:ascii="宋体" w:hAnsi="宋体" w:eastAsia="宋体" w:cs="Times New Roman"/>
          <w:b/>
          <w:bCs/>
          <w:color w:val="auto"/>
          <w:szCs w:val="21"/>
          <w:highlight w:val="none"/>
          <w:u w:val="single"/>
          <w:lang w:val="zh-CN"/>
        </w:rPr>
        <w:t>为</w:t>
      </w:r>
      <w:r>
        <w:rPr>
          <w:rFonts w:hint="eastAsia" w:ascii="宋体" w:hAnsi="宋体" w:eastAsia="宋体" w:cs="Times New Roman"/>
          <w:b/>
          <w:bCs/>
          <w:color w:val="auto"/>
          <w:szCs w:val="21"/>
          <w:highlight w:val="none"/>
          <w:u w:val="single"/>
        </w:rPr>
        <w:t xml:space="preserve"> 9,174,733.77 </w:t>
      </w:r>
      <w:r>
        <w:rPr>
          <w:rFonts w:hint="eastAsia" w:ascii="宋体" w:hAnsi="宋体" w:eastAsia="宋体" w:cs="Times New Roman"/>
          <w:b/>
          <w:bCs/>
          <w:color w:val="auto"/>
          <w:szCs w:val="21"/>
          <w:highlight w:val="none"/>
          <w:u w:val="single"/>
          <w:lang w:val="zh-CN"/>
        </w:rPr>
        <w:t>元（大写</w:t>
      </w:r>
      <w:r>
        <w:rPr>
          <w:rFonts w:hint="eastAsia" w:ascii="宋体" w:hAnsi="宋体" w:eastAsia="宋体" w:cs="宋体"/>
          <w:b/>
          <w:color w:val="auto"/>
          <w:szCs w:val="21"/>
          <w:highlight w:val="none"/>
          <w:u w:val="single"/>
          <w:lang w:val="zh-CN"/>
        </w:rPr>
        <w:t>：人民币</w:t>
      </w:r>
      <w:r>
        <w:rPr>
          <w:rFonts w:hint="eastAsia" w:ascii="宋体" w:hAnsi="宋体" w:eastAsia="宋体" w:cs="宋体"/>
          <w:b/>
          <w:color w:val="auto"/>
          <w:szCs w:val="21"/>
          <w:highlight w:val="none"/>
          <w:u w:val="single"/>
        </w:rPr>
        <w:t>玖佰壹拾柒万肆仟柒佰叁拾叁元柒角柒分</w:t>
      </w:r>
      <w:r>
        <w:rPr>
          <w:rFonts w:hint="eastAsia" w:ascii="宋体" w:hAnsi="宋体" w:eastAsia="宋体" w:cs="宋体"/>
          <w:b/>
          <w:color w:val="auto"/>
          <w:szCs w:val="21"/>
          <w:highlight w:val="none"/>
          <w:u w:val="single"/>
          <w:lang w:val="zh-CN"/>
        </w:rPr>
        <w:t>）。其中组态开发及安装调试费不含税最高投标限价为3</w:t>
      </w:r>
      <w:r>
        <w:rPr>
          <w:rFonts w:hint="eastAsia" w:ascii="宋体" w:hAnsi="宋体" w:eastAsia="宋体" w:cs="宋体"/>
          <w:b/>
          <w:color w:val="auto"/>
          <w:szCs w:val="21"/>
          <w:highlight w:val="none"/>
          <w:u w:val="single"/>
          <w:lang w:val="en-US" w:eastAsia="zh-CN"/>
        </w:rPr>
        <w:t>,</w:t>
      </w:r>
      <w:r>
        <w:rPr>
          <w:rFonts w:hint="eastAsia" w:ascii="宋体" w:hAnsi="宋体" w:eastAsia="宋体" w:cs="宋体"/>
          <w:b/>
          <w:color w:val="auto"/>
          <w:szCs w:val="21"/>
          <w:highlight w:val="none"/>
          <w:u w:val="single"/>
          <w:lang w:val="zh-CN"/>
        </w:rPr>
        <w:t>129</w:t>
      </w:r>
      <w:r>
        <w:rPr>
          <w:rFonts w:hint="eastAsia" w:ascii="宋体" w:hAnsi="宋体" w:eastAsia="宋体" w:cs="宋体"/>
          <w:b/>
          <w:color w:val="auto"/>
          <w:szCs w:val="21"/>
          <w:highlight w:val="none"/>
          <w:u w:val="single"/>
          <w:lang w:val="en-US" w:eastAsia="zh-CN"/>
        </w:rPr>
        <w:t>,</w:t>
      </w:r>
      <w:r>
        <w:rPr>
          <w:rFonts w:hint="eastAsia" w:ascii="宋体" w:hAnsi="宋体" w:eastAsia="宋体" w:cs="宋体"/>
          <w:b/>
          <w:color w:val="auto"/>
          <w:szCs w:val="21"/>
          <w:highlight w:val="none"/>
          <w:u w:val="single"/>
          <w:lang w:val="zh-CN"/>
        </w:rPr>
        <w:t>867.98元（大写：叁佰壹拾贰万玖仟捌佰陆拾柒元玖角捌分）</w:t>
      </w:r>
      <w:r>
        <w:rPr>
          <w:rFonts w:hint="eastAsia" w:ascii="宋体" w:hAnsi="宋体" w:eastAsia="宋体" w:cs="宋体"/>
          <w:b/>
          <w:color w:val="auto"/>
          <w:szCs w:val="21"/>
          <w:highlight w:val="none"/>
          <w:u w:val="single"/>
          <w:lang w:val="en-US" w:eastAsia="zh-CN"/>
        </w:rPr>
        <w:t>，软件、硬件设备购置费不含税最高投标限价为6,044,865.79元（大写：陆佰零肆万肆仟捌佰陆拾伍元柒角玖分）。</w:t>
      </w:r>
    </w:p>
    <w:p w14:paraId="3A59B8C7">
      <w:pPr>
        <w:autoSpaceDE w:val="0"/>
        <w:autoSpaceDN w:val="0"/>
        <w:adjustRightInd w:val="0"/>
        <w:spacing w:line="360" w:lineRule="auto"/>
        <w:ind w:left="357" w:leftChars="-100" w:hanging="567"/>
        <w:rPr>
          <w:rFonts w:ascii="宋体" w:hAnsi="宋体" w:eastAsia="宋体" w:cs="宋体"/>
          <w:color w:val="auto"/>
          <w:szCs w:val="21"/>
          <w:highlight w:val="none"/>
        </w:rPr>
      </w:pPr>
      <w:r>
        <w:rPr>
          <w:rFonts w:ascii="宋体" w:hAnsi="宋体" w:eastAsia="宋体" w:cs="宋体"/>
          <w:color w:val="auto"/>
          <w:szCs w:val="21"/>
          <w:highlight w:val="none"/>
          <w:lang w:val="zh-CN"/>
        </w:rPr>
        <w:t xml:space="preserve">     </w:t>
      </w:r>
    </w:p>
    <w:p w14:paraId="0499AE67">
      <w:pPr>
        <w:autoSpaceDE w:val="0"/>
        <w:autoSpaceDN w:val="0"/>
        <w:adjustRightInd w:val="0"/>
        <w:spacing w:line="360" w:lineRule="auto"/>
        <w:ind w:left="357" w:leftChars="-100" w:hanging="567"/>
        <w:jc w:val="left"/>
        <w:outlineLvl w:val="2"/>
        <w:rPr>
          <w:rFonts w:ascii="宋体" w:hAnsi="宋体" w:eastAsia="宋体" w:cs="宋体"/>
          <w:b/>
          <w:color w:val="auto"/>
          <w:szCs w:val="21"/>
          <w:highlight w:val="none"/>
          <w:lang w:val="zh-CN"/>
        </w:rPr>
      </w:pPr>
      <w:bookmarkStart w:id="144" w:name="_Toc142508326"/>
      <w:bookmarkStart w:id="145" w:name="_Toc450662862"/>
      <w:bookmarkStart w:id="146" w:name="_Toc486167676"/>
      <w:bookmarkStart w:id="147" w:name="_Toc20312"/>
      <w:bookmarkStart w:id="148" w:name="_Toc20827"/>
      <w:bookmarkStart w:id="149" w:name="_Toc30042_WPSOffice_Level3"/>
      <w:bookmarkStart w:id="150" w:name="_Toc195714230"/>
      <w:bookmarkStart w:id="151" w:name="_Toc3469"/>
      <w:r>
        <w:rPr>
          <w:rFonts w:hint="eastAsia" w:ascii="宋体" w:hAnsi="宋体" w:eastAsia="宋体" w:cs="宋体"/>
          <w:b/>
          <w:color w:val="auto"/>
          <w:szCs w:val="21"/>
          <w:highlight w:val="none"/>
          <w:lang w:val="zh-CN"/>
        </w:rPr>
        <w:t>12</w:t>
      </w:r>
      <w:r>
        <w:rPr>
          <w:rFonts w:ascii="宋体" w:hAnsi="宋体" w:eastAsia="宋体" w:cs="宋体"/>
          <w:b/>
          <w:color w:val="auto"/>
          <w:szCs w:val="21"/>
          <w:highlight w:val="none"/>
          <w:lang w:val="zh-CN"/>
        </w:rPr>
        <w:t xml:space="preserve"> </w:t>
      </w:r>
      <w:r>
        <w:rPr>
          <w:rFonts w:hint="eastAsia" w:ascii="宋体" w:hAnsi="宋体" w:eastAsia="宋体" w:cs="宋体"/>
          <w:b/>
          <w:color w:val="auto"/>
          <w:szCs w:val="21"/>
          <w:highlight w:val="none"/>
          <w:lang w:val="zh-CN"/>
        </w:rPr>
        <w:t>投标报价货币</w:t>
      </w:r>
      <w:bookmarkEnd w:id="144"/>
      <w:bookmarkEnd w:id="145"/>
      <w:bookmarkEnd w:id="146"/>
      <w:bookmarkEnd w:id="147"/>
      <w:bookmarkEnd w:id="148"/>
      <w:bookmarkEnd w:id="149"/>
      <w:bookmarkEnd w:id="150"/>
      <w:bookmarkEnd w:id="151"/>
    </w:p>
    <w:p w14:paraId="4475E655">
      <w:pPr>
        <w:autoSpaceDE w:val="0"/>
        <w:autoSpaceDN w:val="0"/>
        <w:adjustRightInd w:val="0"/>
        <w:spacing w:line="360" w:lineRule="auto"/>
        <w:ind w:left="265" w:leftChars="119" w:hanging="15"/>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投标</w:t>
      </w:r>
      <w:r>
        <w:rPr>
          <w:rFonts w:hint="eastAsia" w:ascii="宋体" w:hAnsi="宋体" w:eastAsia="宋体" w:cs="Times New Roman"/>
          <w:b/>
          <w:color w:val="auto"/>
          <w:szCs w:val="21"/>
          <w:highlight w:val="none"/>
          <w:lang w:val="zh-CN"/>
        </w:rPr>
        <w:t>报价表上的价格须以人民币报价，以其</w:t>
      </w:r>
      <w:r>
        <w:rPr>
          <w:rFonts w:hint="eastAsia" w:ascii="宋体" w:hAnsi="宋体" w:eastAsia="宋体" w:cs="Times New Roman"/>
          <w:b/>
          <w:color w:val="auto"/>
          <w:szCs w:val="21"/>
          <w:highlight w:val="none"/>
        </w:rPr>
        <w:t>他</w:t>
      </w:r>
      <w:r>
        <w:rPr>
          <w:rFonts w:hint="eastAsia" w:ascii="宋体" w:hAnsi="宋体" w:eastAsia="宋体" w:cs="Times New Roman"/>
          <w:b/>
          <w:color w:val="auto"/>
          <w:szCs w:val="21"/>
          <w:highlight w:val="none"/>
          <w:lang w:val="zh-CN"/>
        </w:rPr>
        <w:t>货币标价的投标将予以拒绝</w:t>
      </w:r>
      <w:r>
        <w:rPr>
          <w:rFonts w:hint="eastAsia" w:ascii="宋体" w:hAnsi="宋体" w:eastAsia="宋体" w:cs="宋体"/>
          <w:b/>
          <w:color w:val="auto"/>
          <w:szCs w:val="21"/>
          <w:highlight w:val="none"/>
          <w:lang w:val="zh-CN"/>
        </w:rPr>
        <w:t>。</w:t>
      </w:r>
    </w:p>
    <w:p w14:paraId="1AE0F60A">
      <w:pPr>
        <w:autoSpaceDE w:val="0"/>
        <w:autoSpaceDN w:val="0"/>
        <w:adjustRightInd w:val="0"/>
        <w:spacing w:line="360" w:lineRule="auto"/>
        <w:ind w:left="265" w:leftChars="119" w:hanging="15"/>
        <w:rPr>
          <w:rFonts w:ascii="宋体" w:hAnsi="宋体" w:eastAsia="宋体" w:cs="宋体"/>
          <w:color w:val="auto"/>
          <w:szCs w:val="21"/>
          <w:highlight w:val="none"/>
        </w:rPr>
      </w:pPr>
    </w:p>
    <w:p w14:paraId="28C81FE0">
      <w:pPr>
        <w:tabs>
          <w:tab w:val="left" w:pos="570"/>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52" w:name="_Toc10342"/>
      <w:bookmarkStart w:id="153" w:name="_Toc450662863"/>
      <w:bookmarkStart w:id="154" w:name="_Toc3961"/>
      <w:bookmarkStart w:id="155" w:name="_Toc486167677"/>
      <w:bookmarkStart w:id="156" w:name="_Toc142508327"/>
      <w:bookmarkStart w:id="157" w:name="_Toc195714231"/>
      <w:bookmarkStart w:id="158" w:name="_Toc9411_WPSOffice_Level3"/>
      <w:bookmarkStart w:id="159" w:name="_Toc20031"/>
      <w:r>
        <w:rPr>
          <w:rFonts w:hint="eastAsia" w:ascii="宋体" w:hAnsi="宋体" w:eastAsia="宋体" w:cs="宋体"/>
          <w:color w:val="auto"/>
          <w:szCs w:val="21"/>
          <w:highlight w:val="none"/>
          <w:lang w:val="zh-CN"/>
        </w:rPr>
        <w:t>13</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证明投标人的合格性和资格的声明文件</w:t>
      </w:r>
      <w:bookmarkEnd w:id="152"/>
      <w:bookmarkEnd w:id="153"/>
      <w:bookmarkEnd w:id="154"/>
      <w:bookmarkEnd w:id="155"/>
      <w:bookmarkEnd w:id="156"/>
      <w:bookmarkEnd w:id="157"/>
      <w:bookmarkEnd w:id="158"/>
      <w:bookmarkEnd w:id="159"/>
    </w:p>
    <w:p w14:paraId="523A9CEA">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13.1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根据第2条、第13.2款规定，投标人须提交证明其有资格进行投标和有能力履行合同的文件，作为投标文件的一部分。</w:t>
      </w:r>
    </w:p>
    <w:p w14:paraId="0A1556E3">
      <w:pPr>
        <w:autoSpaceDE w:val="0"/>
        <w:autoSpaceDN w:val="0"/>
        <w:adjustRightInd w:val="0"/>
        <w:spacing w:line="360" w:lineRule="auto"/>
        <w:ind w:left="357" w:leftChars="-100" w:hanging="567"/>
        <w:rPr>
          <w:rFonts w:ascii="宋体" w:hAnsi="宋体" w:eastAsia="宋体" w:cs="宋体"/>
          <w:color w:val="auto"/>
          <w:szCs w:val="21"/>
          <w:highlight w:val="none"/>
          <w:vertAlign w:val="superscript"/>
          <w:lang w:val="zh-CN"/>
        </w:rPr>
      </w:pPr>
      <w:r>
        <w:rPr>
          <w:rFonts w:hint="eastAsia" w:ascii="宋体" w:hAnsi="宋体" w:eastAsia="宋体" w:cs="宋体"/>
          <w:color w:val="auto"/>
          <w:szCs w:val="21"/>
          <w:highlight w:val="none"/>
          <w:lang w:val="zh-CN"/>
        </w:rPr>
        <w:t>13.2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投标人提供的履行合同的资格声明文件应符合：</w:t>
      </w:r>
    </w:p>
    <w:p w14:paraId="03A60551">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（1）符合《中华人民共和国招标投标法》《中华人民共和国招标投标法实施条例》投标人应当具备的条件；</w:t>
      </w:r>
    </w:p>
    <w:p w14:paraId="764F8825">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（2）投标人具有履行本项目所必须的证明文件；</w:t>
      </w:r>
    </w:p>
    <w:p w14:paraId="6713DDA7">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（3）投标人证明其相应资格</w:t>
      </w:r>
      <w:r>
        <w:rPr>
          <w:rFonts w:hint="eastAsia" w:ascii="宋体" w:hAnsi="宋体" w:eastAsia="宋体" w:cs="Times New Roman"/>
          <w:color w:val="auto"/>
          <w:szCs w:val="21"/>
          <w:highlight w:val="none"/>
          <w:lang w:val="zh-CN"/>
        </w:rPr>
        <w:t>符合或</w:t>
      </w:r>
      <w:r>
        <w:rPr>
          <w:rFonts w:hint="eastAsia" w:ascii="宋体" w:hAnsi="宋体" w:eastAsia="宋体" w:cs="宋体"/>
          <w:color w:val="auto"/>
          <w:szCs w:val="21"/>
          <w:highlight w:val="none"/>
          <w:lang w:val="zh-CN"/>
        </w:rPr>
        <w:t>优于招标文件要求的其它文件。</w:t>
      </w:r>
    </w:p>
    <w:p w14:paraId="602F7D47">
      <w:pPr>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13.3</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投标人</w:t>
      </w:r>
      <w:r>
        <w:rPr>
          <w:rFonts w:hint="eastAsia" w:ascii="宋体" w:hAnsi="宋体" w:eastAsia="宋体" w:cs="Times New Roman"/>
          <w:color w:val="auto"/>
          <w:szCs w:val="21"/>
          <w:highlight w:val="none"/>
          <w:lang w:val="zh-CN"/>
        </w:rPr>
        <w:t>根据招标文件载明的货物及有关服务要求的实际情况，拟在中标后将中标项目的非主体、非关键性专业工作交由他人完成的，应当在投标文件中载明，并提供他人的资质、能力证明材料</w:t>
      </w:r>
      <w:r>
        <w:rPr>
          <w:rFonts w:hint="eastAsia" w:ascii="宋体" w:hAnsi="宋体" w:eastAsia="宋体" w:cs="宋体"/>
          <w:color w:val="auto"/>
          <w:szCs w:val="21"/>
          <w:highlight w:val="none"/>
          <w:lang w:val="zh-CN"/>
        </w:rPr>
        <w:t>。</w:t>
      </w:r>
    </w:p>
    <w:p w14:paraId="60BC9A1B">
      <w:pPr>
        <w:autoSpaceDE w:val="0"/>
        <w:autoSpaceDN w:val="0"/>
        <w:adjustRightInd w:val="0"/>
        <w:spacing w:line="360" w:lineRule="auto"/>
        <w:ind w:left="560" w:leftChars="128" w:hanging="291" w:hangingChars="139"/>
        <w:rPr>
          <w:rFonts w:ascii="宋体" w:hAnsi="宋体" w:eastAsia="宋体" w:cs="宋体"/>
          <w:color w:val="auto"/>
          <w:szCs w:val="21"/>
          <w:highlight w:val="none"/>
        </w:rPr>
      </w:pPr>
    </w:p>
    <w:p w14:paraId="638F45F2">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60" w:name="_Toc450662864"/>
      <w:bookmarkStart w:id="161" w:name="_Toc142508328"/>
      <w:bookmarkStart w:id="162" w:name="_Toc195714232"/>
      <w:bookmarkStart w:id="163" w:name="_Toc29754"/>
      <w:bookmarkStart w:id="164" w:name="_Toc8615"/>
      <w:bookmarkStart w:id="165" w:name="_Toc10286"/>
      <w:bookmarkStart w:id="166" w:name="_Toc27771_WPSOffice_Level3"/>
      <w:bookmarkStart w:id="167" w:name="_Toc486167678"/>
      <w:r>
        <w:rPr>
          <w:rFonts w:hint="eastAsia" w:ascii="宋体" w:hAnsi="宋体" w:eastAsia="宋体" w:cs="宋体"/>
          <w:color w:val="auto"/>
          <w:szCs w:val="21"/>
          <w:highlight w:val="none"/>
          <w:lang w:val="zh-CN"/>
        </w:rPr>
        <w:t>14</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证明货物的合格性并符合招标文件规定的声明文件</w:t>
      </w:r>
      <w:bookmarkEnd w:id="160"/>
      <w:bookmarkEnd w:id="161"/>
      <w:bookmarkEnd w:id="162"/>
      <w:bookmarkEnd w:id="163"/>
      <w:bookmarkEnd w:id="164"/>
      <w:bookmarkEnd w:id="165"/>
      <w:bookmarkEnd w:id="166"/>
      <w:bookmarkEnd w:id="167"/>
    </w:p>
    <w:p w14:paraId="66696EA3">
      <w:pPr>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14.1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根据</w:t>
      </w:r>
      <w:r>
        <w:rPr>
          <w:rFonts w:hint="eastAsia" w:ascii="宋体" w:hAnsi="宋体" w:eastAsia="宋体" w:cs="宋体"/>
          <w:color w:val="auto"/>
          <w:kern w:val="0"/>
          <w:szCs w:val="21"/>
          <w:highlight w:val="none"/>
        </w:rPr>
        <w:t>第9</w:t>
      </w:r>
      <w:r>
        <w:rPr>
          <w:rFonts w:hint="eastAsia" w:ascii="宋体" w:hAnsi="宋体" w:eastAsia="宋体" w:cs="宋体"/>
          <w:color w:val="auto"/>
          <w:szCs w:val="21"/>
          <w:highlight w:val="none"/>
          <w:lang w:val="zh-CN"/>
        </w:rPr>
        <w:t>条规定，投标人须提交证明其拟供</w:t>
      </w:r>
      <w:r>
        <w:rPr>
          <w:rFonts w:hint="eastAsia" w:ascii="宋体" w:hAnsi="宋体" w:eastAsia="宋体" w:cs="宋体"/>
          <w:color w:val="auto"/>
          <w:szCs w:val="21"/>
          <w:highlight w:val="none"/>
        </w:rPr>
        <w:t>货物</w:t>
      </w:r>
      <w:r>
        <w:rPr>
          <w:rFonts w:hint="eastAsia" w:ascii="宋体" w:hAnsi="宋体" w:eastAsia="宋体" w:cs="宋体"/>
          <w:color w:val="auto"/>
          <w:szCs w:val="21"/>
          <w:highlight w:val="none"/>
          <w:lang w:val="zh-CN"/>
        </w:rPr>
        <w:t>的合格性并符合招标文件规定的声明文件，作为投标文件的一部分。</w:t>
      </w:r>
    </w:p>
    <w:p w14:paraId="7E866A26">
      <w:pPr>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14.2  证明</w:t>
      </w:r>
      <w:r>
        <w:rPr>
          <w:rFonts w:hint="eastAsia" w:ascii="宋体" w:hAnsi="宋体" w:eastAsia="宋体" w:cs="宋体"/>
          <w:color w:val="auto"/>
          <w:kern w:val="0"/>
          <w:szCs w:val="21"/>
          <w:highlight w:val="none"/>
        </w:rPr>
        <w:t>货物及有关服务</w:t>
      </w:r>
      <w:r>
        <w:rPr>
          <w:rFonts w:hint="eastAsia" w:ascii="宋体" w:hAnsi="宋体" w:eastAsia="宋体" w:cs="宋体"/>
          <w:color w:val="auto"/>
          <w:szCs w:val="21"/>
          <w:highlight w:val="none"/>
          <w:lang w:val="zh-CN"/>
        </w:rPr>
        <w:t>与招标文件的要求相一致的文件可以是文字资料、图纸和数据资料。</w:t>
      </w:r>
    </w:p>
    <w:p w14:paraId="45E23DDC">
      <w:pPr>
        <w:autoSpaceDE w:val="0"/>
        <w:autoSpaceDN w:val="0"/>
        <w:adjustRightInd w:val="0"/>
        <w:spacing w:line="360" w:lineRule="auto"/>
        <w:ind w:left="317" w:leftChars="-100" w:hanging="527" w:hangingChars="251"/>
        <w:rPr>
          <w:rFonts w:ascii="宋体" w:hAnsi="宋体" w:eastAsia="宋体" w:cs="宋体"/>
          <w:b/>
          <w:color w:val="auto"/>
          <w:szCs w:val="21"/>
          <w:highlight w:val="none"/>
          <w:lang w:val="zh-CN"/>
        </w:rPr>
      </w:pPr>
      <w:r>
        <w:rPr>
          <w:rFonts w:hint="eastAsia" w:ascii="宋体" w:hAnsi="宋体" w:eastAsia="宋体" w:cs="宋体"/>
          <w:color w:val="auto"/>
          <w:szCs w:val="21"/>
          <w:highlight w:val="none"/>
          <w:lang w:val="zh-CN"/>
        </w:rPr>
        <w:t xml:space="preserve">14.3 </w:t>
      </w:r>
      <w:r>
        <w:rPr>
          <w:rFonts w:hint="eastAsia" w:ascii="宋体" w:hAnsi="宋体" w:eastAsia="宋体" w:cs="宋体"/>
          <w:b/>
          <w:color w:val="auto"/>
          <w:szCs w:val="21"/>
          <w:highlight w:val="none"/>
          <w:lang w:val="zh-CN"/>
        </w:rPr>
        <w:t>为说明第14.2款的规定，投标人应注意本招标文件在《用户需求书》中对货物的性能配置、技术参数、技术要求所描述的特征或说明只是概括性的，不能理解为所需要的全部产品工序的要求，投标人应按行业技术、质量和以往的研究、货物生产制造、售后服务经验，合格优质的完成采购内容和包含的全部服务。用户需求书中所有列出的相关货物技术要求和推荐品牌不是唯一指定，仅作参考，即投标人可就货物提出替代标准，只要相当于(或优于)规定的货物品质和性能等技术参数要求，并提供满足本招标文件要求的证明材料，则视为合格。但凡标有“★”的地方均被视为重要的技术指标要求或性能要求。投标人要特别加以注意，必须对此回答并完全满足这些要求，否则若有一项带“★”的指标未响应或不满足，将按无效投标处理。</w:t>
      </w:r>
    </w:p>
    <w:p w14:paraId="4F6B47EA">
      <w:pPr>
        <w:autoSpaceDE w:val="0"/>
        <w:autoSpaceDN w:val="0"/>
        <w:adjustRightInd w:val="0"/>
        <w:spacing w:line="360" w:lineRule="auto"/>
        <w:rPr>
          <w:rFonts w:ascii="宋体" w:hAnsi="宋体" w:eastAsia="宋体" w:cs="Times New Roman"/>
          <w:color w:val="auto"/>
          <w:kern w:val="0"/>
          <w:sz w:val="24"/>
          <w:szCs w:val="24"/>
          <w:highlight w:val="none"/>
        </w:rPr>
      </w:pPr>
    </w:p>
    <w:p w14:paraId="2606B230">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68" w:name="_Toc195714233"/>
      <w:bookmarkStart w:id="169" w:name="_Toc9548"/>
      <w:bookmarkStart w:id="170" w:name="_Toc142508329"/>
      <w:bookmarkStart w:id="171" w:name="_Toc486167679"/>
      <w:bookmarkStart w:id="172" w:name="_Toc8644"/>
      <w:bookmarkStart w:id="173" w:name="_Toc5356_WPSOffice_Level3"/>
      <w:bookmarkStart w:id="174" w:name="_Toc30555"/>
      <w:r>
        <w:rPr>
          <w:rFonts w:hint="eastAsia" w:ascii="宋体" w:hAnsi="宋体" w:eastAsia="宋体" w:cs="宋体"/>
          <w:color w:val="auto"/>
          <w:szCs w:val="21"/>
          <w:highlight w:val="none"/>
          <w:lang w:val="zh-CN"/>
        </w:rPr>
        <w:t>15</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投标保证金</w:t>
      </w:r>
      <w:bookmarkEnd w:id="168"/>
      <w:bookmarkEnd w:id="169"/>
      <w:bookmarkEnd w:id="170"/>
      <w:bookmarkEnd w:id="171"/>
      <w:bookmarkEnd w:id="172"/>
      <w:bookmarkEnd w:id="173"/>
      <w:bookmarkEnd w:id="174"/>
    </w:p>
    <w:p w14:paraId="3BEC16AD">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rPr>
        <w:t>15</w:t>
      </w:r>
      <w:r>
        <w:rPr>
          <w:rFonts w:hint="eastAsia" w:ascii="宋体" w:hAnsi="宋体" w:eastAsia="宋体" w:cs="宋体"/>
          <w:bCs/>
          <w:color w:val="auto"/>
          <w:kern w:val="0"/>
          <w:szCs w:val="21"/>
          <w:highlight w:val="none"/>
          <w:lang w:val="zh-CN"/>
        </w:rPr>
        <w:t>.1 投标人在投标截止时间前，应按第一篇《招标公告》中规定的形式和金额提交投标保证金。投标保证金到账时间应为投标保证金的关联时间。投标保证金数据超过投标截止时间后到达交易系统的，无法关联。投标人应提前办理投标保证金手续，自行承担数据延误风险。投标人如发现到账异常情况，须在投标截止时间前向东莞市公共资源交易中心（以下简称交易中心）工作人员提出投标保证金到账异常处理申请。投标人必须在招标人接受的方式中任选一种提交投标保证金。对应于各种方式的投标保证金的提交要求如下：</w:t>
      </w:r>
    </w:p>
    <w:p w14:paraId="5860E359">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zh-CN"/>
        </w:rPr>
        <w:t>（1）若采用单项投标保证金，投标人必须按全国公共资源交易平台（广东省·东莞市）办事指南的规定及时向交易中心缴存单项投标保证金，并确保上述款项在投标文件提交截止时间前匹配到本</w:t>
      </w:r>
      <w:r>
        <w:rPr>
          <w:rFonts w:hint="eastAsia" w:ascii="宋体" w:hAnsi="宋体" w:eastAsia="宋体" w:cs="宋体"/>
          <w:bCs/>
          <w:color w:val="auto"/>
          <w:kern w:val="0"/>
          <w:szCs w:val="21"/>
          <w:highlight w:val="none"/>
        </w:rPr>
        <w:t>项目</w:t>
      </w:r>
      <w:r>
        <w:rPr>
          <w:rFonts w:hint="eastAsia" w:ascii="宋体" w:hAnsi="宋体" w:eastAsia="宋体" w:cs="宋体"/>
          <w:bCs/>
          <w:color w:val="auto"/>
          <w:kern w:val="0"/>
          <w:szCs w:val="21"/>
          <w:highlight w:val="none"/>
          <w:lang w:val="zh-CN"/>
        </w:rPr>
        <w:t>，否则，其投标保证金视为无效。</w:t>
      </w:r>
    </w:p>
    <w:p w14:paraId="023FEAC3">
      <w:pPr>
        <w:autoSpaceDE w:val="0"/>
        <w:autoSpaceDN w:val="0"/>
        <w:adjustRightInd w:val="0"/>
        <w:spacing w:line="360" w:lineRule="auto"/>
        <w:ind w:left="225" w:leftChars="107" w:firstLine="489" w:firstLineChars="233"/>
        <w:jc w:val="left"/>
        <w:rPr>
          <w:rFonts w:ascii="宋体" w:hAnsi="宋体" w:eastAsia="宋体" w:cs="Times New Roman"/>
          <w:color w:val="auto"/>
          <w:kern w:val="0"/>
          <w:szCs w:val="21"/>
          <w:highlight w:val="none"/>
          <w:lang w:val="zh-CN"/>
        </w:rPr>
      </w:pPr>
      <w:r>
        <w:rPr>
          <w:rFonts w:hint="eastAsia" w:ascii="宋体" w:hAnsi="宋体" w:eastAsia="宋体" w:cs="Times New Roman"/>
          <w:color w:val="auto"/>
          <w:kern w:val="0"/>
          <w:szCs w:val="21"/>
          <w:highlight w:val="none"/>
          <w:lang w:val="zh-CN"/>
        </w:rPr>
        <w:t>投标截止时间前，已在公共资源交易企业库建档的投标人应将保证金关联至本</w:t>
      </w:r>
      <w:r>
        <w:rPr>
          <w:rFonts w:hint="eastAsia" w:ascii="宋体" w:hAnsi="宋体" w:eastAsia="宋体" w:cs="Times New Roman"/>
          <w:color w:val="auto"/>
          <w:kern w:val="0"/>
          <w:szCs w:val="21"/>
          <w:highlight w:val="none"/>
        </w:rPr>
        <w:t>项目</w:t>
      </w:r>
      <w:r>
        <w:rPr>
          <w:rFonts w:hint="eastAsia" w:ascii="宋体" w:hAnsi="宋体" w:eastAsia="宋体" w:cs="Times New Roman"/>
          <w:color w:val="auto"/>
          <w:kern w:val="0"/>
          <w:szCs w:val="21"/>
          <w:highlight w:val="none"/>
          <w:lang w:val="zh-CN"/>
        </w:rPr>
        <w:t>。具体要求详见全国公共资源交易平台（广东省·东莞市）（网址：https://ygp.gdzwfw.gov.cn/#/441900/index）办事指南中的相关规定。</w:t>
      </w:r>
    </w:p>
    <w:p w14:paraId="48AA2601">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zh-CN"/>
        </w:rPr>
        <w:t>（2）按《关于实行投标保证金企业基本账户备案制度的通知》(东建市〔2014〕18号)要求，缴纳的投标保证金须由投标人基本账户转出。投标人开具银行电子保函或保险电子保单存入的保证金（如有）及相关费用须从基本账户转出。投标保证金或相关费用不由其基本账户转入的，交易中心一律不予认定，无法参与投标的相关责任由投标人自行承担。</w:t>
      </w:r>
    </w:p>
    <w:p w14:paraId="59D5B5B8">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zh-CN"/>
        </w:rPr>
        <w:t>（3）若采用银行电子保函或保险电子保单，投标人参照《东莞市住房和城乡建设局关于我市房屋建筑和市政基础设施工程建设项目投标保证金使用银行电子保函及保险电子保单的通知》(东建市〔2022〕6号)规定办理，保证出具的保函或保单有效。保函或保单在投标人签到时关联。</w:t>
      </w:r>
    </w:p>
    <w:p w14:paraId="53F904FA">
      <w:pPr>
        <w:autoSpaceDE w:val="0"/>
        <w:autoSpaceDN w:val="0"/>
        <w:adjustRightInd w:val="0"/>
        <w:spacing w:line="360" w:lineRule="auto"/>
        <w:ind w:left="225" w:leftChars="107" w:firstLine="489" w:firstLineChars="233"/>
        <w:jc w:val="left"/>
        <w:rPr>
          <w:rFonts w:ascii="宋体" w:hAnsi="宋体" w:eastAsia="宋体" w:cs="Times New Roman"/>
          <w:color w:val="auto"/>
          <w:kern w:val="0"/>
          <w:szCs w:val="21"/>
          <w:highlight w:val="none"/>
          <w:lang w:val="zh-CN"/>
        </w:rPr>
      </w:pPr>
      <w:r>
        <w:rPr>
          <w:rFonts w:hint="eastAsia" w:ascii="宋体" w:hAnsi="宋体" w:eastAsia="宋体" w:cs="Times New Roman"/>
          <w:color w:val="auto"/>
          <w:kern w:val="0"/>
          <w:szCs w:val="21"/>
          <w:highlight w:val="none"/>
          <w:lang w:val="zh-CN"/>
        </w:rPr>
        <w:t>银行电子保函参考样式按照《住房和城乡建设部关于印发工程保函示范文本的通知》（建市〔2021〕11号）执行。保险公司所提供的保证保险条款应当经国家金融监督管理总局批准、备案或注册，并在本公司门户网站主动公开单位信息、投保单（范本）以及保险合同含条款（范本）。</w:t>
      </w:r>
    </w:p>
    <w:p w14:paraId="78DE5C9D">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rPr>
        <w:t>15</w:t>
      </w:r>
      <w:r>
        <w:rPr>
          <w:rFonts w:hint="eastAsia" w:ascii="宋体" w:hAnsi="宋体" w:eastAsia="宋体" w:cs="宋体"/>
          <w:bCs/>
          <w:color w:val="auto"/>
          <w:kern w:val="0"/>
          <w:szCs w:val="21"/>
          <w:highlight w:val="none"/>
          <w:lang w:val="zh-CN"/>
        </w:rPr>
        <w:t>.2 投标人签到时应按本投标人须知第</w:t>
      </w:r>
      <w:r>
        <w:rPr>
          <w:rFonts w:hint="eastAsia" w:ascii="宋体" w:hAnsi="宋体" w:eastAsia="宋体" w:cs="宋体"/>
          <w:bCs/>
          <w:color w:val="auto"/>
          <w:kern w:val="0"/>
          <w:szCs w:val="21"/>
          <w:highlight w:val="none"/>
        </w:rPr>
        <w:t>15</w:t>
      </w:r>
      <w:r>
        <w:rPr>
          <w:rFonts w:hint="eastAsia" w:ascii="宋体" w:hAnsi="宋体" w:eastAsia="宋体" w:cs="宋体"/>
          <w:bCs/>
          <w:color w:val="auto"/>
          <w:kern w:val="0"/>
          <w:szCs w:val="21"/>
          <w:highlight w:val="none"/>
          <w:lang w:val="zh-CN"/>
        </w:rPr>
        <w:t>.1</w:t>
      </w:r>
      <w:r>
        <w:rPr>
          <w:rFonts w:hint="eastAsia" w:ascii="宋体" w:hAnsi="宋体" w:eastAsia="宋体" w:cs="宋体"/>
          <w:bCs/>
          <w:color w:val="auto"/>
          <w:kern w:val="0"/>
          <w:szCs w:val="21"/>
          <w:highlight w:val="none"/>
        </w:rPr>
        <w:t>款</w:t>
      </w:r>
      <w:r>
        <w:rPr>
          <w:rFonts w:hint="eastAsia" w:ascii="宋体" w:hAnsi="宋体" w:eastAsia="宋体" w:cs="宋体"/>
          <w:bCs/>
          <w:color w:val="auto"/>
          <w:kern w:val="0"/>
          <w:szCs w:val="21"/>
          <w:highlight w:val="none"/>
          <w:lang w:val="zh-CN"/>
        </w:rPr>
        <w:t>要求提交投标保证金。投标截止时间前，投标人如果撤销签到，已关联的投标保证金同步取消关联；撤销签到的投标人可以重新签到并关联保证金。投标截止后，已关联的投标保证金不能取消关联。</w:t>
      </w:r>
    </w:p>
    <w:p w14:paraId="2F370C7D">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rPr>
        <w:t>15</w:t>
      </w:r>
      <w:r>
        <w:rPr>
          <w:rFonts w:hint="eastAsia" w:ascii="宋体" w:hAnsi="宋体" w:eastAsia="宋体" w:cs="宋体"/>
          <w:bCs/>
          <w:color w:val="auto"/>
          <w:kern w:val="0"/>
          <w:szCs w:val="21"/>
          <w:highlight w:val="none"/>
          <w:lang w:val="zh-CN"/>
        </w:rPr>
        <w:t>.3 投标保证金退还程序。</w:t>
      </w:r>
    </w:p>
    <w:p w14:paraId="2C90BC35">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zh-CN"/>
        </w:rPr>
        <w:t>（1）对未通过资格</w:t>
      </w:r>
      <w:r>
        <w:rPr>
          <w:rFonts w:hint="eastAsia" w:ascii="宋体" w:hAnsi="宋体" w:eastAsia="宋体" w:cs="宋体"/>
          <w:bCs/>
          <w:color w:val="auto"/>
          <w:kern w:val="0"/>
          <w:szCs w:val="21"/>
          <w:highlight w:val="none"/>
        </w:rPr>
        <w:t>性</w:t>
      </w:r>
      <w:r>
        <w:rPr>
          <w:rFonts w:hint="eastAsia" w:ascii="宋体" w:hAnsi="宋体" w:eastAsia="宋体" w:cs="宋体"/>
          <w:bCs/>
          <w:color w:val="auto"/>
          <w:kern w:val="0"/>
          <w:szCs w:val="21"/>
          <w:highlight w:val="none"/>
          <w:lang w:val="zh-CN"/>
        </w:rPr>
        <w:t>审查或未通过</w:t>
      </w:r>
      <w:r>
        <w:rPr>
          <w:rFonts w:hint="eastAsia" w:ascii="宋体" w:hAnsi="宋体" w:eastAsia="宋体" w:cs="宋体"/>
          <w:bCs/>
          <w:color w:val="auto"/>
          <w:kern w:val="0"/>
          <w:szCs w:val="21"/>
          <w:highlight w:val="none"/>
        </w:rPr>
        <w:t>符合性检查</w:t>
      </w:r>
      <w:r>
        <w:rPr>
          <w:rFonts w:hint="eastAsia" w:ascii="宋体" w:hAnsi="宋体" w:eastAsia="宋体" w:cs="宋体"/>
          <w:bCs/>
          <w:color w:val="auto"/>
          <w:kern w:val="0"/>
          <w:szCs w:val="21"/>
          <w:highlight w:val="none"/>
          <w:lang w:val="zh-CN"/>
        </w:rPr>
        <w:t>的投标人，招标人在</w:t>
      </w:r>
      <w:r>
        <w:rPr>
          <w:rFonts w:hint="eastAsia" w:ascii="宋体" w:hAnsi="宋体" w:eastAsia="宋体" w:cs="宋体"/>
          <w:bCs/>
          <w:color w:val="auto"/>
          <w:kern w:val="0"/>
          <w:szCs w:val="21"/>
          <w:highlight w:val="none"/>
        </w:rPr>
        <w:t>评标会</w:t>
      </w:r>
      <w:r>
        <w:rPr>
          <w:rFonts w:hint="eastAsia" w:ascii="宋体" w:hAnsi="宋体" w:eastAsia="宋体" w:cs="宋体"/>
          <w:bCs/>
          <w:color w:val="auto"/>
          <w:kern w:val="0"/>
          <w:szCs w:val="21"/>
          <w:highlight w:val="none"/>
          <w:lang w:val="zh-CN"/>
        </w:rPr>
        <w:t>结束后第一个工作日向交易中心发送退还指令；</w:t>
      </w:r>
    </w:p>
    <w:p w14:paraId="1CB78DAF">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zh-CN"/>
        </w:rPr>
        <w:t>（2）对除中标候选人外的投标人，招标人在发布评标结果公示后3个工作日内向交易中心发送退还指令；</w:t>
      </w:r>
    </w:p>
    <w:p w14:paraId="07E4D1A3">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zh-CN"/>
        </w:rPr>
        <w:t>（3）招标人与中标人在签订书面合同后3个工作日内向交易中心对中标人及其余中标候选人投标保证金发送退还指令。</w:t>
      </w:r>
    </w:p>
    <w:p w14:paraId="6E3E4919">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zh-CN"/>
        </w:rPr>
        <w:t>（4）若</w:t>
      </w:r>
      <w:r>
        <w:rPr>
          <w:rFonts w:hint="eastAsia" w:ascii="宋体" w:hAnsi="宋体" w:eastAsia="宋体" w:cs="宋体"/>
          <w:bCs/>
          <w:color w:val="auto"/>
          <w:kern w:val="0"/>
          <w:szCs w:val="21"/>
          <w:highlight w:val="none"/>
        </w:rPr>
        <w:t>项目</w:t>
      </w:r>
      <w:r>
        <w:rPr>
          <w:rFonts w:hint="eastAsia" w:ascii="宋体" w:hAnsi="宋体" w:eastAsia="宋体" w:cs="宋体"/>
          <w:bCs/>
          <w:color w:val="auto"/>
          <w:kern w:val="0"/>
          <w:szCs w:val="21"/>
          <w:highlight w:val="none"/>
          <w:lang w:val="zh-CN"/>
        </w:rPr>
        <w:t>受到监督部门调查时，招标人根据实际情况处理投标保证金退回有关工作。招标人将按调查结果处理涉事投标保证金。</w:t>
      </w:r>
    </w:p>
    <w:p w14:paraId="0408E06E">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zh-CN"/>
        </w:rPr>
        <w:t>（5）如因投诉等异常情况不能正常签发中标通知书，招标人可以退回未中标的且不涉及异常情况处理投标人的投标保证金发送退还指令。</w:t>
      </w:r>
    </w:p>
    <w:p w14:paraId="7567C8FF">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rPr>
        <w:t>15</w:t>
      </w:r>
      <w:r>
        <w:rPr>
          <w:rFonts w:hint="eastAsia" w:ascii="宋体" w:hAnsi="宋体" w:eastAsia="宋体" w:cs="宋体"/>
          <w:bCs/>
          <w:color w:val="auto"/>
          <w:kern w:val="0"/>
          <w:szCs w:val="21"/>
          <w:highlight w:val="none"/>
          <w:lang w:val="zh-CN"/>
        </w:rPr>
        <w:t>.4 投标保证金有效期应当与投标有效期一致。招标人如果按本</w:t>
      </w:r>
      <w:r>
        <w:rPr>
          <w:rFonts w:hint="eastAsia" w:ascii="宋体" w:hAnsi="宋体" w:eastAsia="宋体" w:cs="宋体"/>
          <w:bCs/>
          <w:color w:val="auto"/>
          <w:kern w:val="0"/>
          <w:szCs w:val="21"/>
          <w:highlight w:val="none"/>
        </w:rPr>
        <w:t>投标人</w:t>
      </w:r>
      <w:r>
        <w:rPr>
          <w:rFonts w:hint="eastAsia" w:ascii="宋体" w:hAnsi="宋体" w:eastAsia="宋体" w:cs="宋体"/>
          <w:bCs/>
          <w:color w:val="auto"/>
          <w:kern w:val="0"/>
          <w:szCs w:val="21"/>
          <w:highlight w:val="none"/>
          <w:lang w:val="zh-CN"/>
        </w:rPr>
        <w:t>须知第</w:t>
      </w:r>
      <w:r>
        <w:rPr>
          <w:rFonts w:hint="eastAsia" w:ascii="宋体" w:hAnsi="宋体" w:eastAsia="宋体" w:cs="宋体"/>
          <w:bCs/>
          <w:color w:val="auto"/>
          <w:kern w:val="0"/>
          <w:szCs w:val="21"/>
          <w:highlight w:val="none"/>
        </w:rPr>
        <w:t>16.3款</w:t>
      </w:r>
      <w:r>
        <w:rPr>
          <w:rFonts w:hint="eastAsia" w:ascii="宋体" w:hAnsi="宋体" w:eastAsia="宋体" w:cs="宋体"/>
          <w:bCs/>
          <w:color w:val="auto"/>
          <w:kern w:val="0"/>
          <w:szCs w:val="21"/>
          <w:highlight w:val="none"/>
          <w:lang w:val="zh-CN"/>
        </w:rPr>
        <w:t>的规定延长了投标文件有效期，则投标保证金的有效期也相应延长。</w:t>
      </w:r>
    </w:p>
    <w:p w14:paraId="72E347BC">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rPr>
        <w:t>15</w:t>
      </w:r>
      <w:r>
        <w:rPr>
          <w:rFonts w:hint="eastAsia" w:ascii="宋体" w:hAnsi="宋体" w:eastAsia="宋体" w:cs="宋体"/>
          <w:bCs/>
          <w:color w:val="auto"/>
          <w:kern w:val="0"/>
          <w:szCs w:val="21"/>
          <w:highlight w:val="none"/>
          <w:lang w:val="zh-CN"/>
        </w:rPr>
        <w:t xml:space="preserve">.5 若发生下列情况，招标人在书面通知投标人（或中标人）后有权不予退还投标保证金： </w:t>
      </w:r>
    </w:p>
    <w:p w14:paraId="112C39E0">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zh-CN"/>
        </w:rPr>
        <w:t>（1）投标人在规定的投标截止时间后至投标有效期满之前撤销或修改其投标文件；</w:t>
      </w:r>
    </w:p>
    <w:p w14:paraId="49EC0A27">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zh-CN"/>
        </w:rPr>
        <w:t>（2）中标人未能在规定期限内提交履约担保；</w:t>
      </w:r>
    </w:p>
    <w:p w14:paraId="14E6E122">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zh-CN"/>
        </w:rPr>
        <w:t>（3）未根据</w:t>
      </w:r>
      <w:r>
        <w:rPr>
          <w:rFonts w:hint="eastAsia" w:ascii="宋体" w:hAnsi="宋体" w:eastAsia="宋体" w:cs="宋体"/>
          <w:bCs/>
          <w:color w:val="auto"/>
          <w:kern w:val="0"/>
          <w:szCs w:val="21"/>
          <w:highlight w:val="none"/>
        </w:rPr>
        <w:t>本投标人须知</w:t>
      </w:r>
      <w:r>
        <w:rPr>
          <w:rFonts w:hint="eastAsia" w:ascii="宋体" w:hAnsi="宋体" w:eastAsia="宋体" w:cs="宋体"/>
          <w:bCs/>
          <w:color w:val="auto"/>
          <w:kern w:val="0"/>
          <w:szCs w:val="21"/>
          <w:highlight w:val="none"/>
          <w:lang w:val="zh-CN"/>
        </w:rPr>
        <w:t>第34条规定签署合同；</w:t>
      </w:r>
    </w:p>
    <w:p w14:paraId="2ABA45A5">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zh-CN"/>
        </w:rPr>
        <w:t>（4）将中标项目转让给他人，或者在投标文件中未说明，且未经招标人同意，将中标项目的合同的权利义务转让给第三方的；</w:t>
      </w:r>
    </w:p>
    <w:p w14:paraId="508CC845">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zh-CN"/>
        </w:rPr>
        <w:t>（5）提供虚假投标文件或虚假补充文件的，或违反《中华人民共和国招标投标法》等有关法律、法规、规章及招标投标相关规定的行为。</w:t>
      </w:r>
    </w:p>
    <w:p w14:paraId="7248A9D7">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15.6</w:t>
      </w:r>
      <w:r>
        <w:rPr>
          <w:rFonts w:hint="eastAsia" w:ascii="宋体" w:hAnsi="宋体" w:eastAsia="宋体" w:cs="宋体"/>
          <w:bCs/>
          <w:color w:val="auto"/>
          <w:kern w:val="0"/>
          <w:szCs w:val="21"/>
          <w:highlight w:val="none"/>
          <w:lang w:val="en-US" w:eastAsia="zh-CN"/>
        </w:rPr>
        <w:t xml:space="preserve"> </w:t>
      </w:r>
      <w:r>
        <w:rPr>
          <w:rFonts w:hint="eastAsia" w:ascii="宋体" w:hAnsi="宋体" w:eastAsia="宋体" w:cs="宋体"/>
          <w:bCs/>
          <w:color w:val="auto"/>
          <w:kern w:val="0"/>
          <w:szCs w:val="21"/>
          <w:highlight w:val="none"/>
        </w:rPr>
        <w:t>对于提交银行电子保函（保险电子保单）的有关注意事项：</w:t>
      </w:r>
    </w:p>
    <w:p w14:paraId="6A095D75">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rPr>
        <w:t>15.</w:t>
      </w:r>
      <w:r>
        <w:rPr>
          <w:rFonts w:hint="eastAsia" w:ascii="宋体" w:hAnsi="宋体" w:eastAsia="宋体" w:cs="宋体"/>
          <w:bCs/>
          <w:color w:val="auto"/>
          <w:kern w:val="0"/>
          <w:szCs w:val="21"/>
          <w:highlight w:val="none"/>
          <w:lang w:val="zh-CN"/>
        </w:rPr>
        <w:t>6.1投标人所提交的银行电子保函（保险电子保单）经核实出现以下情况的，作自动弃权处理：①担保的有效期或金额不符合要求的；②出现不符合招标文件要求或招标人不能接受的条款。</w:t>
      </w:r>
    </w:p>
    <w:p w14:paraId="7A294E24">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rPr>
        <w:t>15</w:t>
      </w:r>
      <w:r>
        <w:rPr>
          <w:rFonts w:hint="eastAsia" w:ascii="宋体" w:hAnsi="宋体" w:eastAsia="宋体" w:cs="宋体"/>
          <w:bCs/>
          <w:color w:val="auto"/>
          <w:kern w:val="0"/>
          <w:szCs w:val="21"/>
          <w:highlight w:val="none"/>
          <w:lang w:val="zh-CN"/>
        </w:rPr>
        <w:t>.6.2投标人应当选择具备银行电子保函（保险电子保单）相关业务的银行（保险公司）开具投标保函（保单）。具备相关业务的银行（保险公司）应满足能与交易中心端口对接、关联基本账户、退款等条件，以保证电子指令的正常发送与接收。</w:t>
      </w:r>
    </w:p>
    <w:p w14:paraId="2F159FFE">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rPr>
        <w:t>15</w:t>
      </w:r>
      <w:r>
        <w:rPr>
          <w:rFonts w:hint="eastAsia" w:ascii="宋体" w:hAnsi="宋体" w:eastAsia="宋体" w:cs="宋体"/>
          <w:bCs/>
          <w:color w:val="auto"/>
          <w:kern w:val="0"/>
          <w:szCs w:val="21"/>
          <w:highlight w:val="none"/>
          <w:lang w:val="zh-CN"/>
        </w:rPr>
        <w:t>.6.3银行电子保函采用“电子保函+电子指令”模式，保险电子保单采用“电子保单+电子指令”模式，即银行（保险公司）向投标人开具电子保函（保单）的同时向交易中心发送经加密的电子指令，投标人自行登录交易系统进行确认。</w:t>
      </w:r>
    </w:p>
    <w:p w14:paraId="58B3833E">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rPr>
        <w:t>15</w:t>
      </w:r>
      <w:r>
        <w:rPr>
          <w:rFonts w:hint="eastAsia" w:ascii="宋体" w:hAnsi="宋体" w:eastAsia="宋体" w:cs="宋体"/>
          <w:bCs/>
          <w:color w:val="auto"/>
          <w:kern w:val="0"/>
          <w:szCs w:val="21"/>
          <w:highlight w:val="none"/>
          <w:lang w:val="zh-CN"/>
        </w:rPr>
        <w:t>.6.4投标人需预留足够的时间，提前办理好银行电子保函或保险电子保单，自行查询确认电子指令是否已经送到交易中心，并核对相关资料和信息的准确性。若投标人未预留足够的时间办理相关手续，因网络或系统等原因导致电子指令超过投标文件递交截止时间未能到达交易系统导致招标人拒绝其投标的，其后果由投标人自行负责。</w:t>
      </w:r>
    </w:p>
    <w:p w14:paraId="053578B2">
      <w:pPr>
        <w:tabs>
          <w:tab w:val="left" w:pos="567"/>
        </w:tabs>
        <w:autoSpaceDE w:val="0"/>
        <w:autoSpaceDN w:val="0"/>
        <w:adjustRightInd w:val="0"/>
        <w:spacing w:line="360" w:lineRule="auto"/>
        <w:ind w:left="357" w:leftChars="-100" w:hanging="567"/>
        <w:jc w:val="left"/>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rPr>
        <w:t>15.</w:t>
      </w:r>
      <w:r>
        <w:rPr>
          <w:rFonts w:hint="eastAsia" w:ascii="宋体" w:hAnsi="宋体" w:eastAsia="宋体" w:cs="宋体"/>
          <w:bCs/>
          <w:color w:val="auto"/>
          <w:kern w:val="0"/>
          <w:szCs w:val="21"/>
          <w:highlight w:val="none"/>
          <w:lang w:val="zh-CN"/>
        </w:rPr>
        <w:t>7投标保证金缴存银行帐户见全国公共资源交易平台（广东省·东莞市）办事指南。</w:t>
      </w:r>
    </w:p>
    <w:p w14:paraId="518D4C5F">
      <w:pPr>
        <w:tabs>
          <w:tab w:val="left" w:pos="1134"/>
        </w:tabs>
        <w:autoSpaceDE w:val="0"/>
        <w:autoSpaceDN w:val="0"/>
        <w:adjustRightInd w:val="0"/>
        <w:spacing w:line="360" w:lineRule="auto"/>
        <w:ind w:left="840" w:leftChars="150" w:hanging="525" w:hangingChars="250"/>
        <w:jc w:val="left"/>
        <w:rPr>
          <w:rFonts w:ascii="宋体" w:hAnsi="宋体" w:eastAsia="宋体" w:cs="宋体"/>
          <w:color w:val="auto"/>
          <w:kern w:val="0"/>
          <w:szCs w:val="21"/>
          <w:highlight w:val="none"/>
        </w:rPr>
      </w:pPr>
    </w:p>
    <w:p w14:paraId="7E8E4E6A">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75" w:name="_Toc29607"/>
      <w:bookmarkStart w:id="176" w:name="_Toc22649_WPSOffice_Level3"/>
      <w:bookmarkStart w:id="177" w:name="_Toc486167680"/>
      <w:bookmarkStart w:id="178" w:name="_Toc1458"/>
      <w:bookmarkStart w:id="179" w:name="_Toc142508330"/>
      <w:bookmarkStart w:id="180" w:name="_Toc22274"/>
      <w:bookmarkStart w:id="181" w:name="_Toc195714234"/>
      <w:bookmarkStart w:id="182" w:name="_Toc450662865"/>
      <w:r>
        <w:rPr>
          <w:rFonts w:hint="eastAsia" w:ascii="宋体" w:hAnsi="宋体" w:eastAsia="宋体" w:cs="宋体"/>
          <w:color w:val="auto"/>
          <w:szCs w:val="21"/>
          <w:highlight w:val="none"/>
          <w:lang w:val="zh-CN"/>
        </w:rPr>
        <w:t>16</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投标有效期</w:t>
      </w:r>
      <w:bookmarkEnd w:id="175"/>
      <w:bookmarkEnd w:id="176"/>
      <w:bookmarkEnd w:id="177"/>
      <w:bookmarkEnd w:id="178"/>
      <w:bookmarkEnd w:id="179"/>
      <w:bookmarkEnd w:id="180"/>
      <w:bookmarkEnd w:id="181"/>
      <w:bookmarkEnd w:id="182"/>
    </w:p>
    <w:p w14:paraId="4EFD2482">
      <w:pPr>
        <w:tabs>
          <w:tab w:val="left" w:pos="567"/>
        </w:tabs>
        <w:autoSpaceDE w:val="0"/>
        <w:autoSpaceDN w:val="0"/>
        <w:adjustRightInd w:val="0"/>
        <w:spacing w:line="360" w:lineRule="auto"/>
        <w:ind w:left="357" w:leftChars="-100" w:hanging="567"/>
        <w:rPr>
          <w:rFonts w:ascii="宋体" w:hAnsi="宋体" w:eastAsia="宋体" w:cs="宋体"/>
          <w:b/>
          <w:bCs/>
          <w:color w:val="auto"/>
          <w:szCs w:val="21"/>
          <w:highlight w:val="none"/>
          <w:lang w:val="zh-CN"/>
        </w:rPr>
      </w:pPr>
      <w:r>
        <w:rPr>
          <w:rFonts w:hint="eastAsia" w:ascii="宋体" w:hAnsi="宋体" w:eastAsia="宋体" w:cs="宋体"/>
          <w:color w:val="auto"/>
          <w:szCs w:val="21"/>
          <w:highlight w:val="none"/>
          <w:lang w:val="zh-CN"/>
        </w:rPr>
        <w:t>16.1</w:t>
      </w:r>
      <w:r>
        <w:rPr>
          <w:rFonts w:hint="eastAsia" w:ascii="宋体" w:hAnsi="宋体" w:eastAsia="宋体" w:cs="宋体"/>
          <w:color w:val="auto"/>
          <w:szCs w:val="21"/>
          <w:highlight w:val="none"/>
          <w:lang w:val="zh-CN"/>
        </w:rPr>
        <w:tab/>
      </w:r>
      <w:r>
        <w:rPr>
          <w:rFonts w:hint="eastAsia" w:ascii="宋体" w:hAnsi="宋体" w:eastAsia="宋体" w:cs="宋体"/>
          <w:b/>
          <w:bCs/>
          <w:color w:val="auto"/>
          <w:szCs w:val="21"/>
          <w:highlight w:val="none"/>
          <w:u w:val="single"/>
          <w:lang w:val="zh-CN"/>
        </w:rPr>
        <w:t>投标文件将在递交投标文件截止时间届满后90日内有效。投标有效期比规定时间短的按无效投标文件处理</w:t>
      </w:r>
      <w:r>
        <w:rPr>
          <w:rFonts w:hint="eastAsia" w:ascii="宋体" w:hAnsi="宋体" w:eastAsia="宋体" w:cs="宋体"/>
          <w:b/>
          <w:bCs/>
          <w:color w:val="auto"/>
          <w:szCs w:val="21"/>
          <w:highlight w:val="none"/>
          <w:lang w:val="zh-CN"/>
        </w:rPr>
        <w:t>。</w:t>
      </w:r>
    </w:p>
    <w:p w14:paraId="1FC01C84">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16.2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中标人的投标文件作为合同附件，合同失效时同时失效。</w:t>
      </w:r>
    </w:p>
    <w:p w14:paraId="4397FB5A">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16.3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在特殊情况下，招标代理机构可于投标有效期满之前要求投标人同意延长投标有效期。要求与答复均应为书面形式往来。投标人可以拒绝上述要求</w:t>
      </w:r>
      <w:r>
        <w:rPr>
          <w:rFonts w:hint="eastAsia" w:ascii="宋体" w:hAnsi="宋体" w:eastAsia="宋体" w:cs="Times New Roman"/>
          <w:color w:val="auto"/>
          <w:szCs w:val="21"/>
          <w:highlight w:val="none"/>
          <w:lang w:val="zh-CN"/>
        </w:rPr>
        <w:t>，招标</w:t>
      </w:r>
      <w:r>
        <w:rPr>
          <w:rFonts w:hint="eastAsia" w:ascii="宋体" w:hAnsi="宋体" w:eastAsia="宋体" w:cs="Times New Roman"/>
          <w:color w:val="auto"/>
          <w:szCs w:val="21"/>
          <w:highlight w:val="none"/>
        </w:rPr>
        <w:t>人</w:t>
      </w:r>
      <w:r>
        <w:rPr>
          <w:rFonts w:hint="eastAsia" w:ascii="宋体" w:hAnsi="宋体" w:eastAsia="宋体" w:cs="Times New Roman"/>
          <w:color w:val="auto"/>
          <w:szCs w:val="21"/>
          <w:highlight w:val="none"/>
          <w:lang w:val="zh-CN"/>
        </w:rPr>
        <w:t>将退还</w:t>
      </w:r>
      <w:r>
        <w:rPr>
          <w:rFonts w:hint="eastAsia" w:ascii="宋体" w:hAnsi="宋体" w:eastAsia="宋体" w:cs="宋体"/>
          <w:color w:val="auto"/>
          <w:szCs w:val="21"/>
          <w:highlight w:val="none"/>
          <w:lang w:val="zh-CN"/>
        </w:rPr>
        <w:t>其投标保证金。对于同意该要求的投标人，既不要求也不允许其修改投标文件，但将要求其相应延长投标保证金的有效期。第15条投标保证金的有关规定在投标保证金延长期内仍适用。</w:t>
      </w:r>
    </w:p>
    <w:p w14:paraId="20A2F905">
      <w:pPr>
        <w:autoSpaceDE w:val="0"/>
        <w:autoSpaceDN w:val="0"/>
        <w:adjustRightInd w:val="0"/>
        <w:spacing w:line="360" w:lineRule="auto"/>
        <w:ind w:left="357" w:leftChars="-100" w:hanging="567"/>
        <w:rPr>
          <w:rFonts w:ascii="宋体" w:hAnsi="宋体" w:eastAsia="宋体" w:cs="宋体"/>
          <w:color w:val="auto"/>
          <w:szCs w:val="21"/>
          <w:highlight w:val="none"/>
          <w:lang w:val="zh-CN"/>
        </w:rPr>
      </w:pPr>
    </w:p>
    <w:p w14:paraId="74A2C9B7">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183" w:name="_Toc195714235"/>
      <w:bookmarkStart w:id="184" w:name="_Toc450662866"/>
      <w:bookmarkStart w:id="185" w:name="_Toc25637_WPSOffice_Level3"/>
      <w:bookmarkStart w:id="186" w:name="_Toc142508331"/>
      <w:bookmarkStart w:id="187" w:name="_Toc11099"/>
      <w:bookmarkStart w:id="188" w:name="_Toc20422"/>
      <w:bookmarkStart w:id="189" w:name="_Toc486167681"/>
      <w:bookmarkStart w:id="190" w:name="_Toc932"/>
      <w:r>
        <w:rPr>
          <w:rFonts w:hint="eastAsia" w:ascii="宋体" w:hAnsi="宋体" w:eastAsia="宋体" w:cs="宋体"/>
          <w:color w:val="auto"/>
          <w:szCs w:val="21"/>
          <w:highlight w:val="none"/>
          <w:lang w:val="zh-CN"/>
        </w:rPr>
        <w:t>17</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投标文件的编制和签署</w:t>
      </w:r>
      <w:bookmarkEnd w:id="183"/>
      <w:bookmarkEnd w:id="184"/>
      <w:bookmarkEnd w:id="185"/>
      <w:bookmarkEnd w:id="186"/>
      <w:bookmarkEnd w:id="187"/>
      <w:bookmarkEnd w:id="188"/>
      <w:bookmarkEnd w:id="189"/>
      <w:bookmarkEnd w:id="190"/>
    </w:p>
    <w:p w14:paraId="758F8DE0">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投标文件采用电子标书形式编制。投标人使用网络上传投标文件。</w:t>
      </w:r>
    </w:p>
    <w:p w14:paraId="709A0303">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投标人应使用全国公共资源交易平台（广东省·东莞市发布的投标文件电子标书制作软件（以下简称“电子标书制作软件”）进行投标文件的合成、电子</w:t>
      </w:r>
      <w:r>
        <w:rPr>
          <w:rFonts w:ascii="宋体" w:hAnsi="宋体" w:eastAsia="宋体" w:cs="宋体"/>
          <w:color w:val="auto"/>
          <w:szCs w:val="21"/>
          <w:highlight w:val="none"/>
        </w:rPr>
        <w:t>签名</w:t>
      </w:r>
      <w:r>
        <w:rPr>
          <w:rFonts w:hint="eastAsia" w:ascii="宋体" w:hAnsi="宋体" w:eastAsia="宋体" w:cs="宋体"/>
          <w:color w:val="auto"/>
          <w:szCs w:val="21"/>
          <w:highlight w:val="none"/>
          <w:lang w:val="zh-CN"/>
        </w:rPr>
        <w:t>工作。</w:t>
      </w:r>
    </w:p>
    <w:p w14:paraId="2C0A64A8">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投标人应使用依法设立的电子认证服务提供者签发的电子签名认证证书对电子投标文件进行电子签名。该电子</w:t>
      </w:r>
      <w:r>
        <w:rPr>
          <w:rFonts w:ascii="宋体" w:hAnsi="宋体" w:eastAsia="宋体" w:cs="宋体"/>
          <w:color w:val="auto"/>
          <w:szCs w:val="21"/>
          <w:highlight w:val="none"/>
        </w:rPr>
        <w:t>签名</w:t>
      </w:r>
      <w:r>
        <w:rPr>
          <w:rFonts w:hint="eastAsia" w:ascii="宋体" w:hAnsi="宋体" w:eastAsia="宋体" w:cs="宋体"/>
          <w:color w:val="auto"/>
          <w:szCs w:val="21"/>
          <w:highlight w:val="none"/>
          <w:lang w:val="zh-CN"/>
        </w:rPr>
        <w:t>与手写签名或者盖章具有同等的法律效力。</w:t>
      </w:r>
    </w:p>
    <w:p w14:paraId="47A08FD8">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zh-CN"/>
        </w:rPr>
        <w:t>.4</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投标人使用电子标书制作软件编制电子投标文件时必须按招标文件相关条款及投标文件格式中的要求进行编制。</w:t>
      </w:r>
    </w:p>
    <w:p w14:paraId="38B68193">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zh-CN"/>
        </w:rPr>
        <w:t>.5</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投标文件应按上述编制的要求编制电子标书。如投标文件未按上述编制要求编制的，所引起交易系统无法检索、读取相关信息时，其结果将由投标人自行承担。</w:t>
      </w:r>
    </w:p>
    <w:p w14:paraId="18E258D7">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zh-CN"/>
        </w:rPr>
        <w:t>.6</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投标文件必须按下列要求编制、使用数字证书电子</w:t>
      </w:r>
      <w:r>
        <w:rPr>
          <w:rFonts w:ascii="宋体" w:hAnsi="宋体" w:eastAsia="宋体" w:cs="宋体"/>
          <w:color w:val="auto"/>
          <w:szCs w:val="21"/>
          <w:highlight w:val="none"/>
        </w:rPr>
        <w:t>签名</w:t>
      </w:r>
      <w:r>
        <w:rPr>
          <w:rFonts w:hint="eastAsia" w:ascii="宋体" w:hAnsi="宋体" w:eastAsia="宋体" w:cs="宋体"/>
          <w:color w:val="auto"/>
          <w:szCs w:val="21"/>
          <w:highlight w:val="none"/>
        </w:rPr>
        <w:t>：</w:t>
      </w:r>
    </w:p>
    <w:p w14:paraId="54A9282D">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zh-CN"/>
        </w:rPr>
        <w:t>.6.1按本投标人须知第</w:t>
      </w:r>
      <w:r>
        <w:rPr>
          <w:rFonts w:hint="eastAsia" w:ascii="宋体" w:hAnsi="宋体" w:eastAsia="宋体" w:cs="宋体"/>
          <w:color w:val="auto"/>
          <w:szCs w:val="21"/>
          <w:highlight w:val="none"/>
        </w:rPr>
        <w:t>8</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0</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3、14</w:t>
      </w:r>
      <w:r>
        <w:rPr>
          <w:rFonts w:hint="eastAsia" w:ascii="宋体" w:hAnsi="宋体" w:eastAsia="宋体" w:cs="宋体"/>
          <w:color w:val="auto"/>
          <w:szCs w:val="21"/>
          <w:highlight w:val="none"/>
          <w:lang w:val="zh-CN"/>
        </w:rPr>
        <w:t>条的规定编制，按本投标人须知第1</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zh-CN"/>
        </w:rPr>
        <w:t>条的规定填报投标报价，“投标文件的组成”中列明的内容在投标文件中不能有漏缺。</w:t>
      </w:r>
    </w:p>
    <w:p w14:paraId="5A420C97">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zh-CN"/>
        </w:rPr>
        <w:t>.6.2投标文件商务标、技术标编制要求：</w:t>
      </w:r>
    </w:p>
    <w:p w14:paraId="6E650FAF">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（1）投标文件必须按招标文件中规定的投标文件格式编制，并转换成PDF格式合成到电子投标文件中；</w:t>
      </w:r>
    </w:p>
    <w:p w14:paraId="764EC84D">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（2）投标文件商务标、技术标必须按招标文件的规定填写； </w:t>
      </w:r>
    </w:p>
    <w:p w14:paraId="616FA6BA">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val="zh-CN"/>
        </w:rPr>
        <w:t>）投标文件商务标、技术标应按其格式要求由投标人的法定代表人或其授权代表电子签名、企业数字证书电子签名；</w:t>
      </w:r>
    </w:p>
    <w:p w14:paraId="02243CD7">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val="zh-CN"/>
        </w:rPr>
        <w:t>）严格按照第六篇投标文件格式内的要求完整、真实的填写《合同条款偏离表》《用户需求偏离表》；</w:t>
      </w:r>
    </w:p>
    <w:p w14:paraId="34B46945">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val="zh-CN"/>
        </w:rPr>
        <w:t>）投标人要特别加以注意，必须严格按照第六篇商务标格式的要求完整、真实的填写《资格业绩》及提供对应证明资料；</w:t>
      </w:r>
    </w:p>
    <w:p w14:paraId="7A4F5057">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val="zh-CN"/>
        </w:rPr>
        <w:t>）投标文件技术标部分必须按招标文件第六篇“技术标格式”编制。</w:t>
      </w:r>
    </w:p>
    <w:p w14:paraId="675260CC">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zh-CN"/>
        </w:rPr>
        <w:t>.6.3投标文件报价信封编制要求：</w:t>
      </w:r>
    </w:p>
    <w:p w14:paraId="261CC98A">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（1）投标人应使用电子标书制作软件编制并生成报价信封，内容根据招标文件设置的报价信封内容按实填报。</w:t>
      </w:r>
    </w:p>
    <w:p w14:paraId="03C79543">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（2）大写金额数字用“零、壹、贰、叁、肆、伍、陆、柒、捌、玖、拾、佰、仟、万、亿”填写。投标值大写与小写不一致时，以大写数额为准，修正小写数额。</w:t>
      </w:r>
    </w:p>
    <w:p w14:paraId="6113FFED">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（3）投标文件价格部分应按其格式要求使用依法设立的电子认证服务提供者签发的电子签名认证证书对电子投标文件进行电子签名。该电子签名与手写签名或者盖章具有同等的法律效力。</w:t>
      </w:r>
    </w:p>
    <w:p w14:paraId="06B667BB">
      <w:pPr>
        <w:autoSpaceDE w:val="0"/>
        <w:autoSpaceDN w:val="0"/>
        <w:adjustRightInd w:val="0"/>
        <w:jc w:val="left"/>
        <w:rPr>
          <w:rFonts w:ascii="宋体" w:hAnsi="宋体" w:eastAsia="宋体" w:cs="宋体"/>
          <w:color w:val="auto"/>
          <w:kern w:val="0"/>
          <w:sz w:val="24"/>
          <w:szCs w:val="24"/>
          <w:highlight w:val="none"/>
        </w:rPr>
      </w:pPr>
      <w:bookmarkStart w:id="191" w:name="_Toc450662867"/>
    </w:p>
    <w:p w14:paraId="64FF5F2F">
      <w:pPr>
        <w:keepNext/>
        <w:keepLines/>
        <w:tabs>
          <w:tab w:val="left" w:pos="509"/>
        </w:tabs>
        <w:autoSpaceDE w:val="0"/>
        <w:autoSpaceDN w:val="0"/>
        <w:adjustRightInd w:val="0"/>
        <w:spacing w:line="360" w:lineRule="auto"/>
        <w:jc w:val="left"/>
        <w:outlineLvl w:val="0"/>
        <w:rPr>
          <w:rFonts w:ascii="宋体" w:hAnsi="宋体" w:eastAsia="宋体" w:cs="宋体"/>
          <w:color w:val="auto"/>
          <w:kern w:val="0"/>
          <w:sz w:val="24"/>
          <w:szCs w:val="24"/>
          <w:highlight w:val="none"/>
        </w:rPr>
      </w:pPr>
      <w:bookmarkStart w:id="192" w:name="_Toc195714236"/>
      <w:bookmarkStart w:id="193" w:name="_Toc140596891"/>
      <w:bookmarkStart w:id="194" w:name="_Toc17199"/>
      <w:bookmarkStart w:id="195" w:name="_Toc486167682"/>
      <w:bookmarkStart w:id="196" w:name="_Toc26605"/>
      <w:bookmarkStart w:id="197" w:name="_Toc22356_WPSOffice_Level2"/>
      <w:bookmarkStart w:id="198" w:name="_Toc142508332"/>
      <w:bookmarkStart w:id="199" w:name="_Toc974"/>
      <w:r>
        <w:rPr>
          <w:rFonts w:hint="eastAsia" w:ascii="宋体" w:hAnsi="宋体" w:eastAsia="宋体" w:cs="宋体"/>
          <w:b/>
          <w:bCs/>
          <w:color w:val="auto"/>
          <w:kern w:val="44"/>
          <w:szCs w:val="21"/>
          <w:highlight w:val="none"/>
          <w:lang w:val="zh-CN"/>
        </w:rPr>
        <w:t>四、投标</w:t>
      </w:r>
      <w:bookmarkEnd w:id="191"/>
      <w:bookmarkEnd w:id="192"/>
      <w:bookmarkEnd w:id="193"/>
      <w:bookmarkEnd w:id="194"/>
      <w:bookmarkEnd w:id="195"/>
      <w:bookmarkEnd w:id="196"/>
      <w:bookmarkEnd w:id="197"/>
      <w:bookmarkEnd w:id="198"/>
      <w:bookmarkEnd w:id="199"/>
    </w:p>
    <w:p w14:paraId="1DFCD6D0">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00" w:name="_Toc142508333"/>
      <w:bookmarkStart w:id="201" w:name="_Toc1072"/>
      <w:bookmarkStart w:id="202" w:name="_Toc195714237"/>
      <w:bookmarkStart w:id="203" w:name="_Toc29885"/>
      <w:bookmarkStart w:id="204" w:name="_Toc450662868"/>
      <w:bookmarkStart w:id="205" w:name="_Toc486167683"/>
      <w:bookmarkStart w:id="206" w:name="_Toc31551"/>
      <w:bookmarkStart w:id="207" w:name="_Toc12192_WPSOffice_Level3"/>
      <w:r>
        <w:rPr>
          <w:rFonts w:hint="eastAsia" w:ascii="宋体" w:hAnsi="宋体" w:eastAsia="宋体" w:cs="宋体"/>
          <w:color w:val="auto"/>
          <w:szCs w:val="21"/>
          <w:highlight w:val="none"/>
          <w:lang w:val="zh-CN"/>
        </w:rPr>
        <w:t>18</w:t>
      </w:r>
      <w:r>
        <w:rPr>
          <w:rFonts w:ascii="宋体" w:hAnsi="宋体" w:eastAsia="宋体" w:cs="宋体"/>
          <w:color w:val="auto"/>
          <w:szCs w:val="21"/>
          <w:highlight w:val="none"/>
          <w:lang w:val="zh-CN"/>
        </w:rPr>
        <w:t xml:space="preserve"> </w:t>
      </w:r>
      <w:bookmarkEnd w:id="200"/>
      <w:bookmarkEnd w:id="201"/>
      <w:bookmarkEnd w:id="202"/>
      <w:bookmarkEnd w:id="203"/>
      <w:bookmarkEnd w:id="204"/>
      <w:bookmarkEnd w:id="205"/>
      <w:bookmarkEnd w:id="206"/>
      <w:bookmarkEnd w:id="207"/>
      <w:r>
        <w:rPr>
          <w:rFonts w:hint="eastAsia" w:ascii="宋体" w:hAnsi="宋体" w:eastAsia="宋体" w:cs="宋体"/>
          <w:color w:val="auto"/>
          <w:szCs w:val="21"/>
          <w:highlight w:val="none"/>
          <w:lang w:val="zh-CN"/>
        </w:rPr>
        <w:t>投标文件的加密</w:t>
      </w:r>
    </w:p>
    <w:p w14:paraId="7F132087">
      <w:pPr>
        <w:keepNext w:val="0"/>
        <w:keepLines w:val="0"/>
        <w:pageBreakBefore w:val="0"/>
        <w:widowControl w:val="0"/>
        <w:tabs>
          <w:tab w:val="left" w:pos="567"/>
        </w:tabs>
        <w:kinsoku/>
        <w:wordWrap/>
        <w:overflowPunct/>
        <w:topLinePunct w:val="0"/>
        <w:autoSpaceDE/>
        <w:autoSpaceDN/>
        <w:bidi w:val="0"/>
        <w:adjustRightInd w:val="0"/>
        <w:snapToGrid/>
        <w:spacing w:line="360" w:lineRule="auto"/>
        <w:ind w:left="126" w:leftChars="60" w:firstLine="0" w:firstLineChars="0"/>
        <w:textAlignment w:val="auto"/>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投标人应使用依法设立的电子认证服务提供者签发的电子签章认证证书对电子投标文件进行电子签章并加密。</w:t>
      </w:r>
    </w:p>
    <w:p w14:paraId="1D993481">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rPr>
      </w:pPr>
    </w:p>
    <w:p w14:paraId="00409C90">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08" w:name="_Toc1869"/>
      <w:bookmarkStart w:id="209" w:name="_Toc195714238"/>
      <w:r>
        <w:rPr>
          <w:rFonts w:hint="eastAsia" w:ascii="宋体" w:hAnsi="宋体" w:eastAsia="宋体" w:cs="宋体"/>
          <w:color w:val="auto"/>
          <w:szCs w:val="21"/>
          <w:highlight w:val="none"/>
        </w:rPr>
        <w:t xml:space="preserve">19 </w:t>
      </w:r>
      <w:r>
        <w:rPr>
          <w:rFonts w:hint="eastAsia" w:ascii="宋体" w:hAnsi="宋体" w:eastAsia="宋体" w:cs="宋体"/>
          <w:color w:val="auto"/>
          <w:szCs w:val="21"/>
          <w:highlight w:val="none"/>
          <w:lang w:val="zh-CN"/>
        </w:rPr>
        <w:t>投标文件的提交</w:t>
      </w:r>
      <w:bookmarkEnd w:id="208"/>
      <w:bookmarkEnd w:id="209"/>
    </w:p>
    <w:p w14:paraId="2DBBCC39">
      <w:pPr>
        <w:keepNext w:val="0"/>
        <w:keepLines w:val="0"/>
        <w:widowControl w:val="0"/>
        <w:suppressLineNumbers w:val="0"/>
        <w:tabs>
          <w:tab w:val="left" w:pos="567"/>
        </w:tabs>
        <w:autoSpaceDE w:val="0"/>
        <w:autoSpaceDN w:val="0"/>
        <w:adjustRightInd w:val="0"/>
        <w:spacing w:before="0" w:beforeAutospacing="0" w:after="0" w:afterAutospacing="0" w:line="360" w:lineRule="auto"/>
        <w:ind w:left="357" w:leftChars="-100" w:right="15" w:rightChars="7" w:hanging="567"/>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19.1 投标人应在本招标公告规定的投标截止时间前通过交易系统在线上传投标文件。上述方式外提交的投标文件，招标人将不予受理。</w:t>
      </w:r>
    </w:p>
    <w:p w14:paraId="39E41AD5">
      <w:pPr>
        <w:keepNext w:val="0"/>
        <w:keepLines w:val="0"/>
        <w:widowControl w:val="0"/>
        <w:suppressLineNumbers w:val="0"/>
        <w:tabs>
          <w:tab w:val="left" w:pos="567"/>
        </w:tabs>
        <w:autoSpaceDE w:val="0"/>
        <w:autoSpaceDN w:val="0"/>
        <w:adjustRightInd w:val="0"/>
        <w:spacing w:before="0" w:beforeAutospacing="0" w:after="0" w:afterAutospacing="0" w:line="360" w:lineRule="auto"/>
        <w:ind w:left="357" w:leftChars="-100" w:right="15" w:rightChars="7" w:hanging="567"/>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19.2 投标人在通过交易系统在线上传投标文件时，需设置投标文件查询密码（用于查询投标文件递交情况、撤销投标文件及签到时匹配对应的招标文件）。上传成功后，投标人应打印“电子标书网站上传回执”作为成功上传的凭证。</w:t>
      </w:r>
    </w:p>
    <w:p w14:paraId="094DCEFD">
      <w:pPr>
        <w:keepNext w:val="0"/>
        <w:keepLines w:val="0"/>
        <w:widowControl w:val="0"/>
        <w:suppressLineNumbers w:val="0"/>
        <w:tabs>
          <w:tab w:val="left" w:pos="567"/>
        </w:tabs>
        <w:autoSpaceDE w:val="0"/>
        <w:autoSpaceDN w:val="0"/>
        <w:adjustRightInd w:val="0"/>
        <w:spacing w:before="0" w:beforeAutospacing="0" w:after="0" w:afterAutospacing="0" w:line="360" w:lineRule="auto"/>
        <w:ind w:left="357" w:leftChars="-100" w:right="15" w:rightChars="7" w:hanging="567"/>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19.3 投标文件成功上传后，交易系统将生成投标文件识别码。本识别码是投标人提交投标文件的唯一凭证，投标人须妥善保管。识别码丢失后，投标人将无法找回投标文件，需重新上传提交。</w:t>
      </w:r>
    </w:p>
    <w:p w14:paraId="509ED799">
      <w:pPr>
        <w:keepNext w:val="0"/>
        <w:keepLines w:val="0"/>
        <w:widowControl w:val="0"/>
        <w:suppressLineNumbers w:val="0"/>
        <w:tabs>
          <w:tab w:val="left" w:pos="567"/>
        </w:tabs>
        <w:autoSpaceDE w:val="0"/>
        <w:autoSpaceDN w:val="0"/>
        <w:adjustRightInd w:val="0"/>
        <w:spacing w:before="0" w:beforeAutospacing="0" w:after="0" w:afterAutospacing="0" w:line="360" w:lineRule="auto"/>
        <w:ind w:left="357" w:leftChars="-100" w:right="15" w:rightChars="7" w:hanging="567"/>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19.4 投标会议时间及地点：见招标公告。</w:t>
      </w:r>
    </w:p>
    <w:p w14:paraId="6CD7EC88">
      <w:pPr>
        <w:keepNext w:val="0"/>
        <w:keepLines w:val="0"/>
        <w:widowControl w:val="0"/>
        <w:suppressLineNumbers w:val="0"/>
        <w:tabs>
          <w:tab w:val="left" w:pos="567"/>
        </w:tabs>
        <w:autoSpaceDE w:val="0"/>
        <w:autoSpaceDN w:val="0"/>
        <w:adjustRightInd w:val="0"/>
        <w:spacing w:before="0" w:beforeAutospacing="0" w:after="0" w:afterAutospacing="0" w:line="360" w:lineRule="auto"/>
        <w:ind w:left="357" w:leftChars="-100" w:right="15" w:rightChars="7" w:hanging="567"/>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19.5 逾期送达的或者未按指定方式提交的投标文件，招标人不予受理。</w:t>
      </w:r>
    </w:p>
    <w:p w14:paraId="187E7FCF">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rPr>
      </w:pPr>
    </w:p>
    <w:p w14:paraId="2E19C5E7">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10" w:name="_Toc195714239"/>
      <w:bookmarkStart w:id="211" w:name="_Toc19676"/>
      <w:r>
        <w:rPr>
          <w:rFonts w:hint="eastAsia" w:ascii="宋体" w:hAnsi="宋体" w:eastAsia="宋体" w:cs="宋体"/>
          <w:color w:val="auto"/>
          <w:szCs w:val="21"/>
          <w:highlight w:val="none"/>
        </w:rPr>
        <w:t xml:space="preserve">20 </w:t>
      </w:r>
      <w:r>
        <w:rPr>
          <w:rFonts w:hint="eastAsia" w:ascii="宋体" w:hAnsi="宋体" w:eastAsia="宋体" w:cs="宋体"/>
          <w:color w:val="auto"/>
          <w:szCs w:val="21"/>
          <w:highlight w:val="none"/>
          <w:lang w:val="zh-CN"/>
        </w:rPr>
        <w:t>投标会时间、地点及投标文件提交的截止时间</w:t>
      </w:r>
      <w:bookmarkEnd w:id="210"/>
      <w:bookmarkEnd w:id="211"/>
    </w:p>
    <w:p w14:paraId="74DBBF8C">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rPr>
        <w:t>20</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投标人应按招标公告的时间、地点，或根据本投标人须知第</w:t>
      </w:r>
      <w:r>
        <w:rPr>
          <w:rFonts w:hint="eastAsia" w:ascii="宋体" w:hAnsi="宋体" w:eastAsia="宋体" w:cs="宋体"/>
          <w:color w:val="auto"/>
          <w:szCs w:val="21"/>
          <w:highlight w:val="none"/>
        </w:rPr>
        <w:t>7.2</w:t>
      </w:r>
      <w:r>
        <w:rPr>
          <w:rFonts w:hint="eastAsia" w:ascii="宋体" w:hAnsi="宋体" w:eastAsia="宋体" w:cs="宋体"/>
          <w:color w:val="auto"/>
          <w:szCs w:val="21"/>
          <w:highlight w:val="none"/>
          <w:lang w:val="zh-CN"/>
        </w:rPr>
        <w:t xml:space="preserve">款规定所延长的日期和时间之前通过交易系统在线上传投标文件。 </w:t>
      </w:r>
    </w:p>
    <w:p w14:paraId="6F4E91B5">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rPr>
        <w:t>20</w:t>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招标人有权按本投标人须知第</w:t>
      </w: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zh-CN"/>
        </w:rPr>
        <w:t>条的规定发出补充通知书，延长投标文件递交的截止时间。这时，原截止时间前，招标人与投标人的权利和义务相应延长至新的投标截止时间。</w:t>
      </w:r>
    </w:p>
    <w:p w14:paraId="49EF5FE5">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p>
    <w:p w14:paraId="63CE977F">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12" w:name="_Toc15468"/>
      <w:bookmarkStart w:id="213" w:name="_Toc195714240"/>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 xml:space="preserve">1 </w:t>
      </w:r>
      <w:r>
        <w:rPr>
          <w:rFonts w:hint="eastAsia" w:ascii="宋体" w:hAnsi="宋体" w:eastAsia="宋体" w:cs="宋体"/>
          <w:color w:val="auto"/>
          <w:szCs w:val="21"/>
          <w:highlight w:val="none"/>
          <w:lang w:val="zh-CN"/>
        </w:rPr>
        <w:t>投标文件的拒绝</w:t>
      </w:r>
      <w:bookmarkEnd w:id="212"/>
      <w:bookmarkEnd w:id="213"/>
    </w:p>
    <w:p w14:paraId="25EC0909">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投标会上，出现下列情形之一的投标文件，将被招标人拒绝：</w:t>
      </w:r>
    </w:p>
    <w:p w14:paraId="489D8871">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zh-CN"/>
        </w:rPr>
        <w:t>.1.1招标人在本投标人须知第</w:t>
      </w:r>
      <w:r>
        <w:rPr>
          <w:rFonts w:hint="eastAsia" w:ascii="宋体" w:hAnsi="宋体" w:eastAsia="宋体" w:cs="宋体"/>
          <w:color w:val="auto"/>
          <w:szCs w:val="21"/>
          <w:highlight w:val="none"/>
        </w:rPr>
        <w:t>19</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19</w:t>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19</w:t>
      </w:r>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rPr>
        <w:t>19</w:t>
      </w:r>
      <w:r>
        <w:rPr>
          <w:rFonts w:hint="eastAsia" w:ascii="宋体" w:hAnsi="宋体" w:eastAsia="宋体" w:cs="宋体"/>
          <w:color w:val="auto"/>
          <w:szCs w:val="21"/>
          <w:highlight w:val="none"/>
          <w:lang w:val="zh-CN"/>
        </w:rPr>
        <w:t>.4款规定的投标截止时间以后或指定方式以外收到的投标文件。</w:t>
      </w:r>
    </w:p>
    <w:p w14:paraId="02C58912">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zh-CN"/>
        </w:rPr>
        <w:t>.1.2投标人未按本投标人须知第</w:t>
      </w:r>
      <w:r>
        <w:rPr>
          <w:rFonts w:hint="eastAsia" w:ascii="宋体" w:hAnsi="宋体" w:eastAsia="宋体" w:cs="宋体"/>
          <w:color w:val="auto"/>
          <w:szCs w:val="21"/>
          <w:highlight w:val="none"/>
        </w:rPr>
        <w:t>19</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19</w:t>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19</w:t>
      </w:r>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rPr>
        <w:t>19</w:t>
      </w:r>
      <w:r>
        <w:rPr>
          <w:rFonts w:hint="eastAsia" w:ascii="宋体" w:hAnsi="宋体" w:eastAsia="宋体" w:cs="宋体"/>
          <w:color w:val="auto"/>
          <w:szCs w:val="21"/>
          <w:highlight w:val="none"/>
          <w:lang w:val="zh-CN"/>
        </w:rPr>
        <w:t>.4款规定提交的投标文件。</w:t>
      </w:r>
    </w:p>
    <w:p w14:paraId="16B4FB65">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p>
    <w:p w14:paraId="02C155A5">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14" w:name="_Toc195714241"/>
      <w:bookmarkStart w:id="215" w:name="_Toc26167"/>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 xml:space="preserve">2 </w:t>
      </w:r>
      <w:r>
        <w:rPr>
          <w:rFonts w:hint="eastAsia" w:ascii="宋体" w:hAnsi="宋体" w:eastAsia="宋体" w:cs="宋体"/>
          <w:color w:val="auto"/>
          <w:szCs w:val="21"/>
          <w:highlight w:val="none"/>
          <w:lang w:val="zh-CN"/>
        </w:rPr>
        <w:t>投标文件的补充、修改与撤回</w:t>
      </w:r>
      <w:bookmarkEnd w:id="214"/>
      <w:bookmarkEnd w:id="215"/>
    </w:p>
    <w:p w14:paraId="70AEA89A">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在本投标人须知第</w:t>
      </w:r>
      <w:r>
        <w:rPr>
          <w:rFonts w:hint="eastAsia" w:ascii="宋体" w:hAnsi="宋体" w:eastAsia="宋体" w:cs="宋体"/>
          <w:color w:val="auto"/>
          <w:szCs w:val="21"/>
          <w:highlight w:val="none"/>
        </w:rPr>
        <w:t>19</w:t>
      </w:r>
      <w:r>
        <w:rPr>
          <w:rFonts w:hint="eastAsia" w:ascii="宋体" w:hAnsi="宋体" w:eastAsia="宋体" w:cs="宋体"/>
          <w:color w:val="auto"/>
          <w:szCs w:val="21"/>
          <w:highlight w:val="none"/>
          <w:lang w:val="zh-CN"/>
        </w:rPr>
        <w:t>.1款规定的投标截止时间前，投标人可以修改或撤回已递交的投标文件。在投标截止时间之后，投标人不得补充、修改投标文件。</w:t>
      </w:r>
    </w:p>
    <w:p w14:paraId="46A33626">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投标人应使用企业数字证书、投标文件识别码及投标文件查询密码通过网络撤回已递交投标文件。</w:t>
      </w:r>
    </w:p>
    <w:p w14:paraId="4AF853AF">
      <w:pPr>
        <w:autoSpaceDE w:val="0"/>
        <w:autoSpaceDN w:val="0"/>
        <w:adjustRightInd w:val="0"/>
        <w:spacing w:line="360" w:lineRule="auto"/>
        <w:ind w:left="355" w:leftChars="-101" w:right="15" w:rightChars="7" w:hanging="567" w:hangingChars="27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在投标截止时间至投标有效期满之前，投标人不得撤销其投标文件。投标截止后投标人撤销投标文件的，招标人没收其投标保证金（逾期未解密投标文件的除外）。</w:t>
      </w:r>
    </w:p>
    <w:p w14:paraId="227B41CF">
      <w:pPr>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p>
    <w:p w14:paraId="0725B85D">
      <w:pPr>
        <w:keepNext/>
        <w:keepLines/>
        <w:tabs>
          <w:tab w:val="left" w:pos="509"/>
        </w:tabs>
        <w:autoSpaceDE w:val="0"/>
        <w:autoSpaceDN w:val="0"/>
        <w:adjustRightInd w:val="0"/>
        <w:spacing w:line="360" w:lineRule="auto"/>
        <w:jc w:val="left"/>
        <w:outlineLvl w:val="0"/>
        <w:rPr>
          <w:rFonts w:ascii="宋体" w:hAnsi="宋体" w:eastAsia="宋体" w:cs="宋体"/>
          <w:b/>
          <w:bCs/>
          <w:color w:val="auto"/>
          <w:kern w:val="44"/>
          <w:szCs w:val="21"/>
          <w:highlight w:val="none"/>
          <w:lang w:val="zh-CN"/>
        </w:rPr>
      </w:pPr>
      <w:bookmarkStart w:id="216" w:name="_Toc450662872"/>
      <w:bookmarkStart w:id="217" w:name="_Toc5078"/>
      <w:bookmarkStart w:id="218" w:name="_Toc142508337"/>
      <w:bookmarkStart w:id="219" w:name="_Toc195714242"/>
      <w:bookmarkStart w:id="220" w:name="_Toc486167687"/>
      <w:bookmarkStart w:id="221" w:name="_Toc140596896"/>
      <w:bookmarkStart w:id="222" w:name="_Toc1049_WPSOffice_Level2"/>
      <w:bookmarkStart w:id="223" w:name="_Toc28824"/>
      <w:bookmarkStart w:id="224" w:name="_Toc30428"/>
      <w:r>
        <w:rPr>
          <w:rFonts w:hint="eastAsia" w:ascii="宋体" w:hAnsi="宋体" w:eastAsia="宋体" w:cs="宋体"/>
          <w:b/>
          <w:bCs/>
          <w:color w:val="auto"/>
          <w:kern w:val="44"/>
          <w:szCs w:val="21"/>
          <w:highlight w:val="none"/>
          <w:lang w:val="zh-CN"/>
        </w:rPr>
        <w:t>五、开标与评标</w:t>
      </w:r>
      <w:bookmarkEnd w:id="216"/>
      <w:bookmarkEnd w:id="217"/>
      <w:bookmarkEnd w:id="218"/>
      <w:bookmarkEnd w:id="219"/>
      <w:bookmarkEnd w:id="220"/>
      <w:bookmarkEnd w:id="221"/>
      <w:bookmarkEnd w:id="222"/>
      <w:bookmarkEnd w:id="223"/>
      <w:bookmarkEnd w:id="224"/>
    </w:p>
    <w:p w14:paraId="0031FE2E">
      <w:pPr>
        <w:tabs>
          <w:tab w:val="left" w:pos="567"/>
        </w:tabs>
        <w:autoSpaceDE w:val="0"/>
        <w:autoSpaceDN w:val="0"/>
        <w:adjustRightInd w:val="0"/>
        <w:spacing w:line="360" w:lineRule="auto"/>
        <w:ind w:left="357" w:leftChars="-100" w:right="15" w:rightChars="7" w:hanging="567"/>
        <w:outlineLvl w:val="2"/>
        <w:rPr>
          <w:rFonts w:ascii="宋体" w:hAnsi="宋体" w:eastAsia="宋体" w:cs="宋体"/>
          <w:color w:val="auto"/>
          <w:szCs w:val="21"/>
          <w:highlight w:val="none"/>
          <w:lang w:val="zh-CN"/>
        </w:rPr>
      </w:pPr>
      <w:bookmarkStart w:id="225" w:name="_Toc3237"/>
      <w:bookmarkStart w:id="226" w:name="_Toc195714243"/>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 xml:space="preserve">3 </w:t>
      </w:r>
      <w:r>
        <w:rPr>
          <w:rFonts w:hint="eastAsia" w:ascii="宋体" w:hAnsi="宋体" w:eastAsia="宋体" w:cs="宋体"/>
          <w:color w:val="auto"/>
          <w:szCs w:val="21"/>
          <w:highlight w:val="none"/>
          <w:lang w:val="zh-CN"/>
        </w:rPr>
        <w:t>开标</w:t>
      </w:r>
      <w:bookmarkEnd w:id="225"/>
      <w:bookmarkEnd w:id="226"/>
    </w:p>
    <w:p w14:paraId="34C9BD3D">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招标人在19.1款规定的投标截止时间（开标时间）和19.4款规定的地点召开投标会并公开开标，投标人可在规定的时间和地点参加投标会或通过登录交易系统在线查看开标过程相关信息。</w:t>
      </w:r>
    </w:p>
    <w:p w14:paraId="29E0D8FE">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23.2 </w:t>
      </w:r>
      <w:r>
        <w:rPr>
          <w:rFonts w:hint="eastAsia" w:ascii="宋体" w:hAnsi="宋体" w:eastAsia="宋体" w:cs="宋体"/>
          <w:b/>
          <w:bCs/>
          <w:color w:val="auto"/>
          <w:szCs w:val="21"/>
          <w:highlight w:val="none"/>
        </w:rPr>
        <w:t>投标人网上签到时间为开标当天上午6时至投标截止时间</w:t>
      </w:r>
      <w:r>
        <w:rPr>
          <w:rFonts w:hint="eastAsia" w:ascii="宋体" w:hAnsi="宋体" w:eastAsia="宋体" w:cs="宋体"/>
          <w:color w:val="auto"/>
          <w:szCs w:val="21"/>
          <w:highlight w:val="none"/>
        </w:rPr>
        <w:t>，使用企业数字证书（机构证书或业务证书）登录交易系统在线完成投标保证金关联及电子投标文件关联等的网上签到手续。招标人在投标会现场不受理投标人签到事项，因投标人原因造成投标人签到失败、关联相关投标信息错误及不完整的，视为其投标文件无效，招标人将否决其投标。</w:t>
      </w:r>
    </w:p>
    <w:p w14:paraId="06FB246A">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rPr>
      </w:pPr>
      <w:r>
        <w:rPr>
          <w:rFonts w:hint="eastAsia" w:ascii="宋体" w:hAnsi="宋体" w:eastAsia="宋体" w:cs="宋体"/>
          <w:color w:val="auto"/>
          <w:szCs w:val="21"/>
          <w:highlight w:val="none"/>
        </w:rPr>
        <w:t>23.3 投标人网上签到需要由法定代表人或</w:t>
      </w:r>
      <w:r>
        <w:rPr>
          <w:rFonts w:hint="eastAsia" w:ascii="宋体" w:hAnsi="宋体" w:eastAsia="宋体" w:cs="宋体"/>
          <w:color w:val="auto"/>
          <w:szCs w:val="21"/>
          <w:highlight w:val="none"/>
          <w:lang w:val="zh-CN"/>
        </w:rPr>
        <w:t>其授权代表</w:t>
      </w:r>
      <w:r>
        <w:rPr>
          <w:rFonts w:hint="eastAsia" w:ascii="宋体" w:hAnsi="宋体" w:eastAsia="宋体" w:cs="宋体"/>
          <w:color w:val="auto"/>
          <w:szCs w:val="21"/>
          <w:highlight w:val="none"/>
        </w:rPr>
        <w:t>进行人脸识别完成签到。（注：投标人在网上签到时须关联的法定代表人</w:t>
      </w:r>
      <w:r>
        <w:rPr>
          <w:rFonts w:hint="eastAsia" w:ascii="宋体" w:hAnsi="宋体" w:eastAsia="宋体" w:cs="宋体"/>
          <w:color w:val="auto"/>
          <w:szCs w:val="21"/>
          <w:highlight w:val="none"/>
          <w:lang w:val="zh-CN"/>
        </w:rPr>
        <w:t>授权代表</w:t>
      </w:r>
      <w:r>
        <w:rPr>
          <w:rFonts w:hint="eastAsia" w:ascii="宋体" w:hAnsi="宋体" w:eastAsia="宋体" w:cs="宋体"/>
          <w:color w:val="auto"/>
          <w:szCs w:val="21"/>
          <w:highlight w:val="none"/>
        </w:rPr>
        <w:t>为本项目法定代表人授权书列明的被授权人。）</w:t>
      </w:r>
    </w:p>
    <w:p w14:paraId="66A67C84">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 xml:space="preserve">4 </w:t>
      </w:r>
      <w:r>
        <w:rPr>
          <w:rFonts w:hint="eastAsia" w:ascii="宋体" w:hAnsi="宋体" w:eastAsia="宋体" w:cs="宋体"/>
          <w:color w:val="auto"/>
          <w:szCs w:val="21"/>
          <w:highlight w:val="none"/>
          <w:lang w:val="zh-CN"/>
        </w:rPr>
        <w:t>投标文件提交截止时间后，招标人按本投标人须知第2</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zh-CN"/>
        </w:rPr>
        <w:t>.1款规定拒绝不符合要求的投标文件。</w:t>
      </w:r>
    </w:p>
    <w:p w14:paraId="7FE3AF7D">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 xml:space="preserve">5 </w:t>
      </w:r>
      <w:r>
        <w:rPr>
          <w:rFonts w:hint="eastAsia" w:ascii="宋体" w:hAnsi="宋体" w:eastAsia="宋体" w:cs="宋体"/>
          <w:b/>
          <w:bCs/>
          <w:color w:val="auto"/>
          <w:szCs w:val="21"/>
          <w:highlight w:val="none"/>
          <w:lang w:val="zh-CN"/>
        </w:rPr>
        <w:t>解密投标文件的时间：投标文件提交截止时间后60分钟内</w:t>
      </w:r>
      <w:r>
        <w:rPr>
          <w:rFonts w:hint="eastAsia" w:ascii="宋体" w:hAnsi="宋体" w:eastAsia="宋体" w:cs="宋体"/>
          <w:color w:val="auto"/>
          <w:szCs w:val="21"/>
          <w:highlight w:val="none"/>
          <w:lang w:val="zh-CN"/>
        </w:rPr>
        <w:t>。若全部投标文件均在解密时间内完成解密，经招标人确认，可以提前进入下一环节。投标会现场不受理投标人的投标文件解密等事项。因投标人原因造成投标文件未解密的，视为撤销其投标文件；因投标人</w:t>
      </w:r>
      <w:r>
        <w:rPr>
          <w:rFonts w:hint="eastAsia" w:ascii="宋体" w:hAnsi="宋体" w:eastAsia="宋体" w:cs="宋体"/>
          <w:color w:val="auto"/>
          <w:szCs w:val="21"/>
          <w:highlight w:val="none"/>
        </w:rPr>
        <w:t>之外的</w:t>
      </w:r>
      <w:r>
        <w:rPr>
          <w:rFonts w:hint="eastAsia" w:ascii="宋体" w:hAnsi="宋体" w:eastAsia="宋体" w:cs="宋体"/>
          <w:color w:val="auto"/>
          <w:szCs w:val="21"/>
          <w:highlight w:val="none"/>
          <w:lang w:val="zh-CN"/>
        </w:rPr>
        <w:t>原因造成投标文件未解密的，视为撤回其投标文件。投标文件解密需要由法定代表人或其授权代表进行人脸识别完成解密。</w:t>
      </w:r>
      <w:r>
        <w:rPr>
          <w:rFonts w:hint="eastAsia" w:ascii="宋体" w:hAnsi="宋体" w:eastAsia="宋体" w:cs="宋体"/>
          <w:color w:val="auto"/>
          <w:szCs w:val="21"/>
          <w:highlight w:val="none"/>
        </w:rPr>
        <w:t>（注：投标人在网上签到时须关联的法定代表人</w:t>
      </w:r>
      <w:r>
        <w:rPr>
          <w:rFonts w:hint="eastAsia" w:ascii="宋体" w:hAnsi="宋体" w:eastAsia="宋体" w:cs="宋体"/>
          <w:color w:val="auto"/>
          <w:szCs w:val="21"/>
          <w:highlight w:val="none"/>
          <w:lang w:val="zh-CN"/>
        </w:rPr>
        <w:t>授权代表</w:t>
      </w:r>
      <w:r>
        <w:rPr>
          <w:rFonts w:hint="eastAsia" w:ascii="宋体" w:hAnsi="宋体" w:eastAsia="宋体" w:cs="宋体"/>
          <w:color w:val="auto"/>
          <w:szCs w:val="21"/>
          <w:highlight w:val="none"/>
        </w:rPr>
        <w:t>为本项目法定代表人授权书列明的被授权人。）</w:t>
      </w:r>
    </w:p>
    <w:p w14:paraId="031BE7F8">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 xml:space="preserve">6 </w:t>
      </w:r>
      <w:r>
        <w:rPr>
          <w:rFonts w:hint="eastAsia" w:ascii="宋体" w:hAnsi="宋体" w:eastAsia="宋体" w:cs="宋体"/>
          <w:color w:val="auto"/>
          <w:szCs w:val="21"/>
          <w:highlight w:val="none"/>
          <w:lang w:val="zh-CN"/>
        </w:rPr>
        <w:t>招标人将所有已解密的电子投标文件，按要求通过开标系统将进入评标环节的投标文件打包并导入评标系统。</w:t>
      </w:r>
    </w:p>
    <w:p w14:paraId="65F20E68">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 xml:space="preserve">7 </w:t>
      </w:r>
      <w:r>
        <w:rPr>
          <w:rFonts w:hint="eastAsia" w:ascii="宋体" w:hAnsi="宋体" w:eastAsia="宋体" w:cs="宋体"/>
          <w:color w:val="auto"/>
          <w:szCs w:val="21"/>
          <w:highlight w:val="none"/>
          <w:lang w:val="zh-CN"/>
        </w:rPr>
        <w:t>招标人、招标代理工作人员、监督部门（如有）等有关人员在开标记录上签字确认，开标记录封存。</w:t>
      </w:r>
    </w:p>
    <w:p w14:paraId="78282EAF">
      <w:pPr>
        <w:tabs>
          <w:tab w:val="left" w:pos="567"/>
        </w:tabs>
        <w:autoSpaceDE w:val="0"/>
        <w:autoSpaceDN w:val="0"/>
        <w:adjustRightInd w:val="0"/>
        <w:spacing w:line="360" w:lineRule="auto"/>
        <w:ind w:left="357" w:leftChars="-100" w:right="15" w:rightChars="7" w:hanging="567"/>
        <w:rPr>
          <w:rFonts w:ascii="宋体" w:hAnsi="宋体" w:eastAsia="宋体" w:cs="宋体"/>
          <w:color w:val="auto"/>
          <w:kern w:val="0"/>
          <w:szCs w:val="21"/>
          <w:highlight w:val="none"/>
        </w:rPr>
      </w:pPr>
    </w:p>
    <w:p w14:paraId="2D583CCE">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27" w:name="_Toc23059"/>
      <w:bookmarkStart w:id="228" w:name="_Toc195714244"/>
      <w:bookmarkStart w:id="229" w:name="_Toc142508339"/>
      <w:bookmarkStart w:id="230" w:name="_Toc450662874"/>
      <w:bookmarkStart w:id="231" w:name="_Toc21794"/>
      <w:bookmarkStart w:id="232" w:name="_Toc12165_WPSOffice_Level3"/>
      <w:bookmarkStart w:id="233" w:name="_Toc486167689"/>
      <w:bookmarkStart w:id="234" w:name="_Toc32534"/>
      <w:r>
        <w:rPr>
          <w:rFonts w:hint="eastAsia" w:ascii="宋体" w:hAnsi="宋体" w:eastAsia="宋体" w:cs="宋体"/>
          <w:color w:val="auto"/>
          <w:szCs w:val="21"/>
          <w:highlight w:val="none"/>
        </w:rPr>
        <w:t>24</w:t>
      </w:r>
      <w:r>
        <w:rPr>
          <w:rFonts w:ascii="宋体" w:hAnsi="宋体" w:eastAsia="宋体" w:cs="宋体"/>
          <w:color w:val="auto"/>
          <w:szCs w:val="21"/>
          <w:highlight w:val="none"/>
          <w:lang w:val="zh-CN"/>
        </w:rPr>
        <w:t xml:space="preserve"> </w:t>
      </w:r>
      <w:r>
        <w:rPr>
          <w:rFonts w:hint="eastAsia" w:ascii="宋体" w:hAnsi="宋体" w:eastAsia="宋体" w:cs="宋体"/>
          <w:color w:val="auto"/>
          <w:kern w:val="0"/>
          <w:szCs w:val="24"/>
          <w:highlight w:val="none"/>
        </w:rPr>
        <w:t>评标过程的保密性</w:t>
      </w:r>
      <w:bookmarkEnd w:id="227"/>
      <w:bookmarkEnd w:id="228"/>
      <w:bookmarkEnd w:id="229"/>
      <w:bookmarkEnd w:id="230"/>
      <w:bookmarkEnd w:id="231"/>
      <w:bookmarkEnd w:id="232"/>
      <w:bookmarkEnd w:id="233"/>
      <w:bookmarkEnd w:id="234"/>
    </w:p>
    <w:p w14:paraId="5B60962D">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rPr>
        <w:t>24</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递交投标文件后，</w:t>
      </w:r>
      <w:r>
        <w:rPr>
          <w:rFonts w:hint="eastAsia" w:ascii="宋体" w:hAnsi="宋体" w:eastAsia="宋体" w:cs="Times New Roman"/>
          <w:color w:val="auto"/>
          <w:szCs w:val="21"/>
          <w:highlight w:val="none"/>
          <w:lang w:val="zh-CN"/>
        </w:rPr>
        <w:t>直至向中标人授予合同期间，凡与审查、澄清、评估和比较投标报价的有关资料以及意见等，均不得向投标人及与评审无关的其他人透露，否则追究有关当事人的法律责任</w:t>
      </w:r>
      <w:r>
        <w:rPr>
          <w:rFonts w:hint="eastAsia" w:ascii="宋体" w:hAnsi="宋体" w:eastAsia="宋体" w:cs="宋体"/>
          <w:color w:val="auto"/>
          <w:szCs w:val="21"/>
          <w:highlight w:val="none"/>
          <w:lang w:val="zh-CN"/>
        </w:rPr>
        <w:t>。</w:t>
      </w:r>
    </w:p>
    <w:p w14:paraId="580BC60B">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rPr>
        <w:t>24</w:t>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在评标过程中，如果投标人试图在投标文件审查、澄清、比较及授予合同方面向招标代理机构和招标人施加任何影响，其投标文件将被拒绝。</w:t>
      </w:r>
    </w:p>
    <w:p w14:paraId="4B3F4D51">
      <w:pPr>
        <w:tabs>
          <w:tab w:val="left" w:pos="567"/>
        </w:tabs>
        <w:autoSpaceDE w:val="0"/>
        <w:autoSpaceDN w:val="0"/>
        <w:adjustRightInd w:val="0"/>
        <w:spacing w:line="360" w:lineRule="auto"/>
        <w:ind w:left="357" w:leftChars="-100" w:right="15" w:rightChars="7" w:hanging="567"/>
        <w:rPr>
          <w:rFonts w:ascii="宋体" w:hAnsi="宋体" w:eastAsia="宋体" w:cs="宋体"/>
          <w:color w:val="auto"/>
          <w:szCs w:val="21"/>
          <w:highlight w:val="none"/>
          <w:lang w:val="zh-CN"/>
        </w:rPr>
      </w:pPr>
    </w:p>
    <w:p w14:paraId="4E1E5BAC">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35" w:name="_Toc486167690"/>
      <w:bookmarkStart w:id="236" w:name="_Toc450662875"/>
      <w:bookmarkStart w:id="237" w:name="_Toc15565_WPSOffice_Level3"/>
      <w:bookmarkStart w:id="238" w:name="_Toc195714245"/>
      <w:bookmarkStart w:id="239" w:name="_Toc800"/>
      <w:bookmarkStart w:id="240" w:name="_Toc16920"/>
      <w:bookmarkStart w:id="241" w:name="_Toc31520"/>
      <w:bookmarkStart w:id="242" w:name="_Toc142508340"/>
      <w:r>
        <w:rPr>
          <w:rFonts w:hint="eastAsia" w:ascii="宋体" w:hAnsi="宋体" w:eastAsia="宋体" w:cs="宋体"/>
          <w:color w:val="auto"/>
          <w:szCs w:val="21"/>
          <w:highlight w:val="none"/>
        </w:rPr>
        <w:t>25</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评标委员会</w:t>
      </w:r>
      <w:bookmarkEnd w:id="235"/>
      <w:bookmarkEnd w:id="236"/>
      <w:bookmarkEnd w:id="237"/>
      <w:bookmarkEnd w:id="238"/>
      <w:bookmarkEnd w:id="239"/>
      <w:bookmarkEnd w:id="240"/>
      <w:bookmarkEnd w:id="241"/>
      <w:bookmarkEnd w:id="242"/>
    </w:p>
    <w:p w14:paraId="2ACE9FC0">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rPr>
        <w:t>25</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依法组建评标委员会。评标委员会的成员在评审过程中必须严格遵守国家及地方招标投标的有关规定。</w:t>
      </w:r>
    </w:p>
    <w:p w14:paraId="46FD78EB">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rPr>
        <w:t>25</w:t>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评标委员会依法根据招标文件的规定，进行投标文件的评审、得出评审结果，并向招标人推荐中标候选人。</w:t>
      </w:r>
    </w:p>
    <w:p w14:paraId="290C02C7">
      <w:pPr>
        <w:autoSpaceDE w:val="0"/>
        <w:autoSpaceDN w:val="0"/>
        <w:adjustRightInd w:val="0"/>
        <w:spacing w:line="360" w:lineRule="auto"/>
        <w:ind w:left="357" w:leftChars="-100" w:hanging="567"/>
        <w:rPr>
          <w:rFonts w:ascii="宋体" w:hAnsi="宋体" w:eastAsia="宋体" w:cs="宋体"/>
          <w:color w:val="auto"/>
          <w:szCs w:val="21"/>
          <w:highlight w:val="none"/>
          <w:lang w:val="zh-CN"/>
        </w:rPr>
      </w:pPr>
    </w:p>
    <w:p w14:paraId="22F4A2FF">
      <w:pPr>
        <w:autoSpaceDE w:val="0"/>
        <w:autoSpaceDN w:val="0"/>
        <w:adjustRightInd w:val="0"/>
        <w:spacing w:line="360" w:lineRule="auto"/>
        <w:ind w:left="357" w:leftChars="-100" w:hanging="567"/>
        <w:outlineLvl w:val="2"/>
        <w:rPr>
          <w:rFonts w:ascii="宋体" w:hAnsi="宋体" w:eastAsia="宋体" w:cs="宋体"/>
          <w:color w:val="auto"/>
          <w:szCs w:val="21"/>
          <w:highlight w:val="none"/>
          <w:lang w:val="zh-CN"/>
        </w:rPr>
      </w:pPr>
      <w:bookmarkStart w:id="243" w:name="_Toc195714246"/>
      <w:bookmarkStart w:id="244" w:name="_Toc562"/>
      <w:r>
        <w:rPr>
          <w:rFonts w:hint="eastAsia" w:ascii="宋体" w:hAnsi="宋体" w:eastAsia="宋体" w:cs="宋体"/>
          <w:color w:val="auto"/>
          <w:szCs w:val="21"/>
          <w:highlight w:val="none"/>
          <w:lang w:val="zh-CN"/>
        </w:rPr>
        <w:t>26</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投标文件的有效性</w:t>
      </w:r>
      <w:bookmarkEnd w:id="243"/>
      <w:bookmarkEnd w:id="244"/>
    </w:p>
    <w:p w14:paraId="01ADBBF2">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26.1开标（评标）时，投标文件出现下列情形之一的，应当作为无效投标文件：</w:t>
      </w:r>
    </w:p>
    <w:p w14:paraId="2AA10074">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zh-CN"/>
        </w:rPr>
        <w:t>上传的投标文件损坏或无法读取的；</w:t>
      </w:r>
    </w:p>
    <w:p w14:paraId="2956A100">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经招标人确认，投标人在公共资源交易企业库填报的与本项目密切相关的信息与事实不相符的；</w:t>
      </w:r>
    </w:p>
    <w:p w14:paraId="409CAB41">
      <w:pPr>
        <w:autoSpaceDE w:val="0"/>
        <w:autoSpaceDN w:val="0"/>
        <w:adjustRightInd w:val="0"/>
        <w:spacing w:line="360" w:lineRule="auto"/>
        <w:ind w:left="357" w:leftChars="-100" w:hanging="567"/>
        <w:rPr>
          <w:rFonts w:ascii="宋体" w:hAnsi="宋体" w:eastAsia="宋体" w:cs="宋体"/>
          <w:color w:val="auto"/>
          <w:szCs w:val="21"/>
          <w:highlight w:val="none"/>
        </w:rPr>
      </w:pPr>
      <w:r>
        <w:rPr>
          <w:rFonts w:hint="eastAsia" w:ascii="宋体" w:hAnsi="宋体" w:eastAsia="宋体" w:cs="宋体"/>
          <w:color w:val="auto"/>
          <w:szCs w:val="21"/>
          <w:highlight w:val="none"/>
        </w:rPr>
        <w:t>26.1.3投标文件中使用的本项目招标文件版本，与交易系统上发布的本项目招标文件的最新版本不一致的；</w:t>
      </w:r>
    </w:p>
    <w:p w14:paraId="321A10BF">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val="zh-CN"/>
        </w:rPr>
        <w:t>投标文件签名使用的数字证书与签到的投标人名称不一致的；</w:t>
      </w:r>
    </w:p>
    <w:p w14:paraId="31CD2F85">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val="zh-CN"/>
        </w:rPr>
        <w:t>投标人的投标编制MAC信息、投标编制CPU序列号、投标编制硬盘序列号均与其他投标人相同的；</w:t>
      </w:r>
    </w:p>
    <w:p w14:paraId="2C697713">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val="zh-CN"/>
        </w:rPr>
        <w:t>投标文件附有招标人不能接受的条件的；</w:t>
      </w:r>
    </w:p>
    <w:p w14:paraId="5C468449">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lang w:val="zh-CN"/>
        </w:rPr>
        <w:t>投标人资格不满足本投标人须知第</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款的要求；</w:t>
      </w:r>
    </w:p>
    <w:p w14:paraId="14FB3191">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lang w:val="zh-CN"/>
        </w:rPr>
        <w:t>投标人未按招标文件要求交纳投标保证金的；</w:t>
      </w:r>
    </w:p>
    <w:p w14:paraId="7F2145CC">
      <w:pPr>
        <w:keepNext w:val="0"/>
        <w:keepLines w:val="0"/>
        <w:pageBreakBefore w:val="0"/>
        <w:widowControl w:val="0"/>
        <w:kinsoku/>
        <w:wordWrap/>
        <w:overflowPunct/>
        <w:topLinePunct w:val="0"/>
        <w:autoSpaceDE w:val="0"/>
        <w:autoSpaceDN w:val="0"/>
        <w:bidi w:val="0"/>
        <w:adjustRightInd w:val="0"/>
        <w:snapToGrid/>
        <w:spacing w:line="360" w:lineRule="auto"/>
        <w:ind w:left="527" w:leftChars="-100" w:hanging="737"/>
        <w:textAlignment w:val="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en-US" w:eastAsia="zh-CN"/>
        </w:rPr>
        <w:t>26.1.9</w:t>
      </w:r>
      <w:r>
        <w:rPr>
          <w:rFonts w:hint="eastAsia" w:ascii="宋体" w:hAnsi="宋体" w:eastAsia="宋体" w:cs="宋体"/>
          <w:color w:val="auto"/>
          <w:szCs w:val="21"/>
          <w:highlight w:val="none"/>
          <w:lang w:val="zh-CN"/>
        </w:rPr>
        <w:t>投标文件报价信封中填报的投标报价高于不含税最高投标限价的或不填报或填报负数的或不符合招标文件规定填报要求的；</w:t>
      </w:r>
    </w:p>
    <w:p w14:paraId="3DECC310">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lang w:val="zh-CN"/>
        </w:rPr>
        <w:t>投标人以低于企业成本价报价，且投标人不能合理说明或不能提供相关证明材料；</w:t>
      </w:r>
    </w:p>
    <w:p w14:paraId="1A272217">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val="zh-CN"/>
        </w:rPr>
        <w:t>投标人递交两份或多份内容不同的投标文件，或在一份投标文件中报有两个或多个报价，且未书面声明哪一个有效；</w:t>
      </w:r>
    </w:p>
    <w:p w14:paraId="00B999E1">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val="zh-CN"/>
        </w:rPr>
        <w:t xml:space="preserve">投标文件未使用企业数字证书或个人数字证书电子签名的； </w:t>
      </w:r>
    </w:p>
    <w:p w14:paraId="7DC47C25">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val="zh-CN"/>
        </w:rPr>
        <w:t>投标有效期限不符合要求；</w:t>
      </w:r>
    </w:p>
    <w:p w14:paraId="456F5587">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val="zh-CN"/>
        </w:rPr>
        <w:t>投标文件未对招标范围内的全部内容进行投标报价或投标方案不是唯一；</w:t>
      </w:r>
    </w:p>
    <w:p w14:paraId="678535B3">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val="zh-CN"/>
        </w:rPr>
        <w:t>未提供或虚假填写《合同条款偏离表》，或对《合同条款偏离表》有负偏离的；</w:t>
      </w:r>
    </w:p>
    <w:p w14:paraId="72E5373A">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val="zh-CN"/>
        </w:rPr>
        <w:t>未填写或虚假填写《用户需求偏离表》的；</w:t>
      </w:r>
    </w:p>
    <w:p w14:paraId="729025AE">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lang w:val="zh-CN"/>
        </w:rPr>
        <w:t>未响应招标文件提出的实质性要求和条件（标注★的条款）。</w:t>
      </w:r>
    </w:p>
    <w:p w14:paraId="322789FD">
      <w:pPr>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lang w:val="en-US" w:eastAsia="zh-CN"/>
        </w:rPr>
        <w:t>18</w:t>
      </w:r>
      <w:r>
        <w:rPr>
          <w:rFonts w:hint="eastAsia" w:ascii="宋体" w:hAnsi="宋体" w:eastAsia="宋体" w:cs="宋体"/>
          <w:color w:val="auto"/>
          <w:szCs w:val="21"/>
          <w:highlight w:val="none"/>
          <w:lang w:val="zh-CN"/>
        </w:rPr>
        <w:t>属于招标文件中规定为无效标的；属于法律、法规、规章规定的应作无效投标文件处理的。</w:t>
      </w:r>
    </w:p>
    <w:p w14:paraId="33C1E422">
      <w:pPr>
        <w:autoSpaceDE w:val="0"/>
        <w:autoSpaceDN w:val="0"/>
        <w:adjustRightInd w:val="0"/>
        <w:spacing w:line="360" w:lineRule="auto"/>
        <w:ind w:left="357" w:leftChars="-100" w:hanging="567"/>
        <w:rPr>
          <w:rFonts w:ascii="宋体" w:hAnsi="宋体" w:eastAsia="宋体" w:cs="宋体"/>
          <w:color w:val="auto"/>
          <w:szCs w:val="21"/>
          <w:highlight w:val="none"/>
          <w:lang w:val="zh-CN"/>
        </w:rPr>
      </w:pPr>
    </w:p>
    <w:p w14:paraId="24D92743">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auto"/>
          <w:szCs w:val="21"/>
          <w:highlight w:val="none"/>
          <w:lang w:val="zh-CN"/>
        </w:rPr>
      </w:pPr>
      <w:bookmarkStart w:id="245" w:name="_Toc12715"/>
      <w:bookmarkStart w:id="246" w:name="_Toc18668"/>
      <w:bookmarkStart w:id="247" w:name="_Toc28910_WPSOffice_Level3"/>
      <w:bookmarkStart w:id="248" w:name="_Toc486167691"/>
      <w:bookmarkStart w:id="249" w:name="_Toc450662876"/>
      <w:bookmarkStart w:id="250" w:name="_Toc142508341"/>
      <w:bookmarkStart w:id="251" w:name="_Toc23436"/>
      <w:bookmarkStart w:id="252" w:name="_Toc195714247"/>
      <w:r>
        <w:rPr>
          <w:rFonts w:hint="eastAsia" w:ascii="宋体" w:hAnsi="宋体" w:eastAsia="宋体" w:cs="宋体"/>
          <w:b/>
          <w:color w:val="auto"/>
          <w:szCs w:val="21"/>
          <w:highlight w:val="none"/>
          <w:lang w:val="zh-CN"/>
        </w:rPr>
        <w:t>2</w:t>
      </w:r>
      <w:r>
        <w:rPr>
          <w:rFonts w:hint="eastAsia" w:ascii="宋体" w:hAnsi="宋体" w:eastAsia="宋体" w:cs="宋体"/>
          <w:b/>
          <w:color w:val="auto"/>
          <w:szCs w:val="21"/>
          <w:highlight w:val="none"/>
        </w:rPr>
        <w:t>7</w:t>
      </w:r>
      <w:r>
        <w:rPr>
          <w:rFonts w:ascii="宋体" w:hAnsi="宋体" w:eastAsia="宋体" w:cs="宋体"/>
          <w:b/>
          <w:color w:val="auto"/>
          <w:szCs w:val="21"/>
          <w:highlight w:val="none"/>
          <w:lang w:val="zh-CN"/>
        </w:rPr>
        <w:t xml:space="preserve"> </w:t>
      </w:r>
      <w:r>
        <w:rPr>
          <w:rFonts w:hint="eastAsia" w:ascii="宋体" w:hAnsi="宋体" w:eastAsia="宋体" w:cs="宋体"/>
          <w:b/>
          <w:color w:val="auto"/>
          <w:szCs w:val="21"/>
          <w:highlight w:val="none"/>
          <w:lang w:val="zh-CN"/>
        </w:rPr>
        <w:t>投标文件的初审</w:t>
      </w:r>
      <w:bookmarkEnd w:id="245"/>
      <w:bookmarkEnd w:id="246"/>
      <w:bookmarkEnd w:id="247"/>
      <w:bookmarkEnd w:id="248"/>
      <w:bookmarkEnd w:id="249"/>
      <w:bookmarkEnd w:id="250"/>
      <w:bookmarkEnd w:id="251"/>
      <w:bookmarkEnd w:id="252"/>
    </w:p>
    <w:p w14:paraId="608EC1F0">
      <w:pPr>
        <w:autoSpaceDE w:val="0"/>
        <w:autoSpaceDN w:val="0"/>
        <w:adjustRightInd w:val="0"/>
        <w:spacing w:line="360" w:lineRule="auto"/>
        <w:ind w:left="357" w:leftChars="-100" w:hanging="567"/>
        <w:rPr>
          <w:rFonts w:ascii="宋体" w:hAnsi="宋体" w:eastAsia="宋体" w:cs="宋体"/>
          <w:b/>
          <w:color w:val="auto"/>
          <w:szCs w:val="21"/>
          <w:highlight w:val="none"/>
        </w:rPr>
      </w:pPr>
      <w:r>
        <w:rPr>
          <w:rFonts w:hint="eastAsia" w:ascii="宋体" w:hAnsi="宋体" w:eastAsia="宋体" w:cs="宋体"/>
          <w:b/>
          <w:color w:val="auto"/>
          <w:szCs w:val="21"/>
          <w:highlight w:val="none"/>
          <w:lang w:val="zh-CN"/>
        </w:rPr>
        <w:t>2</w:t>
      </w:r>
      <w:r>
        <w:rPr>
          <w:rFonts w:hint="eastAsia" w:ascii="宋体" w:hAnsi="宋体" w:eastAsia="宋体" w:cs="宋体"/>
          <w:b/>
          <w:color w:val="auto"/>
          <w:szCs w:val="21"/>
          <w:highlight w:val="none"/>
        </w:rPr>
        <w:t>7</w:t>
      </w:r>
      <w:r>
        <w:rPr>
          <w:rFonts w:hint="eastAsia" w:ascii="宋体" w:hAnsi="宋体" w:eastAsia="宋体" w:cs="宋体"/>
          <w:b/>
          <w:color w:val="auto"/>
          <w:szCs w:val="21"/>
          <w:highlight w:val="none"/>
          <w:lang w:val="zh-CN"/>
        </w:rPr>
        <w:t>.1 资格性检查：依据法律法规和招标文件的规定，对投标文件中的资格证明、投标保证金等进行审查，以确定投标人是否具备投标资格。</w:t>
      </w:r>
    </w:p>
    <w:p w14:paraId="1B640FB4">
      <w:pPr>
        <w:autoSpaceDE w:val="0"/>
        <w:autoSpaceDN w:val="0"/>
        <w:adjustRightInd w:val="0"/>
        <w:spacing w:line="360" w:lineRule="auto"/>
        <w:ind w:left="330" w:leftChars="-100" w:hanging="540"/>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2</w:t>
      </w:r>
      <w:r>
        <w:rPr>
          <w:rFonts w:hint="eastAsia" w:ascii="宋体" w:hAnsi="宋体" w:eastAsia="宋体" w:cs="宋体"/>
          <w:b/>
          <w:color w:val="auto"/>
          <w:szCs w:val="21"/>
          <w:highlight w:val="none"/>
        </w:rPr>
        <w:t>7</w:t>
      </w:r>
      <w:r>
        <w:rPr>
          <w:rFonts w:hint="eastAsia" w:ascii="宋体" w:hAnsi="宋体" w:eastAsia="宋体" w:cs="宋体"/>
          <w:b/>
          <w:color w:val="auto"/>
          <w:szCs w:val="21"/>
          <w:highlight w:val="none"/>
          <w:lang w:val="zh-CN"/>
        </w:rPr>
        <w:t>.2 符合性检查：依据招标文件的规定，从投标文件的有效性、完整性和对招标文件的响应程度进行审查，以确定是否对招标文件的实质性要求作出响应。</w:t>
      </w:r>
    </w:p>
    <w:p w14:paraId="23DB1E9A">
      <w:pPr>
        <w:autoSpaceDE w:val="0"/>
        <w:autoSpaceDN w:val="0"/>
        <w:adjustRightInd w:val="0"/>
        <w:spacing w:line="360" w:lineRule="auto"/>
        <w:ind w:left="330" w:leftChars="-100" w:hanging="540"/>
        <w:rPr>
          <w:rFonts w:ascii="宋体" w:hAnsi="宋体" w:eastAsia="宋体" w:cs="宋体"/>
          <w:b/>
          <w:color w:val="auto"/>
          <w:szCs w:val="21"/>
          <w:highlight w:val="none"/>
          <w:lang w:val="zh-CN"/>
        </w:rPr>
      </w:pPr>
    </w:p>
    <w:p w14:paraId="222B7108">
      <w:pPr>
        <w:tabs>
          <w:tab w:val="left" w:pos="525"/>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53" w:name="_Toc4837"/>
      <w:bookmarkStart w:id="254" w:name="_Toc30225"/>
      <w:bookmarkStart w:id="255" w:name="_Toc14014"/>
      <w:bookmarkStart w:id="256" w:name="_Toc195714248"/>
      <w:bookmarkStart w:id="257" w:name="_Toc486167692"/>
      <w:bookmarkStart w:id="258" w:name="_Toc142508342"/>
      <w:bookmarkStart w:id="259" w:name="_Toc450662877"/>
      <w:bookmarkStart w:id="260" w:name="_Toc338_WPSOffice_Level3"/>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8</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投标文件的澄清</w:t>
      </w:r>
      <w:bookmarkEnd w:id="253"/>
      <w:bookmarkEnd w:id="254"/>
      <w:bookmarkEnd w:id="255"/>
      <w:bookmarkEnd w:id="256"/>
      <w:bookmarkEnd w:id="257"/>
      <w:bookmarkEnd w:id="258"/>
      <w:bookmarkEnd w:id="259"/>
      <w:bookmarkEnd w:id="260"/>
    </w:p>
    <w:p w14:paraId="213359E3">
      <w:pPr>
        <w:autoSpaceDE w:val="0"/>
        <w:autoSpaceDN w:val="0"/>
        <w:adjustRightInd w:val="0"/>
        <w:spacing w:line="360" w:lineRule="auto"/>
        <w:ind w:left="315" w:leftChars="-100" w:hanging="525" w:hangingChars="2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8</w:t>
      </w:r>
      <w:r>
        <w:rPr>
          <w:rFonts w:hint="eastAsia" w:ascii="宋体" w:hAnsi="宋体" w:eastAsia="宋体" w:cs="宋体"/>
          <w:color w:val="auto"/>
          <w:szCs w:val="21"/>
          <w:highlight w:val="none"/>
          <w:lang w:val="zh-CN"/>
        </w:rPr>
        <w:t>.1 对投标文件中含义不明确、同类问题表述不一致或者有明显文字和计算错误的内容，评标委员会可以书面形式（应当由评标委员会专家签字）要求投标人作出必要的澄清、说明或者纠正。投标人的澄清、说明或者补正应当采用书面形式，由其授权的代表签字，并不得超出投标文件的范围或者改变投标文件的实质性内容。</w:t>
      </w:r>
    </w:p>
    <w:p w14:paraId="7108E00F">
      <w:pPr>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bookmarkStart w:id="261" w:name="_Toc450662879"/>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8</w:t>
      </w:r>
      <w:r>
        <w:rPr>
          <w:rFonts w:hint="eastAsia" w:ascii="宋体" w:hAnsi="宋体" w:eastAsia="宋体" w:cs="宋体"/>
          <w:color w:val="auto"/>
          <w:szCs w:val="21"/>
          <w:highlight w:val="none"/>
          <w:lang w:val="zh-CN"/>
        </w:rPr>
        <w:t xml:space="preserve">.2 </w:t>
      </w:r>
      <w:r>
        <w:rPr>
          <w:rFonts w:hint="eastAsia" w:ascii="宋体" w:hAnsi="宋体" w:eastAsia="宋体" w:cs="宋体"/>
          <w:color w:val="auto"/>
          <w:szCs w:val="21"/>
          <w:highlight w:val="none"/>
        </w:rPr>
        <w:t>开标当天</w:t>
      </w:r>
      <w:r>
        <w:rPr>
          <w:rFonts w:hint="eastAsia" w:ascii="宋体" w:hAnsi="宋体" w:eastAsia="宋体" w:cs="宋体"/>
          <w:color w:val="auto"/>
          <w:szCs w:val="21"/>
          <w:highlight w:val="none"/>
          <w:lang w:val="zh-CN"/>
        </w:rPr>
        <w:t>，投标人法定代表人或法定代表人授权书列明的被授权人的联系电话应保持开机状态，以便在评标期间，评标委员会要求投标人对投标文件进行澄清时能够收到有关通知，否则视为投标人放弃澄清的权利，对评标委员会就该项内容的评审意见无异议。因此温馨提示各投标人：编制投标文件时，请认真填写本项目递交投标文件时法定代表人或法定代表人授权书列明的被授权人的联系电话，如招标文件第六篇投标文件格式“投标函”和“法定代表人授权书”中的联系方式及电子邮箱，以便能及时收到澄清通知。</w:t>
      </w:r>
    </w:p>
    <w:p w14:paraId="58651DBA">
      <w:pPr>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p>
    <w:bookmarkEnd w:id="261"/>
    <w:p w14:paraId="20D55178">
      <w:pPr>
        <w:tabs>
          <w:tab w:val="left" w:pos="525"/>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62" w:name="_Toc142508343"/>
      <w:bookmarkStart w:id="263" w:name="_Toc10967"/>
      <w:bookmarkStart w:id="264" w:name="_Toc195714249"/>
      <w:bookmarkStart w:id="265" w:name="_Toc22065"/>
      <w:bookmarkStart w:id="266" w:name="_Toc522047355"/>
      <w:bookmarkStart w:id="267" w:name="_Toc521918096"/>
      <w:bookmarkStart w:id="268" w:name="_Toc18368_WPSOffice_Level3"/>
      <w:bookmarkStart w:id="269" w:name="_Toc5783"/>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9</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对投标文件的比较和评价</w:t>
      </w:r>
      <w:bookmarkEnd w:id="262"/>
      <w:bookmarkEnd w:id="263"/>
      <w:bookmarkEnd w:id="264"/>
      <w:bookmarkEnd w:id="265"/>
      <w:bookmarkEnd w:id="266"/>
      <w:bookmarkEnd w:id="267"/>
      <w:bookmarkEnd w:id="268"/>
      <w:bookmarkEnd w:id="269"/>
    </w:p>
    <w:p w14:paraId="1F5DC5C9">
      <w:pPr>
        <w:tabs>
          <w:tab w:val="left" w:pos="540"/>
        </w:tabs>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评标委员会将对资格性检查和符合性检查合格的投标文件进行比较和评价，包括商务、技术和价格的详细评审。</w:t>
      </w:r>
    </w:p>
    <w:p w14:paraId="5140E3C0">
      <w:pPr>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对投标文件商务的评审详见评标工作大纲。</w:t>
      </w:r>
    </w:p>
    <w:p w14:paraId="5C6714F1">
      <w:pPr>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对投标文件技术的评审详见评标工作大纲。</w:t>
      </w:r>
    </w:p>
    <w:p w14:paraId="03D46E5D">
      <w:pPr>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.4</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对投标价格的评审详见评标工作大纲。</w:t>
      </w:r>
    </w:p>
    <w:p w14:paraId="3DFC8E34">
      <w:pPr>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.5</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本次评标的评分权重详见评标工作大纲。</w:t>
      </w:r>
    </w:p>
    <w:p w14:paraId="52436287">
      <w:pPr>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.6</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根据上述商务、技术及价格综合评价的权重分配计算出各投标人的综合得分。</w:t>
      </w:r>
    </w:p>
    <w:p w14:paraId="731E5DBA">
      <w:pPr>
        <w:tabs>
          <w:tab w:val="left" w:pos="567"/>
        </w:tabs>
        <w:autoSpaceDE w:val="0"/>
        <w:autoSpaceDN w:val="0"/>
        <w:adjustRightInd w:val="0"/>
        <w:spacing w:line="360" w:lineRule="auto"/>
        <w:ind w:left="357" w:leftChars="-100" w:hanging="567"/>
        <w:jc w:val="left"/>
        <w:rPr>
          <w:rFonts w:ascii="宋体" w:hAnsi="宋体" w:eastAsia="宋体" w:cs="宋体"/>
          <w:color w:val="auto"/>
          <w:szCs w:val="21"/>
          <w:highlight w:val="none"/>
          <w:lang w:val="zh-CN"/>
        </w:rPr>
      </w:pPr>
      <w:bookmarkStart w:id="270" w:name="_Toc521918097"/>
      <w:bookmarkStart w:id="271" w:name="_Toc522047356"/>
    </w:p>
    <w:p w14:paraId="02B53A8D">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72" w:name="_Toc195714250"/>
      <w:bookmarkStart w:id="273" w:name="_Toc21460_WPSOffice_Level3"/>
      <w:bookmarkStart w:id="274" w:name="_Toc27950"/>
      <w:bookmarkStart w:id="275" w:name="_Toc142508344"/>
      <w:bookmarkStart w:id="276" w:name="_Toc27026"/>
      <w:bookmarkStart w:id="277" w:name="_Toc14804"/>
      <w:r>
        <w:rPr>
          <w:rFonts w:hint="eastAsia" w:ascii="宋体" w:hAnsi="宋体" w:eastAsia="宋体" w:cs="宋体"/>
          <w:color w:val="auto"/>
          <w:szCs w:val="21"/>
          <w:highlight w:val="none"/>
        </w:rPr>
        <w:t>30</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评标原则及方法</w:t>
      </w:r>
      <w:bookmarkEnd w:id="270"/>
      <w:bookmarkEnd w:id="271"/>
      <w:bookmarkEnd w:id="272"/>
      <w:bookmarkEnd w:id="273"/>
      <w:bookmarkEnd w:id="274"/>
      <w:bookmarkEnd w:id="275"/>
      <w:bookmarkEnd w:id="276"/>
      <w:bookmarkEnd w:id="277"/>
    </w:p>
    <w:p w14:paraId="3F14BA80">
      <w:pPr>
        <w:tabs>
          <w:tab w:val="left" w:pos="567"/>
        </w:tabs>
        <w:autoSpaceDE w:val="0"/>
        <w:autoSpaceDN w:val="0"/>
        <w:adjustRightInd w:val="0"/>
        <w:spacing w:line="360" w:lineRule="auto"/>
        <w:ind w:left="357" w:leftChars="-100" w:hanging="567"/>
        <w:rPr>
          <w:rFonts w:ascii="宋体" w:hAnsi="宋体" w:eastAsia="宋体" w:cs="宋体"/>
          <w:color w:val="auto"/>
          <w:szCs w:val="21"/>
          <w:highlight w:val="none"/>
          <w:lang w:val="zh-CN"/>
        </w:rPr>
      </w:pPr>
      <w:r>
        <w:rPr>
          <w:rFonts w:hint="eastAsia" w:ascii="宋体" w:hAnsi="宋体" w:eastAsia="宋体" w:cs="宋体"/>
          <w:color w:val="auto"/>
          <w:szCs w:val="21"/>
          <w:highlight w:val="none"/>
        </w:rPr>
        <w:t>30</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对所有投标文件的评审，都采用相同的程序和标准。按步骤先进行初步评审，再进行商务、技术、价格评审。</w:t>
      </w:r>
    </w:p>
    <w:p w14:paraId="03BCE2DE">
      <w:pPr>
        <w:tabs>
          <w:tab w:val="left" w:pos="360"/>
        </w:tabs>
        <w:autoSpaceDE w:val="0"/>
        <w:autoSpaceDN w:val="0"/>
        <w:adjustRightInd w:val="0"/>
        <w:spacing w:line="360" w:lineRule="auto"/>
        <w:ind w:left="330" w:leftChars="-100" w:right="44" w:rightChars="21"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rPr>
        <w:t>30</w:t>
      </w:r>
      <w:r>
        <w:rPr>
          <w:rFonts w:hint="eastAsia" w:ascii="宋体" w:hAnsi="宋体" w:eastAsia="宋体" w:cs="宋体"/>
          <w:color w:val="auto"/>
          <w:szCs w:val="21"/>
          <w:highlight w:val="none"/>
          <w:lang w:val="zh-CN"/>
        </w:rPr>
        <w:t>.2 评标严格按照招标文件的要求和条件进行。</w:t>
      </w:r>
    </w:p>
    <w:p w14:paraId="50B5ED13">
      <w:pPr>
        <w:tabs>
          <w:tab w:val="left" w:pos="360"/>
        </w:tabs>
        <w:autoSpaceDE w:val="0"/>
        <w:autoSpaceDN w:val="0"/>
        <w:adjustRightInd w:val="0"/>
        <w:spacing w:line="360" w:lineRule="auto"/>
        <w:ind w:left="330" w:leftChars="-100" w:right="44" w:rightChars="21"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     在评标时将根据第</w:t>
      </w:r>
      <w:r>
        <w:rPr>
          <w:rFonts w:hint="eastAsia" w:ascii="宋体" w:hAnsi="宋体" w:eastAsia="宋体" w:cs="宋体"/>
          <w:color w:val="auto"/>
          <w:szCs w:val="21"/>
          <w:highlight w:val="none"/>
        </w:rPr>
        <w:t>29</w:t>
      </w:r>
      <w:r>
        <w:rPr>
          <w:rFonts w:hint="eastAsia" w:ascii="宋体" w:hAnsi="宋体" w:eastAsia="宋体" w:cs="Times New Roman"/>
          <w:color w:val="auto"/>
          <w:szCs w:val="21"/>
          <w:highlight w:val="none"/>
          <w:lang w:val="zh-CN"/>
        </w:rPr>
        <w:t>条</w:t>
      </w:r>
      <w:r>
        <w:rPr>
          <w:rFonts w:hint="eastAsia" w:ascii="宋体" w:hAnsi="宋体" w:eastAsia="宋体" w:cs="宋体"/>
          <w:color w:val="auto"/>
          <w:szCs w:val="21"/>
          <w:highlight w:val="none"/>
          <w:lang w:val="zh-CN"/>
        </w:rPr>
        <w:t>，采用综合评分法的评审方法，对所有实质响应性投标文件进行综合打分。</w:t>
      </w:r>
    </w:p>
    <w:p w14:paraId="0A082B67">
      <w:pPr>
        <w:tabs>
          <w:tab w:val="left" w:pos="360"/>
        </w:tabs>
        <w:autoSpaceDE w:val="0"/>
        <w:autoSpaceDN w:val="0"/>
        <w:adjustRightInd w:val="0"/>
        <w:spacing w:line="360" w:lineRule="auto"/>
        <w:ind w:left="330" w:leftChars="-100" w:right="44" w:rightChars="21"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rPr>
        <w:t>30</w:t>
      </w:r>
      <w:r>
        <w:rPr>
          <w:rFonts w:hint="eastAsia" w:ascii="宋体" w:hAnsi="宋体" w:eastAsia="宋体" w:cs="宋体"/>
          <w:color w:val="auto"/>
          <w:szCs w:val="21"/>
          <w:highlight w:val="none"/>
          <w:lang w:val="zh-CN"/>
        </w:rPr>
        <w:t xml:space="preserve">.3 </w:t>
      </w:r>
      <w:r>
        <w:rPr>
          <w:rFonts w:hint="eastAsia" w:ascii="宋体" w:hAnsi="宋体" w:eastAsia="宋体" w:cs="宋体"/>
          <w:b/>
          <w:bCs/>
          <w:color w:val="auto"/>
          <w:szCs w:val="21"/>
          <w:highlight w:val="none"/>
          <w:lang w:val="zh-CN"/>
        </w:rPr>
        <w:t>若</w:t>
      </w:r>
      <w:r>
        <w:rPr>
          <w:rFonts w:hint="eastAsia" w:ascii="宋体" w:hAnsi="宋体" w:eastAsia="宋体" w:cs="宋体"/>
          <w:b/>
          <w:bCs/>
          <w:color w:val="auto"/>
          <w:szCs w:val="21"/>
          <w:highlight w:val="none"/>
        </w:rPr>
        <w:t>本次招标过程中有效投标人不足三个时，公开招标失败。</w:t>
      </w:r>
    </w:p>
    <w:p w14:paraId="6306FCC0">
      <w:pPr>
        <w:tabs>
          <w:tab w:val="left" w:pos="360"/>
        </w:tabs>
        <w:autoSpaceDE w:val="0"/>
        <w:autoSpaceDN w:val="0"/>
        <w:adjustRightInd w:val="0"/>
        <w:spacing w:line="360" w:lineRule="auto"/>
        <w:ind w:left="330" w:leftChars="-100" w:right="44" w:rightChars="21" w:hanging="540"/>
        <w:rPr>
          <w:rFonts w:ascii="宋体" w:hAnsi="宋体" w:eastAsia="宋体" w:cs="宋体"/>
          <w:color w:val="auto"/>
          <w:szCs w:val="21"/>
          <w:highlight w:val="none"/>
          <w:lang w:val="zh-CN"/>
        </w:rPr>
      </w:pPr>
    </w:p>
    <w:p w14:paraId="6E66405F">
      <w:pPr>
        <w:tabs>
          <w:tab w:val="left" w:pos="525"/>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278" w:name="_Toc486167694"/>
      <w:bookmarkStart w:id="279" w:name="_Toc142508345"/>
      <w:bookmarkStart w:id="280" w:name="_Toc195714251"/>
      <w:bookmarkStart w:id="281" w:name="_Toc465358969"/>
      <w:bookmarkStart w:id="282" w:name="_Toc26551"/>
      <w:bookmarkStart w:id="283" w:name="_Toc4819"/>
      <w:bookmarkStart w:id="284" w:name="_Toc11615"/>
      <w:bookmarkStart w:id="285" w:name="_Toc466882017"/>
      <w:bookmarkStart w:id="286" w:name="_Toc32498_WPSOffice_Level3"/>
      <w:r>
        <w:rPr>
          <w:rFonts w:hint="eastAsia" w:ascii="宋体" w:hAnsi="宋体" w:eastAsia="宋体" w:cs="宋体"/>
          <w:color w:val="auto"/>
          <w:szCs w:val="21"/>
          <w:highlight w:val="none"/>
        </w:rPr>
        <w:t xml:space="preserve">31 </w:t>
      </w:r>
      <w:r>
        <w:rPr>
          <w:rFonts w:hint="eastAsia" w:ascii="宋体" w:hAnsi="宋体" w:eastAsia="宋体" w:cs="宋体"/>
          <w:color w:val="auto"/>
          <w:szCs w:val="21"/>
          <w:highlight w:val="none"/>
          <w:lang w:val="zh-CN"/>
        </w:rPr>
        <w:t>评标结果公</w:t>
      </w:r>
      <w:r>
        <w:rPr>
          <w:rFonts w:hint="eastAsia" w:ascii="宋体" w:hAnsi="宋体" w:eastAsia="宋体" w:cs="Times New Roman"/>
          <w:color w:val="auto"/>
          <w:szCs w:val="21"/>
          <w:highlight w:val="none"/>
          <w:lang w:val="zh-CN"/>
        </w:rPr>
        <w:t>示</w:t>
      </w:r>
      <w:r>
        <w:rPr>
          <w:rFonts w:hint="eastAsia" w:ascii="宋体" w:hAnsi="宋体" w:eastAsia="宋体" w:cs="宋体"/>
          <w:color w:val="auto"/>
          <w:szCs w:val="21"/>
          <w:highlight w:val="none"/>
          <w:lang w:val="zh-CN"/>
        </w:rPr>
        <w:t>及异议、投诉</w:t>
      </w:r>
      <w:bookmarkEnd w:id="278"/>
      <w:bookmarkEnd w:id="279"/>
      <w:bookmarkEnd w:id="280"/>
      <w:bookmarkEnd w:id="281"/>
      <w:bookmarkEnd w:id="282"/>
      <w:bookmarkEnd w:id="283"/>
      <w:bookmarkEnd w:id="284"/>
      <w:bookmarkEnd w:id="285"/>
      <w:bookmarkEnd w:id="286"/>
    </w:p>
    <w:p w14:paraId="1369F455">
      <w:pPr>
        <w:tabs>
          <w:tab w:val="left" w:pos="360"/>
        </w:tabs>
        <w:autoSpaceDE w:val="0"/>
        <w:autoSpaceDN w:val="0"/>
        <w:adjustRightInd w:val="0"/>
        <w:spacing w:line="360" w:lineRule="auto"/>
        <w:ind w:left="330" w:leftChars="-100" w:right="44" w:rightChars="21"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rPr>
        <w:t>31</w:t>
      </w:r>
      <w:r>
        <w:rPr>
          <w:rFonts w:hint="eastAsia" w:ascii="宋体" w:hAnsi="宋体" w:eastAsia="宋体" w:cs="宋体"/>
          <w:color w:val="auto"/>
          <w:szCs w:val="21"/>
          <w:highlight w:val="none"/>
          <w:lang w:val="zh-CN"/>
        </w:rPr>
        <w:t>.1</w:t>
      </w:r>
      <w:r>
        <w:rPr>
          <w:rFonts w:ascii="宋体" w:hAnsi="宋体" w:eastAsia="宋体" w:cs="宋体"/>
          <w:color w:val="auto"/>
          <w:szCs w:val="21"/>
          <w:highlight w:val="none"/>
          <w:lang w:val="zh-CN"/>
        </w:rPr>
        <w:t xml:space="preserve"> </w:t>
      </w:r>
      <w:r>
        <w:rPr>
          <w:rFonts w:hint="eastAsia" w:ascii="宋体" w:hAnsi="宋体" w:eastAsia="宋体" w:cs="Times New Roman"/>
          <w:color w:val="auto"/>
          <w:szCs w:val="21"/>
          <w:highlight w:val="none"/>
          <w:lang w:val="zh-CN"/>
        </w:rPr>
        <w:t>招标代理机构在招标公告发布媒介公示中标候选人，公示期不得少于3日（最后一日是节假日或公休日的，应顺延到节假日或公休日后第一个工作日）。投标人或者其他利害关系人对评标结果有异议的，应当在</w:t>
      </w:r>
      <w:r>
        <w:rPr>
          <w:rFonts w:hint="eastAsia" w:ascii="宋体" w:hAnsi="宋体" w:eastAsia="宋体" w:cs="Times New Roman"/>
          <w:color w:val="auto"/>
          <w:szCs w:val="21"/>
          <w:highlight w:val="none"/>
        </w:rPr>
        <w:t>评标结果</w:t>
      </w:r>
      <w:r>
        <w:rPr>
          <w:rFonts w:hint="eastAsia" w:ascii="宋体" w:hAnsi="宋体" w:eastAsia="宋体" w:cs="Times New Roman"/>
          <w:color w:val="auto"/>
          <w:szCs w:val="21"/>
          <w:highlight w:val="none"/>
          <w:lang w:val="zh-CN"/>
        </w:rPr>
        <w:t>公示期间向招标代理机构以书面的形式提出，</w:t>
      </w:r>
      <w:r>
        <w:rPr>
          <w:rFonts w:ascii="宋体" w:hAnsi="宋体" w:eastAsia="宋体" w:cs="Times New Roman"/>
          <w:color w:val="auto"/>
          <w:szCs w:val="21"/>
          <w:highlight w:val="none"/>
          <w:lang w:val="zh-CN"/>
        </w:rPr>
        <w:t>并</w:t>
      </w:r>
      <w:r>
        <w:rPr>
          <w:rFonts w:hint="eastAsia" w:ascii="宋体" w:hAnsi="宋体" w:eastAsia="宋体" w:cs="Times New Roman"/>
          <w:color w:val="auto"/>
          <w:szCs w:val="21"/>
          <w:highlight w:val="none"/>
          <w:lang w:val="zh-CN"/>
        </w:rPr>
        <w:t>将完整的异议书面材料原件</w:t>
      </w:r>
      <w:r>
        <w:rPr>
          <w:rFonts w:ascii="宋体" w:hAnsi="宋体" w:eastAsia="宋体" w:cs="Times New Roman"/>
          <w:color w:val="auto"/>
          <w:szCs w:val="21"/>
          <w:highlight w:val="none"/>
          <w:lang w:val="zh-CN"/>
        </w:rPr>
        <w:t>送</w:t>
      </w:r>
      <w:r>
        <w:rPr>
          <w:rFonts w:hint="eastAsia" w:ascii="宋体" w:hAnsi="宋体" w:eastAsia="宋体" w:cs="Times New Roman"/>
          <w:color w:val="auto"/>
          <w:szCs w:val="21"/>
          <w:highlight w:val="none"/>
          <w:lang w:val="zh-CN"/>
        </w:rPr>
        <w:t>达招标代理机构，</w:t>
      </w:r>
      <w:r>
        <w:rPr>
          <w:rFonts w:ascii="宋体" w:hAnsi="宋体" w:eastAsia="宋体" w:cs="Times New Roman"/>
          <w:color w:val="auto"/>
          <w:szCs w:val="21"/>
          <w:highlight w:val="none"/>
          <w:lang w:val="zh-CN"/>
        </w:rPr>
        <w:t>逾期则视为</w:t>
      </w:r>
      <w:r>
        <w:rPr>
          <w:rFonts w:hint="eastAsia" w:ascii="宋体" w:hAnsi="宋体" w:eastAsia="宋体" w:cs="Times New Roman"/>
          <w:color w:val="auto"/>
          <w:szCs w:val="21"/>
          <w:highlight w:val="none"/>
          <w:lang w:val="zh-CN"/>
        </w:rPr>
        <w:t>对评标结果无异议。超出提交异议截止时间而提出的任何疑问，招标代理机构可不予答复</w:t>
      </w:r>
      <w:r>
        <w:rPr>
          <w:rFonts w:hint="eastAsia" w:ascii="宋体" w:hAnsi="宋体" w:eastAsia="宋体" w:cs="宋体"/>
          <w:color w:val="auto"/>
          <w:szCs w:val="21"/>
          <w:highlight w:val="none"/>
          <w:lang w:val="zh-CN"/>
        </w:rPr>
        <w:t>。</w:t>
      </w:r>
    </w:p>
    <w:p w14:paraId="6FAA7B5D">
      <w:pPr>
        <w:autoSpaceDE w:val="0"/>
        <w:autoSpaceDN w:val="0"/>
        <w:adjustRightInd w:val="0"/>
        <w:snapToGrid w:val="0"/>
        <w:spacing w:line="360" w:lineRule="auto"/>
        <w:ind w:left="210" w:leftChars="100" w:firstLine="525" w:firstLineChars="250"/>
        <w:jc w:val="left"/>
        <w:rPr>
          <w:rFonts w:ascii="宋体" w:hAnsi="宋体" w:eastAsia="宋体" w:cs="宋体"/>
          <w:color w:val="auto"/>
          <w:kern w:val="0"/>
          <w:szCs w:val="21"/>
          <w:highlight w:val="none"/>
          <w:lang w:val="zh-CN"/>
        </w:rPr>
      </w:pPr>
      <w:r>
        <w:rPr>
          <w:rFonts w:hint="eastAsia" w:ascii="宋体" w:hAnsi="宋体" w:eastAsia="宋体" w:cs="Times New Roman"/>
          <w:color w:val="auto"/>
          <w:szCs w:val="21"/>
          <w:highlight w:val="none"/>
          <w:lang w:val="zh-CN"/>
        </w:rPr>
        <w:t>招标代理机构将拒收未能提供完整异议书面材料的异议，完整的异议书面材料必须同时包含：异议书（加盖法人</w:t>
      </w:r>
      <w:r>
        <w:rPr>
          <w:rFonts w:ascii="宋体" w:hAnsi="宋体" w:eastAsia="宋体" w:cs="Times New Roman"/>
          <w:color w:val="auto"/>
          <w:szCs w:val="21"/>
          <w:highlight w:val="none"/>
          <w:lang w:val="zh-CN"/>
        </w:rPr>
        <w:t>公章</w:t>
      </w:r>
      <w:r>
        <w:rPr>
          <w:rFonts w:hint="eastAsia" w:ascii="宋体" w:hAnsi="宋体" w:eastAsia="宋体" w:cs="Times New Roman"/>
          <w:color w:val="auto"/>
          <w:szCs w:val="21"/>
          <w:highlight w:val="none"/>
          <w:lang w:val="zh-CN"/>
        </w:rPr>
        <w:t>，并注明联系人、联系电话、联系地址）、授权提交异议的法定代表人授权书原件、反映异议人主体资格的营业执照复印件（加盖法人</w:t>
      </w:r>
      <w:r>
        <w:rPr>
          <w:rFonts w:ascii="宋体" w:hAnsi="宋体" w:eastAsia="宋体" w:cs="Times New Roman"/>
          <w:color w:val="auto"/>
          <w:szCs w:val="21"/>
          <w:highlight w:val="none"/>
          <w:lang w:val="zh-CN"/>
        </w:rPr>
        <w:t>公章</w:t>
      </w:r>
      <w:r>
        <w:rPr>
          <w:rFonts w:hint="eastAsia" w:ascii="宋体" w:hAnsi="宋体" w:eastAsia="宋体" w:cs="Times New Roman"/>
          <w:color w:val="auto"/>
          <w:szCs w:val="21"/>
          <w:highlight w:val="none"/>
          <w:lang w:val="zh-CN"/>
        </w:rPr>
        <w:t>）、以及合法来源的证据证明材料</w:t>
      </w:r>
      <w:r>
        <w:rPr>
          <w:rFonts w:hint="eastAsia" w:ascii="宋体" w:hAnsi="宋体" w:eastAsia="宋体" w:cs="宋体"/>
          <w:color w:val="auto"/>
          <w:kern w:val="0"/>
          <w:szCs w:val="21"/>
          <w:highlight w:val="none"/>
          <w:lang w:val="zh-CN"/>
        </w:rPr>
        <w:t>。</w:t>
      </w:r>
    </w:p>
    <w:p w14:paraId="527FD3AA">
      <w:pPr>
        <w:autoSpaceDE w:val="0"/>
        <w:autoSpaceDN w:val="0"/>
        <w:adjustRightInd w:val="0"/>
        <w:spacing w:line="360" w:lineRule="auto"/>
        <w:ind w:left="284" w:hanging="568"/>
        <w:rPr>
          <w:rFonts w:ascii="宋体" w:hAnsi="宋体" w:eastAsia="宋体" w:cs="Times New Roman"/>
          <w:b/>
          <w:color w:val="auto"/>
          <w:szCs w:val="21"/>
          <w:highlight w:val="none"/>
          <w:lang w:val="zh-CN"/>
        </w:rPr>
      </w:pPr>
      <w:r>
        <w:rPr>
          <w:rFonts w:hint="eastAsia" w:ascii="宋体" w:hAnsi="宋体" w:eastAsia="宋体" w:cs="Times New Roman"/>
          <w:b/>
          <w:color w:val="auto"/>
          <w:szCs w:val="21"/>
          <w:highlight w:val="none"/>
        </w:rPr>
        <w:t xml:space="preserve">31.2 </w:t>
      </w:r>
      <w:r>
        <w:rPr>
          <w:rFonts w:hint="eastAsia" w:ascii="宋体" w:hAnsi="宋体" w:eastAsia="宋体" w:cs="Times New Roman"/>
          <w:b/>
          <w:color w:val="auto"/>
          <w:szCs w:val="21"/>
          <w:highlight w:val="none"/>
          <w:lang w:val="zh-CN"/>
        </w:rPr>
        <w:t>结果公示后，招标人有权要求中标候选人在结果公示之日起3日（最后一日是节假日或公休日的，应顺延到节假日或公休日后第一个工作日）内提交投标文件中所提供的资格证明文件、业绩证明文件、对招标文件实质性条款响应文件、履约能力证明文件的原件供招标人核查。招标人如有需要，中标候选人有义务提供投标文件外其他相关证明资料原件（包括但不限于业绩合同对应的发票等）供招标人核查。招标人如发现投标人提供虚假证明文件、虚假响应文件等弄虚作假行为骗取中标的，招标人将取消其中标资格，不予退还其投标保证金。涉嫌违法犯罪的，将</w:t>
      </w:r>
      <w:r>
        <w:rPr>
          <w:rFonts w:ascii="宋体" w:hAnsi="宋体" w:eastAsia="宋体" w:cs="Times New Roman"/>
          <w:b/>
          <w:color w:val="auto"/>
          <w:szCs w:val="21"/>
          <w:highlight w:val="none"/>
          <w:lang w:val="zh-CN"/>
        </w:rPr>
        <w:t>移交司法机关处理</w:t>
      </w:r>
      <w:r>
        <w:rPr>
          <w:rFonts w:hint="eastAsia" w:ascii="宋体" w:hAnsi="宋体" w:eastAsia="宋体" w:cs="Times New Roman"/>
          <w:b/>
          <w:color w:val="auto"/>
          <w:szCs w:val="21"/>
          <w:highlight w:val="none"/>
          <w:lang w:val="zh-CN"/>
        </w:rPr>
        <w:t>。</w:t>
      </w:r>
    </w:p>
    <w:p w14:paraId="253B9891">
      <w:pPr>
        <w:autoSpaceDE w:val="0"/>
        <w:autoSpaceDN w:val="0"/>
        <w:adjustRightInd w:val="0"/>
        <w:snapToGrid w:val="0"/>
        <w:spacing w:line="360" w:lineRule="auto"/>
        <w:ind w:left="246" w:leftChars="117" w:firstLine="422" w:firstLineChars="200"/>
        <w:jc w:val="left"/>
        <w:rPr>
          <w:rFonts w:ascii="宋体" w:hAnsi="宋体" w:eastAsia="宋体" w:cs="Times New Roman"/>
          <w:b/>
          <w:color w:val="auto"/>
          <w:szCs w:val="21"/>
          <w:highlight w:val="none"/>
          <w:lang w:val="zh-CN"/>
        </w:rPr>
      </w:pPr>
      <w:r>
        <w:rPr>
          <w:rFonts w:hint="eastAsia" w:ascii="宋体" w:hAnsi="宋体" w:eastAsia="宋体" w:cs="Times New Roman"/>
          <w:b/>
          <w:color w:val="auto"/>
          <w:szCs w:val="21"/>
          <w:highlight w:val="none"/>
          <w:lang w:val="zh-CN"/>
        </w:rPr>
        <w:t>当招标人（或其委托的招标代理机构）向中标候选人发出提供上述投标文件或投标文件外其他相关（包括但不限于业绩合同对应的发票等）的证明资料原件进行核查的书面通知后，</w:t>
      </w:r>
      <w:r>
        <w:rPr>
          <w:rFonts w:hint="eastAsia" w:ascii="宋体" w:hAnsi="宋体" w:eastAsia="宋体" w:cs="Times New Roman"/>
          <w:b/>
          <w:color w:val="auto"/>
          <w:kern w:val="0"/>
          <w:szCs w:val="21"/>
          <w:highlight w:val="none"/>
        </w:rPr>
        <w:t>第一中标候选人未能在招标人（或其委托的招标代理机构</w:t>
      </w:r>
      <w:r>
        <w:rPr>
          <w:rFonts w:ascii="宋体" w:hAnsi="宋体" w:eastAsia="宋体" w:cs="Times New Roman"/>
          <w:b/>
          <w:color w:val="auto"/>
          <w:kern w:val="0"/>
          <w:szCs w:val="21"/>
          <w:highlight w:val="none"/>
        </w:rPr>
        <w:t>) 书面要求的时间(一般不少于三个工作日) 内提供完整的材料原件进行核查的</w:t>
      </w:r>
      <w:r>
        <w:rPr>
          <w:rFonts w:hint="eastAsia" w:ascii="宋体" w:hAnsi="宋体" w:eastAsia="宋体" w:cs="Times New Roman"/>
          <w:b/>
          <w:color w:val="auto"/>
          <w:szCs w:val="21"/>
          <w:highlight w:val="none"/>
          <w:lang w:val="zh-CN"/>
        </w:rPr>
        <w:t>，视为其无法提供真实的资料，招标人有权取消其中标候选人资格。</w:t>
      </w:r>
    </w:p>
    <w:p w14:paraId="30C6962B">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rPr>
        <w:t>31</w:t>
      </w:r>
      <w:r>
        <w:rPr>
          <w:rFonts w:hint="eastAsia" w:ascii="宋体" w:hAnsi="宋体" w:eastAsia="宋体" w:cs="宋体"/>
          <w:color w:val="auto"/>
          <w:szCs w:val="21"/>
          <w:highlight w:val="none"/>
          <w:lang w:val="zh-CN"/>
        </w:rPr>
        <w:t>.3 投标人或者其他利害关系人认为招标投标活动不符合法律、行政法规规定的，可以自知道或者应当知道之日起10日内，按程序向招标人采购活动的监督部门投诉。投诉应当提供纸质投诉书及必要的证明材料。投诉书应当包括下列内容：</w:t>
      </w:r>
    </w:p>
    <w:p w14:paraId="7D725195">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（一）投诉人和被投诉人的姓名或者名称、通讯地址、邮编、联系人及联系电话；</w:t>
      </w:r>
    </w:p>
    <w:p w14:paraId="53C8C586">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（二）异议和异议答复情况说明及相关证明材料；</w:t>
      </w:r>
    </w:p>
    <w:p w14:paraId="0D798654">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（三）具体、明确的投诉事项和与投诉事项相关的投诉请求；</w:t>
      </w:r>
    </w:p>
    <w:p w14:paraId="32C4F491">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（四）事实依据；</w:t>
      </w:r>
    </w:p>
    <w:p w14:paraId="056B72C4">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（五）法律依据；</w:t>
      </w:r>
    </w:p>
    <w:p w14:paraId="4635F213">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（六）提起投诉的日期。</w:t>
      </w:r>
    </w:p>
    <w:p w14:paraId="42997449">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     投诉人为法人或者其他组织的，应当由法定代表人、主要负责人，或者其授权代表签字或者盖章，并加盖公章。</w:t>
      </w:r>
    </w:p>
    <w:p w14:paraId="7BA3C690">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    </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投诉人投诉的事项不得超出已异议事项的范围，但基于异议答复内容提出的投诉事项除外。</w:t>
      </w:r>
    </w:p>
    <w:p w14:paraId="650F189E">
      <w:pPr>
        <w:autoSpaceDE w:val="0"/>
        <w:autoSpaceDN w:val="0"/>
        <w:adjustRightInd w:val="0"/>
        <w:snapToGrid w:val="0"/>
        <w:spacing w:line="360" w:lineRule="auto"/>
        <w:ind w:left="319" w:leftChars="-100" w:hanging="529" w:hangingChars="252"/>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    </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监督部门：东莞市水务集团有限公司，联系人：莫先生，联系电话：0769-28823251。</w:t>
      </w:r>
    </w:p>
    <w:p w14:paraId="0531555F">
      <w:pPr>
        <w:autoSpaceDE w:val="0"/>
        <w:autoSpaceDN w:val="0"/>
        <w:adjustRightInd w:val="0"/>
        <w:snapToGrid w:val="0"/>
        <w:spacing w:line="360" w:lineRule="auto"/>
        <w:ind w:left="296" w:leftChars="100" w:hanging="86" w:hangingChars="41"/>
        <w:jc w:val="left"/>
        <w:rPr>
          <w:rFonts w:ascii="宋体" w:hAnsi="宋体" w:eastAsia="宋体" w:cs="宋体"/>
          <w:color w:val="auto"/>
          <w:szCs w:val="21"/>
          <w:highlight w:val="none"/>
          <w:lang w:val="zh-CN"/>
        </w:rPr>
      </w:pPr>
    </w:p>
    <w:p w14:paraId="362722D5">
      <w:pPr>
        <w:tabs>
          <w:tab w:val="left" w:pos="567"/>
        </w:tabs>
        <w:autoSpaceDE w:val="0"/>
        <w:autoSpaceDN w:val="0"/>
        <w:adjustRightInd w:val="0"/>
        <w:spacing w:line="360" w:lineRule="auto"/>
        <w:ind w:left="288" w:leftChars="-100" w:hanging="498" w:hangingChars="236"/>
        <w:outlineLvl w:val="2"/>
        <w:rPr>
          <w:rFonts w:ascii="宋体" w:hAnsi="宋体" w:eastAsia="宋体" w:cs="宋体"/>
          <w:b/>
          <w:color w:val="auto"/>
          <w:szCs w:val="21"/>
          <w:highlight w:val="none"/>
          <w:lang w:val="zh-CN"/>
        </w:rPr>
      </w:pPr>
      <w:bookmarkStart w:id="287" w:name="_Toc142508346"/>
      <w:bookmarkStart w:id="288" w:name="_Toc195714252"/>
      <w:bookmarkStart w:id="289" w:name="_Toc465358970"/>
      <w:bookmarkStart w:id="290" w:name="_Toc486167695"/>
      <w:bookmarkStart w:id="291" w:name="_Toc466882018"/>
      <w:bookmarkStart w:id="292" w:name="_Toc6945"/>
      <w:bookmarkStart w:id="293" w:name="_Toc3154"/>
      <w:bookmarkStart w:id="294" w:name="_Toc26354"/>
      <w:bookmarkStart w:id="295" w:name="_Toc1848_WPSOffice_Level3"/>
      <w:r>
        <w:rPr>
          <w:rFonts w:hint="eastAsia" w:ascii="宋体" w:hAnsi="宋体" w:eastAsia="宋体" w:cs="宋体"/>
          <w:b/>
          <w:color w:val="auto"/>
          <w:szCs w:val="21"/>
          <w:highlight w:val="none"/>
        </w:rPr>
        <w:t>32</w:t>
      </w:r>
      <w:r>
        <w:rPr>
          <w:rFonts w:hint="eastAsia" w:ascii="宋体" w:hAnsi="宋体" w:eastAsia="宋体" w:cs="宋体"/>
          <w:b/>
          <w:color w:val="auto"/>
          <w:szCs w:val="21"/>
          <w:highlight w:val="none"/>
          <w:lang w:val="zh-CN"/>
        </w:rPr>
        <w:t xml:space="preserve"> 真实性审查</w:t>
      </w:r>
      <w:bookmarkEnd w:id="287"/>
      <w:bookmarkEnd w:id="288"/>
      <w:bookmarkEnd w:id="289"/>
      <w:bookmarkEnd w:id="290"/>
      <w:bookmarkEnd w:id="291"/>
      <w:bookmarkEnd w:id="292"/>
      <w:bookmarkEnd w:id="293"/>
      <w:bookmarkEnd w:id="294"/>
      <w:bookmarkEnd w:id="295"/>
    </w:p>
    <w:p w14:paraId="3FB57939">
      <w:pPr>
        <w:autoSpaceDE w:val="0"/>
        <w:autoSpaceDN w:val="0"/>
        <w:adjustRightInd w:val="0"/>
        <w:snapToGrid w:val="0"/>
        <w:spacing w:line="360" w:lineRule="auto"/>
        <w:ind w:left="321" w:leftChars="-100" w:hanging="531" w:hangingChars="252"/>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32.1 在</w:t>
      </w:r>
      <w:r>
        <w:rPr>
          <w:rFonts w:hint="eastAsia" w:ascii="宋体" w:hAnsi="宋体" w:eastAsia="宋体" w:cs="Times New Roman"/>
          <w:b/>
          <w:color w:val="auto"/>
          <w:kern w:val="0"/>
          <w:szCs w:val="21"/>
          <w:highlight w:val="none"/>
        </w:rPr>
        <w:t>授予合同前，招标人（或其委托的招标代理机构）、或评标委员会有权组织对投标人的真实性审查。包括对投标人的资格证明文件、业绩证明文件、对招标文件实质性条款响应文件、履约能力证明文件的原件真实性进行核查。招标人</w:t>
      </w:r>
      <w:r>
        <w:rPr>
          <w:rFonts w:hint="eastAsia" w:ascii="宋体" w:hAnsi="宋体" w:eastAsia="宋体" w:cs="Times New Roman"/>
          <w:b/>
          <w:color w:val="auto"/>
          <w:szCs w:val="21"/>
          <w:highlight w:val="none"/>
          <w:lang w:val="zh-CN"/>
        </w:rPr>
        <w:t>如有需要，投标人有义务提供投标文件外其他相关证明资料原件（包括但不限于业绩合同对应的发票等）供招标人核查。</w:t>
      </w:r>
      <w:r>
        <w:rPr>
          <w:rFonts w:hint="eastAsia" w:ascii="宋体" w:hAnsi="宋体" w:eastAsia="宋体" w:cs="Times New Roman"/>
          <w:b/>
          <w:color w:val="auto"/>
          <w:kern w:val="0"/>
          <w:szCs w:val="21"/>
          <w:highlight w:val="none"/>
        </w:rPr>
        <w:t>若发现投标人提供虚假证明文件、虚假响应文件等弄虚作假行为的，或经审查确认其经营、财务状况发生较大变化（或者存在违法行为）导致无法按照投标文件的承诺履约的，或其明确表示不按照投标文件承诺履约的，等影响中标结果的行为，招标人有权按照评标委员会提出的中标候选人名单排序依次确定其他中标候选人为中标人或重新招标</w:t>
      </w:r>
      <w:r>
        <w:rPr>
          <w:rFonts w:hint="eastAsia" w:ascii="宋体" w:hAnsi="宋体" w:eastAsia="宋体" w:cs="宋体"/>
          <w:b/>
          <w:color w:val="auto"/>
          <w:szCs w:val="21"/>
          <w:highlight w:val="none"/>
        </w:rPr>
        <w:t>。</w:t>
      </w:r>
    </w:p>
    <w:p w14:paraId="41CCDADF">
      <w:pPr>
        <w:autoSpaceDE w:val="0"/>
        <w:autoSpaceDN w:val="0"/>
        <w:adjustRightInd w:val="0"/>
        <w:snapToGrid w:val="0"/>
        <w:spacing w:line="360" w:lineRule="auto"/>
        <w:ind w:left="321" w:leftChars="-100" w:hanging="531" w:hangingChars="252"/>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32.2 投标人</w:t>
      </w:r>
      <w:r>
        <w:rPr>
          <w:rFonts w:hint="eastAsia" w:ascii="宋体" w:hAnsi="宋体" w:eastAsia="宋体" w:cs="Times New Roman"/>
          <w:b/>
          <w:color w:val="auto"/>
          <w:kern w:val="0"/>
          <w:szCs w:val="21"/>
          <w:highlight w:val="none"/>
        </w:rPr>
        <w:t>在招标人（或其委托的招标代理机构）、或评标委员会通知其提供</w:t>
      </w:r>
      <w:r>
        <w:rPr>
          <w:rFonts w:hint="eastAsia" w:ascii="宋体" w:hAnsi="宋体" w:eastAsia="宋体" w:cs="Times New Roman"/>
          <w:b/>
          <w:color w:val="auto"/>
          <w:szCs w:val="21"/>
          <w:highlight w:val="none"/>
          <w:lang w:val="zh-CN"/>
        </w:rPr>
        <w:t>上述投标文件或投标文件外其他相关（包括但不限于业绩合同对应的发票等）的证明资料原件</w:t>
      </w:r>
      <w:r>
        <w:rPr>
          <w:rFonts w:hint="eastAsia" w:ascii="宋体" w:hAnsi="宋体" w:eastAsia="宋体" w:cs="Times New Roman"/>
          <w:b/>
          <w:color w:val="auto"/>
          <w:kern w:val="0"/>
          <w:szCs w:val="21"/>
          <w:highlight w:val="none"/>
        </w:rPr>
        <w:t>进行核查的要求后，未能在约定的时间内提供原件进行核查的，视为投标人无法提供真实的资料，招标人有权按照评标委员会提出的中标候选人名单排序依次确定其他中标候选人为中标人或重新招标</w:t>
      </w:r>
      <w:r>
        <w:rPr>
          <w:rFonts w:hint="eastAsia" w:ascii="宋体" w:hAnsi="宋体" w:eastAsia="宋体" w:cs="宋体"/>
          <w:b/>
          <w:color w:val="auto"/>
          <w:szCs w:val="21"/>
          <w:highlight w:val="none"/>
        </w:rPr>
        <w:t>。</w:t>
      </w:r>
    </w:p>
    <w:p w14:paraId="3177F93D">
      <w:pPr>
        <w:autoSpaceDE w:val="0"/>
        <w:autoSpaceDN w:val="0"/>
        <w:adjustRightInd w:val="0"/>
        <w:snapToGrid w:val="0"/>
        <w:spacing w:line="360" w:lineRule="auto"/>
        <w:ind w:left="321" w:leftChars="-100" w:hanging="531" w:hangingChars="252"/>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32.3 若投标人在投标或履约过程中存在提供虚假材料、</w:t>
      </w:r>
      <w:r>
        <w:rPr>
          <w:rFonts w:ascii="宋体" w:hAnsi="宋体" w:eastAsia="宋体" w:cs="宋体"/>
          <w:b/>
          <w:color w:val="auto"/>
          <w:szCs w:val="21"/>
          <w:highlight w:val="none"/>
        </w:rPr>
        <w:t>虚假响应</w:t>
      </w:r>
      <w:r>
        <w:rPr>
          <w:rFonts w:hint="eastAsia" w:ascii="宋体" w:hAnsi="宋体" w:eastAsia="宋体" w:cs="宋体"/>
          <w:b/>
          <w:color w:val="auto"/>
          <w:szCs w:val="21"/>
          <w:highlight w:val="none"/>
        </w:rPr>
        <w:t>招标</w:t>
      </w:r>
      <w:r>
        <w:rPr>
          <w:rFonts w:ascii="宋体" w:hAnsi="宋体" w:eastAsia="宋体" w:cs="宋体"/>
          <w:b/>
          <w:color w:val="auto"/>
          <w:szCs w:val="21"/>
          <w:highlight w:val="none"/>
        </w:rPr>
        <w:t>文件</w:t>
      </w:r>
      <w:r>
        <w:rPr>
          <w:rFonts w:hint="eastAsia" w:ascii="宋体" w:hAnsi="宋体" w:eastAsia="宋体" w:cs="宋体"/>
          <w:b/>
          <w:color w:val="auto"/>
          <w:szCs w:val="21"/>
          <w:highlight w:val="none"/>
        </w:rPr>
        <w:t>要求等弄虚作假行为，或未能根据</w:t>
      </w:r>
      <w:r>
        <w:rPr>
          <w:rFonts w:hint="eastAsia" w:ascii="宋体" w:hAnsi="宋体" w:eastAsia="宋体" w:cs="宋体"/>
          <w:b/>
          <w:color w:val="auto"/>
          <w:szCs w:val="21"/>
          <w:highlight w:val="none"/>
          <w:lang w:eastAsia="zh-CN"/>
        </w:rPr>
        <w:t>本投标人须知</w:t>
      </w:r>
      <w:r>
        <w:rPr>
          <w:rFonts w:hint="eastAsia" w:ascii="宋体" w:hAnsi="宋体" w:eastAsia="宋体" w:cs="宋体"/>
          <w:b/>
          <w:color w:val="auto"/>
          <w:szCs w:val="21"/>
          <w:highlight w:val="none"/>
        </w:rPr>
        <w:t>31</w:t>
      </w:r>
      <w:r>
        <w:rPr>
          <w:rFonts w:ascii="宋体" w:hAnsi="宋体" w:eastAsia="宋体" w:cs="宋体"/>
          <w:b/>
          <w:color w:val="auto"/>
          <w:szCs w:val="21"/>
          <w:highlight w:val="none"/>
        </w:rPr>
        <w:t>.2</w:t>
      </w:r>
      <w:r>
        <w:rPr>
          <w:rFonts w:hint="eastAsia" w:ascii="宋体" w:hAnsi="宋体" w:eastAsia="宋体" w:cs="宋体"/>
          <w:b/>
          <w:color w:val="auto"/>
          <w:szCs w:val="21"/>
          <w:highlight w:val="none"/>
        </w:rPr>
        <w:t>款约定按时提供原件进行核查的，</w:t>
      </w:r>
      <w:r>
        <w:rPr>
          <w:rFonts w:ascii="宋体" w:hAnsi="宋体" w:eastAsia="宋体" w:cs="宋体"/>
          <w:b/>
          <w:color w:val="auto"/>
          <w:szCs w:val="21"/>
          <w:highlight w:val="none"/>
        </w:rPr>
        <w:t>或不按照投标文件承诺履约</w:t>
      </w:r>
      <w:r>
        <w:rPr>
          <w:rFonts w:hint="eastAsia" w:ascii="宋体" w:hAnsi="宋体" w:eastAsia="宋体" w:cs="宋体"/>
          <w:b/>
          <w:color w:val="auto"/>
          <w:szCs w:val="21"/>
          <w:highlight w:val="none"/>
        </w:rPr>
        <w:t>或</w:t>
      </w:r>
      <w:r>
        <w:rPr>
          <w:rFonts w:hint="eastAsia" w:ascii="宋体" w:hAnsi="宋体" w:eastAsia="宋体" w:cs="宋体"/>
          <w:b/>
          <w:color w:val="auto"/>
          <w:szCs w:val="21"/>
          <w:highlight w:val="none"/>
          <w:lang w:eastAsia="zh-CN"/>
        </w:rPr>
        <w:t>撤销</w:t>
      </w:r>
      <w:r>
        <w:rPr>
          <w:rFonts w:hint="eastAsia" w:ascii="宋体" w:hAnsi="宋体" w:eastAsia="宋体" w:cs="宋体"/>
          <w:b/>
          <w:color w:val="auto"/>
          <w:szCs w:val="21"/>
          <w:highlight w:val="none"/>
        </w:rPr>
        <w:t>投标或放弃中标资格或</w:t>
      </w:r>
      <w:r>
        <w:rPr>
          <w:rFonts w:ascii="宋体" w:hAnsi="宋体" w:eastAsia="宋体" w:cs="宋体"/>
          <w:b/>
          <w:color w:val="auto"/>
          <w:szCs w:val="21"/>
          <w:highlight w:val="none"/>
        </w:rPr>
        <w:t>不按要求与招标人签订合同等影响中标结果的行为</w:t>
      </w:r>
      <w:r>
        <w:rPr>
          <w:rFonts w:hint="eastAsia" w:ascii="宋体" w:hAnsi="宋体" w:eastAsia="宋体" w:cs="宋体"/>
          <w:b/>
          <w:color w:val="auto"/>
          <w:szCs w:val="21"/>
          <w:highlight w:val="none"/>
        </w:rPr>
        <w:t>，因此导致投标人无法参与东莞市水务集团有限公司相关招标采购等活动的，由投标人自行承担全部后果。</w:t>
      </w:r>
    </w:p>
    <w:p w14:paraId="7B791BD6">
      <w:pPr>
        <w:autoSpaceDE w:val="0"/>
        <w:autoSpaceDN w:val="0"/>
        <w:adjustRightInd w:val="0"/>
        <w:snapToGrid w:val="0"/>
        <w:spacing w:line="360" w:lineRule="auto"/>
        <w:jc w:val="left"/>
        <w:rPr>
          <w:rFonts w:ascii="宋体" w:hAnsi="宋体" w:eastAsia="宋体" w:cs="宋体"/>
          <w:color w:val="auto"/>
          <w:szCs w:val="21"/>
          <w:highlight w:val="none"/>
        </w:rPr>
      </w:pPr>
      <w:bookmarkStart w:id="296" w:name="_Toc465358971"/>
      <w:bookmarkStart w:id="297" w:name="_Toc466882019"/>
    </w:p>
    <w:p w14:paraId="35C7DAD2">
      <w:pPr>
        <w:tabs>
          <w:tab w:val="left" w:pos="567"/>
        </w:tabs>
        <w:autoSpaceDE w:val="0"/>
        <w:autoSpaceDN w:val="0"/>
        <w:adjustRightInd w:val="0"/>
        <w:spacing w:line="360" w:lineRule="auto"/>
        <w:ind w:left="16" w:leftChars="-59" w:hanging="140" w:hangingChars="67"/>
        <w:outlineLvl w:val="2"/>
        <w:rPr>
          <w:rFonts w:ascii="宋体" w:hAnsi="宋体" w:eastAsia="宋体" w:cs="宋体"/>
          <w:color w:val="auto"/>
          <w:szCs w:val="21"/>
          <w:highlight w:val="none"/>
          <w:lang w:val="zh-CN"/>
        </w:rPr>
      </w:pPr>
      <w:bookmarkStart w:id="298" w:name="_Toc32262"/>
      <w:bookmarkStart w:id="299" w:name="_Toc195714253"/>
      <w:bookmarkStart w:id="300" w:name="_Toc23672"/>
      <w:bookmarkStart w:id="301" w:name="_Toc8654"/>
      <w:bookmarkStart w:id="302" w:name="_Toc486167696"/>
      <w:bookmarkStart w:id="303" w:name="_Toc142508347"/>
      <w:bookmarkStart w:id="304" w:name="_Toc10867_WPSOffice_Level3"/>
      <w:r>
        <w:rPr>
          <w:rFonts w:hint="eastAsia" w:ascii="宋体" w:hAnsi="宋体" w:eastAsia="宋体" w:cs="宋体"/>
          <w:color w:val="auto"/>
          <w:szCs w:val="21"/>
          <w:highlight w:val="none"/>
        </w:rPr>
        <w:t>33</w:t>
      </w:r>
      <w:r>
        <w:rPr>
          <w:rFonts w:hint="eastAsia" w:ascii="宋体" w:hAnsi="宋体" w:eastAsia="宋体" w:cs="宋体"/>
          <w:color w:val="auto"/>
          <w:szCs w:val="21"/>
          <w:highlight w:val="none"/>
          <w:lang w:val="zh-CN"/>
        </w:rPr>
        <w:t xml:space="preserve"> 评标委员会和招标人接受或拒绝任何投标或所有投标的权利</w:t>
      </w:r>
      <w:bookmarkEnd w:id="296"/>
      <w:bookmarkEnd w:id="297"/>
      <w:bookmarkEnd w:id="298"/>
      <w:bookmarkEnd w:id="299"/>
      <w:bookmarkEnd w:id="300"/>
      <w:bookmarkEnd w:id="301"/>
      <w:bookmarkEnd w:id="302"/>
      <w:bookmarkEnd w:id="303"/>
      <w:bookmarkEnd w:id="304"/>
    </w:p>
    <w:p w14:paraId="4BB938C8">
      <w:pPr>
        <w:autoSpaceDE w:val="0"/>
        <w:autoSpaceDN w:val="0"/>
        <w:adjustRightInd w:val="0"/>
        <w:spacing w:line="360" w:lineRule="auto"/>
        <w:ind w:left="248" w:leftChars="118" w:firstLine="1"/>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在授予合同前的任何时候，招标人仍保留接受或拒绝任何投标，宣布招标程序无效或拒绝所有投标的权利，无需向受影响的投标人承担任何责任。</w:t>
      </w:r>
    </w:p>
    <w:p w14:paraId="278B1748">
      <w:pPr>
        <w:autoSpaceDE w:val="0"/>
        <w:autoSpaceDN w:val="0"/>
        <w:adjustRightInd w:val="0"/>
        <w:snapToGrid w:val="0"/>
        <w:spacing w:line="360" w:lineRule="auto"/>
        <w:ind w:left="436" w:leftChars="-158" w:hanging="768" w:hangingChars="320"/>
        <w:jc w:val="left"/>
        <w:rPr>
          <w:rFonts w:ascii="宋体" w:hAnsi="宋体" w:eastAsia="宋体" w:cs="宋体"/>
          <w:color w:val="auto"/>
          <w:kern w:val="44"/>
          <w:sz w:val="24"/>
          <w:szCs w:val="24"/>
          <w:highlight w:val="none"/>
          <w:lang w:val="zh-CN"/>
        </w:rPr>
      </w:pPr>
      <w:bookmarkStart w:id="305" w:name="_Toc450662880"/>
    </w:p>
    <w:p w14:paraId="0109B608">
      <w:pPr>
        <w:keepNext/>
        <w:keepLines/>
        <w:autoSpaceDE w:val="0"/>
        <w:autoSpaceDN w:val="0"/>
        <w:adjustRightInd w:val="0"/>
        <w:spacing w:line="360" w:lineRule="auto"/>
        <w:jc w:val="left"/>
        <w:outlineLvl w:val="0"/>
        <w:rPr>
          <w:rFonts w:ascii="宋体" w:hAnsi="宋体" w:eastAsia="宋体" w:cs="宋体"/>
          <w:b/>
          <w:bCs/>
          <w:color w:val="auto"/>
          <w:kern w:val="44"/>
          <w:szCs w:val="21"/>
          <w:highlight w:val="none"/>
          <w:lang w:val="zh-CN"/>
        </w:rPr>
      </w:pPr>
      <w:bookmarkStart w:id="306" w:name="_Toc27936"/>
      <w:bookmarkStart w:id="307" w:name="_Toc486167697"/>
      <w:bookmarkStart w:id="308" w:name="_Toc142508348"/>
      <w:bookmarkStart w:id="309" w:name="_Toc16789"/>
      <w:bookmarkStart w:id="310" w:name="_Toc140596907"/>
      <w:bookmarkStart w:id="311" w:name="_Toc195714254"/>
      <w:bookmarkStart w:id="312" w:name="_Toc16848_WPSOffice_Level2"/>
      <w:bookmarkStart w:id="313" w:name="_Toc27480"/>
      <w:r>
        <w:rPr>
          <w:rFonts w:hint="eastAsia" w:ascii="宋体" w:hAnsi="宋体" w:eastAsia="宋体" w:cs="宋体"/>
          <w:b/>
          <w:bCs/>
          <w:color w:val="auto"/>
          <w:kern w:val="44"/>
          <w:szCs w:val="21"/>
          <w:highlight w:val="none"/>
          <w:lang w:val="zh-CN"/>
        </w:rPr>
        <w:t>六、授予合同</w:t>
      </w:r>
      <w:bookmarkEnd w:id="305"/>
      <w:bookmarkEnd w:id="306"/>
      <w:bookmarkEnd w:id="307"/>
      <w:bookmarkEnd w:id="308"/>
      <w:bookmarkEnd w:id="309"/>
      <w:bookmarkEnd w:id="310"/>
      <w:bookmarkEnd w:id="311"/>
      <w:bookmarkEnd w:id="312"/>
      <w:bookmarkEnd w:id="313"/>
    </w:p>
    <w:p w14:paraId="14BF56E7">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314" w:name="_Toc486167698"/>
      <w:bookmarkStart w:id="315" w:name="_Toc30988"/>
      <w:bookmarkStart w:id="316" w:name="_Toc195714255"/>
      <w:bookmarkStart w:id="317" w:name="_Toc450662881"/>
      <w:bookmarkStart w:id="318" w:name="_Toc6401_WPSOffice_Level3"/>
      <w:bookmarkStart w:id="319" w:name="_Toc142508349"/>
      <w:bookmarkStart w:id="320" w:name="_Toc31713"/>
      <w:bookmarkStart w:id="321" w:name="_Toc29383"/>
      <w:r>
        <w:rPr>
          <w:rFonts w:hint="eastAsia" w:ascii="宋体" w:hAnsi="宋体" w:eastAsia="宋体" w:cs="宋体"/>
          <w:color w:val="auto"/>
          <w:szCs w:val="21"/>
          <w:highlight w:val="none"/>
        </w:rPr>
        <w:t>34</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授予合同的准则</w:t>
      </w:r>
      <w:bookmarkEnd w:id="314"/>
      <w:bookmarkEnd w:id="315"/>
      <w:bookmarkEnd w:id="316"/>
      <w:bookmarkEnd w:id="317"/>
      <w:bookmarkEnd w:id="318"/>
      <w:bookmarkEnd w:id="319"/>
      <w:bookmarkEnd w:id="320"/>
      <w:bookmarkEnd w:id="321"/>
    </w:p>
    <w:p w14:paraId="072BDABE">
      <w:pPr>
        <w:tabs>
          <w:tab w:val="left" w:pos="645"/>
        </w:tabs>
        <w:autoSpaceDE w:val="0"/>
        <w:autoSpaceDN w:val="0"/>
        <w:adjustRightInd w:val="0"/>
        <w:spacing w:line="360" w:lineRule="auto"/>
        <w:ind w:left="330" w:leftChars="-100" w:right="44" w:rightChars="21"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rPr>
        <w:t>34</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除第</w:t>
      </w:r>
      <w:r>
        <w:rPr>
          <w:rFonts w:hint="eastAsia" w:ascii="宋体" w:hAnsi="宋体" w:eastAsia="宋体" w:cs="宋体"/>
          <w:color w:val="auto"/>
          <w:szCs w:val="21"/>
          <w:highlight w:val="none"/>
        </w:rPr>
        <w:t>31</w:t>
      </w:r>
      <w:r>
        <w:rPr>
          <w:rFonts w:hint="eastAsia" w:ascii="宋体" w:hAnsi="宋体" w:eastAsia="宋体" w:cs="宋体"/>
          <w:color w:val="auto"/>
          <w:szCs w:val="21"/>
          <w:highlight w:val="none"/>
          <w:lang w:val="zh-CN"/>
        </w:rPr>
        <w:t>条、</w:t>
      </w:r>
      <w:r>
        <w:rPr>
          <w:rFonts w:hint="eastAsia" w:ascii="宋体" w:hAnsi="宋体" w:eastAsia="宋体" w:cs="宋体"/>
          <w:color w:val="auto"/>
          <w:szCs w:val="21"/>
          <w:highlight w:val="none"/>
        </w:rPr>
        <w:t>32</w:t>
      </w:r>
      <w:r>
        <w:rPr>
          <w:rFonts w:hint="eastAsia" w:ascii="宋体" w:hAnsi="宋体" w:eastAsia="宋体" w:cs="宋体"/>
          <w:color w:val="auto"/>
          <w:szCs w:val="21"/>
          <w:highlight w:val="none"/>
          <w:lang w:val="zh-CN"/>
        </w:rPr>
        <w:t>条</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Cs w:val="24"/>
          <w:highlight w:val="none"/>
        </w:rPr>
        <w:t>33</w:t>
      </w:r>
      <w:r>
        <w:rPr>
          <w:rFonts w:hint="eastAsia" w:ascii="宋体" w:hAnsi="宋体" w:eastAsia="宋体" w:cs="宋体"/>
          <w:color w:val="auto"/>
          <w:szCs w:val="21"/>
          <w:highlight w:val="none"/>
          <w:lang w:val="zh-CN"/>
        </w:rPr>
        <w:t>条规定外，招标人将合同授予其投标文件符合招标文件要求，并且能承诺履行合同，对招标人最为有利的投标人。</w:t>
      </w:r>
    </w:p>
    <w:p w14:paraId="2709DB8A">
      <w:pPr>
        <w:numPr>
          <w:ilvl w:val="1"/>
          <w:numId w:val="0"/>
        </w:numPr>
        <w:tabs>
          <w:tab w:val="left" w:pos="540"/>
        </w:tabs>
        <w:autoSpaceDE w:val="0"/>
        <w:autoSpaceDN w:val="0"/>
        <w:adjustRightInd w:val="0"/>
        <w:spacing w:line="360" w:lineRule="auto"/>
        <w:ind w:left="330" w:leftChars="-100" w:right="44" w:rightChars="21"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rPr>
        <w:t>34</w:t>
      </w:r>
      <w:r>
        <w:rPr>
          <w:rFonts w:hint="eastAsia" w:ascii="宋体" w:hAnsi="宋体" w:eastAsia="宋体" w:cs="宋体"/>
          <w:color w:val="auto"/>
          <w:szCs w:val="21"/>
          <w:highlight w:val="none"/>
          <w:lang w:val="zh-CN"/>
        </w:rPr>
        <w:t>.2 招标人依法</w:t>
      </w:r>
      <w:r>
        <w:rPr>
          <w:rFonts w:hint="eastAsia" w:ascii="宋体" w:hAnsi="宋体" w:eastAsia="宋体" w:cs="宋体"/>
          <w:color w:val="auto"/>
          <w:kern w:val="0"/>
          <w:szCs w:val="21"/>
          <w:highlight w:val="none"/>
        </w:rPr>
        <w:t>按照评标报告中推荐的中标候选人顺序</w:t>
      </w:r>
      <w:r>
        <w:rPr>
          <w:rFonts w:hint="eastAsia" w:ascii="宋体" w:hAnsi="宋体" w:eastAsia="宋体" w:cs="宋体"/>
          <w:color w:val="auto"/>
          <w:szCs w:val="21"/>
          <w:highlight w:val="none"/>
          <w:lang w:val="zh-CN"/>
        </w:rPr>
        <w:t>确定中标人。</w:t>
      </w:r>
    </w:p>
    <w:p w14:paraId="47420844">
      <w:pPr>
        <w:autoSpaceDE w:val="0"/>
        <w:autoSpaceDN w:val="0"/>
        <w:adjustRightInd w:val="0"/>
        <w:snapToGrid w:val="0"/>
        <w:spacing w:line="360" w:lineRule="auto"/>
        <w:ind w:left="315" w:leftChars="-100" w:hanging="525" w:hangingChars="250"/>
        <w:jc w:val="left"/>
        <w:rPr>
          <w:rFonts w:ascii="宋体" w:hAnsi="宋体" w:eastAsia="宋体" w:cs="宋体"/>
          <w:b/>
          <w:color w:val="auto"/>
          <w:kern w:val="0"/>
          <w:szCs w:val="21"/>
          <w:highlight w:val="none"/>
        </w:rPr>
      </w:pPr>
      <w:r>
        <w:rPr>
          <w:rFonts w:hint="eastAsia" w:ascii="宋体" w:hAnsi="宋体" w:eastAsia="宋体" w:cs="宋体"/>
          <w:color w:val="auto"/>
          <w:szCs w:val="21"/>
          <w:highlight w:val="none"/>
        </w:rPr>
        <w:t>34</w:t>
      </w:r>
      <w:r>
        <w:rPr>
          <w:rFonts w:hint="eastAsia" w:ascii="宋体" w:hAnsi="宋体" w:eastAsia="宋体" w:cs="宋体"/>
          <w:color w:val="auto"/>
          <w:kern w:val="0"/>
          <w:szCs w:val="21"/>
          <w:highlight w:val="none"/>
        </w:rPr>
        <w:t>.3 因不可抗力或自身原因不能履行合同的、不按要求与招标人签订合同、中标人放弃中标、中标资格被依法确认无效的，招标人可以按照评标委员会提出的中标候选人名单排序依次确定其他中标候选人为中标人或重新招标</w:t>
      </w:r>
      <w:r>
        <w:rPr>
          <w:rFonts w:hint="eastAsia" w:ascii="宋体" w:hAnsi="宋体" w:eastAsia="宋体" w:cs="宋体"/>
          <w:b/>
          <w:color w:val="auto"/>
          <w:kern w:val="0"/>
          <w:szCs w:val="21"/>
          <w:highlight w:val="none"/>
        </w:rPr>
        <w:t>。</w:t>
      </w:r>
    </w:p>
    <w:p w14:paraId="409C22D3">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lang w:val="zh-CN"/>
        </w:rPr>
      </w:pPr>
      <w:bookmarkStart w:id="322" w:name="_Toc450662885"/>
    </w:p>
    <w:p w14:paraId="042CFA77">
      <w:pPr>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323" w:name="_Toc195714256"/>
      <w:bookmarkStart w:id="324" w:name="_Toc486167699"/>
      <w:bookmarkStart w:id="325" w:name="_Toc6726_WPSOffice_Level3"/>
      <w:bookmarkStart w:id="326" w:name="_Toc18405"/>
      <w:bookmarkStart w:id="327" w:name="_Toc142508350"/>
      <w:bookmarkStart w:id="328" w:name="_Toc18984"/>
      <w:bookmarkStart w:id="329" w:name="_Toc8196"/>
      <w:r>
        <w:rPr>
          <w:rFonts w:hint="eastAsia" w:ascii="宋体" w:hAnsi="宋体" w:eastAsia="宋体" w:cs="宋体"/>
          <w:color w:val="auto"/>
          <w:szCs w:val="21"/>
          <w:highlight w:val="none"/>
        </w:rPr>
        <w:t>35</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中标通知</w:t>
      </w:r>
      <w:bookmarkEnd w:id="322"/>
      <w:bookmarkEnd w:id="323"/>
      <w:bookmarkEnd w:id="324"/>
      <w:bookmarkEnd w:id="325"/>
      <w:bookmarkEnd w:id="326"/>
      <w:bookmarkEnd w:id="327"/>
      <w:bookmarkEnd w:id="328"/>
      <w:bookmarkEnd w:id="329"/>
    </w:p>
    <w:p w14:paraId="7E78CB4D">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lang w:val="zh-CN"/>
        </w:rPr>
      </w:pPr>
      <w:bookmarkStart w:id="330" w:name="_Toc450662886"/>
      <w:r>
        <w:rPr>
          <w:rFonts w:hint="eastAsia" w:ascii="宋体" w:hAnsi="宋体" w:eastAsia="宋体" w:cs="宋体"/>
          <w:color w:val="auto"/>
          <w:szCs w:val="21"/>
          <w:highlight w:val="none"/>
        </w:rPr>
        <w:t>35</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招标代理机构向中标人发出书面通知，中标通知书是合同的一个组成部分。</w:t>
      </w:r>
    </w:p>
    <w:p w14:paraId="7281AB25">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rPr>
        <w:t>35</w:t>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招标代理机构向中标人发出书面通知的同时，招标代理机构通知落选的投标人其投标文件未被接受而不提原因。</w:t>
      </w:r>
    </w:p>
    <w:p w14:paraId="267D468D">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lang w:val="zh-CN"/>
        </w:rPr>
      </w:pPr>
    </w:p>
    <w:p w14:paraId="5099F77C">
      <w:pPr>
        <w:tabs>
          <w:tab w:val="left" w:pos="567"/>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331" w:name="_Toc28020"/>
      <w:bookmarkStart w:id="332" w:name="_Toc9694_WPSOffice_Level3"/>
      <w:bookmarkStart w:id="333" w:name="_Toc142508351"/>
      <w:bookmarkStart w:id="334" w:name="_Toc486167700"/>
      <w:bookmarkStart w:id="335" w:name="_Toc18607"/>
      <w:bookmarkStart w:id="336" w:name="_Toc19127"/>
      <w:bookmarkStart w:id="337" w:name="_Toc195714257"/>
      <w:r>
        <w:rPr>
          <w:rFonts w:hint="eastAsia" w:ascii="宋体" w:hAnsi="宋体" w:eastAsia="宋体" w:cs="宋体"/>
          <w:color w:val="auto"/>
          <w:szCs w:val="21"/>
          <w:highlight w:val="none"/>
        </w:rPr>
        <w:t>36</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签署合同</w:t>
      </w:r>
      <w:bookmarkEnd w:id="330"/>
      <w:bookmarkEnd w:id="331"/>
      <w:bookmarkEnd w:id="332"/>
      <w:bookmarkEnd w:id="333"/>
      <w:bookmarkEnd w:id="334"/>
      <w:bookmarkEnd w:id="335"/>
      <w:bookmarkEnd w:id="336"/>
      <w:bookmarkEnd w:id="337"/>
    </w:p>
    <w:p w14:paraId="1F0705BC">
      <w:pPr>
        <w:tabs>
          <w:tab w:val="left" w:pos="540"/>
        </w:tabs>
        <w:autoSpaceDE w:val="0"/>
        <w:autoSpaceDN w:val="0"/>
        <w:adjustRightInd w:val="0"/>
        <w:spacing w:line="360" w:lineRule="auto"/>
        <w:ind w:left="330" w:leftChars="-100" w:right="15" w:rightChars="7" w:hanging="540"/>
        <w:rPr>
          <w:rFonts w:ascii="宋体" w:hAnsi="宋体" w:eastAsia="宋体" w:cs="宋体"/>
          <w:color w:val="auto"/>
          <w:szCs w:val="21"/>
          <w:highlight w:val="none"/>
          <w:lang w:val="zh-CN"/>
        </w:rPr>
      </w:pPr>
      <w:r>
        <w:rPr>
          <w:rFonts w:hint="eastAsia" w:ascii="宋体" w:hAnsi="宋体" w:eastAsia="宋体" w:cs="宋体"/>
          <w:color w:val="auto"/>
          <w:szCs w:val="21"/>
          <w:highlight w:val="none"/>
        </w:rPr>
        <w:t>36</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lang w:val="zh-CN"/>
        </w:rPr>
        <w:tab/>
      </w:r>
      <w:r>
        <w:rPr>
          <w:rFonts w:hint="eastAsia" w:ascii="宋体" w:hAnsi="宋体" w:eastAsia="宋体" w:cs="Times New Roman"/>
          <w:b/>
          <w:color w:val="auto"/>
          <w:szCs w:val="21"/>
          <w:highlight w:val="none"/>
          <w:u w:val="single"/>
          <w:lang w:val="zh-CN"/>
        </w:rPr>
        <w:t>中标人在自中标通知书发出之日起30日内，按照招标文件和中标人的投标文件的约定，与招标人签订书面合同，具体签订方式以招标人通知为准。否则招标人有权取消中标资格并按招标文件及法律、法规的规定进行处理</w:t>
      </w:r>
      <w:r>
        <w:rPr>
          <w:rFonts w:hint="eastAsia" w:ascii="宋体" w:hAnsi="宋体" w:eastAsia="宋体" w:cs="宋体"/>
          <w:color w:val="auto"/>
          <w:szCs w:val="21"/>
          <w:highlight w:val="none"/>
          <w:lang w:val="zh-CN"/>
        </w:rPr>
        <w:t>。</w:t>
      </w:r>
    </w:p>
    <w:p w14:paraId="734B2514">
      <w:pPr>
        <w:autoSpaceDE w:val="0"/>
        <w:autoSpaceDN w:val="0"/>
        <w:adjustRightInd w:val="0"/>
        <w:snapToGrid w:val="0"/>
        <w:spacing w:line="360" w:lineRule="auto"/>
        <w:ind w:left="315" w:leftChars="-100" w:hanging="525" w:hangingChars="250"/>
        <w:jc w:val="left"/>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rPr>
        <w:t>36</w:t>
      </w:r>
      <w:r>
        <w:rPr>
          <w:rFonts w:hint="eastAsia" w:ascii="宋体" w:hAnsi="宋体" w:eastAsia="宋体" w:cs="Times New Roman"/>
          <w:color w:val="auto"/>
          <w:szCs w:val="21"/>
          <w:highlight w:val="none"/>
          <w:lang w:val="zh-CN"/>
        </w:rPr>
        <w:t>.2 在签署合同前，招标人可对中标人分项报价明细及附表内的算术性错误进行修正，修正原则为：</w:t>
      </w:r>
    </w:p>
    <w:p w14:paraId="6C20F23D">
      <w:pPr>
        <w:autoSpaceDE w:val="0"/>
        <w:autoSpaceDN w:val="0"/>
        <w:adjustRightInd w:val="0"/>
        <w:snapToGrid w:val="0"/>
        <w:spacing w:line="360" w:lineRule="auto"/>
        <w:ind w:left="315" w:leftChars="100" w:hanging="105" w:hangingChars="50"/>
        <w:jc w:val="left"/>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（1）当以数字表示的金额与以文字表示的金额不一致时，以文字表示的金额为准；（</w:t>
      </w:r>
      <w:r>
        <w:rPr>
          <w:rFonts w:hint="eastAsia" w:ascii="宋体" w:hAnsi="宋体" w:eastAsia="宋体" w:cs="Times New Roman"/>
          <w:color w:val="auto"/>
          <w:szCs w:val="21"/>
          <w:highlight w:val="none"/>
        </w:rPr>
        <w:t>2</w:t>
      </w:r>
      <w:r>
        <w:rPr>
          <w:rFonts w:hint="eastAsia" w:ascii="宋体" w:hAnsi="宋体" w:eastAsia="宋体" w:cs="Times New Roman"/>
          <w:color w:val="auto"/>
          <w:szCs w:val="21"/>
          <w:highlight w:val="none"/>
          <w:lang w:val="zh-CN"/>
        </w:rPr>
        <w:t>）分项报价表内各子项目的报价之和应等于报价信封中的投标值。若分项报价表内各子项目的报价之和不等于报价信封中的投标值时，以报价信封中的投标值为准，同比例修正分项报价表内各子项目的报价；（</w:t>
      </w:r>
      <w:r>
        <w:rPr>
          <w:rFonts w:hint="eastAsia" w:ascii="宋体" w:hAnsi="宋体" w:eastAsia="宋体" w:cs="Times New Roman"/>
          <w:color w:val="auto"/>
          <w:szCs w:val="21"/>
          <w:highlight w:val="none"/>
          <w:lang w:val="en-US" w:eastAsia="zh-CN"/>
        </w:rPr>
        <w:t>3</w:t>
      </w:r>
      <w:r>
        <w:rPr>
          <w:rFonts w:hint="eastAsia" w:ascii="宋体" w:hAnsi="宋体" w:eastAsia="宋体" w:cs="Times New Roman"/>
          <w:color w:val="auto"/>
          <w:szCs w:val="21"/>
          <w:highlight w:val="none"/>
          <w:lang w:val="zh-CN"/>
        </w:rPr>
        <w:t>）分项报价明细表内投标报价金额应等于报价信封中的投标值。若分项报价明细表内投标报价金额不等于报价信封中的投标值时，以报价信封中的投标值为准，并修正分项报价明细表内投标报价；分项报价明细表内合计之和应等于投标报价，若分项报价明细表内合计之和不等于投标报价时，以分项报价明细表内投标报价为准，同比例修正分项报价明细表内合计报价；分项报价明细表内各小项之和应等于合计报价，若分项报价明细表内各小项之和不等于合计报价时，以分项报价明细表内合计报价为准，并同比例修正分项报价明细表内各小项报价及单价。按前述修正原则排序依次进行修正至唯一值后的报价表经双方确认后，作为合同文件的组成部分。</w:t>
      </w:r>
    </w:p>
    <w:p w14:paraId="7623447B">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lang w:val="zh-CN"/>
        </w:rPr>
      </w:pPr>
    </w:p>
    <w:p w14:paraId="30F8C7FC">
      <w:pPr>
        <w:tabs>
          <w:tab w:val="left" w:pos="360"/>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338" w:name="_Toc8181"/>
      <w:bookmarkStart w:id="339" w:name="_Toc10513_WPSOffice_Level3"/>
      <w:bookmarkStart w:id="340" w:name="_Toc142508352"/>
      <w:bookmarkStart w:id="341" w:name="_Toc5304"/>
      <w:bookmarkStart w:id="342" w:name="_Toc450662887"/>
      <w:bookmarkStart w:id="343" w:name="_Toc195714258"/>
      <w:bookmarkStart w:id="344" w:name="_Toc486167701"/>
      <w:bookmarkStart w:id="345" w:name="_Toc16066"/>
      <w:r>
        <w:rPr>
          <w:rFonts w:hint="eastAsia" w:ascii="宋体" w:hAnsi="宋体" w:eastAsia="宋体" w:cs="宋体"/>
          <w:color w:val="auto"/>
          <w:szCs w:val="21"/>
          <w:highlight w:val="none"/>
        </w:rPr>
        <w:t>37</w:t>
      </w:r>
      <w:r>
        <w:rPr>
          <w:rFonts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履约担保</w:t>
      </w:r>
      <w:bookmarkEnd w:id="338"/>
      <w:bookmarkEnd w:id="339"/>
      <w:bookmarkEnd w:id="340"/>
      <w:bookmarkEnd w:id="341"/>
      <w:bookmarkEnd w:id="342"/>
      <w:bookmarkEnd w:id="343"/>
      <w:bookmarkEnd w:id="344"/>
      <w:bookmarkEnd w:id="345"/>
    </w:p>
    <w:p w14:paraId="61948261">
      <w:pPr>
        <w:numPr>
          <w:ilvl w:val="1"/>
          <w:numId w:val="0"/>
        </w:numPr>
        <w:autoSpaceDE w:val="0"/>
        <w:autoSpaceDN w:val="0"/>
        <w:adjustRightInd w:val="0"/>
        <w:spacing w:line="360" w:lineRule="auto"/>
        <w:ind w:left="354" w:leftChars="-100" w:right="15" w:rightChars="7" w:hanging="564" w:hangingChars="269"/>
        <w:rPr>
          <w:rFonts w:ascii="宋体" w:hAnsi="宋体" w:eastAsia="宋体" w:cs="宋体"/>
          <w:b/>
          <w:bCs/>
          <w:color w:val="auto"/>
          <w:szCs w:val="21"/>
          <w:highlight w:val="none"/>
          <w:lang w:val="zh-CN"/>
        </w:rPr>
      </w:pPr>
      <w:bookmarkStart w:id="346" w:name="_Toc465358977"/>
      <w:bookmarkStart w:id="347" w:name="_Toc466882025"/>
      <w:r>
        <w:rPr>
          <w:rFonts w:hint="eastAsia" w:ascii="宋体" w:hAnsi="宋体" w:eastAsia="宋体" w:cs="宋体"/>
          <w:bCs/>
          <w:color w:val="auto"/>
          <w:szCs w:val="21"/>
          <w:highlight w:val="none"/>
        </w:rPr>
        <w:t>37</w:t>
      </w:r>
      <w:r>
        <w:rPr>
          <w:rFonts w:hint="eastAsia" w:ascii="宋体" w:hAnsi="宋体" w:eastAsia="宋体" w:cs="宋体"/>
          <w:bCs/>
          <w:color w:val="auto"/>
          <w:szCs w:val="21"/>
          <w:highlight w:val="none"/>
          <w:lang w:val="zh-CN"/>
        </w:rPr>
        <w:t>.1</w:t>
      </w:r>
      <w:r>
        <w:rPr>
          <w:rFonts w:hint="eastAsia" w:ascii="宋体" w:hAnsi="宋体" w:eastAsia="宋体" w:cs="宋体"/>
          <w:b/>
          <w:bCs/>
          <w:color w:val="auto"/>
          <w:szCs w:val="21"/>
          <w:highlight w:val="none"/>
          <w:lang w:val="zh-CN"/>
        </w:rPr>
        <w:t xml:space="preserve"> </w:t>
      </w:r>
      <w:r>
        <w:rPr>
          <w:rFonts w:hint="eastAsia" w:ascii="宋体" w:hAnsi="宋体" w:eastAsia="宋体" w:cs="Times New Roman"/>
          <w:b/>
          <w:bCs/>
          <w:color w:val="auto"/>
          <w:szCs w:val="21"/>
          <w:highlight w:val="none"/>
          <w:u w:val="single"/>
          <w:lang w:val="zh-CN"/>
        </w:rPr>
        <w:t>中标人应在签订合同前，按本招标文件规定金额及形式要求，向招标人提交不可撤销银行履约保函（或履约保证金</w:t>
      </w:r>
      <w:r>
        <w:rPr>
          <w:rFonts w:hint="eastAsia" w:ascii="宋体" w:hAnsi="宋体" w:eastAsia="宋体" w:cs="Times New Roman"/>
          <w:b/>
          <w:bCs/>
          <w:color w:val="auto"/>
          <w:szCs w:val="21"/>
          <w:highlight w:val="none"/>
          <w:u w:val="single"/>
        </w:rPr>
        <w:t>或履约保证保险</w:t>
      </w:r>
      <w:r>
        <w:rPr>
          <w:rFonts w:hint="eastAsia" w:ascii="宋体" w:hAnsi="宋体" w:eastAsia="宋体" w:cs="Times New Roman"/>
          <w:b/>
          <w:bCs/>
          <w:color w:val="auto"/>
          <w:szCs w:val="21"/>
          <w:highlight w:val="none"/>
          <w:u w:val="single"/>
          <w:lang w:val="zh-CN"/>
        </w:rPr>
        <w:t>或担保公司履约担保书），作为履约担保（所需费用由中标人自行承担），</w:t>
      </w:r>
      <w:r>
        <w:rPr>
          <w:rFonts w:ascii="宋体" w:hAnsi="宋体" w:eastAsia="宋体" w:cs="Arial"/>
          <w:b/>
          <w:bCs/>
          <w:color w:val="auto"/>
          <w:kern w:val="0"/>
          <w:szCs w:val="24"/>
          <w:highlight w:val="none"/>
          <w:u w:val="single"/>
        </w:rPr>
        <w:t>否则招标人可取消中标人的中标资格，</w:t>
      </w:r>
      <w:r>
        <w:rPr>
          <w:rFonts w:hint="eastAsia" w:ascii="宋体" w:hAnsi="宋体" w:eastAsia="宋体" w:cs="Arial"/>
          <w:b/>
          <w:bCs/>
          <w:color w:val="auto"/>
          <w:kern w:val="0"/>
          <w:szCs w:val="24"/>
          <w:highlight w:val="none"/>
          <w:u w:val="single"/>
        </w:rPr>
        <w:t>不予退还其投标保证金。</w:t>
      </w:r>
      <w:r>
        <w:rPr>
          <w:rFonts w:hint="eastAsia" w:ascii="宋体" w:hAnsi="宋体" w:eastAsia="宋体" w:cs="Times New Roman"/>
          <w:b/>
          <w:bCs/>
          <w:color w:val="auto"/>
          <w:szCs w:val="21"/>
          <w:highlight w:val="none"/>
          <w:u w:val="single"/>
          <w:lang w:val="zh-CN"/>
        </w:rPr>
        <w:t>其中，采用履约保证金（银行转账形式）的金额为合同总价（不含税）的5%，采用不可撤销银行履约保函形式的金额为合同总价（不含税）的8%，采用</w:t>
      </w:r>
      <w:r>
        <w:rPr>
          <w:rFonts w:hint="eastAsia" w:ascii="宋体" w:hAnsi="宋体" w:eastAsia="宋体" w:cs="Times New Roman"/>
          <w:b/>
          <w:bCs/>
          <w:color w:val="auto"/>
          <w:szCs w:val="21"/>
          <w:highlight w:val="none"/>
          <w:u w:val="single"/>
        </w:rPr>
        <w:t>履约保证保险</w:t>
      </w:r>
      <w:r>
        <w:rPr>
          <w:rFonts w:hint="eastAsia" w:ascii="宋体" w:hAnsi="宋体" w:eastAsia="宋体" w:cs="Times New Roman"/>
          <w:b/>
          <w:bCs/>
          <w:color w:val="auto"/>
          <w:szCs w:val="21"/>
          <w:highlight w:val="none"/>
          <w:u w:val="single"/>
          <w:lang w:val="zh-CN"/>
        </w:rPr>
        <w:t>形式的金额为合同总价（不含税）的8%，采用担保公司履约担保书形式的金额为合同总价（不含税）的</w:t>
      </w:r>
      <w:r>
        <w:rPr>
          <w:rFonts w:ascii="宋体" w:hAnsi="宋体" w:eastAsia="宋体" w:cs="Times New Roman"/>
          <w:b/>
          <w:bCs/>
          <w:color w:val="auto"/>
          <w:szCs w:val="21"/>
          <w:highlight w:val="none"/>
          <w:u w:val="single"/>
          <w:lang w:val="zh-CN"/>
        </w:rPr>
        <w:t>10</w:t>
      </w:r>
      <w:r>
        <w:rPr>
          <w:rFonts w:hint="eastAsia" w:ascii="宋体" w:hAnsi="宋体" w:eastAsia="宋体" w:cs="Times New Roman"/>
          <w:b/>
          <w:bCs/>
          <w:color w:val="auto"/>
          <w:szCs w:val="21"/>
          <w:highlight w:val="none"/>
          <w:u w:val="single"/>
          <w:lang w:val="zh-CN"/>
        </w:rPr>
        <w:t>%。</w:t>
      </w:r>
      <w:r>
        <w:rPr>
          <w:rFonts w:hint="eastAsia" w:ascii="宋体" w:hAnsi="宋体" w:eastAsia="宋体" w:cs="Arial"/>
          <w:bCs/>
          <w:color w:val="auto"/>
          <w:kern w:val="0"/>
          <w:szCs w:val="24"/>
          <w:highlight w:val="none"/>
        </w:rPr>
        <w:t>合同履行过程中，中标人</w:t>
      </w:r>
      <w:r>
        <w:rPr>
          <w:rFonts w:hint="eastAsia" w:ascii="宋体" w:hAnsi="宋体" w:eastAsia="宋体" w:cs="Arial"/>
          <w:color w:val="auto"/>
          <w:kern w:val="0"/>
          <w:szCs w:val="24"/>
          <w:highlight w:val="none"/>
        </w:rPr>
        <w:t>给招标人造成的损失超过履约担保数额的，中标人还应当对超过部分予以赔偿，招标人并依法追究中标人的相应责任。</w:t>
      </w:r>
    </w:p>
    <w:p w14:paraId="23C1FEF4">
      <w:pPr>
        <w:tabs>
          <w:tab w:val="left" w:pos="360"/>
          <w:tab w:val="left" w:pos="4725"/>
        </w:tabs>
        <w:autoSpaceDE w:val="0"/>
        <w:autoSpaceDN w:val="0"/>
        <w:adjustRightInd w:val="0"/>
        <w:spacing w:line="360" w:lineRule="auto"/>
        <w:ind w:left="315" w:leftChars="-100" w:hanging="525" w:hangingChars="25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37.2 </w:t>
      </w:r>
      <w:r>
        <w:rPr>
          <w:rFonts w:hint="eastAsia" w:ascii="宋体" w:hAnsi="宋体" w:eastAsia="宋体" w:cs="Times New Roman"/>
          <w:color w:val="auto"/>
          <w:kern w:val="0"/>
          <w:szCs w:val="21"/>
          <w:highlight w:val="none"/>
        </w:rPr>
        <w:t>履约担保用于补偿招标人因中标人不能完全履行其合同义务而蒙受的损失或其他合同约定的事项。如发生下列任一情况时，招标人有权依合同追究违约责任外，同时有权提取履约担保并进行相应处理</w:t>
      </w:r>
      <w:r>
        <w:rPr>
          <w:rFonts w:hint="eastAsia" w:ascii="宋体" w:hAnsi="宋体" w:eastAsia="宋体" w:cs="宋体"/>
          <w:color w:val="auto"/>
          <w:kern w:val="0"/>
          <w:szCs w:val="21"/>
          <w:highlight w:val="none"/>
        </w:rPr>
        <w:t>：</w:t>
      </w:r>
    </w:p>
    <w:p w14:paraId="4A609F31">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1）</w:t>
      </w:r>
      <w:r>
        <w:rPr>
          <w:rFonts w:hint="eastAsia" w:ascii="宋体" w:hAnsi="宋体" w:eastAsia="宋体" w:cs="Times New Roman"/>
          <w:color w:val="auto"/>
          <w:kern w:val="0"/>
          <w:szCs w:val="21"/>
          <w:highlight w:val="none"/>
        </w:rPr>
        <w:t>中标人将合同项下中标人的权利义务全部转让给第三方，或未经招标人书面同意将部分权利义务转让给第三方的，招标人有权没收其履约担保。</w:t>
      </w:r>
    </w:p>
    <w:p w14:paraId="1BCB7E8E">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2）在合同履行期间，中标人</w:t>
      </w:r>
      <w:r>
        <w:rPr>
          <w:rFonts w:hint="eastAsia" w:ascii="宋体" w:hAnsi="宋体" w:eastAsia="宋体" w:cs="Times New Roman"/>
          <w:color w:val="auto"/>
          <w:kern w:val="0"/>
          <w:szCs w:val="21"/>
          <w:highlight w:val="none"/>
        </w:rPr>
        <w:t>怠于履行合同义务，经招标人通知或要求承担违约金后仍拒不改正的，招标人可依法没收或适当扣除其履约担保。</w:t>
      </w:r>
    </w:p>
    <w:p w14:paraId="283035C9">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3）在合同履行期间，因中标人</w:t>
      </w:r>
      <w:r>
        <w:rPr>
          <w:rFonts w:hint="eastAsia" w:ascii="宋体" w:hAnsi="宋体" w:eastAsia="宋体" w:cs="Times New Roman"/>
          <w:color w:val="auto"/>
          <w:kern w:val="0"/>
          <w:szCs w:val="21"/>
          <w:highlight w:val="none"/>
        </w:rPr>
        <w:t>货物、</w:t>
      </w:r>
      <w:r>
        <w:rPr>
          <w:rFonts w:ascii="宋体" w:hAnsi="宋体" w:eastAsia="宋体" w:cs="Times New Roman"/>
          <w:color w:val="auto"/>
          <w:kern w:val="0"/>
          <w:szCs w:val="21"/>
          <w:highlight w:val="none"/>
        </w:rPr>
        <w:t>服务质量问题造成损害、侵权损失（包括但不限于招标人经济损失、第三人人身财产损失等）</w:t>
      </w:r>
      <w:r>
        <w:rPr>
          <w:rFonts w:hint="eastAsia" w:ascii="宋体" w:hAnsi="宋体" w:eastAsia="宋体" w:cs="Times New Roman"/>
          <w:color w:val="auto"/>
          <w:kern w:val="0"/>
          <w:szCs w:val="21"/>
          <w:highlight w:val="none"/>
        </w:rPr>
        <w:t>、拖欠原材料供应商货款或与其所雇用员工发生劳资纠纷、上访、闹事或其他影响招标人生产经营等情况而其未及时妥善处理的</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招标人有权使用履约担保予以支付或作出相应处理，由此产生的一切法律后果由中标人承担。</w:t>
      </w:r>
    </w:p>
    <w:p w14:paraId="45C13C8B">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4）在合同履行期间，中标人违约产生的违约金、赔偿、罚款或其他应付费用等款项，招标人有权直接从未付款项中直接扣除或启用履约</w:t>
      </w:r>
      <w:r>
        <w:rPr>
          <w:rFonts w:hint="eastAsia" w:ascii="宋体" w:hAnsi="宋体" w:eastAsia="宋体" w:cs="Times New Roman"/>
          <w:color w:val="auto"/>
          <w:kern w:val="0"/>
          <w:szCs w:val="21"/>
          <w:highlight w:val="none"/>
        </w:rPr>
        <w:t>担保</w:t>
      </w:r>
      <w:r>
        <w:rPr>
          <w:rFonts w:ascii="宋体" w:hAnsi="宋体" w:eastAsia="宋体" w:cs="Times New Roman"/>
          <w:color w:val="auto"/>
          <w:kern w:val="0"/>
          <w:szCs w:val="21"/>
          <w:highlight w:val="none"/>
        </w:rPr>
        <w:t>予以支付。</w:t>
      </w:r>
    </w:p>
    <w:p w14:paraId="5479ADF1">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5）合同期内，中标人不能及时完成合同某项义务的，招标人有权提取履约</w:t>
      </w:r>
      <w:r>
        <w:rPr>
          <w:rFonts w:hint="eastAsia" w:ascii="宋体" w:hAnsi="宋体" w:eastAsia="宋体" w:cs="Times New Roman"/>
          <w:color w:val="auto"/>
          <w:kern w:val="0"/>
          <w:szCs w:val="21"/>
          <w:highlight w:val="none"/>
        </w:rPr>
        <w:t>担保</w:t>
      </w:r>
      <w:r>
        <w:rPr>
          <w:rFonts w:ascii="宋体" w:hAnsi="宋体" w:eastAsia="宋体" w:cs="Times New Roman"/>
          <w:color w:val="auto"/>
          <w:kern w:val="0"/>
          <w:szCs w:val="21"/>
          <w:highlight w:val="none"/>
        </w:rPr>
        <w:t>用于处理该项工作。</w:t>
      </w:r>
    </w:p>
    <w:p w14:paraId="18D69976">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6）其他根据本合同约定或法律规定，招标人可启用履约</w:t>
      </w:r>
      <w:r>
        <w:rPr>
          <w:rFonts w:hint="eastAsia" w:ascii="宋体" w:hAnsi="宋体" w:eastAsia="宋体" w:cs="Times New Roman"/>
          <w:color w:val="auto"/>
          <w:kern w:val="0"/>
          <w:szCs w:val="21"/>
          <w:highlight w:val="none"/>
        </w:rPr>
        <w:t>担保</w:t>
      </w:r>
      <w:r>
        <w:rPr>
          <w:rFonts w:ascii="宋体" w:hAnsi="宋体" w:eastAsia="宋体" w:cs="Times New Roman"/>
          <w:color w:val="auto"/>
          <w:kern w:val="0"/>
          <w:szCs w:val="21"/>
          <w:highlight w:val="none"/>
        </w:rPr>
        <w:t>的情形。</w:t>
      </w:r>
    </w:p>
    <w:p w14:paraId="61FBC7B6">
      <w:pPr>
        <w:tabs>
          <w:tab w:val="left" w:pos="360"/>
          <w:tab w:val="left" w:pos="4725"/>
        </w:tabs>
        <w:autoSpaceDE w:val="0"/>
        <w:autoSpaceDN w:val="0"/>
        <w:adjustRightInd w:val="0"/>
        <w:spacing w:line="360" w:lineRule="auto"/>
        <w:ind w:left="315" w:leftChars="-100" w:hanging="525" w:hangingChars="25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37.3  履约担保应符合如下规定：</w:t>
      </w:r>
    </w:p>
    <w:p w14:paraId="62465C83">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r>
        <w:rPr>
          <w:rFonts w:ascii="宋体" w:hAnsi="宋体" w:eastAsia="宋体" w:cs="Times New Roman"/>
          <w:color w:val="auto"/>
          <w:kern w:val="0"/>
          <w:szCs w:val="21"/>
          <w:highlight w:val="none"/>
        </w:rPr>
        <w:t>出具履约保函的银行必须是</w:t>
      </w:r>
      <w:r>
        <w:rPr>
          <w:rFonts w:hint="eastAsia" w:ascii="宋体" w:hAnsi="宋体" w:eastAsia="宋体" w:cs="Times New Roman"/>
          <w:color w:val="auto"/>
          <w:kern w:val="0"/>
          <w:szCs w:val="21"/>
          <w:highlight w:val="none"/>
        </w:rPr>
        <w:t>境内</w:t>
      </w:r>
      <w:r>
        <w:rPr>
          <w:rFonts w:ascii="宋体" w:hAnsi="宋体" w:eastAsia="宋体" w:cs="Times New Roman"/>
          <w:color w:val="auto"/>
          <w:kern w:val="0"/>
          <w:szCs w:val="21"/>
          <w:highlight w:val="none"/>
        </w:rPr>
        <w:t>支行一级以上机构，并经招标人同意，执行本款时所发生的费用由中标人</w:t>
      </w:r>
      <w:r>
        <w:rPr>
          <w:rFonts w:hint="eastAsia" w:ascii="宋体" w:hAnsi="宋体" w:eastAsia="宋体" w:cs="Times New Roman"/>
          <w:color w:val="auto"/>
          <w:kern w:val="0"/>
          <w:szCs w:val="21"/>
          <w:highlight w:val="none"/>
        </w:rPr>
        <w:t>承担</w:t>
      </w:r>
      <w:r>
        <w:rPr>
          <w:rFonts w:ascii="宋体" w:hAnsi="宋体" w:eastAsia="宋体" w:cs="Times New Roman"/>
          <w:color w:val="auto"/>
          <w:kern w:val="0"/>
          <w:szCs w:val="21"/>
          <w:highlight w:val="none"/>
        </w:rPr>
        <w:t>。</w:t>
      </w:r>
    </w:p>
    <w:p w14:paraId="61E5C662">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w:t>
      </w:r>
      <w:r>
        <w:rPr>
          <w:rFonts w:ascii="宋体" w:hAnsi="宋体" w:eastAsia="宋体" w:cs="Times New Roman"/>
          <w:color w:val="auto"/>
          <w:kern w:val="0"/>
          <w:szCs w:val="21"/>
          <w:highlight w:val="none"/>
        </w:rPr>
        <w:t>履约担保格式应采用招标文件中提供的（格式参见第</w:t>
      </w:r>
      <w:r>
        <w:rPr>
          <w:rFonts w:hint="eastAsia" w:ascii="宋体" w:hAnsi="宋体" w:eastAsia="宋体" w:cs="Times New Roman"/>
          <w:color w:val="auto"/>
          <w:kern w:val="0"/>
          <w:szCs w:val="21"/>
          <w:highlight w:val="none"/>
        </w:rPr>
        <w:t>五篇</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投标人如以履约保函（或履约保证保险或担保公司履约担保书）形式提供履约担保的，投标前应当自行向其拟申请开具保函的银行（或保险或担保）机构落实履约保函（或履约保证保险或担保公司履约担保书）格式情况，以确保能按本招标文件规定的格式提供保函。</w:t>
      </w:r>
      <w:r>
        <w:rPr>
          <w:rFonts w:ascii="宋体" w:hAnsi="宋体" w:eastAsia="宋体" w:cs="Times New Roman"/>
          <w:color w:val="auto"/>
          <w:kern w:val="0"/>
          <w:szCs w:val="21"/>
          <w:highlight w:val="none"/>
        </w:rPr>
        <w:t>如使用其他格式的履约保函</w:t>
      </w:r>
      <w:r>
        <w:rPr>
          <w:rFonts w:hint="eastAsia" w:ascii="宋体" w:hAnsi="宋体" w:eastAsia="宋体" w:cs="Times New Roman"/>
          <w:color w:val="auto"/>
          <w:kern w:val="0"/>
          <w:szCs w:val="21"/>
          <w:highlight w:val="none"/>
        </w:rPr>
        <w:t>（或履约保证保险或担保公司履约担保书）</w:t>
      </w:r>
      <w:r>
        <w:rPr>
          <w:rFonts w:ascii="宋体" w:hAnsi="宋体" w:eastAsia="宋体" w:cs="Times New Roman"/>
          <w:color w:val="auto"/>
          <w:kern w:val="0"/>
          <w:szCs w:val="21"/>
          <w:highlight w:val="none"/>
        </w:rPr>
        <w:t>，须事先经招标人的书面</w:t>
      </w:r>
      <w:r>
        <w:rPr>
          <w:rFonts w:hint="eastAsia" w:ascii="宋体" w:hAnsi="宋体" w:eastAsia="宋体" w:cs="Times New Roman"/>
          <w:color w:val="auto"/>
          <w:kern w:val="0"/>
          <w:szCs w:val="21"/>
          <w:highlight w:val="none"/>
        </w:rPr>
        <w:t>同意</w:t>
      </w:r>
      <w:r>
        <w:rPr>
          <w:rFonts w:ascii="宋体" w:hAnsi="宋体" w:eastAsia="宋体" w:cs="Times New Roman"/>
          <w:color w:val="auto"/>
          <w:kern w:val="0"/>
          <w:szCs w:val="21"/>
          <w:highlight w:val="none"/>
        </w:rPr>
        <w:t>。</w:t>
      </w:r>
    </w:p>
    <w:p w14:paraId="32F516D5">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3</w:t>
      </w:r>
      <w:r>
        <w:rPr>
          <w:rFonts w:hint="eastAsia" w:ascii="宋体" w:hAnsi="宋体" w:eastAsia="宋体" w:cs="Times New Roman"/>
          <w:color w:val="auto"/>
          <w:kern w:val="0"/>
          <w:szCs w:val="21"/>
          <w:highlight w:val="none"/>
        </w:rPr>
        <w:t>）提供担保的担保机构经济性质须为东莞市国有企业，或政府性融资担保机构（中标人须提供能证明其属于政府性融资担保机构的证明文件），并经招标人同意，执行本款时所发生的费用由中标人承担。如招标人合同条款接受担保公司预付款担保函的，对担保机构要求参照本条执行</w:t>
      </w:r>
      <w:r>
        <w:rPr>
          <w:rFonts w:ascii="宋体" w:hAnsi="宋体" w:eastAsia="宋体" w:cs="Times New Roman"/>
          <w:color w:val="auto"/>
          <w:kern w:val="0"/>
          <w:szCs w:val="21"/>
          <w:highlight w:val="none"/>
        </w:rPr>
        <w:t>。</w:t>
      </w:r>
    </w:p>
    <w:p w14:paraId="4FA484E0">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（4）</w:t>
      </w:r>
      <w:r>
        <w:rPr>
          <w:rFonts w:ascii="宋体" w:hAnsi="宋体" w:eastAsia="宋体" w:cs="Times New Roman"/>
          <w:color w:val="auto"/>
          <w:kern w:val="0"/>
          <w:szCs w:val="21"/>
          <w:highlight w:val="none"/>
        </w:rPr>
        <w:t>如果</w:t>
      </w:r>
      <w:r>
        <w:rPr>
          <w:rFonts w:hint="eastAsia" w:ascii="宋体" w:hAnsi="宋体" w:eastAsia="宋体" w:cs="Times New Roman"/>
          <w:color w:val="auto"/>
          <w:kern w:val="0"/>
          <w:szCs w:val="21"/>
          <w:highlight w:val="none"/>
        </w:rPr>
        <w:t>中标</w:t>
      </w:r>
      <w:r>
        <w:rPr>
          <w:rFonts w:ascii="宋体" w:hAnsi="宋体" w:eastAsia="宋体" w:cs="Times New Roman"/>
          <w:color w:val="auto"/>
          <w:kern w:val="0"/>
          <w:szCs w:val="21"/>
          <w:highlight w:val="none"/>
        </w:rPr>
        <w:t>人提交的履约担保的有效期届满时间先于招标文件、合同文件要求的，</w:t>
      </w:r>
      <w:r>
        <w:rPr>
          <w:rFonts w:hint="eastAsia" w:ascii="宋体" w:hAnsi="宋体" w:eastAsia="宋体" w:cs="Times New Roman"/>
          <w:color w:val="auto"/>
          <w:kern w:val="0"/>
          <w:szCs w:val="21"/>
          <w:highlight w:val="none"/>
        </w:rPr>
        <w:t>中标</w:t>
      </w:r>
      <w:r>
        <w:rPr>
          <w:rFonts w:ascii="宋体" w:hAnsi="宋体" w:eastAsia="宋体" w:cs="Times New Roman"/>
          <w:color w:val="auto"/>
          <w:kern w:val="0"/>
          <w:szCs w:val="21"/>
          <w:highlight w:val="none"/>
        </w:rPr>
        <w:t>人应在原提交的履约担保有效期届满前15</w:t>
      </w:r>
      <w:r>
        <w:rPr>
          <w:rFonts w:hint="eastAsia" w:ascii="宋体" w:hAnsi="宋体" w:eastAsia="宋体" w:cs="Times New Roman"/>
          <w:color w:val="auto"/>
          <w:kern w:val="0"/>
          <w:szCs w:val="21"/>
          <w:highlight w:val="none"/>
        </w:rPr>
        <w:t>日</w:t>
      </w:r>
      <w:r>
        <w:rPr>
          <w:rFonts w:ascii="宋体" w:hAnsi="宋体" w:eastAsia="宋体" w:cs="Times New Roman"/>
          <w:color w:val="auto"/>
          <w:kern w:val="0"/>
          <w:szCs w:val="21"/>
          <w:highlight w:val="none"/>
        </w:rPr>
        <w:t>内，无条件办理</w:t>
      </w:r>
      <w:r>
        <w:rPr>
          <w:rFonts w:hint="eastAsia" w:ascii="宋体" w:hAnsi="宋体" w:eastAsia="宋体" w:cs="Times New Roman"/>
          <w:color w:val="auto"/>
          <w:kern w:val="0"/>
          <w:szCs w:val="21"/>
          <w:highlight w:val="none"/>
        </w:rPr>
        <w:t>符合招标人要求的</w:t>
      </w:r>
      <w:r>
        <w:rPr>
          <w:rFonts w:ascii="宋体" w:hAnsi="宋体" w:eastAsia="宋体" w:cs="Times New Roman"/>
          <w:color w:val="auto"/>
          <w:kern w:val="0"/>
          <w:szCs w:val="21"/>
          <w:highlight w:val="none"/>
        </w:rPr>
        <w:t>履约担保延期手续，否则视为</w:t>
      </w:r>
      <w:r>
        <w:rPr>
          <w:rFonts w:hint="eastAsia" w:ascii="宋体" w:hAnsi="宋体" w:eastAsia="宋体" w:cs="Times New Roman"/>
          <w:color w:val="auto"/>
          <w:kern w:val="0"/>
          <w:szCs w:val="21"/>
          <w:highlight w:val="none"/>
        </w:rPr>
        <w:t>中标</w:t>
      </w:r>
      <w:r>
        <w:rPr>
          <w:rFonts w:ascii="宋体" w:hAnsi="宋体" w:eastAsia="宋体" w:cs="Times New Roman"/>
          <w:color w:val="auto"/>
          <w:kern w:val="0"/>
          <w:szCs w:val="21"/>
          <w:highlight w:val="none"/>
        </w:rPr>
        <w:t>人违约，</w:t>
      </w:r>
      <w:r>
        <w:rPr>
          <w:rFonts w:hint="eastAsia" w:ascii="宋体" w:hAnsi="宋体" w:eastAsia="宋体" w:cs="Times New Roman"/>
          <w:color w:val="auto"/>
          <w:kern w:val="0"/>
          <w:szCs w:val="21"/>
          <w:highlight w:val="none"/>
        </w:rPr>
        <w:t>招标</w:t>
      </w:r>
      <w:r>
        <w:rPr>
          <w:rFonts w:ascii="宋体" w:hAnsi="宋体" w:eastAsia="宋体" w:cs="Times New Roman"/>
          <w:color w:val="auto"/>
          <w:kern w:val="0"/>
          <w:szCs w:val="21"/>
          <w:highlight w:val="none"/>
        </w:rPr>
        <w:t>人有权</w:t>
      </w:r>
      <w:r>
        <w:rPr>
          <w:rFonts w:hint="eastAsia" w:ascii="宋体" w:hAnsi="宋体" w:eastAsia="宋体" w:cs="Times New Roman"/>
          <w:color w:val="auto"/>
          <w:kern w:val="0"/>
          <w:szCs w:val="21"/>
          <w:highlight w:val="none"/>
        </w:rPr>
        <w:t>在不可撤销银行履约保函或履约保证保险或担保公司履约担保书到期前</w:t>
      </w:r>
      <w:r>
        <w:rPr>
          <w:rFonts w:ascii="宋体" w:hAnsi="宋体" w:eastAsia="宋体" w:cs="Times New Roman"/>
          <w:color w:val="auto"/>
          <w:kern w:val="0"/>
          <w:szCs w:val="21"/>
          <w:highlight w:val="none"/>
        </w:rPr>
        <w:t>向出具履约</w:t>
      </w:r>
      <w:r>
        <w:rPr>
          <w:rFonts w:hint="eastAsia" w:ascii="宋体" w:hAnsi="宋体" w:eastAsia="宋体" w:cs="Times New Roman"/>
          <w:color w:val="auto"/>
          <w:kern w:val="0"/>
          <w:szCs w:val="21"/>
          <w:highlight w:val="none"/>
        </w:rPr>
        <w:t>担保的机构</w:t>
      </w:r>
      <w:r>
        <w:rPr>
          <w:rFonts w:ascii="宋体" w:hAnsi="宋体" w:eastAsia="宋体" w:cs="Times New Roman"/>
          <w:color w:val="auto"/>
          <w:kern w:val="0"/>
          <w:szCs w:val="21"/>
          <w:highlight w:val="none"/>
        </w:rPr>
        <w:t>提取履约</w:t>
      </w:r>
      <w:r>
        <w:rPr>
          <w:rFonts w:hint="eastAsia" w:ascii="宋体" w:hAnsi="宋体" w:eastAsia="宋体" w:cs="Times New Roman"/>
          <w:color w:val="auto"/>
          <w:kern w:val="0"/>
          <w:szCs w:val="21"/>
          <w:highlight w:val="none"/>
        </w:rPr>
        <w:t>担保</w:t>
      </w:r>
      <w:r>
        <w:rPr>
          <w:rFonts w:ascii="宋体" w:hAnsi="宋体" w:eastAsia="宋体" w:cs="Times New Roman"/>
          <w:color w:val="auto"/>
          <w:kern w:val="0"/>
          <w:szCs w:val="21"/>
          <w:highlight w:val="none"/>
        </w:rPr>
        <w:t>金。</w:t>
      </w:r>
      <w:r>
        <w:rPr>
          <w:rFonts w:hint="eastAsia" w:ascii="宋体" w:hAnsi="宋体" w:eastAsia="宋体" w:cs="Times New Roman"/>
          <w:color w:val="auto"/>
          <w:kern w:val="0"/>
          <w:szCs w:val="21"/>
          <w:highlight w:val="none"/>
        </w:rPr>
        <w:t>在不可撤销银行履约保函（或履约保证保险或担保公司履约担保书）到期后中标</w:t>
      </w:r>
      <w:r>
        <w:rPr>
          <w:rFonts w:ascii="宋体" w:hAnsi="宋体" w:eastAsia="宋体" w:cs="Times New Roman"/>
          <w:color w:val="auto"/>
          <w:kern w:val="0"/>
          <w:szCs w:val="21"/>
          <w:highlight w:val="none"/>
        </w:rPr>
        <w:t>人</w:t>
      </w:r>
      <w:r>
        <w:rPr>
          <w:rFonts w:hint="eastAsia" w:ascii="宋体" w:hAnsi="宋体" w:eastAsia="宋体" w:cs="Times New Roman"/>
          <w:color w:val="auto"/>
          <w:kern w:val="0"/>
          <w:szCs w:val="21"/>
          <w:highlight w:val="none"/>
        </w:rPr>
        <w:t>未按招标人要求重新提供的，招标人有权要求中标</w:t>
      </w:r>
      <w:r>
        <w:rPr>
          <w:rFonts w:ascii="宋体" w:hAnsi="宋体" w:eastAsia="宋体" w:cs="Times New Roman"/>
          <w:color w:val="auto"/>
          <w:kern w:val="0"/>
          <w:szCs w:val="21"/>
          <w:highlight w:val="none"/>
        </w:rPr>
        <w:t>人</w:t>
      </w:r>
      <w:r>
        <w:rPr>
          <w:rFonts w:hint="eastAsia" w:ascii="宋体" w:hAnsi="宋体" w:eastAsia="宋体" w:cs="Times New Roman"/>
          <w:color w:val="auto"/>
          <w:kern w:val="0"/>
          <w:szCs w:val="21"/>
          <w:highlight w:val="none"/>
        </w:rPr>
        <w:t>以履约担保金额为限承担违约金，违约金可直接从未付采购合同费用中扣除</w:t>
      </w:r>
      <w:r>
        <w:rPr>
          <w:rFonts w:ascii="宋体" w:hAnsi="宋体" w:eastAsia="宋体" w:cs="Times New Roman"/>
          <w:color w:val="auto"/>
          <w:kern w:val="0"/>
          <w:szCs w:val="21"/>
          <w:highlight w:val="none"/>
        </w:rPr>
        <w:t>。</w:t>
      </w:r>
    </w:p>
    <w:p w14:paraId="2931E951">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5</w:t>
      </w:r>
      <w:r>
        <w:rPr>
          <w:rFonts w:hint="eastAsia" w:ascii="宋体" w:hAnsi="宋体" w:eastAsia="宋体" w:cs="Times New Roman"/>
          <w:color w:val="auto"/>
          <w:kern w:val="0"/>
          <w:szCs w:val="21"/>
          <w:highlight w:val="none"/>
        </w:rPr>
        <w:t>）在合同履行过程中，不论何种原因导致履约担保金数额不符合招标文件要求的，中标人应当在</w:t>
      </w:r>
      <w:r>
        <w:rPr>
          <w:rFonts w:ascii="宋体" w:hAnsi="宋体" w:eastAsia="宋体" w:cs="Times New Roman"/>
          <w:color w:val="auto"/>
          <w:kern w:val="0"/>
          <w:szCs w:val="21"/>
          <w:highlight w:val="none"/>
        </w:rPr>
        <w:t>5日内予以补足。逾期不予补足的，</w:t>
      </w:r>
      <w:r>
        <w:rPr>
          <w:rFonts w:hint="eastAsia" w:ascii="宋体" w:hAnsi="宋体" w:eastAsia="宋体" w:cs="Times New Roman"/>
          <w:color w:val="auto"/>
          <w:kern w:val="0"/>
          <w:szCs w:val="21"/>
          <w:highlight w:val="none"/>
        </w:rPr>
        <w:t>招标人有权按需补足的金额要求中标人承担违约金，并要求限期补足。如中标人仍不补足的，招标人有权单方解除合同，违约金可直接从未付合同款或履约担保中扣除。</w:t>
      </w:r>
    </w:p>
    <w:p w14:paraId="639052D4">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不可撤销银行履约保函（或履约保证保险或担保公司履约担保书）应从合同签订之日起（或签订合同前）至合同期限届满并全部货物经最终验收合格、招标人向中标人支付全部款项（除质保金）后二十八（28）日内保持有效。</w:t>
      </w:r>
    </w:p>
    <w:p w14:paraId="693A0C72">
      <w:pPr>
        <w:tabs>
          <w:tab w:val="left" w:pos="360"/>
          <w:tab w:val="left" w:pos="4725"/>
        </w:tabs>
        <w:autoSpaceDE w:val="0"/>
        <w:autoSpaceDN w:val="0"/>
        <w:adjustRightInd w:val="0"/>
        <w:spacing w:line="360" w:lineRule="auto"/>
        <w:ind w:left="315" w:leftChars="-100" w:hanging="525" w:hangingChars="25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37.4  履约保证金应用本合同货币。</w:t>
      </w:r>
    </w:p>
    <w:p w14:paraId="51C1A454">
      <w:pPr>
        <w:tabs>
          <w:tab w:val="left" w:pos="360"/>
          <w:tab w:val="left" w:pos="4725"/>
        </w:tabs>
        <w:autoSpaceDE w:val="0"/>
        <w:autoSpaceDN w:val="0"/>
        <w:adjustRightInd w:val="0"/>
        <w:spacing w:line="360" w:lineRule="auto"/>
        <w:ind w:left="315" w:leftChars="-100" w:hanging="525" w:hangingChars="25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37.5  中标人</w:t>
      </w:r>
      <w:r>
        <w:rPr>
          <w:rFonts w:ascii="宋体" w:hAnsi="宋体" w:eastAsia="宋体" w:cs="Times New Roman"/>
          <w:color w:val="auto"/>
          <w:kern w:val="0"/>
          <w:szCs w:val="21"/>
          <w:highlight w:val="none"/>
        </w:rPr>
        <w:t>也可以按招标文件约定的额度和时间，向招标人交纳同等数额的履约保证金作为履约担保。如中标人提交的履约保证金是其分支机构以转账形式转入的，要提交</w:t>
      </w:r>
      <w:r>
        <w:rPr>
          <w:rFonts w:hint="eastAsia" w:ascii="宋体" w:hAnsi="宋体" w:eastAsia="宋体" w:cs="Times New Roman"/>
          <w:color w:val="auto"/>
          <w:kern w:val="0"/>
          <w:szCs w:val="21"/>
          <w:highlight w:val="none"/>
        </w:rPr>
        <w:t>中标</w:t>
      </w:r>
      <w:r>
        <w:rPr>
          <w:rFonts w:ascii="宋体" w:hAnsi="宋体" w:eastAsia="宋体" w:cs="Times New Roman"/>
          <w:color w:val="auto"/>
          <w:kern w:val="0"/>
          <w:szCs w:val="21"/>
          <w:highlight w:val="none"/>
        </w:rPr>
        <w:t>人的法人书面授权，不接受由私人账户和其它单位转入的保证金</w:t>
      </w:r>
      <w:r>
        <w:rPr>
          <w:rFonts w:hint="eastAsia" w:ascii="宋体" w:hAnsi="宋体" w:eastAsia="宋体" w:cs="Times New Roman"/>
          <w:color w:val="auto"/>
          <w:kern w:val="0"/>
          <w:szCs w:val="21"/>
          <w:highlight w:val="none"/>
        </w:rPr>
        <w:t>，也不接受现金形式提交</w:t>
      </w:r>
      <w:r>
        <w:rPr>
          <w:rFonts w:ascii="宋体" w:hAnsi="宋体" w:eastAsia="宋体" w:cs="Times New Roman"/>
          <w:color w:val="auto"/>
          <w:kern w:val="0"/>
          <w:szCs w:val="21"/>
          <w:highlight w:val="none"/>
        </w:rPr>
        <w:t>。履约保证金应以存入招标人指定的</w:t>
      </w:r>
      <w:r>
        <w:rPr>
          <w:rFonts w:hint="eastAsia" w:ascii="宋体" w:hAnsi="宋体" w:eastAsia="宋体" w:cs="Times New Roman"/>
          <w:color w:val="auto"/>
          <w:kern w:val="0"/>
          <w:szCs w:val="21"/>
          <w:highlight w:val="none"/>
        </w:rPr>
        <w:t>以下</w:t>
      </w:r>
      <w:r>
        <w:rPr>
          <w:rFonts w:ascii="宋体" w:hAnsi="宋体" w:eastAsia="宋体" w:cs="Times New Roman"/>
          <w:color w:val="auto"/>
          <w:kern w:val="0"/>
          <w:szCs w:val="21"/>
          <w:highlight w:val="none"/>
        </w:rPr>
        <w:t>银行账户为准</w:t>
      </w:r>
      <w:r>
        <w:rPr>
          <w:rFonts w:hint="eastAsia" w:ascii="宋体" w:hAnsi="宋体" w:eastAsia="宋体" w:cs="宋体"/>
          <w:color w:val="auto"/>
          <w:kern w:val="0"/>
          <w:szCs w:val="21"/>
          <w:highlight w:val="none"/>
        </w:rPr>
        <w:t>。</w:t>
      </w:r>
    </w:p>
    <w:p w14:paraId="1FAC318F">
      <w:pPr>
        <w:tabs>
          <w:tab w:val="left" w:pos="360"/>
          <w:tab w:val="left" w:pos="4725"/>
        </w:tabs>
        <w:autoSpaceDE w:val="0"/>
        <w:autoSpaceDN w:val="0"/>
        <w:adjustRightInd w:val="0"/>
        <w:spacing w:line="360" w:lineRule="auto"/>
        <w:ind w:firstLine="632" w:firstLineChars="300"/>
        <w:jc w:val="left"/>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履约保证金账户：</w:t>
      </w:r>
      <w:r>
        <w:rPr>
          <w:rFonts w:hint="eastAsia" w:ascii="宋体" w:hAnsi="宋体" w:eastAsia="宋体" w:cs="宋体"/>
          <w:b/>
          <w:color w:val="auto"/>
          <w:kern w:val="0"/>
          <w:szCs w:val="21"/>
          <w:highlight w:val="none"/>
          <w:u w:val="single"/>
        </w:rPr>
        <w:t>（特别提醒，本账户非投标保证金账户）</w:t>
      </w:r>
    </w:p>
    <w:p w14:paraId="257A20D9">
      <w:pPr>
        <w:autoSpaceDE w:val="0"/>
        <w:autoSpaceDN w:val="0"/>
        <w:adjustRightInd w:val="0"/>
        <w:snapToGrid w:val="0"/>
        <w:spacing w:line="360" w:lineRule="auto"/>
        <w:ind w:firstLine="632" w:firstLineChars="300"/>
        <w:jc w:val="left"/>
        <w:rPr>
          <w:rFonts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开户名称：东莞市石鼓净水有限公司</w:t>
      </w:r>
    </w:p>
    <w:p w14:paraId="495C084C">
      <w:pPr>
        <w:autoSpaceDE w:val="0"/>
        <w:autoSpaceDN w:val="0"/>
        <w:adjustRightInd w:val="0"/>
        <w:snapToGrid w:val="0"/>
        <w:spacing w:line="360" w:lineRule="auto"/>
        <w:ind w:firstLine="632" w:firstLineChars="300"/>
        <w:jc w:val="left"/>
        <w:rPr>
          <w:rFonts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银行账号：9440 0401 0000 1571 27</w:t>
      </w:r>
    </w:p>
    <w:p w14:paraId="340BC684">
      <w:pPr>
        <w:autoSpaceDE w:val="0"/>
        <w:autoSpaceDN w:val="0"/>
        <w:adjustRightInd w:val="0"/>
        <w:snapToGrid w:val="0"/>
        <w:spacing w:line="360" w:lineRule="auto"/>
        <w:ind w:firstLine="632" w:firstLineChars="300"/>
        <w:jc w:val="left"/>
        <w:rPr>
          <w:rFonts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开户银行：中国邮政储蓄银行股份有限公司东莞市分行</w:t>
      </w:r>
    </w:p>
    <w:p w14:paraId="196B23DC">
      <w:pPr>
        <w:autoSpaceDE w:val="0"/>
        <w:autoSpaceDN w:val="0"/>
        <w:adjustRightInd w:val="0"/>
        <w:spacing w:line="360" w:lineRule="auto"/>
        <w:ind w:left="420" w:leftChars="-100" w:hanging="630" w:hangingChars="3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37.6</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中标</w:t>
      </w:r>
      <w:r>
        <w:rPr>
          <w:rFonts w:hint="eastAsia" w:ascii="宋体" w:hAnsi="宋体" w:eastAsia="宋体" w:cs="Times New Roman"/>
          <w:color w:val="auto"/>
          <w:kern w:val="0"/>
          <w:szCs w:val="24"/>
          <w:highlight w:val="none"/>
        </w:rPr>
        <w:t>单位提交了履约担保后，当履约保证金转达招标人履约保证金账户后，</w:t>
      </w:r>
      <w:r>
        <w:rPr>
          <w:rFonts w:hint="eastAsia" w:ascii="宋体" w:hAnsi="宋体" w:eastAsia="宋体" w:cs="Times New Roman"/>
          <w:color w:val="auto"/>
          <w:szCs w:val="21"/>
          <w:highlight w:val="none"/>
          <w:lang w:val="zh-CN"/>
        </w:rPr>
        <w:t>中标</w:t>
      </w:r>
      <w:r>
        <w:rPr>
          <w:rFonts w:hint="eastAsia" w:ascii="宋体" w:hAnsi="宋体" w:eastAsia="宋体" w:cs="Times New Roman"/>
          <w:color w:val="auto"/>
          <w:kern w:val="0"/>
          <w:szCs w:val="24"/>
          <w:highlight w:val="none"/>
        </w:rPr>
        <w:t>人将履约保证金的汇款凭证用A4纸复印件（</w:t>
      </w:r>
      <w:r>
        <w:rPr>
          <w:rFonts w:hint="eastAsia" w:ascii="宋体" w:hAnsi="宋体" w:eastAsia="宋体" w:cs="Times New Roman"/>
          <w:bCs/>
          <w:color w:val="auto"/>
          <w:kern w:val="0"/>
          <w:szCs w:val="24"/>
          <w:highlight w:val="none"/>
        </w:rPr>
        <w:t>注明</w:t>
      </w:r>
      <w:r>
        <w:rPr>
          <w:rFonts w:hint="eastAsia" w:ascii="宋体" w:hAnsi="宋体" w:eastAsia="宋体" w:cs="Times New Roman"/>
          <w:bCs/>
          <w:color w:val="auto"/>
          <w:szCs w:val="21"/>
          <w:highlight w:val="none"/>
          <w:lang w:val="zh-CN"/>
        </w:rPr>
        <w:t>招标</w:t>
      </w:r>
      <w:r>
        <w:rPr>
          <w:rFonts w:hint="eastAsia" w:ascii="宋体" w:hAnsi="宋体" w:eastAsia="宋体" w:cs="Times New Roman"/>
          <w:bCs/>
          <w:color w:val="auto"/>
          <w:kern w:val="0"/>
          <w:szCs w:val="24"/>
          <w:highlight w:val="none"/>
        </w:rPr>
        <w:t>编号</w:t>
      </w:r>
      <w:r>
        <w:rPr>
          <w:rFonts w:hint="eastAsia" w:ascii="宋体" w:hAnsi="宋体" w:eastAsia="宋体" w:cs="Times New Roman"/>
          <w:color w:val="auto"/>
          <w:kern w:val="0"/>
          <w:szCs w:val="24"/>
          <w:highlight w:val="none"/>
        </w:rPr>
        <w:t>）一式二份并加盖</w:t>
      </w:r>
      <w:r>
        <w:rPr>
          <w:rFonts w:hint="eastAsia" w:ascii="宋体" w:hAnsi="宋体" w:eastAsia="宋体" w:cs="Times New Roman"/>
          <w:color w:val="auto"/>
          <w:szCs w:val="21"/>
          <w:highlight w:val="none"/>
          <w:lang w:val="zh-CN"/>
        </w:rPr>
        <w:t>中标</w:t>
      </w:r>
      <w:r>
        <w:rPr>
          <w:rFonts w:hint="eastAsia" w:ascii="宋体" w:hAnsi="宋体" w:eastAsia="宋体" w:cs="Times New Roman"/>
          <w:color w:val="auto"/>
          <w:kern w:val="0"/>
          <w:szCs w:val="24"/>
          <w:highlight w:val="none"/>
        </w:rPr>
        <w:t>人的公章送招标代理机构，[或当中标人采取不可撤销银行履约保函（</w:t>
      </w:r>
      <w:r>
        <w:rPr>
          <w:rFonts w:hint="eastAsia" w:ascii="宋体" w:hAnsi="宋体" w:eastAsia="宋体" w:cs="Times New Roman"/>
          <w:color w:val="auto"/>
          <w:kern w:val="0"/>
          <w:szCs w:val="21"/>
          <w:highlight w:val="none"/>
        </w:rPr>
        <w:t>或履约保证保险</w:t>
      </w:r>
      <w:r>
        <w:rPr>
          <w:rFonts w:hint="eastAsia" w:ascii="宋体" w:hAnsi="宋体" w:eastAsia="宋体" w:cs="Times New Roman"/>
          <w:color w:val="auto"/>
          <w:kern w:val="0"/>
          <w:szCs w:val="24"/>
          <w:highlight w:val="none"/>
        </w:rPr>
        <w:t>或担保公司履约担保书）的方式缴纳履约担保时，中标人将不可撤销银行履约保函（</w:t>
      </w:r>
      <w:r>
        <w:rPr>
          <w:rFonts w:hint="eastAsia" w:ascii="宋体" w:hAnsi="宋体" w:eastAsia="宋体" w:cs="Times New Roman"/>
          <w:color w:val="auto"/>
          <w:kern w:val="0"/>
          <w:szCs w:val="21"/>
          <w:highlight w:val="none"/>
        </w:rPr>
        <w:t>或履约保证保险</w:t>
      </w:r>
      <w:r>
        <w:rPr>
          <w:rFonts w:hint="eastAsia" w:ascii="宋体" w:hAnsi="宋体" w:eastAsia="宋体" w:cs="Times New Roman"/>
          <w:color w:val="auto"/>
          <w:kern w:val="0"/>
          <w:szCs w:val="24"/>
          <w:highlight w:val="none"/>
        </w:rPr>
        <w:t>或担保公司履约担保书）原件</w:t>
      </w:r>
      <w:r>
        <w:rPr>
          <w:rFonts w:hint="eastAsia" w:ascii="宋体" w:hAnsi="宋体" w:eastAsia="宋体" w:cs="Times New Roman"/>
          <w:color w:val="auto"/>
          <w:szCs w:val="21"/>
          <w:highlight w:val="none"/>
          <w:lang w:val="zh-CN"/>
        </w:rPr>
        <w:t>交给招标人，由招标人在</w:t>
      </w:r>
      <w:r>
        <w:rPr>
          <w:rFonts w:hint="eastAsia" w:ascii="宋体" w:hAnsi="宋体" w:eastAsia="宋体" w:cs="Times New Roman"/>
          <w:color w:val="auto"/>
          <w:kern w:val="0"/>
          <w:szCs w:val="24"/>
          <w:highlight w:val="none"/>
        </w:rPr>
        <w:t>履约保函一式两份复印件上</w:t>
      </w:r>
      <w:r>
        <w:rPr>
          <w:rFonts w:hint="eastAsia" w:ascii="宋体" w:hAnsi="宋体" w:eastAsia="宋体" w:cs="Times New Roman"/>
          <w:color w:val="auto"/>
          <w:szCs w:val="21"/>
          <w:highlight w:val="none"/>
          <w:lang w:val="zh-CN"/>
        </w:rPr>
        <w:t>注明“原件已收”及签收人、日期后，中标人在每份复印件上</w:t>
      </w:r>
      <w:r>
        <w:rPr>
          <w:rFonts w:hint="eastAsia" w:ascii="宋体" w:hAnsi="宋体" w:eastAsia="宋体" w:cs="Times New Roman"/>
          <w:color w:val="auto"/>
          <w:kern w:val="0"/>
          <w:szCs w:val="24"/>
          <w:highlight w:val="none"/>
        </w:rPr>
        <w:t>加盖</w:t>
      </w:r>
      <w:r>
        <w:rPr>
          <w:rFonts w:hint="eastAsia" w:ascii="宋体" w:hAnsi="宋体" w:eastAsia="宋体" w:cs="Times New Roman"/>
          <w:color w:val="auto"/>
          <w:szCs w:val="21"/>
          <w:highlight w:val="none"/>
          <w:lang w:val="zh-CN"/>
        </w:rPr>
        <w:t>中标</w:t>
      </w:r>
      <w:r>
        <w:rPr>
          <w:rFonts w:hint="eastAsia" w:ascii="宋体" w:hAnsi="宋体" w:eastAsia="宋体" w:cs="Times New Roman"/>
          <w:color w:val="auto"/>
          <w:kern w:val="0"/>
          <w:szCs w:val="24"/>
          <w:highlight w:val="none"/>
        </w:rPr>
        <w:t>人的公章，送招标代理机构]</w:t>
      </w:r>
      <w:r>
        <w:rPr>
          <w:rFonts w:hint="eastAsia" w:ascii="宋体" w:hAnsi="宋体" w:eastAsia="宋体" w:cs="宋体"/>
          <w:color w:val="auto"/>
          <w:kern w:val="0"/>
          <w:szCs w:val="21"/>
          <w:highlight w:val="none"/>
        </w:rPr>
        <w:t>。</w:t>
      </w:r>
    </w:p>
    <w:p w14:paraId="132335B0">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auto"/>
          <w:kern w:val="0"/>
          <w:szCs w:val="24"/>
          <w:highlight w:val="none"/>
        </w:rPr>
      </w:pPr>
      <w:r>
        <w:rPr>
          <w:rFonts w:hint="eastAsia" w:ascii="宋体" w:hAnsi="宋体" w:eastAsia="宋体" w:cs="Times New Roman"/>
          <w:color w:val="auto"/>
          <w:kern w:val="0"/>
          <w:szCs w:val="24"/>
          <w:highlight w:val="none"/>
        </w:rPr>
        <w:t>37.7</w:t>
      </w:r>
      <w:r>
        <w:rPr>
          <w:rFonts w:ascii="宋体" w:hAnsi="宋体" w:eastAsia="宋体" w:cs="Times New Roman"/>
          <w:color w:val="auto"/>
          <w:kern w:val="0"/>
          <w:szCs w:val="24"/>
          <w:highlight w:val="none"/>
        </w:rPr>
        <w:t xml:space="preserve">  </w:t>
      </w:r>
      <w:r>
        <w:rPr>
          <w:rFonts w:hint="eastAsia" w:ascii="宋体" w:hAnsi="宋体" w:eastAsia="宋体" w:cs="宋体"/>
          <w:color w:val="auto"/>
          <w:kern w:val="0"/>
          <w:szCs w:val="21"/>
          <w:highlight w:val="none"/>
        </w:rPr>
        <w:t>中标人以履约保证金（银行转账形式）提供履约担保的，在合同期限届满并全部货物经最终验收合格，招标人向中标人支付全部款项（除质保金）二十八（28）日后，经招标人确认，中标人可向招标人提交退回履约担保的申请。招标人审核无异议后，办理履约担保退还手续，退回时一律以银行转账的形式无息退回到中标人的账户。</w:t>
      </w:r>
    </w:p>
    <w:p w14:paraId="311DC63F">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rPr>
      </w:pPr>
    </w:p>
    <w:p w14:paraId="1E1AD307">
      <w:pPr>
        <w:tabs>
          <w:tab w:val="left" w:pos="360"/>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348" w:name="_Toc29161"/>
      <w:bookmarkStart w:id="349" w:name="_Toc10548"/>
      <w:bookmarkStart w:id="350" w:name="_Toc486167702"/>
      <w:bookmarkStart w:id="351" w:name="_Toc142508353"/>
      <w:bookmarkStart w:id="352" w:name="_Toc27162"/>
      <w:bookmarkStart w:id="353" w:name="_Toc195714259"/>
      <w:r>
        <w:rPr>
          <w:rFonts w:hint="eastAsia" w:ascii="宋体" w:hAnsi="宋体" w:eastAsia="宋体" w:cs="宋体"/>
          <w:color w:val="auto"/>
          <w:szCs w:val="21"/>
          <w:highlight w:val="none"/>
        </w:rPr>
        <w:t>38</w:t>
      </w:r>
      <w:r>
        <w:rPr>
          <w:rFonts w:hint="eastAsia" w:ascii="宋体" w:hAnsi="宋体" w:eastAsia="宋体" w:cs="宋体"/>
          <w:color w:val="auto"/>
          <w:szCs w:val="21"/>
          <w:highlight w:val="none"/>
          <w:lang w:val="zh-CN"/>
        </w:rPr>
        <w:t xml:space="preserve"> 在合同履行中变更采购范围的权利</w:t>
      </w:r>
      <w:bookmarkEnd w:id="346"/>
      <w:bookmarkEnd w:id="347"/>
      <w:bookmarkEnd w:id="348"/>
      <w:bookmarkEnd w:id="349"/>
      <w:bookmarkEnd w:id="350"/>
      <w:bookmarkEnd w:id="351"/>
      <w:bookmarkEnd w:id="352"/>
      <w:bookmarkEnd w:id="353"/>
    </w:p>
    <w:p w14:paraId="7EB6AF3D">
      <w:pPr>
        <w:autoSpaceDE w:val="0"/>
        <w:autoSpaceDN w:val="0"/>
        <w:adjustRightInd w:val="0"/>
        <w:spacing w:line="360" w:lineRule="auto"/>
        <w:ind w:left="328" w:leftChars="-114" w:hanging="567" w:hangingChars="27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38.1</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合同履行中</w:t>
      </w:r>
      <w:r>
        <w:rPr>
          <w:rFonts w:ascii="宋体" w:hAnsi="宋体" w:eastAsia="宋体" w:cs="宋体"/>
          <w:color w:val="auto"/>
          <w:kern w:val="0"/>
          <w:szCs w:val="21"/>
          <w:highlight w:val="none"/>
        </w:rPr>
        <w:t>，</w:t>
      </w:r>
      <w:r>
        <w:rPr>
          <w:rFonts w:hint="eastAsia" w:ascii="宋体" w:hAnsi="宋体" w:eastAsia="宋体" w:cs="宋体"/>
          <w:color w:val="auto"/>
          <w:kern w:val="0"/>
          <w:szCs w:val="21"/>
          <w:highlight w:val="none"/>
        </w:rPr>
        <w:t>招标</w:t>
      </w:r>
      <w:r>
        <w:rPr>
          <w:rFonts w:ascii="宋体" w:hAnsi="宋体" w:eastAsia="宋体" w:cs="宋体"/>
          <w:color w:val="auto"/>
          <w:kern w:val="0"/>
          <w:szCs w:val="21"/>
          <w:highlight w:val="none"/>
        </w:rPr>
        <w:t>人</w:t>
      </w:r>
      <w:r>
        <w:rPr>
          <w:rFonts w:hint="eastAsia" w:ascii="宋体" w:hAnsi="宋体" w:eastAsia="宋体" w:cs="宋体"/>
          <w:color w:val="auto"/>
          <w:kern w:val="0"/>
          <w:szCs w:val="21"/>
          <w:highlight w:val="none"/>
        </w:rPr>
        <w:t>在合同约定的范围内，招标人有权根据项目实际情况及有关法律法规、政策的规定对采购范围进行变更调整，变更采购范围后，投标人应遵照执行。</w:t>
      </w:r>
    </w:p>
    <w:p w14:paraId="129F9A06">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lang w:val="zh-CN"/>
        </w:rPr>
      </w:pPr>
      <w:bookmarkStart w:id="354" w:name="_Toc450662888"/>
    </w:p>
    <w:p w14:paraId="19FFC75F">
      <w:pPr>
        <w:tabs>
          <w:tab w:val="left" w:pos="465"/>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355" w:name="_Toc23619"/>
      <w:bookmarkStart w:id="356" w:name="_Toc142508354"/>
      <w:bookmarkStart w:id="357" w:name="_Toc486167703"/>
      <w:bookmarkStart w:id="358" w:name="_Toc23218"/>
      <w:bookmarkStart w:id="359" w:name="_Toc195714260"/>
      <w:bookmarkStart w:id="360" w:name="_Toc28921_WPSOffice_Level3"/>
      <w:bookmarkStart w:id="361" w:name="_Toc2401"/>
      <w:r>
        <w:rPr>
          <w:rFonts w:hint="eastAsia" w:ascii="宋体" w:hAnsi="宋体" w:eastAsia="宋体" w:cs="宋体"/>
          <w:color w:val="auto"/>
          <w:szCs w:val="21"/>
          <w:highlight w:val="none"/>
        </w:rPr>
        <w:t>39</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中标服务费</w:t>
      </w:r>
      <w:bookmarkEnd w:id="354"/>
      <w:bookmarkEnd w:id="355"/>
      <w:bookmarkEnd w:id="356"/>
      <w:bookmarkEnd w:id="357"/>
      <w:bookmarkEnd w:id="358"/>
      <w:bookmarkEnd w:id="359"/>
      <w:bookmarkEnd w:id="360"/>
      <w:bookmarkEnd w:id="361"/>
    </w:p>
    <w:p w14:paraId="27F2CDC2">
      <w:pPr>
        <w:autoSpaceDE w:val="0"/>
        <w:autoSpaceDN w:val="0"/>
        <w:adjustRightInd w:val="0"/>
        <w:spacing w:line="360" w:lineRule="auto"/>
        <w:ind w:left="357" w:leftChars="-100" w:hanging="567" w:hangingChars="270"/>
        <w:jc w:val="left"/>
        <w:rPr>
          <w:rFonts w:ascii="宋体" w:hAnsi="宋体" w:eastAsia="宋体" w:cs="宋体"/>
          <w:color w:val="auto"/>
          <w:kern w:val="0"/>
          <w:szCs w:val="21"/>
          <w:highlight w:val="none"/>
        </w:rPr>
      </w:pPr>
      <w:r>
        <w:rPr>
          <w:rFonts w:hint="eastAsia" w:ascii="宋体" w:hAnsi="宋体" w:eastAsia="宋体" w:cs="宋体"/>
          <w:color w:val="auto"/>
          <w:szCs w:val="21"/>
          <w:highlight w:val="none"/>
        </w:rPr>
        <w:t>39</w:t>
      </w:r>
      <w:r>
        <w:rPr>
          <w:rFonts w:hint="eastAsia" w:ascii="宋体" w:hAnsi="宋体" w:eastAsia="宋体" w:cs="宋体"/>
          <w:color w:val="auto"/>
          <w:szCs w:val="21"/>
          <w:highlight w:val="none"/>
          <w:lang w:val="zh-CN"/>
        </w:rPr>
        <w:t>.1 本项目中标服务费由招标人向招标代理机构支付。</w:t>
      </w:r>
    </w:p>
    <w:p w14:paraId="754DE294">
      <w:pPr>
        <w:autoSpaceDE w:val="0"/>
        <w:autoSpaceDN w:val="0"/>
        <w:adjustRightInd w:val="0"/>
        <w:snapToGrid w:val="0"/>
        <w:spacing w:line="360" w:lineRule="auto"/>
        <w:ind w:left="315" w:leftChars="-100" w:hanging="525" w:hangingChars="250"/>
        <w:jc w:val="left"/>
        <w:rPr>
          <w:rFonts w:ascii="宋体" w:hAnsi="宋体" w:eastAsia="宋体" w:cs="宋体"/>
          <w:color w:val="auto"/>
          <w:szCs w:val="21"/>
          <w:highlight w:val="none"/>
          <w:lang w:val="zh-CN"/>
        </w:rPr>
      </w:pPr>
      <w:bookmarkStart w:id="362" w:name="_Toc450662889"/>
    </w:p>
    <w:p w14:paraId="2A584937">
      <w:pPr>
        <w:tabs>
          <w:tab w:val="left" w:pos="360"/>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lang w:val="zh-CN"/>
        </w:rPr>
      </w:pPr>
      <w:bookmarkStart w:id="363" w:name="_Toc6764_WPSOffice_Level3"/>
      <w:bookmarkStart w:id="364" w:name="_Toc6796"/>
      <w:bookmarkStart w:id="365" w:name="_Toc1528"/>
      <w:bookmarkStart w:id="366" w:name="_Toc142508355"/>
      <w:bookmarkStart w:id="367" w:name="_Toc195714261"/>
      <w:bookmarkStart w:id="368" w:name="_Toc21985"/>
      <w:bookmarkStart w:id="369" w:name="_Toc486167704"/>
      <w:r>
        <w:rPr>
          <w:rFonts w:hint="eastAsia" w:ascii="宋体" w:hAnsi="宋体" w:eastAsia="宋体" w:cs="宋体"/>
          <w:color w:val="auto"/>
          <w:szCs w:val="21"/>
          <w:highlight w:val="none"/>
        </w:rPr>
        <w:t>40</w:t>
      </w:r>
      <w:r>
        <w:rPr>
          <w:rFonts w:hint="eastAsia" w:ascii="宋体" w:hAnsi="宋体" w:eastAsia="宋体" w:cs="宋体"/>
          <w:color w:val="auto"/>
          <w:szCs w:val="21"/>
          <w:highlight w:val="none"/>
          <w:lang w:val="zh-CN"/>
        </w:rPr>
        <w:t xml:space="preserve"> 发票</w:t>
      </w:r>
      <w:bookmarkEnd w:id="362"/>
      <w:bookmarkEnd w:id="363"/>
      <w:bookmarkEnd w:id="364"/>
      <w:bookmarkEnd w:id="365"/>
      <w:bookmarkEnd w:id="366"/>
      <w:bookmarkEnd w:id="367"/>
      <w:bookmarkEnd w:id="368"/>
      <w:bookmarkEnd w:id="369"/>
    </w:p>
    <w:p w14:paraId="06049A1C">
      <w:pPr>
        <w:autoSpaceDE w:val="0"/>
        <w:autoSpaceDN w:val="0"/>
        <w:adjustRightInd w:val="0"/>
        <w:snapToGrid w:val="0"/>
        <w:spacing w:line="360" w:lineRule="auto"/>
        <w:ind w:left="315" w:leftChars="-100" w:hanging="525" w:hangingChars="250"/>
        <w:jc w:val="left"/>
        <w:rPr>
          <w:rFonts w:ascii="宋体" w:hAnsi="宋体" w:eastAsia="宋体" w:cs="Times New Roman"/>
          <w:color w:val="auto"/>
          <w:szCs w:val="21"/>
          <w:highlight w:val="none"/>
          <w:lang w:val="zh-CN"/>
        </w:rPr>
      </w:pPr>
      <w:r>
        <w:rPr>
          <w:rFonts w:hint="eastAsia" w:ascii="宋体" w:hAnsi="宋体" w:eastAsia="宋体" w:cs="宋体"/>
          <w:color w:val="auto"/>
          <w:szCs w:val="21"/>
          <w:highlight w:val="none"/>
        </w:rPr>
        <w:t>40</w:t>
      </w:r>
      <w:r>
        <w:rPr>
          <w:rFonts w:hint="eastAsia" w:ascii="宋体" w:hAnsi="宋体" w:eastAsia="宋体" w:cs="宋体"/>
          <w:color w:val="auto"/>
          <w:szCs w:val="21"/>
          <w:highlight w:val="none"/>
          <w:lang w:val="zh-CN"/>
        </w:rPr>
        <w:t>.1</w:t>
      </w:r>
      <w:bookmarkStart w:id="370" w:name="_Toc486167705"/>
      <w:bookmarkStart w:id="371" w:name="_Toc31106_WPSOffice_Level3"/>
      <w:r>
        <w:rPr>
          <w:rFonts w:hint="eastAsia" w:ascii="宋体" w:hAnsi="宋体" w:eastAsia="宋体" w:cs="宋体"/>
          <w:color w:val="auto"/>
          <w:szCs w:val="21"/>
          <w:highlight w:val="none"/>
          <w:lang w:val="en-US" w:eastAsia="zh-CN"/>
        </w:rPr>
        <w:t xml:space="preserve"> </w:t>
      </w:r>
      <w:r>
        <w:rPr>
          <w:rFonts w:hint="eastAsia" w:ascii="宋体" w:hAnsi="宋体" w:eastAsia="宋体" w:cs="Times New Roman"/>
          <w:color w:val="auto"/>
          <w:szCs w:val="21"/>
          <w:highlight w:val="none"/>
          <w:lang w:val="zh-CN"/>
        </w:rPr>
        <w:t>该项目获得中标的中标人在执行合同过程中，向招标人出具的发票必须是由中标人开具，不得以其他单位或个人名义出具，本项目中标人向招标人出具的发票类型为增值税专用发票。</w:t>
      </w:r>
    </w:p>
    <w:p w14:paraId="69B86A5C">
      <w:pPr>
        <w:autoSpaceDE w:val="0"/>
        <w:autoSpaceDN w:val="0"/>
        <w:adjustRightInd w:val="0"/>
        <w:snapToGrid w:val="0"/>
        <w:spacing w:line="360" w:lineRule="auto"/>
        <w:ind w:left="315" w:leftChars="-100" w:hanging="525" w:hangingChars="250"/>
        <w:jc w:val="left"/>
        <w:rPr>
          <w:rFonts w:ascii="宋体" w:hAnsi="宋体" w:eastAsia="宋体" w:cs="Times New Roman"/>
          <w:color w:val="auto"/>
          <w:szCs w:val="21"/>
          <w:highlight w:val="none"/>
        </w:rPr>
      </w:pPr>
    </w:p>
    <w:p w14:paraId="64D56DC4">
      <w:pPr>
        <w:tabs>
          <w:tab w:val="left" w:pos="360"/>
        </w:tabs>
        <w:autoSpaceDE w:val="0"/>
        <w:autoSpaceDN w:val="0"/>
        <w:adjustRightInd w:val="0"/>
        <w:spacing w:line="360" w:lineRule="auto"/>
        <w:ind w:left="357" w:leftChars="-100" w:hanging="567"/>
        <w:jc w:val="left"/>
        <w:outlineLvl w:val="2"/>
        <w:rPr>
          <w:rFonts w:ascii="宋体" w:hAnsi="宋体" w:eastAsia="宋体" w:cs="宋体"/>
          <w:b/>
          <w:color w:val="auto"/>
          <w:szCs w:val="21"/>
          <w:highlight w:val="none"/>
        </w:rPr>
      </w:pPr>
      <w:bookmarkStart w:id="372" w:name="_Toc142508356"/>
      <w:bookmarkStart w:id="373" w:name="_Toc12802"/>
      <w:bookmarkStart w:id="374" w:name="_Toc8619"/>
      <w:bookmarkStart w:id="375" w:name="_Toc24547"/>
      <w:bookmarkStart w:id="376" w:name="_Toc195714262"/>
      <w:r>
        <w:rPr>
          <w:rFonts w:hint="eastAsia" w:ascii="宋体" w:hAnsi="宋体" w:eastAsia="宋体" w:cs="宋体"/>
          <w:b/>
          <w:color w:val="auto"/>
          <w:szCs w:val="21"/>
          <w:highlight w:val="none"/>
        </w:rPr>
        <w:t>41</w:t>
      </w:r>
      <w:r>
        <w:rPr>
          <w:rFonts w:ascii="宋体" w:hAnsi="宋体" w:eastAsia="宋体" w:cs="宋体"/>
          <w:b/>
          <w:color w:val="auto"/>
          <w:szCs w:val="21"/>
          <w:highlight w:val="none"/>
        </w:rPr>
        <w:t xml:space="preserve"> 招标相关补充约定</w:t>
      </w:r>
      <w:bookmarkEnd w:id="372"/>
      <w:bookmarkEnd w:id="373"/>
      <w:bookmarkEnd w:id="374"/>
      <w:bookmarkEnd w:id="375"/>
      <w:bookmarkEnd w:id="376"/>
    </w:p>
    <w:p w14:paraId="3E7D6C28">
      <w:pPr>
        <w:autoSpaceDE w:val="0"/>
        <w:autoSpaceDN w:val="0"/>
        <w:adjustRightInd w:val="0"/>
        <w:snapToGrid w:val="0"/>
        <w:spacing w:line="360" w:lineRule="auto"/>
        <w:ind w:left="317" w:leftChars="-100" w:hanging="527" w:hangingChars="250"/>
        <w:jc w:val="left"/>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41</w:t>
      </w:r>
      <w:r>
        <w:rPr>
          <w:rFonts w:ascii="宋体" w:hAnsi="宋体" w:eastAsia="宋体" w:cs="Times New Roman"/>
          <w:b/>
          <w:color w:val="auto"/>
          <w:szCs w:val="21"/>
          <w:highlight w:val="none"/>
        </w:rPr>
        <w:t>.1</w:t>
      </w:r>
      <w:r>
        <w:rPr>
          <w:rFonts w:ascii="宋体" w:hAnsi="宋体" w:eastAsia="宋体" w:cs="Times New Roman"/>
          <w:b/>
          <w:color w:val="auto"/>
          <w:szCs w:val="21"/>
          <w:highlight w:val="none"/>
        </w:rPr>
        <w:tab/>
      </w:r>
      <w:r>
        <w:rPr>
          <w:rFonts w:ascii="宋体" w:hAnsi="宋体" w:eastAsia="宋体" w:cs="Times New Roman"/>
          <w:b/>
          <w:color w:val="auto"/>
          <w:szCs w:val="21"/>
          <w:highlight w:val="none"/>
        </w:rPr>
        <w:t>本项目投标人须知第2条所述行政处罚信息，以开标</w:t>
      </w:r>
      <w:r>
        <w:rPr>
          <w:rFonts w:hint="eastAsia" w:ascii="宋体" w:hAnsi="宋体" w:eastAsia="宋体" w:cs="Times New Roman"/>
          <w:b/>
          <w:color w:val="auto"/>
          <w:szCs w:val="21"/>
          <w:highlight w:val="none"/>
        </w:rPr>
        <w:t>当天</w:t>
      </w:r>
      <w:r>
        <w:rPr>
          <w:rFonts w:ascii="宋体" w:hAnsi="宋体" w:eastAsia="宋体" w:cs="Times New Roman"/>
          <w:b/>
          <w:color w:val="auto"/>
          <w:szCs w:val="21"/>
          <w:highlight w:val="none"/>
        </w:rPr>
        <w:t>在“信用中国”网站（www.creditchina.gov.cn）查询结果为准</w:t>
      </w:r>
      <w:r>
        <w:rPr>
          <w:rFonts w:hint="eastAsia" w:ascii="宋体" w:hAnsi="宋体" w:eastAsia="宋体" w:cs="Times New Roman"/>
          <w:b/>
          <w:color w:val="auto"/>
          <w:szCs w:val="21"/>
          <w:highlight w:val="none"/>
        </w:rPr>
        <w:t>，或以司法、仲裁机构等出具的生效文件予以认定,时间以认定文件的落款时间为准</w:t>
      </w:r>
      <w:r>
        <w:rPr>
          <w:rFonts w:ascii="宋体" w:hAnsi="宋体" w:eastAsia="宋体" w:cs="Times New Roman"/>
          <w:b/>
          <w:color w:val="auto"/>
          <w:szCs w:val="21"/>
          <w:highlight w:val="none"/>
        </w:rPr>
        <w:t>。开标结束后，有关投标单位的行政处罚信息，以</w:t>
      </w:r>
      <w:r>
        <w:rPr>
          <w:rFonts w:hint="eastAsia" w:ascii="宋体" w:hAnsi="宋体" w:eastAsia="宋体" w:cs="Times New Roman"/>
          <w:b/>
          <w:color w:val="auto"/>
          <w:szCs w:val="21"/>
          <w:highlight w:val="none"/>
        </w:rPr>
        <w:t>开标当天查询</w:t>
      </w:r>
      <w:r>
        <w:rPr>
          <w:rFonts w:ascii="宋体" w:hAnsi="宋体" w:eastAsia="宋体" w:cs="Times New Roman"/>
          <w:b/>
          <w:color w:val="auto"/>
          <w:szCs w:val="21"/>
          <w:highlight w:val="none"/>
        </w:rPr>
        <w:t>结果为准；结果公示期间，如投标人对有关投标单位的行政处罚信息存在异议，但不涉及第一中标候选人的，视为对中标结果没有造成实质影响。</w:t>
      </w:r>
    </w:p>
    <w:p w14:paraId="1797C98D">
      <w:pPr>
        <w:autoSpaceDE w:val="0"/>
        <w:autoSpaceDN w:val="0"/>
        <w:adjustRightInd w:val="0"/>
        <w:snapToGrid w:val="0"/>
        <w:spacing w:line="360" w:lineRule="auto"/>
        <w:ind w:left="315" w:leftChars="-100" w:hanging="525" w:hangingChars="250"/>
        <w:jc w:val="left"/>
        <w:rPr>
          <w:rFonts w:ascii="宋体" w:hAnsi="宋体" w:eastAsia="宋体" w:cs="Times New Roman"/>
          <w:color w:val="auto"/>
          <w:szCs w:val="21"/>
          <w:highlight w:val="none"/>
        </w:rPr>
      </w:pPr>
    </w:p>
    <w:p w14:paraId="508C045B">
      <w:pPr>
        <w:tabs>
          <w:tab w:val="left" w:pos="360"/>
        </w:tabs>
        <w:autoSpaceDE w:val="0"/>
        <w:autoSpaceDN w:val="0"/>
        <w:adjustRightInd w:val="0"/>
        <w:spacing w:line="360" w:lineRule="auto"/>
        <w:ind w:left="357" w:leftChars="-100" w:hanging="567"/>
        <w:jc w:val="left"/>
        <w:outlineLvl w:val="2"/>
        <w:rPr>
          <w:rFonts w:ascii="宋体" w:hAnsi="宋体" w:eastAsia="宋体" w:cs="宋体"/>
          <w:color w:val="auto"/>
          <w:szCs w:val="21"/>
          <w:highlight w:val="none"/>
        </w:rPr>
      </w:pPr>
      <w:bookmarkStart w:id="377" w:name="_Toc26594"/>
      <w:bookmarkStart w:id="378" w:name="_Toc195714263"/>
      <w:bookmarkStart w:id="379" w:name="_Toc142508357"/>
      <w:bookmarkStart w:id="380" w:name="_Toc18453"/>
      <w:bookmarkStart w:id="381" w:name="_Toc29758"/>
      <w:r>
        <w:rPr>
          <w:rFonts w:hint="eastAsia" w:ascii="宋体" w:hAnsi="宋体" w:eastAsia="宋体" w:cs="宋体"/>
          <w:color w:val="auto"/>
          <w:szCs w:val="21"/>
          <w:highlight w:val="none"/>
        </w:rPr>
        <w:t>42 本次招标活动的最终解释权归招标代理机构及招标人所有。</w:t>
      </w:r>
      <w:bookmarkEnd w:id="370"/>
      <w:bookmarkEnd w:id="371"/>
      <w:bookmarkEnd w:id="377"/>
      <w:bookmarkEnd w:id="378"/>
      <w:bookmarkEnd w:id="379"/>
      <w:bookmarkEnd w:id="380"/>
      <w:bookmarkEnd w:id="381"/>
    </w:p>
    <w:p w14:paraId="52CDBAE4">
      <w:pPr>
        <w:pageBreakBefore/>
        <w:tabs>
          <w:tab w:val="left" w:pos="1080"/>
        </w:tabs>
        <w:autoSpaceDE w:val="0"/>
        <w:autoSpaceDN w:val="0"/>
        <w:adjustRightInd w:val="0"/>
        <w:spacing w:line="360" w:lineRule="auto"/>
        <w:ind w:left="357" w:leftChars="-100" w:hanging="567"/>
        <w:jc w:val="center"/>
        <w:outlineLvl w:val="0"/>
        <w:rPr>
          <w:rFonts w:ascii="宋体" w:hAnsi="宋体" w:eastAsia="宋体" w:cs="宋体"/>
          <w:b/>
          <w:bCs/>
          <w:color w:val="auto"/>
          <w:kern w:val="44"/>
          <w:sz w:val="32"/>
          <w:szCs w:val="32"/>
          <w:highlight w:val="none"/>
          <w:lang w:val="zh-CN"/>
        </w:rPr>
      </w:pPr>
      <w:bookmarkStart w:id="382" w:name="_Toc450662891"/>
      <w:bookmarkStart w:id="383" w:name="_Toc21446"/>
      <w:bookmarkStart w:id="384" w:name="_Toc13875"/>
      <w:bookmarkStart w:id="385" w:name="_Toc27939_WPSOffice_Level1"/>
      <w:bookmarkStart w:id="386" w:name="_Toc195714264"/>
      <w:bookmarkStart w:id="387" w:name="_Toc486167706"/>
      <w:bookmarkStart w:id="388" w:name="_Toc142508358"/>
      <w:bookmarkStart w:id="389" w:name="_Toc14879"/>
      <w:r>
        <w:rPr>
          <w:rFonts w:hint="eastAsia" w:ascii="宋体" w:hAnsi="宋体" w:eastAsia="宋体" w:cs="宋体"/>
          <w:b/>
          <w:bCs/>
          <w:color w:val="auto"/>
          <w:kern w:val="44"/>
          <w:sz w:val="32"/>
          <w:szCs w:val="32"/>
          <w:highlight w:val="none"/>
          <w:lang w:val="zh-CN"/>
        </w:rPr>
        <w:t>第三篇</w:t>
      </w:r>
      <w:r>
        <w:rPr>
          <w:rFonts w:ascii="宋体" w:hAnsi="宋体" w:eastAsia="宋体" w:cs="宋体"/>
          <w:b/>
          <w:bCs/>
          <w:color w:val="auto"/>
          <w:kern w:val="44"/>
          <w:sz w:val="32"/>
          <w:szCs w:val="32"/>
          <w:highlight w:val="none"/>
          <w:lang w:val="zh-CN"/>
        </w:rPr>
        <w:t xml:space="preserve"> </w:t>
      </w:r>
      <w:r>
        <w:rPr>
          <w:rFonts w:hint="eastAsia" w:ascii="宋体" w:hAnsi="宋体" w:eastAsia="宋体" w:cs="宋体"/>
          <w:b/>
          <w:bCs/>
          <w:color w:val="auto"/>
          <w:kern w:val="44"/>
          <w:sz w:val="32"/>
          <w:szCs w:val="32"/>
          <w:highlight w:val="none"/>
          <w:lang w:val="zh-CN"/>
        </w:rPr>
        <w:t>用户需求书</w:t>
      </w:r>
      <w:bookmarkEnd w:id="382"/>
      <w:bookmarkEnd w:id="383"/>
      <w:bookmarkEnd w:id="384"/>
      <w:bookmarkEnd w:id="385"/>
      <w:bookmarkEnd w:id="386"/>
      <w:bookmarkEnd w:id="387"/>
      <w:bookmarkEnd w:id="388"/>
      <w:bookmarkEnd w:id="389"/>
    </w:p>
    <w:p w14:paraId="6449DB15">
      <w:pPr>
        <w:spacing w:line="360" w:lineRule="auto"/>
        <w:ind w:firstLine="422" w:firstLineChars="200"/>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特别说明：</w:t>
      </w:r>
    </w:p>
    <w:p w14:paraId="53E26F59">
      <w:pPr>
        <w:spacing w:line="360" w:lineRule="auto"/>
        <w:ind w:firstLine="422" w:firstLineChars="200"/>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1、投标人应注意本《用户需求书》中对货物的性能配置、技术参数、技术要求所描述的特征或说明只是概括性的，不能理解为所需要的全部货物及系统工序的要求，投标人应按行业技术、质量和以往的设计、货物生产制造、安装、维护管理经验，合格</w:t>
      </w:r>
      <w:r>
        <w:rPr>
          <w:rFonts w:hint="eastAsia" w:ascii="Times New Roman" w:hAnsi="Times New Roman" w:eastAsia="宋体" w:cs="Times New Roman"/>
          <w:b/>
          <w:color w:val="auto"/>
          <w:szCs w:val="21"/>
          <w:highlight w:val="none"/>
        </w:rPr>
        <w:t>优质地完成</w:t>
      </w:r>
      <w:r>
        <w:rPr>
          <w:rFonts w:ascii="Times New Roman" w:hAnsi="Times New Roman" w:eastAsia="宋体" w:cs="Times New Roman"/>
          <w:b/>
          <w:color w:val="auto"/>
          <w:szCs w:val="21"/>
          <w:highlight w:val="none"/>
        </w:rPr>
        <w:t>采购内容和包含的全部服务。</w:t>
      </w:r>
    </w:p>
    <w:p w14:paraId="7A235899">
      <w:pPr>
        <w:spacing w:line="360" w:lineRule="auto"/>
        <w:ind w:firstLine="422" w:firstLineChars="200"/>
        <w:rPr>
          <w:rFonts w:ascii="Times New Roman" w:hAnsi="Times New Roman" w:eastAsia="宋体" w:cs="Times New Roman"/>
          <w:b/>
          <w:bCs/>
          <w:color w:val="auto"/>
          <w:szCs w:val="21"/>
          <w:highlight w:val="none"/>
        </w:rPr>
      </w:pPr>
      <w:r>
        <w:rPr>
          <w:rFonts w:ascii="Times New Roman" w:hAnsi="Times New Roman" w:eastAsia="宋体" w:cs="Times New Roman"/>
          <w:b/>
          <w:color w:val="auto"/>
          <w:szCs w:val="21"/>
          <w:highlight w:val="none"/>
        </w:rPr>
        <w:t>2、本</w:t>
      </w:r>
      <w:r>
        <w:rPr>
          <w:rFonts w:ascii="Times New Roman" w:hAnsi="Times New Roman" w:eastAsia="宋体" w:cs="Times New Roman"/>
          <w:b/>
          <w:bCs/>
          <w:color w:val="auto"/>
          <w:szCs w:val="21"/>
          <w:highlight w:val="none"/>
        </w:rPr>
        <w:t>用户需求书中所有列出的相关货物技术要求、品牌均不是唯一指定，仅作参考，即</w:t>
      </w:r>
      <w:r>
        <w:rPr>
          <w:rFonts w:ascii="Times New Roman" w:hAnsi="Times New Roman" w:eastAsia="宋体" w:cs="Times New Roman"/>
          <w:b/>
          <w:color w:val="auto"/>
          <w:szCs w:val="21"/>
          <w:highlight w:val="none"/>
        </w:rPr>
        <w:t>投标人可就货物提出替代标准，</w:t>
      </w:r>
      <w:r>
        <w:rPr>
          <w:rFonts w:ascii="Times New Roman" w:hAnsi="Times New Roman" w:eastAsia="宋体" w:cs="Times New Roman"/>
          <w:b/>
          <w:bCs/>
          <w:color w:val="auto"/>
          <w:szCs w:val="21"/>
          <w:highlight w:val="none"/>
        </w:rPr>
        <w:t>只要投标人提供的货物满足招标人的功能要求、相当于(或优于)规定的货物品质和性能等技术参数要求，并提供满足本用户需求书要求的证明材料，则视为合格。但</w:t>
      </w:r>
      <w:r>
        <w:rPr>
          <w:rFonts w:ascii="Times New Roman" w:hAnsi="Times New Roman" w:eastAsia="宋体" w:cs="Times New Roman"/>
          <w:b/>
          <w:color w:val="auto"/>
          <w:szCs w:val="21"/>
          <w:highlight w:val="none"/>
        </w:rPr>
        <w:t>凡标有“★”的地方均被视为重要的技术指标要求或性能要求，投标人要特别加以注意，必须对此回答并完全满足这些要求，否则若有一项带“★”的指标未响应或不满足，将按无效投标文件处理。</w:t>
      </w:r>
    </w:p>
    <w:p w14:paraId="3A85EF84">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投标人可根据各制造商货物的特性做出实际的响应，投标文件对本用户需求书的响应程度包括正偏离、负偏离、无偏离。正偏离是指投标人提供的货物（或服务）优于本用户需求书的要求，负偏离是指投标人提供的货物（或服务）不满足或不完全满足本用户需求书的要求，无偏离是指投标人提供的货物（或服务）完全满足本用户需求书的要求。</w:t>
      </w:r>
    </w:p>
    <w:p w14:paraId="36AC800B">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4、用户需求书组成及解释顺序。</w:t>
      </w:r>
    </w:p>
    <w:p w14:paraId="12D25D70">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本用户需求书由</w:t>
      </w:r>
      <w:r>
        <w:rPr>
          <w:rFonts w:hint="eastAsia" w:ascii="Times New Roman" w:hAnsi="Times New Roman" w:eastAsia="宋体" w:cs="Times New Roman"/>
          <w:color w:val="auto"/>
          <w:szCs w:val="21"/>
          <w:highlight w:val="none"/>
        </w:rPr>
        <w:t>三</w:t>
      </w:r>
      <w:r>
        <w:rPr>
          <w:rFonts w:ascii="Times New Roman" w:hAnsi="Times New Roman" w:eastAsia="宋体" w:cs="Times New Roman"/>
          <w:color w:val="auto"/>
          <w:szCs w:val="21"/>
          <w:highlight w:val="none"/>
        </w:rPr>
        <w:t>节内容组成，第</w:t>
      </w:r>
      <w:r>
        <w:rPr>
          <w:rFonts w:hint="eastAsia" w:ascii="Times New Roman" w:hAnsi="Times New Roman" w:eastAsia="宋体" w:cs="Times New Roman"/>
          <w:color w:val="auto"/>
          <w:szCs w:val="21"/>
          <w:highlight w:val="none"/>
        </w:rPr>
        <w:t>一</w:t>
      </w:r>
      <w:r>
        <w:rPr>
          <w:rFonts w:ascii="Times New Roman" w:hAnsi="Times New Roman" w:eastAsia="宋体" w:cs="Times New Roman"/>
          <w:color w:val="auto"/>
          <w:szCs w:val="21"/>
          <w:highlight w:val="none"/>
        </w:rPr>
        <w:t>节为总体技术要求，第</w:t>
      </w:r>
      <w:r>
        <w:rPr>
          <w:rFonts w:hint="eastAsia" w:ascii="Times New Roman" w:hAnsi="Times New Roman" w:eastAsia="宋体" w:cs="Times New Roman"/>
          <w:color w:val="auto"/>
          <w:szCs w:val="21"/>
          <w:highlight w:val="none"/>
        </w:rPr>
        <w:t>二</w:t>
      </w:r>
      <w:r>
        <w:rPr>
          <w:rFonts w:ascii="Times New Roman" w:hAnsi="Times New Roman" w:eastAsia="宋体" w:cs="Times New Roman"/>
          <w:color w:val="auto"/>
          <w:szCs w:val="21"/>
          <w:highlight w:val="none"/>
        </w:rPr>
        <w:t>节是对招标设备的详细技术要求，第</w:t>
      </w:r>
      <w:r>
        <w:rPr>
          <w:rFonts w:hint="eastAsia" w:ascii="Times New Roman" w:hAnsi="Times New Roman" w:eastAsia="宋体" w:cs="Times New Roman"/>
          <w:color w:val="auto"/>
          <w:szCs w:val="21"/>
          <w:highlight w:val="none"/>
        </w:rPr>
        <w:t>三</w:t>
      </w:r>
      <w:r>
        <w:rPr>
          <w:rFonts w:ascii="Times New Roman" w:hAnsi="Times New Roman" w:eastAsia="宋体" w:cs="Times New Roman"/>
          <w:color w:val="auto"/>
          <w:szCs w:val="21"/>
          <w:highlight w:val="none"/>
        </w:rPr>
        <w:t>节为资料要求。</w:t>
      </w:r>
    </w:p>
    <w:p w14:paraId="52E4B42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如本用户需求书的技术要求和招标图纸表明的内容不一致，应以用户需求书技术要求说明为准；如用户需求书中第</w:t>
      </w:r>
      <w:r>
        <w:rPr>
          <w:rFonts w:hint="eastAsia" w:ascii="Times New Roman" w:hAnsi="Times New Roman" w:eastAsia="宋体" w:cs="Times New Roman"/>
          <w:color w:val="auto"/>
          <w:szCs w:val="21"/>
          <w:highlight w:val="none"/>
        </w:rPr>
        <w:t>一</w:t>
      </w:r>
      <w:r>
        <w:rPr>
          <w:rFonts w:ascii="Times New Roman" w:hAnsi="Times New Roman" w:eastAsia="宋体" w:cs="Times New Roman"/>
          <w:color w:val="auto"/>
          <w:szCs w:val="21"/>
          <w:highlight w:val="none"/>
        </w:rPr>
        <w:t>节的总体技术要求与第</w:t>
      </w:r>
      <w:r>
        <w:rPr>
          <w:rFonts w:hint="eastAsia" w:ascii="Times New Roman" w:hAnsi="Times New Roman" w:eastAsia="宋体" w:cs="Times New Roman"/>
          <w:color w:val="auto"/>
          <w:szCs w:val="21"/>
          <w:highlight w:val="none"/>
        </w:rPr>
        <w:t>二</w:t>
      </w:r>
      <w:r>
        <w:rPr>
          <w:rFonts w:ascii="Times New Roman" w:hAnsi="Times New Roman" w:eastAsia="宋体" w:cs="Times New Roman"/>
          <w:color w:val="auto"/>
          <w:szCs w:val="21"/>
          <w:highlight w:val="none"/>
        </w:rPr>
        <w:t>节的详细技术要求不一致的，应以第</w:t>
      </w:r>
      <w:r>
        <w:rPr>
          <w:rFonts w:hint="eastAsia" w:ascii="Times New Roman" w:hAnsi="Times New Roman" w:eastAsia="宋体" w:cs="Times New Roman"/>
          <w:color w:val="auto"/>
          <w:szCs w:val="21"/>
          <w:highlight w:val="none"/>
        </w:rPr>
        <w:t>二</w:t>
      </w:r>
      <w:r>
        <w:rPr>
          <w:rFonts w:ascii="Times New Roman" w:hAnsi="Times New Roman" w:eastAsia="宋体" w:cs="Times New Roman"/>
          <w:color w:val="auto"/>
          <w:szCs w:val="21"/>
          <w:highlight w:val="none"/>
        </w:rPr>
        <w:t>节的详细技术要求为准。</w:t>
      </w:r>
    </w:p>
    <w:p w14:paraId="20A93BDC">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br w:type="page"/>
      </w:r>
    </w:p>
    <w:p w14:paraId="039043BF">
      <w:pPr>
        <w:spacing w:line="360" w:lineRule="auto"/>
        <w:ind w:firstLine="420" w:firstLineChars="200"/>
        <w:rPr>
          <w:rFonts w:ascii="Times New Roman" w:hAnsi="Times New Roman" w:eastAsia="宋体" w:cs="Times New Roman"/>
          <w:color w:val="auto"/>
          <w:szCs w:val="21"/>
          <w:highlight w:val="none"/>
        </w:rPr>
      </w:pPr>
    </w:p>
    <w:p w14:paraId="6211F963">
      <w:pPr>
        <w:keepNext/>
        <w:keepLines/>
        <w:numPr>
          <w:ilvl w:val="0"/>
          <w:numId w:val="2"/>
        </w:numPr>
        <w:spacing w:after="312" w:afterLines="100" w:line="360" w:lineRule="auto"/>
        <w:ind w:hanging="130"/>
        <w:jc w:val="center"/>
        <w:outlineLvl w:val="0"/>
        <w:rPr>
          <w:rFonts w:ascii="Times New Roman" w:hAnsi="Times New Roman" w:eastAsia="宋体" w:cs="Times New Roman"/>
          <w:b/>
          <w:bCs/>
          <w:color w:val="auto"/>
          <w:kern w:val="44"/>
          <w:szCs w:val="44"/>
          <w:highlight w:val="none"/>
        </w:rPr>
      </w:pPr>
      <w:bookmarkStart w:id="390" w:name="_Toc195714265"/>
      <w:bookmarkStart w:id="391" w:name="_Toc535402542"/>
      <w:bookmarkStart w:id="392" w:name="_Toc30306"/>
      <w:bookmarkStart w:id="393" w:name="_Toc7685"/>
      <w:r>
        <w:rPr>
          <w:rFonts w:ascii="Times New Roman" w:hAnsi="Times New Roman" w:eastAsia="宋体" w:cs="Times New Roman"/>
          <w:b/>
          <w:bCs/>
          <w:color w:val="auto"/>
          <w:kern w:val="44"/>
          <w:szCs w:val="44"/>
          <w:highlight w:val="none"/>
        </w:rPr>
        <w:t>总体技术要求</w:t>
      </w:r>
      <w:bookmarkEnd w:id="390"/>
      <w:bookmarkEnd w:id="391"/>
      <w:bookmarkEnd w:id="392"/>
      <w:bookmarkEnd w:id="393"/>
    </w:p>
    <w:p w14:paraId="336FB4A3">
      <w:pPr>
        <w:keepNext/>
        <w:keepLines/>
        <w:numPr>
          <w:ilvl w:val="0"/>
          <w:numId w:val="3"/>
        </w:numPr>
        <w:adjustRightInd w:val="0"/>
        <w:snapToGrid w:val="0"/>
        <w:spacing w:line="360" w:lineRule="auto"/>
        <w:ind w:left="0" w:leftChars="0" w:firstLine="0" w:firstLineChars="0"/>
        <w:jc w:val="left"/>
        <w:outlineLvl w:val="1"/>
        <w:rPr>
          <w:rFonts w:ascii="Times New Roman" w:hAnsi="Times New Roman" w:eastAsia="宋体" w:cs="Times New Roman"/>
          <w:b/>
          <w:bCs/>
          <w:color w:val="auto"/>
          <w:szCs w:val="21"/>
          <w:highlight w:val="none"/>
        </w:rPr>
      </w:pPr>
      <w:bookmarkStart w:id="394" w:name="_Toc195714266"/>
      <w:bookmarkStart w:id="395" w:name="_Toc21131"/>
      <w:bookmarkStart w:id="396" w:name="_Toc18045"/>
      <w:r>
        <w:rPr>
          <w:rFonts w:ascii="Times New Roman" w:hAnsi="Times New Roman" w:eastAsia="宋体" w:cs="Times New Roman"/>
          <w:b/>
          <w:bCs/>
          <w:color w:val="auto"/>
          <w:szCs w:val="21"/>
          <w:highlight w:val="none"/>
        </w:rPr>
        <w:t>总体要求</w:t>
      </w:r>
      <w:bookmarkEnd w:id="394"/>
      <w:bookmarkEnd w:id="395"/>
      <w:bookmarkEnd w:id="396"/>
    </w:p>
    <w:p w14:paraId="257CF4F1">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w:t>
      </w:r>
      <w:r>
        <w:rPr>
          <w:rFonts w:ascii="Times New Roman" w:hAnsi="Times New Roman" w:eastAsia="宋体" w:cs="Times New Roman"/>
          <w:color w:val="auto"/>
          <w:szCs w:val="21"/>
          <w:highlight w:val="none"/>
        </w:rPr>
        <w:t>.1.1本节包含了对投标人和投标产品的总体技术要求，投标人可提出更优方案。除第</w:t>
      </w:r>
      <w:r>
        <w:rPr>
          <w:rFonts w:hint="eastAsia" w:ascii="Times New Roman" w:hAnsi="Times New Roman" w:eastAsia="宋体" w:cs="Times New Roman"/>
          <w:color w:val="auto"/>
          <w:szCs w:val="21"/>
          <w:highlight w:val="none"/>
        </w:rPr>
        <w:t>二</w:t>
      </w:r>
      <w:r>
        <w:rPr>
          <w:rFonts w:ascii="Times New Roman" w:hAnsi="Times New Roman" w:eastAsia="宋体" w:cs="Times New Roman"/>
          <w:color w:val="auto"/>
          <w:szCs w:val="21"/>
          <w:highlight w:val="none"/>
        </w:rPr>
        <w:t>节详细技术要求规定外，设备的所有零部件须符合本节的总体技术规定。投标人必须按本用户需求书的内容顺序，对用户需求书要求做出逐项应答。投标人和投标产品对本用户需求书要求的任何偏差均必须填入《技术规格偏离表》，投标产品的主要性能指标必须填入《技术规格偏离表》内的实际响应的具体内容。任何不按要求编制的投标文件将承担被拒绝接受的风险。中标后投标人在合同谈判中的任何偏差都不得超越此偏差表中已被招标人确认的条款。</w:t>
      </w:r>
    </w:p>
    <w:p w14:paraId="32EDD2C8">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w:t>
      </w:r>
      <w:r>
        <w:rPr>
          <w:rFonts w:ascii="Times New Roman" w:hAnsi="Times New Roman" w:eastAsia="宋体" w:cs="Times New Roman"/>
          <w:color w:val="auto"/>
          <w:szCs w:val="21"/>
          <w:highlight w:val="none"/>
        </w:rPr>
        <w:t>.1.2本用户需求书内容包括污水自动化控制系统、数据</w:t>
      </w:r>
      <w:r>
        <w:rPr>
          <w:rFonts w:hint="eastAsia" w:ascii="Times New Roman" w:hAnsi="Times New Roman" w:eastAsia="宋体" w:cs="Times New Roman"/>
          <w:color w:val="auto"/>
          <w:szCs w:val="21"/>
          <w:highlight w:val="none"/>
        </w:rPr>
        <w:t>传输</w:t>
      </w:r>
      <w:r>
        <w:rPr>
          <w:rFonts w:ascii="Times New Roman" w:hAnsi="Times New Roman" w:eastAsia="宋体" w:cs="Times New Roman"/>
          <w:color w:val="auto"/>
          <w:szCs w:val="21"/>
          <w:highlight w:val="none"/>
        </w:rPr>
        <w:t>系统</w:t>
      </w:r>
      <w:r>
        <w:rPr>
          <w:rFonts w:hint="eastAsia" w:ascii="Times New Roman" w:hAnsi="Times New Roman" w:eastAsia="宋体" w:cs="Times New Roman"/>
          <w:color w:val="auto"/>
          <w:szCs w:val="21"/>
          <w:highlight w:val="none"/>
        </w:rPr>
        <w:t>、网络系统、机房建设</w:t>
      </w:r>
      <w:r>
        <w:rPr>
          <w:rFonts w:ascii="Times New Roman" w:hAnsi="Times New Roman" w:eastAsia="宋体" w:cs="Times New Roman"/>
          <w:color w:val="auto"/>
          <w:szCs w:val="21"/>
          <w:highlight w:val="none"/>
        </w:rPr>
        <w:t>等的详细规格、条款、资料及有关文件。</w:t>
      </w:r>
      <w:r>
        <w:rPr>
          <w:rFonts w:hint="eastAsia" w:ascii="Times New Roman" w:hAnsi="Times New Roman" w:eastAsia="宋体" w:cs="Times New Roman"/>
          <w:color w:val="auto"/>
          <w:szCs w:val="21"/>
          <w:highlight w:val="none"/>
        </w:rPr>
        <w:t>技术方案</w:t>
      </w:r>
      <w:r>
        <w:rPr>
          <w:rFonts w:ascii="Times New Roman" w:hAnsi="Times New Roman" w:eastAsia="宋体" w:cs="Times New Roman"/>
          <w:color w:val="auto"/>
          <w:szCs w:val="21"/>
          <w:highlight w:val="none"/>
        </w:rPr>
        <w:t>和招标文件上所表述的任何项目均视为包含在本技术要求中，所有技术要求以本用户需求书为准。</w:t>
      </w:r>
    </w:p>
    <w:p w14:paraId="738470E7">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w:t>
      </w:r>
      <w:r>
        <w:rPr>
          <w:rFonts w:ascii="Times New Roman" w:hAnsi="Times New Roman" w:eastAsia="宋体" w:cs="Times New Roman"/>
          <w:color w:val="auto"/>
          <w:szCs w:val="21"/>
          <w:highlight w:val="none"/>
        </w:rPr>
        <w:t>.1.3如果没有特别说明，投标人在投标文件中所提供的所有设备、专用工具均视为包含在对本招标文件响应的投标报价中。</w:t>
      </w:r>
    </w:p>
    <w:p w14:paraId="38332E41">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w:t>
      </w:r>
      <w:r>
        <w:rPr>
          <w:rFonts w:ascii="Times New Roman" w:hAnsi="Times New Roman" w:eastAsia="宋体" w:cs="Times New Roman"/>
          <w:color w:val="auto"/>
          <w:szCs w:val="21"/>
          <w:highlight w:val="none"/>
        </w:rPr>
        <w:t>.1.4本用户需求书仅指招标范围内项目的主要要求，不应作为完整的详细要求，投标人应负责系统的详细设计，并保证符合技术规定的要求的前提下，对系统进行优化。在本招标文件书中未提到的功能，投标人可在所报的方案中体现。</w:t>
      </w:r>
    </w:p>
    <w:p w14:paraId="603EE887">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w:t>
      </w:r>
      <w:r>
        <w:rPr>
          <w:rFonts w:ascii="Times New Roman" w:hAnsi="Times New Roman" w:eastAsia="宋体" w:cs="Times New Roman"/>
          <w:color w:val="auto"/>
          <w:szCs w:val="21"/>
          <w:highlight w:val="none"/>
        </w:rPr>
        <w:t>.1.5投标人应补充本用户需求书中未描述的，但为保证设备能正常安全有效运行所需要的详细要求和配置，并将所有费用计入投标总价。</w:t>
      </w:r>
    </w:p>
    <w:p w14:paraId="74817179">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w:t>
      </w:r>
      <w:r>
        <w:rPr>
          <w:rFonts w:ascii="Times New Roman" w:hAnsi="Times New Roman" w:eastAsia="宋体" w:cs="Times New Roman"/>
          <w:color w:val="auto"/>
          <w:szCs w:val="21"/>
          <w:highlight w:val="none"/>
        </w:rPr>
        <w:t>.1.6因建筑或装修等原因而改变终端设备的位置和安装方式，在所有终端的总量5%的范围之内（不包括投标人本身设计考虑不周造成的问题），投标人应免费无条件地修正。</w:t>
      </w:r>
    </w:p>
    <w:p w14:paraId="2530B1B3">
      <w:pPr>
        <w:adjustRightInd w:val="0"/>
        <w:snapToGrid w:val="0"/>
        <w:spacing w:line="360" w:lineRule="auto"/>
        <w:ind w:firstLine="422" w:firstLineChars="200"/>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★本项目的</w:t>
      </w:r>
      <w:r>
        <w:rPr>
          <w:rFonts w:hint="eastAsia" w:ascii="Times New Roman" w:hAnsi="Times New Roman" w:eastAsia="宋体" w:cs="Times New Roman"/>
          <w:b/>
          <w:bCs/>
          <w:color w:val="auto"/>
          <w:szCs w:val="21"/>
          <w:highlight w:val="none"/>
        </w:rPr>
        <w:t>机房</w:t>
      </w:r>
      <w:r>
        <w:rPr>
          <w:rFonts w:ascii="Times New Roman" w:hAnsi="Times New Roman" w:eastAsia="宋体" w:cs="Times New Roman"/>
          <w:b/>
          <w:bCs/>
          <w:color w:val="auto"/>
          <w:szCs w:val="21"/>
          <w:highlight w:val="none"/>
        </w:rPr>
        <w:t>布置、</w:t>
      </w:r>
      <w:r>
        <w:rPr>
          <w:rFonts w:hint="eastAsia" w:ascii="Times New Roman" w:hAnsi="Times New Roman" w:eastAsia="宋体" w:cs="Times New Roman"/>
          <w:b/>
          <w:bCs/>
          <w:color w:val="auto"/>
          <w:szCs w:val="21"/>
          <w:highlight w:val="none"/>
        </w:rPr>
        <w:t>系统架构</w:t>
      </w:r>
      <w:r>
        <w:rPr>
          <w:rFonts w:ascii="Times New Roman" w:hAnsi="Times New Roman" w:eastAsia="宋体" w:cs="Times New Roman"/>
          <w:b/>
          <w:bCs/>
          <w:color w:val="auto"/>
          <w:szCs w:val="21"/>
          <w:highlight w:val="none"/>
        </w:rPr>
        <w:t>方案、</w:t>
      </w:r>
      <w:r>
        <w:rPr>
          <w:rFonts w:hint="eastAsia" w:ascii="Times New Roman" w:hAnsi="Times New Roman" w:eastAsia="宋体" w:cs="Times New Roman"/>
          <w:b/>
          <w:bCs/>
          <w:color w:val="auto"/>
          <w:szCs w:val="21"/>
          <w:highlight w:val="none"/>
        </w:rPr>
        <w:t>网络架构</w:t>
      </w:r>
      <w:r>
        <w:rPr>
          <w:rFonts w:ascii="Times New Roman" w:hAnsi="Times New Roman" w:eastAsia="宋体" w:cs="Times New Roman"/>
          <w:b/>
          <w:bCs/>
          <w:color w:val="auto"/>
          <w:szCs w:val="21"/>
          <w:highlight w:val="none"/>
        </w:rPr>
        <w:t>方案、</w:t>
      </w:r>
      <w:r>
        <w:rPr>
          <w:rFonts w:hint="eastAsia" w:ascii="Times New Roman" w:hAnsi="Times New Roman" w:eastAsia="宋体" w:cs="Times New Roman"/>
          <w:b/>
          <w:bCs/>
          <w:color w:val="auto"/>
          <w:szCs w:val="21"/>
          <w:highlight w:val="none"/>
        </w:rPr>
        <w:t>自动化</w:t>
      </w:r>
      <w:r>
        <w:rPr>
          <w:rFonts w:ascii="Times New Roman" w:hAnsi="Times New Roman" w:eastAsia="宋体" w:cs="Times New Roman"/>
          <w:b/>
          <w:bCs/>
          <w:color w:val="auto"/>
          <w:szCs w:val="21"/>
          <w:highlight w:val="none"/>
        </w:rPr>
        <w:t>系统</w:t>
      </w:r>
      <w:r>
        <w:rPr>
          <w:rFonts w:hint="eastAsia" w:ascii="Times New Roman" w:hAnsi="Times New Roman" w:eastAsia="宋体" w:cs="Times New Roman"/>
          <w:b/>
          <w:bCs/>
          <w:color w:val="auto"/>
          <w:szCs w:val="21"/>
          <w:highlight w:val="none"/>
        </w:rPr>
        <w:t>方案</w:t>
      </w:r>
      <w:r>
        <w:rPr>
          <w:rFonts w:ascii="Times New Roman" w:hAnsi="Times New Roman" w:eastAsia="宋体" w:cs="Times New Roman"/>
          <w:b/>
          <w:bCs/>
          <w:color w:val="auto"/>
          <w:szCs w:val="21"/>
          <w:highlight w:val="none"/>
        </w:rPr>
        <w:t>已经确定，无需替代方案。</w:t>
      </w:r>
    </w:p>
    <w:p w14:paraId="59493508">
      <w:pPr>
        <w:keepNext/>
        <w:keepLines/>
        <w:numPr>
          <w:ilvl w:val="0"/>
          <w:numId w:val="3"/>
        </w:numPr>
        <w:adjustRightInd w:val="0"/>
        <w:snapToGrid w:val="0"/>
        <w:spacing w:line="360" w:lineRule="auto"/>
        <w:ind w:left="0" w:leftChars="0" w:firstLine="0" w:firstLineChars="0"/>
        <w:jc w:val="left"/>
        <w:outlineLvl w:val="1"/>
        <w:rPr>
          <w:rFonts w:ascii="Times New Roman" w:hAnsi="Times New Roman" w:eastAsia="宋体" w:cs="Times New Roman"/>
          <w:b/>
          <w:bCs/>
          <w:color w:val="auto"/>
          <w:szCs w:val="21"/>
          <w:highlight w:val="none"/>
        </w:rPr>
      </w:pPr>
      <w:bookmarkStart w:id="397" w:name="_Toc4548"/>
      <w:bookmarkStart w:id="398" w:name="_Toc195714267"/>
      <w:bookmarkStart w:id="399" w:name="_Toc2551"/>
      <w:r>
        <w:rPr>
          <w:rFonts w:ascii="Times New Roman" w:hAnsi="Times New Roman" w:eastAsia="宋体" w:cs="Times New Roman"/>
          <w:b/>
          <w:bCs/>
          <w:color w:val="auto"/>
          <w:szCs w:val="21"/>
          <w:highlight w:val="none"/>
        </w:rPr>
        <w:t>招标范围及要求</w:t>
      </w:r>
      <w:bookmarkEnd w:id="397"/>
      <w:bookmarkEnd w:id="398"/>
      <w:bookmarkEnd w:id="399"/>
    </w:p>
    <w:p w14:paraId="7A73043D">
      <w:pPr>
        <w:keepNext/>
        <w:keepLines/>
        <w:numPr>
          <w:ilvl w:val="0"/>
          <w:numId w:val="4"/>
        </w:numPr>
        <w:adjustRightInd w:val="0"/>
        <w:snapToGrid w:val="0"/>
        <w:spacing w:line="360" w:lineRule="auto"/>
        <w:ind w:left="-482" w:leftChars="0" w:firstLine="482" w:firstLineChars="0"/>
        <w:outlineLvl w:val="2"/>
        <w:rPr>
          <w:rFonts w:ascii="Times New Roman" w:hAnsi="Times New Roman" w:eastAsia="宋体" w:cs="Times New Roman"/>
          <w:b/>
          <w:bCs/>
          <w:color w:val="auto"/>
          <w:szCs w:val="21"/>
          <w:highlight w:val="none"/>
        </w:rPr>
      </w:pPr>
      <w:bookmarkStart w:id="400" w:name="_Toc21869"/>
      <w:bookmarkStart w:id="401" w:name="_Toc195714268"/>
      <w:bookmarkStart w:id="402" w:name="_Toc13012"/>
      <w:r>
        <w:rPr>
          <w:rFonts w:ascii="Times New Roman" w:hAnsi="Times New Roman" w:eastAsia="宋体" w:cs="Times New Roman"/>
          <w:b/>
          <w:bCs/>
          <w:color w:val="auto"/>
          <w:szCs w:val="18"/>
          <w:highlight w:val="none"/>
        </w:rPr>
        <w:t>招标范围</w:t>
      </w:r>
      <w:bookmarkEnd w:id="400"/>
      <w:bookmarkEnd w:id="401"/>
      <w:bookmarkEnd w:id="402"/>
    </w:p>
    <w:p w14:paraId="64A6112C">
      <w:pPr>
        <w:widowControl/>
        <w:numPr>
          <w:ilvl w:val="0"/>
          <w:numId w:val="5"/>
        </w:numPr>
        <w:autoSpaceDE w:val="0"/>
        <w:snapToGrid w:val="0"/>
        <w:spacing w:line="360" w:lineRule="auto"/>
        <w:ind w:firstLine="420" w:firstLineChars="200"/>
        <w:jc w:val="left"/>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本次招标范围为37个污水处理厂及21个提标项目中控系统升级改造项目设备</w:t>
      </w:r>
      <w:r>
        <w:rPr>
          <w:rFonts w:ascii="Times New Roman" w:hAnsi="Times New Roman" w:eastAsia="宋体" w:cs="Times New Roman"/>
          <w:color w:val="auto"/>
          <w:kern w:val="0"/>
          <w:szCs w:val="21"/>
          <w:highlight w:val="none"/>
          <w:lang w:bidi="ar"/>
        </w:rPr>
        <w:t>采购</w:t>
      </w:r>
      <w:r>
        <w:rPr>
          <w:rFonts w:hint="eastAsia" w:ascii="Times New Roman" w:hAnsi="Times New Roman" w:eastAsia="宋体" w:cs="Times New Roman"/>
          <w:color w:val="auto"/>
          <w:kern w:val="0"/>
          <w:szCs w:val="21"/>
          <w:highlight w:val="none"/>
          <w:lang w:bidi="ar"/>
        </w:rPr>
        <w:t>（37个污水处理厂和21个提标项目详见表1.2.1-1和表1.2.1-2）</w:t>
      </w:r>
      <w:r>
        <w:rPr>
          <w:rFonts w:ascii="Times New Roman" w:hAnsi="Times New Roman" w:eastAsia="宋体" w:cs="Times New Roman"/>
          <w:color w:val="auto"/>
          <w:kern w:val="0"/>
          <w:szCs w:val="21"/>
          <w:highlight w:val="none"/>
          <w:lang w:bidi="ar"/>
        </w:rPr>
        <w:t>，招标设备清单见本用户需求书第</w:t>
      </w:r>
      <w:r>
        <w:rPr>
          <w:rFonts w:hint="eastAsia" w:ascii="Times New Roman" w:hAnsi="Times New Roman" w:eastAsia="宋体" w:cs="Times New Roman"/>
          <w:color w:val="auto"/>
          <w:kern w:val="0"/>
          <w:szCs w:val="21"/>
          <w:highlight w:val="none"/>
          <w:lang w:bidi="ar"/>
        </w:rPr>
        <w:t>二</w:t>
      </w:r>
      <w:r>
        <w:rPr>
          <w:rFonts w:ascii="Times New Roman" w:hAnsi="Times New Roman" w:eastAsia="宋体" w:cs="Times New Roman"/>
          <w:color w:val="auto"/>
          <w:kern w:val="0"/>
          <w:szCs w:val="21"/>
          <w:highlight w:val="none"/>
          <w:lang w:bidi="ar"/>
        </w:rPr>
        <w:t>节详细技术要求。</w:t>
      </w:r>
    </w:p>
    <w:p w14:paraId="47867284">
      <w:pPr>
        <w:widowControl/>
        <w:numPr>
          <w:ilvl w:val="255"/>
          <w:numId w:val="0"/>
        </w:numPr>
        <w:spacing w:line="360" w:lineRule="auto"/>
        <w:jc w:val="center"/>
        <w:rPr>
          <w:rFonts w:ascii="Times New Roman" w:hAnsi="Times New Roman" w:eastAsia="宋体" w:cs="Times New Roman"/>
          <w:color w:val="auto"/>
          <w:kern w:val="0"/>
          <w:szCs w:val="21"/>
          <w:highlight w:val="none"/>
          <w:lang w:bidi="ar"/>
        </w:rPr>
      </w:pPr>
      <w:r>
        <w:rPr>
          <w:rFonts w:ascii="Times New Roman" w:hAnsi="Times New Roman" w:eastAsia="宋体" w:cs="Times New Roman"/>
          <w:b/>
          <w:color w:val="auto"/>
          <w:szCs w:val="28"/>
          <w:highlight w:val="none"/>
        </w:rPr>
        <w:t>表</w:t>
      </w:r>
      <w:r>
        <w:rPr>
          <w:rFonts w:hint="eastAsia" w:ascii="Times New Roman" w:hAnsi="Times New Roman" w:eastAsia="宋体" w:cs="Times New Roman"/>
          <w:b/>
          <w:color w:val="auto"/>
          <w:szCs w:val="28"/>
          <w:highlight w:val="none"/>
        </w:rPr>
        <w:t>1</w:t>
      </w:r>
      <w:r>
        <w:rPr>
          <w:rFonts w:ascii="Times New Roman" w:hAnsi="Times New Roman" w:eastAsia="宋体" w:cs="Times New Roman"/>
          <w:b/>
          <w:color w:val="auto"/>
          <w:szCs w:val="28"/>
          <w:highlight w:val="none"/>
        </w:rPr>
        <w:t>.2</w:t>
      </w:r>
      <w:r>
        <w:rPr>
          <w:rFonts w:hint="eastAsia" w:ascii="Times New Roman" w:hAnsi="Times New Roman" w:eastAsia="宋体" w:cs="Times New Roman"/>
          <w:b/>
          <w:color w:val="auto"/>
          <w:szCs w:val="28"/>
          <w:highlight w:val="none"/>
        </w:rPr>
        <w:t>.1</w:t>
      </w:r>
      <w:r>
        <w:rPr>
          <w:rFonts w:ascii="Times New Roman" w:hAnsi="Times New Roman" w:eastAsia="宋体" w:cs="Times New Roman"/>
          <w:b/>
          <w:color w:val="auto"/>
          <w:szCs w:val="28"/>
          <w:highlight w:val="none"/>
        </w:rPr>
        <w:t>-1 污水处理厂统计表</w:t>
      </w:r>
    </w:p>
    <w:tbl>
      <w:tblPr>
        <w:tblStyle w:val="44"/>
        <w:tblW w:w="4859" w:type="pct"/>
        <w:jc w:val="center"/>
        <w:tblLayout w:type="fixed"/>
        <w:tblCellMar>
          <w:top w:w="0" w:type="dxa"/>
          <w:left w:w="108" w:type="dxa"/>
          <w:bottom w:w="0" w:type="dxa"/>
          <w:right w:w="108" w:type="dxa"/>
        </w:tblCellMar>
      </w:tblPr>
      <w:tblGrid>
        <w:gridCol w:w="945"/>
        <w:gridCol w:w="3965"/>
        <w:gridCol w:w="2189"/>
        <w:gridCol w:w="2979"/>
      </w:tblGrid>
      <w:tr w14:paraId="422A81B0">
        <w:tblPrEx>
          <w:tblCellMar>
            <w:top w:w="0" w:type="dxa"/>
            <w:left w:w="108" w:type="dxa"/>
            <w:bottom w:w="0" w:type="dxa"/>
            <w:right w:w="108" w:type="dxa"/>
          </w:tblCellMar>
        </w:tblPrEx>
        <w:trPr>
          <w:trHeight w:val="442" w:hRule="atLeast"/>
          <w:tblHeader/>
          <w:jc w:val="center"/>
        </w:trPr>
        <w:tc>
          <w:tcPr>
            <w:tcW w:w="469" w:type="pct"/>
            <w:tcBorders>
              <w:top w:val="single" w:color="auto" w:sz="4" w:space="0"/>
              <w:left w:val="single" w:color="auto" w:sz="4" w:space="0"/>
              <w:bottom w:val="single" w:color="auto" w:sz="4" w:space="0"/>
              <w:right w:val="single" w:color="auto" w:sz="4" w:space="0"/>
            </w:tcBorders>
            <w:noWrap/>
            <w:vAlign w:val="center"/>
          </w:tcPr>
          <w:p w14:paraId="435B7C58">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序号</w:t>
            </w:r>
          </w:p>
        </w:tc>
        <w:tc>
          <w:tcPr>
            <w:tcW w:w="1966" w:type="pct"/>
            <w:tcBorders>
              <w:top w:val="single" w:color="auto" w:sz="4" w:space="0"/>
              <w:left w:val="single" w:color="auto" w:sz="4" w:space="0"/>
              <w:bottom w:val="single" w:color="000000" w:sz="4" w:space="0"/>
              <w:right w:val="single" w:color="auto" w:sz="4" w:space="0"/>
            </w:tcBorders>
            <w:noWrap/>
            <w:vAlign w:val="center"/>
          </w:tcPr>
          <w:p w14:paraId="39FABEF8">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项目名称</w:t>
            </w:r>
          </w:p>
        </w:tc>
        <w:tc>
          <w:tcPr>
            <w:tcW w:w="1086" w:type="pct"/>
            <w:tcBorders>
              <w:top w:val="single" w:color="auto" w:sz="4" w:space="0"/>
              <w:left w:val="single" w:color="auto" w:sz="4" w:space="0"/>
              <w:bottom w:val="single" w:color="auto" w:sz="4" w:space="0"/>
              <w:right w:val="single" w:color="auto" w:sz="4" w:space="0"/>
            </w:tcBorders>
            <w:noWrap/>
            <w:vAlign w:val="center"/>
          </w:tcPr>
          <w:p w14:paraId="288DACC6">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设计规模</w:t>
            </w:r>
          </w:p>
          <w:p w14:paraId="49C06DC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（万m</w:t>
            </w:r>
            <w:r>
              <w:rPr>
                <w:rFonts w:hint="default" w:ascii="Times New Roman" w:hAnsi="Times New Roman" w:eastAsia="宋体" w:cs="Times New Roman"/>
                <w:b/>
                <w:color w:val="auto"/>
                <w:kern w:val="0"/>
                <w:szCs w:val="21"/>
                <w:highlight w:val="none"/>
                <w:vertAlign w:val="superscript"/>
              </w:rPr>
              <w:t>3</w:t>
            </w:r>
            <w:r>
              <w:rPr>
                <w:rFonts w:hint="default" w:ascii="Times New Roman" w:hAnsi="Times New Roman" w:eastAsia="宋体" w:cs="Times New Roman"/>
                <w:b/>
                <w:color w:val="auto"/>
                <w:kern w:val="0"/>
                <w:szCs w:val="21"/>
                <w:highlight w:val="none"/>
              </w:rPr>
              <w:t>/d）</w:t>
            </w:r>
          </w:p>
        </w:tc>
        <w:tc>
          <w:tcPr>
            <w:tcW w:w="1477" w:type="pct"/>
            <w:tcBorders>
              <w:top w:val="single" w:color="auto" w:sz="4" w:space="0"/>
              <w:left w:val="single" w:color="auto" w:sz="4" w:space="0"/>
              <w:bottom w:val="single" w:color="auto" w:sz="4" w:space="0"/>
              <w:right w:val="single" w:color="auto" w:sz="4" w:space="0"/>
            </w:tcBorders>
            <w:vAlign w:val="center"/>
          </w:tcPr>
          <w:p w14:paraId="4A618EFF">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投产时间</w:t>
            </w:r>
          </w:p>
        </w:tc>
      </w:tr>
      <w:tr w14:paraId="68780195">
        <w:tblPrEx>
          <w:tblCellMar>
            <w:top w:w="0" w:type="dxa"/>
            <w:left w:w="108" w:type="dxa"/>
            <w:bottom w:w="0" w:type="dxa"/>
            <w:right w:w="108" w:type="dxa"/>
          </w:tblCellMar>
        </w:tblPrEx>
        <w:trPr>
          <w:trHeight w:val="242" w:hRule="atLeast"/>
          <w:jc w:val="center"/>
        </w:trPr>
        <w:tc>
          <w:tcPr>
            <w:tcW w:w="469" w:type="pct"/>
            <w:tcBorders>
              <w:top w:val="single" w:color="auto" w:sz="4" w:space="0"/>
              <w:left w:val="single" w:color="auto" w:sz="4" w:space="0"/>
              <w:bottom w:val="single" w:color="auto" w:sz="4" w:space="0"/>
              <w:right w:val="single" w:color="auto" w:sz="4" w:space="0"/>
            </w:tcBorders>
            <w:noWrap/>
            <w:vAlign w:val="center"/>
          </w:tcPr>
          <w:p w14:paraId="51E8C8F2">
            <w:pPr>
              <w:keepNext w:val="0"/>
              <w:keepLines w:val="0"/>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366ED32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市区厂一二期</w:t>
            </w:r>
          </w:p>
        </w:tc>
        <w:tc>
          <w:tcPr>
            <w:tcW w:w="1086" w:type="pct"/>
            <w:tcBorders>
              <w:top w:val="nil"/>
              <w:left w:val="nil"/>
              <w:bottom w:val="single" w:color="auto" w:sz="4" w:space="0"/>
              <w:right w:val="single" w:color="auto" w:sz="4" w:space="0"/>
            </w:tcBorders>
            <w:noWrap/>
            <w:vAlign w:val="center"/>
          </w:tcPr>
          <w:p w14:paraId="05D2F023">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w:t>
            </w:r>
          </w:p>
        </w:tc>
        <w:tc>
          <w:tcPr>
            <w:tcW w:w="1477" w:type="pct"/>
            <w:tcBorders>
              <w:top w:val="nil"/>
              <w:left w:val="nil"/>
              <w:bottom w:val="single" w:color="auto" w:sz="4" w:space="0"/>
              <w:right w:val="single" w:color="auto" w:sz="4" w:space="0"/>
            </w:tcBorders>
            <w:noWrap/>
            <w:vAlign w:val="center"/>
          </w:tcPr>
          <w:p w14:paraId="3E4A7ACD">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2013/1/1</w:t>
            </w:r>
          </w:p>
        </w:tc>
      </w:tr>
      <w:tr w14:paraId="02A91403">
        <w:tblPrEx>
          <w:tblCellMar>
            <w:top w:w="0" w:type="dxa"/>
            <w:left w:w="108" w:type="dxa"/>
            <w:bottom w:w="0" w:type="dxa"/>
            <w:right w:w="108" w:type="dxa"/>
          </w:tblCellMar>
        </w:tblPrEx>
        <w:trPr>
          <w:trHeight w:val="296" w:hRule="atLeast"/>
          <w:jc w:val="center"/>
        </w:trPr>
        <w:tc>
          <w:tcPr>
            <w:tcW w:w="469" w:type="pct"/>
            <w:tcBorders>
              <w:top w:val="single" w:color="auto" w:sz="4" w:space="0"/>
              <w:left w:val="single" w:color="auto" w:sz="4" w:space="0"/>
              <w:bottom w:val="single" w:color="auto" w:sz="4" w:space="0"/>
              <w:right w:val="single" w:color="auto" w:sz="4" w:space="0"/>
            </w:tcBorders>
            <w:noWrap/>
            <w:vAlign w:val="center"/>
          </w:tcPr>
          <w:p w14:paraId="7A949B5B">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60E3EA1D">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市区厂三期</w:t>
            </w:r>
          </w:p>
        </w:tc>
        <w:tc>
          <w:tcPr>
            <w:tcW w:w="1086" w:type="pct"/>
            <w:tcBorders>
              <w:top w:val="nil"/>
              <w:left w:val="nil"/>
              <w:bottom w:val="single" w:color="auto" w:sz="4" w:space="0"/>
              <w:right w:val="single" w:color="auto" w:sz="4" w:space="0"/>
            </w:tcBorders>
            <w:noWrap/>
            <w:vAlign w:val="center"/>
          </w:tcPr>
          <w:p w14:paraId="6ABD7847">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w:t>
            </w:r>
          </w:p>
        </w:tc>
        <w:tc>
          <w:tcPr>
            <w:tcW w:w="1477" w:type="pct"/>
            <w:tcBorders>
              <w:top w:val="nil"/>
              <w:left w:val="nil"/>
              <w:bottom w:val="single" w:color="auto" w:sz="4" w:space="0"/>
              <w:right w:val="single" w:color="auto" w:sz="4" w:space="0"/>
            </w:tcBorders>
            <w:noWrap/>
            <w:vAlign w:val="center"/>
          </w:tcPr>
          <w:p w14:paraId="6ADEE593">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2013/12/7</w:t>
            </w:r>
          </w:p>
        </w:tc>
      </w:tr>
      <w:tr w14:paraId="5092B4BC">
        <w:tblPrEx>
          <w:tblCellMar>
            <w:top w:w="0" w:type="dxa"/>
            <w:left w:w="108" w:type="dxa"/>
            <w:bottom w:w="0" w:type="dxa"/>
            <w:right w:w="108" w:type="dxa"/>
          </w:tblCellMar>
        </w:tblPrEx>
        <w:trPr>
          <w:trHeight w:val="288" w:hRule="atLeast"/>
          <w:jc w:val="center"/>
        </w:trPr>
        <w:tc>
          <w:tcPr>
            <w:tcW w:w="469" w:type="pct"/>
            <w:tcBorders>
              <w:top w:val="nil"/>
              <w:left w:val="single" w:color="auto" w:sz="4" w:space="0"/>
              <w:bottom w:val="single" w:color="auto" w:sz="4" w:space="0"/>
              <w:right w:val="single" w:color="auto" w:sz="4" w:space="0"/>
            </w:tcBorders>
            <w:noWrap/>
            <w:vAlign w:val="center"/>
          </w:tcPr>
          <w:p w14:paraId="6AEB06C6">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24D6276A">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石碣二期</w:t>
            </w:r>
          </w:p>
        </w:tc>
        <w:tc>
          <w:tcPr>
            <w:tcW w:w="1086" w:type="pct"/>
            <w:tcBorders>
              <w:top w:val="nil"/>
              <w:left w:val="nil"/>
              <w:bottom w:val="single" w:color="auto" w:sz="4" w:space="0"/>
              <w:right w:val="single" w:color="auto" w:sz="4" w:space="0"/>
            </w:tcBorders>
            <w:vAlign w:val="center"/>
          </w:tcPr>
          <w:p w14:paraId="42570F5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p>
        </w:tc>
        <w:tc>
          <w:tcPr>
            <w:tcW w:w="1477" w:type="pct"/>
            <w:tcBorders>
              <w:top w:val="nil"/>
              <w:left w:val="nil"/>
              <w:bottom w:val="single" w:color="auto" w:sz="4" w:space="0"/>
              <w:right w:val="single" w:color="auto" w:sz="4" w:space="0"/>
            </w:tcBorders>
            <w:noWrap/>
            <w:vAlign w:val="center"/>
          </w:tcPr>
          <w:p w14:paraId="028079BB">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2015/12/6</w:t>
            </w:r>
          </w:p>
        </w:tc>
      </w:tr>
      <w:tr w14:paraId="314694E1">
        <w:tblPrEx>
          <w:tblCellMar>
            <w:top w:w="0" w:type="dxa"/>
            <w:left w:w="108" w:type="dxa"/>
            <w:bottom w:w="0" w:type="dxa"/>
            <w:right w:w="108" w:type="dxa"/>
          </w:tblCellMar>
        </w:tblPrEx>
        <w:trPr>
          <w:trHeight w:val="288" w:hRule="atLeast"/>
          <w:jc w:val="center"/>
        </w:trPr>
        <w:tc>
          <w:tcPr>
            <w:tcW w:w="469" w:type="pct"/>
            <w:tcBorders>
              <w:top w:val="nil"/>
              <w:left w:val="single" w:color="auto" w:sz="4" w:space="0"/>
              <w:bottom w:val="single" w:color="auto" w:sz="4" w:space="0"/>
              <w:right w:val="single" w:color="auto" w:sz="4" w:space="0"/>
            </w:tcBorders>
            <w:noWrap/>
            <w:vAlign w:val="center"/>
          </w:tcPr>
          <w:p w14:paraId="6384027A">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5269C442">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万江二期</w:t>
            </w:r>
          </w:p>
        </w:tc>
        <w:tc>
          <w:tcPr>
            <w:tcW w:w="1086" w:type="pct"/>
            <w:tcBorders>
              <w:top w:val="nil"/>
              <w:left w:val="nil"/>
              <w:bottom w:val="single" w:color="auto" w:sz="4" w:space="0"/>
              <w:right w:val="single" w:color="auto" w:sz="4" w:space="0"/>
            </w:tcBorders>
            <w:vAlign w:val="center"/>
          </w:tcPr>
          <w:p w14:paraId="6A0F9585">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1477" w:type="pct"/>
            <w:tcBorders>
              <w:top w:val="nil"/>
              <w:left w:val="nil"/>
              <w:bottom w:val="single" w:color="auto" w:sz="4" w:space="0"/>
              <w:right w:val="single" w:color="auto" w:sz="4" w:space="0"/>
            </w:tcBorders>
            <w:noWrap/>
            <w:vAlign w:val="center"/>
          </w:tcPr>
          <w:p w14:paraId="67CBFCB9">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2018/7/6</w:t>
            </w:r>
          </w:p>
        </w:tc>
      </w:tr>
      <w:tr w14:paraId="24536E77">
        <w:tblPrEx>
          <w:tblCellMar>
            <w:top w:w="0" w:type="dxa"/>
            <w:left w:w="108" w:type="dxa"/>
            <w:bottom w:w="0" w:type="dxa"/>
            <w:right w:w="108" w:type="dxa"/>
          </w:tblCellMar>
        </w:tblPrEx>
        <w:trPr>
          <w:trHeight w:val="288" w:hRule="atLeast"/>
          <w:jc w:val="center"/>
        </w:trPr>
        <w:tc>
          <w:tcPr>
            <w:tcW w:w="469" w:type="pct"/>
            <w:tcBorders>
              <w:top w:val="nil"/>
              <w:left w:val="single" w:color="auto" w:sz="4" w:space="0"/>
              <w:bottom w:val="single" w:color="auto" w:sz="4" w:space="0"/>
              <w:right w:val="single" w:color="auto" w:sz="4" w:space="0"/>
            </w:tcBorders>
            <w:noWrap/>
            <w:vAlign w:val="center"/>
          </w:tcPr>
          <w:p w14:paraId="655342BE">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3979E6FF">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中堂二期</w:t>
            </w:r>
          </w:p>
        </w:tc>
        <w:tc>
          <w:tcPr>
            <w:tcW w:w="1086" w:type="pct"/>
            <w:tcBorders>
              <w:top w:val="nil"/>
              <w:left w:val="nil"/>
              <w:bottom w:val="single" w:color="auto" w:sz="4" w:space="0"/>
              <w:right w:val="single" w:color="auto" w:sz="4" w:space="0"/>
            </w:tcBorders>
            <w:noWrap/>
            <w:vAlign w:val="center"/>
          </w:tcPr>
          <w:p w14:paraId="1660ECF6">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1477" w:type="pct"/>
            <w:tcBorders>
              <w:top w:val="nil"/>
              <w:left w:val="nil"/>
              <w:bottom w:val="single" w:color="auto" w:sz="4" w:space="0"/>
              <w:right w:val="single" w:color="auto" w:sz="4" w:space="0"/>
            </w:tcBorders>
            <w:noWrap/>
            <w:vAlign w:val="center"/>
          </w:tcPr>
          <w:p w14:paraId="5B37F7F0">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2020/5/8</w:t>
            </w:r>
          </w:p>
        </w:tc>
      </w:tr>
      <w:tr w14:paraId="22ADBB2F">
        <w:tblPrEx>
          <w:tblCellMar>
            <w:top w:w="0" w:type="dxa"/>
            <w:left w:w="108" w:type="dxa"/>
            <w:bottom w:w="0" w:type="dxa"/>
            <w:right w:w="108" w:type="dxa"/>
          </w:tblCellMar>
        </w:tblPrEx>
        <w:trPr>
          <w:trHeight w:val="288" w:hRule="atLeast"/>
          <w:jc w:val="center"/>
        </w:trPr>
        <w:tc>
          <w:tcPr>
            <w:tcW w:w="469" w:type="pct"/>
            <w:tcBorders>
              <w:top w:val="nil"/>
              <w:left w:val="single" w:color="auto" w:sz="4" w:space="0"/>
              <w:bottom w:val="single" w:color="auto" w:sz="4" w:space="0"/>
              <w:right w:val="single" w:color="auto" w:sz="4" w:space="0"/>
            </w:tcBorders>
            <w:noWrap/>
            <w:vAlign w:val="center"/>
          </w:tcPr>
          <w:p w14:paraId="1DD3BFFC">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67B8F49F">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麻涌二期</w:t>
            </w:r>
          </w:p>
        </w:tc>
        <w:tc>
          <w:tcPr>
            <w:tcW w:w="1086" w:type="pct"/>
            <w:tcBorders>
              <w:top w:val="nil"/>
              <w:left w:val="nil"/>
              <w:bottom w:val="single" w:color="auto" w:sz="4" w:space="0"/>
              <w:right w:val="single" w:color="auto" w:sz="4" w:space="0"/>
            </w:tcBorders>
            <w:noWrap/>
            <w:vAlign w:val="center"/>
          </w:tcPr>
          <w:p w14:paraId="4E0F81FF">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1477" w:type="pct"/>
            <w:tcBorders>
              <w:top w:val="nil"/>
              <w:left w:val="nil"/>
              <w:bottom w:val="single" w:color="auto" w:sz="4" w:space="0"/>
              <w:right w:val="single" w:color="auto" w:sz="4" w:space="0"/>
            </w:tcBorders>
            <w:noWrap/>
            <w:vAlign w:val="center"/>
          </w:tcPr>
          <w:p w14:paraId="1583CF0E">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2020/12/27</w:t>
            </w:r>
          </w:p>
        </w:tc>
      </w:tr>
      <w:tr w14:paraId="4B5B249D">
        <w:tblPrEx>
          <w:tblCellMar>
            <w:top w:w="0" w:type="dxa"/>
            <w:left w:w="108" w:type="dxa"/>
            <w:bottom w:w="0" w:type="dxa"/>
            <w:right w:w="108" w:type="dxa"/>
          </w:tblCellMar>
        </w:tblPrEx>
        <w:trPr>
          <w:trHeight w:val="576" w:hRule="atLeast"/>
          <w:jc w:val="center"/>
        </w:trPr>
        <w:tc>
          <w:tcPr>
            <w:tcW w:w="469" w:type="pct"/>
            <w:tcBorders>
              <w:top w:val="nil"/>
              <w:left w:val="single" w:color="auto" w:sz="4" w:space="0"/>
              <w:bottom w:val="single" w:color="auto" w:sz="4" w:space="0"/>
              <w:right w:val="single" w:color="auto" w:sz="4" w:space="0"/>
            </w:tcBorders>
            <w:noWrap/>
            <w:vAlign w:val="center"/>
          </w:tcPr>
          <w:p w14:paraId="1F5F0676">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63DBD5AF">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高埗镇污水处理厂二期</w:t>
            </w:r>
          </w:p>
        </w:tc>
        <w:tc>
          <w:tcPr>
            <w:tcW w:w="1086" w:type="pct"/>
            <w:tcBorders>
              <w:top w:val="nil"/>
              <w:left w:val="nil"/>
              <w:bottom w:val="single" w:color="auto" w:sz="4" w:space="0"/>
              <w:right w:val="single" w:color="auto" w:sz="4" w:space="0"/>
            </w:tcBorders>
            <w:vAlign w:val="center"/>
          </w:tcPr>
          <w:p w14:paraId="63526CA5">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1477" w:type="pct"/>
            <w:tcBorders>
              <w:top w:val="nil"/>
              <w:left w:val="nil"/>
              <w:bottom w:val="single" w:color="auto" w:sz="4" w:space="0"/>
              <w:right w:val="single" w:color="auto" w:sz="4" w:space="0"/>
            </w:tcBorders>
            <w:noWrap/>
            <w:vAlign w:val="center"/>
          </w:tcPr>
          <w:p w14:paraId="58A380F3">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新建</w:t>
            </w:r>
          </w:p>
        </w:tc>
      </w:tr>
      <w:tr w14:paraId="750F448E">
        <w:tblPrEx>
          <w:tblCellMar>
            <w:top w:w="0" w:type="dxa"/>
            <w:left w:w="108" w:type="dxa"/>
            <w:bottom w:w="0" w:type="dxa"/>
            <w:right w:w="108" w:type="dxa"/>
          </w:tblCellMar>
        </w:tblPrEx>
        <w:trPr>
          <w:trHeight w:val="288" w:hRule="atLeast"/>
          <w:jc w:val="center"/>
        </w:trPr>
        <w:tc>
          <w:tcPr>
            <w:tcW w:w="469" w:type="pct"/>
            <w:tcBorders>
              <w:top w:val="nil"/>
              <w:left w:val="single" w:color="auto" w:sz="4" w:space="0"/>
              <w:bottom w:val="single" w:color="auto" w:sz="4" w:space="0"/>
              <w:right w:val="single" w:color="auto" w:sz="4" w:space="0"/>
            </w:tcBorders>
            <w:noWrap/>
            <w:vAlign w:val="center"/>
          </w:tcPr>
          <w:p w14:paraId="0B54FBD1">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3AFA94DF">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长安新区</w:t>
            </w:r>
          </w:p>
        </w:tc>
        <w:tc>
          <w:tcPr>
            <w:tcW w:w="1086" w:type="pct"/>
            <w:tcBorders>
              <w:top w:val="nil"/>
              <w:left w:val="nil"/>
              <w:bottom w:val="single" w:color="auto" w:sz="4" w:space="0"/>
              <w:right w:val="single" w:color="auto" w:sz="4" w:space="0"/>
            </w:tcBorders>
            <w:vAlign w:val="center"/>
          </w:tcPr>
          <w:p w14:paraId="5317C1E0">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w:t>
            </w:r>
          </w:p>
        </w:tc>
        <w:tc>
          <w:tcPr>
            <w:tcW w:w="1477" w:type="pct"/>
            <w:tcBorders>
              <w:top w:val="nil"/>
              <w:left w:val="nil"/>
              <w:bottom w:val="single" w:color="auto" w:sz="4" w:space="0"/>
              <w:right w:val="single" w:color="auto" w:sz="4" w:space="0"/>
            </w:tcBorders>
            <w:noWrap/>
            <w:vAlign w:val="center"/>
          </w:tcPr>
          <w:p w14:paraId="2C0B713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2017/11/23</w:t>
            </w:r>
          </w:p>
        </w:tc>
      </w:tr>
      <w:tr w14:paraId="34AAE780">
        <w:tblPrEx>
          <w:tblCellMar>
            <w:top w:w="0" w:type="dxa"/>
            <w:left w:w="108" w:type="dxa"/>
            <w:bottom w:w="0" w:type="dxa"/>
            <w:right w:w="108" w:type="dxa"/>
          </w:tblCellMar>
        </w:tblPrEx>
        <w:trPr>
          <w:trHeight w:val="288" w:hRule="atLeast"/>
          <w:jc w:val="center"/>
        </w:trPr>
        <w:tc>
          <w:tcPr>
            <w:tcW w:w="469" w:type="pct"/>
            <w:tcBorders>
              <w:top w:val="nil"/>
              <w:left w:val="single" w:color="auto" w:sz="4" w:space="0"/>
              <w:bottom w:val="single" w:color="auto" w:sz="4" w:space="0"/>
              <w:right w:val="single" w:color="auto" w:sz="4" w:space="0"/>
            </w:tcBorders>
            <w:noWrap/>
            <w:vAlign w:val="center"/>
          </w:tcPr>
          <w:p w14:paraId="74C2EAE4">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50E96F5B">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厚街沙塘二期</w:t>
            </w:r>
          </w:p>
        </w:tc>
        <w:tc>
          <w:tcPr>
            <w:tcW w:w="1086" w:type="pct"/>
            <w:tcBorders>
              <w:top w:val="nil"/>
              <w:left w:val="nil"/>
              <w:bottom w:val="single" w:color="auto" w:sz="4" w:space="0"/>
              <w:right w:val="single" w:color="auto" w:sz="4" w:space="0"/>
            </w:tcBorders>
            <w:vAlign w:val="center"/>
          </w:tcPr>
          <w:p w14:paraId="51C5E948">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p>
        </w:tc>
        <w:tc>
          <w:tcPr>
            <w:tcW w:w="1477" w:type="pct"/>
            <w:tcBorders>
              <w:top w:val="nil"/>
              <w:left w:val="nil"/>
              <w:bottom w:val="single" w:color="auto" w:sz="4" w:space="0"/>
              <w:right w:val="single" w:color="auto" w:sz="4" w:space="0"/>
            </w:tcBorders>
            <w:noWrap/>
            <w:vAlign w:val="center"/>
          </w:tcPr>
          <w:p w14:paraId="19453F2F">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2018/2/11</w:t>
            </w:r>
          </w:p>
        </w:tc>
      </w:tr>
      <w:tr w14:paraId="01975C08">
        <w:tblPrEx>
          <w:tblCellMar>
            <w:top w:w="0" w:type="dxa"/>
            <w:left w:w="108" w:type="dxa"/>
            <w:bottom w:w="0" w:type="dxa"/>
            <w:right w:w="108" w:type="dxa"/>
          </w:tblCellMar>
        </w:tblPrEx>
        <w:trPr>
          <w:trHeight w:val="288" w:hRule="atLeast"/>
          <w:jc w:val="center"/>
        </w:trPr>
        <w:tc>
          <w:tcPr>
            <w:tcW w:w="469" w:type="pct"/>
            <w:tcBorders>
              <w:top w:val="nil"/>
              <w:left w:val="single" w:color="auto" w:sz="4" w:space="0"/>
              <w:bottom w:val="single" w:color="auto" w:sz="4" w:space="0"/>
              <w:right w:val="single" w:color="auto" w:sz="4" w:space="0"/>
            </w:tcBorders>
            <w:noWrap/>
            <w:vAlign w:val="center"/>
          </w:tcPr>
          <w:p w14:paraId="000270C9">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51B58F44">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虎门宁洲二期</w:t>
            </w:r>
          </w:p>
        </w:tc>
        <w:tc>
          <w:tcPr>
            <w:tcW w:w="1086" w:type="pct"/>
            <w:tcBorders>
              <w:top w:val="nil"/>
              <w:left w:val="nil"/>
              <w:bottom w:val="single" w:color="auto" w:sz="4" w:space="0"/>
              <w:right w:val="single" w:color="auto" w:sz="4" w:space="0"/>
            </w:tcBorders>
            <w:vAlign w:val="center"/>
          </w:tcPr>
          <w:p w14:paraId="543ABEA3">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p>
        </w:tc>
        <w:tc>
          <w:tcPr>
            <w:tcW w:w="1477" w:type="pct"/>
            <w:tcBorders>
              <w:top w:val="nil"/>
              <w:left w:val="nil"/>
              <w:bottom w:val="single" w:color="auto" w:sz="4" w:space="0"/>
              <w:right w:val="single" w:color="auto" w:sz="4" w:space="0"/>
            </w:tcBorders>
            <w:noWrap/>
            <w:vAlign w:val="center"/>
          </w:tcPr>
          <w:p w14:paraId="4196F2E8">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2019/12/21</w:t>
            </w:r>
          </w:p>
        </w:tc>
      </w:tr>
      <w:tr w14:paraId="5DFF284A">
        <w:tblPrEx>
          <w:tblCellMar>
            <w:top w:w="0" w:type="dxa"/>
            <w:left w:w="108" w:type="dxa"/>
            <w:bottom w:w="0" w:type="dxa"/>
            <w:right w:w="108" w:type="dxa"/>
          </w:tblCellMar>
        </w:tblPrEx>
        <w:trPr>
          <w:trHeight w:val="288" w:hRule="atLeast"/>
          <w:jc w:val="center"/>
        </w:trPr>
        <w:tc>
          <w:tcPr>
            <w:tcW w:w="469" w:type="pct"/>
            <w:tcBorders>
              <w:top w:val="nil"/>
              <w:left w:val="single" w:color="auto" w:sz="4" w:space="0"/>
              <w:bottom w:val="single" w:color="auto" w:sz="4" w:space="0"/>
              <w:right w:val="single" w:color="auto" w:sz="4" w:space="0"/>
            </w:tcBorders>
            <w:noWrap/>
            <w:vAlign w:val="center"/>
          </w:tcPr>
          <w:p w14:paraId="51651B87">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0438E68D">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东城牛山二期</w:t>
            </w:r>
          </w:p>
        </w:tc>
        <w:tc>
          <w:tcPr>
            <w:tcW w:w="1086" w:type="pct"/>
            <w:tcBorders>
              <w:top w:val="nil"/>
              <w:left w:val="nil"/>
              <w:bottom w:val="single" w:color="auto" w:sz="4" w:space="0"/>
              <w:right w:val="single" w:color="auto" w:sz="4" w:space="0"/>
            </w:tcBorders>
            <w:vAlign w:val="center"/>
          </w:tcPr>
          <w:p w14:paraId="5C3AED59">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1477" w:type="pct"/>
            <w:tcBorders>
              <w:top w:val="nil"/>
              <w:left w:val="nil"/>
              <w:bottom w:val="single" w:color="auto" w:sz="4" w:space="0"/>
              <w:right w:val="single" w:color="auto" w:sz="4" w:space="0"/>
            </w:tcBorders>
            <w:noWrap/>
            <w:vAlign w:val="center"/>
          </w:tcPr>
          <w:p w14:paraId="48E5BEC3">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2020/9/29</w:t>
            </w:r>
          </w:p>
        </w:tc>
      </w:tr>
      <w:tr w14:paraId="5E326C80">
        <w:tblPrEx>
          <w:tblCellMar>
            <w:top w:w="0" w:type="dxa"/>
            <w:left w:w="108" w:type="dxa"/>
            <w:bottom w:w="0" w:type="dxa"/>
            <w:right w:w="108" w:type="dxa"/>
          </w:tblCellMar>
        </w:tblPrEx>
        <w:trPr>
          <w:trHeight w:val="576" w:hRule="atLeast"/>
          <w:jc w:val="center"/>
        </w:trPr>
        <w:tc>
          <w:tcPr>
            <w:tcW w:w="469" w:type="pct"/>
            <w:tcBorders>
              <w:top w:val="nil"/>
              <w:left w:val="single" w:color="auto" w:sz="4" w:space="0"/>
              <w:bottom w:val="single" w:color="auto" w:sz="4" w:space="0"/>
              <w:right w:val="single" w:color="auto" w:sz="4" w:space="0"/>
            </w:tcBorders>
            <w:noWrap/>
            <w:vAlign w:val="center"/>
          </w:tcPr>
          <w:p w14:paraId="5978F477">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25AD18A2">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虎门宁洲污水处理厂三期</w:t>
            </w:r>
          </w:p>
        </w:tc>
        <w:tc>
          <w:tcPr>
            <w:tcW w:w="1086" w:type="pct"/>
            <w:tcBorders>
              <w:top w:val="nil"/>
              <w:left w:val="nil"/>
              <w:bottom w:val="single" w:color="auto" w:sz="4" w:space="0"/>
              <w:right w:val="single" w:color="auto" w:sz="4" w:space="0"/>
            </w:tcBorders>
            <w:vAlign w:val="center"/>
          </w:tcPr>
          <w:p w14:paraId="2B332722">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p>
        </w:tc>
        <w:tc>
          <w:tcPr>
            <w:tcW w:w="1477" w:type="pct"/>
            <w:tcBorders>
              <w:top w:val="nil"/>
              <w:left w:val="nil"/>
              <w:bottom w:val="single" w:color="auto" w:sz="4" w:space="0"/>
              <w:right w:val="single" w:color="auto" w:sz="4" w:space="0"/>
            </w:tcBorders>
            <w:noWrap/>
            <w:vAlign w:val="center"/>
          </w:tcPr>
          <w:p w14:paraId="05AC1D8A">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新建</w:t>
            </w:r>
          </w:p>
        </w:tc>
      </w:tr>
      <w:tr w14:paraId="37C4CD9D">
        <w:tblPrEx>
          <w:tblCellMar>
            <w:top w:w="0" w:type="dxa"/>
            <w:left w:w="108" w:type="dxa"/>
            <w:bottom w:w="0" w:type="dxa"/>
            <w:right w:w="108" w:type="dxa"/>
          </w:tblCellMar>
        </w:tblPrEx>
        <w:trPr>
          <w:trHeight w:val="576" w:hRule="atLeast"/>
          <w:jc w:val="center"/>
        </w:trPr>
        <w:tc>
          <w:tcPr>
            <w:tcW w:w="469" w:type="pct"/>
            <w:tcBorders>
              <w:top w:val="nil"/>
              <w:left w:val="single" w:color="auto" w:sz="4" w:space="0"/>
              <w:bottom w:val="single" w:color="auto" w:sz="4" w:space="0"/>
              <w:right w:val="single" w:color="auto" w:sz="4" w:space="0"/>
            </w:tcBorders>
            <w:noWrap/>
            <w:vAlign w:val="center"/>
          </w:tcPr>
          <w:p w14:paraId="2B6B956A">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3E55A075">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沙塘福禄沙污水处理厂二期</w:t>
            </w:r>
          </w:p>
        </w:tc>
        <w:tc>
          <w:tcPr>
            <w:tcW w:w="1086" w:type="pct"/>
            <w:tcBorders>
              <w:top w:val="nil"/>
              <w:left w:val="nil"/>
              <w:bottom w:val="single" w:color="auto" w:sz="4" w:space="0"/>
              <w:right w:val="single" w:color="auto" w:sz="4" w:space="0"/>
            </w:tcBorders>
            <w:vAlign w:val="center"/>
          </w:tcPr>
          <w:p w14:paraId="60783401">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1477" w:type="pct"/>
            <w:tcBorders>
              <w:top w:val="nil"/>
              <w:left w:val="nil"/>
              <w:bottom w:val="single" w:color="auto" w:sz="4" w:space="0"/>
              <w:right w:val="single" w:color="auto" w:sz="4" w:space="0"/>
            </w:tcBorders>
            <w:noWrap/>
            <w:vAlign w:val="center"/>
          </w:tcPr>
          <w:p w14:paraId="0CDFD91B">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新建</w:t>
            </w:r>
          </w:p>
        </w:tc>
      </w:tr>
      <w:tr w14:paraId="2A76C050">
        <w:tblPrEx>
          <w:tblCellMar>
            <w:top w:w="0" w:type="dxa"/>
            <w:left w:w="108" w:type="dxa"/>
            <w:bottom w:w="0" w:type="dxa"/>
            <w:right w:w="108" w:type="dxa"/>
          </w:tblCellMar>
        </w:tblPrEx>
        <w:trPr>
          <w:trHeight w:val="288" w:hRule="atLeast"/>
          <w:jc w:val="center"/>
        </w:trPr>
        <w:tc>
          <w:tcPr>
            <w:tcW w:w="469" w:type="pct"/>
            <w:tcBorders>
              <w:top w:val="nil"/>
              <w:left w:val="single" w:color="auto" w:sz="4" w:space="0"/>
              <w:bottom w:val="single" w:color="auto" w:sz="4" w:space="0"/>
              <w:right w:val="single" w:color="auto" w:sz="4" w:space="0"/>
            </w:tcBorders>
            <w:noWrap/>
            <w:vAlign w:val="center"/>
          </w:tcPr>
          <w:p w14:paraId="752DF52A">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6A9FD284">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东城温塘</w:t>
            </w:r>
          </w:p>
        </w:tc>
        <w:tc>
          <w:tcPr>
            <w:tcW w:w="1086" w:type="pct"/>
            <w:tcBorders>
              <w:top w:val="nil"/>
              <w:left w:val="nil"/>
              <w:bottom w:val="single" w:color="auto" w:sz="4" w:space="0"/>
              <w:right w:val="single" w:color="auto" w:sz="4" w:space="0"/>
            </w:tcBorders>
            <w:vAlign w:val="center"/>
          </w:tcPr>
          <w:p w14:paraId="3DAADAD6">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1477" w:type="pct"/>
            <w:tcBorders>
              <w:top w:val="nil"/>
              <w:left w:val="nil"/>
              <w:bottom w:val="single" w:color="auto" w:sz="4" w:space="0"/>
              <w:right w:val="single" w:color="auto" w:sz="4" w:space="0"/>
            </w:tcBorders>
            <w:noWrap/>
            <w:vAlign w:val="center"/>
          </w:tcPr>
          <w:p w14:paraId="4A63DC1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2020/9/29</w:t>
            </w:r>
          </w:p>
        </w:tc>
      </w:tr>
      <w:tr w14:paraId="1196E58B">
        <w:tblPrEx>
          <w:tblCellMar>
            <w:top w:w="0" w:type="dxa"/>
            <w:left w:w="108" w:type="dxa"/>
            <w:bottom w:w="0" w:type="dxa"/>
            <w:right w:w="108" w:type="dxa"/>
          </w:tblCellMar>
        </w:tblPrEx>
        <w:trPr>
          <w:trHeight w:val="288" w:hRule="atLeast"/>
          <w:jc w:val="center"/>
        </w:trPr>
        <w:tc>
          <w:tcPr>
            <w:tcW w:w="469" w:type="pct"/>
            <w:tcBorders>
              <w:top w:val="nil"/>
              <w:left w:val="single" w:color="auto" w:sz="4" w:space="0"/>
              <w:bottom w:val="single" w:color="auto" w:sz="4" w:space="0"/>
              <w:right w:val="single" w:color="auto" w:sz="4" w:space="0"/>
            </w:tcBorders>
            <w:noWrap/>
            <w:vAlign w:val="center"/>
          </w:tcPr>
          <w:p w14:paraId="45C6F9BF">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299D40AB">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黄江二期</w:t>
            </w:r>
          </w:p>
        </w:tc>
        <w:tc>
          <w:tcPr>
            <w:tcW w:w="1086" w:type="pct"/>
            <w:tcBorders>
              <w:top w:val="nil"/>
              <w:left w:val="nil"/>
              <w:bottom w:val="single" w:color="auto" w:sz="4" w:space="0"/>
              <w:right w:val="single" w:color="auto" w:sz="4" w:space="0"/>
            </w:tcBorders>
            <w:vAlign w:val="center"/>
          </w:tcPr>
          <w:p w14:paraId="654AD162">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w:t>
            </w:r>
          </w:p>
        </w:tc>
        <w:tc>
          <w:tcPr>
            <w:tcW w:w="1477" w:type="pct"/>
            <w:tcBorders>
              <w:top w:val="nil"/>
              <w:left w:val="nil"/>
              <w:bottom w:val="single" w:color="auto" w:sz="4" w:space="0"/>
              <w:right w:val="single" w:color="auto" w:sz="4" w:space="0"/>
            </w:tcBorders>
            <w:noWrap/>
            <w:vAlign w:val="center"/>
          </w:tcPr>
          <w:p w14:paraId="4195D566">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2019/7/1</w:t>
            </w:r>
          </w:p>
        </w:tc>
      </w:tr>
      <w:tr w14:paraId="51272955">
        <w:tblPrEx>
          <w:tblCellMar>
            <w:top w:w="0" w:type="dxa"/>
            <w:left w:w="108" w:type="dxa"/>
            <w:bottom w:w="0" w:type="dxa"/>
            <w:right w:w="108" w:type="dxa"/>
          </w:tblCellMar>
        </w:tblPrEx>
        <w:trPr>
          <w:trHeight w:val="288" w:hRule="atLeast"/>
          <w:jc w:val="center"/>
        </w:trPr>
        <w:tc>
          <w:tcPr>
            <w:tcW w:w="469" w:type="pct"/>
            <w:tcBorders>
              <w:top w:val="nil"/>
              <w:left w:val="single" w:color="auto" w:sz="4" w:space="0"/>
              <w:bottom w:val="single" w:color="auto" w:sz="4" w:space="0"/>
              <w:right w:val="single" w:color="auto" w:sz="4" w:space="0"/>
            </w:tcBorders>
            <w:noWrap/>
            <w:vAlign w:val="center"/>
          </w:tcPr>
          <w:p w14:paraId="54A4D106">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486AD273">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松北二期</w:t>
            </w:r>
          </w:p>
        </w:tc>
        <w:tc>
          <w:tcPr>
            <w:tcW w:w="1086" w:type="pct"/>
            <w:tcBorders>
              <w:top w:val="nil"/>
              <w:left w:val="nil"/>
              <w:bottom w:val="single" w:color="auto" w:sz="4" w:space="0"/>
              <w:right w:val="single" w:color="auto" w:sz="4" w:space="0"/>
            </w:tcBorders>
            <w:vAlign w:val="center"/>
          </w:tcPr>
          <w:p w14:paraId="193D187A">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1477" w:type="pct"/>
            <w:tcBorders>
              <w:top w:val="nil"/>
              <w:left w:val="nil"/>
              <w:bottom w:val="single" w:color="auto" w:sz="4" w:space="0"/>
              <w:right w:val="single" w:color="auto" w:sz="4" w:space="0"/>
            </w:tcBorders>
            <w:noWrap/>
            <w:vAlign w:val="center"/>
          </w:tcPr>
          <w:p w14:paraId="29262C1A">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2020/4/29</w:t>
            </w:r>
          </w:p>
        </w:tc>
      </w:tr>
      <w:tr w14:paraId="0E3D510B">
        <w:tblPrEx>
          <w:tblCellMar>
            <w:top w:w="0" w:type="dxa"/>
            <w:left w:w="108" w:type="dxa"/>
            <w:bottom w:w="0" w:type="dxa"/>
            <w:right w:w="108" w:type="dxa"/>
          </w:tblCellMar>
        </w:tblPrEx>
        <w:trPr>
          <w:trHeight w:val="288" w:hRule="atLeast"/>
          <w:jc w:val="center"/>
        </w:trPr>
        <w:tc>
          <w:tcPr>
            <w:tcW w:w="469" w:type="pct"/>
            <w:tcBorders>
              <w:top w:val="nil"/>
              <w:left w:val="single" w:color="auto" w:sz="4" w:space="0"/>
              <w:bottom w:val="single" w:color="auto" w:sz="4" w:space="0"/>
              <w:right w:val="single" w:color="auto" w:sz="4" w:space="0"/>
            </w:tcBorders>
            <w:noWrap/>
            <w:vAlign w:val="center"/>
          </w:tcPr>
          <w:p w14:paraId="5AC2D51E">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579CFEA6">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寮步竹园二期</w:t>
            </w:r>
          </w:p>
        </w:tc>
        <w:tc>
          <w:tcPr>
            <w:tcW w:w="1086" w:type="pct"/>
            <w:tcBorders>
              <w:top w:val="nil"/>
              <w:left w:val="nil"/>
              <w:bottom w:val="single" w:color="auto" w:sz="4" w:space="0"/>
              <w:right w:val="single" w:color="auto" w:sz="4" w:space="0"/>
            </w:tcBorders>
            <w:vAlign w:val="center"/>
          </w:tcPr>
          <w:p w14:paraId="66C1F9D8">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1477" w:type="pct"/>
            <w:tcBorders>
              <w:top w:val="nil"/>
              <w:left w:val="nil"/>
              <w:bottom w:val="single" w:color="auto" w:sz="4" w:space="0"/>
              <w:right w:val="single" w:color="auto" w:sz="4" w:space="0"/>
            </w:tcBorders>
            <w:noWrap/>
            <w:vAlign w:val="center"/>
          </w:tcPr>
          <w:p w14:paraId="43DB5851">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2020/5/17</w:t>
            </w:r>
          </w:p>
        </w:tc>
      </w:tr>
      <w:tr w14:paraId="1BD563DD">
        <w:tblPrEx>
          <w:tblCellMar>
            <w:top w:w="0" w:type="dxa"/>
            <w:left w:w="108" w:type="dxa"/>
            <w:bottom w:w="0" w:type="dxa"/>
            <w:right w:w="108" w:type="dxa"/>
          </w:tblCellMar>
        </w:tblPrEx>
        <w:trPr>
          <w:trHeight w:val="288" w:hRule="atLeast"/>
          <w:jc w:val="center"/>
        </w:trPr>
        <w:tc>
          <w:tcPr>
            <w:tcW w:w="469" w:type="pct"/>
            <w:tcBorders>
              <w:top w:val="nil"/>
              <w:left w:val="single" w:color="auto" w:sz="4" w:space="0"/>
              <w:bottom w:val="single" w:color="auto" w:sz="4" w:space="0"/>
              <w:right w:val="single" w:color="auto" w:sz="4" w:space="0"/>
            </w:tcBorders>
            <w:noWrap/>
            <w:vAlign w:val="center"/>
          </w:tcPr>
          <w:p w14:paraId="391AD193">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0E877416">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大朗松南二期</w:t>
            </w:r>
          </w:p>
        </w:tc>
        <w:tc>
          <w:tcPr>
            <w:tcW w:w="1086" w:type="pct"/>
            <w:tcBorders>
              <w:top w:val="nil"/>
              <w:left w:val="nil"/>
              <w:bottom w:val="single" w:color="auto" w:sz="4" w:space="0"/>
              <w:right w:val="single" w:color="auto" w:sz="4" w:space="0"/>
            </w:tcBorders>
            <w:vAlign w:val="center"/>
          </w:tcPr>
          <w:p w14:paraId="246A5B50">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p>
        </w:tc>
        <w:tc>
          <w:tcPr>
            <w:tcW w:w="1477" w:type="pct"/>
            <w:tcBorders>
              <w:top w:val="nil"/>
              <w:left w:val="nil"/>
              <w:bottom w:val="single" w:color="auto" w:sz="4" w:space="0"/>
              <w:right w:val="single" w:color="auto" w:sz="4" w:space="0"/>
            </w:tcBorders>
            <w:noWrap/>
            <w:vAlign w:val="center"/>
          </w:tcPr>
          <w:p w14:paraId="0D900CDF">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2020/6/26</w:t>
            </w:r>
          </w:p>
        </w:tc>
      </w:tr>
      <w:tr w14:paraId="4E9AAB4F">
        <w:tblPrEx>
          <w:tblCellMar>
            <w:top w:w="0" w:type="dxa"/>
            <w:left w:w="108" w:type="dxa"/>
            <w:bottom w:w="0" w:type="dxa"/>
            <w:right w:w="108" w:type="dxa"/>
          </w:tblCellMar>
        </w:tblPrEx>
        <w:trPr>
          <w:trHeight w:val="576" w:hRule="atLeast"/>
          <w:jc w:val="center"/>
        </w:trPr>
        <w:tc>
          <w:tcPr>
            <w:tcW w:w="469" w:type="pct"/>
            <w:tcBorders>
              <w:top w:val="nil"/>
              <w:left w:val="single" w:color="auto" w:sz="4" w:space="0"/>
              <w:bottom w:val="single" w:color="auto" w:sz="4" w:space="0"/>
              <w:right w:val="single" w:color="auto" w:sz="4" w:space="0"/>
            </w:tcBorders>
            <w:noWrap/>
            <w:vAlign w:val="center"/>
          </w:tcPr>
          <w:p w14:paraId="4A7FD7F0">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3F647F94">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常平西部污水处理厂二期</w:t>
            </w:r>
          </w:p>
        </w:tc>
        <w:tc>
          <w:tcPr>
            <w:tcW w:w="1086" w:type="pct"/>
            <w:tcBorders>
              <w:top w:val="nil"/>
              <w:left w:val="nil"/>
              <w:bottom w:val="single" w:color="auto" w:sz="4" w:space="0"/>
              <w:right w:val="single" w:color="auto" w:sz="4" w:space="0"/>
            </w:tcBorders>
            <w:noWrap/>
            <w:vAlign w:val="center"/>
          </w:tcPr>
          <w:p w14:paraId="01F3F203">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7</w:t>
            </w:r>
          </w:p>
        </w:tc>
        <w:tc>
          <w:tcPr>
            <w:tcW w:w="1477" w:type="pct"/>
            <w:tcBorders>
              <w:top w:val="nil"/>
              <w:left w:val="nil"/>
              <w:bottom w:val="single" w:color="auto" w:sz="4" w:space="0"/>
              <w:right w:val="single" w:color="auto" w:sz="4" w:space="0"/>
            </w:tcBorders>
            <w:noWrap/>
            <w:vAlign w:val="center"/>
          </w:tcPr>
          <w:p w14:paraId="15022F0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新建</w:t>
            </w:r>
          </w:p>
        </w:tc>
      </w:tr>
      <w:tr w14:paraId="19D375F3">
        <w:tblPrEx>
          <w:tblCellMar>
            <w:top w:w="0" w:type="dxa"/>
            <w:left w:w="108" w:type="dxa"/>
            <w:bottom w:w="0" w:type="dxa"/>
            <w:right w:w="108" w:type="dxa"/>
          </w:tblCellMar>
        </w:tblPrEx>
        <w:trPr>
          <w:trHeight w:val="576" w:hRule="atLeast"/>
          <w:jc w:val="center"/>
        </w:trPr>
        <w:tc>
          <w:tcPr>
            <w:tcW w:w="469" w:type="pct"/>
            <w:tcBorders>
              <w:top w:val="nil"/>
              <w:left w:val="single" w:color="auto" w:sz="4" w:space="0"/>
              <w:bottom w:val="single" w:color="auto" w:sz="4" w:space="0"/>
              <w:right w:val="single" w:color="auto" w:sz="4" w:space="0"/>
            </w:tcBorders>
            <w:noWrap/>
            <w:vAlign w:val="center"/>
          </w:tcPr>
          <w:p w14:paraId="1A9CB3AB">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5DCCF523">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东城温塘污水处理厂二期</w:t>
            </w:r>
          </w:p>
        </w:tc>
        <w:tc>
          <w:tcPr>
            <w:tcW w:w="1086" w:type="pct"/>
            <w:tcBorders>
              <w:top w:val="nil"/>
              <w:left w:val="nil"/>
              <w:bottom w:val="single" w:color="auto" w:sz="4" w:space="0"/>
              <w:right w:val="single" w:color="auto" w:sz="4" w:space="0"/>
            </w:tcBorders>
            <w:noWrap/>
            <w:vAlign w:val="center"/>
          </w:tcPr>
          <w:p w14:paraId="1A60FE4E">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1477" w:type="pct"/>
            <w:tcBorders>
              <w:top w:val="nil"/>
              <w:left w:val="nil"/>
              <w:bottom w:val="single" w:color="auto" w:sz="4" w:space="0"/>
              <w:right w:val="single" w:color="auto" w:sz="4" w:space="0"/>
            </w:tcBorders>
            <w:noWrap/>
            <w:vAlign w:val="center"/>
          </w:tcPr>
          <w:p w14:paraId="2056C389">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新建</w:t>
            </w:r>
          </w:p>
        </w:tc>
      </w:tr>
      <w:tr w14:paraId="0A0C6F37">
        <w:tblPrEx>
          <w:tblCellMar>
            <w:top w:w="0" w:type="dxa"/>
            <w:left w:w="108" w:type="dxa"/>
            <w:bottom w:w="0" w:type="dxa"/>
            <w:right w:w="108" w:type="dxa"/>
          </w:tblCellMar>
        </w:tblPrEx>
        <w:trPr>
          <w:trHeight w:val="576" w:hRule="atLeast"/>
          <w:jc w:val="center"/>
        </w:trPr>
        <w:tc>
          <w:tcPr>
            <w:tcW w:w="469" w:type="pct"/>
            <w:tcBorders>
              <w:top w:val="nil"/>
              <w:left w:val="single" w:color="auto" w:sz="4" w:space="0"/>
              <w:bottom w:val="single" w:color="auto" w:sz="4" w:space="0"/>
              <w:right w:val="single" w:color="auto" w:sz="4" w:space="0"/>
            </w:tcBorders>
            <w:noWrap/>
            <w:vAlign w:val="center"/>
          </w:tcPr>
          <w:p w14:paraId="4ACE12B5">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4F976B1E">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寮步竹园污水处理厂三期</w:t>
            </w:r>
          </w:p>
        </w:tc>
        <w:tc>
          <w:tcPr>
            <w:tcW w:w="1086" w:type="pct"/>
            <w:tcBorders>
              <w:top w:val="nil"/>
              <w:left w:val="nil"/>
              <w:bottom w:val="single" w:color="auto" w:sz="4" w:space="0"/>
              <w:right w:val="single" w:color="auto" w:sz="4" w:space="0"/>
            </w:tcBorders>
            <w:noWrap/>
            <w:vAlign w:val="center"/>
          </w:tcPr>
          <w:p w14:paraId="1982FBA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kern w:val="0"/>
                <w:szCs w:val="21"/>
                <w:highlight w:val="none"/>
              </w:rPr>
              <w:t>设备5</w:t>
            </w:r>
          </w:p>
          <w:p w14:paraId="77029ECB">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土建10</w:t>
            </w:r>
          </w:p>
        </w:tc>
        <w:tc>
          <w:tcPr>
            <w:tcW w:w="1477" w:type="pct"/>
            <w:tcBorders>
              <w:top w:val="nil"/>
              <w:left w:val="nil"/>
              <w:bottom w:val="single" w:color="auto" w:sz="4" w:space="0"/>
              <w:right w:val="single" w:color="auto" w:sz="4" w:space="0"/>
            </w:tcBorders>
            <w:noWrap/>
            <w:vAlign w:val="center"/>
          </w:tcPr>
          <w:p w14:paraId="60F1FD3A">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新建</w:t>
            </w:r>
          </w:p>
        </w:tc>
      </w:tr>
      <w:tr w14:paraId="2BAAAB34">
        <w:tblPrEx>
          <w:tblCellMar>
            <w:top w:w="0" w:type="dxa"/>
            <w:left w:w="108" w:type="dxa"/>
            <w:bottom w:w="0" w:type="dxa"/>
            <w:right w:w="108" w:type="dxa"/>
          </w:tblCellMar>
        </w:tblPrEx>
        <w:trPr>
          <w:trHeight w:val="576" w:hRule="atLeast"/>
          <w:jc w:val="center"/>
        </w:trPr>
        <w:tc>
          <w:tcPr>
            <w:tcW w:w="469" w:type="pct"/>
            <w:tcBorders>
              <w:top w:val="nil"/>
              <w:left w:val="single" w:color="auto" w:sz="4" w:space="0"/>
              <w:bottom w:val="single" w:color="auto" w:sz="4" w:space="0"/>
              <w:right w:val="single" w:color="auto" w:sz="4" w:space="0"/>
            </w:tcBorders>
            <w:noWrap/>
            <w:vAlign w:val="center"/>
          </w:tcPr>
          <w:p w14:paraId="01E9F535">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4E0F5ED0">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常平东部污水处理厂二期</w:t>
            </w:r>
          </w:p>
        </w:tc>
        <w:tc>
          <w:tcPr>
            <w:tcW w:w="1086" w:type="pct"/>
            <w:tcBorders>
              <w:top w:val="nil"/>
              <w:left w:val="nil"/>
              <w:bottom w:val="single" w:color="auto" w:sz="4" w:space="0"/>
              <w:right w:val="single" w:color="auto" w:sz="4" w:space="0"/>
            </w:tcBorders>
            <w:noWrap/>
            <w:vAlign w:val="center"/>
          </w:tcPr>
          <w:p w14:paraId="1F1AEBE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w:t>
            </w:r>
          </w:p>
        </w:tc>
        <w:tc>
          <w:tcPr>
            <w:tcW w:w="1477" w:type="pct"/>
            <w:tcBorders>
              <w:top w:val="nil"/>
              <w:left w:val="nil"/>
              <w:bottom w:val="single" w:color="auto" w:sz="4" w:space="0"/>
              <w:right w:val="single" w:color="auto" w:sz="4" w:space="0"/>
            </w:tcBorders>
            <w:noWrap/>
            <w:vAlign w:val="center"/>
          </w:tcPr>
          <w:p w14:paraId="489DE83B">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新建</w:t>
            </w:r>
          </w:p>
        </w:tc>
      </w:tr>
      <w:tr w14:paraId="16B1C688">
        <w:tblPrEx>
          <w:tblCellMar>
            <w:top w:w="0" w:type="dxa"/>
            <w:left w:w="108" w:type="dxa"/>
            <w:bottom w:w="0" w:type="dxa"/>
            <w:right w:w="108" w:type="dxa"/>
          </w:tblCellMar>
        </w:tblPrEx>
        <w:trPr>
          <w:trHeight w:val="576" w:hRule="atLeast"/>
          <w:jc w:val="center"/>
        </w:trPr>
        <w:tc>
          <w:tcPr>
            <w:tcW w:w="469" w:type="pct"/>
            <w:tcBorders>
              <w:top w:val="nil"/>
              <w:left w:val="single" w:color="auto" w:sz="4" w:space="0"/>
              <w:bottom w:val="single" w:color="auto" w:sz="4" w:space="0"/>
              <w:right w:val="single" w:color="auto" w:sz="4" w:space="0"/>
            </w:tcBorders>
            <w:noWrap/>
            <w:vAlign w:val="center"/>
          </w:tcPr>
          <w:p w14:paraId="4FB390BB">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1C397BDD">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大岭山连马污水处理厂二期</w:t>
            </w:r>
          </w:p>
        </w:tc>
        <w:tc>
          <w:tcPr>
            <w:tcW w:w="1086" w:type="pct"/>
            <w:tcBorders>
              <w:top w:val="nil"/>
              <w:left w:val="nil"/>
              <w:bottom w:val="single" w:color="auto" w:sz="4" w:space="0"/>
              <w:right w:val="single" w:color="auto" w:sz="4" w:space="0"/>
            </w:tcBorders>
            <w:noWrap/>
            <w:vAlign w:val="center"/>
          </w:tcPr>
          <w:p w14:paraId="740C21B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kern w:val="0"/>
                <w:szCs w:val="21"/>
                <w:highlight w:val="none"/>
              </w:rPr>
              <w:t>设备7.5</w:t>
            </w:r>
          </w:p>
          <w:p w14:paraId="2F3EB099">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土建10</w:t>
            </w:r>
          </w:p>
        </w:tc>
        <w:tc>
          <w:tcPr>
            <w:tcW w:w="1477" w:type="pct"/>
            <w:tcBorders>
              <w:top w:val="nil"/>
              <w:left w:val="nil"/>
              <w:bottom w:val="single" w:color="auto" w:sz="4" w:space="0"/>
              <w:right w:val="single" w:color="auto" w:sz="4" w:space="0"/>
            </w:tcBorders>
            <w:noWrap/>
            <w:vAlign w:val="center"/>
          </w:tcPr>
          <w:p w14:paraId="73580C28">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新建</w:t>
            </w:r>
          </w:p>
        </w:tc>
      </w:tr>
      <w:tr w14:paraId="6BADEC20">
        <w:tblPrEx>
          <w:tblCellMar>
            <w:top w:w="0" w:type="dxa"/>
            <w:left w:w="108" w:type="dxa"/>
            <w:bottom w:w="0" w:type="dxa"/>
            <w:right w:w="108" w:type="dxa"/>
          </w:tblCellMar>
        </w:tblPrEx>
        <w:trPr>
          <w:trHeight w:val="576" w:hRule="atLeast"/>
          <w:jc w:val="center"/>
        </w:trPr>
        <w:tc>
          <w:tcPr>
            <w:tcW w:w="469" w:type="pct"/>
            <w:tcBorders>
              <w:top w:val="nil"/>
              <w:left w:val="single" w:color="auto" w:sz="4" w:space="0"/>
              <w:bottom w:val="single" w:color="auto" w:sz="4" w:space="0"/>
              <w:right w:val="single" w:color="auto" w:sz="4" w:space="0"/>
            </w:tcBorders>
            <w:noWrap/>
            <w:vAlign w:val="center"/>
          </w:tcPr>
          <w:p w14:paraId="0DD5FDD7">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3DDED6F4">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横沥东坑污水处理厂二期</w:t>
            </w:r>
          </w:p>
        </w:tc>
        <w:tc>
          <w:tcPr>
            <w:tcW w:w="1086" w:type="pct"/>
            <w:tcBorders>
              <w:top w:val="nil"/>
              <w:left w:val="nil"/>
              <w:bottom w:val="single" w:color="auto" w:sz="4" w:space="0"/>
              <w:right w:val="single" w:color="auto" w:sz="4" w:space="0"/>
            </w:tcBorders>
            <w:noWrap/>
            <w:vAlign w:val="center"/>
          </w:tcPr>
          <w:p w14:paraId="0A93E9C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15</w:t>
            </w:r>
          </w:p>
        </w:tc>
        <w:tc>
          <w:tcPr>
            <w:tcW w:w="1477" w:type="pct"/>
            <w:tcBorders>
              <w:top w:val="nil"/>
              <w:left w:val="nil"/>
              <w:bottom w:val="single" w:color="auto" w:sz="4" w:space="0"/>
              <w:right w:val="single" w:color="auto" w:sz="4" w:space="0"/>
            </w:tcBorders>
            <w:noWrap/>
            <w:vAlign w:val="center"/>
          </w:tcPr>
          <w:p w14:paraId="57496035">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新建</w:t>
            </w:r>
          </w:p>
        </w:tc>
      </w:tr>
      <w:tr w14:paraId="16BDED15">
        <w:tblPrEx>
          <w:tblCellMar>
            <w:top w:w="0" w:type="dxa"/>
            <w:left w:w="108" w:type="dxa"/>
            <w:bottom w:w="0" w:type="dxa"/>
            <w:right w:w="108" w:type="dxa"/>
          </w:tblCellMar>
        </w:tblPrEx>
        <w:trPr>
          <w:trHeight w:val="576" w:hRule="atLeast"/>
          <w:jc w:val="center"/>
        </w:trPr>
        <w:tc>
          <w:tcPr>
            <w:tcW w:w="469" w:type="pct"/>
            <w:tcBorders>
              <w:top w:val="nil"/>
              <w:left w:val="single" w:color="auto" w:sz="4" w:space="0"/>
              <w:bottom w:val="single" w:color="auto" w:sz="4" w:space="0"/>
              <w:right w:val="single" w:color="auto" w:sz="4" w:space="0"/>
            </w:tcBorders>
            <w:noWrap/>
            <w:vAlign w:val="center"/>
          </w:tcPr>
          <w:p w14:paraId="4A0CBF79">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41E62C52">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黄江梅塘南部污水处理厂一期</w:t>
            </w:r>
          </w:p>
        </w:tc>
        <w:tc>
          <w:tcPr>
            <w:tcW w:w="1086" w:type="pct"/>
            <w:tcBorders>
              <w:top w:val="nil"/>
              <w:left w:val="nil"/>
              <w:bottom w:val="single" w:color="auto" w:sz="4" w:space="0"/>
              <w:right w:val="single" w:color="auto" w:sz="4" w:space="0"/>
            </w:tcBorders>
            <w:noWrap/>
            <w:vAlign w:val="center"/>
          </w:tcPr>
          <w:p w14:paraId="2CB458ED">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1477" w:type="pct"/>
            <w:tcBorders>
              <w:top w:val="nil"/>
              <w:left w:val="nil"/>
              <w:bottom w:val="single" w:color="auto" w:sz="4" w:space="0"/>
              <w:right w:val="single" w:color="auto" w:sz="4" w:space="0"/>
            </w:tcBorders>
            <w:noWrap/>
            <w:vAlign w:val="center"/>
          </w:tcPr>
          <w:p w14:paraId="30DDF689">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新建</w:t>
            </w:r>
          </w:p>
        </w:tc>
      </w:tr>
      <w:tr w14:paraId="10B489D9">
        <w:tblPrEx>
          <w:tblCellMar>
            <w:top w:w="0" w:type="dxa"/>
            <w:left w:w="108" w:type="dxa"/>
            <w:bottom w:w="0" w:type="dxa"/>
            <w:right w:w="108" w:type="dxa"/>
          </w:tblCellMar>
        </w:tblPrEx>
        <w:trPr>
          <w:trHeight w:val="288" w:hRule="atLeast"/>
          <w:jc w:val="center"/>
        </w:trPr>
        <w:tc>
          <w:tcPr>
            <w:tcW w:w="469" w:type="pct"/>
            <w:tcBorders>
              <w:top w:val="nil"/>
              <w:left w:val="single" w:color="auto" w:sz="4" w:space="0"/>
              <w:bottom w:val="single" w:color="auto" w:sz="4" w:space="0"/>
              <w:right w:val="single" w:color="auto" w:sz="4" w:space="0"/>
            </w:tcBorders>
            <w:noWrap/>
            <w:vAlign w:val="center"/>
          </w:tcPr>
          <w:p w14:paraId="4456B208">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551D0F1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凤岗虾公潭</w:t>
            </w:r>
          </w:p>
        </w:tc>
        <w:tc>
          <w:tcPr>
            <w:tcW w:w="1086" w:type="pct"/>
            <w:tcBorders>
              <w:top w:val="nil"/>
              <w:left w:val="nil"/>
              <w:bottom w:val="single" w:color="auto" w:sz="4" w:space="0"/>
              <w:right w:val="single" w:color="auto" w:sz="4" w:space="0"/>
            </w:tcBorders>
            <w:noWrap/>
            <w:vAlign w:val="center"/>
          </w:tcPr>
          <w:p w14:paraId="2EEA1416">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1477" w:type="pct"/>
            <w:tcBorders>
              <w:top w:val="nil"/>
              <w:left w:val="nil"/>
              <w:bottom w:val="single" w:color="auto" w:sz="4" w:space="0"/>
              <w:right w:val="single" w:color="auto" w:sz="4" w:space="0"/>
            </w:tcBorders>
            <w:noWrap/>
            <w:vAlign w:val="center"/>
          </w:tcPr>
          <w:p w14:paraId="69037918">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2016/8/1</w:t>
            </w:r>
          </w:p>
        </w:tc>
      </w:tr>
      <w:tr w14:paraId="77B3EE59">
        <w:tblPrEx>
          <w:tblCellMar>
            <w:top w:w="0" w:type="dxa"/>
            <w:left w:w="108" w:type="dxa"/>
            <w:bottom w:w="0" w:type="dxa"/>
            <w:right w:w="108" w:type="dxa"/>
          </w:tblCellMar>
        </w:tblPrEx>
        <w:trPr>
          <w:trHeight w:val="288" w:hRule="atLeast"/>
          <w:jc w:val="center"/>
        </w:trPr>
        <w:tc>
          <w:tcPr>
            <w:tcW w:w="469" w:type="pct"/>
            <w:tcBorders>
              <w:top w:val="nil"/>
              <w:left w:val="single" w:color="auto" w:sz="4" w:space="0"/>
              <w:bottom w:val="single" w:color="auto" w:sz="4" w:space="0"/>
              <w:right w:val="single" w:color="auto" w:sz="4" w:space="0"/>
            </w:tcBorders>
            <w:noWrap/>
            <w:vAlign w:val="center"/>
          </w:tcPr>
          <w:p w14:paraId="368BFC59">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47CB0329">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桥头二期</w:t>
            </w:r>
          </w:p>
        </w:tc>
        <w:tc>
          <w:tcPr>
            <w:tcW w:w="1086" w:type="pct"/>
            <w:tcBorders>
              <w:top w:val="nil"/>
              <w:left w:val="nil"/>
              <w:bottom w:val="single" w:color="auto" w:sz="4" w:space="0"/>
              <w:right w:val="single" w:color="auto" w:sz="4" w:space="0"/>
            </w:tcBorders>
            <w:vAlign w:val="center"/>
          </w:tcPr>
          <w:p w14:paraId="7FB5056E">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1477" w:type="pct"/>
            <w:tcBorders>
              <w:top w:val="nil"/>
              <w:left w:val="nil"/>
              <w:bottom w:val="single" w:color="auto" w:sz="4" w:space="0"/>
              <w:right w:val="single" w:color="auto" w:sz="4" w:space="0"/>
            </w:tcBorders>
            <w:noWrap/>
            <w:vAlign w:val="center"/>
          </w:tcPr>
          <w:p w14:paraId="1AB9C8EB">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2016/12/29</w:t>
            </w:r>
          </w:p>
        </w:tc>
      </w:tr>
      <w:tr w14:paraId="48F33C4E">
        <w:tblPrEx>
          <w:tblCellMar>
            <w:top w:w="0" w:type="dxa"/>
            <w:left w:w="108" w:type="dxa"/>
            <w:bottom w:w="0" w:type="dxa"/>
            <w:right w:w="108" w:type="dxa"/>
          </w:tblCellMar>
        </w:tblPrEx>
        <w:trPr>
          <w:trHeight w:val="288" w:hRule="atLeast"/>
          <w:jc w:val="center"/>
        </w:trPr>
        <w:tc>
          <w:tcPr>
            <w:tcW w:w="469" w:type="pct"/>
            <w:tcBorders>
              <w:top w:val="nil"/>
              <w:left w:val="single" w:color="auto" w:sz="4" w:space="0"/>
              <w:bottom w:val="single" w:color="auto" w:sz="4" w:space="0"/>
              <w:right w:val="single" w:color="auto" w:sz="4" w:space="0"/>
            </w:tcBorders>
            <w:noWrap/>
            <w:vAlign w:val="center"/>
          </w:tcPr>
          <w:p w14:paraId="0E085F59">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172FBDC0">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谢岗二期</w:t>
            </w:r>
          </w:p>
        </w:tc>
        <w:tc>
          <w:tcPr>
            <w:tcW w:w="1086" w:type="pct"/>
            <w:tcBorders>
              <w:top w:val="nil"/>
              <w:left w:val="nil"/>
              <w:bottom w:val="single" w:color="auto" w:sz="4" w:space="0"/>
              <w:right w:val="single" w:color="auto" w:sz="4" w:space="0"/>
            </w:tcBorders>
            <w:vAlign w:val="center"/>
          </w:tcPr>
          <w:p w14:paraId="3A05C672">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1477" w:type="pct"/>
            <w:tcBorders>
              <w:top w:val="nil"/>
              <w:left w:val="nil"/>
              <w:bottom w:val="single" w:color="auto" w:sz="4" w:space="0"/>
              <w:right w:val="single" w:color="auto" w:sz="4" w:space="0"/>
            </w:tcBorders>
            <w:noWrap/>
            <w:vAlign w:val="center"/>
          </w:tcPr>
          <w:p w14:paraId="7BC3B63D">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2016/12/29</w:t>
            </w:r>
          </w:p>
        </w:tc>
      </w:tr>
      <w:tr w14:paraId="444B1B93">
        <w:tblPrEx>
          <w:tblCellMar>
            <w:top w:w="0" w:type="dxa"/>
            <w:left w:w="108" w:type="dxa"/>
            <w:bottom w:w="0" w:type="dxa"/>
            <w:right w:w="108" w:type="dxa"/>
          </w:tblCellMar>
        </w:tblPrEx>
        <w:trPr>
          <w:trHeight w:val="288" w:hRule="atLeast"/>
          <w:jc w:val="center"/>
        </w:trPr>
        <w:tc>
          <w:tcPr>
            <w:tcW w:w="469" w:type="pct"/>
            <w:tcBorders>
              <w:top w:val="nil"/>
              <w:left w:val="single" w:color="auto" w:sz="4" w:space="0"/>
              <w:bottom w:val="single" w:color="auto" w:sz="4" w:space="0"/>
              <w:right w:val="single" w:color="auto" w:sz="4" w:space="0"/>
            </w:tcBorders>
            <w:noWrap/>
            <w:vAlign w:val="center"/>
          </w:tcPr>
          <w:p w14:paraId="03D725F3">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4925E179">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凤岗竹塘二期</w:t>
            </w:r>
          </w:p>
        </w:tc>
        <w:tc>
          <w:tcPr>
            <w:tcW w:w="1086" w:type="pct"/>
            <w:tcBorders>
              <w:top w:val="nil"/>
              <w:left w:val="nil"/>
              <w:bottom w:val="single" w:color="auto" w:sz="4" w:space="0"/>
              <w:right w:val="single" w:color="auto" w:sz="4" w:space="0"/>
            </w:tcBorders>
            <w:vAlign w:val="center"/>
          </w:tcPr>
          <w:p w14:paraId="317547A3">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1477" w:type="pct"/>
            <w:tcBorders>
              <w:top w:val="nil"/>
              <w:left w:val="nil"/>
              <w:bottom w:val="single" w:color="auto" w:sz="4" w:space="0"/>
              <w:right w:val="single" w:color="auto" w:sz="4" w:space="0"/>
            </w:tcBorders>
            <w:noWrap/>
            <w:vAlign w:val="center"/>
          </w:tcPr>
          <w:p w14:paraId="11B39F07">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2017/9/22</w:t>
            </w:r>
          </w:p>
        </w:tc>
      </w:tr>
      <w:tr w14:paraId="3573BEFF">
        <w:tblPrEx>
          <w:tblCellMar>
            <w:top w:w="0" w:type="dxa"/>
            <w:left w:w="108" w:type="dxa"/>
            <w:bottom w:w="0" w:type="dxa"/>
            <w:right w:w="108" w:type="dxa"/>
          </w:tblCellMar>
        </w:tblPrEx>
        <w:trPr>
          <w:trHeight w:val="288" w:hRule="atLeast"/>
          <w:jc w:val="center"/>
        </w:trPr>
        <w:tc>
          <w:tcPr>
            <w:tcW w:w="469" w:type="pct"/>
            <w:tcBorders>
              <w:top w:val="nil"/>
              <w:left w:val="single" w:color="auto" w:sz="4" w:space="0"/>
              <w:bottom w:val="single" w:color="auto" w:sz="4" w:space="0"/>
              <w:right w:val="single" w:color="auto" w:sz="4" w:space="0"/>
            </w:tcBorders>
            <w:noWrap/>
            <w:vAlign w:val="center"/>
          </w:tcPr>
          <w:p w14:paraId="3575D0C0">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65A2C81A">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塘厦林村二期</w:t>
            </w:r>
          </w:p>
        </w:tc>
        <w:tc>
          <w:tcPr>
            <w:tcW w:w="1086" w:type="pct"/>
            <w:tcBorders>
              <w:top w:val="nil"/>
              <w:left w:val="nil"/>
              <w:bottom w:val="single" w:color="auto" w:sz="4" w:space="0"/>
              <w:right w:val="single" w:color="auto" w:sz="4" w:space="0"/>
            </w:tcBorders>
            <w:vAlign w:val="center"/>
          </w:tcPr>
          <w:p w14:paraId="687A1814">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1477" w:type="pct"/>
            <w:tcBorders>
              <w:top w:val="nil"/>
              <w:left w:val="nil"/>
              <w:bottom w:val="single" w:color="auto" w:sz="4" w:space="0"/>
              <w:right w:val="single" w:color="auto" w:sz="4" w:space="0"/>
            </w:tcBorders>
            <w:noWrap/>
            <w:vAlign w:val="center"/>
          </w:tcPr>
          <w:p w14:paraId="33701E2E">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2017/11/3</w:t>
            </w:r>
          </w:p>
        </w:tc>
      </w:tr>
      <w:tr w14:paraId="2DB72176">
        <w:tblPrEx>
          <w:tblCellMar>
            <w:top w:w="0" w:type="dxa"/>
            <w:left w:w="108" w:type="dxa"/>
            <w:bottom w:w="0" w:type="dxa"/>
            <w:right w:w="108" w:type="dxa"/>
          </w:tblCellMar>
        </w:tblPrEx>
        <w:trPr>
          <w:trHeight w:val="288" w:hRule="atLeast"/>
          <w:jc w:val="center"/>
        </w:trPr>
        <w:tc>
          <w:tcPr>
            <w:tcW w:w="469" w:type="pct"/>
            <w:tcBorders>
              <w:top w:val="nil"/>
              <w:left w:val="single" w:color="auto" w:sz="4" w:space="0"/>
              <w:bottom w:val="single" w:color="auto" w:sz="4" w:space="0"/>
              <w:right w:val="single" w:color="auto" w:sz="4" w:space="0"/>
            </w:tcBorders>
            <w:noWrap/>
            <w:vAlign w:val="center"/>
          </w:tcPr>
          <w:p w14:paraId="22992931">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37DD627E">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樟木头三期</w:t>
            </w:r>
          </w:p>
        </w:tc>
        <w:tc>
          <w:tcPr>
            <w:tcW w:w="1086" w:type="pct"/>
            <w:tcBorders>
              <w:top w:val="nil"/>
              <w:left w:val="nil"/>
              <w:bottom w:val="single" w:color="auto" w:sz="4" w:space="0"/>
              <w:right w:val="single" w:color="auto" w:sz="4" w:space="0"/>
            </w:tcBorders>
            <w:noWrap/>
            <w:vAlign w:val="center"/>
          </w:tcPr>
          <w:p w14:paraId="37A1394E">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1477" w:type="pct"/>
            <w:tcBorders>
              <w:top w:val="nil"/>
              <w:left w:val="nil"/>
              <w:bottom w:val="single" w:color="auto" w:sz="4" w:space="0"/>
              <w:right w:val="single" w:color="auto" w:sz="4" w:space="0"/>
            </w:tcBorders>
            <w:noWrap/>
            <w:vAlign w:val="center"/>
          </w:tcPr>
          <w:p w14:paraId="5F4A88A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2020/4/27</w:t>
            </w:r>
          </w:p>
        </w:tc>
      </w:tr>
      <w:tr w14:paraId="68350AAD">
        <w:tblPrEx>
          <w:tblCellMar>
            <w:top w:w="0" w:type="dxa"/>
            <w:left w:w="108" w:type="dxa"/>
            <w:bottom w:w="0" w:type="dxa"/>
            <w:right w:w="108" w:type="dxa"/>
          </w:tblCellMar>
        </w:tblPrEx>
        <w:trPr>
          <w:trHeight w:val="170" w:hRule="atLeast"/>
          <w:jc w:val="center"/>
        </w:trPr>
        <w:tc>
          <w:tcPr>
            <w:tcW w:w="469" w:type="pct"/>
            <w:tcBorders>
              <w:top w:val="nil"/>
              <w:left w:val="single" w:color="auto" w:sz="4" w:space="0"/>
              <w:bottom w:val="single" w:color="auto" w:sz="4" w:space="0"/>
              <w:right w:val="single" w:color="auto" w:sz="4" w:space="0"/>
            </w:tcBorders>
            <w:noWrap/>
            <w:vAlign w:val="center"/>
          </w:tcPr>
          <w:p w14:paraId="7563FFD0">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49E9C22A">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樟木头裕丰</w:t>
            </w:r>
          </w:p>
        </w:tc>
        <w:tc>
          <w:tcPr>
            <w:tcW w:w="1086" w:type="pct"/>
            <w:tcBorders>
              <w:top w:val="nil"/>
              <w:left w:val="nil"/>
              <w:bottom w:val="single" w:color="auto" w:sz="4" w:space="0"/>
              <w:right w:val="single" w:color="auto" w:sz="4" w:space="0"/>
            </w:tcBorders>
            <w:noWrap/>
            <w:vAlign w:val="center"/>
          </w:tcPr>
          <w:p w14:paraId="2387D5A9">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1477" w:type="pct"/>
            <w:tcBorders>
              <w:top w:val="nil"/>
              <w:left w:val="nil"/>
              <w:bottom w:val="single" w:color="auto" w:sz="4" w:space="0"/>
              <w:right w:val="single" w:color="auto" w:sz="4" w:space="0"/>
            </w:tcBorders>
            <w:noWrap/>
            <w:vAlign w:val="center"/>
          </w:tcPr>
          <w:p w14:paraId="73D2FF55">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2021/10/1</w:t>
            </w:r>
          </w:p>
        </w:tc>
      </w:tr>
      <w:tr w14:paraId="4E0EECCD">
        <w:tblPrEx>
          <w:tblCellMar>
            <w:top w:w="0" w:type="dxa"/>
            <w:left w:w="108" w:type="dxa"/>
            <w:bottom w:w="0" w:type="dxa"/>
            <w:right w:w="108" w:type="dxa"/>
          </w:tblCellMar>
        </w:tblPrEx>
        <w:trPr>
          <w:trHeight w:val="576" w:hRule="atLeast"/>
          <w:jc w:val="center"/>
        </w:trPr>
        <w:tc>
          <w:tcPr>
            <w:tcW w:w="469" w:type="pct"/>
            <w:tcBorders>
              <w:top w:val="nil"/>
              <w:left w:val="single" w:color="auto" w:sz="4" w:space="0"/>
              <w:bottom w:val="single" w:color="auto" w:sz="4" w:space="0"/>
              <w:right w:val="single" w:color="auto" w:sz="4" w:space="0"/>
            </w:tcBorders>
            <w:noWrap/>
            <w:vAlign w:val="center"/>
          </w:tcPr>
          <w:p w14:paraId="25848486">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34D8E411">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塘厦白泥湖污水处理厂</w:t>
            </w:r>
          </w:p>
        </w:tc>
        <w:tc>
          <w:tcPr>
            <w:tcW w:w="1086" w:type="pct"/>
            <w:tcBorders>
              <w:top w:val="nil"/>
              <w:left w:val="nil"/>
              <w:bottom w:val="single" w:color="auto" w:sz="4" w:space="0"/>
              <w:right w:val="single" w:color="auto" w:sz="4" w:space="0"/>
            </w:tcBorders>
            <w:noWrap/>
            <w:vAlign w:val="center"/>
          </w:tcPr>
          <w:p w14:paraId="20554A22">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1477" w:type="pct"/>
            <w:tcBorders>
              <w:top w:val="nil"/>
              <w:left w:val="nil"/>
              <w:bottom w:val="single" w:color="auto" w:sz="4" w:space="0"/>
              <w:right w:val="single" w:color="auto" w:sz="4" w:space="0"/>
            </w:tcBorders>
            <w:noWrap/>
            <w:vAlign w:val="center"/>
          </w:tcPr>
          <w:p w14:paraId="04C21F72">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新建</w:t>
            </w:r>
          </w:p>
        </w:tc>
      </w:tr>
      <w:tr w14:paraId="4A81A807">
        <w:tblPrEx>
          <w:tblCellMar>
            <w:top w:w="0" w:type="dxa"/>
            <w:left w:w="108" w:type="dxa"/>
            <w:bottom w:w="0" w:type="dxa"/>
            <w:right w:w="108" w:type="dxa"/>
          </w:tblCellMar>
        </w:tblPrEx>
        <w:trPr>
          <w:trHeight w:val="576" w:hRule="atLeast"/>
          <w:jc w:val="center"/>
        </w:trPr>
        <w:tc>
          <w:tcPr>
            <w:tcW w:w="469" w:type="pct"/>
            <w:tcBorders>
              <w:top w:val="nil"/>
              <w:left w:val="single" w:color="auto" w:sz="4" w:space="0"/>
              <w:bottom w:val="single" w:color="auto" w:sz="4" w:space="0"/>
              <w:right w:val="single" w:color="auto" w:sz="4" w:space="0"/>
            </w:tcBorders>
            <w:noWrap/>
            <w:vAlign w:val="center"/>
          </w:tcPr>
          <w:p w14:paraId="14169AEB">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0E46FECB">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凤岗竹塘污水处理厂三期</w:t>
            </w:r>
          </w:p>
        </w:tc>
        <w:tc>
          <w:tcPr>
            <w:tcW w:w="1086" w:type="pct"/>
            <w:tcBorders>
              <w:top w:val="nil"/>
              <w:left w:val="nil"/>
              <w:bottom w:val="single" w:color="auto" w:sz="4" w:space="0"/>
              <w:right w:val="single" w:color="auto" w:sz="4" w:space="0"/>
            </w:tcBorders>
            <w:noWrap/>
            <w:vAlign w:val="center"/>
          </w:tcPr>
          <w:p w14:paraId="56867051">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kern w:val="0"/>
                <w:szCs w:val="21"/>
                <w:highlight w:val="none"/>
              </w:rPr>
              <w:t>设备5</w:t>
            </w:r>
          </w:p>
          <w:p w14:paraId="1D1E96F5">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土建7</w:t>
            </w:r>
          </w:p>
        </w:tc>
        <w:tc>
          <w:tcPr>
            <w:tcW w:w="1477" w:type="pct"/>
            <w:tcBorders>
              <w:top w:val="nil"/>
              <w:left w:val="nil"/>
              <w:bottom w:val="single" w:color="auto" w:sz="4" w:space="0"/>
              <w:right w:val="single" w:color="auto" w:sz="4" w:space="0"/>
            </w:tcBorders>
            <w:noWrap/>
            <w:vAlign w:val="center"/>
          </w:tcPr>
          <w:p w14:paraId="519EB96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新建</w:t>
            </w:r>
          </w:p>
        </w:tc>
      </w:tr>
      <w:tr w14:paraId="2063A301">
        <w:tblPrEx>
          <w:tblCellMar>
            <w:top w:w="0" w:type="dxa"/>
            <w:left w:w="108" w:type="dxa"/>
            <w:bottom w:w="0" w:type="dxa"/>
            <w:right w:w="108" w:type="dxa"/>
          </w:tblCellMar>
        </w:tblPrEx>
        <w:trPr>
          <w:trHeight w:val="576" w:hRule="atLeast"/>
          <w:jc w:val="center"/>
        </w:trPr>
        <w:tc>
          <w:tcPr>
            <w:tcW w:w="469" w:type="pct"/>
            <w:tcBorders>
              <w:top w:val="nil"/>
              <w:left w:val="single" w:color="auto" w:sz="4" w:space="0"/>
              <w:bottom w:val="single" w:color="auto" w:sz="4" w:space="0"/>
              <w:right w:val="single" w:color="auto" w:sz="4" w:space="0"/>
            </w:tcBorders>
            <w:noWrap/>
            <w:vAlign w:val="center"/>
          </w:tcPr>
          <w:p w14:paraId="126D8B92">
            <w:pPr>
              <w:keepNext w:val="0"/>
              <w:keepLines w:val="0"/>
              <w:widowControl/>
              <w:numPr>
                <w:ilvl w:val="0"/>
                <w:numId w:val="6"/>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66" w:type="pct"/>
            <w:tcBorders>
              <w:top w:val="nil"/>
              <w:left w:val="nil"/>
              <w:bottom w:val="single" w:color="auto" w:sz="4" w:space="0"/>
              <w:right w:val="single" w:color="auto" w:sz="4" w:space="0"/>
            </w:tcBorders>
            <w:noWrap/>
            <w:vAlign w:val="center"/>
          </w:tcPr>
          <w:p w14:paraId="4DE03B72">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清溪厦坭污水处理厂二期</w:t>
            </w:r>
          </w:p>
        </w:tc>
        <w:tc>
          <w:tcPr>
            <w:tcW w:w="1086" w:type="pct"/>
            <w:tcBorders>
              <w:top w:val="nil"/>
              <w:left w:val="nil"/>
              <w:bottom w:val="single" w:color="auto" w:sz="4" w:space="0"/>
              <w:right w:val="single" w:color="auto" w:sz="4" w:space="0"/>
            </w:tcBorders>
            <w:noWrap/>
            <w:vAlign w:val="center"/>
          </w:tcPr>
          <w:p w14:paraId="3026680D">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1477" w:type="pct"/>
            <w:tcBorders>
              <w:top w:val="nil"/>
              <w:left w:val="nil"/>
              <w:bottom w:val="single" w:color="auto" w:sz="4" w:space="0"/>
              <w:right w:val="single" w:color="auto" w:sz="4" w:space="0"/>
            </w:tcBorders>
            <w:noWrap/>
            <w:vAlign w:val="center"/>
          </w:tcPr>
          <w:p w14:paraId="4E4AFDA4">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新建</w:t>
            </w:r>
          </w:p>
        </w:tc>
      </w:tr>
      <w:tr w14:paraId="0A47B99C">
        <w:tblPrEx>
          <w:tblCellMar>
            <w:top w:w="0" w:type="dxa"/>
            <w:left w:w="108" w:type="dxa"/>
            <w:bottom w:w="0" w:type="dxa"/>
            <w:right w:w="108" w:type="dxa"/>
          </w:tblCellMar>
        </w:tblPrEx>
        <w:trPr>
          <w:trHeight w:val="431" w:hRule="atLeast"/>
          <w:jc w:val="center"/>
        </w:trPr>
        <w:tc>
          <w:tcPr>
            <w:tcW w:w="469" w:type="pct"/>
            <w:tcBorders>
              <w:top w:val="single" w:color="auto" w:sz="4" w:space="0"/>
              <w:left w:val="single" w:color="auto" w:sz="4" w:space="0"/>
              <w:bottom w:val="single" w:color="auto" w:sz="4" w:space="0"/>
              <w:right w:val="single" w:color="auto" w:sz="4" w:space="0"/>
            </w:tcBorders>
            <w:noWrap/>
            <w:vAlign w:val="center"/>
          </w:tcPr>
          <w:p w14:paraId="237004C5">
            <w:pPr>
              <w:keepNext w:val="0"/>
              <w:keepLines w:val="0"/>
              <w:widowControl/>
              <w:numPr>
                <w:ilvl w:val="0"/>
                <w:numId w:val="6"/>
              </w:numPr>
              <w:suppressLineNumbers w:val="0"/>
              <w:spacing w:before="0" w:beforeAutospacing="0" w:after="0" w:afterAutospacing="0" w:line="360" w:lineRule="auto"/>
              <w:ind w:right="0"/>
              <w:jc w:val="center"/>
              <w:textAlignment w:val="center"/>
              <w:rPr>
                <w:rFonts w:hint="default" w:ascii="Times New Roman" w:hAnsi="Times New Roman" w:eastAsia="宋体" w:cs="Times New Roman"/>
                <w:color w:val="auto"/>
                <w:szCs w:val="21"/>
                <w:highlight w:val="none"/>
              </w:rPr>
            </w:pPr>
          </w:p>
        </w:tc>
        <w:tc>
          <w:tcPr>
            <w:tcW w:w="1966" w:type="pct"/>
            <w:tcBorders>
              <w:top w:val="single" w:color="auto" w:sz="4" w:space="0"/>
              <w:left w:val="nil"/>
              <w:bottom w:val="single" w:color="auto" w:sz="4" w:space="0"/>
              <w:right w:val="single" w:color="auto" w:sz="4" w:space="0"/>
            </w:tcBorders>
            <w:noWrap/>
            <w:vAlign w:val="center"/>
          </w:tcPr>
          <w:p w14:paraId="0D3A8320">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虎门港立沙岛</w:t>
            </w:r>
          </w:p>
        </w:tc>
        <w:tc>
          <w:tcPr>
            <w:tcW w:w="1086" w:type="pct"/>
            <w:tcBorders>
              <w:top w:val="single" w:color="auto" w:sz="4" w:space="0"/>
              <w:left w:val="nil"/>
              <w:bottom w:val="single" w:color="auto" w:sz="4" w:space="0"/>
              <w:right w:val="single" w:color="auto" w:sz="4" w:space="0"/>
            </w:tcBorders>
            <w:noWrap/>
            <w:vAlign w:val="center"/>
          </w:tcPr>
          <w:p w14:paraId="22FA4E5B">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0.25</w:t>
            </w:r>
          </w:p>
        </w:tc>
        <w:tc>
          <w:tcPr>
            <w:tcW w:w="1477" w:type="pct"/>
            <w:tcBorders>
              <w:top w:val="single" w:color="auto" w:sz="4" w:space="0"/>
              <w:left w:val="nil"/>
              <w:bottom w:val="single" w:color="auto" w:sz="4" w:space="0"/>
              <w:right w:val="single" w:color="auto" w:sz="4" w:space="0"/>
            </w:tcBorders>
            <w:noWrap/>
            <w:vAlign w:val="center"/>
          </w:tcPr>
          <w:p w14:paraId="7A522917">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2018/5/13</w:t>
            </w:r>
          </w:p>
        </w:tc>
      </w:tr>
      <w:tr w14:paraId="795B1FB2">
        <w:tblPrEx>
          <w:tblCellMar>
            <w:top w:w="0" w:type="dxa"/>
            <w:left w:w="108" w:type="dxa"/>
            <w:bottom w:w="0" w:type="dxa"/>
            <w:right w:w="108" w:type="dxa"/>
          </w:tblCellMar>
        </w:tblPrEx>
        <w:trPr>
          <w:trHeight w:val="251" w:hRule="atLeast"/>
          <w:jc w:val="center"/>
        </w:trPr>
        <w:tc>
          <w:tcPr>
            <w:tcW w:w="469" w:type="pct"/>
            <w:tcBorders>
              <w:top w:val="single" w:color="auto" w:sz="4" w:space="0"/>
              <w:left w:val="single" w:color="auto" w:sz="4" w:space="0"/>
              <w:bottom w:val="single" w:color="auto" w:sz="4" w:space="0"/>
              <w:right w:val="single" w:color="auto" w:sz="4" w:space="0"/>
            </w:tcBorders>
            <w:noWrap/>
            <w:vAlign w:val="center"/>
          </w:tcPr>
          <w:p w14:paraId="08E53A17">
            <w:pPr>
              <w:keepNext w:val="0"/>
              <w:keepLines w:val="0"/>
              <w:widowControl/>
              <w:numPr>
                <w:ilvl w:val="0"/>
                <w:numId w:val="6"/>
              </w:numPr>
              <w:suppressLineNumbers w:val="0"/>
              <w:spacing w:before="0" w:beforeAutospacing="0" w:after="0" w:afterAutospacing="0" w:line="360" w:lineRule="auto"/>
              <w:ind w:right="0"/>
              <w:jc w:val="center"/>
              <w:textAlignment w:val="center"/>
              <w:rPr>
                <w:rFonts w:hint="default" w:ascii="Times New Roman" w:hAnsi="Times New Roman" w:eastAsia="宋体" w:cs="Times New Roman"/>
                <w:color w:val="auto"/>
                <w:szCs w:val="21"/>
                <w:highlight w:val="none"/>
              </w:rPr>
            </w:pPr>
          </w:p>
        </w:tc>
        <w:tc>
          <w:tcPr>
            <w:tcW w:w="1966" w:type="pct"/>
            <w:tcBorders>
              <w:top w:val="single" w:color="auto" w:sz="4" w:space="0"/>
              <w:left w:val="nil"/>
              <w:bottom w:val="single" w:color="auto" w:sz="4" w:space="0"/>
              <w:right w:val="single" w:color="auto" w:sz="4" w:space="0"/>
            </w:tcBorders>
            <w:noWrap/>
            <w:vAlign w:val="center"/>
          </w:tcPr>
          <w:p w14:paraId="4F6C1477">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凤岗竹塘一期</w:t>
            </w:r>
          </w:p>
        </w:tc>
        <w:tc>
          <w:tcPr>
            <w:tcW w:w="1086" w:type="pct"/>
            <w:tcBorders>
              <w:top w:val="single" w:color="auto" w:sz="4" w:space="0"/>
              <w:left w:val="nil"/>
              <w:bottom w:val="single" w:color="auto" w:sz="4" w:space="0"/>
              <w:right w:val="single" w:color="auto" w:sz="4" w:space="0"/>
            </w:tcBorders>
            <w:noWrap/>
            <w:vAlign w:val="center"/>
          </w:tcPr>
          <w:p w14:paraId="70707F5F">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1477" w:type="pct"/>
            <w:tcBorders>
              <w:top w:val="single" w:color="auto" w:sz="4" w:space="0"/>
              <w:left w:val="nil"/>
              <w:bottom w:val="single" w:color="auto" w:sz="4" w:space="0"/>
              <w:right w:val="single" w:color="auto" w:sz="4" w:space="0"/>
            </w:tcBorders>
            <w:noWrap/>
            <w:vAlign w:val="center"/>
          </w:tcPr>
          <w:p w14:paraId="5BA9873A">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p>
        </w:tc>
      </w:tr>
    </w:tbl>
    <w:p w14:paraId="6319CF7D">
      <w:pPr>
        <w:widowControl/>
        <w:numPr>
          <w:ilvl w:val="255"/>
          <w:numId w:val="0"/>
        </w:numPr>
        <w:autoSpaceDE w:val="0"/>
        <w:snapToGrid w:val="0"/>
        <w:spacing w:line="360" w:lineRule="auto"/>
        <w:jc w:val="left"/>
        <w:rPr>
          <w:rFonts w:ascii="Times New Roman" w:hAnsi="Times New Roman" w:eastAsia="宋体" w:cs="Times New Roman"/>
          <w:color w:val="auto"/>
          <w:kern w:val="0"/>
          <w:szCs w:val="21"/>
          <w:highlight w:val="none"/>
          <w:lang w:bidi="ar"/>
        </w:rPr>
      </w:pPr>
    </w:p>
    <w:p w14:paraId="0C481F46">
      <w:pPr>
        <w:widowControl/>
        <w:numPr>
          <w:ilvl w:val="255"/>
          <w:numId w:val="0"/>
        </w:numPr>
        <w:spacing w:line="360" w:lineRule="auto"/>
        <w:ind w:firstLine="612"/>
        <w:jc w:val="center"/>
        <w:rPr>
          <w:rFonts w:ascii="Times New Roman" w:hAnsi="Times New Roman" w:eastAsia="宋体" w:cs="Times New Roman"/>
          <w:color w:val="auto"/>
          <w:kern w:val="0"/>
          <w:szCs w:val="21"/>
          <w:highlight w:val="none"/>
          <w:lang w:bidi="ar"/>
        </w:rPr>
      </w:pPr>
      <w:r>
        <w:rPr>
          <w:rFonts w:ascii="Times New Roman" w:hAnsi="Times New Roman" w:eastAsia="宋体" w:cs="Times New Roman"/>
          <w:b/>
          <w:color w:val="auto"/>
          <w:szCs w:val="28"/>
          <w:highlight w:val="none"/>
        </w:rPr>
        <w:t>表</w:t>
      </w:r>
      <w:r>
        <w:rPr>
          <w:rFonts w:hint="eastAsia" w:ascii="Times New Roman" w:hAnsi="Times New Roman" w:eastAsia="宋体" w:cs="Times New Roman"/>
          <w:b/>
          <w:color w:val="auto"/>
          <w:szCs w:val="28"/>
          <w:highlight w:val="none"/>
        </w:rPr>
        <w:t>1.</w:t>
      </w:r>
      <w:r>
        <w:rPr>
          <w:rFonts w:ascii="Times New Roman" w:hAnsi="Times New Roman" w:eastAsia="宋体" w:cs="Times New Roman"/>
          <w:b/>
          <w:color w:val="auto"/>
          <w:szCs w:val="28"/>
          <w:highlight w:val="none"/>
        </w:rPr>
        <w:t>2.</w:t>
      </w:r>
      <w:r>
        <w:rPr>
          <w:rFonts w:hint="eastAsia" w:ascii="Times New Roman" w:hAnsi="Times New Roman" w:eastAsia="宋体" w:cs="Times New Roman"/>
          <w:b/>
          <w:color w:val="auto"/>
          <w:szCs w:val="28"/>
          <w:highlight w:val="none"/>
        </w:rPr>
        <w:t>1</w:t>
      </w:r>
      <w:r>
        <w:rPr>
          <w:rFonts w:ascii="Times New Roman" w:hAnsi="Times New Roman" w:eastAsia="宋体" w:cs="Times New Roman"/>
          <w:b/>
          <w:color w:val="auto"/>
          <w:szCs w:val="28"/>
          <w:highlight w:val="none"/>
        </w:rPr>
        <w:t>-2 提标</w:t>
      </w:r>
      <w:r>
        <w:rPr>
          <w:rFonts w:hint="eastAsia" w:ascii="Times New Roman" w:hAnsi="Times New Roman" w:eastAsia="宋体" w:cs="Times New Roman"/>
          <w:b/>
          <w:color w:val="auto"/>
          <w:szCs w:val="28"/>
          <w:highlight w:val="none"/>
        </w:rPr>
        <w:t>项目</w:t>
      </w:r>
      <w:r>
        <w:rPr>
          <w:rFonts w:ascii="Times New Roman" w:hAnsi="Times New Roman" w:eastAsia="宋体" w:cs="Times New Roman"/>
          <w:b/>
          <w:color w:val="auto"/>
          <w:szCs w:val="28"/>
          <w:highlight w:val="none"/>
        </w:rPr>
        <w:t>统计表</w:t>
      </w:r>
    </w:p>
    <w:tbl>
      <w:tblPr>
        <w:tblStyle w:val="44"/>
        <w:tblW w:w="4859" w:type="pct"/>
        <w:jc w:val="center"/>
        <w:tblLayout w:type="fixed"/>
        <w:tblCellMar>
          <w:top w:w="0" w:type="dxa"/>
          <w:left w:w="108" w:type="dxa"/>
          <w:bottom w:w="0" w:type="dxa"/>
          <w:right w:w="108" w:type="dxa"/>
        </w:tblCellMar>
      </w:tblPr>
      <w:tblGrid>
        <w:gridCol w:w="937"/>
        <w:gridCol w:w="3986"/>
        <w:gridCol w:w="2189"/>
        <w:gridCol w:w="2965"/>
      </w:tblGrid>
      <w:tr w14:paraId="23C91362">
        <w:tblPrEx>
          <w:tblCellMar>
            <w:top w:w="0" w:type="dxa"/>
            <w:left w:w="108" w:type="dxa"/>
            <w:bottom w:w="0" w:type="dxa"/>
            <w:right w:w="108" w:type="dxa"/>
          </w:tblCellMar>
        </w:tblPrEx>
        <w:trPr>
          <w:trHeight w:val="537" w:hRule="atLeast"/>
          <w:tblHeader/>
          <w:jc w:val="center"/>
        </w:trPr>
        <w:tc>
          <w:tcPr>
            <w:tcW w:w="465" w:type="pct"/>
            <w:tcBorders>
              <w:top w:val="single" w:color="auto" w:sz="4" w:space="0"/>
              <w:left w:val="single" w:color="auto" w:sz="4" w:space="0"/>
              <w:bottom w:val="single" w:color="auto" w:sz="4" w:space="0"/>
              <w:right w:val="single" w:color="auto" w:sz="4" w:space="0"/>
            </w:tcBorders>
            <w:noWrap/>
            <w:vAlign w:val="center"/>
          </w:tcPr>
          <w:p w14:paraId="042DE268">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序号</w:t>
            </w:r>
          </w:p>
        </w:tc>
        <w:tc>
          <w:tcPr>
            <w:tcW w:w="1977" w:type="pct"/>
            <w:tcBorders>
              <w:top w:val="single" w:color="auto" w:sz="4" w:space="0"/>
              <w:left w:val="single" w:color="auto" w:sz="4" w:space="0"/>
              <w:bottom w:val="single" w:color="000000" w:sz="4" w:space="0"/>
              <w:right w:val="single" w:color="auto" w:sz="4" w:space="0"/>
            </w:tcBorders>
            <w:noWrap/>
            <w:vAlign w:val="center"/>
          </w:tcPr>
          <w:p w14:paraId="75994E6D">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项目名称</w:t>
            </w:r>
          </w:p>
        </w:tc>
        <w:tc>
          <w:tcPr>
            <w:tcW w:w="1086" w:type="pct"/>
            <w:tcBorders>
              <w:top w:val="single" w:color="auto" w:sz="4" w:space="0"/>
              <w:left w:val="single" w:color="auto" w:sz="4" w:space="0"/>
              <w:bottom w:val="single" w:color="auto" w:sz="4" w:space="0"/>
              <w:right w:val="single" w:color="auto" w:sz="4" w:space="0"/>
            </w:tcBorders>
            <w:noWrap/>
            <w:vAlign w:val="center"/>
          </w:tcPr>
          <w:p w14:paraId="4FC4A5D2">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设计规模</w:t>
            </w:r>
          </w:p>
          <w:p w14:paraId="1921B3A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（万m</w:t>
            </w:r>
            <w:r>
              <w:rPr>
                <w:rFonts w:hint="default" w:ascii="Times New Roman" w:hAnsi="Times New Roman" w:eastAsia="宋体" w:cs="Times New Roman"/>
                <w:b/>
                <w:color w:val="auto"/>
                <w:kern w:val="0"/>
                <w:szCs w:val="21"/>
                <w:highlight w:val="none"/>
                <w:vertAlign w:val="superscript"/>
              </w:rPr>
              <w:t>3</w:t>
            </w:r>
            <w:r>
              <w:rPr>
                <w:rFonts w:hint="default" w:ascii="Times New Roman" w:hAnsi="Times New Roman" w:eastAsia="宋体" w:cs="Times New Roman"/>
                <w:b/>
                <w:color w:val="auto"/>
                <w:kern w:val="0"/>
                <w:szCs w:val="21"/>
                <w:highlight w:val="none"/>
              </w:rPr>
              <w:t>/d）</w:t>
            </w:r>
          </w:p>
        </w:tc>
        <w:tc>
          <w:tcPr>
            <w:tcW w:w="1470" w:type="pct"/>
            <w:tcBorders>
              <w:top w:val="single" w:color="auto" w:sz="4" w:space="0"/>
              <w:left w:val="single" w:color="auto" w:sz="4" w:space="0"/>
              <w:bottom w:val="single" w:color="000000" w:sz="4" w:space="0"/>
              <w:right w:val="single" w:color="auto" w:sz="4" w:space="0"/>
            </w:tcBorders>
            <w:noWrap/>
            <w:vAlign w:val="center"/>
          </w:tcPr>
          <w:p w14:paraId="075E6D4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投产时间</w:t>
            </w:r>
          </w:p>
        </w:tc>
      </w:tr>
      <w:tr w14:paraId="0ED3CD8F">
        <w:tblPrEx>
          <w:tblCellMar>
            <w:top w:w="0" w:type="dxa"/>
            <w:left w:w="108" w:type="dxa"/>
            <w:bottom w:w="0" w:type="dxa"/>
            <w:right w:w="108" w:type="dxa"/>
          </w:tblCellMar>
        </w:tblPrEx>
        <w:trPr>
          <w:trHeight w:val="288" w:hRule="atLeast"/>
          <w:jc w:val="center"/>
        </w:trPr>
        <w:tc>
          <w:tcPr>
            <w:tcW w:w="465" w:type="pct"/>
            <w:tcBorders>
              <w:top w:val="single" w:color="auto" w:sz="4" w:space="0"/>
              <w:left w:val="single" w:color="auto" w:sz="4" w:space="0"/>
              <w:bottom w:val="single" w:color="auto" w:sz="4" w:space="0"/>
              <w:right w:val="single" w:color="auto" w:sz="4" w:space="0"/>
            </w:tcBorders>
            <w:noWrap/>
            <w:vAlign w:val="center"/>
          </w:tcPr>
          <w:p w14:paraId="17082BBB">
            <w:pPr>
              <w:keepNext w:val="0"/>
              <w:keepLines w:val="0"/>
              <w:widowControl/>
              <w:numPr>
                <w:ilvl w:val="0"/>
                <w:numId w:val="7"/>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77" w:type="pct"/>
            <w:tcBorders>
              <w:top w:val="nil"/>
              <w:left w:val="nil"/>
              <w:bottom w:val="single" w:color="auto" w:sz="4" w:space="0"/>
              <w:right w:val="single" w:color="auto" w:sz="4" w:space="0"/>
            </w:tcBorders>
            <w:noWrap/>
            <w:vAlign w:val="center"/>
          </w:tcPr>
          <w:p w14:paraId="721A4D61">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石碣一期提标</w:t>
            </w:r>
          </w:p>
        </w:tc>
        <w:tc>
          <w:tcPr>
            <w:tcW w:w="1086" w:type="pct"/>
            <w:tcBorders>
              <w:top w:val="nil"/>
              <w:left w:val="nil"/>
              <w:bottom w:val="single" w:color="auto" w:sz="4" w:space="0"/>
              <w:right w:val="single" w:color="auto" w:sz="4" w:space="0"/>
            </w:tcBorders>
            <w:noWrap/>
            <w:vAlign w:val="center"/>
          </w:tcPr>
          <w:p w14:paraId="6A1777AE">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w:t>
            </w:r>
          </w:p>
        </w:tc>
        <w:tc>
          <w:tcPr>
            <w:tcW w:w="1470" w:type="pct"/>
            <w:tcBorders>
              <w:top w:val="nil"/>
              <w:left w:val="nil"/>
              <w:bottom w:val="single" w:color="auto" w:sz="4" w:space="0"/>
              <w:right w:val="single" w:color="auto" w:sz="4" w:space="0"/>
            </w:tcBorders>
            <w:noWrap/>
            <w:vAlign w:val="center"/>
          </w:tcPr>
          <w:p w14:paraId="119B0538">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2020/3/5</w:t>
            </w:r>
          </w:p>
        </w:tc>
      </w:tr>
      <w:tr w14:paraId="67B63C7F">
        <w:tblPrEx>
          <w:tblCellMar>
            <w:top w:w="0" w:type="dxa"/>
            <w:left w:w="108" w:type="dxa"/>
            <w:bottom w:w="0" w:type="dxa"/>
            <w:right w:w="108" w:type="dxa"/>
          </w:tblCellMar>
        </w:tblPrEx>
        <w:trPr>
          <w:trHeight w:val="288" w:hRule="atLeast"/>
          <w:jc w:val="center"/>
        </w:trPr>
        <w:tc>
          <w:tcPr>
            <w:tcW w:w="465" w:type="pct"/>
            <w:tcBorders>
              <w:top w:val="single" w:color="auto" w:sz="4" w:space="0"/>
              <w:left w:val="single" w:color="auto" w:sz="4" w:space="0"/>
              <w:bottom w:val="single" w:color="auto" w:sz="4" w:space="0"/>
              <w:right w:val="single" w:color="auto" w:sz="4" w:space="0"/>
            </w:tcBorders>
            <w:noWrap/>
            <w:vAlign w:val="center"/>
          </w:tcPr>
          <w:p w14:paraId="4DCBF51A">
            <w:pPr>
              <w:keepNext w:val="0"/>
              <w:keepLines w:val="0"/>
              <w:widowControl/>
              <w:numPr>
                <w:ilvl w:val="0"/>
                <w:numId w:val="7"/>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77" w:type="pct"/>
            <w:tcBorders>
              <w:top w:val="nil"/>
              <w:left w:val="nil"/>
              <w:bottom w:val="single" w:color="auto" w:sz="4" w:space="0"/>
              <w:right w:val="single" w:color="auto" w:sz="4" w:space="0"/>
            </w:tcBorders>
            <w:noWrap/>
            <w:vAlign w:val="center"/>
          </w:tcPr>
          <w:p w14:paraId="4100EED3">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石碣二期提标</w:t>
            </w:r>
          </w:p>
        </w:tc>
        <w:tc>
          <w:tcPr>
            <w:tcW w:w="1086" w:type="pct"/>
            <w:tcBorders>
              <w:top w:val="nil"/>
              <w:left w:val="nil"/>
              <w:bottom w:val="single" w:color="auto" w:sz="4" w:space="0"/>
              <w:right w:val="single" w:color="auto" w:sz="4" w:space="0"/>
            </w:tcBorders>
            <w:noWrap/>
            <w:vAlign w:val="center"/>
          </w:tcPr>
          <w:p w14:paraId="682A241D">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p>
        </w:tc>
        <w:tc>
          <w:tcPr>
            <w:tcW w:w="1470" w:type="pct"/>
            <w:tcBorders>
              <w:top w:val="nil"/>
              <w:left w:val="nil"/>
              <w:bottom w:val="single" w:color="auto" w:sz="4" w:space="0"/>
              <w:right w:val="single" w:color="auto" w:sz="4" w:space="0"/>
            </w:tcBorders>
            <w:noWrap/>
            <w:vAlign w:val="center"/>
          </w:tcPr>
          <w:p w14:paraId="05D8D2B3">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2019/12/4</w:t>
            </w:r>
          </w:p>
        </w:tc>
      </w:tr>
      <w:tr w14:paraId="47029994">
        <w:tblPrEx>
          <w:tblCellMar>
            <w:top w:w="0" w:type="dxa"/>
            <w:left w:w="108" w:type="dxa"/>
            <w:bottom w:w="0" w:type="dxa"/>
            <w:right w:w="108" w:type="dxa"/>
          </w:tblCellMar>
        </w:tblPrEx>
        <w:trPr>
          <w:trHeight w:val="288" w:hRule="atLeast"/>
          <w:jc w:val="center"/>
        </w:trPr>
        <w:tc>
          <w:tcPr>
            <w:tcW w:w="465" w:type="pct"/>
            <w:tcBorders>
              <w:top w:val="nil"/>
              <w:left w:val="single" w:color="auto" w:sz="4" w:space="0"/>
              <w:bottom w:val="single" w:color="auto" w:sz="4" w:space="0"/>
              <w:right w:val="single" w:color="auto" w:sz="4" w:space="0"/>
            </w:tcBorders>
            <w:noWrap/>
            <w:vAlign w:val="center"/>
          </w:tcPr>
          <w:p w14:paraId="4DBE885B">
            <w:pPr>
              <w:keepNext w:val="0"/>
              <w:keepLines w:val="0"/>
              <w:widowControl/>
              <w:numPr>
                <w:ilvl w:val="0"/>
                <w:numId w:val="7"/>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77" w:type="pct"/>
            <w:tcBorders>
              <w:top w:val="nil"/>
              <w:left w:val="nil"/>
              <w:bottom w:val="single" w:color="auto" w:sz="4" w:space="0"/>
              <w:right w:val="single" w:color="auto" w:sz="4" w:space="0"/>
            </w:tcBorders>
            <w:noWrap/>
            <w:vAlign w:val="center"/>
          </w:tcPr>
          <w:p w14:paraId="4D9D385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望洪提标</w:t>
            </w:r>
          </w:p>
        </w:tc>
        <w:tc>
          <w:tcPr>
            <w:tcW w:w="1086" w:type="pct"/>
            <w:tcBorders>
              <w:top w:val="nil"/>
              <w:left w:val="nil"/>
              <w:bottom w:val="single" w:color="auto" w:sz="4" w:space="0"/>
              <w:right w:val="single" w:color="auto" w:sz="4" w:space="0"/>
            </w:tcBorders>
            <w:noWrap/>
            <w:vAlign w:val="center"/>
          </w:tcPr>
          <w:p w14:paraId="56127891">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1470" w:type="pct"/>
            <w:tcBorders>
              <w:top w:val="nil"/>
              <w:left w:val="nil"/>
              <w:bottom w:val="single" w:color="auto" w:sz="4" w:space="0"/>
              <w:right w:val="single" w:color="auto" w:sz="4" w:space="0"/>
            </w:tcBorders>
            <w:noWrap/>
            <w:vAlign w:val="center"/>
          </w:tcPr>
          <w:p w14:paraId="33017BA7">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2020/2/26</w:t>
            </w:r>
          </w:p>
        </w:tc>
      </w:tr>
      <w:tr w14:paraId="7C73A558">
        <w:tblPrEx>
          <w:tblCellMar>
            <w:top w:w="0" w:type="dxa"/>
            <w:left w:w="108" w:type="dxa"/>
            <w:bottom w:w="0" w:type="dxa"/>
            <w:right w:w="108" w:type="dxa"/>
          </w:tblCellMar>
        </w:tblPrEx>
        <w:trPr>
          <w:trHeight w:val="288" w:hRule="atLeast"/>
          <w:jc w:val="center"/>
        </w:trPr>
        <w:tc>
          <w:tcPr>
            <w:tcW w:w="465" w:type="pct"/>
            <w:tcBorders>
              <w:top w:val="nil"/>
              <w:left w:val="single" w:color="auto" w:sz="4" w:space="0"/>
              <w:bottom w:val="single" w:color="auto" w:sz="4" w:space="0"/>
              <w:right w:val="single" w:color="auto" w:sz="4" w:space="0"/>
            </w:tcBorders>
            <w:noWrap/>
            <w:vAlign w:val="center"/>
          </w:tcPr>
          <w:p w14:paraId="6B13746A">
            <w:pPr>
              <w:keepNext w:val="0"/>
              <w:keepLines w:val="0"/>
              <w:widowControl/>
              <w:numPr>
                <w:ilvl w:val="0"/>
                <w:numId w:val="7"/>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77" w:type="pct"/>
            <w:tcBorders>
              <w:top w:val="nil"/>
              <w:left w:val="nil"/>
              <w:bottom w:val="single" w:color="auto" w:sz="4" w:space="0"/>
              <w:right w:val="single" w:color="auto" w:sz="4" w:space="0"/>
            </w:tcBorders>
            <w:noWrap/>
            <w:vAlign w:val="center"/>
          </w:tcPr>
          <w:p w14:paraId="2CCFB8E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麻涌提标</w:t>
            </w:r>
          </w:p>
        </w:tc>
        <w:tc>
          <w:tcPr>
            <w:tcW w:w="1086" w:type="pct"/>
            <w:tcBorders>
              <w:top w:val="nil"/>
              <w:left w:val="nil"/>
              <w:bottom w:val="single" w:color="auto" w:sz="4" w:space="0"/>
              <w:right w:val="single" w:color="auto" w:sz="4" w:space="0"/>
            </w:tcBorders>
            <w:vAlign w:val="center"/>
          </w:tcPr>
          <w:p w14:paraId="64E0A38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1470" w:type="pct"/>
            <w:tcBorders>
              <w:top w:val="nil"/>
              <w:left w:val="nil"/>
              <w:bottom w:val="single" w:color="auto" w:sz="4" w:space="0"/>
              <w:right w:val="single" w:color="auto" w:sz="4" w:space="0"/>
            </w:tcBorders>
            <w:noWrap/>
            <w:vAlign w:val="center"/>
          </w:tcPr>
          <w:p w14:paraId="45BCDB82">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2020/2/28</w:t>
            </w:r>
          </w:p>
        </w:tc>
      </w:tr>
      <w:tr w14:paraId="310DFF17">
        <w:tblPrEx>
          <w:tblCellMar>
            <w:top w:w="0" w:type="dxa"/>
            <w:left w:w="108" w:type="dxa"/>
            <w:bottom w:w="0" w:type="dxa"/>
            <w:right w:w="108" w:type="dxa"/>
          </w:tblCellMar>
        </w:tblPrEx>
        <w:trPr>
          <w:trHeight w:val="288" w:hRule="atLeast"/>
          <w:jc w:val="center"/>
        </w:trPr>
        <w:tc>
          <w:tcPr>
            <w:tcW w:w="465" w:type="pct"/>
            <w:tcBorders>
              <w:top w:val="nil"/>
              <w:left w:val="single" w:color="auto" w:sz="4" w:space="0"/>
              <w:bottom w:val="single" w:color="auto" w:sz="4" w:space="0"/>
              <w:right w:val="single" w:color="auto" w:sz="4" w:space="0"/>
            </w:tcBorders>
            <w:noWrap/>
            <w:vAlign w:val="center"/>
          </w:tcPr>
          <w:p w14:paraId="2CAED6A0">
            <w:pPr>
              <w:keepNext w:val="0"/>
              <w:keepLines w:val="0"/>
              <w:widowControl/>
              <w:numPr>
                <w:ilvl w:val="0"/>
                <w:numId w:val="7"/>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77" w:type="pct"/>
            <w:tcBorders>
              <w:top w:val="nil"/>
              <w:left w:val="nil"/>
              <w:bottom w:val="single" w:color="auto" w:sz="4" w:space="0"/>
              <w:right w:val="single" w:color="auto" w:sz="4" w:space="0"/>
            </w:tcBorders>
            <w:noWrap/>
            <w:vAlign w:val="center"/>
          </w:tcPr>
          <w:p w14:paraId="4435CA6E">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市区厂提标</w:t>
            </w:r>
          </w:p>
        </w:tc>
        <w:tc>
          <w:tcPr>
            <w:tcW w:w="1086" w:type="pct"/>
            <w:tcBorders>
              <w:top w:val="nil"/>
              <w:left w:val="nil"/>
              <w:bottom w:val="single" w:color="auto" w:sz="4" w:space="0"/>
              <w:right w:val="single" w:color="auto" w:sz="4" w:space="0"/>
            </w:tcBorders>
            <w:noWrap/>
            <w:vAlign w:val="center"/>
          </w:tcPr>
          <w:p w14:paraId="680BFFEE">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40</w:t>
            </w:r>
          </w:p>
        </w:tc>
        <w:tc>
          <w:tcPr>
            <w:tcW w:w="1470" w:type="pct"/>
            <w:tcBorders>
              <w:top w:val="nil"/>
              <w:left w:val="nil"/>
              <w:bottom w:val="single" w:color="auto" w:sz="4" w:space="0"/>
              <w:right w:val="single" w:color="auto" w:sz="4" w:space="0"/>
            </w:tcBorders>
            <w:noWrap/>
            <w:vAlign w:val="center"/>
          </w:tcPr>
          <w:p w14:paraId="3FE95D79">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2020/4/29</w:t>
            </w:r>
          </w:p>
        </w:tc>
      </w:tr>
      <w:tr w14:paraId="650FAC0F">
        <w:tblPrEx>
          <w:tblCellMar>
            <w:top w:w="0" w:type="dxa"/>
            <w:left w:w="108" w:type="dxa"/>
            <w:bottom w:w="0" w:type="dxa"/>
            <w:right w:w="108" w:type="dxa"/>
          </w:tblCellMar>
        </w:tblPrEx>
        <w:trPr>
          <w:trHeight w:val="288" w:hRule="atLeast"/>
          <w:jc w:val="center"/>
        </w:trPr>
        <w:tc>
          <w:tcPr>
            <w:tcW w:w="465" w:type="pct"/>
            <w:tcBorders>
              <w:top w:val="nil"/>
              <w:left w:val="single" w:color="auto" w:sz="4" w:space="0"/>
              <w:bottom w:val="single" w:color="auto" w:sz="4" w:space="0"/>
              <w:right w:val="single" w:color="auto" w:sz="4" w:space="0"/>
            </w:tcBorders>
            <w:noWrap/>
            <w:vAlign w:val="center"/>
          </w:tcPr>
          <w:p w14:paraId="6D740948">
            <w:pPr>
              <w:keepNext w:val="0"/>
              <w:keepLines w:val="0"/>
              <w:widowControl/>
              <w:numPr>
                <w:ilvl w:val="0"/>
                <w:numId w:val="7"/>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77" w:type="pct"/>
            <w:tcBorders>
              <w:top w:val="nil"/>
              <w:left w:val="nil"/>
              <w:bottom w:val="single" w:color="auto" w:sz="4" w:space="0"/>
              <w:right w:val="single" w:color="auto" w:sz="4" w:space="0"/>
            </w:tcBorders>
            <w:noWrap/>
            <w:vAlign w:val="center"/>
          </w:tcPr>
          <w:p w14:paraId="222089E8">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虎门海岛提标</w:t>
            </w:r>
          </w:p>
        </w:tc>
        <w:tc>
          <w:tcPr>
            <w:tcW w:w="1086" w:type="pct"/>
            <w:tcBorders>
              <w:top w:val="nil"/>
              <w:left w:val="nil"/>
              <w:bottom w:val="single" w:color="auto" w:sz="4" w:space="0"/>
              <w:right w:val="single" w:color="auto" w:sz="4" w:space="0"/>
            </w:tcBorders>
            <w:noWrap/>
            <w:vAlign w:val="center"/>
          </w:tcPr>
          <w:p w14:paraId="383BFE1F">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1470" w:type="pct"/>
            <w:tcBorders>
              <w:top w:val="nil"/>
              <w:left w:val="nil"/>
              <w:bottom w:val="single" w:color="auto" w:sz="4" w:space="0"/>
              <w:right w:val="single" w:color="auto" w:sz="4" w:space="0"/>
            </w:tcBorders>
            <w:noWrap/>
            <w:vAlign w:val="center"/>
          </w:tcPr>
          <w:p w14:paraId="2C7FE522">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2019/12/7</w:t>
            </w:r>
          </w:p>
        </w:tc>
      </w:tr>
      <w:tr w14:paraId="3A8E8D71">
        <w:tblPrEx>
          <w:tblCellMar>
            <w:top w:w="0" w:type="dxa"/>
            <w:left w:w="108" w:type="dxa"/>
            <w:bottom w:w="0" w:type="dxa"/>
            <w:right w:w="108" w:type="dxa"/>
          </w:tblCellMar>
        </w:tblPrEx>
        <w:trPr>
          <w:trHeight w:val="288" w:hRule="atLeast"/>
          <w:jc w:val="center"/>
        </w:trPr>
        <w:tc>
          <w:tcPr>
            <w:tcW w:w="465" w:type="pct"/>
            <w:tcBorders>
              <w:top w:val="nil"/>
              <w:left w:val="single" w:color="auto" w:sz="4" w:space="0"/>
              <w:bottom w:val="single" w:color="auto" w:sz="4" w:space="0"/>
              <w:right w:val="single" w:color="auto" w:sz="4" w:space="0"/>
            </w:tcBorders>
            <w:noWrap/>
            <w:vAlign w:val="center"/>
          </w:tcPr>
          <w:p w14:paraId="0AA00D86">
            <w:pPr>
              <w:keepNext w:val="0"/>
              <w:keepLines w:val="0"/>
              <w:widowControl/>
              <w:numPr>
                <w:ilvl w:val="0"/>
                <w:numId w:val="7"/>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77" w:type="pct"/>
            <w:tcBorders>
              <w:top w:val="nil"/>
              <w:left w:val="nil"/>
              <w:bottom w:val="single" w:color="auto" w:sz="4" w:space="0"/>
              <w:right w:val="single" w:color="auto" w:sz="4" w:space="0"/>
            </w:tcBorders>
            <w:noWrap/>
            <w:vAlign w:val="center"/>
          </w:tcPr>
          <w:p w14:paraId="0E6C6655">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虎门宁洲提标</w:t>
            </w:r>
          </w:p>
        </w:tc>
        <w:tc>
          <w:tcPr>
            <w:tcW w:w="1086" w:type="pct"/>
            <w:tcBorders>
              <w:top w:val="nil"/>
              <w:left w:val="nil"/>
              <w:bottom w:val="single" w:color="auto" w:sz="4" w:space="0"/>
              <w:right w:val="single" w:color="auto" w:sz="4" w:space="0"/>
            </w:tcBorders>
            <w:vAlign w:val="center"/>
          </w:tcPr>
          <w:p w14:paraId="16AABA70">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p>
        </w:tc>
        <w:tc>
          <w:tcPr>
            <w:tcW w:w="1470" w:type="pct"/>
            <w:tcBorders>
              <w:top w:val="nil"/>
              <w:left w:val="nil"/>
              <w:bottom w:val="single" w:color="auto" w:sz="4" w:space="0"/>
              <w:right w:val="single" w:color="auto" w:sz="4" w:space="0"/>
            </w:tcBorders>
            <w:noWrap/>
            <w:vAlign w:val="center"/>
          </w:tcPr>
          <w:p w14:paraId="35F02D3F">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2020/3/26</w:t>
            </w:r>
          </w:p>
        </w:tc>
      </w:tr>
      <w:tr w14:paraId="2312879E">
        <w:tblPrEx>
          <w:tblCellMar>
            <w:top w:w="0" w:type="dxa"/>
            <w:left w:w="108" w:type="dxa"/>
            <w:bottom w:w="0" w:type="dxa"/>
            <w:right w:w="108" w:type="dxa"/>
          </w:tblCellMar>
        </w:tblPrEx>
        <w:trPr>
          <w:trHeight w:val="288" w:hRule="atLeast"/>
          <w:jc w:val="center"/>
        </w:trPr>
        <w:tc>
          <w:tcPr>
            <w:tcW w:w="465" w:type="pct"/>
            <w:tcBorders>
              <w:top w:val="nil"/>
              <w:left w:val="single" w:color="auto" w:sz="4" w:space="0"/>
              <w:bottom w:val="single" w:color="auto" w:sz="4" w:space="0"/>
              <w:right w:val="single" w:color="auto" w:sz="4" w:space="0"/>
            </w:tcBorders>
            <w:noWrap/>
            <w:vAlign w:val="center"/>
          </w:tcPr>
          <w:p w14:paraId="12B98CFC">
            <w:pPr>
              <w:keepNext w:val="0"/>
              <w:keepLines w:val="0"/>
              <w:widowControl/>
              <w:numPr>
                <w:ilvl w:val="0"/>
                <w:numId w:val="7"/>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77" w:type="pct"/>
            <w:tcBorders>
              <w:top w:val="nil"/>
              <w:left w:val="nil"/>
              <w:bottom w:val="single" w:color="auto" w:sz="4" w:space="0"/>
              <w:right w:val="single" w:color="auto" w:sz="4" w:space="0"/>
            </w:tcBorders>
            <w:noWrap/>
            <w:vAlign w:val="center"/>
          </w:tcPr>
          <w:p w14:paraId="30198C11">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长安三洲提标</w:t>
            </w:r>
          </w:p>
        </w:tc>
        <w:tc>
          <w:tcPr>
            <w:tcW w:w="1086" w:type="pct"/>
            <w:tcBorders>
              <w:top w:val="nil"/>
              <w:left w:val="nil"/>
              <w:bottom w:val="single" w:color="auto" w:sz="4" w:space="0"/>
              <w:right w:val="single" w:color="auto" w:sz="4" w:space="0"/>
            </w:tcBorders>
            <w:vAlign w:val="center"/>
          </w:tcPr>
          <w:p w14:paraId="7A6596B1">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15</w:t>
            </w:r>
          </w:p>
        </w:tc>
        <w:tc>
          <w:tcPr>
            <w:tcW w:w="1470" w:type="pct"/>
            <w:tcBorders>
              <w:top w:val="nil"/>
              <w:left w:val="nil"/>
              <w:bottom w:val="single" w:color="auto" w:sz="4" w:space="0"/>
              <w:right w:val="single" w:color="auto" w:sz="4" w:space="0"/>
            </w:tcBorders>
            <w:noWrap/>
            <w:vAlign w:val="center"/>
          </w:tcPr>
          <w:p w14:paraId="0479CE37">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2020/4/18</w:t>
            </w:r>
          </w:p>
        </w:tc>
      </w:tr>
      <w:tr w14:paraId="1D1285D0">
        <w:tblPrEx>
          <w:tblCellMar>
            <w:top w:w="0" w:type="dxa"/>
            <w:left w:w="108" w:type="dxa"/>
            <w:bottom w:w="0" w:type="dxa"/>
            <w:right w:w="108" w:type="dxa"/>
          </w:tblCellMar>
        </w:tblPrEx>
        <w:trPr>
          <w:trHeight w:val="288" w:hRule="atLeast"/>
          <w:jc w:val="center"/>
        </w:trPr>
        <w:tc>
          <w:tcPr>
            <w:tcW w:w="465" w:type="pct"/>
            <w:tcBorders>
              <w:top w:val="nil"/>
              <w:left w:val="single" w:color="auto" w:sz="4" w:space="0"/>
              <w:bottom w:val="single" w:color="auto" w:sz="4" w:space="0"/>
              <w:right w:val="single" w:color="auto" w:sz="4" w:space="0"/>
            </w:tcBorders>
            <w:noWrap/>
            <w:vAlign w:val="center"/>
          </w:tcPr>
          <w:p w14:paraId="380A175D">
            <w:pPr>
              <w:keepNext w:val="0"/>
              <w:keepLines w:val="0"/>
              <w:widowControl/>
              <w:numPr>
                <w:ilvl w:val="0"/>
                <w:numId w:val="7"/>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77" w:type="pct"/>
            <w:tcBorders>
              <w:top w:val="nil"/>
              <w:left w:val="nil"/>
              <w:bottom w:val="single" w:color="auto" w:sz="4" w:space="0"/>
              <w:right w:val="single" w:color="auto" w:sz="4" w:space="0"/>
            </w:tcBorders>
            <w:noWrap/>
            <w:vAlign w:val="center"/>
          </w:tcPr>
          <w:p w14:paraId="23C8A6ED">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东城牛山一期提标</w:t>
            </w:r>
          </w:p>
        </w:tc>
        <w:tc>
          <w:tcPr>
            <w:tcW w:w="1086" w:type="pct"/>
            <w:tcBorders>
              <w:top w:val="nil"/>
              <w:left w:val="nil"/>
              <w:bottom w:val="single" w:color="auto" w:sz="4" w:space="0"/>
              <w:right w:val="single" w:color="auto" w:sz="4" w:space="0"/>
            </w:tcBorders>
            <w:vAlign w:val="center"/>
          </w:tcPr>
          <w:p w14:paraId="0A028FD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1470" w:type="pct"/>
            <w:tcBorders>
              <w:top w:val="nil"/>
              <w:left w:val="nil"/>
              <w:bottom w:val="single" w:color="auto" w:sz="4" w:space="0"/>
              <w:right w:val="single" w:color="auto" w:sz="4" w:space="0"/>
            </w:tcBorders>
            <w:noWrap/>
            <w:vAlign w:val="center"/>
          </w:tcPr>
          <w:p w14:paraId="65AA4A9A">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2020/5/1</w:t>
            </w:r>
          </w:p>
        </w:tc>
      </w:tr>
      <w:tr w14:paraId="02B53F26">
        <w:tblPrEx>
          <w:tblCellMar>
            <w:top w:w="0" w:type="dxa"/>
            <w:left w:w="108" w:type="dxa"/>
            <w:bottom w:w="0" w:type="dxa"/>
            <w:right w:w="108" w:type="dxa"/>
          </w:tblCellMar>
        </w:tblPrEx>
        <w:trPr>
          <w:trHeight w:val="288" w:hRule="atLeast"/>
          <w:jc w:val="center"/>
        </w:trPr>
        <w:tc>
          <w:tcPr>
            <w:tcW w:w="465" w:type="pct"/>
            <w:tcBorders>
              <w:top w:val="nil"/>
              <w:left w:val="single" w:color="auto" w:sz="4" w:space="0"/>
              <w:bottom w:val="single" w:color="auto" w:sz="4" w:space="0"/>
              <w:right w:val="single" w:color="auto" w:sz="4" w:space="0"/>
            </w:tcBorders>
            <w:noWrap/>
            <w:vAlign w:val="center"/>
          </w:tcPr>
          <w:p w14:paraId="0F458114">
            <w:pPr>
              <w:keepNext w:val="0"/>
              <w:keepLines w:val="0"/>
              <w:widowControl/>
              <w:numPr>
                <w:ilvl w:val="0"/>
                <w:numId w:val="7"/>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77" w:type="pct"/>
            <w:tcBorders>
              <w:top w:val="nil"/>
              <w:left w:val="nil"/>
              <w:bottom w:val="single" w:color="auto" w:sz="4" w:space="0"/>
              <w:right w:val="single" w:color="auto" w:sz="4" w:space="0"/>
            </w:tcBorders>
            <w:noWrap/>
            <w:vAlign w:val="center"/>
          </w:tcPr>
          <w:p w14:paraId="2C425189">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黄江一期提标</w:t>
            </w:r>
          </w:p>
        </w:tc>
        <w:tc>
          <w:tcPr>
            <w:tcW w:w="1086" w:type="pct"/>
            <w:tcBorders>
              <w:top w:val="nil"/>
              <w:left w:val="nil"/>
              <w:bottom w:val="single" w:color="auto" w:sz="4" w:space="0"/>
              <w:right w:val="single" w:color="auto" w:sz="4" w:space="0"/>
            </w:tcBorders>
            <w:vAlign w:val="center"/>
          </w:tcPr>
          <w:p w14:paraId="517763A5">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1470" w:type="pct"/>
            <w:tcBorders>
              <w:top w:val="nil"/>
              <w:left w:val="nil"/>
              <w:bottom w:val="single" w:color="auto" w:sz="4" w:space="0"/>
              <w:right w:val="single" w:color="auto" w:sz="4" w:space="0"/>
            </w:tcBorders>
            <w:noWrap/>
            <w:vAlign w:val="center"/>
          </w:tcPr>
          <w:p w14:paraId="1FF338D0">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2020/3/11</w:t>
            </w:r>
          </w:p>
        </w:tc>
      </w:tr>
      <w:tr w14:paraId="1F457C0F">
        <w:tblPrEx>
          <w:tblCellMar>
            <w:top w:w="0" w:type="dxa"/>
            <w:left w:w="108" w:type="dxa"/>
            <w:bottom w:w="0" w:type="dxa"/>
            <w:right w:w="108" w:type="dxa"/>
          </w:tblCellMar>
        </w:tblPrEx>
        <w:trPr>
          <w:trHeight w:val="288" w:hRule="atLeast"/>
          <w:jc w:val="center"/>
        </w:trPr>
        <w:tc>
          <w:tcPr>
            <w:tcW w:w="465" w:type="pct"/>
            <w:tcBorders>
              <w:top w:val="nil"/>
              <w:left w:val="single" w:color="auto" w:sz="4" w:space="0"/>
              <w:bottom w:val="single" w:color="auto" w:sz="4" w:space="0"/>
              <w:right w:val="single" w:color="auto" w:sz="4" w:space="0"/>
            </w:tcBorders>
            <w:noWrap/>
            <w:vAlign w:val="center"/>
          </w:tcPr>
          <w:p w14:paraId="4C84A557">
            <w:pPr>
              <w:keepNext w:val="0"/>
              <w:keepLines w:val="0"/>
              <w:widowControl/>
              <w:numPr>
                <w:ilvl w:val="0"/>
                <w:numId w:val="7"/>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77" w:type="pct"/>
            <w:tcBorders>
              <w:top w:val="nil"/>
              <w:left w:val="nil"/>
              <w:bottom w:val="single" w:color="auto" w:sz="4" w:space="0"/>
              <w:right w:val="single" w:color="auto" w:sz="4" w:space="0"/>
            </w:tcBorders>
            <w:noWrap/>
            <w:vAlign w:val="center"/>
          </w:tcPr>
          <w:p w14:paraId="3C4A155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大朗松南提标</w:t>
            </w:r>
          </w:p>
        </w:tc>
        <w:tc>
          <w:tcPr>
            <w:tcW w:w="1086" w:type="pct"/>
            <w:tcBorders>
              <w:top w:val="nil"/>
              <w:left w:val="nil"/>
              <w:bottom w:val="single" w:color="auto" w:sz="4" w:space="0"/>
              <w:right w:val="single" w:color="auto" w:sz="4" w:space="0"/>
            </w:tcBorders>
            <w:vAlign w:val="center"/>
          </w:tcPr>
          <w:p w14:paraId="1016BDEE">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p>
        </w:tc>
        <w:tc>
          <w:tcPr>
            <w:tcW w:w="1470" w:type="pct"/>
            <w:tcBorders>
              <w:top w:val="nil"/>
              <w:left w:val="nil"/>
              <w:bottom w:val="single" w:color="auto" w:sz="4" w:space="0"/>
              <w:right w:val="single" w:color="auto" w:sz="4" w:space="0"/>
            </w:tcBorders>
            <w:noWrap/>
            <w:vAlign w:val="center"/>
          </w:tcPr>
          <w:p w14:paraId="396C72F7">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2020/4/23</w:t>
            </w:r>
          </w:p>
        </w:tc>
      </w:tr>
      <w:tr w14:paraId="65EC1390">
        <w:tblPrEx>
          <w:tblCellMar>
            <w:top w:w="0" w:type="dxa"/>
            <w:left w:w="108" w:type="dxa"/>
            <w:bottom w:w="0" w:type="dxa"/>
            <w:right w:w="108" w:type="dxa"/>
          </w:tblCellMar>
        </w:tblPrEx>
        <w:trPr>
          <w:trHeight w:val="288" w:hRule="atLeast"/>
          <w:jc w:val="center"/>
        </w:trPr>
        <w:tc>
          <w:tcPr>
            <w:tcW w:w="465" w:type="pct"/>
            <w:tcBorders>
              <w:top w:val="nil"/>
              <w:left w:val="single" w:color="auto" w:sz="4" w:space="0"/>
              <w:bottom w:val="single" w:color="auto" w:sz="4" w:space="0"/>
              <w:right w:val="single" w:color="auto" w:sz="4" w:space="0"/>
            </w:tcBorders>
            <w:noWrap/>
            <w:vAlign w:val="center"/>
          </w:tcPr>
          <w:p w14:paraId="25EFC84B">
            <w:pPr>
              <w:keepNext w:val="0"/>
              <w:keepLines w:val="0"/>
              <w:widowControl/>
              <w:numPr>
                <w:ilvl w:val="0"/>
                <w:numId w:val="7"/>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77" w:type="pct"/>
            <w:tcBorders>
              <w:top w:val="nil"/>
              <w:left w:val="nil"/>
              <w:bottom w:val="single" w:color="auto" w:sz="4" w:space="0"/>
              <w:right w:val="single" w:color="auto" w:sz="4" w:space="0"/>
            </w:tcBorders>
            <w:noWrap/>
            <w:vAlign w:val="center"/>
          </w:tcPr>
          <w:p w14:paraId="4CE560AA">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松北一期提标</w:t>
            </w:r>
          </w:p>
        </w:tc>
        <w:tc>
          <w:tcPr>
            <w:tcW w:w="1086" w:type="pct"/>
            <w:tcBorders>
              <w:top w:val="nil"/>
              <w:left w:val="nil"/>
              <w:bottom w:val="single" w:color="auto" w:sz="4" w:space="0"/>
              <w:right w:val="single" w:color="auto" w:sz="4" w:space="0"/>
            </w:tcBorders>
            <w:vAlign w:val="center"/>
          </w:tcPr>
          <w:p w14:paraId="3F89F4F3">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1470" w:type="pct"/>
            <w:tcBorders>
              <w:top w:val="nil"/>
              <w:left w:val="nil"/>
              <w:bottom w:val="single" w:color="auto" w:sz="4" w:space="0"/>
              <w:right w:val="single" w:color="auto" w:sz="4" w:space="0"/>
            </w:tcBorders>
            <w:noWrap/>
            <w:vAlign w:val="center"/>
          </w:tcPr>
          <w:p w14:paraId="520ABA89">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2020/4/24</w:t>
            </w:r>
          </w:p>
        </w:tc>
      </w:tr>
      <w:tr w14:paraId="29E3B522">
        <w:tblPrEx>
          <w:tblCellMar>
            <w:top w:w="0" w:type="dxa"/>
            <w:left w:w="108" w:type="dxa"/>
            <w:bottom w:w="0" w:type="dxa"/>
            <w:right w:w="108" w:type="dxa"/>
          </w:tblCellMar>
        </w:tblPrEx>
        <w:trPr>
          <w:trHeight w:val="288" w:hRule="atLeast"/>
          <w:jc w:val="center"/>
        </w:trPr>
        <w:tc>
          <w:tcPr>
            <w:tcW w:w="465" w:type="pct"/>
            <w:tcBorders>
              <w:top w:val="nil"/>
              <w:left w:val="single" w:color="auto" w:sz="4" w:space="0"/>
              <w:bottom w:val="single" w:color="auto" w:sz="4" w:space="0"/>
              <w:right w:val="single" w:color="auto" w:sz="4" w:space="0"/>
            </w:tcBorders>
            <w:noWrap/>
            <w:vAlign w:val="center"/>
          </w:tcPr>
          <w:p w14:paraId="3ED0EE86">
            <w:pPr>
              <w:keepNext w:val="0"/>
              <w:keepLines w:val="0"/>
              <w:widowControl/>
              <w:numPr>
                <w:ilvl w:val="0"/>
                <w:numId w:val="7"/>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77" w:type="pct"/>
            <w:tcBorders>
              <w:top w:val="nil"/>
              <w:left w:val="nil"/>
              <w:bottom w:val="single" w:color="auto" w:sz="4" w:space="0"/>
              <w:right w:val="single" w:color="auto" w:sz="4" w:space="0"/>
            </w:tcBorders>
            <w:noWrap/>
            <w:vAlign w:val="center"/>
          </w:tcPr>
          <w:p w14:paraId="32B6E6C1">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凤岗竹塘一期提标</w:t>
            </w:r>
          </w:p>
        </w:tc>
        <w:tc>
          <w:tcPr>
            <w:tcW w:w="1086" w:type="pct"/>
            <w:tcBorders>
              <w:top w:val="nil"/>
              <w:left w:val="nil"/>
              <w:bottom w:val="single" w:color="auto" w:sz="4" w:space="0"/>
              <w:right w:val="single" w:color="auto" w:sz="4" w:space="0"/>
            </w:tcBorders>
            <w:vAlign w:val="center"/>
          </w:tcPr>
          <w:p w14:paraId="27891F47">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1470" w:type="pct"/>
            <w:tcBorders>
              <w:top w:val="nil"/>
              <w:left w:val="nil"/>
              <w:bottom w:val="single" w:color="auto" w:sz="4" w:space="0"/>
              <w:right w:val="single" w:color="auto" w:sz="4" w:space="0"/>
            </w:tcBorders>
            <w:noWrap/>
            <w:vAlign w:val="center"/>
          </w:tcPr>
          <w:p w14:paraId="39932A1B">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2019/11/24</w:t>
            </w:r>
          </w:p>
        </w:tc>
      </w:tr>
      <w:tr w14:paraId="59A039B9">
        <w:tblPrEx>
          <w:tblCellMar>
            <w:top w:w="0" w:type="dxa"/>
            <w:left w:w="108" w:type="dxa"/>
            <w:bottom w:w="0" w:type="dxa"/>
            <w:right w:w="108" w:type="dxa"/>
          </w:tblCellMar>
        </w:tblPrEx>
        <w:trPr>
          <w:trHeight w:val="288" w:hRule="atLeast"/>
          <w:jc w:val="center"/>
        </w:trPr>
        <w:tc>
          <w:tcPr>
            <w:tcW w:w="465" w:type="pct"/>
            <w:tcBorders>
              <w:top w:val="nil"/>
              <w:left w:val="single" w:color="auto" w:sz="4" w:space="0"/>
              <w:bottom w:val="single" w:color="auto" w:sz="4" w:space="0"/>
              <w:right w:val="single" w:color="auto" w:sz="4" w:space="0"/>
            </w:tcBorders>
            <w:noWrap/>
            <w:vAlign w:val="center"/>
          </w:tcPr>
          <w:p w14:paraId="50E68EFA">
            <w:pPr>
              <w:keepNext w:val="0"/>
              <w:keepLines w:val="0"/>
              <w:widowControl/>
              <w:numPr>
                <w:ilvl w:val="0"/>
                <w:numId w:val="7"/>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77" w:type="pct"/>
            <w:tcBorders>
              <w:top w:val="nil"/>
              <w:left w:val="nil"/>
              <w:bottom w:val="single" w:color="auto" w:sz="4" w:space="0"/>
              <w:right w:val="single" w:color="auto" w:sz="4" w:space="0"/>
            </w:tcBorders>
            <w:noWrap/>
            <w:vAlign w:val="center"/>
          </w:tcPr>
          <w:p w14:paraId="2392F93D">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凤岗虾公潭提标</w:t>
            </w:r>
          </w:p>
        </w:tc>
        <w:tc>
          <w:tcPr>
            <w:tcW w:w="1086" w:type="pct"/>
            <w:tcBorders>
              <w:top w:val="nil"/>
              <w:left w:val="nil"/>
              <w:bottom w:val="single" w:color="auto" w:sz="4" w:space="0"/>
              <w:right w:val="single" w:color="auto" w:sz="4" w:space="0"/>
            </w:tcBorders>
            <w:noWrap/>
            <w:vAlign w:val="center"/>
          </w:tcPr>
          <w:p w14:paraId="165CEEB1">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1470" w:type="pct"/>
            <w:tcBorders>
              <w:top w:val="nil"/>
              <w:left w:val="nil"/>
              <w:bottom w:val="single" w:color="auto" w:sz="4" w:space="0"/>
              <w:right w:val="single" w:color="auto" w:sz="4" w:space="0"/>
            </w:tcBorders>
            <w:noWrap/>
            <w:vAlign w:val="center"/>
          </w:tcPr>
          <w:p w14:paraId="41379957">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2019/12/21</w:t>
            </w:r>
          </w:p>
        </w:tc>
      </w:tr>
      <w:tr w14:paraId="7442B21B">
        <w:tblPrEx>
          <w:tblCellMar>
            <w:top w:w="0" w:type="dxa"/>
            <w:left w:w="108" w:type="dxa"/>
            <w:bottom w:w="0" w:type="dxa"/>
            <w:right w:w="108" w:type="dxa"/>
          </w:tblCellMar>
        </w:tblPrEx>
        <w:trPr>
          <w:trHeight w:val="288" w:hRule="atLeast"/>
          <w:jc w:val="center"/>
        </w:trPr>
        <w:tc>
          <w:tcPr>
            <w:tcW w:w="465" w:type="pct"/>
            <w:tcBorders>
              <w:top w:val="nil"/>
              <w:left w:val="single" w:color="auto" w:sz="4" w:space="0"/>
              <w:bottom w:val="single" w:color="auto" w:sz="4" w:space="0"/>
              <w:right w:val="single" w:color="auto" w:sz="4" w:space="0"/>
            </w:tcBorders>
            <w:noWrap/>
            <w:vAlign w:val="center"/>
          </w:tcPr>
          <w:p w14:paraId="470E5932">
            <w:pPr>
              <w:keepNext w:val="0"/>
              <w:keepLines w:val="0"/>
              <w:widowControl/>
              <w:numPr>
                <w:ilvl w:val="0"/>
                <w:numId w:val="7"/>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77" w:type="pct"/>
            <w:tcBorders>
              <w:top w:val="nil"/>
              <w:left w:val="nil"/>
              <w:bottom w:val="single" w:color="auto" w:sz="4" w:space="0"/>
              <w:right w:val="single" w:color="auto" w:sz="4" w:space="0"/>
            </w:tcBorders>
            <w:noWrap/>
            <w:vAlign w:val="center"/>
          </w:tcPr>
          <w:p w14:paraId="60869432">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谢岗一期提标</w:t>
            </w:r>
          </w:p>
        </w:tc>
        <w:tc>
          <w:tcPr>
            <w:tcW w:w="1086" w:type="pct"/>
            <w:tcBorders>
              <w:top w:val="nil"/>
              <w:left w:val="nil"/>
              <w:bottom w:val="single" w:color="auto" w:sz="4" w:space="0"/>
              <w:right w:val="single" w:color="auto" w:sz="4" w:space="0"/>
            </w:tcBorders>
            <w:vAlign w:val="center"/>
          </w:tcPr>
          <w:p w14:paraId="38296C59">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1470" w:type="pct"/>
            <w:tcBorders>
              <w:top w:val="nil"/>
              <w:left w:val="nil"/>
              <w:bottom w:val="single" w:color="auto" w:sz="4" w:space="0"/>
              <w:right w:val="single" w:color="auto" w:sz="4" w:space="0"/>
            </w:tcBorders>
            <w:noWrap/>
            <w:vAlign w:val="center"/>
          </w:tcPr>
          <w:p w14:paraId="60B74CAE">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2020/1/4</w:t>
            </w:r>
          </w:p>
        </w:tc>
      </w:tr>
      <w:tr w14:paraId="1132B0C2">
        <w:tblPrEx>
          <w:tblCellMar>
            <w:top w:w="0" w:type="dxa"/>
            <w:left w:w="108" w:type="dxa"/>
            <w:bottom w:w="0" w:type="dxa"/>
            <w:right w:w="108" w:type="dxa"/>
          </w:tblCellMar>
        </w:tblPrEx>
        <w:trPr>
          <w:trHeight w:val="288" w:hRule="atLeast"/>
          <w:jc w:val="center"/>
        </w:trPr>
        <w:tc>
          <w:tcPr>
            <w:tcW w:w="465" w:type="pct"/>
            <w:tcBorders>
              <w:top w:val="nil"/>
              <w:left w:val="single" w:color="auto" w:sz="4" w:space="0"/>
              <w:bottom w:val="single" w:color="auto" w:sz="4" w:space="0"/>
              <w:right w:val="single" w:color="auto" w:sz="4" w:space="0"/>
            </w:tcBorders>
            <w:noWrap/>
            <w:vAlign w:val="center"/>
          </w:tcPr>
          <w:p w14:paraId="16E41AC1">
            <w:pPr>
              <w:keepNext w:val="0"/>
              <w:keepLines w:val="0"/>
              <w:widowControl/>
              <w:numPr>
                <w:ilvl w:val="0"/>
                <w:numId w:val="7"/>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77" w:type="pct"/>
            <w:tcBorders>
              <w:top w:val="nil"/>
              <w:left w:val="nil"/>
              <w:bottom w:val="single" w:color="auto" w:sz="4" w:space="0"/>
              <w:right w:val="single" w:color="auto" w:sz="4" w:space="0"/>
            </w:tcBorders>
            <w:noWrap/>
            <w:vAlign w:val="center"/>
          </w:tcPr>
          <w:p w14:paraId="53D8A63B">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塘厦林村一期提标</w:t>
            </w:r>
          </w:p>
        </w:tc>
        <w:tc>
          <w:tcPr>
            <w:tcW w:w="1086" w:type="pct"/>
            <w:tcBorders>
              <w:top w:val="nil"/>
              <w:left w:val="nil"/>
              <w:bottom w:val="single" w:color="auto" w:sz="4" w:space="0"/>
              <w:right w:val="single" w:color="auto" w:sz="4" w:space="0"/>
            </w:tcBorders>
            <w:vAlign w:val="center"/>
          </w:tcPr>
          <w:p w14:paraId="7211F45A">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12</w:t>
            </w:r>
          </w:p>
        </w:tc>
        <w:tc>
          <w:tcPr>
            <w:tcW w:w="1470" w:type="pct"/>
            <w:tcBorders>
              <w:top w:val="nil"/>
              <w:left w:val="nil"/>
              <w:bottom w:val="single" w:color="auto" w:sz="4" w:space="0"/>
              <w:right w:val="single" w:color="auto" w:sz="4" w:space="0"/>
            </w:tcBorders>
            <w:noWrap/>
            <w:vAlign w:val="center"/>
          </w:tcPr>
          <w:p w14:paraId="2021B1A1">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2020/2/22</w:t>
            </w:r>
          </w:p>
        </w:tc>
      </w:tr>
      <w:tr w14:paraId="23AB9DFE">
        <w:tblPrEx>
          <w:tblCellMar>
            <w:top w:w="0" w:type="dxa"/>
            <w:left w:w="108" w:type="dxa"/>
            <w:bottom w:w="0" w:type="dxa"/>
            <w:right w:w="108" w:type="dxa"/>
          </w:tblCellMar>
        </w:tblPrEx>
        <w:trPr>
          <w:trHeight w:val="288" w:hRule="atLeast"/>
          <w:jc w:val="center"/>
        </w:trPr>
        <w:tc>
          <w:tcPr>
            <w:tcW w:w="465" w:type="pct"/>
            <w:tcBorders>
              <w:top w:val="nil"/>
              <w:left w:val="single" w:color="auto" w:sz="4" w:space="0"/>
              <w:bottom w:val="single" w:color="auto" w:sz="4" w:space="0"/>
              <w:right w:val="single" w:color="auto" w:sz="4" w:space="0"/>
            </w:tcBorders>
            <w:noWrap/>
            <w:vAlign w:val="center"/>
          </w:tcPr>
          <w:p w14:paraId="6E1DF25C">
            <w:pPr>
              <w:keepNext w:val="0"/>
              <w:keepLines w:val="0"/>
              <w:widowControl/>
              <w:numPr>
                <w:ilvl w:val="0"/>
                <w:numId w:val="7"/>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77" w:type="pct"/>
            <w:tcBorders>
              <w:top w:val="nil"/>
              <w:left w:val="nil"/>
              <w:bottom w:val="single" w:color="auto" w:sz="4" w:space="0"/>
              <w:right w:val="single" w:color="auto" w:sz="4" w:space="0"/>
            </w:tcBorders>
            <w:noWrap/>
            <w:vAlign w:val="center"/>
          </w:tcPr>
          <w:p w14:paraId="537D93BE">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桥头一期提标</w:t>
            </w:r>
          </w:p>
        </w:tc>
        <w:tc>
          <w:tcPr>
            <w:tcW w:w="1086" w:type="pct"/>
            <w:tcBorders>
              <w:top w:val="nil"/>
              <w:left w:val="nil"/>
              <w:bottom w:val="single" w:color="auto" w:sz="4" w:space="0"/>
              <w:right w:val="single" w:color="auto" w:sz="4" w:space="0"/>
            </w:tcBorders>
            <w:vAlign w:val="center"/>
          </w:tcPr>
          <w:p w14:paraId="0BAA289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1470" w:type="pct"/>
            <w:tcBorders>
              <w:top w:val="nil"/>
              <w:left w:val="nil"/>
              <w:bottom w:val="single" w:color="auto" w:sz="4" w:space="0"/>
              <w:right w:val="single" w:color="auto" w:sz="4" w:space="0"/>
            </w:tcBorders>
            <w:noWrap/>
            <w:vAlign w:val="center"/>
          </w:tcPr>
          <w:p w14:paraId="6E13D9CB">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2020/3/5</w:t>
            </w:r>
          </w:p>
        </w:tc>
      </w:tr>
      <w:tr w14:paraId="10312A32">
        <w:tblPrEx>
          <w:tblCellMar>
            <w:top w:w="0" w:type="dxa"/>
            <w:left w:w="108" w:type="dxa"/>
            <w:bottom w:w="0" w:type="dxa"/>
            <w:right w:w="108" w:type="dxa"/>
          </w:tblCellMar>
        </w:tblPrEx>
        <w:trPr>
          <w:trHeight w:val="288" w:hRule="atLeast"/>
          <w:jc w:val="center"/>
        </w:trPr>
        <w:tc>
          <w:tcPr>
            <w:tcW w:w="465" w:type="pct"/>
            <w:tcBorders>
              <w:top w:val="nil"/>
              <w:left w:val="single" w:color="auto" w:sz="4" w:space="0"/>
              <w:bottom w:val="single" w:color="auto" w:sz="4" w:space="0"/>
              <w:right w:val="single" w:color="auto" w:sz="4" w:space="0"/>
            </w:tcBorders>
            <w:noWrap/>
            <w:vAlign w:val="center"/>
          </w:tcPr>
          <w:p w14:paraId="0BD3BADB">
            <w:pPr>
              <w:keepNext w:val="0"/>
              <w:keepLines w:val="0"/>
              <w:widowControl/>
              <w:numPr>
                <w:ilvl w:val="0"/>
                <w:numId w:val="7"/>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77" w:type="pct"/>
            <w:tcBorders>
              <w:top w:val="nil"/>
              <w:left w:val="nil"/>
              <w:bottom w:val="single" w:color="auto" w:sz="4" w:space="0"/>
              <w:right w:val="single" w:color="auto" w:sz="4" w:space="0"/>
            </w:tcBorders>
            <w:noWrap/>
            <w:vAlign w:val="center"/>
          </w:tcPr>
          <w:p w14:paraId="42853A22">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樟木头一二期提标</w:t>
            </w:r>
          </w:p>
        </w:tc>
        <w:tc>
          <w:tcPr>
            <w:tcW w:w="1086" w:type="pct"/>
            <w:tcBorders>
              <w:top w:val="nil"/>
              <w:left w:val="nil"/>
              <w:bottom w:val="single" w:color="auto" w:sz="4" w:space="0"/>
              <w:right w:val="single" w:color="auto" w:sz="4" w:space="0"/>
            </w:tcBorders>
            <w:vAlign w:val="center"/>
          </w:tcPr>
          <w:p w14:paraId="40AB381D">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w:t>
            </w:r>
          </w:p>
        </w:tc>
        <w:tc>
          <w:tcPr>
            <w:tcW w:w="1470" w:type="pct"/>
            <w:tcBorders>
              <w:top w:val="nil"/>
              <w:left w:val="nil"/>
              <w:bottom w:val="single" w:color="auto" w:sz="4" w:space="0"/>
              <w:right w:val="single" w:color="auto" w:sz="4" w:space="0"/>
            </w:tcBorders>
            <w:noWrap/>
            <w:vAlign w:val="center"/>
          </w:tcPr>
          <w:p w14:paraId="7DB2D7A2">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2020/3/13</w:t>
            </w:r>
          </w:p>
        </w:tc>
      </w:tr>
      <w:tr w14:paraId="33713649">
        <w:tblPrEx>
          <w:tblCellMar>
            <w:top w:w="0" w:type="dxa"/>
            <w:left w:w="108" w:type="dxa"/>
            <w:bottom w:w="0" w:type="dxa"/>
            <w:right w:w="108" w:type="dxa"/>
          </w:tblCellMar>
        </w:tblPrEx>
        <w:trPr>
          <w:trHeight w:val="288" w:hRule="atLeast"/>
          <w:jc w:val="center"/>
        </w:trPr>
        <w:tc>
          <w:tcPr>
            <w:tcW w:w="465" w:type="pct"/>
            <w:tcBorders>
              <w:top w:val="nil"/>
              <w:left w:val="single" w:color="auto" w:sz="4" w:space="0"/>
              <w:bottom w:val="single" w:color="auto" w:sz="4" w:space="0"/>
              <w:right w:val="single" w:color="auto" w:sz="4" w:space="0"/>
            </w:tcBorders>
            <w:noWrap/>
            <w:vAlign w:val="center"/>
          </w:tcPr>
          <w:p w14:paraId="738F7F12">
            <w:pPr>
              <w:keepNext w:val="0"/>
              <w:keepLines w:val="0"/>
              <w:widowControl/>
              <w:numPr>
                <w:ilvl w:val="0"/>
                <w:numId w:val="7"/>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77" w:type="pct"/>
            <w:tcBorders>
              <w:top w:val="nil"/>
              <w:left w:val="nil"/>
              <w:bottom w:val="single" w:color="auto" w:sz="4" w:space="0"/>
              <w:right w:val="single" w:color="auto" w:sz="4" w:space="0"/>
            </w:tcBorders>
            <w:noWrap/>
            <w:vAlign w:val="center"/>
          </w:tcPr>
          <w:p w14:paraId="765E3E2B">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清溪厦坭提标</w:t>
            </w:r>
          </w:p>
        </w:tc>
        <w:tc>
          <w:tcPr>
            <w:tcW w:w="1086" w:type="pct"/>
            <w:tcBorders>
              <w:top w:val="nil"/>
              <w:left w:val="nil"/>
              <w:bottom w:val="single" w:color="auto" w:sz="4" w:space="0"/>
              <w:right w:val="single" w:color="auto" w:sz="4" w:space="0"/>
            </w:tcBorders>
            <w:noWrap/>
            <w:vAlign w:val="center"/>
          </w:tcPr>
          <w:p w14:paraId="074A789A">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1470" w:type="pct"/>
            <w:tcBorders>
              <w:top w:val="nil"/>
              <w:left w:val="nil"/>
              <w:bottom w:val="single" w:color="auto" w:sz="4" w:space="0"/>
              <w:right w:val="single" w:color="auto" w:sz="4" w:space="0"/>
            </w:tcBorders>
            <w:noWrap/>
            <w:vAlign w:val="center"/>
          </w:tcPr>
          <w:p w14:paraId="5ACC223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2020/3/28</w:t>
            </w:r>
          </w:p>
        </w:tc>
      </w:tr>
      <w:tr w14:paraId="252B7AD9">
        <w:tblPrEx>
          <w:tblCellMar>
            <w:top w:w="0" w:type="dxa"/>
            <w:left w:w="108" w:type="dxa"/>
            <w:bottom w:w="0" w:type="dxa"/>
            <w:right w:w="108" w:type="dxa"/>
          </w:tblCellMar>
        </w:tblPrEx>
        <w:trPr>
          <w:trHeight w:val="288" w:hRule="atLeast"/>
          <w:jc w:val="center"/>
        </w:trPr>
        <w:tc>
          <w:tcPr>
            <w:tcW w:w="465" w:type="pct"/>
            <w:tcBorders>
              <w:top w:val="nil"/>
              <w:left w:val="single" w:color="auto" w:sz="4" w:space="0"/>
              <w:bottom w:val="single" w:color="auto" w:sz="4" w:space="0"/>
              <w:right w:val="single" w:color="auto" w:sz="4" w:space="0"/>
            </w:tcBorders>
            <w:noWrap/>
            <w:vAlign w:val="center"/>
          </w:tcPr>
          <w:p w14:paraId="24A75ED1">
            <w:pPr>
              <w:keepNext w:val="0"/>
              <w:keepLines w:val="0"/>
              <w:widowControl/>
              <w:numPr>
                <w:ilvl w:val="0"/>
                <w:numId w:val="7"/>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77" w:type="pct"/>
            <w:tcBorders>
              <w:top w:val="nil"/>
              <w:left w:val="nil"/>
              <w:bottom w:val="single" w:color="auto" w:sz="4" w:space="0"/>
              <w:right w:val="single" w:color="auto" w:sz="4" w:space="0"/>
            </w:tcBorders>
            <w:noWrap/>
            <w:vAlign w:val="center"/>
          </w:tcPr>
          <w:p w14:paraId="1C487580">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塘厦石桥头提标</w:t>
            </w:r>
          </w:p>
        </w:tc>
        <w:tc>
          <w:tcPr>
            <w:tcW w:w="1086" w:type="pct"/>
            <w:tcBorders>
              <w:top w:val="nil"/>
              <w:left w:val="nil"/>
              <w:bottom w:val="single" w:color="auto" w:sz="4" w:space="0"/>
              <w:right w:val="single" w:color="auto" w:sz="4" w:space="0"/>
            </w:tcBorders>
            <w:noWrap/>
            <w:vAlign w:val="center"/>
          </w:tcPr>
          <w:p w14:paraId="0D05161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1470" w:type="pct"/>
            <w:tcBorders>
              <w:top w:val="nil"/>
              <w:left w:val="nil"/>
              <w:bottom w:val="single" w:color="auto" w:sz="4" w:space="0"/>
              <w:right w:val="single" w:color="auto" w:sz="4" w:space="0"/>
            </w:tcBorders>
            <w:noWrap/>
            <w:vAlign w:val="center"/>
          </w:tcPr>
          <w:p w14:paraId="530782AF">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2020/4/18</w:t>
            </w:r>
          </w:p>
        </w:tc>
      </w:tr>
      <w:tr w14:paraId="3C1675A9">
        <w:tblPrEx>
          <w:tblCellMar>
            <w:top w:w="0" w:type="dxa"/>
            <w:left w:w="108" w:type="dxa"/>
            <w:bottom w:w="0" w:type="dxa"/>
            <w:right w:w="108" w:type="dxa"/>
          </w:tblCellMar>
        </w:tblPrEx>
        <w:trPr>
          <w:trHeight w:val="288" w:hRule="atLeast"/>
          <w:jc w:val="center"/>
        </w:trPr>
        <w:tc>
          <w:tcPr>
            <w:tcW w:w="465" w:type="pct"/>
            <w:tcBorders>
              <w:top w:val="single" w:color="auto" w:sz="4" w:space="0"/>
              <w:left w:val="single" w:color="auto" w:sz="4" w:space="0"/>
              <w:bottom w:val="single" w:color="auto" w:sz="4" w:space="0"/>
              <w:right w:val="single" w:color="auto" w:sz="4" w:space="0"/>
            </w:tcBorders>
            <w:noWrap/>
            <w:vAlign w:val="center"/>
          </w:tcPr>
          <w:p w14:paraId="3583A0C4">
            <w:pPr>
              <w:keepNext w:val="0"/>
              <w:keepLines w:val="0"/>
              <w:widowControl/>
              <w:numPr>
                <w:ilvl w:val="0"/>
                <w:numId w:val="7"/>
              </w:numPr>
              <w:suppressLineNumbers w:val="0"/>
              <w:spacing w:before="0" w:beforeAutospacing="0" w:after="0" w:afterAutospacing="0" w:line="360" w:lineRule="auto"/>
              <w:ind w:right="0"/>
              <w:jc w:val="center"/>
              <w:rPr>
                <w:rFonts w:hint="default" w:ascii="Times New Roman" w:hAnsi="Times New Roman" w:eastAsia="宋体" w:cs="Times New Roman"/>
                <w:color w:val="auto"/>
                <w:kern w:val="0"/>
                <w:szCs w:val="21"/>
                <w:highlight w:val="none"/>
              </w:rPr>
            </w:pPr>
          </w:p>
        </w:tc>
        <w:tc>
          <w:tcPr>
            <w:tcW w:w="1977" w:type="pct"/>
            <w:tcBorders>
              <w:top w:val="single" w:color="auto" w:sz="4" w:space="0"/>
              <w:left w:val="nil"/>
              <w:bottom w:val="single" w:color="auto" w:sz="4" w:space="0"/>
              <w:right w:val="single" w:color="auto" w:sz="4" w:space="0"/>
            </w:tcBorders>
            <w:noWrap/>
            <w:vAlign w:val="center"/>
          </w:tcPr>
          <w:p w14:paraId="4DB56CB3">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凤岗雁田提标</w:t>
            </w:r>
          </w:p>
        </w:tc>
        <w:tc>
          <w:tcPr>
            <w:tcW w:w="1086" w:type="pct"/>
            <w:tcBorders>
              <w:top w:val="single" w:color="auto" w:sz="4" w:space="0"/>
              <w:left w:val="nil"/>
              <w:bottom w:val="single" w:color="auto" w:sz="4" w:space="0"/>
              <w:right w:val="single" w:color="auto" w:sz="4" w:space="0"/>
            </w:tcBorders>
            <w:noWrap/>
            <w:vAlign w:val="center"/>
          </w:tcPr>
          <w:p w14:paraId="69F26206">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1470" w:type="pct"/>
            <w:tcBorders>
              <w:top w:val="single" w:color="auto" w:sz="4" w:space="0"/>
              <w:left w:val="nil"/>
              <w:bottom w:val="single" w:color="auto" w:sz="4" w:space="0"/>
              <w:right w:val="single" w:color="auto" w:sz="4" w:space="0"/>
            </w:tcBorders>
            <w:noWrap/>
            <w:vAlign w:val="center"/>
          </w:tcPr>
          <w:p w14:paraId="676121CD">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2020/4/25</w:t>
            </w:r>
          </w:p>
        </w:tc>
      </w:tr>
    </w:tbl>
    <w:p w14:paraId="40770635">
      <w:pPr>
        <w:widowControl/>
        <w:numPr>
          <w:ilvl w:val="255"/>
          <w:numId w:val="0"/>
        </w:numPr>
        <w:autoSpaceDE w:val="0"/>
        <w:snapToGrid w:val="0"/>
        <w:spacing w:line="360" w:lineRule="auto"/>
        <w:jc w:val="left"/>
        <w:rPr>
          <w:rFonts w:ascii="Times New Roman" w:hAnsi="Times New Roman" w:eastAsia="宋体" w:cs="Times New Roman"/>
          <w:color w:val="auto"/>
          <w:kern w:val="0"/>
          <w:szCs w:val="21"/>
          <w:highlight w:val="none"/>
          <w:lang w:bidi="ar"/>
        </w:rPr>
      </w:pPr>
    </w:p>
    <w:p w14:paraId="009C72C9">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★投标人必须对招标范围内的全部设备进行投标报价。投标人不得只对部分设备进行投标报价，否则按无效投标文件处理。</w:t>
      </w:r>
    </w:p>
    <w:p w14:paraId="73779C6E">
      <w:pPr>
        <w:widowControl/>
        <w:numPr>
          <w:ilvl w:val="0"/>
          <w:numId w:val="5"/>
        </w:numPr>
        <w:autoSpaceDE w:val="0"/>
        <w:snapToGrid w:val="0"/>
        <w:spacing w:line="360" w:lineRule="auto"/>
        <w:ind w:firstLine="420" w:firstLineChars="200"/>
        <w:jc w:val="left"/>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招标内容包括但不限于以下内容：</w:t>
      </w:r>
    </w:p>
    <w:p w14:paraId="285492D8">
      <w:pPr>
        <w:adjustRightInd w:val="0"/>
        <w:snapToGrid w:val="0"/>
        <w:spacing w:line="360" w:lineRule="auto"/>
        <w:ind w:firstLine="420" w:firstLineChars="200"/>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rPr>
        <w:t>a.污水处理厂</w:t>
      </w:r>
      <w:r>
        <w:rPr>
          <w:rFonts w:hint="eastAsia" w:ascii="Times New Roman" w:hAnsi="Times New Roman" w:eastAsia="宋体" w:cs="Times New Roman"/>
          <w:color w:val="auto"/>
          <w:szCs w:val="21"/>
          <w:highlight w:val="none"/>
        </w:rPr>
        <w:t>及提标项目中控系统集约化升级改造</w:t>
      </w:r>
      <w:r>
        <w:rPr>
          <w:rFonts w:ascii="Times New Roman" w:hAnsi="Times New Roman" w:eastAsia="宋体" w:cs="Times New Roman"/>
          <w:color w:val="auto"/>
          <w:szCs w:val="21"/>
          <w:highlight w:val="none"/>
          <w:lang w:val="zh-CN"/>
        </w:rPr>
        <w:t>招标范围内所有货物及其附件（含</w:t>
      </w:r>
      <w:r>
        <w:rPr>
          <w:rFonts w:hint="eastAsia" w:ascii="Times New Roman" w:hAnsi="Times New Roman" w:eastAsia="宋体" w:cs="Times New Roman"/>
          <w:color w:val="auto"/>
          <w:szCs w:val="21"/>
          <w:highlight w:val="none"/>
        </w:rPr>
        <w:t>SCADA系统、报表系统、趋势曲线系统、数据采集系统、超融合系统、网络安全</w:t>
      </w:r>
      <w:r>
        <w:rPr>
          <w:rFonts w:ascii="Times New Roman" w:hAnsi="Times New Roman" w:eastAsia="宋体" w:cs="Times New Roman"/>
          <w:color w:val="auto"/>
          <w:szCs w:val="21"/>
          <w:highlight w:val="none"/>
          <w:lang w:val="zh-CN"/>
        </w:rPr>
        <w:t>等软件）的设计</w:t>
      </w:r>
      <w:r>
        <w:rPr>
          <w:rFonts w:hint="eastAsia" w:ascii="Times New Roman" w:hAnsi="Times New Roman" w:eastAsia="宋体" w:cs="Times New Roman"/>
          <w:color w:val="auto"/>
          <w:szCs w:val="21"/>
          <w:highlight w:val="none"/>
          <w:lang w:val="zh-CN"/>
        </w:rPr>
        <w:t>（</w:t>
      </w:r>
      <w:r>
        <w:rPr>
          <w:rFonts w:hint="eastAsia" w:ascii="Times New Roman" w:hAnsi="Times New Roman" w:eastAsia="宋体" w:cs="Times New Roman"/>
          <w:color w:val="auto"/>
          <w:szCs w:val="21"/>
          <w:highlight w:val="none"/>
        </w:rPr>
        <w:t>含二次深化设计</w:t>
      </w:r>
      <w:r>
        <w:rPr>
          <w:rFonts w:hint="eastAsia" w:ascii="Times New Roman" w:hAnsi="Times New Roman" w:eastAsia="宋体" w:cs="Times New Roman"/>
          <w:color w:val="auto"/>
          <w:szCs w:val="21"/>
          <w:highlight w:val="none"/>
          <w:lang w:val="zh-CN"/>
        </w:rPr>
        <w:t>）</w:t>
      </w:r>
      <w:r>
        <w:rPr>
          <w:rFonts w:ascii="Times New Roman" w:hAnsi="Times New Roman" w:eastAsia="宋体" w:cs="Times New Roman"/>
          <w:color w:val="auto"/>
          <w:szCs w:val="21"/>
          <w:highlight w:val="none"/>
          <w:lang w:val="zh-CN"/>
        </w:rPr>
        <w:t>、采购、制造及系统集成、测试、试验、运输（至各子项目工地现场招标人指定地点）、保险、装卸、安装（含安全防护、文明施工措施）、</w:t>
      </w:r>
      <w:r>
        <w:rPr>
          <w:rFonts w:ascii="Times New Roman" w:hAnsi="Times New Roman" w:eastAsia="宋体" w:cs="Times New Roman"/>
          <w:color w:val="auto"/>
          <w:szCs w:val="21"/>
          <w:highlight w:val="none"/>
        </w:rPr>
        <w:t>单机试运转、指导及配合联合试运转（含耗材）</w:t>
      </w:r>
      <w:r>
        <w:rPr>
          <w:rFonts w:ascii="Times New Roman" w:hAnsi="Times New Roman" w:eastAsia="宋体" w:cs="Times New Roman"/>
          <w:color w:val="auto"/>
          <w:szCs w:val="21"/>
          <w:highlight w:val="none"/>
          <w:lang w:val="zh-CN"/>
        </w:rPr>
        <w:t>、验收</w:t>
      </w:r>
      <w:r>
        <w:rPr>
          <w:rFonts w:hint="eastAsia" w:ascii="Times New Roman" w:hAnsi="Times New Roman" w:eastAsia="宋体" w:cs="Times New Roman"/>
          <w:color w:val="auto"/>
          <w:szCs w:val="21"/>
          <w:highlight w:val="none"/>
          <w:lang w:val="zh-CN"/>
        </w:rPr>
        <w:t>、</w:t>
      </w:r>
      <w:r>
        <w:rPr>
          <w:rFonts w:hint="eastAsia" w:ascii="Times New Roman" w:hAnsi="Times New Roman" w:eastAsia="宋体" w:cs="Times New Roman"/>
          <w:color w:val="auto"/>
          <w:szCs w:val="21"/>
          <w:highlight w:val="none"/>
        </w:rPr>
        <w:t>培训</w:t>
      </w:r>
      <w:r>
        <w:rPr>
          <w:rFonts w:ascii="Times New Roman" w:hAnsi="Times New Roman" w:eastAsia="宋体" w:cs="Times New Roman"/>
          <w:b/>
          <w:color w:val="auto"/>
          <w:szCs w:val="24"/>
          <w:highlight w:val="none"/>
          <w:lang w:bidi="ar"/>
        </w:rPr>
        <w:t>及技术服务</w:t>
      </w:r>
      <w:r>
        <w:rPr>
          <w:rFonts w:ascii="Times New Roman" w:hAnsi="Times New Roman" w:eastAsia="宋体" w:cs="Times New Roman"/>
          <w:color w:val="auto"/>
          <w:szCs w:val="21"/>
          <w:highlight w:val="none"/>
          <w:lang w:val="zh-CN"/>
        </w:rPr>
        <w:t>；</w:t>
      </w:r>
    </w:p>
    <w:p w14:paraId="45D43D25">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ascii="Times New Roman" w:hAnsi="Times New Roman" w:eastAsia="宋体" w:cs="Times New Roman"/>
          <w:color w:val="auto"/>
          <w:szCs w:val="21"/>
          <w:highlight w:val="none"/>
          <w:lang w:val="zh-CN"/>
        </w:rPr>
        <w:t>按本用户需求书要求提供各阶段的纸质和电子版技术资料（含图纸），包括投标货物及其工艺</w:t>
      </w:r>
      <w:r>
        <w:rPr>
          <w:rFonts w:ascii="Times New Roman" w:hAnsi="Times New Roman" w:eastAsia="宋体" w:cs="Times New Roman"/>
          <w:color w:val="auto"/>
          <w:szCs w:val="21"/>
          <w:highlight w:val="none"/>
        </w:rPr>
        <w:t>所有制造方、使用方应支付的对商标权、专利权和版权、设计或其他知识产权而需要向其他方支付的版税及其他相关费用；</w:t>
      </w:r>
    </w:p>
    <w:p w14:paraId="16C6D3A3">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c.验收时为达到相关标准而可能增加的、不合格货物更换、零配件更换等；</w:t>
      </w:r>
    </w:p>
    <w:p w14:paraId="6C46FA3C">
      <w:pPr>
        <w:adjustRightInd w:val="0"/>
        <w:snapToGrid w:val="0"/>
        <w:spacing w:line="360" w:lineRule="auto"/>
        <w:ind w:firstLine="420" w:firstLineChars="200"/>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rPr>
        <w:t>d.招标人所在地及工地现场</w:t>
      </w:r>
      <w:r>
        <w:rPr>
          <w:rFonts w:ascii="Times New Roman" w:hAnsi="Times New Roman" w:eastAsia="宋体" w:cs="Times New Roman"/>
          <w:color w:val="auto"/>
          <w:szCs w:val="21"/>
          <w:highlight w:val="none"/>
          <w:lang w:val="zh-CN"/>
        </w:rPr>
        <w:t>培训全过程（含会务、资料、培训方及非中文培训师的翻译、</w:t>
      </w:r>
      <w:r>
        <w:rPr>
          <w:rFonts w:ascii="Times New Roman" w:hAnsi="Times New Roman" w:eastAsia="宋体" w:cs="Times New Roman"/>
          <w:color w:val="auto"/>
          <w:szCs w:val="21"/>
          <w:highlight w:val="none"/>
        </w:rPr>
        <w:t>投</w:t>
      </w:r>
      <w:r>
        <w:rPr>
          <w:rFonts w:ascii="Times New Roman" w:hAnsi="Times New Roman" w:eastAsia="宋体" w:cs="Times New Roman"/>
          <w:color w:val="auto"/>
          <w:szCs w:val="21"/>
          <w:highlight w:val="none"/>
          <w:lang w:val="zh-CN"/>
        </w:rPr>
        <w:t>标人、招标人涉及的所有费用），但本用户需求书中明确不包含在本次招标投标报价总价范围的投标人所在地培训除外；</w:t>
      </w:r>
    </w:p>
    <w:p w14:paraId="2F84FA6D">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e.设备备品备件（含零配件）、设备拆装维修所需特殊专用工具购置，但本用户需求书中明确不包含在本次招标投标报价总价范围的设备维修、检测所需仪器仪表除外；</w:t>
      </w:r>
    </w:p>
    <w:p w14:paraId="3169C875">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f.日常技术指导，免费的质保期保修服务，包括但不限于对设备</w:t>
      </w:r>
      <w:r>
        <w:rPr>
          <w:rFonts w:hint="eastAsia" w:ascii="Times New Roman" w:hAnsi="Times New Roman" w:eastAsia="宋体" w:cs="Times New Roman"/>
          <w:color w:val="auto"/>
          <w:szCs w:val="21"/>
          <w:highlight w:val="none"/>
        </w:rPr>
        <w:t>、系统</w:t>
      </w:r>
      <w:r>
        <w:rPr>
          <w:rFonts w:ascii="Times New Roman" w:hAnsi="Times New Roman" w:eastAsia="宋体" w:cs="Times New Roman"/>
          <w:color w:val="auto"/>
          <w:szCs w:val="21"/>
          <w:highlight w:val="none"/>
        </w:rPr>
        <w:t>的运行指导，免费维修、保修或更换配件，在设备</w:t>
      </w:r>
      <w:r>
        <w:rPr>
          <w:rFonts w:hint="eastAsia" w:ascii="Times New Roman" w:hAnsi="Times New Roman" w:eastAsia="宋体" w:cs="Times New Roman"/>
          <w:color w:val="auto"/>
          <w:szCs w:val="21"/>
          <w:highlight w:val="none"/>
        </w:rPr>
        <w:t>、系统</w:t>
      </w:r>
      <w:r>
        <w:rPr>
          <w:rFonts w:ascii="Times New Roman" w:hAnsi="Times New Roman" w:eastAsia="宋体" w:cs="Times New Roman"/>
          <w:color w:val="auto"/>
          <w:szCs w:val="21"/>
          <w:highlight w:val="none"/>
        </w:rPr>
        <w:t>出现严重故障、影响正常运行、修复有困难的情况下，对设备</w:t>
      </w:r>
      <w:r>
        <w:rPr>
          <w:rFonts w:hint="eastAsia" w:ascii="Times New Roman" w:hAnsi="Times New Roman" w:eastAsia="宋体" w:cs="Times New Roman"/>
          <w:color w:val="auto"/>
          <w:szCs w:val="21"/>
          <w:highlight w:val="none"/>
        </w:rPr>
        <w:t>、系统</w:t>
      </w:r>
      <w:r>
        <w:rPr>
          <w:rFonts w:ascii="Times New Roman" w:hAnsi="Times New Roman" w:eastAsia="宋体" w:cs="Times New Roman"/>
          <w:color w:val="auto"/>
          <w:szCs w:val="21"/>
          <w:highlight w:val="none"/>
        </w:rPr>
        <w:t>进行免费更换的费用；</w:t>
      </w:r>
    </w:p>
    <w:p w14:paraId="5B6925D2">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g.设计</w:t>
      </w:r>
      <w:r>
        <w:rPr>
          <w:rFonts w:ascii="Times New Roman" w:hAnsi="Times New Roman" w:eastAsia="宋体" w:cs="Times New Roman"/>
          <w:color w:val="auto"/>
          <w:szCs w:val="21"/>
          <w:highlight w:val="none"/>
          <w:lang w:val="zh-CN"/>
        </w:rPr>
        <w:t>联络，</w:t>
      </w:r>
      <w:r>
        <w:rPr>
          <w:rFonts w:ascii="Times New Roman" w:hAnsi="Times New Roman" w:eastAsia="宋体" w:cs="Times New Roman"/>
          <w:color w:val="auto"/>
          <w:szCs w:val="21"/>
          <w:highlight w:val="none"/>
        </w:rPr>
        <w:t>在施工图设计阶段，中标人有义务根据实际情况派遣技术人员到东莞市参加设计联络会议进行技术交流，包括参加设计会签及校核和审查会议，投标总价已包含完成施工图设计过程中的一切费用；</w:t>
      </w:r>
    </w:p>
    <w:p w14:paraId="441C5B86">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h.招标设备清单虽未列出，但根据</w:t>
      </w:r>
      <w:r>
        <w:rPr>
          <w:rFonts w:hint="eastAsia" w:ascii="Times New Roman" w:hAnsi="Times New Roman" w:eastAsia="宋体" w:cs="Times New Roman"/>
          <w:color w:val="auto"/>
          <w:szCs w:val="21"/>
          <w:highlight w:val="none"/>
        </w:rPr>
        <w:t>技术方案</w:t>
      </w:r>
      <w:r>
        <w:rPr>
          <w:rFonts w:ascii="Times New Roman" w:hAnsi="Times New Roman" w:eastAsia="宋体" w:cs="Times New Roman"/>
          <w:color w:val="auto"/>
          <w:szCs w:val="21"/>
          <w:highlight w:val="none"/>
        </w:rPr>
        <w:t>或为满足设计功能所必需的设备材料</w:t>
      </w:r>
      <w:r>
        <w:rPr>
          <w:rFonts w:hint="eastAsia" w:ascii="Times New Roman" w:hAnsi="Times New Roman" w:eastAsia="宋体" w:cs="Times New Roman"/>
          <w:color w:val="auto"/>
          <w:szCs w:val="21"/>
          <w:highlight w:val="none"/>
        </w:rPr>
        <w:t>;</w:t>
      </w:r>
    </w:p>
    <w:p w14:paraId="604EA2E2">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i.项目最终效果应能在招标人调度指挥中心远程控制37个污水处理厂及21个提标项目，系统需达到全部污水项目100%的自控率，如因项目在合同签订之日前已存在的自控故障导致无法满足自控率要求，中标人应在系统预留能满足100%自控率所对应的点位、功能等内容。</w:t>
      </w:r>
    </w:p>
    <w:p w14:paraId="494449CF">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j.项目质保期内招标人现有项目自动化系统完善、修复以及新建项目竣工后，中标人负责系统接入的工作。</w:t>
      </w:r>
    </w:p>
    <w:p w14:paraId="3DEDBC9F">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k.中标人负责提供本项目网络安全等级保护测试服务（等级保护要求为等保二级），中标人在项目过程中负责系统网络安全的前期摸查、设计、实施、验收、测评和备案等工作</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rPr>
        <w:t>服务所产生的相关费用包括但不限于测评费、人工费、材料费等均由中标人承担。</w:t>
      </w:r>
    </w:p>
    <w:p w14:paraId="0EDAC77E">
      <w:pPr>
        <w:keepNext/>
        <w:keepLines/>
        <w:numPr>
          <w:ilvl w:val="0"/>
          <w:numId w:val="4"/>
        </w:numPr>
        <w:adjustRightInd w:val="0"/>
        <w:snapToGrid w:val="0"/>
        <w:spacing w:line="360" w:lineRule="auto"/>
        <w:ind w:left="-482" w:leftChars="0" w:firstLine="482" w:firstLineChars="0"/>
        <w:outlineLvl w:val="2"/>
        <w:rPr>
          <w:rFonts w:ascii="Times New Roman" w:hAnsi="Times New Roman" w:eastAsia="宋体" w:cs="Times New Roman"/>
          <w:b/>
          <w:bCs/>
          <w:color w:val="auto"/>
          <w:szCs w:val="18"/>
          <w:highlight w:val="none"/>
        </w:rPr>
      </w:pPr>
      <w:bookmarkStart w:id="403" w:name="_Toc195714269"/>
      <w:bookmarkStart w:id="404" w:name="_Toc7366"/>
      <w:bookmarkStart w:id="405" w:name="_Toc8332"/>
      <w:r>
        <w:rPr>
          <w:rFonts w:ascii="Times New Roman" w:hAnsi="Times New Roman" w:eastAsia="宋体" w:cs="Times New Roman"/>
          <w:b/>
          <w:bCs/>
          <w:color w:val="auto"/>
          <w:szCs w:val="18"/>
          <w:highlight w:val="none"/>
        </w:rPr>
        <w:t>投标人职责范围</w:t>
      </w:r>
      <w:bookmarkEnd w:id="403"/>
      <w:bookmarkEnd w:id="404"/>
      <w:bookmarkEnd w:id="405"/>
    </w:p>
    <w:p w14:paraId="01AB1433">
      <w:pPr>
        <w:numPr>
          <w:ilvl w:val="0"/>
          <w:numId w:val="8"/>
        </w:num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人负责在本用户需求书中指明的投标人的供货范围内，足以使供货设备联动运行（包括自动控制）的所有机械设备、电气设备、自动控制设备、仪表、闸门和阀门、电缆、软件及其他附属部件的提供。本用户需求书虽未列出，但根据</w:t>
      </w:r>
      <w:r>
        <w:rPr>
          <w:rFonts w:hint="eastAsia" w:ascii="Times New Roman" w:hAnsi="Times New Roman" w:eastAsia="宋体" w:cs="Times New Roman"/>
          <w:color w:val="auto"/>
          <w:szCs w:val="21"/>
          <w:highlight w:val="none"/>
        </w:rPr>
        <w:t>技术方案</w:t>
      </w:r>
      <w:r>
        <w:rPr>
          <w:rFonts w:ascii="Times New Roman" w:hAnsi="Times New Roman" w:eastAsia="宋体" w:cs="Times New Roman"/>
          <w:color w:val="auto"/>
          <w:szCs w:val="21"/>
          <w:highlight w:val="none"/>
        </w:rPr>
        <w:t>或为满足设计功能，确保功能的实现所必需的设备材料，投标人应在投标文件中列出。如未列出，投标人在项目实施时必须无条件及时提供，且不得以此为由要求增加费用。如果投标人发现招标人发出的招标文件、</w:t>
      </w:r>
      <w:r>
        <w:rPr>
          <w:rFonts w:hint="eastAsia" w:ascii="Times New Roman" w:hAnsi="Times New Roman" w:eastAsia="宋体" w:cs="Times New Roman"/>
          <w:color w:val="auto"/>
          <w:szCs w:val="21"/>
          <w:highlight w:val="none"/>
        </w:rPr>
        <w:t>技术方案</w:t>
      </w:r>
      <w:r>
        <w:rPr>
          <w:rFonts w:ascii="Times New Roman" w:hAnsi="Times New Roman" w:eastAsia="宋体" w:cs="Times New Roman"/>
          <w:color w:val="auto"/>
          <w:szCs w:val="21"/>
          <w:highlight w:val="none"/>
        </w:rPr>
        <w:t>存在缺陷，阻碍上述要求的实现，投标人可在投标文件技术规格偏离表内填写并加以说明。</w:t>
      </w:r>
    </w:p>
    <w:p w14:paraId="3F24E084">
      <w:pPr>
        <w:numPr>
          <w:ilvl w:val="0"/>
          <w:numId w:val="8"/>
        </w:num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对设备的制造、供货、工厂测试、油漆、包装和运输负责。并负责设备安装</w:t>
      </w:r>
      <w:r>
        <w:rPr>
          <w:rFonts w:hint="eastAsia" w:ascii="Times New Roman" w:hAnsi="Times New Roman" w:eastAsia="宋体" w:cs="Times New Roman"/>
          <w:color w:val="auto"/>
          <w:szCs w:val="21"/>
          <w:highlight w:val="none"/>
        </w:rPr>
        <w:t>、调试</w:t>
      </w:r>
      <w:r>
        <w:rPr>
          <w:rFonts w:ascii="Times New Roman" w:hAnsi="Times New Roman" w:eastAsia="宋体" w:cs="Times New Roman"/>
          <w:color w:val="auto"/>
          <w:szCs w:val="21"/>
          <w:highlight w:val="none"/>
        </w:rPr>
        <w:t>、检查、验收及售后服务。</w:t>
      </w:r>
    </w:p>
    <w:p w14:paraId="2E8425DA">
      <w:pPr>
        <w:numPr>
          <w:ilvl w:val="0"/>
          <w:numId w:val="8"/>
        </w:num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设备的现场性能测试、单机试运转、指导及配合联合试运转。</w:t>
      </w:r>
    </w:p>
    <w:p w14:paraId="1A35688B">
      <w:pPr>
        <w:numPr>
          <w:ilvl w:val="0"/>
          <w:numId w:val="8"/>
        </w:num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对不合格的设备进行更换。</w:t>
      </w:r>
    </w:p>
    <w:p w14:paraId="19728BC2">
      <w:pPr>
        <w:numPr>
          <w:ilvl w:val="0"/>
          <w:numId w:val="8"/>
        </w:num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设备试运行期内的设备检测、保修和运行指导。</w:t>
      </w:r>
    </w:p>
    <w:p w14:paraId="534D477B">
      <w:pPr>
        <w:numPr>
          <w:ilvl w:val="0"/>
          <w:numId w:val="8"/>
        </w:num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设备质保期内的设备检测、保修和运行指导。</w:t>
      </w:r>
    </w:p>
    <w:p w14:paraId="26EF8555">
      <w:pPr>
        <w:numPr>
          <w:ilvl w:val="0"/>
          <w:numId w:val="8"/>
        </w:num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设备操作与维护的技术培训。</w:t>
      </w:r>
    </w:p>
    <w:p w14:paraId="11D7425E">
      <w:pPr>
        <w:numPr>
          <w:ilvl w:val="0"/>
          <w:numId w:val="8"/>
        </w:num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提供设备的相关技术文件、资料。</w:t>
      </w:r>
    </w:p>
    <w:p w14:paraId="5C7052EF">
      <w:pPr>
        <w:numPr>
          <w:ilvl w:val="0"/>
          <w:numId w:val="8"/>
        </w:num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 xml:space="preserve">根据国家有关规定、规程及合同应承担的其它职责。 </w:t>
      </w:r>
    </w:p>
    <w:p w14:paraId="122BCED1">
      <w:pPr>
        <w:keepNext/>
        <w:keepLines/>
        <w:numPr>
          <w:ilvl w:val="0"/>
          <w:numId w:val="4"/>
        </w:numPr>
        <w:adjustRightInd w:val="0"/>
        <w:snapToGrid w:val="0"/>
        <w:spacing w:line="360" w:lineRule="auto"/>
        <w:ind w:left="-482" w:leftChars="0" w:firstLine="482" w:firstLineChars="0"/>
        <w:outlineLvl w:val="2"/>
        <w:rPr>
          <w:rFonts w:ascii="Times New Roman" w:hAnsi="Times New Roman" w:eastAsia="宋体" w:cs="Times New Roman"/>
          <w:b/>
          <w:bCs/>
          <w:color w:val="auto"/>
          <w:szCs w:val="18"/>
          <w:highlight w:val="none"/>
        </w:rPr>
      </w:pPr>
      <w:bookmarkStart w:id="406" w:name="_Toc195714270"/>
      <w:bookmarkStart w:id="407" w:name="_Toc6118"/>
      <w:bookmarkStart w:id="408" w:name="_Toc27828"/>
      <w:r>
        <w:rPr>
          <w:rFonts w:ascii="Times New Roman" w:hAnsi="Times New Roman" w:eastAsia="宋体" w:cs="Times New Roman"/>
          <w:b/>
          <w:bCs/>
          <w:color w:val="auto"/>
          <w:szCs w:val="18"/>
          <w:highlight w:val="none"/>
        </w:rPr>
        <w:t>备品备件及附件提供</w:t>
      </w:r>
      <w:bookmarkEnd w:id="406"/>
      <w:bookmarkEnd w:id="407"/>
      <w:bookmarkEnd w:id="408"/>
    </w:p>
    <w:p w14:paraId="4923E936">
      <w:pPr>
        <w:numPr>
          <w:ilvl w:val="0"/>
          <w:numId w:val="9"/>
        </w:num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人应提供整套用于保证本合同所属设备系统在质保期内正常运行的设备安装、操作维护所需的备品备件并列出清单，招标人将审核清单并着重考虑是否满足质保期需要。备品备件价格应在投标报价表中单独列出并报价，且所有配套备品备件报价包括在投标总报价中。</w:t>
      </w:r>
    </w:p>
    <w:p w14:paraId="5FF44B27">
      <w:pPr>
        <w:numPr>
          <w:ilvl w:val="0"/>
          <w:numId w:val="9"/>
        </w:num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如所供设备拆装维修需有特殊专用工具，投标人应予以说明，并提供专用维修工具，投标人应提供设备拆装维修所需特殊工具清单，报价包括在投标总报价中。</w:t>
      </w:r>
    </w:p>
    <w:p w14:paraId="4CBA3EEE">
      <w:pPr>
        <w:numPr>
          <w:ilvl w:val="0"/>
          <w:numId w:val="9"/>
        </w:num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质保期满后3年（进口设备要求5年）所需备品备件须提供明确单价，不计入总价。</w:t>
      </w:r>
    </w:p>
    <w:p w14:paraId="3CE9ADD3">
      <w:pPr>
        <w:numPr>
          <w:ilvl w:val="0"/>
          <w:numId w:val="9"/>
        </w:num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投标人按招标文件要求提供设备检测所需仪器仪表清单及报价（不计入投标总价，招标人不保证将来会采购该部分内容）。</w:t>
      </w:r>
    </w:p>
    <w:p w14:paraId="43B56399">
      <w:pPr>
        <w:numPr>
          <w:ilvl w:val="0"/>
          <w:numId w:val="9"/>
        </w:num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投标人提供的所有备件、专用工具必须是新的、未使用过的，能满足设备零配件的更换及检维修。这些备件应经过处理和包装，能在污水厂现场气候条件下长期有效。</w:t>
      </w:r>
    </w:p>
    <w:p w14:paraId="412659CC">
      <w:pPr>
        <w:numPr>
          <w:ilvl w:val="0"/>
          <w:numId w:val="9"/>
        </w:num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在备品备件停止生产的情况下，中标人应事先将要停止生产的计划通知招标人，使其有足够的时间采购所需的备品备件；在备品备件停止生产后，如果招标人要求，中标人应免费向招标人提供备品备件的蓝图、图纸和规格。</w:t>
      </w:r>
    </w:p>
    <w:p w14:paraId="01752799">
      <w:pPr>
        <w:numPr>
          <w:ilvl w:val="0"/>
          <w:numId w:val="9"/>
        </w:num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进口设备使用的润滑油和（或）药剂等，能使用国产货源替代的优先考虑。否则必须在国内有可靠、经济的货源保证。</w:t>
      </w:r>
    </w:p>
    <w:p w14:paraId="4077B8FB">
      <w:pPr>
        <w:keepNext/>
        <w:keepLines/>
        <w:numPr>
          <w:ilvl w:val="0"/>
          <w:numId w:val="4"/>
        </w:numPr>
        <w:adjustRightInd w:val="0"/>
        <w:snapToGrid w:val="0"/>
        <w:spacing w:line="360" w:lineRule="auto"/>
        <w:ind w:firstLine="482"/>
        <w:outlineLvl w:val="2"/>
        <w:rPr>
          <w:rFonts w:ascii="Times New Roman" w:hAnsi="Times New Roman" w:eastAsia="宋体" w:cs="Times New Roman"/>
          <w:b/>
          <w:bCs/>
          <w:color w:val="auto"/>
          <w:szCs w:val="18"/>
          <w:highlight w:val="none"/>
        </w:rPr>
      </w:pPr>
      <w:bookmarkStart w:id="409" w:name="_Toc25508"/>
      <w:bookmarkStart w:id="410" w:name="_Toc17414"/>
      <w:bookmarkStart w:id="411" w:name="_Toc195714271"/>
      <w:r>
        <w:rPr>
          <w:rFonts w:ascii="Times New Roman" w:hAnsi="Times New Roman" w:eastAsia="宋体" w:cs="Times New Roman"/>
          <w:b/>
          <w:bCs/>
          <w:color w:val="auto"/>
          <w:szCs w:val="18"/>
          <w:highlight w:val="none"/>
        </w:rPr>
        <w:t>设备数量的变更</w:t>
      </w:r>
      <w:bookmarkEnd w:id="409"/>
      <w:bookmarkEnd w:id="410"/>
      <w:bookmarkEnd w:id="411"/>
    </w:p>
    <w:p w14:paraId="01FD3635">
      <w:pPr>
        <w:adjustRightInd w:val="0"/>
        <w:snapToGrid w:val="0"/>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招标人保留对采购设备的规格、型号及数量变更的权利，投标人应承诺对设计修改、变更予以配合，及时调整。</w:t>
      </w:r>
    </w:p>
    <w:p w14:paraId="66534BEC">
      <w:pPr>
        <w:keepNext/>
        <w:keepLines/>
        <w:numPr>
          <w:ilvl w:val="0"/>
          <w:numId w:val="4"/>
        </w:numPr>
        <w:adjustRightInd w:val="0"/>
        <w:snapToGrid w:val="0"/>
        <w:spacing w:line="360" w:lineRule="auto"/>
        <w:ind w:firstLine="482"/>
        <w:outlineLvl w:val="2"/>
        <w:rPr>
          <w:rFonts w:ascii="Times New Roman" w:hAnsi="Times New Roman" w:eastAsia="宋体" w:cs="Times New Roman"/>
          <w:b/>
          <w:bCs/>
          <w:color w:val="auto"/>
          <w:szCs w:val="18"/>
          <w:highlight w:val="none"/>
        </w:rPr>
      </w:pPr>
      <w:bookmarkStart w:id="412" w:name="_Toc19983"/>
      <w:bookmarkStart w:id="413" w:name="_Toc195714272"/>
      <w:bookmarkStart w:id="414" w:name="_Toc9623"/>
      <w:r>
        <w:rPr>
          <w:rFonts w:ascii="Times New Roman" w:hAnsi="Times New Roman" w:eastAsia="宋体" w:cs="Times New Roman"/>
          <w:b/>
          <w:bCs/>
          <w:color w:val="auto"/>
          <w:szCs w:val="18"/>
          <w:highlight w:val="none"/>
        </w:rPr>
        <w:t>补充说明</w:t>
      </w:r>
      <w:bookmarkEnd w:id="412"/>
      <w:bookmarkEnd w:id="413"/>
      <w:bookmarkEnd w:id="414"/>
    </w:p>
    <w:p w14:paraId="3DB53F4B">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本用户需求书的内容在于向投标人说明项目建设应在各方面达到所要求的功能及</w:t>
      </w:r>
      <w:r>
        <w:rPr>
          <w:rFonts w:hint="eastAsia" w:ascii="Times New Roman" w:hAnsi="Times New Roman" w:eastAsia="宋体" w:cs="Times New Roman"/>
          <w:color w:val="auto"/>
          <w:szCs w:val="21"/>
          <w:highlight w:val="none"/>
        </w:rPr>
        <w:t>污水处理厂及提标项目</w:t>
      </w:r>
      <w:r>
        <w:rPr>
          <w:rFonts w:ascii="Times New Roman" w:hAnsi="Times New Roman" w:eastAsia="宋体" w:cs="Times New Roman"/>
          <w:color w:val="auto"/>
          <w:szCs w:val="21"/>
          <w:highlight w:val="none"/>
        </w:rPr>
        <w:t>设备成功联动运行的功能。凡为达到设计目的所需的招标范围内的各项设备及其有关机件、附件，虽未详列在招标设备清单中，仍应包括在各项设备中，中标人不得借故予以变更或要求增加费用。中标人应在无追加费用的条件下，完善工作内容，</w:t>
      </w:r>
      <w:r>
        <w:rPr>
          <w:rFonts w:hint="eastAsia" w:ascii="Times New Roman" w:hAnsi="Times New Roman" w:eastAsia="宋体" w:cs="Times New Roman"/>
          <w:color w:val="auto"/>
          <w:szCs w:val="21"/>
          <w:highlight w:val="none"/>
        </w:rPr>
        <w:t>高质量地完成</w:t>
      </w:r>
      <w:r>
        <w:rPr>
          <w:rFonts w:ascii="Times New Roman" w:hAnsi="Times New Roman" w:eastAsia="宋体" w:cs="Times New Roman"/>
          <w:color w:val="auto"/>
          <w:szCs w:val="21"/>
          <w:highlight w:val="none"/>
        </w:rPr>
        <w:t>整个供货和服务工作。</w:t>
      </w:r>
    </w:p>
    <w:p w14:paraId="7600C5C5">
      <w:pPr>
        <w:keepNext/>
        <w:keepLines/>
        <w:numPr>
          <w:ilvl w:val="0"/>
          <w:numId w:val="3"/>
        </w:numPr>
        <w:adjustRightInd w:val="0"/>
        <w:snapToGrid w:val="0"/>
        <w:spacing w:line="360" w:lineRule="auto"/>
        <w:ind w:left="0" w:leftChars="0" w:firstLine="0" w:firstLineChars="0"/>
        <w:jc w:val="left"/>
        <w:outlineLvl w:val="1"/>
        <w:rPr>
          <w:rFonts w:ascii="Times New Roman" w:hAnsi="Times New Roman" w:eastAsia="宋体" w:cs="Times New Roman"/>
          <w:b/>
          <w:bCs/>
          <w:color w:val="auto"/>
          <w:szCs w:val="21"/>
          <w:highlight w:val="none"/>
        </w:rPr>
      </w:pPr>
      <w:bookmarkStart w:id="415" w:name="_Toc30181"/>
      <w:bookmarkStart w:id="416" w:name="_Toc195714273"/>
      <w:bookmarkStart w:id="417" w:name="_Toc6825"/>
      <w:r>
        <w:rPr>
          <w:rFonts w:ascii="Times New Roman" w:hAnsi="Times New Roman" w:eastAsia="宋体" w:cs="Times New Roman"/>
          <w:b/>
          <w:bCs/>
          <w:color w:val="auto"/>
          <w:szCs w:val="21"/>
          <w:highlight w:val="none"/>
        </w:rPr>
        <w:t>设备的供货及验收</w:t>
      </w:r>
      <w:bookmarkEnd w:id="415"/>
      <w:bookmarkEnd w:id="416"/>
      <w:bookmarkEnd w:id="417"/>
    </w:p>
    <w:p w14:paraId="3ACE38CB">
      <w:pPr>
        <w:keepNext/>
        <w:keepLines/>
        <w:numPr>
          <w:ilvl w:val="0"/>
          <w:numId w:val="10"/>
        </w:numPr>
        <w:adjustRightInd w:val="0"/>
        <w:snapToGrid w:val="0"/>
        <w:spacing w:line="360" w:lineRule="auto"/>
        <w:ind w:firstLine="482"/>
        <w:outlineLvl w:val="2"/>
        <w:rPr>
          <w:rFonts w:ascii="Times New Roman" w:hAnsi="Times New Roman" w:eastAsia="宋体" w:cs="Times New Roman"/>
          <w:b/>
          <w:bCs/>
          <w:color w:val="auto"/>
          <w:szCs w:val="18"/>
          <w:highlight w:val="none"/>
        </w:rPr>
      </w:pPr>
      <w:bookmarkStart w:id="418" w:name="_Toc15653"/>
      <w:bookmarkStart w:id="419" w:name="_Toc195714274"/>
      <w:bookmarkStart w:id="420" w:name="_Toc6401"/>
      <w:r>
        <w:rPr>
          <w:rFonts w:ascii="Times New Roman" w:hAnsi="Times New Roman" w:eastAsia="宋体" w:cs="Times New Roman"/>
          <w:b/>
          <w:bCs/>
          <w:color w:val="auto"/>
          <w:szCs w:val="18"/>
          <w:highlight w:val="none"/>
        </w:rPr>
        <w:t>计划与进度报告</w:t>
      </w:r>
      <w:bookmarkEnd w:id="418"/>
      <w:bookmarkEnd w:id="419"/>
      <w:bookmarkEnd w:id="420"/>
    </w:p>
    <w:p w14:paraId="7E2FAF63">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中标人在合同生效</w:t>
      </w:r>
      <w:r>
        <w:rPr>
          <w:rFonts w:hint="eastAsia" w:ascii="Times New Roman" w:hAnsi="Times New Roman" w:eastAsia="宋体" w:cs="Times New Roman"/>
          <w:color w:val="auto"/>
          <w:szCs w:val="21"/>
          <w:highlight w:val="none"/>
        </w:rPr>
        <w:t>二</w:t>
      </w:r>
      <w:r>
        <w:rPr>
          <w:rFonts w:ascii="Times New Roman" w:hAnsi="Times New Roman" w:eastAsia="宋体" w:cs="Times New Roman"/>
          <w:color w:val="auto"/>
          <w:szCs w:val="21"/>
          <w:highlight w:val="none"/>
        </w:rPr>
        <w:t>周内，应向招标人提交一份详细的工作计划，说明有关设备的制作、运输、安装和测试等具体进度日程。</w:t>
      </w:r>
    </w:p>
    <w:p w14:paraId="2B020422">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为掌握进度和协调工作，招标人认为需要的话可随时进入现场检查设备制造进度，费用由招标人承担，中标人需配合并提供便利条件。</w:t>
      </w:r>
    </w:p>
    <w:p w14:paraId="2BB2EE4C">
      <w:pPr>
        <w:keepNext/>
        <w:keepLines/>
        <w:numPr>
          <w:ilvl w:val="0"/>
          <w:numId w:val="10"/>
        </w:numPr>
        <w:adjustRightInd w:val="0"/>
        <w:snapToGrid w:val="0"/>
        <w:spacing w:line="360" w:lineRule="auto"/>
        <w:ind w:firstLine="482"/>
        <w:outlineLvl w:val="2"/>
        <w:rPr>
          <w:rFonts w:ascii="Times New Roman" w:hAnsi="Times New Roman" w:eastAsia="宋体" w:cs="Times New Roman"/>
          <w:b/>
          <w:bCs/>
          <w:color w:val="auto"/>
          <w:szCs w:val="18"/>
          <w:highlight w:val="none"/>
        </w:rPr>
      </w:pPr>
      <w:bookmarkStart w:id="421" w:name="_Toc31049"/>
      <w:bookmarkStart w:id="422" w:name="_Toc23169"/>
      <w:bookmarkStart w:id="423" w:name="_Toc195714275"/>
      <w:r>
        <w:rPr>
          <w:rFonts w:ascii="Times New Roman" w:hAnsi="Times New Roman" w:eastAsia="宋体" w:cs="Times New Roman"/>
          <w:b/>
          <w:bCs/>
          <w:color w:val="auto"/>
          <w:szCs w:val="18"/>
          <w:highlight w:val="none"/>
        </w:rPr>
        <w:t>质量保证计划：设备制造中的工厂监造、检验与测试</w:t>
      </w:r>
      <w:bookmarkEnd w:id="421"/>
      <w:bookmarkEnd w:id="422"/>
      <w:bookmarkEnd w:id="423"/>
    </w:p>
    <w:p w14:paraId="1E7BEC42">
      <w:pPr>
        <w:numPr>
          <w:ilvl w:val="0"/>
          <w:numId w:val="11"/>
        </w:num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中标人应对本合同提供的设备制造、安装、试运转建立质量保证计划，并严格按照本招标文件和ISO、ICE、GB标准进行。</w:t>
      </w:r>
    </w:p>
    <w:p w14:paraId="60D709CD">
      <w:pPr>
        <w:numPr>
          <w:ilvl w:val="0"/>
          <w:numId w:val="11"/>
        </w:num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所有质量保证计划应在开始制造之前建立，并在采购合同签订之日起一个月内提供，质量保证计划应成为合同的一个组成部分，中标人和分包供应商必须共同遵守。</w:t>
      </w:r>
    </w:p>
    <w:p w14:paraId="620FBA4B">
      <w:pPr>
        <w:numPr>
          <w:ilvl w:val="0"/>
          <w:numId w:val="11"/>
        </w:num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必要时，招标人有权安排到设备制造所在地对设备制造、检验、测试及运行实地考察或监造，也可指派专人到制造厂进行逐台或抽样检验。中标人负责根据需要为招标人在产地的考察、监造或参与设备的检测工作提供便利，对于进口设备，中标人应替招标人办妥入境签证手续并获得进入现场检查、检测和实验的许可证件。前述所需费用不包含在投标总价中，由招标人自行承担。</w:t>
      </w:r>
    </w:p>
    <w:p w14:paraId="51BE6EBB">
      <w:pPr>
        <w:numPr>
          <w:ilvl w:val="0"/>
          <w:numId w:val="11"/>
        </w:num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设备产地进行的检验和测试不是设备的最后验收。中标人在设备生产测试前向招标人提供检查和测试计划，当设备检查、测试的准备工作就绪，应在测试日的二十五个工作日前书面通知招标人测试日期，当设备需在国外进行测试时中标人应于60</w:t>
      </w:r>
      <w:r>
        <w:rPr>
          <w:rFonts w:hint="eastAsia" w:ascii="Times New Roman" w:hAnsi="Times New Roman" w:eastAsia="宋体" w:cs="Times New Roman"/>
          <w:color w:val="auto"/>
          <w:szCs w:val="21"/>
          <w:highlight w:val="none"/>
        </w:rPr>
        <w:t>日</w:t>
      </w:r>
      <w:r>
        <w:rPr>
          <w:rFonts w:ascii="Times New Roman" w:hAnsi="Times New Roman" w:eastAsia="宋体" w:cs="Times New Roman"/>
          <w:color w:val="auto"/>
          <w:szCs w:val="21"/>
          <w:highlight w:val="none"/>
        </w:rPr>
        <w:t>前发出书面通知，招标人在设备的成功测试后，得在所有产品合格证的背后盖上“符合规格”（Conforms with the Specification）印章。如果在规定时间内招标人代表不能到场，中标人在事先书面通知招标人并经招标人书面同意后方可自行完成检查和测试工作；未经招标人书面同意，中标人不得擅自进行测试工作，否则招标人有权拒绝承认中标人的测试结果。上述程序完成后，中标人应于3日内给招标人邮寄5份附有具体测试结果的合格证书，并保证招标人于7日内收到该报告，中标人应保证前述文件的合法性、真实性、准确性。如果尚无技术条件完成测试工作的，中标人应将相应工作安排到具有测试条件和相应资质的单位进行，相关费用由中标人承担。</w:t>
      </w:r>
    </w:p>
    <w:p w14:paraId="3FBEC5BC">
      <w:pPr>
        <w:numPr>
          <w:ilvl w:val="0"/>
          <w:numId w:val="11"/>
        </w:num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第三方单位出具的检验结论和记录的原件应提交招标人书面确认，如检验、检测不符本技术要求而引起的时间延误，不得作为工期延误的免责理由，中标人应自行承担相关责任。</w:t>
      </w:r>
    </w:p>
    <w:p w14:paraId="5FC83420">
      <w:pPr>
        <w:keepNext/>
        <w:keepLines/>
        <w:numPr>
          <w:ilvl w:val="0"/>
          <w:numId w:val="10"/>
        </w:numPr>
        <w:adjustRightInd w:val="0"/>
        <w:snapToGrid w:val="0"/>
        <w:spacing w:line="360" w:lineRule="auto"/>
        <w:ind w:firstLine="482"/>
        <w:outlineLvl w:val="2"/>
        <w:rPr>
          <w:rFonts w:ascii="Times New Roman" w:hAnsi="Times New Roman" w:eastAsia="宋体" w:cs="Times New Roman"/>
          <w:b/>
          <w:bCs/>
          <w:color w:val="auto"/>
          <w:szCs w:val="18"/>
          <w:highlight w:val="none"/>
        </w:rPr>
      </w:pPr>
      <w:bookmarkStart w:id="424" w:name="_Toc8195"/>
      <w:bookmarkStart w:id="425" w:name="_Toc195714276"/>
      <w:bookmarkStart w:id="426" w:name="_Toc25975"/>
      <w:r>
        <w:rPr>
          <w:rFonts w:ascii="Times New Roman" w:hAnsi="Times New Roman" w:eastAsia="宋体" w:cs="Times New Roman"/>
          <w:b/>
          <w:bCs/>
          <w:color w:val="auto"/>
          <w:szCs w:val="18"/>
          <w:highlight w:val="none"/>
        </w:rPr>
        <w:t>材料和设备</w:t>
      </w:r>
      <w:bookmarkEnd w:id="424"/>
      <w:bookmarkEnd w:id="425"/>
      <w:bookmarkEnd w:id="426"/>
    </w:p>
    <w:p w14:paraId="03BD0FC3">
      <w:pPr>
        <w:numPr>
          <w:ilvl w:val="0"/>
          <w:numId w:val="12"/>
        </w:numPr>
        <w:adjustRightInd w:val="0"/>
        <w:snapToGrid w:val="0"/>
        <w:spacing w:line="360" w:lineRule="auto"/>
        <w:ind w:firstLine="420" w:firstLineChars="200"/>
        <w:outlineLvl w:val="4"/>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材料</w:t>
      </w:r>
    </w:p>
    <w:p w14:paraId="4BB95797">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“材料”是指所有用于工程的建筑材料、货物和各种物品，不论是天然的、加工的和制造的以及工程中的各种类型的设备和装置。</w:t>
      </w:r>
    </w:p>
    <w:p w14:paraId="4CDBEEC5">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全部材料必须是新的，其类型和质量应符合招标文件的要求，在具备同等质量的品牌材料替代时需经招标人同意，但不能因此延长工期。</w:t>
      </w:r>
    </w:p>
    <w:p w14:paraId="09E6B987">
      <w:pPr>
        <w:adjustRightInd w:val="0"/>
        <w:snapToGrid w:val="0"/>
        <w:spacing w:line="360" w:lineRule="auto"/>
        <w:ind w:firstLine="525" w:firstLineChars="25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招标人有权对任何材料和设备在任何时间和地点进行检验和测试，如果所检验和测试的材料符合质量规定，则检验和测试费用由招标人承担，如不符合则此费用由中标人承担。</w:t>
      </w:r>
    </w:p>
    <w:p w14:paraId="563AF70F">
      <w:pPr>
        <w:numPr>
          <w:ilvl w:val="0"/>
          <w:numId w:val="12"/>
        </w:numPr>
        <w:adjustRightInd w:val="0"/>
        <w:snapToGrid w:val="0"/>
        <w:spacing w:line="360" w:lineRule="auto"/>
        <w:ind w:firstLine="420" w:firstLineChars="200"/>
        <w:outlineLvl w:val="4"/>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设备</w:t>
      </w:r>
    </w:p>
    <w:p w14:paraId="0E51C75C">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“设备”是指用于工程的所有设备，不论是在制造厂制造的或是在现场加工的，设备包括</w:t>
      </w:r>
      <w:r>
        <w:rPr>
          <w:rFonts w:hint="eastAsia" w:ascii="Times New Roman" w:hAnsi="Times New Roman" w:eastAsia="宋体" w:cs="Times New Roman"/>
          <w:color w:val="auto"/>
          <w:szCs w:val="21"/>
          <w:highlight w:val="none"/>
        </w:rPr>
        <w:t>但不限于服务器、工作站、磁盘阵列、交换机和防火墙</w:t>
      </w:r>
      <w:r>
        <w:rPr>
          <w:rFonts w:ascii="Times New Roman" w:hAnsi="Times New Roman" w:eastAsia="宋体" w:cs="Times New Roman"/>
          <w:color w:val="auto"/>
          <w:szCs w:val="21"/>
          <w:highlight w:val="none"/>
        </w:rPr>
        <w:t>等。</w:t>
      </w:r>
    </w:p>
    <w:p w14:paraId="49B5F9EE">
      <w:pPr>
        <w:keepNext/>
        <w:keepLines/>
        <w:numPr>
          <w:ilvl w:val="0"/>
          <w:numId w:val="10"/>
        </w:numPr>
        <w:adjustRightInd w:val="0"/>
        <w:snapToGrid w:val="0"/>
        <w:spacing w:line="360" w:lineRule="auto"/>
        <w:ind w:firstLine="482"/>
        <w:outlineLvl w:val="2"/>
        <w:rPr>
          <w:rFonts w:ascii="Times New Roman" w:hAnsi="Times New Roman" w:eastAsia="宋体" w:cs="Times New Roman"/>
          <w:b/>
          <w:bCs/>
          <w:color w:val="auto"/>
          <w:szCs w:val="18"/>
          <w:highlight w:val="none"/>
        </w:rPr>
      </w:pPr>
      <w:bookmarkStart w:id="427" w:name="_Toc195714277"/>
      <w:bookmarkStart w:id="428" w:name="_Toc2197"/>
      <w:bookmarkStart w:id="429" w:name="_Toc9825"/>
      <w:r>
        <w:rPr>
          <w:rFonts w:ascii="Times New Roman" w:hAnsi="Times New Roman" w:eastAsia="宋体" w:cs="Times New Roman"/>
          <w:b/>
          <w:bCs/>
          <w:color w:val="auto"/>
          <w:szCs w:val="18"/>
          <w:highlight w:val="none"/>
        </w:rPr>
        <w:t>包装、标志、运输和开箱验收</w:t>
      </w:r>
      <w:bookmarkEnd w:id="427"/>
      <w:bookmarkEnd w:id="428"/>
      <w:bookmarkEnd w:id="429"/>
    </w:p>
    <w:p w14:paraId="0FDF68DB">
      <w:pPr>
        <w:numPr>
          <w:ilvl w:val="0"/>
          <w:numId w:val="13"/>
        </w:numPr>
        <w:adjustRightInd w:val="0"/>
        <w:snapToGrid w:val="0"/>
        <w:spacing w:line="360" w:lineRule="auto"/>
        <w:ind w:firstLine="420" w:firstLineChars="200"/>
        <w:outlineLvl w:val="4"/>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包装和标志</w:t>
      </w:r>
    </w:p>
    <w:p w14:paraId="1D731379">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凡设备上需涂油漆部分均需按规定进行处理，会腐蚀的未涂油漆的部分须用高熔点油脂或无酸牛脂或用其它保护剂涂抹，上述这些保护剂在设备安装期间或在安装后是易于抹去的。</w:t>
      </w:r>
    </w:p>
    <w:p w14:paraId="4253846A">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对所有电气设备应采取令招标人满意的恰当的防腐防损措施。所有设备的包装须经得起陆上或海上的运输、搬运和露天存放。中标人应对包装设备负责，使其到达目的地后完整无缺。在到达目的地后一年的适当存贮期间不锈不蚀。</w:t>
      </w:r>
    </w:p>
    <w:p w14:paraId="50CED0C3">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所有包装箱上应正确地标上下列内容：</w:t>
      </w:r>
    </w:p>
    <w:p w14:paraId="7118D9F1">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A.合同号。</w:t>
      </w:r>
    </w:p>
    <w:p w14:paraId="51FE3341">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B.设备及备件的名称、代号、型号、数量。</w:t>
      </w:r>
    </w:p>
    <w:p w14:paraId="2F6136E7">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C.设备安装地名称。</w:t>
      </w:r>
    </w:p>
    <w:p w14:paraId="155CA8C6">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D.通用的商务标志。</w:t>
      </w:r>
    </w:p>
    <w:p w14:paraId="5197F136">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内有危险品或易碎物品的包装箱应按当地或国际惯例对待。</w:t>
      </w:r>
    </w:p>
    <w:p w14:paraId="03DA26C4">
      <w:pPr>
        <w:numPr>
          <w:ilvl w:val="0"/>
          <w:numId w:val="13"/>
        </w:numPr>
        <w:adjustRightInd w:val="0"/>
        <w:snapToGrid w:val="0"/>
        <w:spacing w:line="360" w:lineRule="auto"/>
        <w:ind w:firstLine="420" w:firstLineChars="200"/>
        <w:outlineLvl w:val="4"/>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交货地点</w:t>
      </w:r>
    </w:p>
    <w:p w14:paraId="2B69C9CD">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r>
        <w:rPr>
          <w:rFonts w:ascii="Times New Roman" w:hAnsi="Times New Roman" w:eastAsia="宋体" w:cs="Times New Roman"/>
          <w:b/>
          <w:bCs/>
          <w:color w:val="auto"/>
          <w:szCs w:val="21"/>
          <w:highlight w:val="none"/>
        </w:rPr>
        <w:t>本项目所有的设备交货地点为东莞市</w:t>
      </w:r>
      <w:r>
        <w:rPr>
          <w:rFonts w:hint="eastAsia" w:ascii="Times New Roman" w:hAnsi="Times New Roman" w:eastAsia="宋体" w:cs="Times New Roman"/>
          <w:b/>
          <w:bCs/>
          <w:color w:val="auto"/>
          <w:szCs w:val="21"/>
          <w:highlight w:val="none"/>
        </w:rPr>
        <w:t>石鼓净水有限公司旗下37个污水处理厂及21个提标项目</w:t>
      </w:r>
      <w:r>
        <w:rPr>
          <w:rFonts w:ascii="Times New Roman" w:hAnsi="Times New Roman" w:eastAsia="宋体" w:cs="Times New Roman"/>
          <w:b/>
          <w:bCs/>
          <w:color w:val="auto"/>
          <w:szCs w:val="21"/>
          <w:highlight w:val="none"/>
        </w:rPr>
        <w:t>现场</w:t>
      </w:r>
      <w:r>
        <w:rPr>
          <w:rFonts w:ascii="Times New Roman" w:hAnsi="Times New Roman" w:eastAsia="宋体" w:cs="Times New Roman"/>
          <w:b/>
          <w:color w:val="auto"/>
          <w:szCs w:val="21"/>
          <w:highlight w:val="none"/>
        </w:rPr>
        <w:t>招标人指定地点</w:t>
      </w:r>
      <w:r>
        <w:rPr>
          <w:rFonts w:ascii="Times New Roman" w:hAnsi="Times New Roman" w:eastAsia="宋体" w:cs="Times New Roman"/>
          <w:b/>
          <w:bCs/>
          <w:color w:val="auto"/>
          <w:szCs w:val="21"/>
          <w:highlight w:val="none"/>
        </w:rPr>
        <w:t>。</w:t>
      </w:r>
    </w:p>
    <w:p w14:paraId="6227788E">
      <w:pPr>
        <w:numPr>
          <w:ilvl w:val="0"/>
          <w:numId w:val="13"/>
        </w:numPr>
        <w:adjustRightInd w:val="0"/>
        <w:snapToGrid w:val="0"/>
        <w:spacing w:line="360" w:lineRule="auto"/>
        <w:ind w:firstLine="420" w:firstLineChars="200"/>
        <w:outlineLvl w:val="4"/>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运输</w:t>
      </w:r>
    </w:p>
    <w:p w14:paraId="169E9251">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r>
        <w:rPr>
          <w:rFonts w:ascii="Times New Roman" w:hAnsi="Times New Roman" w:eastAsia="宋体" w:cs="Times New Roman"/>
          <w:b/>
          <w:bCs/>
          <w:color w:val="auto"/>
          <w:szCs w:val="21"/>
          <w:highlight w:val="none"/>
        </w:rPr>
        <w:t>按照招标人的要求，中标人应按时告知设备的运输情况。中标人应负责将合同所供设备运至招标人指定位置，包括到场设备搬卸和采取安全措施。设备相关运输、装卸、保险、关税（进口设备）等费用已包含在投标报价总价中。</w:t>
      </w:r>
    </w:p>
    <w:p w14:paraId="792B26BF">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中标人对任何招标人不予接收的存在缺损或不符合技术文件规定的设备或有关机件、附件，应立即运走，予以更换。</w:t>
      </w:r>
    </w:p>
    <w:p w14:paraId="75EA0DE4">
      <w:pPr>
        <w:numPr>
          <w:ilvl w:val="0"/>
          <w:numId w:val="13"/>
        </w:numPr>
        <w:adjustRightInd w:val="0"/>
        <w:snapToGrid w:val="0"/>
        <w:spacing w:line="360" w:lineRule="auto"/>
        <w:ind w:firstLine="420" w:firstLineChars="200"/>
        <w:outlineLvl w:val="4"/>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开箱验收</w:t>
      </w:r>
    </w:p>
    <w:p w14:paraId="0C3C9A1A">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具备完整的装箱单，除保证设备完好外，还应该按照本用户需求书第</w:t>
      </w:r>
      <w:r>
        <w:rPr>
          <w:rFonts w:hint="eastAsia" w:ascii="Times New Roman" w:hAnsi="Times New Roman" w:eastAsia="宋体" w:cs="Times New Roman"/>
          <w:color w:val="auto"/>
          <w:szCs w:val="21"/>
          <w:highlight w:val="none"/>
        </w:rPr>
        <w:t>三</w:t>
      </w:r>
      <w:r>
        <w:rPr>
          <w:rFonts w:ascii="Times New Roman" w:hAnsi="Times New Roman" w:eastAsia="宋体" w:cs="Times New Roman"/>
          <w:color w:val="auto"/>
          <w:szCs w:val="21"/>
          <w:highlight w:val="none"/>
        </w:rPr>
        <w:t>节的要求提供资料。</w:t>
      </w:r>
    </w:p>
    <w:p w14:paraId="3CE2C051">
      <w:pPr>
        <w:keepNext/>
        <w:keepLines/>
        <w:numPr>
          <w:ilvl w:val="0"/>
          <w:numId w:val="10"/>
        </w:numPr>
        <w:adjustRightInd w:val="0"/>
        <w:snapToGrid w:val="0"/>
        <w:spacing w:line="360" w:lineRule="auto"/>
        <w:ind w:firstLine="482"/>
        <w:outlineLvl w:val="2"/>
        <w:rPr>
          <w:rFonts w:ascii="Times New Roman" w:hAnsi="Times New Roman" w:eastAsia="宋体" w:cs="Times New Roman"/>
          <w:b/>
          <w:bCs/>
          <w:color w:val="auto"/>
          <w:szCs w:val="18"/>
          <w:highlight w:val="none"/>
        </w:rPr>
      </w:pPr>
      <w:bookmarkStart w:id="430" w:name="_Toc11795"/>
      <w:bookmarkStart w:id="431" w:name="_Toc3501"/>
      <w:bookmarkStart w:id="432" w:name="_Toc195714278"/>
      <w:r>
        <w:rPr>
          <w:rFonts w:ascii="Times New Roman" w:hAnsi="Times New Roman" w:eastAsia="宋体" w:cs="Times New Roman"/>
          <w:b/>
          <w:bCs/>
          <w:color w:val="auto"/>
          <w:szCs w:val="18"/>
          <w:highlight w:val="none"/>
        </w:rPr>
        <w:t>设备安装及调试</w:t>
      </w:r>
      <w:bookmarkEnd w:id="430"/>
      <w:bookmarkEnd w:id="431"/>
      <w:bookmarkEnd w:id="432"/>
    </w:p>
    <w:p w14:paraId="6E43D433">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中标人应派专业技术人员到现场，进行设备、电气等的安装，在招标人的组织安排下，负责完成单机机械试车、指导及配合联合试运转、性能考核的技术工作。另外，设备控制系统（含仪表）由中标人自行调试。</w:t>
      </w:r>
    </w:p>
    <w:p w14:paraId="212C1D31">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r>
        <w:rPr>
          <w:rFonts w:ascii="Times New Roman" w:hAnsi="Times New Roman" w:eastAsia="宋体" w:cs="Times New Roman"/>
          <w:b/>
          <w:bCs/>
          <w:color w:val="auto"/>
          <w:szCs w:val="21"/>
          <w:highlight w:val="none"/>
        </w:rPr>
        <w:t>上述的技术服务费已包含在投标报价中。</w:t>
      </w:r>
    </w:p>
    <w:p w14:paraId="7D0A1242">
      <w:pPr>
        <w:keepNext/>
        <w:keepLines/>
        <w:numPr>
          <w:ilvl w:val="0"/>
          <w:numId w:val="10"/>
        </w:numPr>
        <w:adjustRightInd w:val="0"/>
        <w:snapToGrid w:val="0"/>
        <w:spacing w:line="360" w:lineRule="auto"/>
        <w:ind w:firstLine="482"/>
        <w:outlineLvl w:val="2"/>
        <w:rPr>
          <w:rFonts w:ascii="Times New Roman" w:hAnsi="Times New Roman" w:eastAsia="宋体" w:cs="Times New Roman"/>
          <w:b/>
          <w:bCs/>
          <w:color w:val="auto"/>
          <w:szCs w:val="18"/>
          <w:highlight w:val="none"/>
        </w:rPr>
      </w:pPr>
      <w:bookmarkStart w:id="433" w:name="_Toc195714279"/>
      <w:bookmarkStart w:id="434" w:name="_Toc32684"/>
      <w:bookmarkStart w:id="435" w:name="_Toc11104"/>
      <w:r>
        <w:rPr>
          <w:rFonts w:ascii="Times New Roman" w:hAnsi="Times New Roman" w:eastAsia="宋体" w:cs="Times New Roman"/>
          <w:b/>
          <w:bCs/>
          <w:color w:val="auto"/>
          <w:szCs w:val="18"/>
          <w:highlight w:val="none"/>
        </w:rPr>
        <w:t>人员培训</w:t>
      </w:r>
      <w:bookmarkEnd w:id="433"/>
      <w:bookmarkEnd w:id="434"/>
      <w:bookmarkEnd w:id="435"/>
    </w:p>
    <w:p w14:paraId="480FE90A">
      <w:pPr>
        <w:numPr>
          <w:ilvl w:val="0"/>
          <w:numId w:val="14"/>
        </w:numPr>
        <w:adjustRightInd w:val="0"/>
        <w:snapToGrid w:val="0"/>
        <w:spacing w:line="360" w:lineRule="auto"/>
        <w:ind w:firstLine="420" w:firstLineChars="200"/>
        <w:outlineLvl w:val="4"/>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中标人所在地的考察和招标人所在地及工地现场培训</w:t>
      </w:r>
    </w:p>
    <w:p w14:paraId="2C2AE70E">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A.中标人应按照经招标人批准的培训计划对招标人所指派的工作人员进行有关合同内设备的测试、操作和维修方面的培训，使其能对合同内所有设备的特性、结构、操作和维修要求获得充分的了解和掌握。</w:t>
      </w:r>
    </w:p>
    <w:p w14:paraId="370A318B">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B.进口设备由外籍技术人员给招标人技术人员进行培训时，中标人必须聘请专业的翻译人员，并提供相关的中英文资料。</w:t>
      </w:r>
    </w:p>
    <w:p w14:paraId="044F01CD">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上述培训费用包含在投标报价总价内，并提供培训计划。</w:t>
      </w:r>
    </w:p>
    <w:p w14:paraId="21284414">
      <w:pPr>
        <w:numPr>
          <w:ilvl w:val="0"/>
          <w:numId w:val="14"/>
        </w:numPr>
        <w:adjustRightInd w:val="0"/>
        <w:snapToGrid w:val="0"/>
        <w:spacing w:line="360" w:lineRule="auto"/>
        <w:ind w:firstLine="420" w:firstLineChars="200"/>
        <w:outlineLvl w:val="4"/>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现场培训</w:t>
      </w:r>
    </w:p>
    <w:p w14:paraId="1E8F52C6">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现场培训是在安装、试运转和检测期间，中标人派专人对操作工人培训，务必使这些受训人员能胜任这些设备的运行和维护工作。</w:t>
      </w:r>
    </w:p>
    <w:p w14:paraId="348E42E0">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现场培训费用已包含投标总价中。</w:t>
      </w:r>
    </w:p>
    <w:p w14:paraId="1E623D2C">
      <w:pPr>
        <w:keepNext/>
        <w:keepLines/>
        <w:numPr>
          <w:ilvl w:val="0"/>
          <w:numId w:val="10"/>
        </w:numPr>
        <w:adjustRightInd w:val="0"/>
        <w:snapToGrid w:val="0"/>
        <w:spacing w:line="360" w:lineRule="auto"/>
        <w:ind w:firstLine="482"/>
        <w:outlineLvl w:val="2"/>
        <w:rPr>
          <w:rFonts w:ascii="Times New Roman" w:hAnsi="Times New Roman" w:eastAsia="宋体" w:cs="Times New Roman"/>
          <w:b/>
          <w:bCs/>
          <w:color w:val="auto"/>
          <w:szCs w:val="18"/>
          <w:highlight w:val="none"/>
        </w:rPr>
      </w:pPr>
      <w:bookmarkStart w:id="436" w:name="_Toc8820"/>
      <w:bookmarkStart w:id="437" w:name="_Toc195714280"/>
      <w:bookmarkStart w:id="438" w:name="_Toc26006"/>
      <w:r>
        <w:rPr>
          <w:rFonts w:ascii="Times New Roman" w:hAnsi="Times New Roman" w:eastAsia="宋体" w:cs="Times New Roman"/>
          <w:b/>
          <w:bCs/>
          <w:color w:val="auto"/>
          <w:szCs w:val="18"/>
          <w:highlight w:val="none"/>
        </w:rPr>
        <w:t>质保期工作</w:t>
      </w:r>
      <w:bookmarkEnd w:id="436"/>
      <w:bookmarkEnd w:id="437"/>
      <w:bookmarkEnd w:id="438"/>
    </w:p>
    <w:p w14:paraId="311261DD">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r>
        <w:rPr>
          <w:rFonts w:ascii="Times New Roman" w:hAnsi="Times New Roman" w:eastAsia="宋体" w:cs="Times New Roman"/>
          <w:b/>
          <w:color w:val="auto"/>
          <w:szCs w:val="21"/>
          <w:highlight w:val="none"/>
        </w:rPr>
        <w:t>设备</w:t>
      </w:r>
      <w:r>
        <w:rPr>
          <w:rFonts w:hint="eastAsia" w:ascii="Times New Roman" w:hAnsi="Times New Roman" w:eastAsia="宋体" w:cs="Times New Roman"/>
          <w:b/>
          <w:color w:val="auto"/>
          <w:szCs w:val="21"/>
          <w:highlight w:val="none"/>
        </w:rPr>
        <w:t>、软件、系统</w:t>
      </w:r>
      <w:r>
        <w:rPr>
          <w:rFonts w:ascii="Times New Roman" w:hAnsi="Times New Roman" w:eastAsia="宋体" w:cs="Times New Roman"/>
          <w:b/>
          <w:color w:val="auto"/>
          <w:szCs w:val="21"/>
          <w:highlight w:val="none"/>
        </w:rPr>
        <w:t>质保期为至少24个月，质保期自</w:t>
      </w:r>
      <w:r>
        <w:rPr>
          <w:rFonts w:ascii="Times New Roman" w:hAnsi="Times New Roman" w:eastAsia="宋体" w:cs="Times New Roman"/>
          <w:b/>
          <w:bCs/>
          <w:color w:val="auto"/>
          <w:szCs w:val="21"/>
          <w:highlight w:val="none"/>
        </w:rPr>
        <w:t>项目所有设备</w:t>
      </w:r>
      <w:r>
        <w:rPr>
          <w:rFonts w:hint="eastAsia" w:ascii="Times New Roman" w:hAnsi="Times New Roman" w:eastAsia="宋体" w:cs="Times New Roman"/>
          <w:b/>
          <w:bCs/>
          <w:color w:val="auto"/>
          <w:szCs w:val="21"/>
          <w:highlight w:val="none"/>
        </w:rPr>
        <w:t>、软件、系统</w:t>
      </w:r>
      <w:r>
        <w:rPr>
          <w:rFonts w:ascii="Times New Roman" w:hAnsi="Times New Roman" w:eastAsia="宋体" w:cs="Times New Roman"/>
          <w:b/>
          <w:color w:val="auto"/>
          <w:szCs w:val="21"/>
          <w:highlight w:val="none"/>
        </w:rPr>
        <w:t>最终验收合格之日起算</w:t>
      </w:r>
      <w:r>
        <w:rPr>
          <w:rFonts w:ascii="Times New Roman" w:hAnsi="Times New Roman" w:eastAsia="宋体" w:cs="Times New Roman"/>
          <w:b/>
          <w:bCs/>
          <w:color w:val="auto"/>
          <w:szCs w:val="21"/>
          <w:highlight w:val="none"/>
        </w:rPr>
        <w:t>（以整体验收报告日期为准）</w:t>
      </w:r>
      <w:r>
        <w:rPr>
          <w:rFonts w:ascii="Times New Roman" w:hAnsi="Times New Roman" w:eastAsia="宋体" w:cs="Times New Roman"/>
          <w:b/>
          <w:color w:val="auto"/>
          <w:szCs w:val="21"/>
          <w:highlight w:val="none"/>
        </w:rPr>
        <w:t>。</w:t>
      </w:r>
      <w:r>
        <w:rPr>
          <w:rFonts w:ascii="Times New Roman" w:hAnsi="Times New Roman" w:eastAsia="宋体" w:cs="Times New Roman"/>
          <w:color w:val="auto"/>
          <w:szCs w:val="21"/>
          <w:highlight w:val="none"/>
        </w:rPr>
        <w:t>质保期内，中标人对所投设备供货、</w:t>
      </w:r>
      <w:r>
        <w:rPr>
          <w:rFonts w:hint="eastAsia" w:ascii="Times New Roman" w:hAnsi="Times New Roman" w:eastAsia="宋体" w:cs="Times New Roman"/>
          <w:color w:val="auto"/>
          <w:szCs w:val="21"/>
          <w:highlight w:val="none"/>
        </w:rPr>
        <w:t>安装质量进行免费</w:t>
      </w:r>
      <w:r>
        <w:rPr>
          <w:rFonts w:hint="eastAsia" w:ascii="Times New Roman" w:hAnsi="Times New Roman" w:eastAsia="宋体" w:cs="Times New Roman"/>
          <w:color w:val="auto"/>
          <w:szCs w:val="21"/>
          <w:highlight w:val="none"/>
          <w:lang w:bidi="ar"/>
        </w:rPr>
        <w:t>硬件售后和系统运维服务</w:t>
      </w:r>
      <w:r>
        <w:rPr>
          <w:rFonts w:hint="eastAsia" w:ascii="Times New Roman" w:hAnsi="Times New Roman" w:eastAsia="宋体" w:cs="Times New Roman"/>
          <w:color w:val="auto"/>
          <w:szCs w:val="21"/>
          <w:highlight w:val="none"/>
        </w:rPr>
        <w:t>，免费</w:t>
      </w:r>
      <w:r>
        <w:rPr>
          <w:rFonts w:hint="eastAsia" w:ascii="Times New Roman" w:hAnsi="Times New Roman" w:eastAsia="宋体" w:cs="Times New Roman"/>
          <w:color w:val="auto"/>
          <w:szCs w:val="21"/>
          <w:highlight w:val="none"/>
          <w:lang w:bidi="ar"/>
        </w:rPr>
        <w:t>硬件售后和系统运维服务</w:t>
      </w:r>
      <w:r>
        <w:rPr>
          <w:rFonts w:hint="eastAsia" w:ascii="Times New Roman" w:hAnsi="Times New Roman" w:eastAsia="宋体" w:cs="Times New Roman"/>
          <w:color w:val="auto"/>
          <w:szCs w:val="21"/>
          <w:highlight w:val="none"/>
        </w:rPr>
        <w:t>包括但不限于由中标人承担完成质保期的工作而产生的运费、购置费、测试费、人工费、维护费等各项费用。</w:t>
      </w:r>
    </w:p>
    <w:p w14:paraId="7A077782">
      <w:pPr>
        <w:numPr>
          <w:ilvl w:val="0"/>
          <w:numId w:val="15"/>
        </w:num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质保期内中标人对招标人负有责任，对设备出现的不符合合同要求的、有问题的地方应进行免费维修、保修或更换配件，中标人免费提供维护、维修以及其它售后服务，所有质保服务由中标人上门进行，且不得另行收取任何费用。在质保期内，中标人负责维修、更换的设备、零部件等质保期从维修更换经招标人确认后重新计算。</w:t>
      </w:r>
    </w:p>
    <w:p w14:paraId="691D05E7">
      <w:pPr>
        <w:numPr>
          <w:ilvl w:val="0"/>
          <w:numId w:val="15"/>
        </w:num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在质保期内中标人应负责设备的保养，并实施每年至少两次整体检查。质保期间如在正常操作情况下，任何机件因设计不当、材质缺陷或制造欠佳等因素而发生故障，中标人应在接到通知后，毫不拖延地负责修复。如中标人未在规定的期限内修复，</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1"/>
          <w:highlight w:val="none"/>
        </w:rPr>
        <w:t>有权自行处理，其费用应由中标人负责支付，不得异议。</w:t>
      </w:r>
    </w:p>
    <w:p w14:paraId="6267061F">
      <w:pPr>
        <w:numPr>
          <w:ilvl w:val="0"/>
          <w:numId w:val="15"/>
        </w:num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1"/>
          <w:highlight w:val="none"/>
        </w:rPr>
        <w:t>有权拒绝使用带有缺陷的或与合同要求不符的设备或零件，这些设备或零件由中标人负责更换，</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1"/>
          <w:highlight w:val="none"/>
        </w:rPr>
        <w:t>不负担所增加费用。包括在质保期内，</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1"/>
          <w:highlight w:val="none"/>
        </w:rPr>
        <w:t>如发现产品的质量、规格、性能、数量等与本招标文件规定不符，或发现产品无论由于任何原因存在隐藏缺陷、工艺问题或使用不良的材料的，或产品出现质量问题的，中标人应根据</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1"/>
          <w:highlight w:val="none"/>
        </w:rPr>
        <w:t>指示承担更换或退货责任。</w:t>
      </w:r>
    </w:p>
    <w:p w14:paraId="777C8565">
      <w:pPr>
        <w:numPr>
          <w:ilvl w:val="0"/>
          <w:numId w:val="15"/>
        </w:num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在设备出现严重故障、影响正常运行、修复有困难的情况下，应对设备进行免费更换。包括在质保期内，如发现故障（7</w:t>
      </w:r>
      <w:r>
        <w:rPr>
          <w:rFonts w:hint="eastAsia" w:ascii="Times New Roman" w:hAnsi="Times New Roman" w:eastAsia="宋体" w:cs="Times New Roman"/>
          <w:color w:val="auto"/>
          <w:szCs w:val="21"/>
          <w:highlight w:val="none"/>
        </w:rPr>
        <w:t>日</w:t>
      </w:r>
      <w:r>
        <w:rPr>
          <w:rFonts w:ascii="Times New Roman" w:hAnsi="Times New Roman" w:eastAsia="宋体" w:cs="Times New Roman"/>
          <w:color w:val="auto"/>
          <w:szCs w:val="21"/>
          <w:highlight w:val="none"/>
        </w:rPr>
        <w:t>内）无法修复，或一个故障累计出现超过两次（含两次），或货物累计经三次维修后仍无法正常运行的，中标人应无条件根据</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1"/>
          <w:highlight w:val="none"/>
        </w:rPr>
        <w:t>要求承担更换或退货责任，由此产生的费用由中标人承担。</w:t>
      </w:r>
    </w:p>
    <w:p w14:paraId="75913345">
      <w:pPr>
        <w:numPr>
          <w:ilvl w:val="0"/>
          <w:numId w:val="15"/>
        </w:num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质保期内全部服务费（含更换零部件，达到招标文件及合同约定条件的更换货物或退货）和维修费用及中标人技术服务人员的一切费用由中标人全部自理，包括但不限于为完成质保期的工作而产生的运费、购置费、测试费、人工、劳务等各项费用（包括进口关税和增值税等），上述所有费用由中标人自行承担，</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1"/>
          <w:highlight w:val="none"/>
        </w:rPr>
        <w:t>保留对其在质保期内因设备缺陷导致的损失向中标人索赔的权利。</w:t>
      </w:r>
    </w:p>
    <w:p w14:paraId="32828622">
      <w:pPr>
        <w:numPr>
          <w:ilvl w:val="0"/>
          <w:numId w:val="15"/>
        </w:num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中标人必须具有专业的售后服务力量和售后技术服务队伍，在合同规定的质保期内，中标人承诺将在接到</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1"/>
          <w:highlight w:val="none"/>
        </w:rPr>
        <w:t>的故障报警后4小时内响应，24小时内到达项目现场进行维修等服务。</w:t>
      </w:r>
    </w:p>
    <w:p w14:paraId="463969B6">
      <w:pPr>
        <w:numPr>
          <w:ilvl w:val="0"/>
          <w:numId w:val="15"/>
        </w:num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中标人应建立质量跟踪档案，对</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1"/>
          <w:highlight w:val="none"/>
        </w:rPr>
        <w:t xml:space="preserve">进行每月一次的定期回访（电话或现场），以保证货物的正常运行。 </w:t>
      </w:r>
    </w:p>
    <w:p w14:paraId="066335CC">
      <w:pPr>
        <w:keepNext/>
        <w:keepLines/>
        <w:numPr>
          <w:ilvl w:val="0"/>
          <w:numId w:val="3"/>
        </w:numPr>
        <w:adjustRightInd w:val="0"/>
        <w:snapToGrid w:val="0"/>
        <w:spacing w:line="360" w:lineRule="auto"/>
        <w:ind w:left="0" w:leftChars="0" w:firstLine="0" w:firstLineChars="0"/>
        <w:jc w:val="left"/>
        <w:outlineLvl w:val="1"/>
        <w:rPr>
          <w:rFonts w:ascii="Times New Roman" w:hAnsi="Times New Roman" w:eastAsia="宋体" w:cs="Times New Roman"/>
          <w:b/>
          <w:bCs/>
          <w:color w:val="auto"/>
          <w:szCs w:val="21"/>
          <w:highlight w:val="none"/>
        </w:rPr>
      </w:pPr>
      <w:bookmarkStart w:id="439" w:name="_Toc195714281"/>
      <w:bookmarkStart w:id="440" w:name="_Toc11229"/>
      <w:bookmarkStart w:id="441" w:name="_Toc232"/>
      <w:r>
        <w:rPr>
          <w:rFonts w:ascii="Times New Roman" w:hAnsi="Times New Roman" w:eastAsia="宋体" w:cs="Times New Roman"/>
          <w:b/>
          <w:bCs/>
          <w:color w:val="auto"/>
          <w:szCs w:val="21"/>
          <w:highlight w:val="none"/>
        </w:rPr>
        <w:t>单位、质量标准和规范</w:t>
      </w:r>
      <w:bookmarkEnd w:id="439"/>
      <w:bookmarkEnd w:id="440"/>
      <w:bookmarkEnd w:id="441"/>
    </w:p>
    <w:p w14:paraId="62568A47">
      <w:pPr>
        <w:keepNext/>
        <w:keepLines/>
        <w:numPr>
          <w:ilvl w:val="0"/>
          <w:numId w:val="16"/>
        </w:numPr>
        <w:adjustRightInd w:val="0"/>
        <w:snapToGrid w:val="0"/>
        <w:spacing w:line="360" w:lineRule="auto"/>
        <w:ind w:firstLine="482"/>
        <w:outlineLvl w:val="2"/>
        <w:rPr>
          <w:rFonts w:ascii="Times New Roman" w:hAnsi="Times New Roman" w:eastAsia="宋体" w:cs="Times New Roman"/>
          <w:b/>
          <w:bCs/>
          <w:color w:val="auto"/>
          <w:szCs w:val="18"/>
          <w:highlight w:val="none"/>
        </w:rPr>
      </w:pPr>
      <w:bookmarkStart w:id="442" w:name="_Toc26145"/>
      <w:bookmarkStart w:id="443" w:name="_Toc195714282"/>
      <w:bookmarkStart w:id="444" w:name="_Toc28724"/>
      <w:r>
        <w:rPr>
          <w:rFonts w:ascii="Times New Roman" w:hAnsi="Times New Roman" w:eastAsia="宋体" w:cs="Times New Roman"/>
          <w:b/>
          <w:bCs/>
          <w:color w:val="auto"/>
          <w:szCs w:val="18"/>
          <w:highlight w:val="none"/>
        </w:rPr>
        <w:t>计量单位</w:t>
      </w:r>
      <w:bookmarkEnd w:id="442"/>
      <w:bookmarkEnd w:id="443"/>
    </w:p>
    <w:p w14:paraId="795F68D3">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本项目投标人提供的设备参数应使用国际单位制，投标人在投标文件中必须采用国际计量单位制。</w:t>
      </w:r>
      <w:bookmarkEnd w:id="444"/>
    </w:p>
    <w:p w14:paraId="04FDF71A">
      <w:pPr>
        <w:keepNext/>
        <w:keepLines/>
        <w:numPr>
          <w:ilvl w:val="0"/>
          <w:numId w:val="16"/>
        </w:numPr>
        <w:adjustRightInd w:val="0"/>
        <w:snapToGrid w:val="0"/>
        <w:spacing w:line="360" w:lineRule="auto"/>
        <w:ind w:firstLine="482"/>
        <w:outlineLvl w:val="2"/>
        <w:rPr>
          <w:rFonts w:ascii="Times New Roman" w:hAnsi="Times New Roman" w:eastAsia="宋体" w:cs="Times New Roman"/>
          <w:b/>
          <w:bCs/>
          <w:color w:val="auto"/>
          <w:szCs w:val="18"/>
          <w:highlight w:val="none"/>
        </w:rPr>
      </w:pPr>
      <w:bookmarkStart w:id="445" w:name="_Toc195714283"/>
      <w:bookmarkStart w:id="446" w:name="_Toc3210"/>
      <w:bookmarkStart w:id="447" w:name="_Toc9528"/>
      <w:r>
        <w:rPr>
          <w:rFonts w:ascii="Times New Roman" w:hAnsi="Times New Roman" w:eastAsia="宋体" w:cs="Times New Roman"/>
          <w:b/>
          <w:bCs/>
          <w:color w:val="auto"/>
          <w:szCs w:val="18"/>
          <w:highlight w:val="none"/>
        </w:rPr>
        <w:t>质量标准和规范</w:t>
      </w:r>
      <w:bookmarkEnd w:id="445"/>
      <w:bookmarkEnd w:id="446"/>
      <w:bookmarkEnd w:id="447"/>
    </w:p>
    <w:p w14:paraId="4363E3FF">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所有设备的制造、调试和安装应符合中国国家有关标准和规范。如果投标人所用标准优于国家标准，投标人要说明用于替代的标准或实际使用的规范，并提交标准或实施规范。</w:t>
      </w:r>
    </w:p>
    <w:p w14:paraId="12EFD0CE">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下列标准所包含的部分条文在本招标文件中引用，投标人所提供的产品的型式分类、技术要求、测试方法、检测及包装运输必须符合这些要求；未被引用的部分同样也被视为必须遵循的标准，并且这些标准会被修订，投标人应按最新的版本执行。所列的标准并未包括全部本工程工艺设备制造须执行的国标、部标，未被提及的相关国标、部标也应被投标人遵循。当本招标文件描述的要求高于国标、部标时，投标人应满足本招标文件的要求。</w:t>
      </w:r>
    </w:p>
    <w:p w14:paraId="06CC8091">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CECS81:96        《工业计算机监控系统抗干扰技术规范》</w:t>
      </w:r>
    </w:p>
    <w:p w14:paraId="3FE46E16">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GB50174-2008     《电子计算机机房设计规范》</w:t>
      </w:r>
    </w:p>
    <w:p w14:paraId="0645FB78">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GB/T8566-2007    《信息技术软件生存期过程》</w:t>
      </w:r>
    </w:p>
    <w:p w14:paraId="5B029CA5">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GB8566-2007      《计算机软件开发规范》</w:t>
      </w:r>
    </w:p>
    <w:p w14:paraId="2E63D5D0">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GB/T12504        《计算机软件质量保证计划规范》</w:t>
      </w:r>
    </w:p>
    <w:p w14:paraId="6F3BAFA2">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GBJ42-81         《工业企业通信设计规范》</w:t>
      </w:r>
    </w:p>
    <w:p w14:paraId="6C8C5B08">
      <w:pPr>
        <w:snapToGrid w:val="0"/>
        <w:spacing w:line="360" w:lineRule="auto"/>
        <w:ind w:firstLine="424" w:firstLineChars="202"/>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GB50063-2017</w:t>
      </w:r>
      <w:r>
        <w:rPr>
          <w:rFonts w:hint="eastAsia" w:ascii="Times New Roman" w:hAnsi="Times New Roman" w:eastAsia="宋体" w:cs="宋体"/>
          <w:color w:val="auto"/>
          <w:kern w:val="0"/>
          <w:szCs w:val="21"/>
          <w:highlight w:val="none"/>
        </w:rPr>
        <w:t xml:space="preserve">     《电力装置的电测量仪表装置设计规范》</w:t>
      </w:r>
    </w:p>
    <w:p w14:paraId="5AC9C0C0">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GBJ79-85         《工业企业通信接地设计规范》</w:t>
      </w:r>
    </w:p>
    <w:p w14:paraId="28E587DF">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GB50057-2010     《建筑防雷设计规范》</w:t>
      </w:r>
    </w:p>
    <w:p w14:paraId="4E5317EF">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GB 50343-2004    《建筑物电子信息系统防雷技术规范》</w:t>
      </w:r>
    </w:p>
    <w:p w14:paraId="5D05EAC9">
      <w:pPr>
        <w:snapToGrid w:val="0"/>
        <w:spacing w:line="360" w:lineRule="auto"/>
        <w:ind w:firstLine="424" w:firstLineChars="202"/>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GB50058-2014</w:t>
      </w:r>
      <w:r>
        <w:rPr>
          <w:rFonts w:hint="eastAsia" w:ascii="Times New Roman" w:hAnsi="Times New Roman" w:eastAsia="宋体" w:cs="宋体"/>
          <w:color w:val="auto"/>
          <w:kern w:val="0"/>
          <w:szCs w:val="21"/>
          <w:highlight w:val="none"/>
        </w:rPr>
        <w:t xml:space="preserve">     《爆炸和火灾危险环境电力装置设计规范》</w:t>
      </w:r>
    </w:p>
    <w:p w14:paraId="273F5E17">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GB4208-2008      《外壳防护等级》</w:t>
      </w:r>
    </w:p>
    <w:p w14:paraId="5FBAE7B6">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GB7450-87        《电子设备雷击保护条例》</w:t>
      </w:r>
    </w:p>
    <w:p w14:paraId="30FACF39">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IEC 1158         《现场总线标准》</w:t>
      </w:r>
    </w:p>
    <w:p w14:paraId="495C56D2">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IEC 1000-1995    《电磁兼容性》</w:t>
      </w:r>
    </w:p>
    <w:p w14:paraId="4EFF8C5B">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IEC 1312-3       《雷电电磁脉冲的防护》</w:t>
      </w:r>
    </w:p>
    <w:p w14:paraId="0376CCE7">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IEC 529-89       《外壳保护等级》</w:t>
      </w:r>
    </w:p>
    <w:p w14:paraId="46716221">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IEEE-472         《浪涌保护规格》</w:t>
      </w:r>
    </w:p>
    <w:p w14:paraId="54936964">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IEC 61754        《光纤连接器接口》</w:t>
      </w:r>
    </w:p>
    <w:p w14:paraId="1757BD38">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GB50168-2006     《电气装置安装工程电缆线路施工及验收规范》</w:t>
      </w:r>
    </w:p>
    <w:p w14:paraId="1A1C07E9">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GB50171-2012     《电气装置安装工程盘、柜及二次回路结线施工及验收规范》</w:t>
      </w:r>
    </w:p>
    <w:p w14:paraId="2AF2B41C">
      <w:pPr>
        <w:snapToGrid w:val="0"/>
        <w:spacing w:line="360" w:lineRule="auto"/>
        <w:ind w:firstLine="424" w:firstLineChars="202"/>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GB 50093-2013</w:t>
      </w:r>
      <w:r>
        <w:rPr>
          <w:rFonts w:hint="eastAsia" w:ascii="Times New Roman" w:hAnsi="Times New Roman" w:eastAsia="宋体" w:cs="宋体"/>
          <w:color w:val="auto"/>
          <w:kern w:val="0"/>
          <w:szCs w:val="21"/>
          <w:highlight w:val="none"/>
        </w:rPr>
        <w:t xml:space="preserve">    《自动化仪表工程施工及质量验收规范》</w:t>
      </w:r>
    </w:p>
    <w:p w14:paraId="0EAED9B3">
      <w:pPr>
        <w:snapToGrid w:val="0"/>
        <w:spacing w:line="360" w:lineRule="auto"/>
        <w:ind w:firstLine="424" w:firstLineChars="202"/>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 xml:space="preserve">HJ/91.1-2019     </w:t>
      </w:r>
      <w:r>
        <w:rPr>
          <w:rFonts w:hint="eastAsia" w:ascii="Times New Roman" w:hAnsi="Times New Roman" w:eastAsia="宋体" w:cs="宋体"/>
          <w:color w:val="auto"/>
          <w:kern w:val="0"/>
          <w:szCs w:val="21"/>
          <w:highlight w:val="none"/>
        </w:rPr>
        <w:t>《污水监测技术规范》</w:t>
      </w:r>
    </w:p>
    <w:p w14:paraId="41D5C015">
      <w:pPr>
        <w:snapToGrid w:val="0"/>
        <w:spacing w:line="360" w:lineRule="auto"/>
        <w:ind w:firstLine="424" w:firstLineChars="202"/>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 xml:space="preserve">HJ 353-2019      </w:t>
      </w:r>
      <w:r>
        <w:rPr>
          <w:rFonts w:hint="eastAsia" w:ascii="Times New Roman" w:hAnsi="Times New Roman" w:eastAsia="宋体" w:cs="宋体"/>
          <w:color w:val="auto"/>
          <w:kern w:val="0"/>
          <w:szCs w:val="21"/>
          <w:highlight w:val="none"/>
        </w:rPr>
        <w:t>《水污染源在线监测系统</w:t>
      </w:r>
      <w:r>
        <w:rPr>
          <w:rFonts w:ascii="Times New Roman" w:hAnsi="Times New Roman" w:eastAsia="宋体" w:cs="宋体"/>
          <w:color w:val="auto"/>
          <w:kern w:val="0"/>
          <w:szCs w:val="21"/>
          <w:highlight w:val="none"/>
        </w:rPr>
        <w:t xml:space="preserve">(CODCr、NH3-N等) </w:t>
      </w:r>
      <w:r>
        <w:rPr>
          <w:rFonts w:hint="eastAsia" w:ascii="Times New Roman" w:hAnsi="Times New Roman" w:eastAsia="宋体" w:cs="宋体"/>
          <w:color w:val="auto"/>
          <w:kern w:val="0"/>
          <w:szCs w:val="21"/>
          <w:highlight w:val="none"/>
        </w:rPr>
        <w:t>安装技术规范》</w:t>
      </w:r>
    </w:p>
    <w:p w14:paraId="4A497E68">
      <w:pPr>
        <w:snapToGrid w:val="0"/>
        <w:spacing w:line="360" w:lineRule="auto"/>
        <w:ind w:firstLine="424" w:firstLineChars="202"/>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 xml:space="preserve">HJ 354-2019      </w:t>
      </w:r>
      <w:r>
        <w:rPr>
          <w:rFonts w:hint="eastAsia" w:ascii="Times New Roman" w:hAnsi="Times New Roman" w:eastAsia="宋体" w:cs="宋体"/>
          <w:color w:val="auto"/>
          <w:kern w:val="0"/>
          <w:szCs w:val="21"/>
          <w:highlight w:val="none"/>
        </w:rPr>
        <w:t>《水污染源在线监测系统</w:t>
      </w:r>
      <w:r>
        <w:rPr>
          <w:rFonts w:ascii="Times New Roman" w:hAnsi="Times New Roman" w:eastAsia="宋体" w:cs="宋体"/>
          <w:color w:val="auto"/>
          <w:kern w:val="0"/>
          <w:szCs w:val="21"/>
          <w:highlight w:val="none"/>
        </w:rPr>
        <w:t xml:space="preserve">(CODCr、NH3-N等) </w:t>
      </w:r>
      <w:r>
        <w:rPr>
          <w:rFonts w:hint="eastAsia" w:ascii="Times New Roman" w:hAnsi="Times New Roman" w:eastAsia="宋体" w:cs="宋体"/>
          <w:color w:val="auto"/>
          <w:kern w:val="0"/>
          <w:szCs w:val="21"/>
          <w:highlight w:val="none"/>
        </w:rPr>
        <w:t>验收技术规范》</w:t>
      </w:r>
    </w:p>
    <w:p w14:paraId="5B1CA8E0">
      <w:pPr>
        <w:snapToGrid w:val="0"/>
        <w:spacing w:line="360" w:lineRule="auto"/>
        <w:ind w:firstLine="424" w:firstLineChars="202"/>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 xml:space="preserve">HJ 355-2019      </w:t>
      </w:r>
      <w:r>
        <w:rPr>
          <w:rFonts w:hint="eastAsia" w:ascii="Times New Roman" w:hAnsi="Times New Roman" w:eastAsia="宋体" w:cs="宋体"/>
          <w:color w:val="auto"/>
          <w:kern w:val="0"/>
          <w:szCs w:val="21"/>
          <w:highlight w:val="none"/>
        </w:rPr>
        <w:t>《水污染源在线监测系统</w:t>
      </w:r>
      <w:r>
        <w:rPr>
          <w:rFonts w:ascii="Times New Roman" w:hAnsi="Times New Roman" w:eastAsia="宋体" w:cs="宋体"/>
          <w:color w:val="auto"/>
          <w:kern w:val="0"/>
          <w:szCs w:val="21"/>
          <w:highlight w:val="none"/>
        </w:rPr>
        <w:t xml:space="preserve">(CODCr、NH3-N等) </w:t>
      </w:r>
      <w:r>
        <w:rPr>
          <w:rFonts w:hint="eastAsia" w:ascii="Times New Roman" w:hAnsi="Times New Roman" w:eastAsia="宋体" w:cs="宋体"/>
          <w:color w:val="auto"/>
          <w:kern w:val="0"/>
          <w:szCs w:val="21"/>
          <w:highlight w:val="none"/>
        </w:rPr>
        <w:t>运行技术规范》</w:t>
      </w:r>
    </w:p>
    <w:p w14:paraId="14323B28">
      <w:pPr>
        <w:snapToGrid w:val="0"/>
        <w:spacing w:line="360" w:lineRule="auto"/>
        <w:ind w:firstLine="424" w:firstLineChars="202"/>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 xml:space="preserve">HJ212-2017       </w:t>
      </w:r>
      <w:r>
        <w:rPr>
          <w:rFonts w:hint="eastAsia" w:ascii="Times New Roman" w:hAnsi="Times New Roman" w:eastAsia="宋体" w:cs="宋体"/>
          <w:color w:val="auto"/>
          <w:kern w:val="0"/>
          <w:szCs w:val="21"/>
          <w:highlight w:val="none"/>
        </w:rPr>
        <w:t>《污染物在线自动监控</w:t>
      </w:r>
      <w:r>
        <w:rPr>
          <w:rFonts w:ascii="Times New Roman" w:hAnsi="Times New Roman" w:eastAsia="宋体" w:cs="宋体"/>
          <w:color w:val="auto"/>
          <w:kern w:val="0"/>
          <w:szCs w:val="21"/>
          <w:highlight w:val="none"/>
        </w:rPr>
        <w:t xml:space="preserve">(监测) </w:t>
      </w:r>
      <w:r>
        <w:rPr>
          <w:rFonts w:hint="eastAsia" w:ascii="Times New Roman" w:hAnsi="Times New Roman" w:eastAsia="宋体" w:cs="宋体"/>
          <w:color w:val="auto"/>
          <w:kern w:val="0"/>
          <w:szCs w:val="21"/>
          <w:highlight w:val="none"/>
        </w:rPr>
        <w:t>系统数据传输标准》</w:t>
      </w:r>
    </w:p>
    <w:p w14:paraId="484060A2">
      <w:pPr>
        <w:snapToGrid w:val="0"/>
        <w:spacing w:line="360" w:lineRule="auto"/>
        <w:ind w:firstLine="424" w:firstLineChars="202"/>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 xml:space="preserve">HJ 356-2019      </w:t>
      </w:r>
      <w:r>
        <w:rPr>
          <w:rFonts w:hint="eastAsia" w:ascii="Times New Roman" w:hAnsi="Times New Roman" w:eastAsia="宋体" w:cs="宋体"/>
          <w:color w:val="auto"/>
          <w:kern w:val="0"/>
          <w:szCs w:val="21"/>
          <w:highlight w:val="none"/>
        </w:rPr>
        <w:t>《水污染源在线监测系统</w:t>
      </w:r>
      <w:r>
        <w:rPr>
          <w:rFonts w:ascii="Times New Roman" w:hAnsi="Times New Roman" w:eastAsia="宋体" w:cs="宋体"/>
          <w:color w:val="auto"/>
          <w:kern w:val="0"/>
          <w:szCs w:val="21"/>
          <w:highlight w:val="none"/>
        </w:rPr>
        <w:t xml:space="preserve">(CODCr、NH3-N等) </w:t>
      </w:r>
      <w:r>
        <w:rPr>
          <w:rFonts w:hint="eastAsia" w:ascii="Times New Roman" w:hAnsi="Times New Roman" w:eastAsia="宋体" w:cs="宋体"/>
          <w:color w:val="auto"/>
          <w:kern w:val="0"/>
          <w:szCs w:val="21"/>
          <w:highlight w:val="none"/>
        </w:rPr>
        <w:t>数据有效性判别技术规范》</w:t>
      </w:r>
    </w:p>
    <w:p w14:paraId="2DD3C6CE">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GB5083-1999《生产设备安全卫生设计总则》</w:t>
      </w:r>
    </w:p>
    <w:p w14:paraId="365F624E">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GB/T 13306-2011《标牌》</w:t>
      </w:r>
    </w:p>
    <w:p w14:paraId="158D4CF0">
      <w:pPr>
        <w:snapToGrid w:val="0"/>
        <w:spacing w:line="360" w:lineRule="auto"/>
        <w:ind w:firstLine="424" w:firstLineChars="202"/>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GB3096-2008《声环境质量标准》</w:t>
      </w:r>
    </w:p>
    <w:p w14:paraId="7B898304">
      <w:pPr>
        <w:numPr>
          <w:ilvl w:val="255"/>
          <w:numId w:val="0"/>
        </w:numPr>
        <w:spacing w:line="360" w:lineRule="auto"/>
        <w:ind w:left="408" w:firstLine="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GB 50174-2017《数据中心设计规范》</w:t>
      </w:r>
    </w:p>
    <w:p w14:paraId="5FAF5987">
      <w:pPr>
        <w:numPr>
          <w:ilvl w:val="255"/>
          <w:numId w:val="0"/>
        </w:numPr>
        <w:spacing w:line="360" w:lineRule="auto"/>
        <w:ind w:left="408" w:firstLine="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HG/T 20508-2014（2017年复审）《控制室设计规范》</w:t>
      </w:r>
    </w:p>
    <w:p w14:paraId="5A98128E">
      <w:pPr>
        <w:numPr>
          <w:ilvl w:val="255"/>
          <w:numId w:val="0"/>
        </w:numPr>
        <w:spacing w:line="360" w:lineRule="auto"/>
        <w:ind w:left="408" w:firstLine="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HG/T 20513-2014（2017年复审）《仪表系统接地设计规范》</w:t>
      </w:r>
    </w:p>
    <w:p w14:paraId="2AED423C">
      <w:pPr>
        <w:numPr>
          <w:ilvl w:val="255"/>
          <w:numId w:val="0"/>
        </w:numPr>
        <w:spacing w:line="360" w:lineRule="auto"/>
        <w:ind w:left="408" w:firstLine="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HG/T 20700-2014《可编程序控制器系统工程设计规范》</w:t>
      </w:r>
    </w:p>
    <w:p w14:paraId="7F4AEE2A">
      <w:pPr>
        <w:numPr>
          <w:ilvl w:val="255"/>
          <w:numId w:val="0"/>
        </w:numPr>
        <w:spacing w:line="360" w:lineRule="auto"/>
        <w:ind w:left="408" w:firstLine="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HG/T 20505-2014《过程测量与控制仪表的功能标志及图形符号》</w:t>
      </w:r>
    </w:p>
    <w:p w14:paraId="32D14307">
      <w:pPr>
        <w:numPr>
          <w:ilvl w:val="255"/>
          <w:numId w:val="0"/>
        </w:numPr>
        <w:spacing w:line="360" w:lineRule="auto"/>
        <w:ind w:left="408" w:firstLine="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GB 50343-2012《建筑物电子信息系统防雷技术规范》</w:t>
      </w:r>
    </w:p>
    <w:p w14:paraId="7275B8B0">
      <w:pPr>
        <w:numPr>
          <w:ilvl w:val="255"/>
          <w:numId w:val="0"/>
        </w:numPr>
        <w:spacing w:line="360" w:lineRule="auto"/>
        <w:ind w:left="408" w:firstLine="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GB50093-2013《自动化仪表工程施工及质量验收规范》</w:t>
      </w:r>
    </w:p>
    <w:p w14:paraId="020525EA">
      <w:pPr>
        <w:numPr>
          <w:ilvl w:val="255"/>
          <w:numId w:val="0"/>
        </w:numPr>
        <w:spacing w:line="360" w:lineRule="auto"/>
        <w:ind w:left="408" w:firstLine="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GB50168-2018《电气装置安装工程电缆线路施工及验收标准》</w:t>
      </w:r>
    </w:p>
    <w:p w14:paraId="0449F0DF">
      <w:pPr>
        <w:numPr>
          <w:ilvl w:val="255"/>
          <w:numId w:val="0"/>
        </w:numPr>
        <w:spacing w:line="360" w:lineRule="auto"/>
        <w:ind w:left="408" w:firstLine="12"/>
        <w:rPr>
          <w:rFonts w:ascii="Times New Roman" w:hAnsi="Times New Roman" w:eastAsia="宋体" w:cs="Times New Roman"/>
          <w:color w:val="auto"/>
          <w:szCs w:val="21"/>
          <w:highlight w:val="none"/>
        </w:rPr>
      </w:pPr>
      <w:r>
        <w:rPr>
          <w:rFonts w:ascii="Times New Roman" w:hAnsi="Times New Roman" w:eastAsia="宋体" w:cs="Times New Roman"/>
          <w:color w:val="auto"/>
          <w:szCs w:val="28"/>
          <w:highlight w:val="none"/>
        </w:rPr>
        <w:t>HG/T 20573-2012</w:t>
      </w:r>
      <w:r>
        <w:rPr>
          <w:rFonts w:ascii="Times New Roman" w:hAnsi="Times New Roman" w:eastAsia="宋体" w:cs="Times New Roman"/>
          <w:color w:val="auto"/>
          <w:szCs w:val="21"/>
          <w:highlight w:val="none"/>
        </w:rPr>
        <w:t>《分散型控制系</w:t>
      </w:r>
      <w:r>
        <w:rPr>
          <w:rFonts w:ascii="Times New Roman" w:hAnsi="Times New Roman" w:eastAsia="宋体" w:cs="Times New Roman"/>
          <w:color w:val="auto"/>
          <w:szCs w:val="28"/>
          <w:highlight w:val="none"/>
        </w:rPr>
        <w:t>统工程设计规范》</w:t>
      </w:r>
    </w:p>
    <w:p w14:paraId="15B050E4">
      <w:pPr>
        <w:numPr>
          <w:ilvl w:val="255"/>
          <w:numId w:val="0"/>
        </w:numPr>
        <w:spacing w:line="360" w:lineRule="auto"/>
        <w:ind w:left="408" w:firstLine="12"/>
        <w:rPr>
          <w:rFonts w:ascii="Times New Roman" w:hAnsi="Times New Roman" w:eastAsia="宋体" w:cs="Times New Roman"/>
          <w:color w:val="auto"/>
          <w:szCs w:val="21"/>
          <w:highlight w:val="none"/>
        </w:rPr>
      </w:pPr>
      <w:r>
        <w:rPr>
          <w:rFonts w:ascii="Times New Roman" w:hAnsi="Times New Roman" w:eastAsia="宋体" w:cs="Times New Roman"/>
          <w:color w:val="auto"/>
          <w:szCs w:val="28"/>
          <w:highlight w:val="none"/>
        </w:rPr>
        <w:t>GB/T 8566-2022</w:t>
      </w:r>
      <w:r>
        <w:rPr>
          <w:rFonts w:ascii="Times New Roman" w:hAnsi="Times New Roman" w:eastAsia="宋体" w:cs="Times New Roman"/>
          <w:color w:val="auto"/>
          <w:szCs w:val="21"/>
          <w:highlight w:val="none"/>
        </w:rPr>
        <w:t>《系统与软件工程 软件生</w:t>
      </w:r>
      <w:r>
        <w:rPr>
          <w:rFonts w:ascii="Times New Roman" w:hAnsi="Times New Roman" w:eastAsia="宋体" w:cs="Times New Roman"/>
          <w:color w:val="auto"/>
          <w:szCs w:val="28"/>
          <w:highlight w:val="none"/>
        </w:rPr>
        <w:t>存周期过程》</w:t>
      </w:r>
    </w:p>
    <w:p w14:paraId="764B6BFE">
      <w:pPr>
        <w:numPr>
          <w:ilvl w:val="255"/>
          <w:numId w:val="0"/>
        </w:numPr>
        <w:spacing w:line="360" w:lineRule="auto"/>
        <w:ind w:left="408" w:firstLine="12"/>
        <w:rPr>
          <w:rFonts w:ascii="Times New Roman" w:hAnsi="Times New Roman" w:eastAsia="宋体" w:cs="Times New Roman"/>
          <w:color w:val="auto"/>
          <w:szCs w:val="21"/>
          <w:highlight w:val="none"/>
        </w:rPr>
      </w:pPr>
      <w:r>
        <w:rPr>
          <w:rFonts w:ascii="Times New Roman" w:hAnsi="Times New Roman" w:eastAsia="宋体" w:cs="Times New Roman"/>
          <w:color w:val="auto"/>
          <w:szCs w:val="28"/>
          <w:highlight w:val="none"/>
        </w:rPr>
        <w:t>GB/T 2887-2011</w:t>
      </w:r>
      <w:r>
        <w:rPr>
          <w:rFonts w:ascii="Times New Roman" w:hAnsi="Times New Roman" w:eastAsia="宋体" w:cs="Times New Roman"/>
          <w:color w:val="auto"/>
          <w:szCs w:val="21"/>
          <w:highlight w:val="none"/>
        </w:rPr>
        <w:t>《计算机场地通</w:t>
      </w:r>
      <w:r>
        <w:rPr>
          <w:rFonts w:ascii="Times New Roman" w:hAnsi="Times New Roman" w:eastAsia="宋体" w:cs="Times New Roman"/>
          <w:color w:val="auto"/>
          <w:szCs w:val="28"/>
          <w:highlight w:val="none"/>
        </w:rPr>
        <w:t>用规范》</w:t>
      </w:r>
    </w:p>
    <w:p w14:paraId="4662C06D">
      <w:pPr>
        <w:numPr>
          <w:ilvl w:val="255"/>
          <w:numId w:val="0"/>
        </w:numPr>
        <w:spacing w:line="360" w:lineRule="auto"/>
        <w:ind w:left="408" w:firstLine="12"/>
        <w:rPr>
          <w:rFonts w:ascii="Times New Roman" w:hAnsi="Times New Roman" w:eastAsia="宋体" w:cs="Times New Roman"/>
          <w:color w:val="auto"/>
          <w:szCs w:val="21"/>
          <w:highlight w:val="none"/>
        </w:rPr>
      </w:pPr>
      <w:r>
        <w:rPr>
          <w:rFonts w:ascii="Times New Roman" w:hAnsi="Times New Roman" w:eastAsia="宋体" w:cs="Times New Roman"/>
          <w:color w:val="auto"/>
          <w:szCs w:val="28"/>
          <w:highlight w:val="none"/>
        </w:rPr>
        <w:t>GB 4943.1-2022</w:t>
      </w:r>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8"/>
          <w:highlight w:val="none"/>
        </w:rPr>
        <w:t>音视频、信息技术和通信技术设备 第1部分：安全要求》</w:t>
      </w:r>
    </w:p>
    <w:p w14:paraId="170F35B7">
      <w:pPr>
        <w:numPr>
          <w:ilvl w:val="255"/>
          <w:numId w:val="0"/>
        </w:numPr>
        <w:spacing w:line="360" w:lineRule="auto"/>
        <w:ind w:left="408" w:firstLine="12"/>
        <w:rPr>
          <w:rFonts w:ascii="Times New Roman" w:hAnsi="Times New Roman" w:eastAsia="宋体" w:cs="Times New Roman"/>
          <w:color w:val="auto"/>
          <w:szCs w:val="21"/>
          <w:highlight w:val="none"/>
        </w:rPr>
      </w:pPr>
      <w:r>
        <w:rPr>
          <w:rFonts w:ascii="Times New Roman" w:hAnsi="Times New Roman" w:eastAsia="宋体" w:cs="Times New Roman"/>
          <w:color w:val="auto"/>
          <w:szCs w:val="28"/>
          <w:highlight w:val="none"/>
        </w:rPr>
        <w:t>GB 50348-2018</w:t>
      </w:r>
      <w:r>
        <w:rPr>
          <w:rFonts w:ascii="Times New Roman" w:hAnsi="Times New Roman" w:eastAsia="宋体" w:cs="Times New Roman"/>
          <w:color w:val="auto"/>
          <w:szCs w:val="21"/>
          <w:highlight w:val="none"/>
        </w:rPr>
        <w:t>《安</w:t>
      </w:r>
      <w:r>
        <w:rPr>
          <w:rFonts w:ascii="Times New Roman" w:hAnsi="Times New Roman" w:eastAsia="宋体" w:cs="Times New Roman"/>
          <w:color w:val="auto"/>
          <w:szCs w:val="28"/>
          <w:highlight w:val="none"/>
        </w:rPr>
        <w:t>全防范工程技术标准》</w:t>
      </w:r>
    </w:p>
    <w:p w14:paraId="586C552F">
      <w:pPr>
        <w:numPr>
          <w:ilvl w:val="255"/>
          <w:numId w:val="0"/>
        </w:numPr>
        <w:spacing w:line="360" w:lineRule="auto"/>
        <w:ind w:left="408" w:firstLine="12"/>
        <w:rPr>
          <w:rFonts w:ascii="Times New Roman" w:hAnsi="Times New Roman" w:eastAsia="宋体" w:cs="Times New Roman"/>
          <w:color w:val="auto"/>
          <w:szCs w:val="21"/>
          <w:highlight w:val="none"/>
        </w:rPr>
      </w:pPr>
      <w:r>
        <w:rPr>
          <w:rFonts w:ascii="Times New Roman" w:hAnsi="Times New Roman" w:eastAsia="宋体" w:cs="Times New Roman"/>
          <w:color w:val="auto"/>
          <w:szCs w:val="28"/>
          <w:highlight w:val="none"/>
        </w:rPr>
        <w:t>GB 50150-2016</w:t>
      </w:r>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8"/>
          <w:highlight w:val="none"/>
        </w:rPr>
        <w:t>电气装置安装工程 电气设备交接试验标准》</w:t>
      </w:r>
    </w:p>
    <w:p w14:paraId="199D41AC">
      <w:pPr>
        <w:numPr>
          <w:ilvl w:val="255"/>
          <w:numId w:val="0"/>
        </w:numPr>
        <w:spacing w:line="360" w:lineRule="auto"/>
        <w:ind w:left="408" w:firstLine="12"/>
        <w:rPr>
          <w:rFonts w:ascii="Times New Roman" w:hAnsi="Times New Roman" w:eastAsia="宋体" w:cs="Times New Roman"/>
          <w:color w:val="auto"/>
          <w:szCs w:val="21"/>
          <w:highlight w:val="none"/>
        </w:rPr>
      </w:pPr>
      <w:r>
        <w:rPr>
          <w:rFonts w:ascii="Times New Roman" w:hAnsi="Times New Roman" w:eastAsia="宋体" w:cs="Times New Roman"/>
          <w:color w:val="auto"/>
          <w:szCs w:val="28"/>
          <w:highlight w:val="none"/>
        </w:rPr>
        <w:t>Q/GDHSW-10601-2014《城镇水处理自动化技术标准》</w:t>
      </w:r>
    </w:p>
    <w:p w14:paraId="5768FC48">
      <w:pPr>
        <w:numPr>
          <w:ilvl w:val="255"/>
          <w:numId w:val="0"/>
        </w:numPr>
        <w:spacing w:line="360" w:lineRule="auto"/>
        <w:ind w:left="408" w:firstLine="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GB/T 30976.1-2014《工业控制系统网络安全第1部分：评估规范》</w:t>
      </w:r>
    </w:p>
    <w:p w14:paraId="5D6260E6">
      <w:pPr>
        <w:numPr>
          <w:ilvl w:val="255"/>
          <w:numId w:val="0"/>
        </w:numPr>
        <w:spacing w:line="360" w:lineRule="auto"/>
        <w:ind w:left="408" w:firstLine="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GB/T 30976.2-2014《工业控制系统网络安全第2部分：验收规范》</w:t>
      </w:r>
    </w:p>
    <w:p w14:paraId="4C95CF62">
      <w:pPr>
        <w:numPr>
          <w:ilvl w:val="255"/>
          <w:numId w:val="0"/>
        </w:numPr>
        <w:spacing w:line="360" w:lineRule="auto"/>
        <w:ind w:left="408" w:firstLine="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GB/T 32919-2016《信息安全技术 工业控制系统安全控制应用指南》</w:t>
      </w:r>
    </w:p>
    <w:p w14:paraId="36C547C6">
      <w:pPr>
        <w:numPr>
          <w:ilvl w:val="255"/>
          <w:numId w:val="0"/>
        </w:numPr>
        <w:spacing w:line="360" w:lineRule="auto"/>
        <w:ind w:left="408" w:firstLine="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GB/T 33007-2016《工业通信网络 网络和系统安全 建立工业自动化和控制系统安全程序》</w:t>
      </w:r>
    </w:p>
    <w:p w14:paraId="7A62C799">
      <w:pPr>
        <w:numPr>
          <w:ilvl w:val="255"/>
          <w:numId w:val="0"/>
        </w:numPr>
        <w:spacing w:line="360" w:lineRule="auto"/>
        <w:ind w:left="408" w:firstLine="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GB/T 22239-2019《信息安全技术 网络安全等级保护基本要求》</w:t>
      </w:r>
    </w:p>
    <w:p w14:paraId="327DE33C">
      <w:pPr>
        <w:numPr>
          <w:ilvl w:val="255"/>
          <w:numId w:val="0"/>
        </w:numPr>
        <w:spacing w:line="360" w:lineRule="auto"/>
        <w:ind w:left="408" w:firstLine="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GB/T 25070-2019《信息安全技术 网络安全等级保护安全设计技术要求》</w:t>
      </w:r>
    </w:p>
    <w:p w14:paraId="176EEC1B">
      <w:pPr>
        <w:numPr>
          <w:ilvl w:val="255"/>
          <w:numId w:val="0"/>
        </w:numPr>
        <w:spacing w:line="360" w:lineRule="auto"/>
        <w:ind w:left="408" w:firstLine="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GB/T 28448-2019《信息安全技术 网络安全等级保护测评要求》</w:t>
      </w:r>
    </w:p>
    <w:p w14:paraId="39639F54">
      <w:pPr>
        <w:numPr>
          <w:ilvl w:val="255"/>
          <w:numId w:val="0"/>
        </w:numPr>
        <w:spacing w:line="360" w:lineRule="auto"/>
        <w:ind w:left="408" w:firstLine="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GB/T 22080-2016《信息技术 安全技术 信息安全管理体系 要求》</w:t>
      </w:r>
    </w:p>
    <w:p w14:paraId="0EEBF637">
      <w:pPr>
        <w:numPr>
          <w:ilvl w:val="255"/>
          <w:numId w:val="0"/>
        </w:numPr>
        <w:spacing w:line="360" w:lineRule="auto"/>
        <w:ind w:left="408" w:firstLine="12"/>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《关于加强工业控制系统网络安全管理的通知》（工信部（2011）451号）</w:t>
      </w:r>
    </w:p>
    <w:p w14:paraId="39889E72">
      <w:pPr>
        <w:numPr>
          <w:ilvl w:val="255"/>
          <w:numId w:val="0"/>
        </w:numPr>
        <w:spacing w:line="360" w:lineRule="auto"/>
        <w:ind w:left="408" w:firstLine="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《工业控制系统信息安全防护指南》（工信软函〔2016〕338号）</w:t>
      </w:r>
    </w:p>
    <w:p w14:paraId="49A979E4">
      <w:pPr>
        <w:numPr>
          <w:ilvl w:val="255"/>
          <w:numId w:val="0"/>
        </w:numPr>
        <w:spacing w:line="360" w:lineRule="auto"/>
        <w:ind w:left="408" w:firstLine="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《工业控制系统信息安全事件应急管理工作指南》（工信部信软（2017）122号）</w:t>
      </w:r>
    </w:p>
    <w:p w14:paraId="6ED9FE79">
      <w:pPr>
        <w:numPr>
          <w:ilvl w:val="255"/>
          <w:numId w:val="0"/>
        </w:numPr>
        <w:spacing w:line="360" w:lineRule="auto"/>
        <w:ind w:left="408" w:firstLine="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《广东省</w:t>
      </w:r>
      <w:r>
        <w:rPr>
          <w:rFonts w:hint="eastAsia" w:ascii="Times New Roman" w:hAnsi="Times New Roman" w:eastAsia="宋体" w:cs="Times New Roman"/>
          <w:color w:val="auto"/>
          <w:szCs w:val="28"/>
          <w:highlight w:val="none"/>
        </w:rPr>
        <w:t>“</w:t>
      </w:r>
      <w:r>
        <w:rPr>
          <w:rFonts w:ascii="Times New Roman" w:hAnsi="Times New Roman" w:eastAsia="宋体" w:cs="Times New Roman"/>
          <w:color w:val="auto"/>
          <w:szCs w:val="28"/>
          <w:highlight w:val="none"/>
        </w:rPr>
        <w:t>互联网+现代水利</w:t>
      </w:r>
      <w:r>
        <w:rPr>
          <w:rFonts w:hint="eastAsia" w:ascii="Times New Roman" w:hAnsi="Times New Roman" w:eastAsia="宋体" w:cs="Times New Roman"/>
          <w:color w:val="auto"/>
          <w:szCs w:val="28"/>
          <w:highlight w:val="none"/>
        </w:rPr>
        <w:t>”</w:t>
      </w:r>
      <w:r>
        <w:rPr>
          <w:rFonts w:ascii="Times New Roman" w:hAnsi="Times New Roman" w:eastAsia="宋体" w:cs="Times New Roman"/>
          <w:color w:val="auto"/>
          <w:szCs w:val="28"/>
          <w:highlight w:val="none"/>
        </w:rPr>
        <w:t>行动计划》</w:t>
      </w:r>
    </w:p>
    <w:p w14:paraId="61980C3A">
      <w:pPr>
        <w:numPr>
          <w:ilvl w:val="255"/>
          <w:numId w:val="0"/>
        </w:numPr>
        <w:spacing w:line="360" w:lineRule="auto"/>
        <w:ind w:left="408" w:firstLine="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《广东省</w:t>
      </w:r>
      <w:r>
        <w:rPr>
          <w:rFonts w:hint="eastAsia" w:ascii="Times New Roman" w:hAnsi="Times New Roman" w:eastAsia="宋体" w:cs="Times New Roman"/>
          <w:color w:val="auto"/>
          <w:szCs w:val="28"/>
          <w:highlight w:val="none"/>
        </w:rPr>
        <w:t>“</w:t>
      </w:r>
      <w:r>
        <w:rPr>
          <w:rFonts w:ascii="Times New Roman" w:hAnsi="Times New Roman" w:eastAsia="宋体" w:cs="Times New Roman"/>
          <w:color w:val="auto"/>
          <w:szCs w:val="28"/>
          <w:highlight w:val="none"/>
        </w:rPr>
        <w:t>互联网＋现代水利</w:t>
      </w:r>
      <w:r>
        <w:rPr>
          <w:rFonts w:hint="eastAsia" w:ascii="Times New Roman" w:hAnsi="Times New Roman" w:eastAsia="宋体" w:cs="Times New Roman"/>
          <w:color w:val="auto"/>
          <w:szCs w:val="28"/>
          <w:highlight w:val="none"/>
        </w:rPr>
        <w:t>”</w:t>
      </w:r>
      <w:r>
        <w:rPr>
          <w:rFonts w:ascii="Times New Roman" w:hAnsi="Times New Roman" w:eastAsia="宋体" w:cs="Times New Roman"/>
          <w:color w:val="auto"/>
          <w:szCs w:val="28"/>
          <w:highlight w:val="none"/>
        </w:rPr>
        <w:t>顶层设计》</w:t>
      </w:r>
    </w:p>
    <w:p w14:paraId="6E5A4C78">
      <w:pPr>
        <w:numPr>
          <w:ilvl w:val="255"/>
          <w:numId w:val="0"/>
        </w:numPr>
        <w:spacing w:line="360" w:lineRule="auto"/>
        <w:ind w:left="408" w:firstLine="12"/>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《信息化和工业化融合发展规划(2021-2025)》</w:t>
      </w:r>
    </w:p>
    <w:p w14:paraId="05E8F2B0">
      <w:pPr>
        <w:numPr>
          <w:ilvl w:val="255"/>
          <w:numId w:val="0"/>
        </w:numPr>
        <w:spacing w:line="360" w:lineRule="auto"/>
        <w:ind w:left="408" w:firstLine="12"/>
        <w:rPr>
          <w:rFonts w:ascii="Times New Roman" w:hAnsi="Times New Roman" w:eastAsia="宋体" w:cs="Times New Roman"/>
          <w:color w:val="auto"/>
          <w:szCs w:val="21"/>
          <w:highlight w:val="none"/>
        </w:rPr>
      </w:pPr>
      <w:r>
        <w:rPr>
          <w:rFonts w:ascii="Times New Roman" w:hAnsi="Times New Roman" w:eastAsia="宋体" w:cs="Times New Roman"/>
          <w:color w:val="auto"/>
          <w:szCs w:val="28"/>
          <w:highlight w:val="none"/>
        </w:rPr>
        <w:t>中华人民共和国</w:t>
      </w:r>
      <w:r>
        <w:rPr>
          <w:rFonts w:ascii="Times New Roman" w:hAnsi="Times New Roman" w:eastAsia="宋体" w:cs="Times New Roman"/>
          <w:color w:val="auto"/>
          <w:szCs w:val="21"/>
          <w:highlight w:val="none"/>
        </w:rPr>
        <w:t>主席令〔2017〕第53号《中华人民共和国网络安全法》</w:t>
      </w:r>
    </w:p>
    <w:p w14:paraId="66F3CB63">
      <w:pPr>
        <w:spacing w:line="360" w:lineRule="auto"/>
        <w:ind w:left="408" w:firstLine="12"/>
        <w:rPr>
          <w:rFonts w:ascii="Times New Roman" w:hAnsi="Times New Roman" w:eastAsia="宋体" w:cs="Times New Roman"/>
          <w:color w:val="auto"/>
          <w:szCs w:val="24"/>
          <w:highlight w:val="none"/>
        </w:rPr>
      </w:pPr>
      <w:r>
        <w:rPr>
          <w:rFonts w:ascii="Times New Roman" w:hAnsi="Times New Roman" w:eastAsia="宋体" w:cs="Times New Roman"/>
          <w:color w:val="auto"/>
          <w:szCs w:val="28"/>
          <w:highlight w:val="none"/>
        </w:rPr>
        <w:t>《中华人民共和国计算机信息系统安全保护条例》（国务院令第147号）</w:t>
      </w:r>
    </w:p>
    <w:p w14:paraId="550A3B18">
      <w:pPr>
        <w:adjustRightInd w:val="0"/>
        <w:snapToGrid w:val="0"/>
        <w:spacing w:line="360" w:lineRule="auto"/>
        <w:ind w:firstLine="525" w:firstLineChars="25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除了以上中国国家标准外，国际标准化组织标准、国际电工技术委员标准，已颁布的有关标准也应是设计、制造工艺所遵循的标准。如所提供的设备暂无相应的中国标准和规范，投标人应提供实际使用情况证明及推荐相应的设计安装、验收标准。</w:t>
      </w:r>
    </w:p>
    <w:p w14:paraId="665121A6">
      <w:pPr>
        <w:adjustRightInd w:val="0"/>
        <w:snapToGrid w:val="0"/>
        <w:spacing w:line="360" w:lineRule="auto"/>
        <w:ind w:firstLine="422" w:firstLineChars="200"/>
        <w:jc w:val="left"/>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中标人在不增加额外费用的前提下，可向</w:t>
      </w:r>
      <w:r>
        <w:rPr>
          <w:rFonts w:hint="eastAsia" w:ascii="Times New Roman" w:hAnsi="Times New Roman" w:eastAsia="宋体" w:cs="Times New Roman"/>
          <w:b/>
          <w:color w:val="auto"/>
          <w:szCs w:val="21"/>
          <w:highlight w:val="none"/>
        </w:rPr>
        <w:t>招标人</w:t>
      </w:r>
      <w:r>
        <w:rPr>
          <w:rFonts w:ascii="Times New Roman" w:hAnsi="Times New Roman" w:eastAsia="宋体" w:cs="Times New Roman"/>
          <w:b/>
          <w:color w:val="auto"/>
          <w:szCs w:val="21"/>
          <w:highlight w:val="none"/>
        </w:rPr>
        <w:t>提出使用其它同等的国际标准，经</w:t>
      </w:r>
      <w:r>
        <w:rPr>
          <w:rFonts w:hint="eastAsia" w:ascii="Times New Roman" w:hAnsi="Times New Roman" w:eastAsia="宋体" w:cs="Times New Roman"/>
          <w:b/>
          <w:color w:val="auto"/>
          <w:szCs w:val="21"/>
          <w:highlight w:val="none"/>
        </w:rPr>
        <w:t>招标人</w:t>
      </w:r>
      <w:r>
        <w:rPr>
          <w:rFonts w:ascii="Times New Roman" w:hAnsi="Times New Roman" w:eastAsia="宋体" w:cs="Times New Roman"/>
          <w:b/>
          <w:color w:val="auto"/>
          <w:szCs w:val="21"/>
          <w:highlight w:val="none"/>
        </w:rPr>
        <w:t>的书面同意，确认不会低于技术规定中所用的标准水平。中标人应向</w:t>
      </w:r>
      <w:r>
        <w:rPr>
          <w:rFonts w:hint="eastAsia" w:ascii="Times New Roman" w:hAnsi="Times New Roman" w:eastAsia="宋体" w:cs="Times New Roman"/>
          <w:b/>
          <w:color w:val="auto"/>
          <w:szCs w:val="21"/>
          <w:highlight w:val="none"/>
        </w:rPr>
        <w:t>招标人</w:t>
      </w:r>
      <w:r>
        <w:rPr>
          <w:rFonts w:ascii="Times New Roman" w:hAnsi="Times New Roman" w:eastAsia="宋体" w:cs="Times New Roman"/>
          <w:b/>
          <w:color w:val="auto"/>
          <w:szCs w:val="21"/>
          <w:highlight w:val="none"/>
        </w:rPr>
        <w:t>表明该代用标准是合适的、相当的，并提供以前成功使用的范例。</w:t>
      </w:r>
    </w:p>
    <w:p w14:paraId="2FA85255">
      <w:pPr>
        <w:adjustRightInd w:val="0"/>
        <w:snapToGrid w:val="0"/>
        <w:spacing w:line="360" w:lineRule="auto"/>
        <w:ind w:firstLine="420" w:firstLineChars="20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设备与管道接口以及设备与设备的接口尺寸必须符合ISO标准，电气设备的连接方式及规格均符合IEC标准。</w:t>
      </w:r>
    </w:p>
    <w:p w14:paraId="7C7948ED">
      <w:pPr>
        <w:adjustRightInd w:val="0"/>
        <w:snapToGrid w:val="0"/>
        <w:spacing w:line="360" w:lineRule="auto"/>
        <w:ind w:firstLine="422" w:firstLineChars="200"/>
        <w:jc w:val="left"/>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当本用户需求书或合同内没有表明或商定对应的任何标准时，所有详细资料、材料、设备及制造工艺应符合本用户需求书技术要求的规定并提交</w:t>
      </w:r>
      <w:r>
        <w:rPr>
          <w:rFonts w:hint="eastAsia" w:ascii="Times New Roman" w:hAnsi="Times New Roman" w:eastAsia="宋体" w:cs="Times New Roman"/>
          <w:b/>
          <w:color w:val="auto"/>
          <w:szCs w:val="21"/>
          <w:highlight w:val="none"/>
        </w:rPr>
        <w:t>招标人</w:t>
      </w:r>
      <w:r>
        <w:rPr>
          <w:rFonts w:ascii="Times New Roman" w:hAnsi="Times New Roman" w:eastAsia="宋体" w:cs="Times New Roman"/>
          <w:b/>
          <w:color w:val="auto"/>
          <w:szCs w:val="21"/>
          <w:highlight w:val="none"/>
        </w:rPr>
        <w:t>认可。</w:t>
      </w:r>
    </w:p>
    <w:p w14:paraId="1822D6C2">
      <w:pPr>
        <w:adjustRightInd w:val="0"/>
        <w:snapToGrid w:val="0"/>
        <w:spacing w:line="360" w:lineRule="auto"/>
        <w:ind w:firstLine="420" w:firstLineChars="20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当在设计的材料或设备选用上受法定条例、指令、法规或其他的国内有关法律影响时，那么所供应的材料和设备即使在本用户需求书中有特殊要求，但其有关要求也必须与这些条例相关章节的规定相符。</w:t>
      </w:r>
    </w:p>
    <w:p w14:paraId="27AFC441">
      <w:pPr>
        <w:keepNext/>
        <w:keepLines/>
        <w:numPr>
          <w:ilvl w:val="0"/>
          <w:numId w:val="16"/>
        </w:numPr>
        <w:adjustRightInd w:val="0"/>
        <w:snapToGrid w:val="0"/>
        <w:spacing w:line="360" w:lineRule="auto"/>
        <w:ind w:firstLine="482"/>
        <w:jc w:val="left"/>
        <w:outlineLvl w:val="2"/>
        <w:rPr>
          <w:rFonts w:ascii="Times New Roman" w:hAnsi="Times New Roman" w:eastAsia="宋体" w:cs="Times New Roman"/>
          <w:b/>
          <w:bCs/>
          <w:color w:val="auto"/>
          <w:szCs w:val="18"/>
          <w:highlight w:val="none"/>
        </w:rPr>
      </w:pPr>
      <w:bookmarkStart w:id="448" w:name="_Toc26974"/>
      <w:bookmarkStart w:id="449" w:name="_Toc195714284"/>
      <w:bookmarkStart w:id="450" w:name="_Toc20385"/>
      <w:r>
        <w:rPr>
          <w:rFonts w:ascii="Times New Roman" w:hAnsi="Times New Roman" w:eastAsia="宋体" w:cs="Times New Roman"/>
          <w:b/>
          <w:bCs/>
          <w:color w:val="auto"/>
          <w:szCs w:val="18"/>
          <w:highlight w:val="none"/>
        </w:rPr>
        <w:t>标准缩写</w:t>
      </w:r>
      <w:bookmarkEnd w:id="448"/>
      <w:bookmarkEnd w:id="449"/>
      <w:bookmarkEnd w:id="450"/>
    </w:p>
    <w:p w14:paraId="694DA33F">
      <w:pPr>
        <w:adjustRightInd w:val="0"/>
        <w:snapToGrid w:val="0"/>
        <w:spacing w:line="360" w:lineRule="auto"/>
        <w:ind w:firstLine="420" w:firstLineChars="20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技术要求中所用的参考标准、实施规范和刊物的缩写形式及其有关组织如下：</w:t>
      </w:r>
    </w:p>
    <w:p w14:paraId="3523681B">
      <w:pPr>
        <w:adjustRightInd w:val="0"/>
        <w:snapToGrid w:val="0"/>
        <w:spacing w:line="360" w:lineRule="auto"/>
        <w:ind w:firstLine="420" w:firstLineChars="20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GB中国国家标准</w:t>
      </w:r>
    </w:p>
    <w:p w14:paraId="68E2FB7C">
      <w:pPr>
        <w:adjustRightInd w:val="0"/>
        <w:snapToGrid w:val="0"/>
        <w:spacing w:line="360" w:lineRule="auto"/>
        <w:ind w:firstLine="420" w:firstLineChars="20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AGMA美国齿轮制造商协会</w:t>
      </w:r>
    </w:p>
    <w:p w14:paraId="545B824E">
      <w:pPr>
        <w:adjustRightInd w:val="0"/>
        <w:snapToGrid w:val="0"/>
        <w:spacing w:line="360" w:lineRule="auto"/>
        <w:ind w:firstLine="420" w:firstLineChars="20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AISI美国钢铁学会</w:t>
      </w:r>
    </w:p>
    <w:p w14:paraId="64F66F70">
      <w:pPr>
        <w:adjustRightInd w:val="0"/>
        <w:snapToGrid w:val="0"/>
        <w:spacing w:line="360" w:lineRule="auto"/>
        <w:ind w:firstLine="420" w:firstLineChars="20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AS澳大利亚标准协会</w:t>
      </w:r>
    </w:p>
    <w:p w14:paraId="6F04A75A">
      <w:pPr>
        <w:adjustRightInd w:val="0"/>
        <w:snapToGrid w:val="0"/>
        <w:spacing w:line="360" w:lineRule="auto"/>
        <w:ind w:firstLine="420" w:firstLineChars="20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ASTM美国测试与材料学会</w:t>
      </w:r>
    </w:p>
    <w:p w14:paraId="2C8AED69">
      <w:pPr>
        <w:adjustRightInd w:val="0"/>
        <w:snapToGrid w:val="0"/>
        <w:spacing w:line="360" w:lineRule="auto"/>
        <w:ind w:firstLine="420" w:firstLineChars="20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IEC国际电工委员会</w:t>
      </w:r>
    </w:p>
    <w:p w14:paraId="1B807F1C">
      <w:pPr>
        <w:adjustRightInd w:val="0"/>
        <w:snapToGrid w:val="0"/>
        <w:spacing w:line="360" w:lineRule="auto"/>
        <w:ind w:firstLine="420" w:firstLineChars="20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BS英国标准学会</w:t>
      </w:r>
    </w:p>
    <w:p w14:paraId="25DFB3EF">
      <w:pPr>
        <w:adjustRightInd w:val="0"/>
        <w:snapToGrid w:val="0"/>
        <w:spacing w:line="360" w:lineRule="auto"/>
        <w:ind w:firstLine="420" w:firstLineChars="20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AEMA美国国家电气制造商协会</w:t>
      </w:r>
    </w:p>
    <w:p w14:paraId="3F7AA214">
      <w:pPr>
        <w:adjustRightInd w:val="0"/>
        <w:snapToGrid w:val="0"/>
        <w:spacing w:line="360" w:lineRule="auto"/>
        <w:ind w:firstLine="420" w:firstLineChars="20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CP英国标准学会（实施规范）</w:t>
      </w:r>
    </w:p>
    <w:p w14:paraId="418BD0EF">
      <w:pPr>
        <w:adjustRightInd w:val="0"/>
        <w:snapToGrid w:val="0"/>
        <w:spacing w:line="360" w:lineRule="auto"/>
        <w:ind w:firstLine="420" w:firstLineChars="20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DIN德国工业标准</w:t>
      </w:r>
    </w:p>
    <w:p w14:paraId="59813C3A">
      <w:pPr>
        <w:adjustRightInd w:val="0"/>
        <w:snapToGrid w:val="0"/>
        <w:spacing w:line="360" w:lineRule="auto"/>
        <w:ind w:firstLine="420" w:firstLineChars="20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ISO国际标准化组织</w:t>
      </w:r>
    </w:p>
    <w:p w14:paraId="572500E9">
      <w:pPr>
        <w:adjustRightInd w:val="0"/>
        <w:snapToGrid w:val="0"/>
        <w:spacing w:line="360" w:lineRule="auto"/>
        <w:ind w:firstLine="420" w:firstLineChars="20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JIS日本工业标准</w:t>
      </w:r>
    </w:p>
    <w:p w14:paraId="00A5BE7F">
      <w:pPr>
        <w:adjustRightInd w:val="0"/>
        <w:snapToGrid w:val="0"/>
        <w:spacing w:line="360" w:lineRule="auto"/>
        <w:ind w:firstLine="420" w:firstLineChars="20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SI国际单位制</w:t>
      </w:r>
    </w:p>
    <w:p w14:paraId="705779DC">
      <w:pPr>
        <w:keepNext/>
        <w:keepLines/>
        <w:numPr>
          <w:ilvl w:val="0"/>
          <w:numId w:val="3"/>
        </w:numPr>
        <w:adjustRightInd w:val="0"/>
        <w:snapToGrid w:val="0"/>
        <w:spacing w:line="360" w:lineRule="auto"/>
        <w:ind w:left="0" w:leftChars="0" w:firstLine="0" w:firstLineChars="0"/>
        <w:jc w:val="left"/>
        <w:outlineLvl w:val="1"/>
        <w:rPr>
          <w:rFonts w:ascii="Times New Roman" w:hAnsi="Times New Roman" w:eastAsia="宋体" w:cs="Times New Roman"/>
          <w:b/>
          <w:bCs/>
          <w:color w:val="auto"/>
          <w:szCs w:val="21"/>
          <w:highlight w:val="none"/>
        </w:rPr>
      </w:pPr>
      <w:bookmarkStart w:id="451" w:name="_Toc28551"/>
      <w:bookmarkStart w:id="452" w:name="_Toc195714285"/>
      <w:bookmarkStart w:id="453" w:name="_Toc407"/>
      <w:r>
        <w:rPr>
          <w:rFonts w:ascii="Times New Roman" w:hAnsi="Times New Roman" w:eastAsia="宋体" w:cs="Times New Roman"/>
          <w:b/>
          <w:bCs/>
          <w:color w:val="auto"/>
          <w:szCs w:val="21"/>
          <w:highlight w:val="none"/>
        </w:rPr>
        <w:t>相关费用的约定</w:t>
      </w:r>
      <w:bookmarkEnd w:id="451"/>
      <w:bookmarkEnd w:id="452"/>
      <w:bookmarkEnd w:id="453"/>
    </w:p>
    <w:p w14:paraId="2917C8C9">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投标人对其提供的设备和</w:t>
      </w:r>
      <w:r>
        <w:rPr>
          <w:rFonts w:hint="eastAsia" w:ascii="Times New Roman" w:hAnsi="Times New Roman" w:eastAsia="宋体" w:cs="Times New Roman"/>
          <w:color w:val="auto"/>
          <w:szCs w:val="21"/>
          <w:highlight w:val="none"/>
        </w:rPr>
        <w:t>软件</w:t>
      </w:r>
      <w:r>
        <w:rPr>
          <w:rFonts w:ascii="Times New Roman" w:hAnsi="Times New Roman" w:eastAsia="宋体" w:cs="Times New Roman"/>
          <w:color w:val="auto"/>
          <w:szCs w:val="21"/>
          <w:highlight w:val="none"/>
        </w:rPr>
        <w:t>方面所涉及的一切专利费和执照费及其他相关费用承担责任，并且负责保护招标人的利益不受任何损害，一切由文字、商标和技术专利侵权的申诉或者由使用设备和</w:t>
      </w:r>
      <w:r>
        <w:rPr>
          <w:rFonts w:hint="eastAsia" w:ascii="Times New Roman" w:hAnsi="Times New Roman" w:eastAsia="宋体" w:cs="Times New Roman"/>
          <w:color w:val="auto"/>
          <w:szCs w:val="21"/>
          <w:highlight w:val="none"/>
        </w:rPr>
        <w:t>软件</w:t>
      </w:r>
      <w:r>
        <w:rPr>
          <w:rFonts w:ascii="Times New Roman" w:hAnsi="Times New Roman" w:eastAsia="宋体" w:cs="Times New Roman"/>
          <w:color w:val="auto"/>
          <w:szCs w:val="21"/>
          <w:highlight w:val="none"/>
        </w:rPr>
        <w:t>所引起的法律裁决、诉讼和费用与招标人无关。投标人的报价已包括了专利费、执照费和其它与这方面相关的费用。</w:t>
      </w:r>
    </w:p>
    <w:p w14:paraId="3A2343E7">
      <w:pPr>
        <w:keepNext/>
        <w:keepLines/>
        <w:numPr>
          <w:ilvl w:val="0"/>
          <w:numId w:val="3"/>
        </w:numPr>
        <w:adjustRightInd w:val="0"/>
        <w:snapToGrid w:val="0"/>
        <w:spacing w:line="360" w:lineRule="auto"/>
        <w:ind w:left="0" w:leftChars="0" w:firstLine="0" w:firstLineChars="0"/>
        <w:jc w:val="left"/>
        <w:outlineLvl w:val="1"/>
        <w:rPr>
          <w:rFonts w:ascii="Times New Roman" w:hAnsi="Times New Roman" w:eastAsia="宋体" w:cs="Times New Roman"/>
          <w:b/>
          <w:bCs/>
          <w:color w:val="auto"/>
          <w:szCs w:val="21"/>
          <w:highlight w:val="none"/>
        </w:rPr>
      </w:pPr>
      <w:bookmarkStart w:id="454" w:name="_Toc195714286"/>
      <w:bookmarkStart w:id="455" w:name="_Toc24438"/>
      <w:bookmarkStart w:id="456" w:name="_Toc12456"/>
      <w:r>
        <w:rPr>
          <w:rFonts w:ascii="Times New Roman" w:hAnsi="Times New Roman" w:eastAsia="宋体" w:cs="Times New Roman"/>
          <w:b/>
          <w:bCs/>
          <w:color w:val="auto"/>
          <w:szCs w:val="21"/>
          <w:highlight w:val="none"/>
        </w:rPr>
        <w:t>设备一般技术要求</w:t>
      </w:r>
      <w:bookmarkEnd w:id="454"/>
      <w:bookmarkEnd w:id="455"/>
      <w:bookmarkEnd w:id="456"/>
    </w:p>
    <w:p w14:paraId="3DA33A37">
      <w:pPr>
        <w:keepNext/>
        <w:keepLines/>
        <w:numPr>
          <w:ilvl w:val="0"/>
          <w:numId w:val="17"/>
        </w:numPr>
        <w:adjustRightInd w:val="0"/>
        <w:snapToGrid w:val="0"/>
        <w:spacing w:line="360" w:lineRule="auto"/>
        <w:ind w:firstLine="614"/>
        <w:outlineLvl w:val="2"/>
        <w:rPr>
          <w:rFonts w:ascii="Times New Roman" w:hAnsi="Times New Roman" w:eastAsia="宋体" w:cs="Times New Roman"/>
          <w:b/>
          <w:bCs/>
          <w:color w:val="auto"/>
          <w:szCs w:val="18"/>
          <w:highlight w:val="none"/>
        </w:rPr>
      </w:pPr>
      <w:bookmarkStart w:id="457" w:name="_Toc195714287"/>
      <w:bookmarkStart w:id="458" w:name="_Toc31304"/>
      <w:bookmarkStart w:id="459" w:name="_Toc20515"/>
      <w:r>
        <w:rPr>
          <w:rFonts w:ascii="Times New Roman" w:hAnsi="Times New Roman" w:eastAsia="宋体" w:cs="Times New Roman"/>
          <w:b/>
          <w:bCs/>
          <w:color w:val="auto"/>
          <w:szCs w:val="18"/>
          <w:highlight w:val="none"/>
        </w:rPr>
        <w:t>设计使用期限</w:t>
      </w:r>
      <w:bookmarkEnd w:id="457"/>
      <w:bookmarkEnd w:id="458"/>
      <w:bookmarkEnd w:id="459"/>
    </w:p>
    <w:p w14:paraId="28FA4A1C">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设计的材料和设备均应能适合长期的连续运转，正常使用时限必须达到投标文件中承诺时间，重要配件亦应达到承诺的使用期限。</w:t>
      </w:r>
    </w:p>
    <w:p w14:paraId="41A12463">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除去易耗件如密封填料等正常情况需要频繁更换的除外，凡是须经受磨耗的无论哪一种部件，</w:t>
      </w:r>
      <w:r>
        <w:rPr>
          <w:rFonts w:hint="eastAsia" w:ascii="Times New Roman" w:hAnsi="Times New Roman" w:eastAsia="宋体" w:cs="Times New Roman"/>
          <w:color w:val="auto"/>
          <w:szCs w:val="21"/>
          <w:highlight w:val="none"/>
        </w:rPr>
        <w:t>重新</w:t>
      </w:r>
      <w:r>
        <w:rPr>
          <w:rFonts w:ascii="Times New Roman" w:hAnsi="Times New Roman" w:eastAsia="宋体" w:cs="Times New Roman"/>
          <w:color w:val="auto"/>
          <w:szCs w:val="21"/>
          <w:highlight w:val="none"/>
        </w:rPr>
        <w:t>使用到需要更换，或需要修理时的连续正常运转的使用寿命不应少于三年，</w:t>
      </w:r>
      <w:r>
        <w:rPr>
          <w:rFonts w:hint="eastAsia" w:ascii="Times New Roman" w:hAnsi="Times New Roman" w:eastAsia="宋体" w:cs="Times New Roman"/>
          <w:color w:val="auto"/>
          <w:szCs w:val="21"/>
          <w:highlight w:val="none"/>
        </w:rPr>
        <w:t>中标人提供</w:t>
      </w:r>
      <w:r>
        <w:rPr>
          <w:rFonts w:ascii="Times New Roman" w:hAnsi="Times New Roman" w:eastAsia="宋体" w:cs="Times New Roman"/>
          <w:color w:val="auto"/>
          <w:szCs w:val="21"/>
          <w:highlight w:val="none"/>
        </w:rPr>
        <w:t>所有的</w:t>
      </w:r>
      <w:r>
        <w:rPr>
          <w:rFonts w:hint="eastAsia" w:ascii="Times New Roman" w:hAnsi="Times New Roman" w:eastAsia="宋体" w:cs="Times New Roman"/>
          <w:color w:val="auto"/>
          <w:szCs w:val="21"/>
          <w:highlight w:val="none"/>
        </w:rPr>
        <w:t>服务器、工作站、交换机、防火墙等设备必须满足24小时不间断运转且</w:t>
      </w:r>
      <w:r>
        <w:rPr>
          <w:rFonts w:ascii="Times New Roman" w:hAnsi="Times New Roman" w:eastAsia="宋体" w:cs="Times New Roman"/>
          <w:color w:val="auto"/>
          <w:szCs w:val="21"/>
          <w:highlight w:val="none"/>
        </w:rPr>
        <w:t>设计使用寿命不低于10万小时，其额定值至少为工作负荷的125%。</w:t>
      </w:r>
    </w:p>
    <w:p w14:paraId="153ABD34">
      <w:pPr>
        <w:keepNext/>
        <w:keepLines/>
        <w:numPr>
          <w:ilvl w:val="0"/>
          <w:numId w:val="17"/>
        </w:numPr>
        <w:adjustRightInd w:val="0"/>
        <w:snapToGrid w:val="0"/>
        <w:spacing w:line="360" w:lineRule="auto"/>
        <w:ind w:firstLine="614"/>
        <w:outlineLvl w:val="2"/>
        <w:rPr>
          <w:rFonts w:ascii="Times New Roman" w:hAnsi="Times New Roman" w:eastAsia="宋体" w:cs="Times New Roman"/>
          <w:b/>
          <w:bCs/>
          <w:color w:val="auto"/>
          <w:szCs w:val="18"/>
          <w:highlight w:val="none"/>
        </w:rPr>
      </w:pPr>
      <w:bookmarkStart w:id="460" w:name="_Toc28684"/>
      <w:bookmarkStart w:id="461" w:name="_Toc7538"/>
      <w:bookmarkStart w:id="462" w:name="_Toc195714288"/>
      <w:r>
        <w:rPr>
          <w:rFonts w:ascii="Times New Roman" w:hAnsi="Times New Roman" w:eastAsia="宋体" w:cs="Times New Roman"/>
          <w:b/>
          <w:bCs/>
          <w:color w:val="auto"/>
          <w:szCs w:val="18"/>
          <w:highlight w:val="none"/>
        </w:rPr>
        <w:t>材料</w:t>
      </w:r>
      <w:bookmarkEnd w:id="460"/>
      <w:bookmarkEnd w:id="461"/>
      <w:bookmarkEnd w:id="462"/>
    </w:p>
    <w:p w14:paraId="4E41A918">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本项目</w:t>
      </w:r>
      <w:r>
        <w:rPr>
          <w:rFonts w:ascii="Times New Roman" w:hAnsi="Times New Roman" w:eastAsia="宋体" w:cs="Times New Roman"/>
          <w:color w:val="auto"/>
          <w:szCs w:val="21"/>
          <w:highlight w:val="none"/>
        </w:rPr>
        <w:t>所使用的材料必须是最适合该工作的，并应是新的、一流的商品质量，无缺陷的且应选择使用寿命长，维护要求低的材料。</w:t>
      </w:r>
    </w:p>
    <w:p w14:paraId="1BD183EC">
      <w:pPr>
        <w:keepNext/>
        <w:keepLines/>
        <w:numPr>
          <w:ilvl w:val="0"/>
          <w:numId w:val="17"/>
        </w:numPr>
        <w:adjustRightInd w:val="0"/>
        <w:snapToGrid w:val="0"/>
        <w:spacing w:line="360" w:lineRule="auto"/>
        <w:ind w:firstLine="614"/>
        <w:outlineLvl w:val="2"/>
        <w:rPr>
          <w:rFonts w:ascii="Times New Roman" w:hAnsi="Times New Roman" w:eastAsia="宋体" w:cs="Times New Roman"/>
          <w:b/>
          <w:bCs/>
          <w:color w:val="auto"/>
          <w:szCs w:val="18"/>
          <w:highlight w:val="none"/>
        </w:rPr>
      </w:pPr>
      <w:bookmarkStart w:id="463" w:name="_Toc7335"/>
      <w:bookmarkStart w:id="464" w:name="_Toc195714289"/>
      <w:bookmarkStart w:id="465" w:name="_Toc26176"/>
      <w:r>
        <w:rPr>
          <w:rFonts w:ascii="Times New Roman" w:hAnsi="Times New Roman" w:eastAsia="宋体" w:cs="Times New Roman"/>
          <w:b/>
          <w:bCs/>
          <w:color w:val="auto"/>
          <w:szCs w:val="18"/>
          <w:highlight w:val="none"/>
        </w:rPr>
        <w:t>噪音控制</w:t>
      </w:r>
      <w:bookmarkEnd w:id="463"/>
      <w:bookmarkEnd w:id="464"/>
      <w:bookmarkEnd w:id="465"/>
    </w:p>
    <w:p w14:paraId="38D098F2">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所有设备在正常运转时无异常噪声，如有必要，设备应自带消音器或隔音罩设计，满足相应技术参数部分对噪声控制的要求。</w:t>
      </w:r>
    </w:p>
    <w:p w14:paraId="5DB4C4D8">
      <w:pPr>
        <w:keepNext/>
        <w:keepLines/>
        <w:numPr>
          <w:ilvl w:val="0"/>
          <w:numId w:val="17"/>
        </w:numPr>
        <w:adjustRightInd w:val="0"/>
        <w:snapToGrid w:val="0"/>
        <w:spacing w:line="360" w:lineRule="auto"/>
        <w:ind w:firstLine="614"/>
        <w:outlineLvl w:val="2"/>
        <w:rPr>
          <w:rFonts w:ascii="Times New Roman" w:hAnsi="Times New Roman" w:eastAsia="宋体" w:cs="Times New Roman"/>
          <w:b/>
          <w:bCs/>
          <w:color w:val="auto"/>
          <w:szCs w:val="18"/>
          <w:highlight w:val="none"/>
        </w:rPr>
      </w:pPr>
      <w:bookmarkStart w:id="466" w:name="_Toc195714290"/>
      <w:bookmarkStart w:id="467" w:name="_Toc31063"/>
      <w:bookmarkStart w:id="468" w:name="_Toc3430"/>
      <w:r>
        <w:rPr>
          <w:rFonts w:ascii="Times New Roman" w:hAnsi="Times New Roman" w:eastAsia="宋体" w:cs="Times New Roman"/>
          <w:b/>
          <w:bCs/>
          <w:color w:val="auto"/>
          <w:szCs w:val="18"/>
          <w:highlight w:val="none"/>
        </w:rPr>
        <w:t>铭牌、标志</w:t>
      </w:r>
      <w:bookmarkEnd w:id="466"/>
      <w:bookmarkEnd w:id="467"/>
      <w:bookmarkEnd w:id="468"/>
    </w:p>
    <w:p w14:paraId="75A84D88">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所有设备及配套系统的标识、标牌等要符合</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1"/>
          <w:highlight w:val="none"/>
        </w:rPr>
        <w:t>《6S可视化管理执行标准手册》的相关要求，具体需中标人在确定中标后主动与</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1"/>
          <w:highlight w:val="none"/>
        </w:rPr>
        <w:t>沟通确认。</w:t>
      </w:r>
    </w:p>
    <w:p w14:paraId="4ED28FC0">
      <w:pPr>
        <w:keepNext/>
        <w:keepLines/>
        <w:numPr>
          <w:ilvl w:val="0"/>
          <w:numId w:val="17"/>
        </w:numPr>
        <w:adjustRightInd w:val="0"/>
        <w:snapToGrid w:val="0"/>
        <w:spacing w:line="360" w:lineRule="auto"/>
        <w:ind w:firstLine="614"/>
        <w:outlineLvl w:val="2"/>
        <w:rPr>
          <w:rFonts w:ascii="Times New Roman" w:hAnsi="Times New Roman" w:eastAsia="宋体" w:cs="Times New Roman"/>
          <w:b/>
          <w:bCs/>
          <w:color w:val="auto"/>
          <w:szCs w:val="18"/>
          <w:highlight w:val="none"/>
        </w:rPr>
      </w:pPr>
      <w:bookmarkStart w:id="469" w:name="_Toc2554"/>
      <w:bookmarkStart w:id="470" w:name="_Toc22159"/>
      <w:bookmarkStart w:id="471" w:name="_Toc195714291"/>
      <w:r>
        <w:rPr>
          <w:rFonts w:ascii="Times New Roman" w:hAnsi="Times New Roman" w:eastAsia="宋体" w:cs="Times New Roman"/>
          <w:b/>
          <w:bCs/>
          <w:color w:val="auto"/>
          <w:szCs w:val="18"/>
          <w:highlight w:val="none"/>
        </w:rPr>
        <w:t>安装紧固件</w:t>
      </w:r>
      <w:bookmarkEnd w:id="469"/>
      <w:bookmarkEnd w:id="470"/>
      <w:bookmarkEnd w:id="471"/>
    </w:p>
    <w:p w14:paraId="58485CF0">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人需提供设备安装所需的专门的所有紧固件，如地脚螺栓、垫板、托座、支承钢结构和座板等，其中用在混凝土，砖石中的基础螺栓，螺母和垫圈应为304不锈钢（含304不锈钢）以上材质。投标人应在投标文件上予以明确其材质、数量、尺寸等。</w:t>
      </w:r>
    </w:p>
    <w:p w14:paraId="2B20D305">
      <w:pPr>
        <w:keepNext/>
        <w:keepLines/>
        <w:numPr>
          <w:ilvl w:val="0"/>
          <w:numId w:val="17"/>
        </w:numPr>
        <w:adjustRightInd w:val="0"/>
        <w:snapToGrid w:val="0"/>
        <w:spacing w:line="360" w:lineRule="auto"/>
        <w:ind w:firstLine="614"/>
        <w:outlineLvl w:val="2"/>
        <w:rPr>
          <w:rFonts w:ascii="Times New Roman" w:hAnsi="Times New Roman" w:eastAsia="宋体" w:cs="Times New Roman"/>
          <w:b/>
          <w:bCs/>
          <w:color w:val="auto"/>
          <w:szCs w:val="18"/>
          <w:highlight w:val="none"/>
        </w:rPr>
      </w:pPr>
      <w:bookmarkStart w:id="472" w:name="_Toc195714292"/>
      <w:bookmarkStart w:id="473" w:name="_Toc12718"/>
      <w:bookmarkStart w:id="474" w:name="_Toc6682"/>
      <w:r>
        <w:rPr>
          <w:rFonts w:ascii="Times New Roman" w:hAnsi="Times New Roman" w:eastAsia="宋体" w:cs="Times New Roman"/>
          <w:b/>
          <w:bCs/>
          <w:color w:val="auto"/>
          <w:szCs w:val="18"/>
          <w:highlight w:val="none"/>
        </w:rPr>
        <w:t>设备配套部件要求品牌及材质</w:t>
      </w:r>
      <w:bookmarkEnd w:id="472"/>
      <w:bookmarkEnd w:id="473"/>
      <w:bookmarkEnd w:id="474"/>
    </w:p>
    <w:p w14:paraId="52DD3266">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配套控制柜的电气元件：AB、ABB、施耐德、西门子、菲尼克斯或具备同等质量的品牌产品，其中接触器和继电器的寿命不小于100万次（每对触点开合次数）。</w:t>
      </w:r>
    </w:p>
    <w:p w14:paraId="0B9C8B18">
      <w:pPr>
        <w:keepNext/>
        <w:keepLines/>
        <w:numPr>
          <w:ilvl w:val="0"/>
          <w:numId w:val="17"/>
        </w:numPr>
        <w:adjustRightInd w:val="0"/>
        <w:snapToGrid w:val="0"/>
        <w:spacing w:line="360" w:lineRule="auto"/>
        <w:ind w:firstLine="614"/>
        <w:outlineLvl w:val="2"/>
        <w:rPr>
          <w:rFonts w:ascii="Times New Roman" w:hAnsi="Times New Roman" w:eastAsia="宋体" w:cs="Times New Roman"/>
          <w:b/>
          <w:bCs/>
          <w:color w:val="auto"/>
          <w:szCs w:val="18"/>
          <w:highlight w:val="none"/>
        </w:rPr>
      </w:pPr>
      <w:bookmarkStart w:id="475" w:name="_Toc1106"/>
      <w:bookmarkStart w:id="476" w:name="_Toc195714293"/>
      <w:bookmarkStart w:id="477" w:name="_Toc31744"/>
      <w:r>
        <w:rPr>
          <w:rFonts w:ascii="Times New Roman" w:hAnsi="Times New Roman" w:eastAsia="宋体" w:cs="Times New Roman"/>
          <w:b/>
          <w:bCs/>
          <w:color w:val="auto"/>
          <w:szCs w:val="18"/>
          <w:highlight w:val="none"/>
        </w:rPr>
        <w:t>噪声控制</w:t>
      </w:r>
      <w:bookmarkEnd w:id="475"/>
      <w:bookmarkEnd w:id="476"/>
      <w:bookmarkEnd w:id="477"/>
    </w:p>
    <w:p w14:paraId="2B823C50">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采用优质、低噪声设备；</w:t>
      </w:r>
    </w:p>
    <w:p w14:paraId="4085D7BE">
      <w:pPr>
        <w:keepNext/>
        <w:keepLines/>
        <w:numPr>
          <w:ilvl w:val="0"/>
          <w:numId w:val="17"/>
        </w:numPr>
        <w:adjustRightInd w:val="0"/>
        <w:snapToGrid w:val="0"/>
        <w:spacing w:line="360" w:lineRule="auto"/>
        <w:ind w:firstLine="614"/>
        <w:outlineLvl w:val="2"/>
        <w:rPr>
          <w:rFonts w:ascii="Times New Roman" w:hAnsi="Times New Roman" w:eastAsia="宋体" w:cs="Times New Roman"/>
          <w:b/>
          <w:bCs/>
          <w:color w:val="auto"/>
          <w:szCs w:val="32"/>
          <w:highlight w:val="none"/>
        </w:rPr>
      </w:pPr>
      <w:bookmarkStart w:id="478" w:name="_Toc19460"/>
      <w:bookmarkStart w:id="479" w:name="_Toc12627"/>
      <w:bookmarkStart w:id="480" w:name="_Toc195714294"/>
      <w:r>
        <w:rPr>
          <w:rFonts w:ascii="Times New Roman" w:hAnsi="Times New Roman" w:eastAsia="宋体" w:cs="Times New Roman"/>
          <w:b/>
          <w:bCs/>
          <w:color w:val="auto"/>
          <w:szCs w:val="18"/>
          <w:highlight w:val="none"/>
        </w:rPr>
        <w:t>电气设备及控制箱（柜）一般技术要求</w:t>
      </w:r>
      <w:bookmarkEnd w:id="478"/>
      <w:bookmarkEnd w:id="479"/>
      <w:bookmarkEnd w:id="480"/>
    </w:p>
    <w:p w14:paraId="5FBE2075">
      <w:pPr>
        <w:adjustRightInd w:val="0"/>
        <w:snapToGrid w:val="0"/>
        <w:spacing w:line="360" w:lineRule="auto"/>
        <w:ind w:firstLine="420" w:firstLineChars="200"/>
        <w:outlineLvl w:val="4"/>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（1）要求范围</w:t>
      </w:r>
    </w:p>
    <w:p w14:paraId="7C4E3CEF">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本节所述电气控制箱（柜）为本需求书中涉及投标人应负责提供所供设备配套的</w:t>
      </w:r>
      <w:r>
        <w:rPr>
          <w:rFonts w:hint="eastAsia" w:ascii="Times New Roman" w:hAnsi="Times New Roman" w:eastAsia="宋体" w:cs="Times New Roman"/>
          <w:color w:val="auto"/>
          <w:szCs w:val="21"/>
          <w:highlight w:val="none"/>
        </w:rPr>
        <w:t>服务器机柜、电源控制机柜</w:t>
      </w:r>
      <w:r>
        <w:rPr>
          <w:rFonts w:ascii="Times New Roman" w:hAnsi="Times New Roman" w:eastAsia="宋体" w:cs="Times New Roman"/>
          <w:color w:val="auto"/>
          <w:szCs w:val="21"/>
          <w:highlight w:val="none"/>
        </w:rPr>
        <w:t>及其电气附属设备。</w:t>
      </w:r>
    </w:p>
    <w:p w14:paraId="65F373DD">
      <w:pPr>
        <w:adjustRightInd w:val="0"/>
        <w:snapToGrid w:val="0"/>
        <w:spacing w:line="360" w:lineRule="auto"/>
        <w:ind w:firstLine="420" w:firstLineChars="200"/>
        <w:outlineLvl w:val="4"/>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（2）需求执行要求</w:t>
      </w:r>
    </w:p>
    <w:p w14:paraId="5C20603F">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所有设备及材料的设计，制造及调试中应具备规定的性能。应确保所有设备及材料的设计、制造、试验或试运行的质量。</w:t>
      </w:r>
    </w:p>
    <w:p w14:paraId="3153849E">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所有电气设备的连接线若采用硬芯电线或电缆，则裸露在外的铜导线须进行热镀锡处理。</w:t>
      </w:r>
    </w:p>
    <w:p w14:paraId="132DC989">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电源控制机柜</w:t>
      </w:r>
      <w:r>
        <w:rPr>
          <w:rFonts w:ascii="Times New Roman" w:hAnsi="Times New Roman" w:eastAsia="宋体" w:cs="Times New Roman"/>
          <w:color w:val="auto"/>
          <w:szCs w:val="21"/>
          <w:highlight w:val="none"/>
        </w:rPr>
        <w:t>内的控制元器件如熔断器、断路器、接触器、开关、按钮、指示灯等须选用所列品牌中的最优系列产品，接触器等须选用比额定值大一个规格的产品；控制柜（箱）到设备的动力电缆应同时满足以下要求：①采用YJV电缆；②额定工作时最大电流密度不超过3.5A/mm</w:t>
      </w:r>
      <w:r>
        <w:rPr>
          <w:rFonts w:ascii="Times New Roman" w:hAnsi="Times New Roman" w:eastAsia="宋体" w:cs="Times New Roman"/>
          <w:color w:val="auto"/>
          <w:szCs w:val="21"/>
          <w:highlight w:val="none"/>
          <w:vertAlign w:val="superscript"/>
        </w:rPr>
        <w:t>2</w:t>
      </w:r>
      <w:r>
        <w:rPr>
          <w:rFonts w:ascii="Times New Roman" w:hAnsi="Times New Roman" w:eastAsia="宋体" w:cs="Times New Roman"/>
          <w:color w:val="auto"/>
          <w:szCs w:val="21"/>
          <w:highlight w:val="none"/>
        </w:rPr>
        <w:t>；③最大压降不超过额定工作电压的1%；④当动力设备功率较小时其所用电缆最小截面不得小于4mm</w:t>
      </w:r>
      <w:r>
        <w:rPr>
          <w:rFonts w:ascii="Times New Roman" w:hAnsi="Times New Roman" w:eastAsia="宋体" w:cs="Times New Roman"/>
          <w:color w:val="auto"/>
          <w:szCs w:val="21"/>
          <w:highlight w:val="none"/>
          <w:vertAlign w:val="superscript"/>
        </w:rPr>
        <w:t>2</w:t>
      </w:r>
      <w:r>
        <w:rPr>
          <w:rFonts w:ascii="Times New Roman" w:hAnsi="Times New Roman" w:eastAsia="宋体" w:cs="Times New Roman"/>
          <w:color w:val="auto"/>
          <w:szCs w:val="21"/>
          <w:highlight w:val="none"/>
        </w:rPr>
        <w:t>。</w:t>
      </w:r>
    </w:p>
    <w:p w14:paraId="1A8EEDE8">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箱（柜）内和面板上的元器件的安装布置要布局合理、整齐美观、稳固牢靠，标志清楚，且便于观察和操作、维护。标志清楚是指各箱内和面板上的元器件如开关、按钮、指示灯等要有注明用途的标签或标志牌，所有的端子排和接线应标注识别码，所有的标识装置应保证在设备正常的使用寿命周期内标识字码不会灭失，端子排要预留20%的备用端子。</w:t>
      </w:r>
    </w:p>
    <w:p w14:paraId="0CB43D92">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箱</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柜</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内随机的电气控制元器件，其导电接线端子（含端板、螺钉、螺栓、垫片）及线耳、线叉等，其表面均须进行镀锡处理，箱柜内连接用软电线（缆）须采用镀锡铜线。</w:t>
      </w:r>
    </w:p>
    <w:p w14:paraId="6573562D">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所有控制箱</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柜</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上非导电紧固件须采用304不锈钢材质。</w:t>
      </w:r>
    </w:p>
    <w:p w14:paraId="600A92A8">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所有</w:t>
      </w:r>
      <w:r>
        <w:rPr>
          <w:rFonts w:ascii="Times New Roman" w:hAnsi="Times New Roman" w:eastAsia="宋体" w:cs="Times New Roman"/>
          <w:color w:val="auto"/>
          <w:szCs w:val="21"/>
          <w:highlight w:val="none"/>
        </w:rPr>
        <w:t>电气</w:t>
      </w:r>
      <w:r>
        <w:rPr>
          <w:rFonts w:hint="eastAsia" w:ascii="Times New Roman" w:hAnsi="Times New Roman" w:eastAsia="宋体" w:cs="Times New Roman"/>
          <w:color w:val="auto"/>
          <w:szCs w:val="21"/>
          <w:highlight w:val="none"/>
        </w:rPr>
        <w:t>控制柜内必须配备照明、通风和除湿装置，除湿装置应具备温湿度监测功能，可根据温湿度值自动调整运行工况，除湿量不小于350ml每日。</w:t>
      </w:r>
    </w:p>
    <w:p w14:paraId="57F6979A">
      <w:pPr>
        <w:keepNext/>
        <w:keepLines/>
        <w:numPr>
          <w:ilvl w:val="0"/>
          <w:numId w:val="17"/>
        </w:numPr>
        <w:adjustRightInd w:val="0"/>
        <w:snapToGrid w:val="0"/>
        <w:spacing w:line="360" w:lineRule="auto"/>
        <w:ind w:firstLine="614"/>
        <w:outlineLvl w:val="2"/>
        <w:rPr>
          <w:rFonts w:ascii="Times New Roman" w:hAnsi="Times New Roman" w:eastAsia="宋体" w:cs="Times New Roman"/>
          <w:b/>
          <w:bCs/>
          <w:color w:val="auto"/>
          <w:szCs w:val="32"/>
          <w:highlight w:val="none"/>
        </w:rPr>
      </w:pPr>
      <w:bookmarkStart w:id="481" w:name="_Toc195714295"/>
      <w:bookmarkStart w:id="482" w:name="_Toc29961"/>
      <w:r>
        <w:rPr>
          <w:rFonts w:ascii="Times New Roman" w:hAnsi="Times New Roman" w:eastAsia="宋体" w:cs="Times New Roman"/>
          <w:b/>
          <w:bCs/>
          <w:color w:val="auto"/>
          <w:szCs w:val="18"/>
          <w:highlight w:val="none"/>
        </w:rPr>
        <w:t>工程环境条件</w:t>
      </w:r>
      <w:bookmarkEnd w:id="481"/>
      <w:bookmarkEnd w:id="482"/>
    </w:p>
    <w:p w14:paraId="256CC2B2">
      <w:pPr>
        <w:numPr>
          <w:ilvl w:val="0"/>
          <w:numId w:val="18"/>
        </w:numPr>
        <w:snapToGrid w:val="0"/>
        <w:spacing w:line="360" w:lineRule="auto"/>
        <w:ind w:firstLine="420" w:firstLineChars="200"/>
        <w:outlineLvl w:val="4"/>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环境温度</w:t>
      </w:r>
    </w:p>
    <w:p w14:paraId="305DCAC0">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所有设备和装置应能在设计规定的环境温度范围内使用：</w:t>
      </w:r>
    </w:p>
    <w:p w14:paraId="402CEE27">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建筑物内：-0℃～+40℃</w:t>
      </w:r>
    </w:p>
    <w:p w14:paraId="0812195A">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露天场地：-5℃～+50℃</w:t>
      </w:r>
    </w:p>
    <w:p w14:paraId="7E91672F">
      <w:pPr>
        <w:numPr>
          <w:ilvl w:val="0"/>
          <w:numId w:val="18"/>
        </w:numPr>
        <w:snapToGrid w:val="0"/>
        <w:spacing w:line="360" w:lineRule="auto"/>
        <w:ind w:firstLine="420" w:firstLineChars="200"/>
        <w:outlineLvl w:val="4"/>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湿度</w:t>
      </w:r>
    </w:p>
    <w:p w14:paraId="5A4E8D08">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所有设备在相对湿度5%～95%范围内任何环境中操作应满足规定的性能。</w:t>
      </w:r>
    </w:p>
    <w:p w14:paraId="7BBF3B29">
      <w:pPr>
        <w:numPr>
          <w:ilvl w:val="0"/>
          <w:numId w:val="18"/>
        </w:numPr>
        <w:snapToGrid w:val="0"/>
        <w:spacing w:line="360" w:lineRule="auto"/>
        <w:ind w:firstLine="420" w:firstLineChars="200"/>
        <w:outlineLvl w:val="4"/>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干扰、电磁场和射频</w:t>
      </w:r>
    </w:p>
    <w:p w14:paraId="45926E23">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所有设备应具有良好的抗电磁场、射频干扰的能力。中标人进行电缆敷设和接地安装时，应与动力电缆和其它可能产生任何干扰的现场设备相隔离。</w:t>
      </w:r>
    </w:p>
    <w:p w14:paraId="3FDBB853">
      <w:pPr>
        <w:numPr>
          <w:ilvl w:val="0"/>
          <w:numId w:val="18"/>
        </w:numPr>
        <w:snapToGrid w:val="0"/>
        <w:spacing w:line="360" w:lineRule="auto"/>
        <w:ind w:firstLine="420" w:firstLineChars="200"/>
        <w:outlineLvl w:val="4"/>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雷电保护</w:t>
      </w:r>
    </w:p>
    <w:p w14:paraId="48324E7E">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对交流电源线应根据导线所通过的防雷保护区和不同的供电方式，在被保护设备前安装达到以下指标要求的防雷器：</w:t>
      </w:r>
    </w:p>
    <w:p w14:paraId="7C0B05FD">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1）当电源进线（单相220VAC）从LPZOA 区进入LPZ1 区时，防雷器（或组合）的保护参数应符合如下要求：</w:t>
      </w:r>
    </w:p>
    <w:p w14:paraId="27932073">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雷电冲击电流Iimp：≤100KA（10/350μs）；</w:t>
      </w:r>
    </w:p>
    <w:p w14:paraId="7B3876B0">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电压保护级别Up：≤1.5kV；</w:t>
      </w:r>
    </w:p>
    <w:p w14:paraId="07F6F1DB">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响应时间：≤100ns。</w:t>
      </w:r>
    </w:p>
    <w:p w14:paraId="5E5BA4BC">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当电源进线（单相220VAC）从LPZOB 区进入LPZ1 区时，防雷器（或组合）的保护参数应符合如下要求：</w:t>
      </w:r>
    </w:p>
    <w:p w14:paraId="5E6BC2E9">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最大放电电流Imax：≤40KA（8/20μs）；</w:t>
      </w:r>
    </w:p>
    <w:p w14:paraId="6D898CAC">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电压保护级别Up：≤1.5kV；</w:t>
      </w:r>
    </w:p>
    <w:p w14:paraId="651BF5B6">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响应时间：≤25ns。</w:t>
      </w:r>
    </w:p>
    <w:p w14:paraId="1759EA75">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中标人应提供、安装适当的防雷器，确保系统正常运行的前提下，能够承受预期通过它们的过电压，并有完善的保护电子设备。中标人必须对装有信道防雷器的通讯线路复核其传输速率，即选择适当的防雷器通频带和网络分支上的防雷器安装数量，以保证计算机网络原有的最大传输速率。</w:t>
      </w:r>
    </w:p>
    <w:p w14:paraId="05D9F222">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3）雷电接地系统应严格按GB50057-2010规定中对屏蔽、接地和等电位连接要求以合适的方法与电气接地系统相连接。所有保护隔离板和有关装置的安装应严格按照设备制造厂商的要求进行。</w:t>
      </w:r>
    </w:p>
    <w:p w14:paraId="11E3A659">
      <w:pPr>
        <w:numPr>
          <w:ilvl w:val="0"/>
          <w:numId w:val="18"/>
        </w:numPr>
        <w:snapToGrid w:val="0"/>
        <w:spacing w:line="360" w:lineRule="auto"/>
        <w:ind w:firstLine="420" w:firstLineChars="200"/>
        <w:outlineLvl w:val="4"/>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振动</w:t>
      </w:r>
    </w:p>
    <w:p w14:paraId="109C8DA0">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当设备在测试极限范围内（符合IEC770）受到冲击或振动时，仍能以要求的性能连续运行且不受到危害。</w:t>
      </w:r>
    </w:p>
    <w:p w14:paraId="16B3A755">
      <w:pPr>
        <w:keepNext/>
        <w:keepLines/>
        <w:numPr>
          <w:ilvl w:val="0"/>
          <w:numId w:val="17"/>
        </w:numPr>
        <w:adjustRightInd w:val="0"/>
        <w:snapToGrid w:val="0"/>
        <w:spacing w:line="360" w:lineRule="auto"/>
        <w:ind w:firstLine="614"/>
        <w:outlineLvl w:val="2"/>
        <w:rPr>
          <w:rFonts w:ascii="Times New Roman" w:hAnsi="Times New Roman" w:eastAsia="宋体" w:cs="Times New Roman"/>
          <w:b/>
          <w:bCs/>
          <w:color w:val="auto"/>
          <w:szCs w:val="32"/>
          <w:highlight w:val="none"/>
        </w:rPr>
      </w:pPr>
      <w:bookmarkStart w:id="483" w:name="_Toc24748"/>
      <w:bookmarkStart w:id="484" w:name="_Toc195714296"/>
      <w:r>
        <w:rPr>
          <w:rFonts w:ascii="Times New Roman" w:hAnsi="Times New Roman" w:eastAsia="宋体" w:cs="Times New Roman"/>
          <w:b/>
          <w:bCs/>
          <w:color w:val="auto"/>
          <w:szCs w:val="18"/>
          <w:highlight w:val="none"/>
        </w:rPr>
        <w:t>电气要求</w:t>
      </w:r>
      <w:bookmarkEnd w:id="483"/>
      <w:bookmarkEnd w:id="484"/>
    </w:p>
    <w:p w14:paraId="453D4B62">
      <w:pPr>
        <w:numPr>
          <w:ilvl w:val="0"/>
          <w:numId w:val="19"/>
        </w:numPr>
        <w:snapToGrid w:val="0"/>
        <w:spacing w:line="360" w:lineRule="auto"/>
        <w:ind w:firstLine="420" w:firstLineChars="200"/>
        <w:outlineLvl w:val="4"/>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电源</w:t>
      </w:r>
    </w:p>
    <w:p w14:paraId="26CED404">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控制系统装置应能在下述的任何一种电源条件下运行：</w:t>
      </w:r>
    </w:p>
    <w:p w14:paraId="087B0C82">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1）主电源：220VAC，50Hz</w:t>
      </w:r>
    </w:p>
    <w:p w14:paraId="0B3772C8">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2）24VDC，带反极性保护</w:t>
      </w:r>
    </w:p>
    <w:p w14:paraId="6ECC4BDE">
      <w:pPr>
        <w:numPr>
          <w:ilvl w:val="0"/>
          <w:numId w:val="19"/>
        </w:numPr>
        <w:snapToGrid w:val="0"/>
        <w:spacing w:line="360" w:lineRule="auto"/>
        <w:ind w:firstLine="420" w:firstLineChars="200"/>
        <w:outlineLvl w:val="4"/>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电源偏差</w:t>
      </w:r>
    </w:p>
    <w:p w14:paraId="66C4C257">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系统所有预置参数、用户整定参数、历史数据等均能在失电情况下永久维持。</w:t>
      </w:r>
    </w:p>
    <w:p w14:paraId="47F1B65A">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所有设备在下列电源波动范围内，其性能将维持不变：</w:t>
      </w:r>
    </w:p>
    <w:p w14:paraId="7CB5CD6B">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电源变化范围：-15%～+15%</w:t>
      </w:r>
    </w:p>
    <w:p w14:paraId="0B809C96">
      <w:pPr>
        <w:numPr>
          <w:ilvl w:val="255"/>
          <w:numId w:val="0"/>
        </w:numPr>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频率变化范围：50Hz±2Hz</w:t>
      </w:r>
    </w:p>
    <w:p w14:paraId="11827594">
      <w:pPr>
        <w:numPr>
          <w:ilvl w:val="255"/>
          <w:numId w:val="0"/>
        </w:num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对于环路电源装置稳压电源变化范围为：1%</w:t>
      </w:r>
    </w:p>
    <w:p w14:paraId="3C28E9D2">
      <w:pPr>
        <w:keepNext/>
        <w:keepLines/>
        <w:numPr>
          <w:ilvl w:val="0"/>
          <w:numId w:val="3"/>
        </w:numPr>
        <w:spacing w:line="360" w:lineRule="auto"/>
        <w:ind w:left="0" w:leftChars="0" w:firstLine="0" w:firstLineChars="0"/>
        <w:outlineLvl w:val="1"/>
        <w:rPr>
          <w:rFonts w:ascii="Times New Roman" w:hAnsi="Times New Roman" w:eastAsia="宋体" w:cs="Times New Roman"/>
          <w:b/>
          <w:bCs/>
          <w:color w:val="auto"/>
          <w:szCs w:val="21"/>
          <w:highlight w:val="none"/>
        </w:rPr>
      </w:pPr>
      <w:bookmarkStart w:id="485" w:name="_Toc29859"/>
      <w:bookmarkStart w:id="486" w:name="_Toc195714297"/>
      <w:r>
        <w:rPr>
          <w:rFonts w:ascii="Times New Roman" w:hAnsi="Times New Roman" w:eastAsia="宋体" w:cs="Times New Roman"/>
          <w:b/>
          <w:bCs/>
          <w:color w:val="auto"/>
          <w:szCs w:val="21"/>
          <w:highlight w:val="none"/>
        </w:rPr>
        <w:t>货物监造与检验</w:t>
      </w:r>
      <w:bookmarkEnd w:id="485"/>
      <w:bookmarkEnd w:id="486"/>
    </w:p>
    <w:p w14:paraId="2686AF05">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2.7.1招标人有权（或授权代理人）对合同内货物进行现场监造与检验，投标人应予配合。招标人或授权的代理人现场监造与检验所产生的交通费、食宿费由招标人负责。</w:t>
      </w:r>
    </w:p>
    <w:p w14:paraId="5392CEA9">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bCs/>
          <w:color w:val="auto"/>
          <w:szCs w:val="21"/>
          <w:highlight w:val="none"/>
        </w:rPr>
        <w:t>2.7.2</w:t>
      </w:r>
      <w:r>
        <w:rPr>
          <w:rFonts w:hint="eastAsia" w:ascii="Times New Roman" w:hAnsi="Times New Roman" w:eastAsia="宋体" w:cs="宋体"/>
          <w:color w:val="auto"/>
          <w:szCs w:val="21"/>
          <w:highlight w:val="none"/>
        </w:rPr>
        <w:t>不论设备已经过海关和进出口商检局或其它国家相关部门检查，招标人仍可以要求在设备制造现场或安装地进行检查，中标人必须派有经验和资格的人员帮助检查测试。</w:t>
      </w:r>
    </w:p>
    <w:p w14:paraId="7885C13F">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bCs/>
          <w:color w:val="auto"/>
          <w:szCs w:val="21"/>
          <w:highlight w:val="none"/>
        </w:rPr>
        <w:t>2.7.3</w:t>
      </w:r>
      <w:r>
        <w:rPr>
          <w:rFonts w:hint="eastAsia" w:ascii="Times New Roman" w:hAnsi="Times New Roman" w:eastAsia="宋体" w:cs="宋体"/>
          <w:color w:val="auto"/>
          <w:szCs w:val="21"/>
          <w:highlight w:val="none"/>
        </w:rPr>
        <w:t>招标人有权在货物发运前的任何适当的时间访问制造厂，对合同规定提供的所有设备性能进行检验和监督。检测工作如果超出投标人的能力，投标人应安排到有检测条件的其它地方或委托有相应资质的检测机构进行，检测工作的任何变化都应得招标人的书面认可。如果某些设备是在其它特殊场所制造和检测，投标人应替招标人代表办理进入现场的手续和亲自陪同。</w:t>
      </w:r>
    </w:p>
    <w:p w14:paraId="1BF6BA17">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bCs/>
          <w:color w:val="auto"/>
          <w:szCs w:val="21"/>
          <w:highlight w:val="none"/>
        </w:rPr>
        <w:t>2.7.4</w:t>
      </w:r>
      <w:r>
        <w:rPr>
          <w:rFonts w:hint="eastAsia" w:ascii="Times New Roman" w:hAnsi="Times New Roman" w:eastAsia="宋体" w:cs="宋体"/>
          <w:color w:val="auto"/>
          <w:szCs w:val="21"/>
          <w:highlight w:val="none"/>
        </w:rPr>
        <w:t>招标人在现场的监造和工厂检验并不由此而解除投标人执行合同所承担的任何责任，也不作为招标人的最终验收。</w:t>
      </w:r>
    </w:p>
    <w:p w14:paraId="0ED8AA53">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bCs/>
          <w:color w:val="auto"/>
          <w:szCs w:val="21"/>
          <w:highlight w:val="none"/>
        </w:rPr>
        <w:t>2.7.5</w:t>
      </w:r>
      <w:r>
        <w:rPr>
          <w:rFonts w:hint="eastAsia" w:ascii="Times New Roman" w:hAnsi="Times New Roman" w:eastAsia="宋体" w:cs="宋体"/>
          <w:color w:val="auto"/>
          <w:szCs w:val="21"/>
          <w:highlight w:val="none"/>
        </w:rPr>
        <w:t>对于设备监造和工厂检验，投标人应提前两周（进口货物提前两个月）对测试时间、地点、项目发出书面通知。如果招标人在规定时间内招标人代表不到场，工作仍可按招标人在场情况进行，并应及时把结果报告招标人。</w:t>
      </w:r>
    </w:p>
    <w:p w14:paraId="2A1AC8DC">
      <w:pPr>
        <w:keepNext/>
        <w:keepLines/>
        <w:numPr>
          <w:ilvl w:val="0"/>
          <w:numId w:val="3"/>
        </w:numPr>
        <w:spacing w:line="360" w:lineRule="auto"/>
        <w:ind w:left="0" w:leftChars="0" w:firstLine="0" w:firstLineChars="0"/>
        <w:outlineLvl w:val="1"/>
        <w:rPr>
          <w:rFonts w:ascii="Times New Roman" w:hAnsi="Times New Roman" w:eastAsia="宋体" w:cs="Times New Roman"/>
          <w:b/>
          <w:bCs/>
          <w:color w:val="auto"/>
          <w:szCs w:val="21"/>
          <w:highlight w:val="none"/>
        </w:rPr>
      </w:pPr>
      <w:bookmarkStart w:id="487" w:name="_Toc195714298"/>
      <w:bookmarkStart w:id="488" w:name="_Toc650"/>
      <w:r>
        <w:rPr>
          <w:rFonts w:hint="eastAsia" w:ascii="Times New Roman" w:hAnsi="Times New Roman" w:eastAsia="宋体" w:cs="Times New Roman"/>
          <w:b/>
          <w:bCs/>
          <w:color w:val="auto"/>
          <w:szCs w:val="21"/>
          <w:highlight w:val="none"/>
        </w:rPr>
        <w:t>货物运输要求</w:t>
      </w:r>
      <w:bookmarkEnd w:id="487"/>
      <w:bookmarkEnd w:id="488"/>
    </w:p>
    <w:p w14:paraId="6373A0FD">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2.8.1 合同范围内所有货物的运输责任由中标人负责。</w:t>
      </w:r>
    </w:p>
    <w:p w14:paraId="5B8B7BBF">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2.8.2提供的设备必须有防水、防震、防碰撞坚固的外包装，贵重物品要加强包装保护措施，并且在包装箱上标有醒目标记：禁止倒放、禁止其他物件堆放在上面等。</w:t>
      </w:r>
    </w:p>
    <w:p w14:paraId="6B8F823F">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2.8.3必须按设备的编号进行逐一装箱，严禁多台设备的部件混装一箱，并且所有包装箱及零部件上必须标有与装箱单一致的中文标签编号。</w:t>
      </w:r>
    </w:p>
    <w:p w14:paraId="358CA15E">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2.8.</w:t>
      </w:r>
      <w:r>
        <w:rPr>
          <w:rFonts w:hint="eastAsia" w:ascii="Times New Roman" w:hAnsi="Times New Roman" w:eastAsia="宋体" w:cs="宋体"/>
          <w:bCs/>
          <w:color w:val="auto"/>
          <w:szCs w:val="21"/>
          <w:highlight w:val="none"/>
        </w:rPr>
        <w:t>4</w:t>
      </w:r>
      <w:r>
        <w:rPr>
          <w:rFonts w:hint="eastAsia" w:ascii="Times New Roman" w:hAnsi="Times New Roman" w:eastAsia="宋体" w:cs="宋体"/>
          <w:color w:val="auto"/>
          <w:szCs w:val="21"/>
          <w:highlight w:val="none"/>
        </w:rPr>
        <w:t>随机的备件和检修维修工具应与设备分开包装和单独装箱。该包装箱不得开启，必须直接交付招标人。</w:t>
      </w:r>
    </w:p>
    <w:p w14:paraId="510418B2">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2.8.</w:t>
      </w:r>
      <w:r>
        <w:rPr>
          <w:rFonts w:hint="eastAsia" w:ascii="Times New Roman" w:hAnsi="Times New Roman" w:eastAsia="宋体" w:cs="宋体"/>
          <w:bCs/>
          <w:color w:val="auto"/>
          <w:szCs w:val="21"/>
          <w:highlight w:val="none"/>
        </w:rPr>
        <w:t>5</w:t>
      </w:r>
      <w:r>
        <w:rPr>
          <w:rFonts w:hint="eastAsia" w:ascii="Times New Roman" w:hAnsi="Times New Roman" w:eastAsia="宋体" w:cs="宋体"/>
          <w:color w:val="auto"/>
          <w:szCs w:val="21"/>
          <w:highlight w:val="none"/>
        </w:rPr>
        <w:t>若对所提供货物有特殊的仓储要求，则必须在设备到达前一周将有关技术文件递送到招标人。</w:t>
      </w:r>
    </w:p>
    <w:p w14:paraId="443C52C4">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2.8.6设备到货后，中标人必须到现场与招标人共同进行到货检验，若中标人不参加到货开箱检验，由此而发生的一切后果有中标人承担。</w:t>
      </w:r>
    </w:p>
    <w:p w14:paraId="188EFE7D">
      <w:pPr>
        <w:keepNext/>
        <w:keepLines/>
        <w:numPr>
          <w:ilvl w:val="0"/>
          <w:numId w:val="3"/>
        </w:numPr>
        <w:spacing w:line="360" w:lineRule="auto"/>
        <w:ind w:left="0" w:leftChars="0" w:firstLine="0" w:firstLineChars="0"/>
        <w:outlineLvl w:val="1"/>
        <w:rPr>
          <w:rFonts w:ascii="Times New Roman" w:hAnsi="Times New Roman" w:eastAsia="宋体" w:cs="Times New Roman"/>
          <w:b/>
          <w:bCs/>
          <w:color w:val="auto"/>
          <w:szCs w:val="21"/>
          <w:highlight w:val="none"/>
        </w:rPr>
      </w:pPr>
      <w:bookmarkStart w:id="489" w:name="_Toc20508"/>
      <w:bookmarkStart w:id="490" w:name="_Toc195714299"/>
      <w:r>
        <w:rPr>
          <w:rFonts w:hint="eastAsia" w:ascii="Times New Roman" w:hAnsi="Times New Roman" w:eastAsia="宋体" w:cs="Times New Roman"/>
          <w:b/>
          <w:bCs/>
          <w:color w:val="auto"/>
          <w:szCs w:val="21"/>
          <w:highlight w:val="none"/>
        </w:rPr>
        <w:t>工程安装与系统调试</w:t>
      </w:r>
      <w:bookmarkEnd w:id="489"/>
      <w:bookmarkEnd w:id="490"/>
    </w:p>
    <w:p w14:paraId="1FBEF036">
      <w:pPr>
        <w:keepNext/>
        <w:keepLines/>
        <w:numPr>
          <w:ilvl w:val="255"/>
          <w:numId w:val="0"/>
        </w:numPr>
        <w:adjustRightInd w:val="0"/>
        <w:snapToGrid w:val="0"/>
        <w:spacing w:line="360" w:lineRule="auto"/>
        <w:outlineLvl w:val="2"/>
        <w:rPr>
          <w:rFonts w:ascii="Times New Roman" w:hAnsi="Times New Roman" w:eastAsia="宋体" w:cs="Times New Roman"/>
          <w:b/>
          <w:bCs/>
          <w:color w:val="auto"/>
          <w:szCs w:val="32"/>
          <w:highlight w:val="none"/>
        </w:rPr>
      </w:pPr>
      <w:bookmarkStart w:id="491" w:name="_Toc195714300"/>
      <w:bookmarkStart w:id="492" w:name="_Toc17280"/>
      <w:r>
        <w:rPr>
          <w:rFonts w:hint="eastAsia" w:ascii="Times New Roman" w:hAnsi="Times New Roman" w:eastAsia="宋体" w:cs="Times New Roman"/>
          <w:b/>
          <w:bCs/>
          <w:color w:val="auto"/>
          <w:szCs w:val="32"/>
          <w:highlight w:val="none"/>
        </w:rPr>
        <w:t>1.9.1施工管理要求</w:t>
      </w:r>
      <w:bookmarkEnd w:id="491"/>
      <w:bookmarkEnd w:id="492"/>
    </w:p>
    <w:p w14:paraId="5DA66A57">
      <w:pPr>
        <w:numPr>
          <w:ilvl w:val="0"/>
          <w:numId w:val="20"/>
        </w:num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中标人进场安装施工需遵守招标人及招标人委托的施工总承包单位的现场施工管理，包括但不限于安全文明施工管理、施工场地管理、施工用水用电管理等。</w:t>
      </w:r>
    </w:p>
    <w:p w14:paraId="1B85E361">
      <w:pPr>
        <w:numPr>
          <w:ilvl w:val="0"/>
          <w:numId w:val="20"/>
        </w:num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中标人进场安装施工需遵守招标人及招标人委托的监理单位的工程质量监督管理，负责合同范围内工程资料的制作、报审报批，工程资料的验收为本项工程验收的一部分。</w:t>
      </w:r>
    </w:p>
    <w:p w14:paraId="4267E1FD">
      <w:pPr>
        <w:numPr>
          <w:ilvl w:val="0"/>
          <w:numId w:val="20"/>
        </w:num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中标人进场安装施工人员的生活住宿、交通费、生活水电费、施工用水电费、机械工器费等由中标人负责，费用计入投标报价总价。</w:t>
      </w:r>
    </w:p>
    <w:p w14:paraId="712AF0FF">
      <w:pPr>
        <w:numPr>
          <w:ilvl w:val="0"/>
          <w:numId w:val="20"/>
        </w:num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特种设备、特种工种操作人员需具备特种施工作业证，持证上岗人证合一。</w:t>
      </w:r>
    </w:p>
    <w:p w14:paraId="212CC4D1">
      <w:pPr>
        <w:numPr>
          <w:ilvl w:val="0"/>
          <w:numId w:val="20"/>
        </w:num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中标人应协调和计划与自控仪表工作相交叉的其它工作，以保证提供埋设的设备的布线所需的基础，穿孔等符合要求。中标人应对正确协调负全部责任。如由于不正确协调造成的额外工作，所导致的损坏或其它费用将得不到补偿。</w:t>
      </w:r>
    </w:p>
    <w:p w14:paraId="0F49B236">
      <w:pPr>
        <w:numPr>
          <w:ilvl w:val="0"/>
          <w:numId w:val="20"/>
        </w:num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中标人需参加招标人或招标人委托的监理单位组织召开的工程相关的协调会、工程例会。</w:t>
      </w:r>
    </w:p>
    <w:p w14:paraId="783964B9">
      <w:pPr>
        <w:numPr>
          <w:ilvl w:val="0"/>
          <w:numId w:val="20"/>
        </w:num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所有货物进场后由中标人负责保管，直至本项工程竣工验收，系统移交给招标人。</w:t>
      </w:r>
    </w:p>
    <w:p w14:paraId="6E79C4B7">
      <w:pPr>
        <w:keepNext/>
        <w:keepLines/>
        <w:numPr>
          <w:ilvl w:val="2"/>
          <w:numId w:val="0"/>
        </w:numPr>
        <w:adjustRightInd w:val="0"/>
        <w:snapToGrid w:val="0"/>
        <w:spacing w:line="360" w:lineRule="auto"/>
        <w:outlineLvl w:val="2"/>
        <w:rPr>
          <w:rFonts w:ascii="Times New Roman" w:hAnsi="Times New Roman" w:eastAsia="宋体" w:cs="Times New Roman"/>
          <w:b/>
          <w:bCs/>
          <w:color w:val="auto"/>
          <w:szCs w:val="32"/>
          <w:highlight w:val="none"/>
        </w:rPr>
      </w:pPr>
      <w:bookmarkStart w:id="493" w:name="_Toc195714301"/>
      <w:bookmarkStart w:id="494" w:name="_Toc20283"/>
      <w:r>
        <w:rPr>
          <w:rFonts w:hint="eastAsia" w:ascii="Times New Roman" w:hAnsi="Times New Roman" w:eastAsia="宋体" w:cs="Times New Roman"/>
          <w:b/>
          <w:bCs/>
          <w:color w:val="auto"/>
          <w:szCs w:val="32"/>
          <w:highlight w:val="none"/>
        </w:rPr>
        <w:t>1.9.2线缆敷设</w:t>
      </w:r>
      <w:bookmarkEnd w:id="493"/>
      <w:bookmarkEnd w:id="494"/>
    </w:p>
    <w:p w14:paraId="70FC15DC">
      <w:pPr>
        <w:numPr>
          <w:ilvl w:val="0"/>
          <w:numId w:val="21"/>
        </w:numPr>
        <w:spacing w:line="360" w:lineRule="auto"/>
        <w:ind w:firstLine="420" w:firstLineChars="200"/>
        <w:outlineLvl w:val="4"/>
        <w:rPr>
          <w:rFonts w:ascii="Times New Roman" w:hAnsi="Times New Roman" w:eastAsia="宋体" w:cs="Times New Roman"/>
          <w:color w:val="auto"/>
          <w:szCs w:val="24"/>
          <w:highlight w:val="none"/>
        </w:rPr>
      </w:pPr>
      <w:r>
        <w:rPr>
          <w:rFonts w:hint="eastAsia" w:ascii="Times New Roman" w:hAnsi="Times New Roman" w:eastAsia="宋体" w:cs="宋体"/>
          <w:color w:val="auto"/>
          <w:szCs w:val="21"/>
          <w:highlight w:val="none"/>
        </w:rPr>
        <w:t>一般要求</w:t>
      </w:r>
    </w:p>
    <w:p w14:paraId="227BA5CF">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中标人应提供本项目中所有计算机双层屏蔽电缆、控制电缆、现场总线、控制总线和以太网光缆的供货及安装（除非注明为招标人提供或不在招标范围内）。不管这些电缆、光缆长度及规格在技术规定中列出或没列出，中标人都应考虑，并留有一定的余地。有要求的电线电缆走向应根据要求施工，无明确敷设要求的电缆，中标人应根据设备位置选择最经济、最合适可行路径敷设，应防止电缆在敷设时产生不必要的兜圈现象。</w:t>
      </w:r>
    </w:p>
    <w:p w14:paraId="2DA5289D">
      <w:pPr>
        <w:numPr>
          <w:ilvl w:val="0"/>
          <w:numId w:val="21"/>
        </w:numPr>
        <w:snapToGrid w:val="0"/>
        <w:spacing w:line="360" w:lineRule="auto"/>
        <w:ind w:firstLine="420" w:firstLineChars="200"/>
        <w:outlineLvl w:val="4"/>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电缆的固定件</w:t>
      </w:r>
    </w:p>
    <w:p w14:paraId="6C76191F">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不在保护管中走的电缆应固定在指定的电缆支持系统上，电缆固定件应是专有牌子，用来提供静态支持或支持电缆重量。应有适当措施来容纳电缆在工作时的热膨胀及收缩，或房屋建筑的动摇。每一自控仪表的多芯电缆应被独立固定。如果电缆的重量由支持系统所承受，应每隔不超过1.0m有一固定的电缆的设施。如由固定件承受重量，则每隔不超过600mm应有一固定件。</w:t>
      </w:r>
    </w:p>
    <w:p w14:paraId="09EF3FDD">
      <w:pPr>
        <w:numPr>
          <w:ilvl w:val="0"/>
          <w:numId w:val="21"/>
        </w:numPr>
        <w:snapToGrid w:val="0"/>
        <w:spacing w:line="360" w:lineRule="auto"/>
        <w:ind w:firstLine="420" w:firstLineChars="200"/>
        <w:outlineLvl w:val="4"/>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电路标志</w:t>
      </w:r>
    </w:p>
    <w:p w14:paraId="0D0D9FE6">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每一电缆组成控制和监视系统的一部分，应牢固地在电缆两端标上电路标志。</w:t>
      </w:r>
    </w:p>
    <w:p w14:paraId="4134DC11">
      <w:pPr>
        <w:numPr>
          <w:ilvl w:val="0"/>
          <w:numId w:val="21"/>
        </w:numPr>
        <w:snapToGrid w:val="0"/>
        <w:spacing w:line="360" w:lineRule="auto"/>
        <w:ind w:firstLine="420" w:firstLineChars="200"/>
        <w:outlineLvl w:val="4"/>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电缆进入到自控仪表盘</w:t>
      </w:r>
    </w:p>
    <w:p w14:paraId="556353AC">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当电缆进入自控仪表盘，端子箱等，每一电缆应该用适合的铜质夹件来固定。</w:t>
      </w:r>
    </w:p>
    <w:p w14:paraId="4F23F86F">
      <w:pPr>
        <w:numPr>
          <w:ilvl w:val="0"/>
          <w:numId w:val="21"/>
        </w:numPr>
        <w:snapToGrid w:val="0"/>
        <w:spacing w:line="360" w:lineRule="auto"/>
        <w:ind w:firstLine="420" w:firstLineChars="200"/>
        <w:outlineLvl w:val="4"/>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电缆的接线</w:t>
      </w:r>
    </w:p>
    <w:p w14:paraId="79244913">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自控仪表电缆在控制室外终结时，应提供绝缘密封材料以防止潮气侵入导线或侵入到电缆的绝缘层之间。电缆的端点应经常保持密封。除接线时外，都应该用热缩型的密封帽来加以密封。</w:t>
      </w:r>
    </w:p>
    <w:p w14:paraId="2841BB29">
      <w:pPr>
        <w:numPr>
          <w:ilvl w:val="0"/>
          <w:numId w:val="21"/>
        </w:numPr>
        <w:snapToGrid w:val="0"/>
        <w:spacing w:line="360" w:lineRule="auto"/>
        <w:ind w:firstLine="420" w:firstLineChars="200"/>
        <w:outlineLvl w:val="4"/>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电缆敷设</w:t>
      </w:r>
    </w:p>
    <w:p w14:paraId="15C0D953">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本项目室内外电缆采用电缆沟、电缆桥架和穿钢管敷设。它的尺寸应与电缆的要求相适应。保护管的直径大于电缆外径的1.5倍。穿越道路下的电缆必须穿钢管。所有多对电缆，应至少有1对备用芯子。所有信号应在同一电缆中来和去。信号的电源由交流或直流供电者，应在分开的电缆中输送。</w:t>
      </w:r>
    </w:p>
    <w:p w14:paraId="39F05AEB">
      <w:pPr>
        <w:numPr>
          <w:ilvl w:val="0"/>
          <w:numId w:val="21"/>
        </w:numPr>
        <w:snapToGrid w:val="0"/>
        <w:spacing w:line="360" w:lineRule="auto"/>
        <w:ind w:firstLine="420" w:firstLineChars="200"/>
        <w:outlineLvl w:val="4"/>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光缆的接线</w:t>
      </w:r>
    </w:p>
    <w:p w14:paraId="4A440884">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光缆两端需安装光纤终端盒，光缆的每一条芯线需接入终端盒接口并且光缆两端的光纤终端盒接口需按顺序一一对应。光缆和光纤终端盒需合理安排安装位置，避免光缆弯折角度过大导致光纤断裂。</w:t>
      </w:r>
    </w:p>
    <w:p w14:paraId="3DBD3F17">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（8）计算机双绞线</w:t>
      </w:r>
    </w:p>
    <w:p w14:paraId="3C9B465F">
      <w:pPr>
        <w:snapToGrid w:val="0"/>
        <w:spacing w:line="360" w:lineRule="auto"/>
        <w:ind w:firstLine="630" w:firstLineChars="3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网线必须使用超六类双层屏蔽网线或更高等级，线芯材质为23AWG无氧铜，线芯尺寸不低于0.56mm，网线两端必须具备线路标识，标明线路两端连接的设备。</w:t>
      </w:r>
    </w:p>
    <w:p w14:paraId="0F4E47E1">
      <w:pPr>
        <w:keepNext/>
        <w:keepLines/>
        <w:numPr>
          <w:ilvl w:val="2"/>
          <w:numId w:val="0"/>
        </w:numPr>
        <w:adjustRightInd w:val="0"/>
        <w:snapToGrid w:val="0"/>
        <w:spacing w:line="360" w:lineRule="auto"/>
        <w:outlineLvl w:val="2"/>
        <w:rPr>
          <w:rFonts w:ascii="Times New Roman" w:hAnsi="Times New Roman" w:eastAsia="宋体" w:cs="Times New Roman"/>
          <w:b/>
          <w:bCs/>
          <w:color w:val="auto"/>
          <w:szCs w:val="32"/>
          <w:highlight w:val="none"/>
        </w:rPr>
      </w:pPr>
      <w:bookmarkStart w:id="495" w:name="_Toc19402"/>
      <w:bookmarkStart w:id="496" w:name="_Toc195714302"/>
      <w:r>
        <w:rPr>
          <w:rFonts w:hint="eastAsia" w:ascii="Times New Roman" w:hAnsi="Times New Roman" w:eastAsia="宋体" w:cs="Times New Roman"/>
          <w:b/>
          <w:bCs/>
          <w:color w:val="auto"/>
          <w:szCs w:val="32"/>
          <w:highlight w:val="none"/>
        </w:rPr>
        <w:t>1.9.3系统调试</w:t>
      </w:r>
      <w:bookmarkEnd w:id="495"/>
      <w:bookmarkEnd w:id="496"/>
    </w:p>
    <w:p w14:paraId="788362C3">
      <w:pPr>
        <w:numPr>
          <w:ilvl w:val="0"/>
          <w:numId w:val="22"/>
        </w:numPr>
        <w:snapToGrid w:val="0"/>
        <w:spacing w:line="360" w:lineRule="auto"/>
        <w:ind w:firstLine="420" w:firstLineChars="200"/>
        <w:outlineLvl w:val="4"/>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硬件外观检查：</w:t>
      </w:r>
    </w:p>
    <w:p w14:paraId="7F99B280">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符合认可的硬件外观图纸；制造完成后的质量；提供的设备和仪表；设备和仪表的安装；标签、金属箍、颜色标准；卷曲和端子测试；硬件内导线规格；硬件接地和屏蔽接地。</w:t>
      </w:r>
    </w:p>
    <w:p w14:paraId="551328B4">
      <w:pPr>
        <w:numPr>
          <w:ilvl w:val="0"/>
          <w:numId w:val="22"/>
        </w:numPr>
        <w:snapToGrid w:val="0"/>
        <w:spacing w:line="360" w:lineRule="auto"/>
        <w:ind w:firstLine="420" w:firstLineChars="200"/>
        <w:outlineLvl w:val="4"/>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硬件功能测试</w:t>
      </w:r>
    </w:p>
    <w:p w14:paraId="7617ACFA">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硬件电源电压；所有（或有选择的）来自现场的输入信号的登记；所有（或有选择的）加载输出（二进制）到现场端子；数字量输入采样电压状态的开/关；有选择的模拟量输入、输出的比例和线性度校正；操作的程序模式；操作员界面硬件诊断和操作模式；硬件诊断；串行通讯口；操作打印模式；硬件通讯。</w:t>
      </w:r>
    </w:p>
    <w:p w14:paraId="038A96F6">
      <w:pPr>
        <w:numPr>
          <w:ilvl w:val="0"/>
          <w:numId w:val="22"/>
        </w:numPr>
        <w:snapToGrid w:val="0"/>
        <w:spacing w:line="360" w:lineRule="auto"/>
        <w:ind w:firstLine="420" w:firstLineChars="200"/>
        <w:outlineLvl w:val="4"/>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软件增加模块测试</w:t>
      </w:r>
    </w:p>
    <w:p w14:paraId="42F3F1DD">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模块静态显示检查；模块动态显示测试；每个模块测试；所有（或有选择的）报警/事故测试；打印机测试；串行通讯测试；以太网通讯测试。</w:t>
      </w:r>
    </w:p>
    <w:p w14:paraId="5D86A9B0">
      <w:pPr>
        <w:numPr>
          <w:ilvl w:val="0"/>
          <w:numId w:val="22"/>
        </w:numPr>
        <w:snapToGrid w:val="0"/>
        <w:spacing w:line="360" w:lineRule="auto"/>
        <w:ind w:firstLine="420" w:firstLineChars="200"/>
        <w:outlineLvl w:val="4"/>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软件完整测试</w:t>
      </w:r>
    </w:p>
    <w:p w14:paraId="372CB218">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系统多次冷启动；系统多次热启动；系统自动操作安全模拟；系统电源失电/重新启动。</w:t>
      </w:r>
    </w:p>
    <w:p w14:paraId="2AF8EFBC">
      <w:pPr>
        <w:numPr>
          <w:ilvl w:val="0"/>
          <w:numId w:val="22"/>
        </w:numPr>
        <w:snapToGrid w:val="0"/>
        <w:spacing w:line="360" w:lineRule="auto"/>
        <w:ind w:firstLine="420" w:firstLineChars="200"/>
        <w:outlineLvl w:val="4"/>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系统测试</w:t>
      </w:r>
    </w:p>
    <w:p w14:paraId="32104694">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硬件内存使用；系统响应速度；系统故障容差和故障恢复。</w:t>
      </w:r>
    </w:p>
    <w:p w14:paraId="599334FA">
      <w:pPr>
        <w:numPr>
          <w:ilvl w:val="0"/>
          <w:numId w:val="22"/>
        </w:numPr>
        <w:snapToGrid w:val="0"/>
        <w:spacing w:line="360" w:lineRule="auto"/>
        <w:ind w:firstLine="420" w:firstLineChars="200"/>
        <w:outlineLvl w:val="4"/>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网络测试</w:t>
      </w:r>
    </w:p>
    <w:p w14:paraId="6040A85B">
      <w:pPr>
        <w:snapToGrid w:val="0"/>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宋体"/>
          <w:color w:val="auto"/>
          <w:szCs w:val="21"/>
          <w:highlight w:val="none"/>
        </w:rPr>
        <w:t>专线故障自动切换功能；专线切换速度；</w:t>
      </w:r>
    </w:p>
    <w:p w14:paraId="184F6F3A">
      <w:pPr>
        <w:numPr>
          <w:ilvl w:val="0"/>
          <w:numId w:val="22"/>
        </w:numPr>
        <w:snapToGrid w:val="0"/>
        <w:spacing w:line="360" w:lineRule="auto"/>
        <w:ind w:firstLine="420" w:firstLineChars="200"/>
        <w:outlineLvl w:val="4"/>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中控系统总体调试</w:t>
      </w:r>
    </w:p>
    <w:p w14:paraId="77BAD61C">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整个自控系统、仪表的安装必须在掌握设计原理的基础上，熟悉每个自控系统装置和仪表的性能、使用条件、范围，在安装条件具备的情况下进行安装。安装和调试必须按照有关国家标准、规范和设计要求执行，国外设备的安装和调试必须严格按照各进口设备的说明书，同时需要接受国外专家的监督指导。</w:t>
      </w:r>
    </w:p>
    <w:p w14:paraId="274FF76F">
      <w:pPr>
        <w:snapToGrid w:val="0"/>
        <w:spacing w:line="360" w:lineRule="auto"/>
        <w:ind w:firstLine="420" w:firstLineChars="200"/>
        <w:outlineLvl w:val="5"/>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1）总体调试的基础</w:t>
      </w:r>
    </w:p>
    <w:p w14:paraId="78B78B3E">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① 所有子控制站软件调试完成；</w:t>
      </w:r>
    </w:p>
    <w:p w14:paraId="724B35F3">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② 开通所有子控制站；</w:t>
      </w:r>
    </w:p>
    <w:p w14:paraId="6AAE2475">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③ 对于那些在正常状态下不允许出现的情况的自动控制方案的调试，应重新编制调试软件进行辅助模拟调试。</w:t>
      </w:r>
    </w:p>
    <w:p w14:paraId="62E81E97">
      <w:pPr>
        <w:snapToGrid w:val="0"/>
        <w:spacing w:line="360" w:lineRule="auto"/>
        <w:ind w:firstLine="420" w:firstLineChars="200"/>
        <w:outlineLvl w:val="5"/>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2）总体调试的要求</w:t>
      </w:r>
    </w:p>
    <w:p w14:paraId="66F898A7">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系统联动调试前，必须制定详细的联调大纲，并报招标人及监理工程师批准。调试前应进一步阅读有关产品说明书，依据技术方案及有关规范，精心组织调试。并仔细检查安装路线是否正确，电源是否符合要求。对所有检测参数和控制回路要以图纸为依据，结合生产工艺要求。现场一一查对，认真调试，特别是对有关的控制逻辑关系、联锁保护等将给予格外重视，检查信号或对象是否反馈信息，如等待数秒钟后仍收不到反馈信息，设备开机命令发出后无运行信息反馈，设备停机命令发出后仍有运行信息反馈，则立即发出报警信号，接受控制指令复位，保护设备，确保生产过程按预定方式正常运行。</w:t>
      </w:r>
    </w:p>
    <w:p w14:paraId="355E9D3C">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在仪表回路调试和各个电气控制回路调试包括模拟调试完毕的基础上，进行工段调试，完毕后进行仪表自控系统联调。在联调过程中，将启动系统相关程序，逐一检查各回路、状态与现场实际工况一致。根据现场反馈信号，及时检查现场仪表的运行状况，验证控制参数。对于模拟量回路调试，其信号的稳定与准确至关重要，直接影响控制效果，因此，对该类信号检查其安装、接线、运行条件、工艺条件等方面情况，保证各环节各因素正确无误。对I/O模板，通讯模板及CPU模板等插拔时，尽量在断电下进行，防止静电感应而损坏模板，安装调试时须带腕式静电抑制器进行操作，并将模板及人体上的静电完全放掉，确保安全可靠地运行。</w:t>
      </w:r>
    </w:p>
    <w:p w14:paraId="02D9383C">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应对电气操作或马达控制中心（MCC）的原理及柜内接线有一定的熟悉和了解，掌握电气控制（就地）与控制器控制（程序）之间的联系和区别，确保所有控制模式均能顺利实现。</w:t>
      </w:r>
    </w:p>
    <w:p w14:paraId="186D0454">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通过上位机监控系统观察其各种动态画面和报警是否正确，报表打印功能是否正常，各工艺参数，设备状况等数据是否正确显示，控制命令、修改参数命令及各种工况的报警和联锁保护是否正常，能否按生产实际要求打印各种管理报表。</w:t>
      </w:r>
    </w:p>
    <w:p w14:paraId="06D14C7D">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检查是否实现了所有的设计软件功能，如趋势图、报警一览表、生产工艺流程图（包括全厂各个工段工艺流程图）、棒（柱）图，自动键控切换等方面是否正常。</w:t>
      </w:r>
    </w:p>
    <w:p w14:paraId="50F601AE">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通过系统联调，发现问题，修正程序，完善设计的程序控制功能，达到自控系统功能均能满足设计要求，并使仪表自控系统达到正常连续运行72小时以上的目的。</w:t>
      </w:r>
    </w:p>
    <w:p w14:paraId="4A4CF07F">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调试期间应接受招标人和监理工程师的指令要求和相关建议，并提供完整的调试报告和记录，便于污水处理厂及提标项目今后的日常维护。</w:t>
      </w:r>
    </w:p>
    <w:p w14:paraId="05BD7DEA">
      <w:pPr>
        <w:keepNext/>
        <w:keepLines/>
        <w:numPr>
          <w:ilvl w:val="0"/>
          <w:numId w:val="3"/>
        </w:numPr>
        <w:spacing w:line="360" w:lineRule="auto"/>
        <w:ind w:left="0" w:leftChars="0" w:firstLine="0" w:firstLineChars="0"/>
        <w:outlineLvl w:val="1"/>
        <w:rPr>
          <w:rFonts w:ascii="Times New Roman" w:hAnsi="Times New Roman" w:eastAsia="宋体" w:cs="Times New Roman"/>
          <w:b/>
          <w:bCs/>
          <w:color w:val="auto"/>
          <w:szCs w:val="21"/>
          <w:highlight w:val="none"/>
        </w:rPr>
      </w:pPr>
      <w:bookmarkStart w:id="497" w:name="_Toc17039"/>
      <w:bookmarkStart w:id="498" w:name="_Toc195714303"/>
      <w:r>
        <w:rPr>
          <w:rFonts w:hint="eastAsia" w:ascii="Times New Roman" w:hAnsi="Times New Roman" w:eastAsia="宋体" w:cs="Times New Roman"/>
          <w:b/>
          <w:bCs/>
          <w:color w:val="auto"/>
          <w:szCs w:val="21"/>
          <w:highlight w:val="none"/>
        </w:rPr>
        <w:t>相关权利约定</w:t>
      </w:r>
      <w:bookmarkEnd w:id="497"/>
      <w:bookmarkEnd w:id="498"/>
    </w:p>
    <w:p w14:paraId="03499BC1">
      <w:pPr>
        <w:spacing w:line="360" w:lineRule="auto"/>
        <w:ind w:firstLine="422" w:firstLineChars="200"/>
        <w:rPr>
          <w:rFonts w:ascii="Times New Roman" w:hAnsi="Times New Roman" w:eastAsia="宋体" w:cs="Times New Roman"/>
          <w:b/>
          <w:bCs/>
          <w:color w:val="auto"/>
          <w:szCs w:val="24"/>
          <w:highlight w:val="none"/>
        </w:rPr>
      </w:pPr>
      <w:r>
        <w:rPr>
          <w:rFonts w:ascii="Times New Roman" w:hAnsi="Times New Roman" w:eastAsia="宋体" w:cs="Times New Roman"/>
          <w:b/>
          <w:bCs/>
          <w:color w:val="auto"/>
          <w:szCs w:val="24"/>
          <w:highlight w:val="none"/>
        </w:rPr>
        <w:t>投标人必须保证在设备使用寿命内，招标人无偿获得完整的</w:t>
      </w:r>
      <w:r>
        <w:rPr>
          <w:rFonts w:hint="eastAsia" w:ascii="Times New Roman" w:hAnsi="Times New Roman" w:eastAsia="宋体" w:cs="Times New Roman"/>
          <w:b/>
          <w:bCs/>
          <w:color w:val="auto"/>
          <w:szCs w:val="24"/>
          <w:highlight w:val="none"/>
        </w:rPr>
        <w:t>SCADA软件工程项目</w:t>
      </w:r>
      <w:r>
        <w:rPr>
          <w:rFonts w:ascii="Times New Roman" w:hAnsi="Times New Roman" w:eastAsia="宋体" w:cs="Times New Roman"/>
          <w:b/>
          <w:bCs/>
          <w:color w:val="auto"/>
          <w:szCs w:val="24"/>
          <w:highlight w:val="none"/>
        </w:rPr>
        <w:t>、</w:t>
      </w:r>
      <w:r>
        <w:rPr>
          <w:rFonts w:hint="eastAsia" w:ascii="Times New Roman" w:hAnsi="Times New Roman" w:eastAsia="宋体" w:cs="Times New Roman"/>
          <w:b/>
          <w:bCs/>
          <w:color w:val="auto"/>
          <w:szCs w:val="24"/>
          <w:highlight w:val="none"/>
        </w:rPr>
        <w:t>各项目3D模型</w:t>
      </w:r>
      <w:r>
        <w:rPr>
          <w:rFonts w:ascii="Times New Roman" w:hAnsi="Times New Roman" w:eastAsia="宋体" w:cs="Times New Roman"/>
          <w:b/>
          <w:bCs/>
          <w:color w:val="auto"/>
          <w:szCs w:val="24"/>
          <w:highlight w:val="none"/>
        </w:rPr>
        <w:t>、</w:t>
      </w:r>
      <w:r>
        <w:rPr>
          <w:rFonts w:hint="eastAsia" w:ascii="Times New Roman" w:hAnsi="Times New Roman" w:eastAsia="宋体" w:cs="Times New Roman"/>
          <w:b/>
          <w:bCs/>
          <w:color w:val="auto"/>
          <w:szCs w:val="24"/>
          <w:highlight w:val="none"/>
        </w:rPr>
        <w:t>超融合系统软件、数据采集系统、报表软件、趋势曲线系统</w:t>
      </w:r>
      <w:r>
        <w:rPr>
          <w:rFonts w:ascii="Times New Roman" w:hAnsi="Times New Roman" w:eastAsia="宋体" w:cs="Times New Roman"/>
          <w:b/>
          <w:bCs/>
          <w:color w:val="auto"/>
          <w:szCs w:val="24"/>
          <w:highlight w:val="none"/>
        </w:rPr>
        <w:t>等知识产权，</w:t>
      </w:r>
      <w:r>
        <w:rPr>
          <w:rFonts w:hint="eastAsia" w:ascii="Times New Roman" w:hAnsi="Times New Roman" w:eastAsia="宋体" w:cs="Times New Roman"/>
          <w:b/>
          <w:bCs/>
          <w:color w:val="auto"/>
          <w:szCs w:val="24"/>
          <w:highlight w:val="none"/>
        </w:rPr>
        <w:t>投标人</w:t>
      </w:r>
      <w:r>
        <w:rPr>
          <w:rFonts w:ascii="Times New Roman" w:hAnsi="Times New Roman" w:eastAsia="宋体" w:cs="Times New Roman"/>
          <w:b/>
          <w:bCs/>
          <w:color w:val="auto"/>
          <w:szCs w:val="24"/>
          <w:highlight w:val="none"/>
        </w:rPr>
        <w:t>必须</w:t>
      </w:r>
      <w:r>
        <w:rPr>
          <w:rFonts w:hint="eastAsia" w:ascii="Times New Roman" w:hAnsi="Times New Roman" w:eastAsia="宋体" w:cs="Times New Roman"/>
          <w:b/>
          <w:bCs/>
          <w:color w:val="auto"/>
          <w:szCs w:val="24"/>
          <w:highlight w:val="none"/>
        </w:rPr>
        <w:t>编制</w:t>
      </w:r>
      <w:r>
        <w:rPr>
          <w:rFonts w:ascii="Times New Roman" w:hAnsi="Times New Roman" w:eastAsia="宋体" w:cs="Times New Roman"/>
          <w:b/>
          <w:bCs/>
          <w:color w:val="auto"/>
          <w:szCs w:val="24"/>
          <w:highlight w:val="none"/>
        </w:rPr>
        <w:t>清晰的程序注释及详尽</w:t>
      </w:r>
      <w:r>
        <w:rPr>
          <w:rFonts w:hint="eastAsia" w:ascii="Times New Roman" w:hAnsi="Times New Roman" w:eastAsia="宋体" w:cs="Times New Roman"/>
          <w:b/>
          <w:bCs/>
          <w:color w:val="auto"/>
          <w:szCs w:val="24"/>
          <w:highlight w:val="none"/>
        </w:rPr>
        <w:t>、规范</w:t>
      </w:r>
      <w:r>
        <w:rPr>
          <w:rFonts w:ascii="Times New Roman" w:hAnsi="Times New Roman" w:eastAsia="宋体" w:cs="Times New Roman"/>
          <w:b/>
          <w:bCs/>
          <w:color w:val="auto"/>
          <w:szCs w:val="24"/>
          <w:highlight w:val="none"/>
        </w:rPr>
        <w:t>的IO点表</w:t>
      </w:r>
      <w:r>
        <w:rPr>
          <w:rFonts w:hint="eastAsia" w:ascii="Times New Roman" w:hAnsi="Times New Roman" w:eastAsia="宋体" w:cs="Times New Roman"/>
          <w:b/>
          <w:bCs/>
          <w:color w:val="auto"/>
          <w:szCs w:val="24"/>
          <w:highlight w:val="none"/>
        </w:rPr>
        <w:t>（投标人有权对注释、IO点表提出修改要求）</w:t>
      </w:r>
      <w:r>
        <w:rPr>
          <w:rFonts w:ascii="Times New Roman" w:hAnsi="Times New Roman" w:eastAsia="宋体" w:cs="Times New Roman"/>
          <w:b/>
          <w:bCs/>
          <w:color w:val="auto"/>
          <w:szCs w:val="24"/>
          <w:highlight w:val="none"/>
        </w:rPr>
        <w:t>，程序</w:t>
      </w:r>
      <w:r>
        <w:rPr>
          <w:rFonts w:hint="eastAsia" w:ascii="Times New Roman" w:hAnsi="Times New Roman" w:eastAsia="宋体" w:cs="Times New Roman"/>
          <w:b/>
          <w:bCs/>
          <w:color w:val="auto"/>
          <w:szCs w:val="24"/>
          <w:highlight w:val="none"/>
        </w:rPr>
        <w:t>、软件、系统、应用等</w:t>
      </w:r>
      <w:r>
        <w:rPr>
          <w:rFonts w:ascii="Times New Roman" w:hAnsi="Times New Roman" w:eastAsia="宋体" w:cs="Times New Roman"/>
          <w:b/>
          <w:bCs/>
          <w:color w:val="auto"/>
          <w:szCs w:val="24"/>
          <w:highlight w:val="none"/>
        </w:rPr>
        <w:t>均不得设置密码（或免费向招标人提供密码）、随机附带的软件程序等不得设置妨碍设备正常工作的后门程序。涉及设备正常使用、维护的一切软件在设备竣工验收时也应一并交付招标人。</w:t>
      </w:r>
    </w:p>
    <w:p w14:paraId="21B4687A">
      <w:pPr>
        <w:spacing w:line="360" w:lineRule="auto"/>
        <w:ind w:firstLine="422" w:firstLineChars="200"/>
        <w:rPr>
          <w:rFonts w:ascii="Times New Roman" w:hAnsi="Times New Roman" w:eastAsia="宋体" w:cs="Times New Roman"/>
          <w:b/>
          <w:bCs/>
          <w:color w:val="auto"/>
          <w:szCs w:val="24"/>
          <w:highlight w:val="none"/>
        </w:rPr>
      </w:pPr>
      <w:r>
        <w:rPr>
          <w:rFonts w:ascii="Times New Roman" w:hAnsi="Times New Roman" w:eastAsia="宋体" w:cs="Times New Roman"/>
          <w:b/>
          <w:bCs/>
          <w:color w:val="auto"/>
          <w:szCs w:val="24"/>
          <w:highlight w:val="none"/>
        </w:rPr>
        <w:t>投标人必须保证在设备使用寿命内，招标人无偿获得使用相应终端设备调阅数据采集、监控元器件数据的应用软件，特殊连接线缆以及连接方式方法。</w:t>
      </w:r>
    </w:p>
    <w:p w14:paraId="77E87C9E">
      <w:pPr>
        <w:spacing w:line="360" w:lineRule="auto"/>
        <w:ind w:firstLine="422" w:firstLineChars="200"/>
        <w:rPr>
          <w:rFonts w:ascii="Times New Roman" w:hAnsi="Times New Roman" w:eastAsia="宋体" w:cs="Times New Roman"/>
          <w:b/>
          <w:bCs/>
          <w:color w:val="auto"/>
          <w:szCs w:val="24"/>
          <w:highlight w:val="none"/>
        </w:rPr>
      </w:pPr>
      <w:r>
        <w:rPr>
          <w:rFonts w:ascii="Times New Roman" w:hAnsi="Times New Roman" w:eastAsia="宋体" w:cs="Times New Roman"/>
          <w:b/>
          <w:bCs/>
          <w:color w:val="auto"/>
          <w:szCs w:val="24"/>
          <w:highlight w:val="none"/>
        </w:rPr>
        <w:t>项目设计与开发的成果和资料属于招标人，招标人拥有所有权和处置权。同时，投标人应承担保密义务，本项目涉及的技术方案、工程设计、技术报告、检测报告、运行数据、分析结果、图纸及有关协议的约定等，未经招标人书面同意，投标人不得向第三方公布或应用于商业或其他经济目的。</w:t>
      </w:r>
    </w:p>
    <w:p w14:paraId="1FCCDE12">
      <w:pPr>
        <w:tabs>
          <w:tab w:val="center" w:pos="4153"/>
          <w:tab w:val="right" w:pos="8306"/>
        </w:tabs>
        <w:snapToGrid w:val="0"/>
        <w:jc w:val="left"/>
        <w:rPr>
          <w:rFonts w:ascii="Times New Roman" w:hAnsi="Times New Roman" w:eastAsia="宋体" w:cs="Times New Roman"/>
          <w:color w:val="auto"/>
          <w:sz w:val="18"/>
          <w:szCs w:val="18"/>
          <w:highlight w:val="none"/>
        </w:rPr>
      </w:pPr>
    </w:p>
    <w:p w14:paraId="47FFB148">
      <w:pPr>
        <w:keepNext/>
        <w:keepLines/>
        <w:numPr>
          <w:ilvl w:val="0"/>
          <w:numId w:val="3"/>
        </w:numPr>
        <w:spacing w:line="360" w:lineRule="auto"/>
        <w:ind w:left="0" w:leftChars="0" w:firstLine="0" w:firstLineChars="0"/>
        <w:outlineLvl w:val="1"/>
        <w:rPr>
          <w:rFonts w:ascii="Times New Roman" w:hAnsi="Times New Roman" w:eastAsia="宋体" w:cs="Times New Roman"/>
          <w:b/>
          <w:bCs/>
          <w:color w:val="auto"/>
          <w:szCs w:val="21"/>
          <w:highlight w:val="none"/>
        </w:rPr>
      </w:pPr>
      <w:bookmarkStart w:id="499" w:name="_Toc195714304"/>
      <w:bookmarkStart w:id="500" w:name="_Toc30168"/>
      <w:r>
        <w:rPr>
          <w:rFonts w:hint="eastAsia" w:ascii="Times New Roman" w:hAnsi="Times New Roman" w:eastAsia="宋体" w:cs="Times New Roman"/>
          <w:b/>
          <w:bCs/>
          <w:color w:val="auto"/>
          <w:szCs w:val="21"/>
          <w:highlight w:val="none"/>
        </w:rPr>
        <w:t>项目参与人员要求</w:t>
      </w:r>
      <w:bookmarkEnd w:id="499"/>
      <w:bookmarkEnd w:id="500"/>
    </w:p>
    <w:p w14:paraId="1CF2C593">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1.为了确保项目的顺利实施，</w:t>
      </w:r>
      <w:r>
        <w:rPr>
          <w:rFonts w:hint="eastAsia" w:ascii="Times New Roman" w:hAnsi="Times New Roman" w:eastAsia="宋体" w:cs="Times New Roman"/>
          <w:color w:val="auto"/>
          <w:szCs w:val="24"/>
          <w:highlight w:val="none"/>
        </w:rPr>
        <w:t>中标人</w:t>
      </w:r>
      <w:r>
        <w:rPr>
          <w:rFonts w:ascii="Times New Roman" w:hAnsi="Times New Roman" w:eastAsia="宋体" w:cs="Times New Roman"/>
          <w:color w:val="auto"/>
          <w:szCs w:val="24"/>
          <w:highlight w:val="none"/>
        </w:rPr>
        <w:t>需组建一个专业、高效的项目团队。本项目将要求配置以下人员</w:t>
      </w:r>
      <w:r>
        <w:rPr>
          <w:rFonts w:hint="eastAsia" w:ascii="Times New Roman" w:hAnsi="Times New Roman" w:eastAsia="宋体" w:cs="Times New Roman"/>
          <w:color w:val="auto"/>
          <w:szCs w:val="24"/>
          <w:highlight w:val="none"/>
          <w:lang w:eastAsia="zh-CN"/>
        </w:rPr>
        <w:t>（以下相关人员不可兼任）</w:t>
      </w:r>
      <w:r>
        <w:rPr>
          <w:rFonts w:ascii="Times New Roman" w:hAnsi="Times New Roman" w:eastAsia="宋体" w:cs="Times New Roman"/>
          <w:color w:val="auto"/>
          <w:szCs w:val="24"/>
          <w:highlight w:val="none"/>
        </w:rPr>
        <w:t>：</w:t>
      </w:r>
    </w:p>
    <w:p w14:paraId="5FC8426B">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项目经理1人：负责整个项目的策划、组织协调和管理。</w:t>
      </w:r>
    </w:p>
    <w:p w14:paraId="207D0977">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技术负责人1人：负责技术方案的制定、实施和监督。</w:t>
      </w:r>
    </w:p>
    <w:p w14:paraId="4365AA6C">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自动化工程师</w:t>
      </w:r>
      <w:r>
        <w:rPr>
          <w:rFonts w:hint="eastAsia" w:ascii="Times New Roman" w:hAnsi="Times New Roman" w:eastAsia="宋体" w:cs="Times New Roman"/>
          <w:color w:val="auto"/>
          <w:szCs w:val="24"/>
          <w:highlight w:val="none"/>
        </w:rPr>
        <w:t>至少</w:t>
      </w:r>
      <w:r>
        <w:rPr>
          <w:rFonts w:ascii="Times New Roman" w:hAnsi="Times New Roman" w:eastAsia="宋体" w:cs="Times New Roman"/>
          <w:color w:val="auto"/>
          <w:szCs w:val="24"/>
          <w:highlight w:val="none"/>
        </w:rPr>
        <w:t>4人：负责自动化系统的设计开发和调试。</w:t>
      </w:r>
    </w:p>
    <w:p w14:paraId="7C17CA18">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电气工程师</w:t>
      </w:r>
      <w:r>
        <w:rPr>
          <w:rFonts w:hint="eastAsia" w:ascii="Times New Roman" w:hAnsi="Times New Roman" w:eastAsia="宋体" w:cs="Times New Roman"/>
          <w:color w:val="auto"/>
          <w:szCs w:val="24"/>
          <w:highlight w:val="none"/>
        </w:rPr>
        <w:t>至少</w:t>
      </w:r>
      <w:r>
        <w:rPr>
          <w:rFonts w:ascii="Times New Roman" w:hAnsi="Times New Roman" w:eastAsia="宋体" w:cs="Times New Roman"/>
          <w:color w:val="auto"/>
          <w:szCs w:val="24"/>
          <w:highlight w:val="none"/>
        </w:rPr>
        <w:t>1人：负责电气系统的设计、安装和调试。</w:t>
      </w:r>
    </w:p>
    <w:p w14:paraId="4D8AC859">
      <w:pPr>
        <w:spacing w:line="360" w:lineRule="auto"/>
        <w:ind w:firstLine="420" w:firstLineChars="200"/>
        <w:rPr>
          <w:rFonts w:hint="eastAsia" w:ascii="Times New Roman" w:hAnsi="Times New Roman" w:eastAsia="宋体" w:cs="Times New Roman"/>
          <w:color w:val="auto"/>
          <w:szCs w:val="24"/>
          <w:highlight w:val="none"/>
          <w:lang w:eastAsia="zh-CN"/>
        </w:rPr>
      </w:pPr>
      <w:r>
        <w:rPr>
          <w:rFonts w:hint="eastAsia"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lang w:eastAsia="zh-CN"/>
        </w:rPr>
        <w:t>上述人员中</w:t>
      </w:r>
      <w:r>
        <w:rPr>
          <w:rFonts w:hint="eastAsia" w:ascii="Times New Roman" w:hAnsi="Times New Roman" w:eastAsia="宋体" w:cs="Times New Roman"/>
          <w:color w:val="auto"/>
          <w:szCs w:val="24"/>
          <w:highlight w:val="none"/>
        </w:rPr>
        <w:t>不少于</w:t>
      </w:r>
      <w:r>
        <w:rPr>
          <w:rFonts w:hint="eastAsia" w:ascii="Times New Roman" w:hAnsi="Times New Roman" w:eastAsia="宋体" w:cs="Times New Roman"/>
          <w:color w:val="auto"/>
          <w:szCs w:val="24"/>
          <w:highlight w:val="none"/>
          <w:lang w:val="en-US"/>
        </w:rPr>
        <w:t>1人具有中级或以上工程师职称证书（自动化、机电、电气专业）及不少于1人具有计算机技术与软件专业技术资格（水平）考试中级或以上资格证书</w:t>
      </w:r>
      <w:r>
        <w:rPr>
          <w:rFonts w:hint="eastAsia" w:ascii="Times New Roman" w:hAnsi="Times New Roman" w:eastAsia="宋体" w:cs="Times New Roman"/>
          <w:color w:val="auto"/>
          <w:szCs w:val="24"/>
          <w:highlight w:val="none"/>
          <w:lang w:eastAsia="zh-CN"/>
        </w:rPr>
        <w:t>，</w:t>
      </w:r>
      <w:r>
        <w:rPr>
          <w:rFonts w:hint="eastAsia" w:ascii="Times New Roman" w:hAnsi="Times New Roman" w:eastAsia="宋体" w:cs="Times New Roman"/>
          <w:color w:val="auto"/>
          <w:szCs w:val="24"/>
          <w:highlight w:val="none"/>
        </w:rPr>
        <w:t>提供上述人员身份证原件扫描件、相关有效证书原件扫描件及人力资源和社会保障部门（或税务部门）出具的2024年</w:t>
      </w:r>
      <w:r>
        <w:rPr>
          <w:rFonts w:hint="eastAsia" w:ascii="Times New Roman" w:hAnsi="Times New Roman" w:eastAsia="宋体" w:cs="Times New Roman"/>
          <w:color w:val="auto"/>
          <w:szCs w:val="24"/>
          <w:highlight w:val="none"/>
          <w:lang w:val="en-US" w:eastAsia="zh-CN"/>
        </w:rPr>
        <w:t>11</w:t>
      </w:r>
      <w:r>
        <w:rPr>
          <w:rFonts w:hint="eastAsia" w:ascii="Times New Roman" w:hAnsi="Times New Roman" w:eastAsia="宋体" w:cs="Times New Roman"/>
          <w:color w:val="auto"/>
          <w:szCs w:val="24"/>
          <w:highlight w:val="none"/>
        </w:rPr>
        <w:t>月至2025年</w:t>
      </w:r>
      <w:r>
        <w:rPr>
          <w:rFonts w:hint="eastAsia" w:ascii="Times New Roman" w:hAnsi="Times New Roman" w:eastAsia="宋体" w:cs="Times New Roman"/>
          <w:color w:val="auto"/>
          <w:szCs w:val="24"/>
          <w:highlight w:val="none"/>
          <w:lang w:val="en-US" w:eastAsia="zh-CN"/>
        </w:rPr>
        <w:t>4</w:t>
      </w:r>
      <w:r>
        <w:rPr>
          <w:rFonts w:hint="eastAsia" w:ascii="Times New Roman" w:hAnsi="Times New Roman" w:eastAsia="宋体" w:cs="Times New Roman"/>
          <w:color w:val="auto"/>
          <w:szCs w:val="24"/>
          <w:highlight w:val="none"/>
        </w:rPr>
        <w:t>月连续六个月投标人为上述人员缴纳的社保证明材料</w:t>
      </w:r>
      <w:r>
        <w:rPr>
          <w:rFonts w:hint="eastAsia" w:ascii="Times New Roman" w:hAnsi="Times New Roman" w:eastAsia="宋体" w:cs="Times New Roman"/>
          <w:color w:val="auto"/>
          <w:szCs w:val="24"/>
          <w:highlight w:val="none"/>
          <w:lang w:eastAsia="zh-CN"/>
        </w:rPr>
        <w:t>。</w:t>
      </w:r>
    </w:p>
    <w:p w14:paraId="4723A1EB">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项目经理和技术负责人根据招标人要求</w:t>
      </w:r>
      <w:r>
        <w:rPr>
          <w:rFonts w:hint="eastAsia" w:ascii="Times New Roman" w:hAnsi="Times New Roman" w:eastAsia="宋体" w:cs="Times New Roman"/>
          <w:color w:val="auto"/>
          <w:szCs w:val="24"/>
          <w:highlight w:val="none"/>
        </w:rPr>
        <w:t>在项目最终验收前于招标人指定办公地点</w:t>
      </w:r>
      <w:r>
        <w:rPr>
          <w:rFonts w:ascii="Times New Roman" w:hAnsi="Times New Roman" w:eastAsia="宋体" w:cs="Times New Roman"/>
          <w:color w:val="auto"/>
          <w:szCs w:val="24"/>
          <w:highlight w:val="none"/>
        </w:rPr>
        <w:t>提供驻点服务。</w:t>
      </w:r>
    </w:p>
    <w:p w14:paraId="48A12E83">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2.招标人有权对中标人项目人员的资质及其配备进行监督检查。如中标人项目人员的资质及其配备不符合本合同或中标人投标文件响应条款及方案等相关文件约定的，招标人有权要求中标人立刻予以补充、更换且有权要求中标人承担违约责任。</w:t>
      </w:r>
    </w:p>
    <w:p w14:paraId="61FA924B">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3.在本合同履行过程中，中标人的项目人员应保持相对稳定，未经招标人书面同意不得随意更换，以保证服务工作正常进行。项目人员保持24小时通信畅通。中标人因特殊原因确需更换项目人员时，应提前7日向招标人提出书面报告，经招标人书面同意后方可更换；中标人更换项目人员应以相当资质与能力、在本单位购买连续不少于6个月社保的人员进行替换。</w:t>
      </w:r>
    </w:p>
    <w:p w14:paraId="7D92B5BB">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4.如中标人项目人员不符合工作要求，招标人有权要求更换，中标人在收到更换通知的3日内完成人员更换。</w:t>
      </w:r>
    </w:p>
    <w:p w14:paraId="7C0AD7E6">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5.中标人应建立完善的周例会、月例会和不定期会议制度就项目进度、质量、风险及协调等事宜确定解决，招标人项目组代表参会，中标人应在会议后形成会议纪要。</w:t>
      </w:r>
    </w:p>
    <w:p w14:paraId="3D95D887">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6.中标人应于每月结束后的3个工作日内，以书面形式向招标人提供项目阶段进度报告。如有重大问题，中标人应当在3个工作日内向招标人做出书面汇报。</w:t>
      </w:r>
    </w:p>
    <w:p w14:paraId="110CC0F0">
      <w:pPr>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br w:type="page"/>
      </w:r>
    </w:p>
    <w:p w14:paraId="034FF702">
      <w:pPr>
        <w:spacing w:line="360" w:lineRule="auto"/>
        <w:ind w:firstLine="420" w:firstLineChars="200"/>
        <w:rPr>
          <w:rFonts w:ascii="Times New Roman" w:hAnsi="Times New Roman" w:eastAsia="宋体" w:cs="Times New Roman"/>
          <w:color w:val="auto"/>
          <w:szCs w:val="24"/>
          <w:highlight w:val="none"/>
        </w:rPr>
      </w:pPr>
    </w:p>
    <w:p w14:paraId="743AC1B9">
      <w:pPr>
        <w:keepNext/>
        <w:keepLines/>
        <w:numPr>
          <w:ilvl w:val="0"/>
          <w:numId w:val="2"/>
        </w:numPr>
        <w:spacing w:line="360" w:lineRule="auto"/>
        <w:jc w:val="center"/>
        <w:outlineLvl w:val="0"/>
        <w:rPr>
          <w:rFonts w:ascii="Times New Roman" w:hAnsi="Times New Roman" w:eastAsia="宋体" w:cs="Times New Roman"/>
          <w:b/>
          <w:bCs/>
          <w:color w:val="auto"/>
          <w:kern w:val="44"/>
          <w:szCs w:val="44"/>
          <w:highlight w:val="none"/>
        </w:rPr>
      </w:pPr>
      <w:bookmarkStart w:id="501" w:name="_Toc15970"/>
      <w:bookmarkStart w:id="502" w:name="_Toc195714305"/>
      <w:r>
        <w:rPr>
          <w:rFonts w:ascii="Times New Roman" w:hAnsi="Times New Roman" w:eastAsia="宋体" w:cs="Times New Roman"/>
          <w:b/>
          <w:bCs/>
          <w:color w:val="auto"/>
          <w:kern w:val="44"/>
          <w:szCs w:val="44"/>
          <w:highlight w:val="none"/>
        </w:rPr>
        <w:t>详细技术要求</w:t>
      </w:r>
      <w:bookmarkEnd w:id="501"/>
      <w:bookmarkEnd w:id="502"/>
    </w:p>
    <w:p w14:paraId="53407396">
      <w:pPr>
        <w:spacing w:after="312" w:afterLines="100" w:line="360" w:lineRule="auto"/>
        <w:jc w:val="center"/>
        <w:outlineLvl w:val="1"/>
        <w:rPr>
          <w:rFonts w:ascii="Times New Roman" w:hAnsi="Times New Roman" w:eastAsia="宋体" w:cs="Times New Roman"/>
          <w:color w:val="auto"/>
          <w:szCs w:val="24"/>
          <w:highlight w:val="none"/>
        </w:rPr>
      </w:pPr>
      <w:bookmarkStart w:id="503" w:name="_Toc512"/>
      <w:bookmarkStart w:id="504" w:name="_Toc195714306"/>
      <w:r>
        <w:rPr>
          <w:rFonts w:ascii="Times New Roman" w:hAnsi="Times New Roman" w:eastAsia="宋体" w:cs="Times New Roman"/>
          <w:color w:val="auto"/>
          <w:szCs w:val="24"/>
          <w:highlight w:val="none"/>
        </w:rPr>
        <w:t>（</w:t>
      </w:r>
      <w:r>
        <w:rPr>
          <w:rFonts w:hint="eastAsia" w:ascii="Times New Roman" w:hAnsi="Times New Roman" w:eastAsia="宋体" w:cs="Times New Roman"/>
          <w:b/>
          <w:bCs/>
          <w:color w:val="auto"/>
          <w:szCs w:val="24"/>
          <w:highlight w:val="none"/>
        </w:rPr>
        <w:t>自动化控制等弱电系统设备</w:t>
      </w:r>
      <w:r>
        <w:rPr>
          <w:rFonts w:ascii="Times New Roman" w:hAnsi="Times New Roman" w:eastAsia="宋体" w:cs="Times New Roman"/>
          <w:b/>
          <w:bCs/>
          <w:color w:val="auto"/>
          <w:szCs w:val="24"/>
          <w:highlight w:val="none"/>
        </w:rPr>
        <w:t>详细技术要求</w:t>
      </w:r>
      <w:r>
        <w:rPr>
          <w:rFonts w:ascii="Times New Roman" w:hAnsi="Times New Roman" w:eastAsia="宋体" w:cs="Times New Roman"/>
          <w:color w:val="auto"/>
          <w:szCs w:val="24"/>
          <w:highlight w:val="none"/>
        </w:rPr>
        <w:t>）</w:t>
      </w:r>
      <w:bookmarkEnd w:id="503"/>
      <w:bookmarkEnd w:id="504"/>
    </w:p>
    <w:p w14:paraId="4EB26F73">
      <w:pPr>
        <w:keepNext/>
        <w:keepLines/>
        <w:numPr>
          <w:ilvl w:val="1"/>
          <w:numId w:val="23"/>
        </w:numPr>
        <w:adjustRightInd w:val="0"/>
        <w:snapToGrid w:val="0"/>
        <w:spacing w:line="360" w:lineRule="auto"/>
        <w:ind w:firstLine="426"/>
        <w:outlineLvl w:val="1"/>
        <w:rPr>
          <w:rFonts w:ascii="Times New Roman" w:hAnsi="Times New Roman" w:eastAsia="宋体" w:cs="Times New Roman"/>
          <w:bCs/>
          <w:color w:val="auto"/>
          <w:szCs w:val="21"/>
          <w:highlight w:val="none"/>
        </w:rPr>
      </w:pPr>
      <w:bookmarkStart w:id="505" w:name="_Toc195714307"/>
      <w:bookmarkStart w:id="506" w:name="_Toc21025"/>
      <w:r>
        <w:rPr>
          <w:rFonts w:ascii="Times New Roman" w:hAnsi="Times New Roman" w:eastAsia="宋体" w:cs="Times New Roman"/>
          <w:b/>
          <w:bCs/>
          <w:color w:val="auto"/>
          <w:szCs w:val="21"/>
          <w:highlight w:val="none"/>
        </w:rPr>
        <w:t>概述</w:t>
      </w:r>
      <w:bookmarkEnd w:id="505"/>
      <w:bookmarkEnd w:id="506"/>
    </w:p>
    <w:p w14:paraId="730B322C">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本节规定了</w:t>
      </w:r>
      <w:r>
        <w:rPr>
          <w:rFonts w:hint="eastAsia" w:ascii="Times New Roman" w:hAnsi="Times New Roman" w:eastAsia="宋体" w:cs="Times New Roman"/>
          <w:color w:val="auto"/>
          <w:szCs w:val="21"/>
          <w:highlight w:val="none"/>
        </w:rPr>
        <w:t>东莞市石鼓净水有限公司污水处理厂及提标项目中控系统集约化升级改造项目</w:t>
      </w:r>
      <w:r>
        <w:rPr>
          <w:rFonts w:ascii="Times New Roman" w:hAnsi="Times New Roman" w:eastAsia="宋体" w:cs="Times New Roman"/>
          <w:color w:val="auto"/>
          <w:szCs w:val="21"/>
          <w:highlight w:val="none"/>
        </w:rPr>
        <w:t>的设计、制造、</w:t>
      </w:r>
      <w:r>
        <w:rPr>
          <w:rFonts w:hint="eastAsia" w:ascii="Times New Roman" w:hAnsi="Times New Roman" w:eastAsia="宋体" w:cs="Times New Roman"/>
          <w:color w:val="auto"/>
          <w:szCs w:val="21"/>
          <w:highlight w:val="none"/>
        </w:rPr>
        <w:t>安装、调试、</w:t>
      </w:r>
      <w:r>
        <w:rPr>
          <w:rFonts w:ascii="Times New Roman" w:hAnsi="Times New Roman" w:eastAsia="宋体" w:cs="Times New Roman"/>
          <w:color w:val="auto"/>
          <w:szCs w:val="21"/>
          <w:highlight w:val="none"/>
        </w:rPr>
        <w:t>工厂试验的技术要求。</w:t>
      </w:r>
    </w:p>
    <w:p w14:paraId="65AA8BD3">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为了获得标准化的外观、运行、维修、备品备件以及制造商服务，投标人所提供的同类型设备必须是一个制造商的最终产品。</w:t>
      </w:r>
    </w:p>
    <w:p w14:paraId="05B1E6AE">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本节设备应该依据第</w:t>
      </w:r>
      <w:r>
        <w:rPr>
          <w:rFonts w:hint="eastAsia" w:ascii="Times New Roman" w:hAnsi="Times New Roman" w:eastAsia="宋体" w:cs="Times New Roman"/>
          <w:color w:val="auto"/>
          <w:szCs w:val="21"/>
          <w:highlight w:val="none"/>
        </w:rPr>
        <w:t>一</w:t>
      </w:r>
      <w:r>
        <w:rPr>
          <w:rFonts w:ascii="Times New Roman" w:hAnsi="Times New Roman" w:eastAsia="宋体" w:cs="Times New Roman"/>
          <w:color w:val="auto"/>
          <w:szCs w:val="21"/>
          <w:highlight w:val="none"/>
        </w:rPr>
        <w:t>节中的要求应用合适的参考标准。</w:t>
      </w:r>
    </w:p>
    <w:p w14:paraId="5ADF31B7">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本节设备设计是在设备未招标情况下按照国内通用设备进行的，所有设备的安装图和预埋件图，均按照通用设备提供的资料设计，设备招标后，中标人在不改变土建的基础上要进行二次设计，要取得</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1"/>
          <w:highlight w:val="none"/>
        </w:rPr>
        <w:t>咨询单位的同意，不能改变原有设计的目的。也不能因为设备配件的不同而增加任何费用。</w:t>
      </w:r>
    </w:p>
    <w:p w14:paraId="36DBC985">
      <w:pPr>
        <w:keepNext/>
        <w:keepLines/>
        <w:numPr>
          <w:ilvl w:val="1"/>
          <w:numId w:val="23"/>
        </w:numPr>
        <w:adjustRightInd w:val="0"/>
        <w:snapToGrid w:val="0"/>
        <w:spacing w:line="360" w:lineRule="auto"/>
        <w:ind w:firstLine="426"/>
        <w:outlineLvl w:val="1"/>
        <w:rPr>
          <w:rFonts w:ascii="Times New Roman" w:hAnsi="Times New Roman" w:eastAsia="宋体" w:cs="Times New Roman"/>
          <w:b/>
          <w:bCs/>
          <w:color w:val="auto"/>
          <w:szCs w:val="21"/>
          <w:highlight w:val="none"/>
        </w:rPr>
      </w:pPr>
      <w:bookmarkStart w:id="507" w:name="_Toc195714308"/>
      <w:bookmarkStart w:id="508" w:name="_Toc30915"/>
      <w:r>
        <w:rPr>
          <w:rFonts w:ascii="Times New Roman" w:hAnsi="Times New Roman" w:eastAsia="宋体" w:cs="Times New Roman"/>
          <w:b/>
          <w:bCs/>
          <w:color w:val="auto"/>
          <w:szCs w:val="21"/>
          <w:highlight w:val="none"/>
        </w:rPr>
        <w:t>招标设备清单及主要技术参数要求</w:t>
      </w:r>
      <w:bookmarkEnd w:id="507"/>
      <w:bookmarkEnd w:id="508"/>
    </w:p>
    <w:p w14:paraId="5944C8A8">
      <w:pPr>
        <w:adjustRightInd w:val="0"/>
        <w:snapToGrid w:val="0"/>
        <w:spacing w:line="360" w:lineRule="auto"/>
        <w:ind w:firstLine="422" w:firstLineChars="200"/>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本节所述设备清单仅供投标参考，中标人所供货物数量需能必须满足</w:t>
      </w:r>
      <w:r>
        <w:rPr>
          <w:rFonts w:hint="eastAsia" w:ascii="Times New Roman" w:hAnsi="Times New Roman" w:eastAsia="宋体" w:cs="Times New Roman"/>
          <w:b/>
          <w:bCs/>
          <w:color w:val="auto"/>
          <w:szCs w:val="21"/>
          <w:highlight w:val="none"/>
        </w:rPr>
        <w:t>技术方案</w:t>
      </w:r>
      <w:r>
        <w:rPr>
          <w:rFonts w:ascii="Times New Roman" w:hAnsi="Times New Roman" w:eastAsia="宋体" w:cs="Times New Roman"/>
          <w:b/>
          <w:bCs/>
          <w:color w:val="auto"/>
          <w:szCs w:val="21"/>
          <w:highlight w:val="none"/>
        </w:rPr>
        <w:t>要求，如</w:t>
      </w:r>
      <w:r>
        <w:rPr>
          <w:rFonts w:hint="eastAsia" w:ascii="Times New Roman" w:hAnsi="Times New Roman" w:eastAsia="宋体" w:cs="Times New Roman"/>
          <w:b/>
          <w:bCs/>
          <w:color w:val="auto"/>
          <w:szCs w:val="21"/>
          <w:highlight w:val="none"/>
        </w:rPr>
        <w:t>技术方案</w:t>
      </w:r>
      <w:r>
        <w:rPr>
          <w:rFonts w:ascii="Times New Roman" w:hAnsi="Times New Roman" w:eastAsia="宋体" w:cs="Times New Roman"/>
          <w:b/>
          <w:bCs/>
          <w:color w:val="auto"/>
          <w:szCs w:val="21"/>
          <w:highlight w:val="none"/>
        </w:rPr>
        <w:t>未作说明的项目，在本用户需求书的设备清单有补充，或满足“技术要求”所需的设备配置，则以本用户需求书（设备清单、工程界限说明）为准，投标人需负责提供，计入投标总价。</w:t>
      </w:r>
    </w:p>
    <w:p w14:paraId="3B1126DF">
      <w:pPr>
        <w:adjustRightInd w:val="0"/>
        <w:snapToGrid w:val="0"/>
        <w:spacing w:line="360" w:lineRule="auto"/>
        <w:ind w:firstLine="422" w:firstLineChars="200"/>
        <w:rPr>
          <w:rFonts w:ascii="Times New Roman" w:hAnsi="Times New Roman" w:eastAsia="宋体" w:cs="Times New Roman"/>
          <w:color w:val="auto"/>
          <w:szCs w:val="21"/>
          <w:highlight w:val="none"/>
        </w:rPr>
      </w:pPr>
      <w:r>
        <w:rPr>
          <w:rFonts w:ascii="Times New Roman" w:hAnsi="Times New Roman" w:eastAsia="宋体" w:cs="Times New Roman"/>
          <w:b/>
          <w:bCs/>
          <w:color w:val="auto"/>
          <w:szCs w:val="21"/>
          <w:highlight w:val="none"/>
        </w:rPr>
        <w:t>设备清单的设备参数与用户需求书的“技术要求”的具体要求相冲突的，以“技术要求”的具体要求为准。</w:t>
      </w:r>
    </w:p>
    <w:tbl>
      <w:tblPr>
        <w:tblStyle w:val="44"/>
        <w:tblpPr w:leftFromText="180" w:rightFromText="180" w:vertAnchor="text" w:horzAnchor="page" w:tblpXSpec="center" w:tblpY="474"/>
        <w:tblOverlap w:val="never"/>
        <w:tblW w:w="9939" w:type="dxa"/>
        <w:jc w:val="center"/>
        <w:tblLayout w:type="fixed"/>
        <w:tblCellMar>
          <w:top w:w="0" w:type="dxa"/>
          <w:left w:w="108" w:type="dxa"/>
          <w:bottom w:w="0" w:type="dxa"/>
          <w:right w:w="108" w:type="dxa"/>
        </w:tblCellMar>
      </w:tblPr>
      <w:tblGrid>
        <w:gridCol w:w="720"/>
        <w:gridCol w:w="1680"/>
        <w:gridCol w:w="3810"/>
        <w:gridCol w:w="1253"/>
        <w:gridCol w:w="892"/>
        <w:gridCol w:w="854"/>
        <w:gridCol w:w="730"/>
      </w:tblGrid>
      <w:tr w14:paraId="6BE201C5">
        <w:tblPrEx>
          <w:tblCellMar>
            <w:top w:w="0" w:type="dxa"/>
            <w:left w:w="108" w:type="dxa"/>
            <w:bottom w:w="0" w:type="dxa"/>
            <w:right w:w="108" w:type="dxa"/>
          </w:tblCellMar>
        </w:tblPrEx>
        <w:trPr>
          <w:trHeight w:val="634"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3C36A">
            <w:pPr>
              <w:keepNext w:val="0"/>
              <w:keepLines w:val="0"/>
              <w:widowControl/>
              <w:suppressLineNumbers w:val="0"/>
              <w:spacing w:before="0" w:beforeAutospacing="0" w:after="0" w:afterAutospacing="0"/>
              <w:ind w:left="0" w:right="0"/>
              <w:jc w:val="center"/>
              <w:textAlignment w:val="center"/>
              <w:rPr>
                <w:rFonts w:hint="default" w:ascii="Microsoft YaHei UI" w:hAnsi="Microsoft YaHei UI" w:eastAsia="Microsoft YaHei UI" w:cs="Microsoft YaHei UI"/>
                <w:b/>
                <w:bCs/>
                <w:color w:val="auto"/>
                <w:sz w:val="20"/>
                <w:szCs w:val="20"/>
                <w:highlight w:val="none"/>
              </w:rPr>
            </w:pPr>
            <w:r>
              <w:rPr>
                <w:rFonts w:hint="eastAsia" w:ascii="Microsoft YaHei UI" w:hAnsi="Microsoft YaHei UI" w:eastAsia="Microsoft YaHei UI" w:cs="Microsoft YaHei UI"/>
                <w:b/>
                <w:bCs/>
                <w:color w:val="auto"/>
                <w:kern w:val="0"/>
                <w:sz w:val="20"/>
                <w:szCs w:val="20"/>
                <w:highlight w:val="none"/>
                <w:lang w:bidi="ar"/>
              </w:rPr>
              <w:t>序号</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2697">
            <w:pPr>
              <w:keepNext w:val="0"/>
              <w:keepLines w:val="0"/>
              <w:widowControl/>
              <w:suppressLineNumbers w:val="0"/>
              <w:spacing w:before="0" w:beforeAutospacing="0" w:after="0" w:afterAutospacing="0"/>
              <w:ind w:left="0" w:right="0"/>
              <w:jc w:val="center"/>
              <w:textAlignment w:val="center"/>
              <w:rPr>
                <w:rFonts w:hint="default" w:ascii="Microsoft YaHei UI" w:hAnsi="Microsoft YaHei UI" w:eastAsia="Microsoft YaHei UI" w:cs="Microsoft YaHei UI"/>
                <w:b/>
                <w:bCs/>
                <w:color w:val="auto"/>
                <w:sz w:val="20"/>
                <w:szCs w:val="20"/>
                <w:highlight w:val="none"/>
              </w:rPr>
            </w:pPr>
            <w:r>
              <w:rPr>
                <w:rFonts w:hint="eastAsia" w:ascii="Microsoft YaHei UI" w:hAnsi="Microsoft YaHei UI" w:eastAsia="Microsoft YaHei UI" w:cs="Microsoft YaHei UI"/>
                <w:b/>
                <w:bCs/>
                <w:color w:val="auto"/>
                <w:kern w:val="0"/>
                <w:sz w:val="20"/>
                <w:szCs w:val="20"/>
                <w:highlight w:val="none"/>
                <w:lang w:bidi="ar"/>
              </w:rPr>
              <w:t>名称</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BAC8">
            <w:pPr>
              <w:keepNext w:val="0"/>
              <w:keepLines w:val="0"/>
              <w:widowControl/>
              <w:suppressLineNumbers w:val="0"/>
              <w:spacing w:before="0" w:beforeAutospacing="0" w:after="0" w:afterAutospacing="0"/>
              <w:ind w:left="0" w:right="0"/>
              <w:jc w:val="center"/>
              <w:textAlignment w:val="center"/>
              <w:rPr>
                <w:rFonts w:hint="default" w:ascii="Microsoft YaHei UI" w:hAnsi="Microsoft YaHei UI" w:eastAsia="Microsoft YaHei UI" w:cs="Microsoft YaHei UI"/>
                <w:b/>
                <w:bCs/>
                <w:color w:val="auto"/>
                <w:sz w:val="20"/>
                <w:szCs w:val="20"/>
                <w:highlight w:val="none"/>
              </w:rPr>
            </w:pPr>
            <w:r>
              <w:rPr>
                <w:rFonts w:hint="eastAsia" w:ascii="Microsoft YaHei UI" w:hAnsi="Microsoft YaHei UI" w:eastAsia="Microsoft YaHei UI" w:cs="Microsoft YaHei UI"/>
                <w:b/>
                <w:bCs/>
                <w:color w:val="auto"/>
                <w:kern w:val="0"/>
                <w:sz w:val="20"/>
                <w:szCs w:val="20"/>
                <w:highlight w:val="none"/>
                <w:lang w:bidi="ar"/>
              </w:rPr>
              <w:t>技术参数</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A7D67">
            <w:pPr>
              <w:keepNext w:val="0"/>
              <w:keepLines w:val="0"/>
              <w:widowControl/>
              <w:suppressLineNumbers w:val="0"/>
              <w:spacing w:before="0" w:beforeAutospacing="0" w:after="0" w:afterAutospacing="0"/>
              <w:ind w:left="0" w:right="0"/>
              <w:jc w:val="center"/>
              <w:textAlignment w:val="center"/>
              <w:rPr>
                <w:rFonts w:hint="default" w:ascii="Microsoft YaHei UI" w:hAnsi="Microsoft YaHei UI" w:eastAsia="Microsoft YaHei UI" w:cs="Microsoft YaHei UI"/>
                <w:b/>
                <w:bCs/>
                <w:color w:val="auto"/>
                <w:sz w:val="20"/>
                <w:szCs w:val="20"/>
                <w:highlight w:val="none"/>
              </w:rPr>
            </w:pPr>
            <w:r>
              <w:rPr>
                <w:rFonts w:hint="eastAsia" w:ascii="Microsoft YaHei UI" w:hAnsi="Microsoft YaHei UI" w:eastAsia="Microsoft YaHei UI" w:cs="Microsoft YaHei UI"/>
                <w:b/>
                <w:bCs/>
                <w:color w:val="auto"/>
                <w:kern w:val="0"/>
                <w:sz w:val="20"/>
                <w:szCs w:val="20"/>
                <w:highlight w:val="none"/>
                <w:lang w:bidi="ar"/>
              </w:rPr>
              <w:t>推荐品牌</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894F">
            <w:pPr>
              <w:keepNext w:val="0"/>
              <w:keepLines w:val="0"/>
              <w:widowControl/>
              <w:suppressLineNumbers w:val="0"/>
              <w:spacing w:before="0" w:beforeAutospacing="0" w:after="0" w:afterAutospacing="0"/>
              <w:ind w:left="0" w:right="0"/>
              <w:jc w:val="center"/>
              <w:textAlignment w:val="center"/>
              <w:rPr>
                <w:rFonts w:hint="default" w:ascii="Microsoft YaHei UI" w:hAnsi="Microsoft YaHei UI" w:eastAsia="Microsoft YaHei UI" w:cs="Microsoft YaHei UI"/>
                <w:b/>
                <w:bCs/>
                <w:color w:val="auto"/>
                <w:sz w:val="20"/>
                <w:szCs w:val="20"/>
                <w:highlight w:val="none"/>
              </w:rPr>
            </w:pPr>
            <w:r>
              <w:rPr>
                <w:rFonts w:hint="eastAsia" w:ascii="Microsoft YaHei UI" w:hAnsi="Microsoft YaHei UI" w:eastAsia="Microsoft YaHei UI" w:cs="Microsoft YaHei UI"/>
                <w:b/>
                <w:bCs/>
                <w:color w:val="auto"/>
                <w:kern w:val="0"/>
                <w:sz w:val="20"/>
                <w:szCs w:val="20"/>
                <w:highlight w:val="none"/>
                <w:lang w:bidi="ar"/>
              </w:rPr>
              <w:t>单位</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81EA3">
            <w:pPr>
              <w:keepNext w:val="0"/>
              <w:keepLines w:val="0"/>
              <w:widowControl/>
              <w:suppressLineNumbers w:val="0"/>
              <w:spacing w:before="0" w:beforeAutospacing="0" w:after="0" w:afterAutospacing="0"/>
              <w:ind w:left="0" w:right="0"/>
              <w:jc w:val="center"/>
              <w:textAlignment w:val="center"/>
              <w:rPr>
                <w:rFonts w:hint="default" w:ascii="Microsoft YaHei UI" w:hAnsi="Microsoft YaHei UI" w:eastAsia="Microsoft YaHei UI" w:cs="Microsoft YaHei UI"/>
                <w:b/>
                <w:bCs/>
                <w:color w:val="auto"/>
                <w:sz w:val="20"/>
                <w:szCs w:val="20"/>
                <w:highlight w:val="none"/>
              </w:rPr>
            </w:pPr>
            <w:r>
              <w:rPr>
                <w:rFonts w:hint="eastAsia" w:ascii="Microsoft YaHei UI" w:hAnsi="Microsoft YaHei UI" w:eastAsia="Microsoft YaHei UI" w:cs="Microsoft YaHei UI"/>
                <w:b/>
                <w:bCs/>
                <w:color w:val="auto"/>
                <w:kern w:val="0"/>
                <w:sz w:val="20"/>
                <w:szCs w:val="20"/>
                <w:highlight w:val="none"/>
                <w:lang w:bidi="ar"/>
              </w:rPr>
              <w:t>数量</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2155B">
            <w:pPr>
              <w:keepNext w:val="0"/>
              <w:keepLines w:val="0"/>
              <w:widowControl/>
              <w:suppressLineNumbers w:val="0"/>
              <w:spacing w:before="0" w:beforeAutospacing="0" w:after="0" w:afterAutospacing="0"/>
              <w:ind w:left="0" w:right="0"/>
              <w:jc w:val="center"/>
              <w:textAlignment w:val="center"/>
              <w:rPr>
                <w:rFonts w:hint="default" w:ascii="Microsoft YaHei UI" w:hAnsi="Microsoft YaHei UI" w:eastAsia="Microsoft YaHei UI" w:cs="Microsoft YaHei UI"/>
                <w:b/>
                <w:bCs/>
                <w:color w:val="auto"/>
                <w:sz w:val="20"/>
                <w:szCs w:val="20"/>
                <w:highlight w:val="none"/>
              </w:rPr>
            </w:pPr>
            <w:r>
              <w:rPr>
                <w:rFonts w:hint="eastAsia" w:ascii="Microsoft YaHei UI" w:hAnsi="Microsoft YaHei UI" w:eastAsia="Microsoft YaHei UI" w:cs="Microsoft YaHei UI"/>
                <w:b/>
                <w:bCs/>
                <w:color w:val="auto"/>
                <w:kern w:val="0"/>
                <w:sz w:val="20"/>
                <w:szCs w:val="20"/>
                <w:highlight w:val="none"/>
                <w:lang w:bidi="ar"/>
              </w:rPr>
              <w:t>备注</w:t>
            </w:r>
          </w:p>
        </w:tc>
      </w:tr>
      <w:tr w14:paraId="75A204CA">
        <w:tblPrEx>
          <w:tblCellMar>
            <w:top w:w="0" w:type="dxa"/>
            <w:left w:w="108" w:type="dxa"/>
            <w:bottom w:w="0" w:type="dxa"/>
            <w:right w:w="108" w:type="dxa"/>
          </w:tblCellMar>
        </w:tblPrEx>
        <w:trPr>
          <w:trHeight w:val="634" w:hRule="atLeast"/>
          <w:jc w:val="center"/>
        </w:trPr>
        <w:tc>
          <w:tcPr>
            <w:tcW w:w="99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529946D">
            <w:pPr>
              <w:keepNext w:val="0"/>
              <w:keepLines w:val="0"/>
              <w:widowControl/>
              <w:suppressLineNumbers w:val="0"/>
              <w:spacing w:before="0" w:beforeAutospacing="0" w:after="0" w:afterAutospacing="0"/>
              <w:ind w:left="0" w:right="0"/>
              <w:jc w:val="center"/>
              <w:textAlignment w:val="center"/>
              <w:rPr>
                <w:rFonts w:hint="eastAsia" w:ascii="Microsoft YaHei UI" w:hAnsi="Microsoft YaHei UI" w:eastAsia="Microsoft YaHei UI" w:cs="Microsoft YaHei UI"/>
                <w:b/>
                <w:bCs/>
                <w:color w:val="auto"/>
                <w:kern w:val="0"/>
                <w:sz w:val="20"/>
                <w:szCs w:val="20"/>
                <w:highlight w:val="none"/>
                <w:lang w:bidi="ar"/>
              </w:rPr>
            </w:pPr>
            <w:r>
              <w:rPr>
                <w:rFonts w:hint="eastAsia" w:ascii="Microsoft YaHei UI" w:hAnsi="Microsoft YaHei UI" w:eastAsia="Microsoft YaHei UI" w:cs="Microsoft YaHei UI"/>
                <w:b/>
                <w:bCs/>
                <w:color w:val="auto"/>
                <w:kern w:val="0"/>
                <w:sz w:val="20"/>
                <w:szCs w:val="20"/>
                <w:highlight w:val="none"/>
                <w:lang w:eastAsia="zh-CN" w:bidi="ar"/>
              </w:rPr>
              <w:t>一、</w:t>
            </w:r>
            <w:r>
              <w:rPr>
                <w:rFonts w:hint="eastAsia" w:ascii="Microsoft YaHei UI" w:hAnsi="Microsoft YaHei UI" w:eastAsia="Microsoft YaHei UI" w:cs="Microsoft YaHei UI"/>
                <w:b/>
                <w:bCs/>
                <w:color w:val="auto"/>
                <w:kern w:val="0"/>
                <w:sz w:val="20"/>
                <w:szCs w:val="20"/>
                <w:highlight w:val="none"/>
                <w:lang w:bidi="ar"/>
              </w:rPr>
              <w:t>软件、硬件设备购置</w:t>
            </w:r>
          </w:p>
        </w:tc>
      </w:tr>
      <w:tr w14:paraId="6142ED3F">
        <w:tblPrEx>
          <w:tblCellMar>
            <w:top w:w="0" w:type="dxa"/>
            <w:left w:w="108" w:type="dxa"/>
            <w:bottom w:w="0" w:type="dxa"/>
            <w:right w:w="108" w:type="dxa"/>
          </w:tblCellMar>
        </w:tblPrEx>
        <w:trPr>
          <w:trHeight w:val="3744"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E966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7307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数据服务器</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85301">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2U机架式主机</w:t>
            </w:r>
          </w:p>
          <w:p w14:paraId="70543658">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CPU：2*Xeon 金牌5418Y或更高</w:t>
            </w:r>
          </w:p>
          <w:p w14:paraId="6182F760">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内存：共128GB  RDIMM</w:t>
            </w:r>
          </w:p>
          <w:p w14:paraId="1D288084">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存储：系统盘：2块800GB 固态硬盘 SAS, 混合使用, 24Gbps 512e 2.5英寸AG 硬盘；</w:t>
            </w:r>
          </w:p>
          <w:p w14:paraId="6DEE2AEF">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数据盘：3块2.4TB 硬盘 SAS FIPS-140 10K 512e 3.5英寸含3.5英寸 HYB 托架；</w:t>
            </w:r>
          </w:p>
          <w:p w14:paraId="7861E62F">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网卡：双端口 10GbE SFP+ 适配器, PCIe；</w:t>
            </w:r>
          </w:p>
          <w:p w14:paraId="294C5C7D">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磁盘阵列卡：8G缓存，支持Raid0、1、5、6</w:t>
            </w:r>
          </w:p>
          <w:p w14:paraId="26F7DDEA">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支持4K视频输出</w:t>
            </w:r>
          </w:p>
          <w:p w14:paraId="7185BCEA">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冗余电源，≥1400W*2，支持热插拔</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D1BA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华为、浪潮、戴尔、HPE</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93E4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B05B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13BAD">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0AB747C5">
        <w:tblPrEx>
          <w:tblCellMar>
            <w:top w:w="0" w:type="dxa"/>
            <w:left w:w="108" w:type="dxa"/>
            <w:bottom w:w="0" w:type="dxa"/>
            <w:right w:w="108" w:type="dxa"/>
          </w:tblCellMar>
        </w:tblPrEx>
        <w:trPr>
          <w:trHeight w:val="4056"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0939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A5F1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SCADA服务器</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DA4CD">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2U机架式主机</w:t>
            </w:r>
          </w:p>
          <w:p w14:paraId="190B9D14">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CPU：2*Xeon 金牌5418Y或更高</w:t>
            </w:r>
          </w:p>
          <w:p w14:paraId="0F566F50">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内存：共128GB  RDIMM</w:t>
            </w:r>
          </w:p>
          <w:p w14:paraId="64D555E5">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系统盘：3.84TB 固态硬盘 SAS ISE, RI, 高达 24Gbps 512e 2.5英寸AG 硬盘；（Scada系统安装在系统盘）</w:t>
            </w:r>
          </w:p>
          <w:p w14:paraId="2584FD3B">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数据盘：3块4TB 硬盘 SAS 12Gbps 7.2K 512n 3.5英寸 热插拔；</w:t>
            </w:r>
          </w:p>
          <w:p w14:paraId="6EB5C7D6">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网卡：双端口 10GbE SFP+ 适配器, PCIe；</w:t>
            </w:r>
          </w:p>
          <w:p w14:paraId="20B3E16D">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磁盘阵列卡：8G缓存，支持Raid0、1、5、6</w:t>
            </w:r>
          </w:p>
          <w:p w14:paraId="6F9682E5">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支持4K视频输出</w:t>
            </w:r>
          </w:p>
          <w:p w14:paraId="2C8FEF7C">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冗余电源，≥1400W*2，支持热插拔</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231E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华为、浪潮、戴尔、HPE</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717B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6B31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8463C">
            <w:pPr>
              <w:keepNext w:val="0"/>
              <w:keepLines w:val="0"/>
              <w:suppressLineNumbers w:val="0"/>
              <w:spacing w:before="0" w:beforeAutospacing="0" w:after="0" w:afterAutospacing="0"/>
              <w:ind w:left="0" w:right="0"/>
              <w:jc w:val="center"/>
              <w:rPr>
                <w:rFonts w:hint="default" w:ascii="Microsoft YaHei UI" w:hAnsi="Microsoft YaHei UI" w:eastAsia="Microsoft YaHei UI" w:cs="Microsoft YaHei UI"/>
                <w:b/>
                <w:bCs/>
                <w:color w:val="auto"/>
                <w:sz w:val="20"/>
                <w:szCs w:val="20"/>
                <w:highlight w:val="none"/>
              </w:rPr>
            </w:pPr>
          </w:p>
        </w:tc>
      </w:tr>
      <w:tr w14:paraId="721372B5">
        <w:tblPrEx>
          <w:tblCellMar>
            <w:top w:w="0" w:type="dxa"/>
            <w:left w:w="108" w:type="dxa"/>
            <w:bottom w:w="0" w:type="dxa"/>
            <w:right w:w="108" w:type="dxa"/>
          </w:tblCellMar>
        </w:tblPrEx>
        <w:trPr>
          <w:trHeight w:val="7488"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9906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0F3E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磁盘阵列</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78FDA">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1）内部储存：支持12个 3.5" 驱动器托架（支持 2.5" 驱动器托架），可扩容至至少192TB</w:t>
            </w:r>
          </w:p>
          <w:p w14:paraId="2D624E24">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2）双主动控制器；处理器：Intel至强处理器；系统内存：每个控制器不低于16GB内存；</w:t>
            </w:r>
          </w:p>
          <w:p w14:paraId="5C0109F6">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3）端口：主机接口 FC、iSCSI（光纤或 BaseT）、SAS</w:t>
            </w:r>
          </w:p>
          <w:p w14:paraId="6D6E6CF4">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最大 32 Gb FC 端口数：每个阵列 8 个</w:t>
            </w:r>
          </w:p>
          <w:p w14:paraId="3D872489">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最大 25 Gb iSCSI 端口数：每个阵列 8 个 SFP+ 或 SFP28 端口</w:t>
            </w:r>
          </w:p>
          <w:p w14:paraId="58D38C94">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最大 10 Gb iSCSI 端口数：每个阵列 8 个 BaseT 端口</w:t>
            </w:r>
          </w:p>
          <w:p w14:paraId="5F69262A">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最大 12 Gb SAS 端口数：8 个 12 Gb SAS 端口</w:t>
            </w:r>
          </w:p>
          <w:p w14:paraId="30A5DC4D">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最大管理端口数：每个阵列 2 个 (1 Gb BASE-T)</w:t>
            </w:r>
          </w:p>
          <w:p w14:paraId="100DE041">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磁盘扩展协议：12 Gb SAS</w:t>
            </w:r>
          </w:p>
          <w:p w14:paraId="6C6C7E34">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4）磁盘支持：NLSAS 7.2K 3.5" — 4 TB、8 TB、12 TB、16 TB、16 TB FIPS、18 TB，主机带带12块18TB SAS硬盘 7200rpm</w:t>
            </w:r>
          </w:p>
          <w:p w14:paraId="486E458B">
            <w:pPr>
              <w:keepNext w:val="0"/>
              <w:keepLines w:val="0"/>
              <w:widowControl/>
              <w:suppressLineNumbers w:val="0"/>
              <w:spacing w:before="0" w:beforeAutospacing="0" w:after="0" w:afterAutospacing="0"/>
              <w:ind w:left="0" w:right="0"/>
              <w:textAlignment w:val="center"/>
              <w:rPr>
                <w:rFonts w:hint="default" w:ascii="Times New Roman" w:hAnsi="Times New Roman" w:eastAsia="宋体" w:cs="Times New Roman"/>
                <w:color w:val="auto"/>
                <w:szCs w:val="24"/>
                <w:highlight w:val="none"/>
              </w:rPr>
            </w:pPr>
            <w:r>
              <w:rPr>
                <w:rFonts w:hint="eastAsia" w:ascii="宋体" w:hAnsi="宋体" w:eastAsia="宋体" w:cs="宋体"/>
                <w:color w:val="auto"/>
                <w:kern w:val="0"/>
                <w:sz w:val="20"/>
                <w:szCs w:val="20"/>
                <w:highlight w:val="none"/>
                <w:lang w:bidi="ar"/>
              </w:rPr>
              <w:t>5）支持RAID：1、5、6、10 或 ADAPT RAID</w:t>
            </w:r>
          </w:p>
          <w:p w14:paraId="20BD46BF">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6）每个 2U 基本阵列不低于 9 个 2U 扩展存储模块，每个扩展模块12 个 3.5" 驱动器托架 (12 Gb SAS)</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5898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华为、浪潮、戴尔、HPE</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E78D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4893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A0E44">
            <w:pPr>
              <w:keepNext w:val="0"/>
              <w:keepLines w:val="0"/>
              <w:suppressLineNumbers w:val="0"/>
              <w:spacing w:before="0" w:beforeAutospacing="0" w:after="0" w:afterAutospacing="0"/>
              <w:ind w:left="0" w:right="0"/>
              <w:jc w:val="center"/>
              <w:rPr>
                <w:rFonts w:hint="default" w:ascii="Microsoft YaHei UI" w:hAnsi="Microsoft YaHei UI" w:eastAsia="Microsoft YaHei UI" w:cs="Microsoft YaHei UI"/>
                <w:b/>
                <w:bCs/>
                <w:color w:val="auto"/>
                <w:sz w:val="20"/>
                <w:szCs w:val="20"/>
                <w:highlight w:val="none"/>
              </w:rPr>
            </w:pPr>
          </w:p>
        </w:tc>
      </w:tr>
      <w:tr w14:paraId="27AF9DC7">
        <w:tblPrEx>
          <w:tblCellMar>
            <w:top w:w="0" w:type="dxa"/>
            <w:left w:w="108" w:type="dxa"/>
            <w:bottom w:w="0" w:type="dxa"/>
            <w:right w:w="108" w:type="dxa"/>
          </w:tblCellMar>
        </w:tblPrEx>
        <w:trPr>
          <w:trHeight w:val="624"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FC7A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C5D4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GPS卫星同步时钟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E241A">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支持中国北斗、美国GPS、俄罗斯GLONASS；</w:t>
            </w:r>
          </w:p>
          <w:p w14:paraId="324B28CF">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机架式；特性：铷原子钟；支持WEB管理界面，带6个千兆网口；平均故障间隔时间（MTBF）：≥80000小时；</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7C86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42A5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BA37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8B7E5">
            <w:pPr>
              <w:keepNext w:val="0"/>
              <w:keepLines w:val="0"/>
              <w:suppressLineNumbers w:val="0"/>
              <w:spacing w:before="0" w:beforeAutospacing="0" w:after="0" w:afterAutospacing="0"/>
              <w:ind w:left="0" w:right="0"/>
              <w:jc w:val="center"/>
              <w:rPr>
                <w:rFonts w:hint="default" w:ascii="Microsoft YaHei UI" w:hAnsi="Microsoft YaHei UI" w:eastAsia="Microsoft YaHei UI" w:cs="Microsoft YaHei UI"/>
                <w:b/>
                <w:bCs/>
                <w:color w:val="auto"/>
                <w:sz w:val="20"/>
                <w:szCs w:val="20"/>
                <w:highlight w:val="none"/>
              </w:rPr>
            </w:pPr>
          </w:p>
        </w:tc>
      </w:tr>
      <w:tr w14:paraId="0C41D597">
        <w:tblPrEx>
          <w:tblCellMar>
            <w:top w:w="0" w:type="dxa"/>
            <w:left w:w="108" w:type="dxa"/>
            <w:bottom w:w="0" w:type="dxa"/>
            <w:right w:w="108" w:type="dxa"/>
          </w:tblCellMar>
        </w:tblPrEx>
        <w:trPr>
          <w:trHeight w:val="624"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EBC9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85D8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服务器交换机</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71540">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端口数：48个下行万兆光口和6个上行万兆光口；端口速率：48个10GbE SFP+端口；6个100QSFP28端口；机架式网管型工业交换机</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F0A6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华为、H3C、思科（Cisco）</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2E03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CE12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23F14">
            <w:pPr>
              <w:keepNext w:val="0"/>
              <w:keepLines w:val="0"/>
              <w:suppressLineNumbers w:val="0"/>
              <w:spacing w:before="0" w:beforeAutospacing="0" w:after="0" w:afterAutospacing="0"/>
              <w:ind w:left="0" w:right="0"/>
              <w:jc w:val="center"/>
              <w:rPr>
                <w:rFonts w:hint="default" w:ascii="Microsoft YaHei UI" w:hAnsi="Microsoft YaHei UI" w:eastAsia="Microsoft YaHei UI" w:cs="Microsoft YaHei UI"/>
                <w:b/>
                <w:bCs/>
                <w:color w:val="auto"/>
                <w:sz w:val="20"/>
                <w:szCs w:val="20"/>
                <w:highlight w:val="none"/>
              </w:rPr>
            </w:pPr>
          </w:p>
        </w:tc>
      </w:tr>
      <w:tr w14:paraId="710E438C">
        <w:tblPrEx>
          <w:tblCellMar>
            <w:top w:w="0" w:type="dxa"/>
            <w:left w:w="108" w:type="dxa"/>
            <w:bottom w:w="0" w:type="dxa"/>
            <w:right w:w="108" w:type="dxa"/>
          </w:tblCellMar>
        </w:tblPrEx>
        <w:trPr>
          <w:trHeight w:val="624"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8B3E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4BA7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中心交换机</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F5A20">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端口数：4个万兆光口24个千兆电口；端口速率：24个10/100/1000Base-T(X)以太网端口，全双工；4个万兆SFP+光口；机架式网管型工业交换机</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CADB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华为、H3C、思科（Cisco）</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3758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DCAE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672CC">
            <w:pPr>
              <w:keepNext w:val="0"/>
              <w:keepLines w:val="0"/>
              <w:suppressLineNumbers w:val="0"/>
              <w:spacing w:before="0" w:beforeAutospacing="0" w:after="0" w:afterAutospacing="0"/>
              <w:ind w:left="0" w:right="0"/>
              <w:jc w:val="center"/>
              <w:rPr>
                <w:rFonts w:hint="default" w:ascii="Microsoft YaHei UI" w:hAnsi="Microsoft YaHei UI" w:eastAsia="Microsoft YaHei UI" w:cs="Microsoft YaHei UI"/>
                <w:b/>
                <w:bCs/>
                <w:color w:val="auto"/>
                <w:sz w:val="20"/>
                <w:szCs w:val="20"/>
                <w:highlight w:val="none"/>
              </w:rPr>
            </w:pPr>
          </w:p>
        </w:tc>
      </w:tr>
      <w:tr w14:paraId="021EBE8D">
        <w:tblPrEx>
          <w:tblCellMar>
            <w:top w:w="0" w:type="dxa"/>
            <w:left w:w="108" w:type="dxa"/>
            <w:bottom w:w="0" w:type="dxa"/>
            <w:right w:w="108" w:type="dxa"/>
          </w:tblCellMar>
        </w:tblPrEx>
        <w:trPr>
          <w:trHeight w:val="624"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916A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E692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服务器机柜</w:t>
            </w:r>
          </w:p>
        </w:tc>
        <w:tc>
          <w:tcPr>
            <w:tcW w:w="3810" w:type="dxa"/>
            <w:tcBorders>
              <w:top w:val="nil"/>
              <w:left w:val="nil"/>
              <w:bottom w:val="nil"/>
              <w:right w:val="nil"/>
            </w:tcBorders>
            <w:shd w:val="clear" w:color="auto" w:fill="auto"/>
            <w:vAlign w:val="center"/>
          </w:tcPr>
          <w:p w14:paraId="542824A9">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42U，600mm（W）x 1000mm（D）x 2000mm（H）；含断路器、开关电源、插排等元器件</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1BCD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7605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个</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CFEA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4175C">
            <w:pPr>
              <w:keepNext w:val="0"/>
              <w:keepLines w:val="0"/>
              <w:suppressLineNumbers w:val="0"/>
              <w:spacing w:before="0" w:beforeAutospacing="0" w:after="0" w:afterAutospacing="0"/>
              <w:ind w:left="0" w:right="0"/>
              <w:jc w:val="center"/>
              <w:rPr>
                <w:rFonts w:hint="default" w:ascii="Microsoft YaHei UI" w:hAnsi="Microsoft YaHei UI" w:eastAsia="Microsoft YaHei UI" w:cs="Microsoft YaHei UI"/>
                <w:b/>
                <w:bCs/>
                <w:color w:val="auto"/>
                <w:sz w:val="20"/>
                <w:szCs w:val="20"/>
                <w:highlight w:val="none"/>
              </w:rPr>
            </w:pPr>
          </w:p>
        </w:tc>
      </w:tr>
      <w:tr w14:paraId="05A8A059">
        <w:tblPrEx>
          <w:tblCellMar>
            <w:top w:w="0" w:type="dxa"/>
            <w:left w:w="108" w:type="dxa"/>
            <w:bottom w:w="0" w:type="dxa"/>
            <w:right w:w="108" w:type="dxa"/>
          </w:tblCellMar>
        </w:tblPrEx>
        <w:trPr>
          <w:trHeight w:val="312"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B825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FF52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KVM</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14CD7">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八进一出17.3英寸机架式折叠液晶显示</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8515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5F87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4029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2F275">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7D0244F5">
        <w:tblPrEx>
          <w:tblCellMar>
            <w:top w:w="0" w:type="dxa"/>
            <w:left w:w="108" w:type="dxa"/>
            <w:bottom w:w="0" w:type="dxa"/>
            <w:right w:w="108" w:type="dxa"/>
          </w:tblCellMar>
        </w:tblPrEx>
        <w:trPr>
          <w:trHeight w:val="624"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069D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6C2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电源控制机柜</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81E8E">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高*宽*深2000*600*1000，电源控制开关</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83CD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54DB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A0D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30645">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05150335">
        <w:tblPrEx>
          <w:tblCellMar>
            <w:top w:w="0" w:type="dxa"/>
            <w:left w:w="108" w:type="dxa"/>
            <w:bottom w:w="0" w:type="dxa"/>
            <w:right w:w="108" w:type="dxa"/>
          </w:tblCellMar>
        </w:tblPrEx>
        <w:trPr>
          <w:trHeight w:val="312"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CDCF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8BD7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UPS不间断电源</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F0838">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40KVA，2小时</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55CC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华为、易事特、APC、唯谛</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F02E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3A2F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EEF98">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13E824CB">
        <w:tblPrEx>
          <w:tblCellMar>
            <w:top w:w="0" w:type="dxa"/>
            <w:left w:w="108" w:type="dxa"/>
            <w:bottom w:w="0" w:type="dxa"/>
            <w:right w:w="108" w:type="dxa"/>
          </w:tblCellMar>
        </w:tblPrEx>
        <w:trPr>
          <w:trHeight w:val="312"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8AD7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11</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0A0B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数据库软件</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ACD8C">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SQL SERVER 2022企业版，无限用户</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39DE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A202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CAA6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E71C5">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0D224040">
        <w:tblPrEx>
          <w:tblCellMar>
            <w:top w:w="0" w:type="dxa"/>
            <w:left w:w="108" w:type="dxa"/>
            <w:bottom w:w="0" w:type="dxa"/>
            <w:right w:w="108" w:type="dxa"/>
          </w:tblCellMar>
        </w:tblPrEx>
        <w:trPr>
          <w:trHeight w:val="312"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0F01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12</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C45C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服务器操作系统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6324">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Windows Server 2022或以上</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5439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108E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393C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12</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BB5E3">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41F4DE46">
        <w:tblPrEx>
          <w:tblCellMar>
            <w:top w:w="0" w:type="dxa"/>
            <w:left w:w="108" w:type="dxa"/>
            <w:bottom w:w="0" w:type="dxa"/>
            <w:right w:w="108" w:type="dxa"/>
          </w:tblCellMar>
        </w:tblPrEx>
        <w:trPr>
          <w:trHeight w:val="312"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D34D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13</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91A5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SCADA组态开发软件</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5C115">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SCADA组态软件：完全版，15万点</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DCB2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亚控、力控、西门子、AB、AVEVA</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CF47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51CF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16679">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0F74AE66">
        <w:tblPrEx>
          <w:tblCellMar>
            <w:top w:w="0" w:type="dxa"/>
            <w:left w:w="108" w:type="dxa"/>
            <w:bottom w:w="0" w:type="dxa"/>
            <w:right w:w="108" w:type="dxa"/>
          </w:tblCellMar>
        </w:tblPrEx>
        <w:trPr>
          <w:trHeight w:val="936"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1FC3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14</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87E9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监控工作站</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BFE4A">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十四代I7及以上\标准ATX主板\32G\2T固态+4T企业级硬盘*2\6G独显\其它标配；配2块27寸或更大尺寸显示器</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287E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华为、浪潮、华硕、联想、戴尔</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4D16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D160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22</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1D920">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6CCD9A27">
        <w:tblPrEx>
          <w:tblCellMar>
            <w:top w:w="0" w:type="dxa"/>
            <w:left w:w="108" w:type="dxa"/>
            <w:bottom w:w="0" w:type="dxa"/>
            <w:right w:w="108" w:type="dxa"/>
          </w:tblCellMar>
        </w:tblPrEx>
        <w:trPr>
          <w:trHeight w:val="312"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285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15</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D6BD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工作站操作系统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ED5FB">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Windows 10 或以上</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3111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8ABC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64B7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22</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1BFDD">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5DAE17F0">
        <w:tblPrEx>
          <w:tblCellMar>
            <w:top w:w="0" w:type="dxa"/>
            <w:left w:w="108" w:type="dxa"/>
            <w:bottom w:w="0" w:type="dxa"/>
            <w:right w:w="108" w:type="dxa"/>
          </w:tblCellMar>
        </w:tblPrEx>
        <w:trPr>
          <w:trHeight w:val="312"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BF36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63A2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SCADA组态运行软件</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A6B09">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SCADA组态软件：客户端</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FFDB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亚控、力控、西门子、AB、AVEVA</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9EA5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5481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22</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380DA">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19CD22D6">
        <w:tblPrEx>
          <w:tblCellMar>
            <w:top w:w="0" w:type="dxa"/>
            <w:left w:w="108" w:type="dxa"/>
            <w:bottom w:w="0" w:type="dxa"/>
            <w:right w:w="108" w:type="dxa"/>
          </w:tblCellMar>
        </w:tblPrEx>
        <w:trPr>
          <w:trHeight w:val="624"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D1C8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17</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E6BA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集控中心辅材</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9D83">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含开关、插座、直流电源、高清数据线、网线、防雷器等</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C33D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6220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8A61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D8D1B">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43AEC177">
        <w:tblPrEx>
          <w:tblCellMar>
            <w:top w:w="0" w:type="dxa"/>
            <w:left w:w="108" w:type="dxa"/>
            <w:bottom w:w="0" w:type="dxa"/>
            <w:right w:w="108" w:type="dxa"/>
          </w:tblCellMar>
        </w:tblPrEx>
        <w:trPr>
          <w:trHeight w:val="624"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4961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18</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460C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数据采集服务器</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6D4D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工控服务器双网口/1U机架式/ 至强 E-2356G 16G/512G SSD</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8ADE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华为、浪潮、华硕、联想、戴尔</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2B8C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1F7F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37</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29D48">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0BFD445F">
        <w:tblPrEx>
          <w:tblCellMar>
            <w:top w:w="0" w:type="dxa"/>
            <w:left w:w="108" w:type="dxa"/>
            <w:bottom w:w="0" w:type="dxa"/>
            <w:right w:w="108" w:type="dxa"/>
          </w:tblCellMar>
        </w:tblPrEx>
        <w:trPr>
          <w:trHeight w:val="312"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2B7E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19</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21D5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数据采集软件1万点</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C7D0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IOServer数据采集软件：1万数据点</w:t>
            </w:r>
          </w:p>
        </w:tc>
        <w:tc>
          <w:tcPr>
            <w:tcW w:w="1253" w:type="dxa"/>
            <w:vMerge w:val="restart"/>
            <w:tcBorders>
              <w:top w:val="single" w:color="000000" w:sz="4" w:space="0"/>
              <w:left w:val="single" w:color="000000" w:sz="4" w:space="0"/>
              <w:right w:val="single" w:color="000000" w:sz="4" w:space="0"/>
            </w:tcBorders>
            <w:shd w:val="clear" w:color="auto" w:fill="auto"/>
            <w:noWrap/>
            <w:vAlign w:val="center"/>
          </w:tcPr>
          <w:p w14:paraId="342F695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亚控、力控、Kepware</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7AB8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F449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8</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97C24">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388751D9">
        <w:tblPrEx>
          <w:tblCellMar>
            <w:top w:w="0" w:type="dxa"/>
            <w:left w:w="108" w:type="dxa"/>
            <w:bottom w:w="0" w:type="dxa"/>
            <w:right w:w="108" w:type="dxa"/>
          </w:tblCellMar>
        </w:tblPrEx>
        <w:trPr>
          <w:trHeight w:val="312"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A6D1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20</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7163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数据采集软件2万点</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D9CE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IOServer数据采集软件：2万数据点</w:t>
            </w:r>
          </w:p>
        </w:tc>
        <w:tc>
          <w:tcPr>
            <w:tcW w:w="1253" w:type="dxa"/>
            <w:vMerge w:val="continue"/>
            <w:tcBorders>
              <w:left w:val="single" w:color="000000" w:sz="4" w:space="0"/>
              <w:right w:val="single" w:color="000000" w:sz="4" w:space="0"/>
            </w:tcBorders>
            <w:shd w:val="clear" w:color="auto" w:fill="auto"/>
            <w:noWrap/>
            <w:vAlign w:val="center"/>
          </w:tcPr>
          <w:p w14:paraId="40B041E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5C47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2E49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18</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1A856">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39F953F9">
        <w:tblPrEx>
          <w:tblCellMar>
            <w:top w:w="0" w:type="dxa"/>
            <w:left w:w="108" w:type="dxa"/>
            <w:bottom w:w="0" w:type="dxa"/>
            <w:right w:w="108" w:type="dxa"/>
          </w:tblCellMar>
        </w:tblPrEx>
        <w:trPr>
          <w:trHeight w:val="312"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F995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21</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FCDC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数据采集软件3万点</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1FDB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IOServer数据采集软件：3万数据点</w:t>
            </w:r>
          </w:p>
        </w:tc>
        <w:tc>
          <w:tcPr>
            <w:tcW w:w="1253" w:type="dxa"/>
            <w:vMerge w:val="continue"/>
            <w:tcBorders>
              <w:left w:val="single" w:color="000000" w:sz="4" w:space="0"/>
              <w:right w:val="single" w:color="000000" w:sz="4" w:space="0"/>
            </w:tcBorders>
            <w:shd w:val="clear" w:color="auto" w:fill="auto"/>
            <w:noWrap/>
            <w:vAlign w:val="center"/>
          </w:tcPr>
          <w:p w14:paraId="32FCBAD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0002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EF01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10</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33BF3">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086A201F">
        <w:tblPrEx>
          <w:tblCellMar>
            <w:top w:w="0" w:type="dxa"/>
            <w:left w:w="108" w:type="dxa"/>
            <w:bottom w:w="0" w:type="dxa"/>
            <w:right w:w="108" w:type="dxa"/>
          </w:tblCellMar>
        </w:tblPrEx>
        <w:trPr>
          <w:trHeight w:val="312"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39AA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22</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2263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数据采集软件6万点</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4536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IOServer数据采集软件：6万数据点</w:t>
            </w:r>
          </w:p>
        </w:tc>
        <w:tc>
          <w:tcPr>
            <w:tcW w:w="1253" w:type="dxa"/>
            <w:vMerge w:val="continue"/>
            <w:tcBorders>
              <w:left w:val="single" w:color="000000" w:sz="4" w:space="0"/>
              <w:bottom w:val="single" w:color="000000" w:sz="4" w:space="0"/>
              <w:right w:val="single" w:color="000000" w:sz="4" w:space="0"/>
            </w:tcBorders>
            <w:shd w:val="clear" w:color="auto" w:fill="auto"/>
            <w:noWrap/>
            <w:vAlign w:val="center"/>
          </w:tcPr>
          <w:p w14:paraId="3F7FED8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058E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20D8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5BAFA">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194ACB7A">
        <w:tblPrEx>
          <w:tblCellMar>
            <w:top w:w="0" w:type="dxa"/>
            <w:left w:w="108" w:type="dxa"/>
            <w:bottom w:w="0" w:type="dxa"/>
            <w:right w:w="108" w:type="dxa"/>
          </w:tblCellMar>
        </w:tblPrEx>
        <w:trPr>
          <w:trHeight w:val="936"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C22A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23</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69CE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中心工业安全防火墙</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8D8AE">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2U机架式，冗余电源，集成IPS，防病毒，应用识别功能；防火墙吞吐量≥20Gbps，最大并发连接数≥200万，每秒新建连接数≥2万；</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EA51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威努特、深信服、华三、天融信、奇安信</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A933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D316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49FF4">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01615D9D">
        <w:tblPrEx>
          <w:tblCellMar>
            <w:top w:w="0" w:type="dxa"/>
            <w:left w:w="108" w:type="dxa"/>
            <w:bottom w:w="0" w:type="dxa"/>
            <w:right w:w="108" w:type="dxa"/>
          </w:tblCellMar>
        </w:tblPrEx>
        <w:trPr>
          <w:trHeight w:val="624"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2FF7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24</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8BBD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厂级工业安全防火墙</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A32B4">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1U机架式，网络吞吐量≥1G，并发连接≥300000</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8542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威努特、深信服、华三、天融信、奇安信</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FF07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2496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37</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19F81">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35BB5F6C">
        <w:tblPrEx>
          <w:tblCellMar>
            <w:top w:w="0" w:type="dxa"/>
            <w:left w:w="108" w:type="dxa"/>
            <w:bottom w:w="0" w:type="dxa"/>
            <w:right w:w="108" w:type="dxa"/>
          </w:tblCellMar>
        </w:tblPrEx>
        <w:trPr>
          <w:trHeight w:val="624"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6601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25</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907F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数据库审计系统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AA2C7">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2U机架式，SQL处理能力：≥10000条/s，SQL存储能力：≥35亿条</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FA4B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威努特、深信服、华三、天融信、奇安信</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8403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11FA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2D1CF">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3EB5C550">
        <w:tblPrEx>
          <w:tblCellMar>
            <w:top w:w="0" w:type="dxa"/>
            <w:left w:w="108" w:type="dxa"/>
            <w:bottom w:w="0" w:type="dxa"/>
            <w:right w:w="108" w:type="dxa"/>
          </w:tblCellMar>
        </w:tblPrEx>
        <w:trPr>
          <w:trHeight w:val="312"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40C1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D839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工业态势感知</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B2077">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2U机架式；冗余电源；≥4T硬盘</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C34A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威努特、深信服、华三、天融信、奇安信</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5ACF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8BE8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8447C">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749A1E16">
        <w:tblPrEx>
          <w:tblCellMar>
            <w:top w:w="0" w:type="dxa"/>
            <w:left w:w="108" w:type="dxa"/>
            <w:bottom w:w="0" w:type="dxa"/>
            <w:right w:w="108" w:type="dxa"/>
          </w:tblCellMar>
        </w:tblPrEx>
        <w:trPr>
          <w:trHeight w:val="624"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B85D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27</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F472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入侵检测系统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8D763">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2U机架式，冗余电源，网络吞吐率≥20G，并发连接数：≥200万</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6A76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威努特、深信服、华三、天融信、奇安信</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337C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CB62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38F9F">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40EF1720">
        <w:tblPrEx>
          <w:tblCellMar>
            <w:top w:w="0" w:type="dxa"/>
            <w:left w:w="108" w:type="dxa"/>
            <w:bottom w:w="0" w:type="dxa"/>
            <w:right w:w="108" w:type="dxa"/>
          </w:tblCellMar>
        </w:tblPrEx>
        <w:trPr>
          <w:trHeight w:val="312"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BE01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28</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A454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安全运维管理系统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F5305">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2U机架式，默认≥50点授权</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7D10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威努特、深信服、华三、天融信、奇安信</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D0A7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A678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5FD32">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3E875CD8">
        <w:tblPrEx>
          <w:tblCellMar>
            <w:top w:w="0" w:type="dxa"/>
            <w:left w:w="108" w:type="dxa"/>
            <w:bottom w:w="0" w:type="dxa"/>
            <w:right w:w="108" w:type="dxa"/>
          </w:tblCellMar>
        </w:tblPrEx>
        <w:trPr>
          <w:trHeight w:val="624"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4979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29</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A325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日志审计与分析系统</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51DD5">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2U机架式，双电源，系统默认≥30点授权，日志处理能力≥10000EPS</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5FB2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威努特、深信服、华三、天融信、奇安信</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C84D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5EDF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9E385">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50170BB3">
        <w:tblPrEx>
          <w:tblCellMar>
            <w:top w:w="0" w:type="dxa"/>
            <w:left w:w="108" w:type="dxa"/>
            <w:bottom w:w="0" w:type="dxa"/>
            <w:right w:w="108" w:type="dxa"/>
          </w:tblCellMar>
        </w:tblPrEx>
        <w:trPr>
          <w:trHeight w:val="312"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4F86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30</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A99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统一安全管理平台</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B5FC9">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2U机架式，双电源，≥4T硬盘，日志处理能力≥2000EPS，关联分析能力≥800EPS</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C7AF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威努特、深信服、华三、天融信、奇安信</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80C5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B36C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B45B5">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1989F8C1">
        <w:tblPrEx>
          <w:tblCellMar>
            <w:top w:w="0" w:type="dxa"/>
            <w:left w:w="108" w:type="dxa"/>
            <w:bottom w:w="0" w:type="dxa"/>
            <w:right w:w="108" w:type="dxa"/>
          </w:tblCellMar>
        </w:tblPrEx>
        <w:trPr>
          <w:trHeight w:val="312"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3111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31</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D787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工控主机卫士软件</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174B0">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工控主机卫士网络版基础软件</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4E99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威努特、深信服、华三、天融信、奇安信</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E0FB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595C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71</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1B0AC">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1F1299C3">
        <w:tblPrEx>
          <w:tblCellMar>
            <w:top w:w="0" w:type="dxa"/>
            <w:left w:w="108" w:type="dxa"/>
            <w:bottom w:w="0" w:type="dxa"/>
            <w:right w:w="108" w:type="dxa"/>
          </w:tblCellMar>
        </w:tblPrEx>
        <w:trPr>
          <w:trHeight w:val="702" w:hRule="atLeast"/>
          <w:jc w:val="center"/>
        </w:trPr>
        <w:tc>
          <w:tcPr>
            <w:tcW w:w="9939"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5783A">
            <w:pPr>
              <w:keepNext w:val="0"/>
              <w:keepLines w:val="0"/>
              <w:widowControl/>
              <w:suppressLineNumbers w:val="0"/>
              <w:spacing w:before="0" w:beforeAutospacing="0" w:after="0" w:afterAutospacing="0"/>
              <w:ind w:left="0" w:right="0"/>
              <w:jc w:val="center"/>
              <w:textAlignment w:val="center"/>
              <w:rPr>
                <w:rFonts w:hint="eastAsia" w:ascii="Microsoft YaHei UI" w:hAnsi="Microsoft YaHei UI" w:eastAsia="Microsoft YaHei UI" w:cs="Microsoft YaHei UI"/>
                <w:b/>
                <w:bCs/>
                <w:color w:val="auto"/>
                <w:kern w:val="0"/>
                <w:sz w:val="20"/>
                <w:szCs w:val="20"/>
                <w:highlight w:val="none"/>
                <w:lang w:eastAsia="zh-CN" w:bidi="ar"/>
              </w:rPr>
            </w:pPr>
            <w:r>
              <w:rPr>
                <w:rFonts w:hint="eastAsia" w:ascii="Microsoft YaHei UI" w:hAnsi="Microsoft YaHei UI" w:eastAsia="Microsoft YaHei UI" w:cs="Microsoft YaHei UI"/>
                <w:b/>
                <w:bCs/>
                <w:color w:val="auto"/>
                <w:kern w:val="0"/>
                <w:sz w:val="20"/>
                <w:szCs w:val="20"/>
                <w:highlight w:val="none"/>
                <w:lang w:eastAsia="zh-CN" w:bidi="ar"/>
              </w:rPr>
              <w:t>二、组态开发及安装调试</w:t>
            </w:r>
          </w:p>
        </w:tc>
      </w:tr>
      <w:tr w14:paraId="1892DDBC">
        <w:tblPrEx>
          <w:tblCellMar>
            <w:top w:w="0" w:type="dxa"/>
            <w:left w:w="108" w:type="dxa"/>
            <w:bottom w:w="0" w:type="dxa"/>
            <w:right w:w="108" w:type="dxa"/>
          </w:tblCellMar>
        </w:tblPrEx>
        <w:trPr>
          <w:trHeight w:val="1248"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5A44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32</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EEB8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集控中心数据采集及报表</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082DC">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数据服务器数据采集开发；报表根据客户要求定制开发，满足客户业务需要（包括但不限于：日、月、年生产数据报表，运行报表等）</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702D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5615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362D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8805A">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14C6E66C">
        <w:tblPrEx>
          <w:tblCellMar>
            <w:top w:w="0" w:type="dxa"/>
            <w:left w:w="108" w:type="dxa"/>
            <w:bottom w:w="0" w:type="dxa"/>
            <w:right w:w="108" w:type="dxa"/>
          </w:tblCellMar>
        </w:tblPrEx>
        <w:trPr>
          <w:trHeight w:val="624"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6259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33</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B4F0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集控中心总画面</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AACA">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集控中心总画面：总体分布、数据展示、数据统计等</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A91F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B50E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1409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8045F">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20F85DB5">
        <w:tblPrEx>
          <w:tblCellMar>
            <w:top w:w="0" w:type="dxa"/>
            <w:left w:w="108" w:type="dxa"/>
            <w:bottom w:w="0" w:type="dxa"/>
            <w:right w:w="108" w:type="dxa"/>
          </w:tblCellMar>
        </w:tblPrEx>
        <w:trPr>
          <w:trHeight w:val="624"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47B0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34</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8F54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各厂站画面</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D9B3">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各厂远程监视和控制，工艺和数据展示、曲线趋势图、告警预警等功能</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CBBC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BDD6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DF34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45</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817C5">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17836C01">
        <w:tblPrEx>
          <w:tblCellMar>
            <w:top w:w="0" w:type="dxa"/>
            <w:left w:w="108" w:type="dxa"/>
            <w:bottom w:w="0" w:type="dxa"/>
            <w:right w:w="108" w:type="dxa"/>
          </w:tblCellMar>
        </w:tblPrEx>
        <w:trPr>
          <w:trHeight w:val="624"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690B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35</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F93A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现场数据采集服务</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31299">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各厂现场数据采集、数据标签核对、参数配置</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DA0D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4D13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5D0B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37</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079AF">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03D43C66">
        <w:tblPrEx>
          <w:tblCellMar>
            <w:top w:w="0" w:type="dxa"/>
            <w:left w:w="108" w:type="dxa"/>
            <w:bottom w:w="0" w:type="dxa"/>
            <w:right w:w="108" w:type="dxa"/>
          </w:tblCellMar>
        </w:tblPrEx>
        <w:trPr>
          <w:trHeight w:val="624"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9075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D0D3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技术服务</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27AB7">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系统集成、调试、试运行、培训、保质期维护</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624C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E421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F399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340DD">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r w14:paraId="55EEF8B6">
        <w:tblPrEx>
          <w:tblCellMar>
            <w:top w:w="0" w:type="dxa"/>
            <w:left w:w="108" w:type="dxa"/>
            <w:bottom w:w="0" w:type="dxa"/>
            <w:right w:w="108" w:type="dxa"/>
          </w:tblCellMar>
        </w:tblPrEx>
        <w:trPr>
          <w:trHeight w:val="312"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C277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37</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5F73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安装、调试服务</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42AE8">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A2FE7">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6572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3C53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3379A">
            <w:pPr>
              <w:keepNext w:val="0"/>
              <w:keepLines w:val="0"/>
              <w:suppressLineNumbers w:val="0"/>
              <w:spacing w:before="0" w:beforeAutospacing="0" w:after="0" w:afterAutospacing="0"/>
              <w:ind w:left="0" w:right="0"/>
              <w:jc w:val="center"/>
              <w:rPr>
                <w:rFonts w:hint="default" w:ascii="宋体" w:hAnsi="宋体" w:eastAsia="宋体" w:cs="宋体"/>
                <w:color w:val="auto"/>
                <w:sz w:val="20"/>
                <w:szCs w:val="20"/>
                <w:highlight w:val="none"/>
              </w:rPr>
            </w:pPr>
          </w:p>
        </w:tc>
      </w:tr>
    </w:tbl>
    <w:p w14:paraId="77D0512A">
      <w:pPr>
        <w:spacing w:line="360" w:lineRule="auto"/>
        <w:rPr>
          <w:rFonts w:ascii="Times New Roman" w:hAnsi="Times New Roman" w:eastAsia="宋体" w:cs="Times New Roman"/>
          <w:color w:val="auto"/>
          <w:szCs w:val="24"/>
          <w:highlight w:val="none"/>
        </w:rPr>
      </w:pPr>
    </w:p>
    <w:p w14:paraId="6BE81BBB">
      <w:pPr>
        <w:keepNext/>
        <w:keepLines/>
        <w:numPr>
          <w:ilvl w:val="1"/>
          <w:numId w:val="23"/>
        </w:numPr>
        <w:adjustRightInd w:val="0"/>
        <w:snapToGrid w:val="0"/>
        <w:spacing w:line="360" w:lineRule="auto"/>
        <w:ind w:firstLine="426"/>
        <w:outlineLvl w:val="1"/>
        <w:rPr>
          <w:rFonts w:ascii="Times New Roman" w:hAnsi="Times New Roman" w:eastAsia="宋体" w:cs="Times New Roman"/>
          <w:b/>
          <w:bCs/>
          <w:color w:val="auto"/>
          <w:szCs w:val="21"/>
          <w:highlight w:val="none"/>
        </w:rPr>
      </w:pPr>
      <w:bookmarkStart w:id="509" w:name="_Toc18430"/>
      <w:bookmarkStart w:id="510" w:name="_Toc195714309"/>
      <w:r>
        <w:rPr>
          <w:rFonts w:ascii="Times New Roman" w:hAnsi="Times New Roman" w:eastAsia="宋体" w:cs="Times New Roman"/>
          <w:b/>
          <w:bCs/>
          <w:color w:val="auto"/>
          <w:szCs w:val="21"/>
          <w:highlight w:val="none"/>
        </w:rPr>
        <w:t>供货及安装界限</w:t>
      </w:r>
      <w:bookmarkEnd w:id="509"/>
      <w:bookmarkEnd w:id="510"/>
    </w:p>
    <w:p w14:paraId="7283EE5B">
      <w:pPr>
        <w:numPr>
          <w:ilvl w:val="0"/>
          <w:numId w:val="24"/>
        </w:numPr>
        <w:spacing w:line="360" w:lineRule="auto"/>
        <w:ind w:firstLine="420" w:firstLineChars="200"/>
        <w:rPr>
          <w:rFonts w:ascii="Times New Roman" w:hAnsi="Times New Roman" w:eastAsia="宋体" w:cs="等线"/>
          <w:color w:val="auto"/>
          <w:szCs w:val="21"/>
          <w:highlight w:val="none"/>
        </w:rPr>
      </w:pPr>
      <w:r>
        <w:rPr>
          <w:rFonts w:hint="eastAsia" w:ascii="Times New Roman" w:hAnsi="Times New Roman" w:eastAsia="宋体" w:cs="等线"/>
          <w:color w:val="auto"/>
          <w:szCs w:val="21"/>
          <w:highlight w:val="none"/>
        </w:rPr>
        <w:t>中标人提供清单货物及服务。</w:t>
      </w:r>
    </w:p>
    <w:p w14:paraId="55CE4B3A">
      <w:pPr>
        <w:numPr>
          <w:ilvl w:val="0"/>
          <w:numId w:val="24"/>
        </w:numPr>
        <w:spacing w:line="360" w:lineRule="auto"/>
        <w:ind w:firstLine="420" w:firstLineChars="200"/>
        <w:rPr>
          <w:rFonts w:ascii="Times New Roman" w:hAnsi="Times New Roman" w:eastAsia="宋体" w:cs="Times New Roman"/>
          <w:color w:val="auto"/>
          <w:szCs w:val="32"/>
          <w:highlight w:val="none"/>
        </w:rPr>
      </w:pPr>
      <w:r>
        <w:rPr>
          <w:rFonts w:hint="eastAsia" w:ascii="Times New Roman" w:hAnsi="Times New Roman" w:eastAsia="宋体" w:cs="Times New Roman"/>
          <w:color w:val="auto"/>
          <w:szCs w:val="24"/>
          <w:highlight w:val="none"/>
        </w:rPr>
        <w:t>中标人</w:t>
      </w:r>
      <w:r>
        <w:rPr>
          <w:rFonts w:hint="eastAsia" w:ascii="Times New Roman" w:hAnsi="Times New Roman" w:eastAsia="宋体" w:cs="Times New Roman"/>
          <w:color w:val="auto"/>
          <w:szCs w:val="32"/>
          <w:highlight w:val="none"/>
        </w:rPr>
        <w:t>负责所供货物的运输、安装、系统升级、系统调试、现状排查、设备通讯、设备编程、旧设备拆除、验收及售后服务。</w:t>
      </w:r>
    </w:p>
    <w:p w14:paraId="5E126B5F">
      <w:pPr>
        <w:widowControl/>
        <w:numPr>
          <w:ilvl w:val="0"/>
          <w:numId w:val="24"/>
        </w:numPr>
        <w:spacing w:line="360" w:lineRule="auto"/>
        <w:ind w:firstLine="420" w:firstLineChars="200"/>
        <w:jc w:val="left"/>
        <w:rPr>
          <w:rFonts w:ascii="Times New Roman" w:hAnsi="Times New Roman" w:eastAsia="宋体" w:cs="Times New Roman"/>
          <w:color w:val="auto"/>
          <w:szCs w:val="21"/>
          <w:highlight w:val="none"/>
        </w:rPr>
      </w:pPr>
      <w:r>
        <w:rPr>
          <w:rFonts w:hint="eastAsia" w:ascii="Times New Roman" w:hAnsi="Times New Roman" w:eastAsia="宋体" w:cs="等线"/>
          <w:color w:val="auto"/>
          <w:szCs w:val="21"/>
          <w:highlight w:val="none"/>
        </w:rPr>
        <w:t>中标人负责供货的自动化系统的安装、调试及联网。自动化系统安装施工期间，中标人需服从招标人的总体管理，如有影响污水处理厂及提标项目现有网络及生产设备正常工作的情况需先向招标人权属污水厂报备。</w:t>
      </w:r>
    </w:p>
    <w:p w14:paraId="3C4BA152">
      <w:pPr>
        <w:widowControl/>
        <w:numPr>
          <w:ilvl w:val="0"/>
          <w:numId w:val="24"/>
        </w:numPr>
        <w:spacing w:line="360" w:lineRule="auto"/>
        <w:ind w:firstLine="420" w:firstLineChars="200"/>
        <w:jc w:val="left"/>
        <w:rPr>
          <w:rFonts w:ascii="Times New Roman" w:hAnsi="Times New Roman" w:eastAsia="宋体" w:cs="Times New Roman"/>
          <w:color w:val="auto"/>
          <w:szCs w:val="21"/>
          <w:highlight w:val="none"/>
        </w:rPr>
      </w:pPr>
      <w:r>
        <w:rPr>
          <w:rFonts w:hint="eastAsia" w:ascii="Times New Roman" w:hAnsi="Times New Roman" w:eastAsia="宋体" w:cs="等线"/>
          <w:color w:val="auto"/>
          <w:szCs w:val="21"/>
          <w:highlight w:val="none"/>
        </w:rPr>
        <w:t>中标人负责包括但不限于机房的网络接入、电缆敷设、机柜接电等工作，招标人提供调度指挥中心的机房总配电柜、隔断砌墙和室内装修（按C级机房建设标准）。</w:t>
      </w:r>
    </w:p>
    <w:p w14:paraId="23DC1A40">
      <w:pPr>
        <w:widowControl/>
        <w:numPr>
          <w:ilvl w:val="0"/>
          <w:numId w:val="24"/>
        </w:numPr>
        <w:spacing w:line="360" w:lineRule="auto"/>
        <w:ind w:firstLine="420" w:firstLineChars="200"/>
        <w:jc w:val="left"/>
        <w:rPr>
          <w:rFonts w:ascii="Times New Roman" w:hAnsi="Times New Roman" w:eastAsia="宋体" w:cs="Times New Roman"/>
          <w:color w:val="auto"/>
          <w:szCs w:val="24"/>
          <w:highlight w:val="none"/>
        </w:rPr>
      </w:pPr>
      <w:r>
        <w:rPr>
          <w:rFonts w:hint="eastAsia" w:ascii="Times New Roman" w:hAnsi="Times New Roman" w:eastAsia="宋体" w:cs="等线"/>
          <w:color w:val="auto"/>
          <w:szCs w:val="21"/>
          <w:highlight w:val="none"/>
        </w:rPr>
        <w:t>本项目质保期内</w:t>
      </w:r>
      <w:r>
        <w:rPr>
          <w:rFonts w:hint="eastAsia" w:ascii="Times New Roman" w:hAnsi="Times New Roman" w:eastAsia="宋体" w:cs="等线"/>
          <w:color w:val="auto"/>
          <w:szCs w:val="21"/>
          <w:highlight w:val="none"/>
          <w:lang w:eastAsia="zh-CN"/>
        </w:rPr>
        <w:t>，</w:t>
      </w:r>
      <w:r>
        <w:rPr>
          <w:rFonts w:hint="default" w:ascii="Times New Roman" w:hAnsi="Times New Roman" w:eastAsia="宋体" w:cs="等线"/>
          <w:color w:val="auto"/>
          <w:szCs w:val="21"/>
          <w:highlight w:val="none"/>
          <w:lang w:val="en-US"/>
        </w:rPr>
        <w:t>若</w:t>
      </w:r>
      <w:r>
        <w:rPr>
          <w:rFonts w:hint="eastAsia" w:ascii="Times New Roman" w:hAnsi="Times New Roman" w:eastAsia="宋体" w:cs="等线"/>
          <w:color w:val="auto"/>
          <w:szCs w:val="21"/>
          <w:highlight w:val="none"/>
          <w:lang w:val="en-US" w:eastAsia="zh-CN"/>
        </w:rPr>
        <w:t>存在清单中（表1.2.1-1 污水处理厂统计表）</w:t>
      </w:r>
      <w:r>
        <w:rPr>
          <w:rFonts w:hint="eastAsia" w:ascii="Times New Roman" w:hAnsi="Times New Roman" w:eastAsia="宋体" w:cs="等线"/>
          <w:color w:val="auto"/>
          <w:szCs w:val="21"/>
          <w:highlight w:val="none"/>
        </w:rPr>
        <w:t>污水处理厂自动化系统故障修复更新或新建项目竣工的自动化系统，须由中标人</w:t>
      </w:r>
      <w:r>
        <w:rPr>
          <w:rFonts w:hint="eastAsia" w:ascii="Times New Roman" w:hAnsi="Times New Roman" w:eastAsia="宋体" w:cs="等线"/>
          <w:color w:val="auto"/>
          <w:szCs w:val="21"/>
          <w:highlight w:val="none"/>
          <w:lang w:val="en-US" w:eastAsia="zh-CN"/>
        </w:rPr>
        <w:t>无偿</w:t>
      </w:r>
      <w:r>
        <w:rPr>
          <w:rFonts w:hint="eastAsia" w:ascii="Times New Roman" w:hAnsi="Times New Roman" w:eastAsia="宋体" w:cs="等线"/>
          <w:color w:val="auto"/>
          <w:szCs w:val="21"/>
          <w:highlight w:val="none"/>
        </w:rPr>
        <w:t>接入并调试以上自动化系统内容。</w:t>
      </w:r>
    </w:p>
    <w:p w14:paraId="4EC0267D">
      <w:pPr>
        <w:widowControl/>
        <w:numPr>
          <w:ilvl w:val="0"/>
          <w:numId w:val="24"/>
        </w:numPr>
        <w:spacing w:line="360" w:lineRule="auto"/>
        <w:ind w:firstLine="420" w:firstLineChars="200"/>
        <w:jc w:val="left"/>
        <w:rPr>
          <w:rFonts w:ascii="Times New Roman" w:hAnsi="Times New Roman" w:eastAsia="宋体" w:cs="Times New Roman"/>
          <w:color w:val="auto"/>
          <w:szCs w:val="24"/>
          <w:highlight w:val="none"/>
        </w:rPr>
      </w:pPr>
      <w:r>
        <w:rPr>
          <w:rFonts w:hint="eastAsia" w:ascii="Times New Roman" w:hAnsi="Times New Roman" w:eastAsia="宋体" w:cs="等线"/>
          <w:color w:val="auto"/>
          <w:szCs w:val="21"/>
          <w:highlight w:val="none"/>
        </w:rPr>
        <w:t>中标人在项目实施期间遇到因现场遗留故障或现有硬件配置不能满足招标文件、技术方案中功能要求的情况，中标人应在系统中预留相关功能及配置以便后续接入，并及时向招标人说明情况，编制书面文档。</w:t>
      </w:r>
    </w:p>
    <w:p w14:paraId="575F802D">
      <w:pPr>
        <w:widowControl/>
        <w:numPr>
          <w:ilvl w:val="0"/>
          <w:numId w:val="24"/>
        </w:numPr>
        <w:spacing w:line="360" w:lineRule="auto"/>
        <w:ind w:firstLine="420" w:firstLineChars="200"/>
        <w:jc w:val="left"/>
        <w:rPr>
          <w:rFonts w:ascii="Times New Roman" w:hAnsi="Times New Roman" w:eastAsia="宋体" w:cs="Times New Roman"/>
          <w:color w:val="auto"/>
          <w:szCs w:val="24"/>
          <w:highlight w:val="none"/>
        </w:rPr>
      </w:pPr>
      <w:r>
        <w:rPr>
          <w:rFonts w:hint="eastAsia" w:ascii="Times New Roman" w:hAnsi="Times New Roman" w:eastAsia="宋体" w:cs="等线"/>
          <w:color w:val="auto"/>
          <w:szCs w:val="21"/>
          <w:highlight w:val="none"/>
        </w:rPr>
        <w:t>中标人负责视频监控接入与系统画面嵌入视频监控接口，37个污水处理厂及21个提标项目的视频监控接口由招标人的视频管理应用提供，视频管理应用由招标人提供。</w:t>
      </w:r>
    </w:p>
    <w:p w14:paraId="68939AEA">
      <w:pPr>
        <w:widowControl/>
        <w:numPr>
          <w:ilvl w:val="0"/>
          <w:numId w:val="24"/>
        </w:numPr>
        <w:spacing w:line="360" w:lineRule="auto"/>
        <w:ind w:firstLine="420" w:firstLineChars="200"/>
        <w:jc w:val="left"/>
        <w:rPr>
          <w:rFonts w:ascii="Times New Roman" w:hAnsi="Times New Roman" w:eastAsia="宋体" w:cs="Times New Roman"/>
          <w:color w:val="auto"/>
          <w:szCs w:val="24"/>
          <w:highlight w:val="none"/>
        </w:rPr>
      </w:pPr>
      <w:r>
        <w:rPr>
          <w:rFonts w:hint="eastAsia" w:ascii="Times New Roman" w:hAnsi="Times New Roman" w:eastAsia="宋体" w:cs="等线"/>
          <w:color w:val="auto"/>
          <w:szCs w:val="21"/>
          <w:highlight w:val="none"/>
        </w:rPr>
        <w:t>调度指挥中心内配置一套大屏幕系统及配套控制主机（由招标人另外采购），中标人负责将20台监控工作站显示信号输出接入大屏幕控制主机。</w:t>
      </w:r>
    </w:p>
    <w:p w14:paraId="6E0B659C">
      <w:pPr>
        <w:widowControl/>
        <w:numPr>
          <w:ilvl w:val="0"/>
          <w:numId w:val="24"/>
        </w:numPr>
        <w:spacing w:line="360" w:lineRule="auto"/>
        <w:ind w:firstLine="420" w:firstLineChars="200"/>
        <w:jc w:val="left"/>
        <w:rPr>
          <w:rFonts w:ascii="Times New Roman" w:hAnsi="Times New Roman" w:eastAsia="宋体" w:cs="Times New Roman"/>
          <w:color w:val="auto"/>
          <w:szCs w:val="24"/>
          <w:highlight w:val="none"/>
        </w:rPr>
      </w:pPr>
      <w:r>
        <w:rPr>
          <w:rFonts w:hint="eastAsia" w:ascii="Times New Roman" w:hAnsi="Times New Roman" w:eastAsia="宋体" w:cs="等线"/>
          <w:color w:val="auto"/>
          <w:szCs w:val="21"/>
          <w:highlight w:val="none"/>
        </w:rPr>
        <w:t>100M、10M和5G专线由招标人提供，中标人负责实现专线联网及自动切换功能，如出现某条线缆带宽不足的情况，中标人应及时向招标人反馈，由招标人升级专线带宽。</w:t>
      </w:r>
    </w:p>
    <w:p w14:paraId="272A13F1">
      <w:pPr>
        <w:widowControl/>
        <w:numPr>
          <w:ilvl w:val="0"/>
          <w:numId w:val="24"/>
        </w:numPr>
        <w:spacing w:line="360" w:lineRule="auto"/>
        <w:ind w:firstLine="420" w:firstLineChars="200"/>
        <w:jc w:val="left"/>
        <w:rPr>
          <w:rFonts w:ascii="Times New Roman" w:hAnsi="Times New Roman" w:eastAsia="宋体" w:cs="Times New Roman"/>
          <w:color w:val="auto"/>
          <w:szCs w:val="24"/>
          <w:highlight w:val="none"/>
        </w:rPr>
      </w:pPr>
      <w:r>
        <w:rPr>
          <w:rFonts w:hint="eastAsia" w:ascii="Times New Roman" w:hAnsi="Times New Roman" w:eastAsia="宋体" w:cs="等线"/>
          <w:color w:val="auto"/>
          <w:szCs w:val="21"/>
          <w:highlight w:val="none"/>
        </w:rPr>
        <w:t xml:space="preserve">中标人负责将管网、泵站数据通过东莞市水务集团管网有限公司提供的数据接口接入本项目系统。  </w:t>
      </w:r>
    </w:p>
    <w:p w14:paraId="5258070F">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w:t>
      </w:r>
      <w:r>
        <w:rPr>
          <w:rFonts w:ascii="Times New Roman" w:hAnsi="Times New Roman" w:eastAsia="宋体" w:cs="宋体"/>
          <w:b/>
          <w:color w:val="auto"/>
          <w:szCs w:val="21"/>
          <w:highlight w:val="none"/>
        </w:rPr>
        <w:t>.3.1</w:t>
      </w:r>
      <w:r>
        <w:rPr>
          <w:rFonts w:hint="eastAsia" w:ascii="Times New Roman" w:hAnsi="Times New Roman" w:eastAsia="宋体" w:cs="宋体"/>
          <w:b/>
          <w:color w:val="auto"/>
          <w:szCs w:val="21"/>
          <w:highlight w:val="none"/>
        </w:rPr>
        <w:t>其他工程量说明</w:t>
      </w:r>
    </w:p>
    <w:p w14:paraId="6558AD00">
      <w:pPr>
        <w:numPr>
          <w:ilvl w:val="0"/>
          <w:numId w:val="25"/>
        </w:num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中标人负责各污水处理厂及提标项目子系统的接入与调试，子系统包括但不限于成套设备及工艺段、精确曝气系统、精确加药系统、配电系统、视频监控系统等。</w:t>
      </w:r>
    </w:p>
    <w:p w14:paraId="4880CA20">
      <w:pPr>
        <w:numPr>
          <w:ilvl w:val="255"/>
          <w:numId w:val="0"/>
        </w:num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（2）中标人负责调度指挥中心客户端组态项目分配调试工作，招标人在项目质保期内有权要求中标人免费提供不限次数的客户端组态项目分配调试服务。</w:t>
      </w:r>
    </w:p>
    <w:p w14:paraId="7A32EB68">
      <w:pPr>
        <w:numPr>
          <w:ilvl w:val="255"/>
          <w:numId w:val="0"/>
        </w:num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（3）目前实施项目暂定为37个污水处理厂及21个提标项目，在项目实施期间因甲方原因出现项目数量变化的情况，可根据招标人要求新增或减少项目内容，费用变化根据合同规定的计价方式按实计算。</w:t>
      </w:r>
    </w:p>
    <w:p w14:paraId="05E86301">
      <w:pPr>
        <w:numPr>
          <w:ilvl w:val="255"/>
          <w:numId w:val="0"/>
        </w:num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（4）集中控制系统37个污水处理厂及21个提标项目的画面需重新编制，需做到画面风格的统一，最终效果以招标人要求为准，并且中标人应将招标人生产运营管理平台所需的画面按规定的格式要求提交给招标人。</w:t>
      </w:r>
    </w:p>
    <w:p w14:paraId="5FF45C4F">
      <w:pPr>
        <w:numPr>
          <w:ilvl w:val="255"/>
          <w:numId w:val="0"/>
        </w:numPr>
        <w:snapToGrid w:val="0"/>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宋体"/>
          <w:bCs/>
          <w:color w:val="auto"/>
          <w:szCs w:val="21"/>
          <w:highlight w:val="none"/>
        </w:rPr>
        <w:t>（5）中标人需使用消息队列传输方式将37各污水处理厂及21个提标项目生产数据（包括但不限于设备、仪表、能耗等相关生产数据）、报警信息定时发布，并提供招标人要求各项目详细、清晰且标准化的数据变量表，为招标人生产运营管理平台或其他信息化系统提供实时数据源。</w:t>
      </w:r>
    </w:p>
    <w:p w14:paraId="2A7EF0E3">
      <w:pPr>
        <w:keepNext/>
        <w:keepLines/>
        <w:numPr>
          <w:ilvl w:val="1"/>
          <w:numId w:val="23"/>
        </w:numPr>
        <w:adjustRightInd w:val="0"/>
        <w:snapToGrid w:val="0"/>
        <w:spacing w:line="360" w:lineRule="auto"/>
        <w:ind w:firstLine="426"/>
        <w:outlineLvl w:val="1"/>
        <w:rPr>
          <w:rFonts w:ascii="Times New Roman" w:hAnsi="Times New Roman" w:eastAsia="宋体" w:cs="Times New Roman"/>
          <w:b/>
          <w:bCs/>
          <w:color w:val="auto"/>
          <w:szCs w:val="21"/>
          <w:highlight w:val="none"/>
        </w:rPr>
      </w:pPr>
      <w:bookmarkStart w:id="511" w:name="_Toc195714310"/>
      <w:bookmarkStart w:id="512" w:name="_Toc14421"/>
      <w:r>
        <w:rPr>
          <w:rFonts w:ascii="Times New Roman" w:hAnsi="Times New Roman" w:eastAsia="宋体" w:cs="Times New Roman"/>
          <w:b/>
          <w:bCs/>
          <w:color w:val="auto"/>
          <w:szCs w:val="21"/>
          <w:highlight w:val="none"/>
        </w:rPr>
        <w:t>技术要求</w:t>
      </w:r>
      <w:bookmarkEnd w:id="511"/>
      <w:bookmarkEnd w:id="512"/>
    </w:p>
    <w:p w14:paraId="558F8A13">
      <w:pPr>
        <w:snapToGrid w:val="0"/>
        <w:spacing w:line="360" w:lineRule="auto"/>
        <w:outlineLvl w:val="2"/>
        <w:rPr>
          <w:rFonts w:ascii="Times New Roman" w:hAnsi="Times New Roman" w:eastAsia="宋体" w:cs="宋体"/>
          <w:b/>
          <w:color w:val="auto"/>
          <w:kern w:val="0"/>
          <w:szCs w:val="18"/>
          <w:highlight w:val="none"/>
        </w:rPr>
      </w:pPr>
      <w:bookmarkStart w:id="513" w:name="_Toc5868"/>
      <w:bookmarkStart w:id="514" w:name="_Toc195714311"/>
      <w:r>
        <w:rPr>
          <w:rFonts w:hint="eastAsia" w:ascii="Times New Roman" w:hAnsi="Times New Roman" w:eastAsia="宋体" w:cs="宋体"/>
          <w:b/>
          <w:color w:val="auto"/>
          <w:kern w:val="0"/>
          <w:szCs w:val="18"/>
          <w:highlight w:val="none"/>
        </w:rPr>
        <w:t>2.4.1系统配置要求</w:t>
      </w:r>
      <w:bookmarkEnd w:id="513"/>
      <w:bookmarkEnd w:id="514"/>
      <w:bookmarkStart w:id="515" w:name="_Toc419661324"/>
    </w:p>
    <w:p w14:paraId="106ECB91">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2.4.1.1</w:t>
      </w:r>
      <w:bookmarkEnd w:id="515"/>
      <w:r>
        <w:rPr>
          <w:rFonts w:hint="eastAsia" w:ascii="Times New Roman" w:hAnsi="Times New Roman" w:eastAsia="宋体" w:cs="宋体"/>
          <w:b/>
          <w:color w:val="auto"/>
          <w:szCs w:val="21"/>
          <w:highlight w:val="none"/>
        </w:rPr>
        <w:t>监控工作站</w:t>
      </w:r>
    </w:p>
    <w:p w14:paraId="2539205A">
      <w:pPr>
        <w:spacing w:line="360" w:lineRule="auto"/>
        <w:ind w:left="420" w:left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1）CPU为英特尔酷睿十四代i7处理器及以上， 16核心24线程，基频3.4GHz以上，散热器支持CPU功率150瓦或以上；</w:t>
      </w:r>
    </w:p>
    <w:p w14:paraId="1838DA39">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2）标准ATX主板，支持PCIe5.0、PCIe4.0，支持4路DDR5内存，使用Z790或更高规格芯片组；</w:t>
      </w:r>
    </w:p>
    <w:p w14:paraId="505BCE2E">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3）32GB DDR5内存，频率不低于6000MHz，带散热马甲；</w:t>
      </w:r>
    </w:p>
    <w:p w14:paraId="5603FC7A">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4）带独立显卡，显卡内存6GB及以上，支持至少3路4K 60Hz视频输出，芯片规格不低于NVIDIA RTX4060或A2000；</w:t>
      </w:r>
    </w:p>
    <w:p w14:paraId="2B9415C2">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5）2TB固态硬盘M.2接口，NVMe协助支持PCIe4.0，顺序读取速度不低于7000MB/s，顺序写入速度不低于5000MB/s，写入寿命不低于1200TBW，工作温度0~70℃，保存温度-40~85摄氏度；</w:t>
      </w:r>
    </w:p>
    <w:p w14:paraId="1D6EF396">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内置2块SATA硬盘：企业级硬盘，4TB容量*2，550TB/年工作负载，MTBF不低于200万小时；</w:t>
      </w:r>
    </w:p>
    <w:p w14:paraId="34EA581F">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6）全尺寸键盘+人体工程学鼠标，电池寿命不低于18个月，支持2.4G无线；</w:t>
      </w:r>
    </w:p>
    <w:p w14:paraId="32D44475">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7）语音卡及扬声器；</w:t>
      </w:r>
    </w:p>
    <w:p w14:paraId="1053DA60">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8）16X DVDRW光驱（可为外置光驱）；</w:t>
      </w:r>
    </w:p>
    <w:p w14:paraId="7265B9E6">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9）10/100/1000 Base-T(X)以太网卡；</w:t>
      </w:r>
    </w:p>
    <w:p w14:paraId="252062A2">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10）电源额定功率</w:t>
      </w:r>
      <w:r>
        <w:rPr>
          <w:rFonts w:hint="eastAsia" w:ascii="Times New Roman" w:hAnsi="Times New Roman" w:eastAsia="宋体" w:cs="宋体"/>
          <w:bCs/>
          <w:color w:val="auto"/>
          <w:szCs w:val="21"/>
          <w:highlight w:val="none"/>
        </w:rPr>
        <w:t>≥750w；80PLUS认证不低于金牌，电源效率≥90%；</w:t>
      </w:r>
    </w:p>
    <w:p w14:paraId="47E39D6F">
      <w:pPr>
        <w:spacing w:line="360" w:lineRule="auto"/>
        <w:ind w:firstLine="422" w:firstLineChars="200"/>
        <w:rPr>
          <w:rFonts w:ascii="Times New Roman" w:hAnsi="Times New Roman" w:eastAsia="宋体" w:cs="宋体"/>
          <w:color w:val="auto"/>
          <w:szCs w:val="21"/>
          <w:highlight w:val="none"/>
        </w:rPr>
      </w:pPr>
      <w:r>
        <w:rPr>
          <w:rFonts w:ascii="Times New Roman" w:hAnsi="Times New Roman" w:eastAsia="宋体" w:cs="Times New Roman"/>
          <w:b/>
          <w:color w:val="auto"/>
          <w:szCs w:val="21"/>
          <w:highlight w:val="none"/>
        </w:rPr>
        <w:t>★</w:t>
      </w:r>
      <w:r>
        <w:rPr>
          <w:rFonts w:hint="eastAsia" w:ascii="Times New Roman" w:hAnsi="Times New Roman" w:eastAsia="宋体" w:cs="宋体"/>
          <w:color w:val="auto"/>
          <w:szCs w:val="21"/>
          <w:highlight w:val="none"/>
        </w:rPr>
        <w:t>11）搭配2块27寸或更大尺寸显示器，支持双桌面配置，支持4K分辨率，刷新率≥60Hz，窄边框，两块屏幕型号必须相同；</w:t>
      </w:r>
    </w:p>
    <w:p w14:paraId="1EB8A358">
      <w:pPr>
        <w:snapToGrid w:val="0"/>
        <w:spacing w:line="360" w:lineRule="auto"/>
        <w:ind w:firstLine="420" w:firstLineChars="200"/>
        <w:rPr>
          <w:rFonts w:ascii="Times New Roman" w:hAnsi="Times New Roman" w:eastAsia="宋体" w:cs="宋体"/>
          <w:b/>
          <w:color w:val="auto"/>
          <w:szCs w:val="21"/>
          <w:highlight w:val="none"/>
        </w:rPr>
      </w:pPr>
      <w:r>
        <w:rPr>
          <w:rFonts w:hint="eastAsia" w:ascii="Times New Roman" w:hAnsi="Times New Roman" w:eastAsia="宋体" w:cs="宋体"/>
          <w:color w:val="auto"/>
          <w:szCs w:val="21"/>
          <w:highlight w:val="none"/>
        </w:rPr>
        <w:t>12）平均故障间隔时间（MTBF）：≥50000小时；</w:t>
      </w:r>
    </w:p>
    <w:p w14:paraId="40AF82FB">
      <w:pPr>
        <w:snapToGrid w:val="0"/>
        <w:spacing w:line="360" w:lineRule="auto"/>
        <w:outlineLvl w:val="5"/>
        <w:rPr>
          <w:rFonts w:ascii="Times New Roman" w:hAnsi="Times New Roman" w:eastAsia="宋体" w:cs="宋体"/>
          <w:b/>
          <w:color w:val="auto"/>
          <w:szCs w:val="21"/>
          <w:highlight w:val="none"/>
        </w:rPr>
      </w:pPr>
      <w:bookmarkStart w:id="516" w:name="_Toc419661325"/>
      <w:r>
        <w:rPr>
          <w:rFonts w:hint="eastAsia" w:ascii="Times New Roman" w:hAnsi="Times New Roman" w:eastAsia="宋体" w:cs="宋体"/>
          <w:b/>
          <w:color w:val="auto"/>
          <w:szCs w:val="21"/>
          <w:highlight w:val="none"/>
        </w:rPr>
        <w:t xml:space="preserve">2.4.1.2 </w:t>
      </w:r>
      <w:bookmarkEnd w:id="516"/>
      <w:r>
        <w:rPr>
          <w:rFonts w:hint="eastAsia" w:ascii="Times New Roman" w:hAnsi="Times New Roman" w:eastAsia="宋体" w:cs="宋体"/>
          <w:b/>
          <w:color w:val="auto"/>
          <w:szCs w:val="21"/>
          <w:highlight w:val="none"/>
        </w:rPr>
        <w:t>SCADA服务器</w:t>
      </w:r>
    </w:p>
    <w:p w14:paraId="2D34AD20">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1）机架式 2U</w:t>
      </w:r>
    </w:p>
    <w:p w14:paraId="37129A0F">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2）CPU:Xeon 金牌5418Y或更高；数量：2个，单CPU核心数</w:t>
      </w:r>
      <w:r>
        <w:rPr>
          <w:rFonts w:hint="eastAsia" w:ascii="Times New Roman" w:hAnsi="Times New Roman" w:eastAsia="宋体" w:cs="宋体"/>
          <w:color w:val="auto"/>
          <w:szCs w:val="21"/>
          <w:highlight w:val="none"/>
        </w:rPr>
        <w:t>≥</w:t>
      </w:r>
      <w:r>
        <w:rPr>
          <w:rFonts w:hint="eastAsia" w:ascii="Times New Roman" w:hAnsi="Times New Roman" w:eastAsia="宋体" w:cs="宋体"/>
          <w:color w:val="auto"/>
          <w:kern w:val="0"/>
          <w:szCs w:val="21"/>
          <w:highlight w:val="none"/>
        </w:rPr>
        <w:t>24核、</w:t>
      </w:r>
      <w:r>
        <w:rPr>
          <w:rFonts w:hint="eastAsia" w:ascii="Times New Roman" w:hAnsi="Times New Roman" w:eastAsia="宋体" w:cs="宋体"/>
          <w:color w:val="auto"/>
          <w:szCs w:val="21"/>
          <w:highlight w:val="none"/>
        </w:rPr>
        <w:t>≥</w:t>
      </w:r>
      <w:r>
        <w:rPr>
          <w:rFonts w:hint="eastAsia" w:ascii="Times New Roman" w:hAnsi="Times New Roman" w:eastAsia="宋体" w:cs="宋体"/>
          <w:color w:val="auto"/>
          <w:kern w:val="0"/>
          <w:szCs w:val="21"/>
          <w:highlight w:val="none"/>
        </w:rPr>
        <w:t>48线程、缓存</w:t>
      </w:r>
      <w:r>
        <w:rPr>
          <w:rFonts w:hint="eastAsia" w:ascii="Times New Roman" w:hAnsi="Times New Roman" w:eastAsia="宋体" w:cs="宋体"/>
          <w:color w:val="auto"/>
          <w:szCs w:val="21"/>
          <w:highlight w:val="none"/>
        </w:rPr>
        <w:t>≥</w:t>
      </w:r>
      <w:r>
        <w:rPr>
          <w:rFonts w:hint="eastAsia" w:ascii="Times New Roman" w:hAnsi="Times New Roman" w:eastAsia="宋体" w:cs="宋体"/>
          <w:color w:val="auto"/>
          <w:kern w:val="0"/>
          <w:szCs w:val="21"/>
          <w:highlight w:val="none"/>
        </w:rPr>
        <w:t>45M；</w:t>
      </w:r>
    </w:p>
    <w:p w14:paraId="1056A4A8">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3）内存：共128GB  RDIMM  4800MT/s；</w:t>
      </w:r>
    </w:p>
    <w:p w14:paraId="685BADC1">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4）系统盘：3.84TB 固态硬盘 SAS ISE, RI, 高达 24Gbps 512e 2.5英寸 AG 硬盘 （SCADA系统安装在系统盘）</w:t>
      </w:r>
    </w:p>
    <w:p w14:paraId="62712D3A">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数据盘：3块4TB 硬盘 SAS 12Gbps 7.2K 512n 3.5英寸 热插拔 ；</w:t>
      </w:r>
    </w:p>
    <w:p w14:paraId="01815B09">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5）磁盘阵列卡：8G缓存，支持Raid0、1、5、6；</w:t>
      </w:r>
    </w:p>
    <w:p w14:paraId="4C4B6E14">
      <w:pPr>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6）</w:t>
      </w:r>
      <w:r>
        <w:rPr>
          <w:rFonts w:hint="eastAsia" w:ascii="Times New Roman" w:hAnsi="Times New Roman" w:eastAsia="宋体" w:cs="宋体"/>
          <w:color w:val="auto"/>
          <w:szCs w:val="21"/>
          <w:highlight w:val="none"/>
        </w:rPr>
        <w:t>带独立显卡，显卡内存6GB及以上，支持至少3路4K 60Hz视频输出，芯片规格不低于NVIDIA RTX4060或A2000；</w:t>
      </w:r>
    </w:p>
    <w:p w14:paraId="316A73CC">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7）双电源冗余，≥1400W*2，支持热插拔；</w:t>
      </w:r>
    </w:p>
    <w:p w14:paraId="48660DA7">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8）全尺寸键盘+人体工程学鼠标，电池寿命</w:t>
      </w:r>
      <w:r>
        <w:rPr>
          <w:rFonts w:hint="eastAsia" w:ascii="Times New Roman" w:hAnsi="Times New Roman" w:eastAsia="宋体" w:cs="宋体"/>
          <w:color w:val="auto"/>
          <w:szCs w:val="21"/>
          <w:highlight w:val="none"/>
        </w:rPr>
        <w:t>≥</w:t>
      </w:r>
      <w:r>
        <w:rPr>
          <w:rFonts w:hint="eastAsia" w:ascii="Times New Roman" w:hAnsi="Times New Roman" w:eastAsia="宋体" w:cs="宋体"/>
          <w:color w:val="auto"/>
          <w:kern w:val="0"/>
          <w:szCs w:val="21"/>
          <w:highlight w:val="none"/>
        </w:rPr>
        <w:t>18个月，支持2.4G无线；</w:t>
      </w:r>
    </w:p>
    <w:p w14:paraId="09279CAC">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9）网卡：双端口 10GbE SFP+ 适配器, PCIe 半高 ；</w:t>
      </w:r>
    </w:p>
    <w:p w14:paraId="72F8A6AE">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10）平均故障间隔时间（MTBF）：≥100000小时；</w:t>
      </w:r>
    </w:p>
    <w:p w14:paraId="6B282C24">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11）操作系统：Windows Server 2022</w:t>
      </w:r>
      <w:bookmarkStart w:id="517" w:name="_Toc419661326"/>
      <w:r>
        <w:rPr>
          <w:rFonts w:hint="eastAsia" w:ascii="Times New Roman" w:hAnsi="Times New Roman" w:eastAsia="宋体" w:cs="宋体"/>
          <w:color w:val="auto"/>
          <w:kern w:val="0"/>
          <w:szCs w:val="21"/>
          <w:highlight w:val="none"/>
        </w:rPr>
        <w:t>；</w:t>
      </w:r>
    </w:p>
    <w:p w14:paraId="496F4CEC">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12）三年原厂工程师售后保修服务；</w:t>
      </w:r>
    </w:p>
    <w:p w14:paraId="1E786C16">
      <w:pPr>
        <w:snapToGrid w:val="0"/>
        <w:spacing w:line="360" w:lineRule="auto"/>
        <w:ind w:firstLine="422" w:firstLineChars="200"/>
        <w:rPr>
          <w:rFonts w:ascii="Times New Roman" w:hAnsi="Times New Roman" w:eastAsia="宋体" w:cs="宋体"/>
          <w:b/>
          <w:color w:val="auto"/>
          <w:szCs w:val="21"/>
          <w:highlight w:val="none"/>
        </w:rPr>
      </w:pPr>
      <w:r>
        <w:rPr>
          <w:rFonts w:ascii="Times New Roman" w:hAnsi="Times New Roman" w:eastAsia="宋体" w:cs="Times New Roman"/>
          <w:b/>
          <w:color w:val="auto"/>
          <w:szCs w:val="21"/>
          <w:highlight w:val="none"/>
        </w:rPr>
        <w:t>★</w:t>
      </w:r>
      <w:r>
        <w:rPr>
          <w:rFonts w:hint="eastAsia" w:ascii="Times New Roman" w:hAnsi="Times New Roman" w:eastAsia="宋体" w:cs="宋体"/>
          <w:b/>
          <w:color w:val="auto"/>
          <w:szCs w:val="21"/>
          <w:highlight w:val="none"/>
        </w:rPr>
        <w:t>必须与数据服务器、磁盘阵列为同一品牌产品；</w:t>
      </w:r>
    </w:p>
    <w:p w14:paraId="03AD0671">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2.4.1.3 数据服务器</w:t>
      </w:r>
    </w:p>
    <w:p w14:paraId="65C46745">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1）机架式 2U</w:t>
      </w:r>
    </w:p>
    <w:p w14:paraId="27DD1392">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2）CPU:Xeon 金牌5418Y或更高；数量：2个，单CPU核心数</w:t>
      </w:r>
      <w:r>
        <w:rPr>
          <w:rFonts w:hint="eastAsia" w:ascii="Times New Roman" w:hAnsi="Times New Roman" w:eastAsia="宋体" w:cs="宋体"/>
          <w:color w:val="auto"/>
          <w:szCs w:val="21"/>
          <w:highlight w:val="none"/>
        </w:rPr>
        <w:t>≥</w:t>
      </w:r>
      <w:r>
        <w:rPr>
          <w:rFonts w:hint="eastAsia" w:ascii="Times New Roman" w:hAnsi="Times New Roman" w:eastAsia="宋体" w:cs="宋体"/>
          <w:color w:val="auto"/>
          <w:kern w:val="0"/>
          <w:szCs w:val="21"/>
          <w:highlight w:val="none"/>
        </w:rPr>
        <w:t>24核、</w:t>
      </w:r>
      <w:r>
        <w:rPr>
          <w:rFonts w:hint="eastAsia" w:ascii="Times New Roman" w:hAnsi="Times New Roman" w:eastAsia="宋体" w:cs="宋体"/>
          <w:color w:val="auto"/>
          <w:szCs w:val="21"/>
          <w:highlight w:val="none"/>
        </w:rPr>
        <w:t>≥</w:t>
      </w:r>
      <w:r>
        <w:rPr>
          <w:rFonts w:hint="eastAsia" w:ascii="Times New Roman" w:hAnsi="Times New Roman" w:eastAsia="宋体" w:cs="宋体"/>
          <w:color w:val="auto"/>
          <w:kern w:val="0"/>
          <w:szCs w:val="21"/>
          <w:highlight w:val="none"/>
        </w:rPr>
        <w:t>48线程、缓存</w:t>
      </w:r>
      <w:r>
        <w:rPr>
          <w:rFonts w:hint="eastAsia" w:ascii="Times New Roman" w:hAnsi="Times New Roman" w:eastAsia="宋体" w:cs="宋体"/>
          <w:color w:val="auto"/>
          <w:szCs w:val="21"/>
          <w:highlight w:val="none"/>
        </w:rPr>
        <w:t>≥</w:t>
      </w:r>
      <w:r>
        <w:rPr>
          <w:rFonts w:hint="eastAsia" w:ascii="Times New Roman" w:hAnsi="Times New Roman" w:eastAsia="宋体" w:cs="宋体"/>
          <w:color w:val="auto"/>
          <w:kern w:val="0"/>
          <w:szCs w:val="21"/>
          <w:highlight w:val="none"/>
        </w:rPr>
        <w:t>45M；</w:t>
      </w:r>
    </w:p>
    <w:p w14:paraId="4044EC4D">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3）内存：共128GB  RDIMM  4800MT/s；</w:t>
      </w:r>
    </w:p>
    <w:p w14:paraId="1F20F413">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4）系统盘：2块800GB 固态硬盘 SAS, 混合使用, 24Gbps 512e 2.5英寸 AG 硬盘 ；</w:t>
      </w:r>
    </w:p>
    <w:p w14:paraId="58B0529C">
      <w:pPr>
        <w:snapToGrid w:val="0"/>
        <w:spacing w:line="360" w:lineRule="auto"/>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数据盘：3块2.4TB 硬盘 SAS FIPS-140 10K 512e 3.5英寸 含 3.5英寸 HYB 托架 ；</w:t>
      </w:r>
    </w:p>
    <w:p w14:paraId="696E82D8">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5）磁盘阵列卡：8G缓存，支持Raid0、1、5、6；</w:t>
      </w:r>
    </w:p>
    <w:p w14:paraId="4C84ADE1">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6）支持4K视频输出；</w:t>
      </w:r>
    </w:p>
    <w:p w14:paraId="0AD4E20C">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7）双电源冗余，≥1400W*2，支持热插拔；</w:t>
      </w:r>
    </w:p>
    <w:p w14:paraId="5EED5F04">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8）全尺寸键盘+人体工程学鼠标，电池寿命</w:t>
      </w:r>
      <w:r>
        <w:rPr>
          <w:rFonts w:hint="eastAsia" w:ascii="Times New Roman" w:hAnsi="Times New Roman" w:eastAsia="宋体" w:cs="宋体"/>
          <w:color w:val="auto"/>
          <w:szCs w:val="21"/>
          <w:highlight w:val="none"/>
        </w:rPr>
        <w:t>≥</w:t>
      </w:r>
      <w:r>
        <w:rPr>
          <w:rFonts w:hint="eastAsia" w:ascii="Times New Roman" w:hAnsi="Times New Roman" w:eastAsia="宋体" w:cs="宋体"/>
          <w:color w:val="auto"/>
          <w:kern w:val="0"/>
          <w:szCs w:val="21"/>
          <w:highlight w:val="none"/>
        </w:rPr>
        <w:t>18个月，支持2.4G无线；</w:t>
      </w:r>
    </w:p>
    <w:p w14:paraId="5E2003F2">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9）网卡：双端口 10GbE SFP+ 适配器, PCIe 半高 ；</w:t>
      </w:r>
    </w:p>
    <w:p w14:paraId="3ECDDAA7">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10）平均故障间隔时间（MTBF）：≥100000小时；</w:t>
      </w:r>
    </w:p>
    <w:p w14:paraId="26D6897F">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11）操作系统：Windows Server 2022；</w:t>
      </w:r>
    </w:p>
    <w:p w14:paraId="464CC99D">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12）三年原厂工程师售后保修服务；</w:t>
      </w:r>
    </w:p>
    <w:p w14:paraId="309DAE49">
      <w:pPr>
        <w:snapToGrid w:val="0"/>
        <w:spacing w:line="360" w:lineRule="auto"/>
        <w:ind w:firstLine="422" w:firstLineChars="200"/>
        <w:rPr>
          <w:rFonts w:ascii="Times New Roman" w:hAnsi="Times New Roman" w:eastAsia="宋体" w:cs="宋体"/>
          <w:b/>
          <w:color w:val="auto"/>
          <w:szCs w:val="21"/>
          <w:highlight w:val="none"/>
        </w:rPr>
      </w:pPr>
      <w:r>
        <w:rPr>
          <w:rFonts w:ascii="Times New Roman" w:hAnsi="Times New Roman" w:eastAsia="宋体" w:cs="Times New Roman"/>
          <w:b/>
          <w:color w:val="auto"/>
          <w:szCs w:val="21"/>
          <w:highlight w:val="none"/>
        </w:rPr>
        <w:t>★</w:t>
      </w:r>
      <w:r>
        <w:rPr>
          <w:rFonts w:hint="eastAsia" w:ascii="Times New Roman" w:hAnsi="Times New Roman" w:eastAsia="宋体" w:cs="宋体"/>
          <w:b/>
          <w:color w:val="auto"/>
          <w:szCs w:val="21"/>
          <w:highlight w:val="none"/>
        </w:rPr>
        <w:t>必须与SCADA服务器、磁盘阵列为同一品牌产品；</w:t>
      </w:r>
    </w:p>
    <w:p w14:paraId="2EA3A8DA">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2.4.1.4 磁盘阵列</w:t>
      </w:r>
    </w:p>
    <w:p w14:paraId="59C956D5">
      <w:pPr>
        <w:snapToGrid w:val="0"/>
        <w:spacing w:line="360" w:lineRule="auto"/>
        <w:ind w:firstLine="420" w:firstLineChars="200"/>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1）内部储存：支持12 个 3.5" 驱动器托架（支持 2.5" 驱动器托架），可扩容至至少192TB</w:t>
      </w:r>
      <w:r>
        <w:rPr>
          <w:rFonts w:hint="eastAsia" w:ascii="Times New Roman" w:hAnsi="Times New Roman" w:eastAsia="宋体" w:cs="宋体"/>
          <w:bCs/>
          <w:color w:val="auto"/>
          <w:szCs w:val="21"/>
          <w:highlight w:val="none"/>
        </w:rPr>
        <w:t>；</w:t>
      </w:r>
    </w:p>
    <w:p w14:paraId="1B2F437A">
      <w:pPr>
        <w:snapToGrid w:val="0"/>
        <w:spacing w:line="360" w:lineRule="auto"/>
        <w:ind w:firstLine="420" w:firstLineChars="200"/>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2）</w:t>
      </w:r>
      <w:r>
        <w:rPr>
          <w:rFonts w:hint="eastAsia" w:ascii="Times New Roman" w:hAnsi="Times New Roman" w:eastAsia="宋体" w:cs="宋体"/>
          <w:bCs/>
          <w:color w:val="auto"/>
          <w:szCs w:val="21"/>
          <w:highlight w:val="none"/>
        </w:rPr>
        <w:t>双主动控制器结构；</w:t>
      </w:r>
      <w:r>
        <w:rPr>
          <w:rFonts w:ascii="Times New Roman" w:hAnsi="Times New Roman" w:eastAsia="宋体" w:cs="宋体"/>
          <w:bCs/>
          <w:color w:val="auto"/>
          <w:szCs w:val="21"/>
          <w:highlight w:val="none"/>
        </w:rPr>
        <w:t>处理器：Intel至强处理器；系统内存：每个控制器</w:t>
      </w:r>
      <w:r>
        <w:rPr>
          <w:rFonts w:hint="eastAsia" w:ascii="Times New Roman" w:hAnsi="Times New Roman" w:eastAsia="宋体" w:cs="宋体"/>
          <w:bCs/>
          <w:color w:val="auto"/>
          <w:szCs w:val="21"/>
          <w:highlight w:val="none"/>
        </w:rPr>
        <w:t>不低于</w:t>
      </w:r>
      <w:r>
        <w:rPr>
          <w:rFonts w:ascii="Times New Roman" w:hAnsi="Times New Roman" w:eastAsia="宋体" w:cs="宋体"/>
          <w:bCs/>
          <w:color w:val="auto"/>
          <w:szCs w:val="21"/>
          <w:highlight w:val="none"/>
        </w:rPr>
        <w:t>16GB内存；</w:t>
      </w:r>
      <w:r>
        <w:rPr>
          <w:rFonts w:hint="eastAsia" w:ascii="Times New Roman" w:hAnsi="Times New Roman" w:eastAsia="宋体" w:cs="宋体"/>
          <w:bCs/>
          <w:color w:val="auto"/>
          <w:szCs w:val="21"/>
          <w:highlight w:val="none"/>
        </w:rPr>
        <w:t>性能：</w:t>
      </w:r>
      <w:r>
        <w:rPr>
          <w:rFonts w:ascii="Times New Roman" w:hAnsi="Times New Roman" w:eastAsia="宋体" w:cs="宋体"/>
          <w:bCs/>
          <w:color w:val="auto"/>
          <w:szCs w:val="21"/>
          <w:highlight w:val="none"/>
        </w:rPr>
        <w:t>12 GB/秒读取和 10 GB/秒写入吞吐量，并使用 12 Gb SAS 后端协议实现快速容量扩展</w:t>
      </w:r>
      <w:r>
        <w:rPr>
          <w:rFonts w:hint="eastAsia" w:ascii="Times New Roman" w:hAnsi="Times New Roman" w:eastAsia="宋体" w:cs="宋体"/>
          <w:bCs/>
          <w:color w:val="auto"/>
          <w:szCs w:val="21"/>
          <w:highlight w:val="none"/>
        </w:rPr>
        <w:t>；</w:t>
      </w:r>
    </w:p>
    <w:p w14:paraId="3F67EA81">
      <w:pPr>
        <w:snapToGrid w:val="0"/>
        <w:spacing w:line="360" w:lineRule="auto"/>
        <w:ind w:firstLine="420" w:firstLineChars="200"/>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3）端口：主机接口 FC、iSCSI（光纤或 BaseT）、SAS</w:t>
      </w:r>
      <w:r>
        <w:rPr>
          <w:rFonts w:hint="eastAsia" w:ascii="Times New Roman" w:hAnsi="Times New Roman" w:eastAsia="宋体" w:cs="宋体"/>
          <w:bCs/>
          <w:color w:val="auto"/>
          <w:szCs w:val="21"/>
          <w:highlight w:val="none"/>
        </w:rPr>
        <w:t>；</w:t>
      </w:r>
    </w:p>
    <w:p w14:paraId="49E93DDA">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扩展端口（可选）：</w:t>
      </w:r>
    </w:p>
    <w:p w14:paraId="33945798">
      <w:pPr>
        <w:snapToGrid w:val="0"/>
        <w:spacing w:line="360" w:lineRule="auto"/>
        <w:ind w:firstLine="420" w:firstLineChars="200"/>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最大 32 Gb FC 端口数：每个阵列 8 个（支持自动协商到 16 Gb）</w:t>
      </w:r>
    </w:p>
    <w:p w14:paraId="6B7FF98A">
      <w:pPr>
        <w:snapToGrid w:val="0"/>
        <w:spacing w:line="360" w:lineRule="auto"/>
        <w:ind w:firstLine="420" w:firstLineChars="200"/>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最大 25 Gb iSCSI 端口数：每个阵列 8 个 SFP+ 或 SFP28 端口</w:t>
      </w:r>
    </w:p>
    <w:p w14:paraId="1DC4BC43">
      <w:pPr>
        <w:snapToGrid w:val="0"/>
        <w:spacing w:line="360" w:lineRule="auto"/>
        <w:ind w:firstLine="420" w:firstLineChars="200"/>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最大 10 Gb iSCSI 端口数：每个阵列 8 个 BaseT 端口（仅支持自动协商到 1 Gb）</w:t>
      </w:r>
    </w:p>
    <w:p w14:paraId="66D06125">
      <w:pPr>
        <w:snapToGrid w:val="0"/>
        <w:spacing w:line="360" w:lineRule="auto"/>
        <w:ind w:firstLine="420" w:firstLineChars="200"/>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最大 12 Gb SAS 端口数：8 个 12 Gb SAS 端口</w:t>
      </w:r>
    </w:p>
    <w:p w14:paraId="16CC3908">
      <w:pPr>
        <w:snapToGrid w:val="0"/>
        <w:spacing w:line="360" w:lineRule="auto"/>
        <w:ind w:firstLine="420" w:firstLineChars="200"/>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 xml:space="preserve">最大管理端口数：每个阵列 2 个 (1 Gb BASE-T) </w:t>
      </w:r>
    </w:p>
    <w:p w14:paraId="3FBAA50A">
      <w:pPr>
        <w:snapToGrid w:val="0"/>
        <w:spacing w:line="360" w:lineRule="auto"/>
        <w:ind w:firstLine="420" w:firstLineChars="200"/>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 xml:space="preserve">磁盘扩展协议：12 Gb SAS </w:t>
      </w:r>
    </w:p>
    <w:p w14:paraId="4E641E08">
      <w:pPr>
        <w:snapToGrid w:val="0"/>
        <w:spacing w:line="360" w:lineRule="auto"/>
        <w:ind w:firstLine="420" w:firstLineChars="200"/>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4）磁盘支持：NLSAS 7.2K 3.5" — 4 TB、8 TB、12 TB、16 TB、16 TB FIPS、18 TB，主机带带</w:t>
      </w:r>
      <w:r>
        <w:rPr>
          <w:rFonts w:hint="eastAsia" w:ascii="Times New Roman" w:hAnsi="Times New Roman" w:eastAsia="宋体" w:cs="宋体"/>
          <w:bCs/>
          <w:color w:val="auto"/>
          <w:szCs w:val="21"/>
          <w:highlight w:val="none"/>
        </w:rPr>
        <w:t>12</w:t>
      </w:r>
      <w:r>
        <w:rPr>
          <w:rFonts w:ascii="Times New Roman" w:hAnsi="Times New Roman" w:eastAsia="宋体" w:cs="宋体"/>
          <w:bCs/>
          <w:color w:val="auto"/>
          <w:szCs w:val="21"/>
          <w:highlight w:val="none"/>
        </w:rPr>
        <w:t>块</w:t>
      </w:r>
      <w:r>
        <w:rPr>
          <w:rFonts w:hint="eastAsia" w:ascii="Times New Roman" w:hAnsi="Times New Roman" w:eastAsia="宋体" w:cs="宋体"/>
          <w:bCs/>
          <w:color w:val="auto"/>
          <w:szCs w:val="21"/>
          <w:highlight w:val="none"/>
        </w:rPr>
        <w:t>18</w:t>
      </w:r>
      <w:r>
        <w:rPr>
          <w:rFonts w:ascii="Times New Roman" w:hAnsi="Times New Roman" w:eastAsia="宋体" w:cs="宋体"/>
          <w:bCs/>
          <w:color w:val="auto"/>
          <w:szCs w:val="21"/>
          <w:highlight w:val="none"/>
        </w:rPr>
        <w:t>TB SAS</w:t>
      </w:r>
      <w:r>
        <w:rPr>
          <w:rFonts w:hint="eastAsia" w:ascii="Times New Roman" w:hAnsi="Times New Roman" w:eastAsia="宋体" w:cs="宋体"/>
          <w:bCs/>
          <w:color w:val="auto"/>
          <w:szCs w:val="21"/>
          <w:highlight w:val="none"/>
        </w:rPr>
        <w:t>企业级</w:t>
      </w:r>
      <w:r>
        <w:rPr>
          <w:rFonts w:ascii="Times New Roman" w:hAnsi="Times New Roman" w:eastAsia="宋体" w:cs="宋体"/>
          <w:bCs/>
          <w:color w:val="auto"/>
          <w:szCs w:val="21"/>
          <w:highlight w:val="none"/>
        </w:rPr>
        <w:t>硬盘 7200rpm</w:t>
      </w:r>
      <w:r>
        <w:rPr>
          <w:rFonts w:hint="eastAsia" w:ascii="Times New Roman" w:hAnsi="Times New Roman" w:eastAsia="宋体" w:cs="宋体"/>
          <w:bCs/>
          <w:color w:val="auto"/>
          <w:szCs w:val="21"/>
          <w:highlight w:val="none"/>
        </w:rPr>
        <w:t>；</w:t>
      </w:r>
    </w:p>
    <w:p w14:paraId="4C4DD170">
      <w:pPr>
        <w:snapToGrid w:val="0"/>
        <w:spacing w:line="360" w:lineRule="auto"/>
        <w:ind w:firstLine="420" w:firstLineChars="200"/>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5）支持RAID：1、5、6、10 或 ADAPT RAID</w:t>
      </w:r>
      <w:r>
        <w:rPr>
          <w:rFonts w:hint="eastAsia" w:ascii="Times New Roman" w:hAnsi="Times New Roman" w:eastAsia="宋体" w:cs="宋体"/>
          <w:bCs/>
          <w:color w:val="auto"/>
          <w:szCs w:val="21"/>
          <w:highlight w:val="none"/>
        </w:rPr>
        <w:t>；</w:t>
      </w:r>
    </w:p>
    <w:p w14:paraId="2D3F8CD8">
      <w:pPr>
        <w:snapToGrid w:val="0"/>
        <w:spacing w:line="360" w:lineRule="auto"/>
        <w:ind w:firstLine="420" w:firstLineChars="200"/>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6）支持12个3.5硬盘</w:t>
      </w:r>
      <w:r>
        <w:rPr>
          <w:rFonts w:hint="eastAsia" w:ascii="Times New Roman" w:hAnsi="Times New Roman" w:eastAsia="宋体" w:cs="宋体"/>
          <w:bCs/>
          <w:color w:val="auto"/>
          <w:szCs w:val="21"/>
          <w:highlight w:val="none"/>
        </w:rPr>
        <w:t>；</w:t>
      </w:r>
      <w:r>
        <w:rPr>
          <w:rFonts w:ascii="Times New Roman" w:hAnsi="Times New Roman" w:eastAsia="宋体" w:cs="宋体"/>
          <w:bCs/>
          <w:color w:val="auto"/>
          <w:szCs w:val="21"/>
          <w:highlight w:val="none"/>
        </w:rPr>
        <w:t>每个 2U 基本阵列</w:t>
      </w:r>
      <w:r>
        <w:rPr>
          <w:rFonts w:hint="eastAsia" w:ascii="Times New Roman" w:hAnsi="Times New Roman" w:eastAsia="宋体" w:cs="宋体"/>
          <w:bCs/>
          <w:color w:val="auto"/>
          <w:szCs w:val="21"/>
          <w:highlight w:val="none"/>
        </w:rPr>
        <w:t>支持不低于</w:t>
      </w:r>
      <w:r>
        <w:rPr>
          <w:rFonts w:ascii="Times New Roman" w:hAnsi="Times New Roman" w:eastAsia="宋体" w:cs="宋体"/>
          <w:bCs/>
          <w:color w:val="auto"/>
          <w:szCs w:val="21"/>
          <w:highlight w:val="none"/>
        </w:rPr>
        <w:t xml:space="preserve"> 9 个 2U 扩展存储模块，每个扩展模块12 个 3.5" 驱动器托架 (12 Gb SAS)</w:t>
      </w:r>
      <w:r>
        <w:rPr>
          <w:rFonts w:hint="eastAsia" w:ascii="Times New Roman" w:hAnsi="Times New Roman" w:eastAsia="宋体" w:cs="宋体"/>
          <w:bCs/>
          <w:color w:val="auto"/>
          <w:szCs w:val="21"/>
          <w:highlight w:val="none"/>
        </w:rPr>
        <w:t>；可支持</w:t>
      </w:r>
      <w:r>
        <w:rPr>
          <w:rFonts w:ascii="Times New Roman" w:hAnsi="Times New Roman" w:eastAsia="宋体" w:cs="宋体"/>
          <w:bCs/>
          <w:color w:val="auto"/>
          <w:szCs w:val="21"/>
          <w:highlight w:val="none"/>
        </w:rPr>
        <w:t>2.40 PB容量</w:t>
      </w:r>
      <w:r>
        <w:rPr>
          <w:rFonts w:hint="eastAsia" w:ascii="Times New Roman" w:hAnsi="Times New Roman" w:eastAsia="宋体" w:cs="宋体"/>
          <w:bCs/>
          <w:color w:val="auto"/>
          <w:szCs w:val="21"/>
          <w:highlight w:val="none"/>
        </w:rPr>
        <w:t>（配置9个2U扩展模块）；</w:t>
      </w:r>
    </w:p>
    <w:p w14:paraId="687CD0BB">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bCs/>
          <w:color w:val="auto"/>
          <w:szCs w:val="21"/>
          <w:highlight w:val="none"/>
        </w:rPr>
        <w:t>7）</w:t>
      </w:r>
      <w:r>
        <w:rPr>
          <w:rFonts w:hint="eastAsia" w:ascii="Times New Roman" w:hAnsi="Times New Roman" w:eastAsia="宋体" w:cs="宋体"/>
          <w:color w:val="auto"/>
          <w:szCs w:val="21"/>
          <w:highlight w:val="none"/>
        </w:rPr>
        <w:t>三年原厂工程师售后保修服务；</w:t>
      </w:r>
    </w:p>
    <w:p w14:paraId="2881F535">
      <w:pPr>
        <w:snapToGrid w:val="0"/>
        <w:spacing w:line="360" w:lineRule="auto"/>
        <w:ind w:firstLine="422" w:firstLineChars="200"/>
        <w:rPr>
          <w:rFonts w:ascii="Times New Roman" w:hAnsi="Times New Roman" w:eastAsia="宋体" w:cs="宋体"/>
          <w:b/>
          <w:color w:val="auto"/>
          <w:szCs w:val="21"/>
          <w:highlight w:val="none"/>
        </w:rPr>
      </w:pPr>
      <w:r>
        <w:rPr>
          <w:rFonts w:ascii="Times New Roman" w:hAnsi="Times New Roman" w:eastAsia="宋体" w:cs="Times New Roman"/>
          <w:b/>
          <w:color w:val="auto"/>
          <w:szCs w:val="21"/>
          <w:highlight w:val="none"/>
        </w:rPr>
        <w:t>★</w:t>
      </w:r>
      <w:r>
        <w:rPr>
          <w:rFonts w:hint="eastAsia" w:ascii="Times New Roman" w:hAnsi="Times New Roman" w:eastAsia="宋体" w:cs="宋体"/>
          <w:b/>
          <w:color w:val="auto"/>
          <w:szCs w:val="21"/>
          <w:highlight w:val="none"/>
        </w:rPr>
        <w:t>必须与SCADA服务器、数据服务器为同一品牌产品；</w:t>
      </w:r>
    </w:p>
    <w:p w14:paraId="6C1443F5">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2.4.1.5 服务器交换机</w:t>
      </w:r>
    </w:p>
    <w:p w14:paraId="156EA23D">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1）端口数：48个下行万兆光口和6个上行万兆光口；</w:t>
      </w:r>
    </w:p>
    <w:p w14:paraId="516BED77">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2）端口速率：48个10GbE SFP+端口；6个100QSFP28端口；</w:t>
      </w:r>
    </w:p>
    <w:p w14:paraId="0F1B350E">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3）特性：</w:t>
      </w:r>
    </w:p>
    <w:p w14:paraId="2F1D24FD">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设备虚拟化：支持iStack 堆叠支持M-LAG；</w:t>
      </w:r>
    </w:p>
    <w:p w14:paraId="597BE6E5">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SDN 特性：支持VxLANrouting和VxLAN bridging支持BGP-EVPN，支持QinQin VxLAN；</w:t>
      </w:r>
    </w:p>
    <w:p w14:paraId="537D5CFE">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数据中心互联：支持VxLANMapping，实现多DC二层互通；</w:t>
      </w:r>
    </w:p>
    <w:p w14:paraId="27EEE609">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网络融合;支持FCoE，支持DCBX、PFC、ETS；</w:t>
      </w:r>
    </w:p>
    <w:p w14:paraId="24E0A8FE">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可编程：支持RDMA和ROCE(RoCEV和RoCEV2)，支持OPS，支持Openflow；</w:t>
      </w:r>
    </w:p>
    <w:p w14:paraId="741D4B29">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流量分析：支持Ansible自动化配置，Module开源发布支持Netstream功能支持sFlow功能；</w:t>
      </w:r>
    </w:p>
    <w:p w14:paraId="51824196">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VLAN：支持Access、Trunk、Hybrid方式支持default VLAN</w:t>
      </w:r>
    </w:p>
    <w:p w14:paraId="2929ED35">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MAC地址表：支持QinQ，支持MUXVLAN，支持GVRP，支持MAC地址自动学习和老化，支持静态、动态、黑洞MAC表项；</w:t>
      </w:r>
    </w:p>
    <w:p w14:paraId="0A1833C2">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可靠性：精细化微分段安全隔离，支持LACP，支持STP、RSTP和MSTP，支持BPDU保护、Root保护、环路保护支持SmartLink及多实例，支持DLDP，支持ERPS以太环保护协议(G8032支持VRRP、VRRP负载分担、BFDforVRRF，支持BFD forBGP/IS-S/OSPF静态路由支持BFD for VxLAN；</w:t>
      </w:r>
    </w:p>
    <w:p w14:paraId="1BDF674A">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Qos：支持ACL、CAR、re-marking.scheduling等动作支持PQ、WRR、DRR、PQHWRR、PQHDRR等队列周度方式支持WRED、尾丢弃等拥塞避免机制，支持流量整形，支持全网路径探测；</w:t>
      </w:r>
    </w:p>
    <w:p w14:paraId="3EF1AB52">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安全和管理：命令行分级保护、未授权用户无法侵入支持防止DOS、ARP攻击功能、ICMP防攻击支持端口隔离、端口安全、Sticky MAC，支持IP、MAC、端口、VLAN的组合绑定，支持AAA、Radius、HWTACACS等多种认证方式，支持RMON；</w:t>
      </w:r>
    </w:p>
    <w:p w14:paraId="0CE1D75C">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4）交换容量：≥4.8Tbps/76.8Tbps；包转发率：≥2000Mpps；</w:t>
      </w:r>
    </w:p>
    <w:p w14:paraId="003D70EB">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5）工作温度：0-1800m:-5℃到45℃，-5℃，1800-5000：不支持启动海拔每升高220m，高温规格降低1℃；存储温度：-40℃~+70℃；相对湿度：5%~95%(无凝露)；</w:t>
      </w:r>
    </w:p>
    <w:p w14:paraId="3EED3979">
      <w:pPr>
        <w:snapToGrid w:val="0"/>
        <w:spacing w:line="360" w:lineRule="auto"/>
        <w:ind w:firstLine="422" w:firstLineChars="200"/>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1"/>
          <w:highlight w:val="none"/>
        </w:rPr>
        <w:t>★</w:t>
      </w:r>
      <w:r>
        <w:rPr>
          <w:rFonts w:hint="eastAsia" w:ascii="Times New Roman" w:hAnsi="Times New Roman" w:eastAsia="宋体" w:cs="宋体"/>
          <w:b/>
          <w:color w:val="auto"/>
          <w:szCs w:val="21"/>
          <w:highlight w:val="none"/>
        </w:rPr>
        <w:t>必须与中心交换机为同一品牌产品；</w:t>
      </w:r>
    </w:p>
    <w:p w14:paraId="2EFA14B7">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2.4.1.6 中心交换机</w:t>
      </w:r>
    </w:p>
    <w:p w14:paraId="19563EC8">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1）端口数：4个万兆光口24个千兆电口；</w:t>
      </w:r>
    </w:p>
    <w:p w14:paraId="63D8B565">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2）端口速率：24个10/100/1000Base-T(X)以太网端口，全双工；4个万兆SFP+光口；</w:t>
      </w:r>
    </w:p>
    <w:p w14:paraId="4F39D51A">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3）特性：</w:t>
      </w:r>
    </w:p>
    <w:p w14:paraId="48E1BB56">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MAC特性：支持64K MAC规格，支持MAC地址自动学习和老化，支持静态、动态、黑洞MAC表项，支持源MAC地址过滤；</w:t>
      </w:r>
    </w:p>
    <w:p w14:paraId="26CCF29F">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VLAN特性：支持4K个VLAN，支持Guest VLAN、Voice VLAN，支持GVRP协议，支持MUX VLAN功能，支持基于MAC/协议/IP子网/策略/端口的VLAN，支持1:1和N:1 VLAN Mapping功能；</w:t>
      </w:r>
    </w:p>
    <w:p w14:paraId="6586CA58">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Qos/ACL：支持对端口入方向、出方向进行速率限制，支持报文重定向，支持基于端口的流量监管，支持双速三色 CAR 功能，每端口支持 8 个队列 支持 DRR、SP、DRR+SP 队列调度算法 支持 WRED 支持报文的 802.1p 和 DSCP 优先级重新标记，提供基于源 MAC 地址、目的 MAC 地址、源 IP 地址、目的 IP 地址、TCP/UDP 协议源/目的端口号、协议、VLAN 的包过滤功能，支持基于队列限速和端口整形的功能；</w:t>
      </w:r>
    </w:p>
    <w:p w14:paraId="2580515C">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安全特性：用户分级管理和口令保护，支持防止 DOS、ARP 攻击功能、ICMP 防攻击 支持 IP、MAC、端口、VLAN 的组合绑定，支持端口隔离、端口安全、Sticky MAC，支持 MFF，支持黑洞 MAC 地址，支持 MAC 地址学习数目限制，支持 IEEE 802.1X 认证，支持单端口最大用户数限制，支持 AAA 认证，支持 Radius、HWTACACS 等多种方式，支持 NAC 功能，支持 SSH V2.0 支持 HTTPS，支持 CPU 保护功能，支持黑名单和白名单，支持对 ND、DHCPv6、MLD 等 IPv6 协议报文进行攻击溯源和惩罚，支持安全启动，支持 IPSec 对管理报文加密 支持 ECA 支持安全诱捕；</w:t>
      </w:r>
    </w:p>
    <w:p w14:paraId="7C36664B">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5）交换容量：≥672Gbps/6.72Tbps；包转发率：≥108Mpps/126Mpps；</w:t>
      </w:r>
    </w:p>
    <w:p w14:paraId="30C77B76">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6）工作温度：0-1800m:-5℃到45℃，-5℃，1800-5000：不支持启动海拔每升高220m，高温规格降低1℃；存储温度：-40℃~+70℃；相对湿度：5%~95%(无凝露)；</w:t>
      </w:r>
    </w:p>
    <w:p w14:paraId="6A2A990A">
      <w:pPr>
        <w:snapToGrid w:val="0"/>
        <w:spacing w:line="360" w:lineRule="auto"/>
        <w:ind w:firstLine="422" w:firstLineChars="200"/>
        <w:rPr>
          <w:rFonts w:ascii="Times New Roman" w:hAnsi="Times New Roman" w:eastAsia="宋体" w:cs="宋体"/>
          <w:b/>
          <w:color w:val="auto"/>
          <w:szCs w:val="21"/>
          <w:highlight w:val="none"/>
        </w:rPr>
      </w:pPr>
      <w:r>
        <w:rPr>
          <w:rFonts w:ascii="Times New Roman" w:hAnsi="Times New Roman" w:eastAsia="宋体" w:cs="Times New Roman"/>
          <w:b/>
          <w:color w:val="auto"/>
          <w:szCs w:val="21"/>
          <w:highlight w:val="none"/>
        </w:rPr>
        <w:t>★</w:t>
      </w:r>
      <w:r>
        <w:rPr>
          <w:rFonts w:hint="eastAsia" w:ascii="Times New Roman" w:hAnsi="Times New Roman" w:eastAsia="宋体" w:cs="宋体"/>
          <w:b/>
          <w:color w:val="auto"/>
          <w:szCs w:val="21"/>
          <w:highlight w:val="none"/>
        </w:rPr>
        <w:t>必须与服务器交换机为同一品牌产品；</w:t>
      </w:r>
    </w:p>
    <w:bookmarkEnd w:id="517"/>
    <w:p w14:paraId="690EB13C">
      <w:pPr>
        <w:snapToGrid w:val="0"/>
        <w:spacing w:line="360" w:lineRule="auto"/>
        <w:outlineLvl w:val="5"/>
        <w:rPr>
          <w:rFonts w:ascii="Times New Roman" w:hAnsi="Times New Roman" w:eastAsia="宋体" w:cs="宋体"/>
          <w:b/>
          <w:color w:val="auto"/>
          <w:szCs w:val="21"/>
          <w:highlight w:val="none"/>
        </w:rPr>
      </w:pPr>
      <w:bookmarkStart w:id="518" w:name="_Toc419661328"/>
      <w:r>
        <w:rPr>
          <w:rFonts w:hint="eastAsia" w:ascii="Times New Roman" w:hAnsi="Times New Roman" w:eastAsia="宋体" w:cs="宋体"/>
          <w:b/>
          <w:color w:val="auto"/>
          <w:szCs w:val="21"/>
          <w:highlight w:val="none"/>
        </w:rPr>
        <w:t>2.4.1.7 GPS卫星同步时钟</w:t>
      </w:r>
    </w:p>
    <w:p w14:paraId="7A7DB24A">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1）支持中国北斗、美国GPS、俄罗斯GLONASS；</w:t>
      </w:r>
    </w:p>
    <w:p w14:paraId="70378587">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2）机架式；特性：铷原子钟；驯服精度≤20ns；</w:t>
      </w:r>
    </w:p>
    <w:p w14:paraId="241937ED">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3）1pps信号与UTC偏差≤10ns ；</w:t>
      </w:r>
    </w:p>
    <w:p w14:paraId="5CD5E50A">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4）带VFD或OLED高亮度液晶屏，可显示设备详细运行信息；</w:t>
      </w:r>
    </w:p>
    <w:p w14:paraId="55E15E55">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5）频率准确度(24 小时平均) ≤1E-12；1 日频率漂移率≤ 2E-11；1日守时精度≤ 1us；1年守时精度≤10ms；</w:t>
      </w:r>
    </w:p>
    <w:p w14:paraId="2191EF76">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6）支持WEB管理界面，带6个千兆网口；</w:t>
      </w:r>
      <w:bookmarkEnd w:id="518"/>
      <w:bookmarkStart w:id="519" w:name="_Toc419661329"/>
      <w:r>
        <w:rPr>
          <w:rFonts w:hint="eastAsia" w:ascii="Times New Roman" w:hAnsi="Times New Roman" w:eastAsia="宋体" w:cs="宋体"/>
          <w:color w:val="auto"/>
          <w:szCs w:val="21"/>
          <w:highlight w:val="none"/>
        </w:rPr>
        <w:t>NTP请求量≤20000个/秒；</w:t>
      </w:r>
    </w:p>
    <w:p w14:paraId="504E2B97">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7）</w:t>
      </w:r>
      <w:r>
        <w:rPr>
          <w:rFonts w:hint="eastAsia" w:ascii="Times New Roman" w:hAnsi="Times New Roman" w:eastAsia="宋体" w:cs="宋体"/>
          <w:color w:val="auto"/>
          <w:kern w:val="0"/>
          <w:szCs w:val="21"/>
          <w:highlight w:val="none"/>
        </w:rPr>
        <w:t>平均故障间隔时间（MTBF）：</w:t>
      </w:r>
      <w:r>
        <w:rPr>
          <w:rFonts w:hint="eastAsia" w:ascii="Times New Roman" w:hAnsi="Times New Roman" w:eastAsia="宋体" w:cs="宋体"/>
          <w:color w:val="auto"/>
          <w:szCs w:val="21"/>
          <w:highlight w:val="none"/>
        </w:rPr>
        <w:t>≥80000小时</w:t>
      </w:r>
      <w:bookmarkEnd w:id="519"/>
      <w:r>
        <w:rPr>
          <w:rFonts w:hint="eastAsia" w:ascii="Times New Roman" w:hAnsi="Times New Roman" w:eastAsia="宋体" w:cs="宋体"/>
          <w:color w:val="auto"/>
          <w:szCs w:val="21"/>
          <w:highlight w:val="none"/>
        </w:rPr>
        <w:t>；</w:t>
      </w:r>
    </w:p>
    <w:p w14:paraId="6BD3198D">
      <w:pPr>
        <w:snapToGrid w:val="0"/>
        <w:spacing w:line="360" w:lineRule="auto"/>
        <w:outlineLvl w:val="5"/>
        <w:rPr>
          <w:rFonts w:ascii="Times New Roman" w:hAnsi="Times New Roman" w:eastAsia="宋体" w:cs="宋体"/>
          <w:b/>
          <w:color w:val="auto"/>
          <w:szCs w:val="21"/>
          <w:highlight w:val="none"/>
        </w:rPr>
      </w:pPr>
      <w:bookmarkStart w:id="520" w:name="_Toc419661332"/>
      <w:r>
        <w:rPr>
          <w:rFonts w:hint="eastAsia" w:ascii="Times New Roman" w:hAnsi="Times New Roman" w:eastAsia="宋体" w:cs="宋体"/>
          <w:b/>
          <w:color w:val="auto"/>
          <w:szCs w:val="21"/>
          <w:highlight w:val="none"/>
        </w:rPr>
        <w:t>2.4.1.8 服务器机柜</w:t>
      </w:r>
    </w:p>
    <w:p w14:paraId="4E1AA901">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1）42U；6</w:t>
      </w:r>
      <w:r>
        <w:rPr>
          <w:rFonts w:hint="eastAsia" w:ascii="Times New Roman" w:hAnsi="Times New Roman" w:eastAsia="宋体" w:cs="宋体"/>
          <w:color w:val="auto"/>
          <w:szCs w:val="21"/>
          <w:highlight w:val="none"/>
        </w:rPr>
        <w:t>00（W）x 1000（D）x 2000（H）；</w:t>
      </w:r>
    </w:p>
    <w:p w14:paraId="22D2E78F">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2）材质：加厚冷轧钢材；厚度：立柱≥2mm，钢板≥1.2mm；</w:t>
      </w:r>
    </w:p>
    <w:p w14:paraId="08B365C4">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3）符合《网络机柜技术条件》要求；通过ISO9001质量管理体系；</w:t>
      </w:r>
    </w:p>
    <w:p w14:paraId="7838B32E">
      <w:pPr>
        <w:snapToGrid w:val="0"/>
        <w:spacing w:line="360" w:lineRule="auto"/>
        <w:ind w:firstLine="420" w:firstLineChars="200"/>
        <w:rPr>
          <w:rFonts w:ascii="Times New Roman" w:hAnsi="Times New Roman" w:eastAsia="宋体" w:cs="宋体"/>
          <w:color w:val="auto"/>
          <w:szCs w:val="21"/>
          <w:highlight w:val="none"/>
          <w:lang w:bidi="ar"/>
        </w:rPr>
      </w:pPr>
      <w:r>
        <w:rPr>
          <w:rFonts w:hint="eastAsia" w:ascii="Times New Roman" w:hAnsi="Times New Roman" w:eastAsia="宋体" w:cs="宋体"/>
          <w:color w:val="auto"/>
          <w:szCs w:val="21"/>
          <w:highlight w:val="none"/>
        </w:rPr>
        <w:t>4）</w:t>
      </w:r>
      <w:r>
        <w:rPr>
          <w:rFonts w:hint="eastAsia" w:ascii="Times New Roman" w:hAnsi="Times New Roman" w:eastAsia="宋体" w:cs="宋体"/>
          <w:color w:val="auto"/>
          <w:szCs w:val="21"/>
          <w:highlight w:val="none"/>
          <w:lang w:bidi="ar"/>
        </w:rPr>
        <w:t>含断路器、开关电源、插排等元器件；</w:t>
      </w:r>
    </w:p>
    <w:p w14:paraId="1E468B30">
      <w:pPr>
        <w:snapToGrid w:val="0"/>
        <w:spacing w:line="360" w:lineRule="auto"/>
        <w:ind w:firstLine="420" w:firstLineChars="200"/>
        <w:rPr>
          <w:rFonts w:ascii="Times New Roman" w:hAnsi="Times New Roman" w:eastAsia="宋体" w:cs="宋体"/>
          <w:color w:val="auto"/>
          <w:szCs w:val="21"/>
          <w:highlight w:val="none"/>
          <w:lang w:bidi="ar"/>
        </w:rPr>
      </w:pPr>
      <w:r>
        <w:rPr>
          <w:rFonts w:hint="eastAsia" w:ascii="Times New Roman" w:hAnsi="Times New Roman" w:eastAsia="宋体" w:cs="宋体"/>
          <w:color w:val="auto"/>
          <w:szCs w:val="21"/>
          <w:highlight w:val="none"/>
          <w:lang w:bidi="ar"/>
        </w:rPr>
        <w:t>4）柜内电源接口数量和功率必须有20%的扩展容量；</w:t>
      </w:r>
    </w:p>
    <w:p w14:paraId="1D402BBB">
      <w:pPr>
        <w:snapToGrid w:val="0"/>
        <w:spacing w:line="360" w:lineRule="auto"/>
        <w:ind w:firstLine="420" w:firstLineChars="200"/>
        <w:rPr>
          <w:rFonts w:ascii="Times New Roman" w:hAnsi="Times New Roman" w:eastAsia="宋体" w:cs="宋体"/>
          <w:color w:val="auto"/>
          <w:szCs w:val="21"/>
          <w:highlight w:val="none"/>
          <w:lang w:bidi="ar"/>
        </w:rPr>
      </w:pPr>
      <w:r>
        <w:rPr>
          <w:rFonts w:hint="eastAsia" w:ascii="Times New Roman" w:hAnsi="Times New Roman" w:eastAsia="宋体" w:cs="宋体"/>
          <w:color w:val="auto"/>
          <w:szCs w:val="21"/>
          <w:highlight w:val="none"/>
          <w:lang w:bidi="ar"/>
        </w:rPr>
        <w:t>5）永久容许负载 ：动态</w:t>
      </w:r>
      <w:r>
        <w:rPr>
          <w:rFonts w:hint="eastAsia" w:ascii="Times New Roman" w:hAnsi="Times New Roman" w:eastAsia="宋体" w:cs="宋体"/>
          <w:color w:val="auto"/>
          <w:szCs w:val="21"/>
          <w:highlight w:val="none"/>
        </w:rPr>
        <w:t>≥</w:t>
      </w:r>
      <w:r>
        <w:rPr>
          <w:rFonts w:hint="eastAsia" w:ascii="Times New Roman" w:hAnsi="Times New Roman" w:eastAsia="宋体" w:cs="宋体"/>
          <w:color w:val="auto"/>
          <w:szCs w:val="21"/>
          <w:highlight w:val="none"/>
          <w:lang w:bidi="ar"/>
        </w:rPr>
        <w:t>450kg 动态、静态</w:t>
      </w:r>
      <w:r>
        <w:rPr>
          <w:rFonts w:hint="eastAsia" w:ascii="Times New Roman" w:hAnsi="Times New Roman" w:eastAsia="宋体" w:cs="宋体"/>
          <w:color w:val="auto"/>
          <w:szCs w:val="21"/>
          <w:highlight w:val="none"/>
        </w:rPr>
        <w:t>≥</w:t>
      </w:r>
      <w:r>
        <w:rPr>
          <w:rFonts w:hint="eastAsia" w:ascii="Times New Roman" w:hAnsi="Times New Roman" w:eastAsia="宋体" w:cs="宋体"/>
          <w:color w:val="auto"/>
          <w:szCs w:val="21"/>
          <w:highlight w:val="none"/>
          <w:lang w:bidi="ar"/>
        </w:rPr>
        <w:t>1000kg ；</w:t>
      </w:r>
    </w:p>
    <w:p w14:paraId="48EE419F">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2.4.1.9 KVM</w:t>
      </w:r>
    </w:p>
    <w:p w14:paraId="2D72B474">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1）八进一出机架式折叠液晶显示，标准1U机架式安装；</w:t>
      </w:r>
    </w:p>
    <w:p w14:paraId="4D3D5AC3">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2）端口：3个或以上USB接口，8个HDMI视频接口</w:t>
      </w:r>
    </w:p>
    <w:p w14:paraId="4F4306D2">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3）带一块17.3英寸以上的液晶屏，分辨率</w:t>
      </w:r>
      <w:r>
        <w:rPr>
          <w:rFonts w:hint="eastAsia" w:ascii="Times New Roman" w:hAnsi="Times New Roman" w:eastAsia="宋体" w:cs="宋体"/>
          <w:color w:val="auto"/>
          <w:szCs w:val="21"/>
          <w:highlight w:val="none"/>
        </w:rPr>
        <w:t>≥</w:t>
      </w:r>
      <w:r>
        <w:rPr>
          <w:rFonts w:hint="eastAsia" w:ascii="Times New Roman" w:hAnsi="Times New Roman" w:eastAsia="宋体" w:cs="宋体"/>
          <w:color w:val="auto"/>
          <w:kern w:val="0"/>
          <w:szCs w:val="21"/>
          <w:highlight w:val="none"/>
        </w:rPr>
        <w:t>1920*1080，刷新率</w:t>
      </w:r>
      <w:r>
        <w:rPr>
          <w:rFonts w:hint="eastAsia" w:ascii="Times New Roman" w:hAnsi="Times New Roman" w:eastAsia="宋体" w:cs="宋体"/>
          <w:color w:val="auto"/>
          <w:szCs w:val="21"/>
          <w:highlight w:val="none"/>
        </w:rPr>
        <w:t>≥</w:t>
      </w:r>
      <w:r>
        <w:rPr>
          <w:rFonts w:hint="eastAsia" w:ascii="Times New Roman" w:hAnsi="Times New Roman" w:eastAsia="宋体" w:cs="宋体"/>
          <w:color w:val="auto"/>
          <w:kern w:val="0"/>
          <w:szCs w:val="21"/>
          <w:highlight w:val="none"/>
        </w:rPr>
        <w:t>75Hz；</w:t>
      </w:r>
    </w:p>
    <w:p w14:paraId="5D299F10">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2.4.1.10 电源控制机柜</w:t>
      </w:r>
    </w:p>
    <w:p w14:paraId="493E8271">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1）配电箱的外形尺寸为：600（W）x 1000（D）x 2000（H）,；</w:t>
      </w:r>
    </w:p>
    <w:p w14:paraId="33142D4B">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2）开关元器件采用ABB、施耐德、西门子等或具备同等质量的品牌产品；</w:t>
      </w:r>
    </w:p>
    <w:p w14:paraId="1C3C02A7">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2）配电箱结构为前单开门；</w:t>
      </w:r>
    </w:p>
    <w:p w14:paraId="48DB5AC1">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3）材质：不锈钢304；</w:t>
      </w:r>
    </w:p>
    <w:p w14:paraId="24283A3A">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4）防护等级：IP55；</w:t>
      </w:r>
    </w:p>
    <w:p w14:paraId="19289ED8">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5）配电箱应有防雷击和防过电压措施；</w:t>
      </w:r>
    </w:p>
    <w:p w14:paraId="176524DE">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6）配电箱底部进线，应有可靠保护接地端子；</w:t>
      </w:r>
    </w:p>
    <w:p w14:paraId="7ED77F9B">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2.4.1.11 UPS不间断电源</w:t>
      </w:r>
      <w:bookmarkEnd w:id="520"/>
    </w:p>
    <w:p w14:paraId="68B4576F">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1）输入电压：AC380V±20％，50Hz±10％，三相；</w:t>
      </w:r>
    </w:p>
    <w:p w14:paraId="5DCC83E3">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2）输出电压：三相或单相，相电压:220V 2％，50Hz 0.2％；</w:t>
      </w:r>
    </w:p>
    <w:p w14:paraId="78AEDA92">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3）输出功率：40KVA，2小时；</w:t>
      </w:r>
    </w:p>
    <w:p w14:paraId="25EB179A">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4）输出波形：正弦波，谐波失真≤3％THD；</w:t>
      </w:r>
    </w:p>
    <w:p w14:paraId="3CFB253E">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5）模块化UPS，带安装柜；</w:t>
      </w:r>
    </w:p>
    <w:p w14:paraId="6C99316B">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6）蓄电池寿命：10年，免维护；</w:t>
      </w:r>
    </w:p>
    <w:p w14:paraId="1D11A1AF">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7）负荷峰值因数：5：1；</w:t>
      </w:r>
    </w:p>
    <w:p w14:paraId="516F0ADF">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8）过载能力：125％时10min，150％时1min；</w:t>
      </w:r>
    </w:p>
    <w:p w14:paraId="7D83A019">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9）在线式运行方式，自动切换旁路工作，无切换时间；</w:t>
      </w:r>
    </w:p>
    <w:p w14:paraId="2694BD10">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10）微处理器控制，全自动操作，有RS-232通信接口；</w:t>
      </w:r>
    </w:p>
    <w:p w14:paraId="13BEA1A7">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11）平均故障间隔时间（MTBF）：≥50000小时。</w:t>
      </w:r>
      <w:bookmarkStart w:id="521" w:name="_Toc419661333"/>
    </w:p>
    <w:p w14:paraId="71A9A610">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12）带以太网通讯端口；</w:t>
      </w:r>
    </w:p>
    <w:p w14:paraId="4A111BCC">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bCs/>
          <w:color w:val="auto"/>
          <w:szCs w:val="21"/>
          <w:highlight w:val="none"/>
        </w:rPr>
        <w:t>13）</w:t>
      </w:r>
      <w:r>
        <w:rPr>
          <w:rFonts w:hint="eastAsia" w:ascii="Times New Roman" w:hAnsi="Times New Roman" w:eastAsia="宋体" w:cs="宋体"/>
          <w:color w:val="auto"/>
          <w:szCs w:val="21"/>
          <w:highlight w:val="none"/>
        </w:rPr>
        <w:t>三年原厂工程师售后保修服务；</w:t>
      </w:r>
    </w:p>
    <w:bookmarkEnd w:id="521"/>
    <w:p w14:paraId="7C7F9490">
      <w:pPr>
        <w:snapToGrid w:val="0"/>
        <w:spacing w:line="360" w:lineRule="auto"/>
        <w:outlineLvl w:val="5"/>
        <w:rPr>
          <w:rFonts w:ascii="Times New Roman" w:hAnsi="Times New Roman" w:eastAsia="宋体" w:cs="宋体"/>
          <w:b/>
          <w:bCs/>
          <w:color w:val="auto"/>
          <w:szCs w:val="21"/>
          <w:highlight w:val="none"/>
        </w:rPr>
      </w:pPr>
      <w:bookmarkStart w:id="522" w:name="_Toc419661335"/>
      <w:r>
        <w:rPr>
          <w:rFonts w:hint="eastAsia" w:ascii="Times New Roman" w:hAnsi="Times New Roman" w:eastAsia="宋体" w:cs="宋体"/>
          <w:b/>
          <w:color w:val="auto"/>
          <w:szCs w:val="21"/>
          <w:highlight w:val="none"/>
        </w:rPr>
        <w:t>2.4.1.12操作系统、办公软件</w:t>
      </w:r>
      <w:bookmarkEnd w:id="522"/>
    </w:p>
    <w:p w14:paraId="0F2BA1FB">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系统与软件（包括但不限于</w:t>
      </w:r>
      <w:bookmarkStart w:id="523" w:name="_Toc419661336"/>
      <w:r>
        <w:rPr>
          <w:rFonts w:hint="eastAsia" w:ascii="Times New Roman" w:hAnsi="Times New Roman" w:eastAsia="宋体" w:cs="宋体"/>
          <w:color w:val="auto"/>
          <w:szCs w:val="21"/>
          <w:highlight w:val="none"/>
        </w:rPr>
        <w:t>办公软件、操作系统软件、数据库软件、组态软件、工业数据采集软件等）须是正版授权软件。</w:t>
      </w:r>
    </w:p>
    <w:p w14:paraId="1A34D483">
      <w:pPr>
        <w:snapToGrid w:val="0"/>
        <w:spacing w:line="360" w:lineRule="auto"/>
        <w:ind w:firstLine="422" w:firstLineChars="200"/>
        <w:rPr>
          <w:rFonts w:ascii="Times New Roman" w:hAnsi="Times New Roman" w:eastAsia="宋体" w:cs="宋体"/>
          <w:color w:val="auto"/>
          <w:szCs w:val="21"/>
          <w:highlight w:val="none"/>
        </w:rPr>
      </w:pPr>
      <w:r>
        <w:rPr>
          <w:rFonts w:hint="eastAsia" w:ascii="Times New Roman" w:hAnsi="Times New Roman" w:eastAsia="宋体" w:cs="宋体"/>
          <w:b/>
          <w:color w:val="auto"/>
          <w:szCs w:val="21"/>
          <w:highlight w:val="none"/>
        </w:rPr>
        <w:t>与设备、系统配套的系统软件应至少承诺免费升级一次。</w:t>
      </w:r>
    </w:p>
    <w:p w14:paraId="7D5B4E17">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1）监控工作站操作系统不低于微软Windows 10专业版；</w:t>
      </w:r>
    </w:p>
    <w:p w14:paraId="183F4D2A">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2）服务器操作系统不低于微软Windows Server 2022；</w:t>
      </w:r>
    </w:p>
    <w:p w14:paraId="270DD02D">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3）每台计算机需配置办公软件，且等同或高于微软Office 365 2023；</w:t>
      </w:r>
    </w:p>
    <w:p w14:paraId="24711DA3">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4）操作系统不可以采用OEM版本；</w:t>
      </w:r>
    </w:p>
    <w:p w14:paraId="494BF9C4">
      <w:pPr>
        <w:snapToGrid w:val="0"/>
        <w:spacing w:line="360" w:lineRule="auto"/>
        <w:outlineLvl w:val="5"/>
        <w:rPr>
          <w:rFonts w:ascii="Times New Roman" w:hAnsi="Times New Roman" w:eastAsia="宋体" w:cs="宋体"/>
          <w:color w:val="auto"/>
          <w:szCs w:val="21"/>
          <w:highlight w:val="none"/>
        </w:rPr>
      </w:pPr>
      <w:r>
        <w:rPr>
          <w:rFonts w:hint="eastAsia" w:ascii="Times New Roman" w:hAnsi="Times New Roman" w:eastAsia="宋体" w:cs="宋体"/>
          <w:b/>
          <w:color w:val="auto"/>
          <w:szCs w:val="21"/>
          <w:highlight w:val="none"/>
        </w:rPr>
        <w:t>2.4.1.13 SCADA组态开发与运行软件</w:t>
      </w:r>
    </w:p>
    <w:p w14:paraId="7A741047">
      <w:pPr>
        <w:numPr>
          <w:ilvl w:val="0"/>
          <w:numId w:val="26"/>
        </w:numPr>
        <w:spacing w:line="360" w:lineRule="auto"/>
        <w:ind w:left="0"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本系统中心端监控组态软件采用不低于15万点配置，不低于企业版配置。</w:t>
      </w:r>
    </w:p>
    <w:p w14:paraId="16A223AE">
      <w:pPr>
        <w:numPr>
          <w:ilvl w:val="0"/>
          <w:numId w:val="26"/>
        </w:numPr>
        <w:spacing w:line="360" w:lineRule="auto"/>
        <w:ind w:left="0"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运行系统应支持大画面的设计，支持大画面应达到32000*32000分辨率；运行系统应支持画面无极缩放；画面应该支持GDI+，支持真彩色显示各种图形对象，支持过滤色和透明色；支持3D漫游，支持3ds、prb、dxf、md2、ive等3d模型。</w:t>
      </w:r>
    </w:p>
    <w:p w14:paraId="5F18589B">
      <w:pPr>
        <w:numPr>
          <w:ilvl w:val="0"/>
          <w:numId w:val="26"/>
        </w:numPr>
        <w:spacing w:line="360" w:lineRule="auto"/>
        <w:ind w:left="0"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SCADA产品应提供对工艺流程及算法的加密处理。SCADA产品启动的所有进程，其CPU占用均衡，内存、GDI、句柄不会发生泄漏。SCADA产品可以识别被篡改和伪造的数据文件，并能够输出预先定义的状态。存储到硬盘的数据文件具有专有格式，未经授权不可查阅SCADA产品的数据。需提供“国家工业控制系统与产品安全质量监督检验中心”出具的组态软件产品安全功能测评报告证明。</w:t>
      </w:r>
    </w:p>
    <w:p w14:paraId="63BC3617">
      <w:pPr>
        <w:numPr>
          <w:ilvl w:val="0"/>
          <w:numId w:val="26"/>
        </w:numPr>
        <w:spacing w:line="360" w:lineRule="auto"/>
        <w:ind w:left="0"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多种冗余解决方案，冗余机之间应具备专用的冗余探测通道（如专用的网卡或者串口等），实现实时数据同步.历史报警数据缓存，在发生故障时能够进行数据备份和恢复，支持独立的冗余探测通道，快速的实现冗余切换。</w:t>
      </w:r>
    </w:p>
    <w:p w14:paraId="60C05636">
      <w:pPr>
        <w:numPr>
          <w:ilvl w:val="0"/>
          <w:numId w:val="26"/>
        </w:numPr>
        <w:spacing w:line="360" w:lineRule="auto"/>
        <w:ind w:left="0"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系统用户应有唯一标识，用户密码应密文显示且加密存储，系统默认用户首次登陆应强制修改默认密码。系统应有定期修改密码的策略，防止用户通过多次登录尝试获取密码。网络架构部署，需有统一用户数据管理中心进行用户管理和用户数据同步。</w:t>
      </w:r>
    </w:p>
    <w:p w14:paraId="25013770">
      <w:pPr>
        <w:numPr>
          <w:ilvl w:val="0"/>
          <w:numId w:val="26"/>
        </w:numPr>
        <w:spacing w:line="360" w:lineRule="auto"/>
        <w:ind w:left="0"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良好的开放性，提供多种渠道与第三方软件进行整合，支持OPC、DDE、API、Active控件方式，提供自动化接口、.NET接口、OLE接口。</w:t>
      </w:r>
    </w:p>
    <w:p w14:paraId="052DAA5C">
      <w:pPr>
        <w:numPr>
          <w:ilvl w:val="0"/>
          <w:numId w:val="26"/>
        </w:numPr>
        <w:spacing w:line="360" w:lineRule="auto"/>
        <w:ind w:left="0"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支持远程部署。客户端应用工程支持一键式远程部署，在工程师站可远程启动、停止工程。</w:t>
      </w:r>
    </w:p>
    <w:p w14:paraId="6930AAA3">
      <w:pPr>
        <w:numPr>
          <w:ilvl w:val="0"/>
          <w:numId w:val="26"/>
        </w:numPr>
        <w:spacing w:line="360" w:lineRule="auto"/>
        <w:ind w:left="0"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简便的HTML5 WEB发布功能。具备传统的组态软件中基于TCP/IP的WEB发布功能，将Web功能与软件系统集成在一起，利用SCADA软件的Web发布功能将监控组态画面进行发布，从而使管理层的计算机在不需要额外安装软件的情况下，使用IE浏览器即可查看到现场运行的画面，进行数据的监视、报警查看、报表查询等功能，并在相应权限下进行操作。IE客户端需要获得与组态软件运行系统相同的监控画面，IE客户端和WEB发布服务器保持高效的数据同步，通过网络用户能够在任何地方获得与在WEB服务器上一样的画面和数据显示、报警显示、趋势曲线显示等，以及方便快捷的控制功能。</w:t>
      </w:r>
    </w:p>
    <w:p w14:paraId="48CC509A">
      <w:pPr>
        <w:numPr>
          <w:ilvl w:val="0"/>
          <w:numId w:val="26"/>
        </w:numPr>
        <w:spacing w:line="360" w:lineRule="auto"/>
        <w:ind w:left="0"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支持双机冗余，数据采集冗余，采集设备冗余。</w:t>
      </w:r>
    </w:p>
    <w:p w14:paraId="32C53A45">
      <w:pPr>
        <w:numPr>
          <w:ilvl w:val="0"/>
          <w:numId w:val="26"/>
        </w:numPr>
        <w:spacing w:line="360" w:lineRule="auto"/>
        <w:ind w:left="0" w:firstLine="420" w:firstLineChars="200"/>
        <w:rPr>
          <w:rFonts w:ascii="Times New Roman" w:hAnsi="Times New Roman" w:eastAsia="宋体" w:cs="Times New Roman"/>
          <w:color w:val="auto"/>
          <w:szCs w:val="24"/>
          <w:highlight w:val="none"/>
        </w:rPr>
      </w:pPr>
      <w:r>
        <w:rPr>
          <w:rFonts w:hint="eastAsia" w:ascii="Times New Roman" w:hAnsi="Times New Roman" w:eastAsia="宋体" w:cs="宋体"/>
          <w:color w:val="auto"/>
          <w:kern w:val="0"/>
          <w:szCs w:val="21"/>
          <w:highlight w:val="none"/>
        </w:rPr>
        <w:t>多级别的用户安全。多用户、多角色、多级别管理，多级验证用户登录，在线浏览登录用户。</w:t>
      </w:r>
    </w:p>
    <w:p w14:paraId="427A0EEC">
      <w:pPr>
        <w:numPr>
          <w:ilvl w:val="0"/>
          <w:numId w:val="26"/>
        </w:numPr>
        <w:spacing w:line="360" w:lineRule="auto"/>
        <w:ind w:left="0"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模型的高效复用。支持数据模型和图形模型。</w:t>
      </w:r>
    </w:p>
    <w:p w14:paraId="5FDC3C82">
      <w:pPr>
        <w:numPr>
          <w:ilvl w:val="0"/>
          <w:numId w:val="26"/>
        </w:numPr>
        <w:spacing w:line="360" w:lineRule="auto"/>
        <w:ind w:left="0"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多样化的数据报警和事件。</w:t>
      </w:r>
    </w:p>
    <w:p w14:paraId="77F7228A">
      <w:pPr>
        <w:numPr>
          <w:ilvl w:val="0"/>
          <w:numId w:val="26"/>
        </w:numPr>
        <w:spacing w:line="360" w:lineRule="auto"/>
        <w:ind w:left="0"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灵活的报表系统。向导式报表，分级报表，可视化数据集查询报表。</w:t>
      </w:r>
    </w:p>
    <w:p w14:paraId="3B559824">
      <w:pPr>
        <w:snapToGrid w:val="0"/>
        <w:spacing w:line="360" w:lineRule="auto"/>
        <w:outlineLvl w:val="5"/>
        <w:rPr>
          <w:rFonts w:ascii="Times New Roman" w:hAnsi="Times New Roman" w:eastAsia="宋体" w:cs="宋体"/>
          <w:color w:val="auto"/>
          <w:szCs w:val="21"/>
          <w:highlight w:val="none"/>
        </w:rPr>
      </w:pPr>
      <w:r>
        <w:rPr>
          <w:rFonts w:hint="eastAsia" w:ascii="Times New Roman" w:hAnsi="Times New Roman" w:eastAsia="宋体" w:cs="宋体"/>
          <w:b/>
          <w:color w:val="auto"/>
          <w:szCs w:val="21"/>
          <w:highlight w:val="none"/>
        </w:rPr>
        <w:t>2.4.1.14 数据采集服务器</w:t>
      </w:r>
    </w:p>
    <w:p w14:paraId="5F04F38D">
      <w:pPr>
        <w:numPr>
          <w:ilvl w:val="255"/>
          <w:numId w:val="0"/>
        </w:numPr>
        <w:spacing w:line="360" w:lineRule="auto"/>
        <w:ind w:firstLine="420" w:firstLineChars="200"/>
        <w:rPr>
          <w:rFonts w:ascii="Times New Roman" w:hAnsi="Times New Roman" w:eastAsia="宋体" w:cs="Times New Roman"/>
          <w:color w:val="auto"/>
          <w:szCs w:val="24"/>
          <w:highlight w:val="none"/>
          <w:lang w:bidi="ar"/>
        </w:rPr>
      </w:pPr>
      <w:r>
        <w:rPr>
          <w:rFonts w:hint="eastAsia" w:ascii="Times New Roman" w:hAnsi="Times New Roman" w:eastAsia="宋体" w:cs="Times New Roman"/>
          <w:color w:val="auto"/>
          <w:szCs w:val="24"/>
          <w:highlight w:val="none"/>
          <w:lang w:bidi="ar"/>
        </w:rPr>
        <w:t>1）机架式，1U或2U；</w:t>
      </w:r>
    </w:p>
    <w:p w14:paraId="3DDB6404">
      <w:pPr>
        <w:numPr>
          <w:ilvl w:val="0"/>
          <w:numId w:val="27"/>
        </w:numPr>
        <w:spacing w:line="360" w:lineRule="auto"/>
        <w:ind w:firstLine="420" w:firstLineChars="200"/>
        <w:rPr>
          <w:rFonts w:ascii="Times New Roman" w:hAnsi="Times New Roman" w:eastAsia="宋体" w:cs="Times New Roman"/>
          <w:color w:val="auto"/>
          <w:szCs w:val="24"/>
          <w:highlight w:val="none"/>
          <w:lang w:bidi="ar"/>
        </w:rPr>
      </w:pPr>
      <w:r>
        <w:rPr>
          <w:rFonts w:hint="eastAsia" w:ascii="Times New Roman" w:hAnsi="Times New Roman" w:eastAsia="宋体" w:cs="Times New Roman"/>
          <w:color w:val="auto"/>
          <w:szCs w:val="24"/>
          <w:highlight w:val="none"/>
          <w:lang w:bidi="ar"/>
        </w:rPr>
        <w:t>CPU：不低于英特尔 至强 E-2356G，6核心12线程，12MB缓存，基本频率3.2GHz；</w:t>
      </w:r>
    </w:p>
    <w:p w14:paraId="5E6C1D43">
      <w:pPr>
        <w:numPr>
          <w:ilvl w:val="0"/>
          <w:numId w:val="27"/>
        </w:num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bidi="ar"/>
        </w:rPr>
        <w:t>内存：</w:t>
      </w:r>
      <w:r>
        <w:rPr>
          <w:rFonts w:hint="eastAsia"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lang w:bidi="ar"/>
        </w:rPr>
        <w:t>16GB；</w:t>
      </w:r>
    </w:p>
    <w:p w14:paraId="7D75E6AB">
      <w:pPr>
        <w:numPr>
          <w:ilvl w:val="0"/>
          <w:numId w:val="27"/>
        </w:numPr>
        <w:spacing w:before="120" w:line="360" w:lineRule="auto"/>
        <w:ind w:firstLine="420" w:firstLineChars="200"/>
        <w:rPr>
          <w:rFonts w:ascii="Times New Roman" w:hAnsi="Times New Roman" w:eastAsia="宋体" w:cs="Times New Roman"/>
          <w:color w:val="auto"/>
          <w:szCs w:val="24"/>
          <w:highlight w:val="none"/>
          <w:lang w:bidi="ar"/>
        </w:rPr>
      </w:pPr>
      <w:r>
        <w:rPr>
          <w:rFonts w:hint="eastAsia" w:ascii="Times New Roman" w:hAnsi="Times New Roman" w:eastAsia="宋体" w:cs="Times New Roman"/>
          <w:color w:val="auto"/>
          <w:szCs w:val="24"/>
          <w:highlight w:val="none"/>
          <w:lang w:bidi="ar"/>
        </w:rPr>
        <w:t>储存：</w:t>
      </w:r>
      <w:r>
        <w:rPr>
          <w:rFonts w:hint="eastAsia" w:ascii="Times New Roman" w:hAnsi="Times New Roman" w:eastAsia="宋体" w:cs="Times New Roman"/>
          <w:color w:val="auto"/>
          <w:sz w:val="24"/>
          <w:szCs w:val="20"/>
          <w:highlight w:val="none"/>
        </w:rPr>
        <w:t>≥</w:t>
      </w:r>
      <w:r>
        <w:rPr>
          <w:rFonts w:hint="eastAsia" w:ascii="Times New Roman" w:hAnsi="Times New Roman" w:eastAsia="宋体" w:cs="Times New Roman"/>
          <w:color w:val="auto"/>
          <w:szCs w:val="24"/>
          <w:highlight w:val="none"/>
          <w:lang w:bidi="ar"/>
        </w:rPr>
        <w:t>512GB固态硬盘</w:t>
      </w:r>
    </w:p>
    <w:p w14:paraId="706B96C6">
      <w:pPr>
        <w:numPr>
          <w:ilvl w:val="0"/>
          <w:numId w:val="27"/>
        </w:num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电源：≥350W，</w:t>
      </w:r>
      <w:r>
        <w:rPr>
          <w:rFonts w:hint="eastAsia" w:ascii="Times New Roman" w:hAnsi="Times New Roman" w:eastAsia="宋体" w:cs="宋体"/>
          <w:bCs/>
          <w:color w:val="auto"/>
          <w:szCs w:val="21"/>
          <w:highlight w:val="none"/>
        </w:rPr>
        <w:t>80PLUS认证不低于金牌，电源效率≥90%</w:t>
      </w:r>
    </w:p>
    <w:p w14:paraId="6D81FE62">
      <w:pPr>
        <w:numPr>
          <w:ilvl w:val="255"/>
          <w:numId w:val="0"/>
        </w:numPr>
        <w:spacing w:line="360" w:lineRule="auto"/>
        <w:outlineLvl w:val="5"/>
        <w:rPr>
          <w:rFonts w:ascii="Times New Roman" w:hAnsi="Times New Roman" w:eastAsia="宋体" w:cs="Times New Roman"/>
          <w:color w:val="auto"/>
          <w:szCs w:val="24"/>
          <w:highlight w:val="none"/>
        </w:rPr>
      </w:pPr>
      <w:r>
        <w:rPr>
          <w:rFonts w:hint="eastAsia" w:ascii="Times New Roman" w:hAnsi="Times New Roman" w:eastAsia="宋体" w:cs="宋体"/>
          <w:b/>
          <w:color w:val="auto"/>
          <w:szCs w:val="21"/>
          <w:highlight w:val="none"/>
        </w:rPr>
        <w:t>2.4.1.15 数据采集软件</w:t>
      </w:r>
    </w:p>
    <w:p w14:paraId="59A01ED6">
      <w:pPr>
        <w:numPr>
          <w:ilvl w:val="0"/>
          <w:numId w:val="28"/>
        </w:numPr>
        <w:spacing w:line="360" w:lineRule="auto"/>
        <w:rPr>
          <w:rFonts w:ascii="Times New Roman" w:hAnsi="Times New Roman" w:eastAsia="宋体" w:cs="Times New Roman"/>
          <w:color w:val="auto"/>
          <w:szCs w:val="24"/>
          <w:highlight w:val="none"/>
        </w:rPr>
      </w:pPr>
      <w:r>
        <w:rPr>
          <w:rFonts w:hint="eastAsia" w:ascii="Times New Roman" w:hAnsi="Times New Roman" w:eastAsia="宋体" w:cs="宋体"/>
          <w:color w:val="auto"/>
          <w:kern w:val="0"/>
          <w:sz w:val="22"/>
          <w:highlight w:val="none"/>
          <w:lang w:bidi="ar"/>
        </w:rPr>
        <w:t>在线组态开发，避免停机数采中断，具备运行监视诊断，帮助用户及时发现通讯故障所在。</w:t>
      </w:r>
    </w:p>
    <w:p w14:paraId="5AC33674">
      <w:pPr>
        <w:numPr>
          <w:ilvl w:val="0"/>
          <w:numId w:val="28"/>
        </w:numPr>
        <w:spacing w:line="360" w:lineRule="auto"/>
        <w:rPr>
          <w:rFonts w:ascii="Times New Roman" w:hAnsi="Times New Roman" w:eastAsia="宋体" w:cs="宋体"/>
          <w:color w:val="auto"/>
          <w:kern w:val="0"/>
          <w:sz w:val="22"/>
          <w:highlight w:val="none"/>
          <w:lang w:bidi="ar"/>
        </w:rPr>
      </w:pPr>
      <w:r>
        <w:rPr>
          <w:rFonts w:hint="eastAsia" w:ascii="Times New Roman" w:hAnsi="Times New Roman" w:eastAsia="宋体" w:cs="宋体"/>
          <w:color w:val="auto"/>
          <w:kern w:val="0"/>
          <w:sz w:val="22"/>
          <w:highlight w:val="none"/>
          <w:lang w:bidi="ar"/>
        </w:rPr>
        <w:t>基于数据块的数据采集，高速精确获取数据，支持双机.双网.双设备冗余，提供OPC DA接口。</w:t>
      </w:r>
    </w:p>
    <w:p w14:paraId="53D3950E">
      <w:pPr>
        <w:numPr>
          <w:ilvl w:val="0"/>
          <w:numId w:val="28"/>
        </w:numPr>
        <w:spacing w:line="360" w:lineRule="auto"/>
        <w:rPr>
          <w:rFonts w:ascii="Times New Roman" w:hAnsi="Times New Roman" w:eastAsia="宋体" w:cs="宋体"/>
          <w:color w:val="auto"/>
          <w:kern w:val="0"/>
          <w:sz w:val="22"/>
          <w:highlight w:val="none"/>
          <w:lang w:bidi="ar"/>
        </w:rPr>
      </w:pPr>
      <w:r>
        <w:rPr>
          <w:rFonts w:hint="eastAsia" w:ascii="Times New Roman" w:hAnsi="Times New Roman" w:eastAsia="宋体" w:cs="宋体"/>
          <w:color w:val="auto"/>
          <w:kern w:val="0"/>
          <w:sz w:val="22"/>
          <w:highlight w:val="none"/>
          <w:lang w:bidi="ar"/>
        </w:rPr>
        <w:t>支持同时采集各种PLC（包括但不限于西门子、倍福、贝加莱、艾默生、施耐德、AB、三菱、欧姆龙等主流品牌）、仪表、变频器、板卡、RTU等设备的数据；应支持电话拨号、电台、GPRS、VPN等远程多种通讯方式具有很强的兼容性，以方便项目硬件设备选型和以后硬件系统升级改造。</w:t>
      </w:r>
    </w:p>
    <w:p w14:paraId="636C2157">
      <w:pPr>
        <w:numPr>
          <w:ilvl w:val="0"/>
          <w:numId w:val="28"/>
        </w:numPr>
        <w:spacing w:line="360" w:lineRule="auto"/>
        <w:rPr>
          <w:rFonts w:ascii="Times New Roman" w:hAnsi="Times New Roman" w:eastAsia="宋体" w:cs="宋体"/>
          <w:color w:val="auto"/>
          <w:kern w:val="0"/>
          <w:sz w:val="22"/>
          <w:highlight w:val="none"/>
          <w:lang w:bidi="ar"/>
        </w:rPr>
      </w:pPr>
      <w:r>
        <w:rPr>
          <w:rFonts w:hint="eastAsia" w:ascii="Times New Roman" w:hAnsi="Times New Roman" w:eastAsia="宋体" w:cs="宋体"/>
          <w:color w:val="auto"/>
          <w:kern w:val="0"/>
          <w:sz w:val="22"/>
          <w:highlight w:val="none"/>
          <w:lang w:bidi="ar"/>
        </w:rPr>
        <w:t>支持在线监视和故障诊断。当某个数据点或者站点发生数据传输故障时，能够产生报警，通知相应人员进行处理。</w:t>
      </w:r>
    </w:p>
    <w:p w14:paraId="5ED9585F">
      <w:pPr>
        <w:numPr>
          <w:ilvl w:val="0"/>
          <w:numId w:val="28"/>
        </w:numPr>
        <w:spacing w:line="360" w:lineRule="auto"/>
        <w:rPr>
          <w:rFonts w:ascii="Times New Roman" w:hAnsi="Times New Roman" w:eastAsia="宋体" w:cs="宋体"/>
          <w:color w:val="auto"/>
          <w:kern w:val="0"/>
          <w:sz w:val="22"/>
          <w:highlight w:val="none"/>
          <w:lang w:bidi="ar"/>
        </w:rPr>
      </w:pPr>
      <w:r>
        <w:rPr>
          <w:rFonts w:hint="eastAsia" w:ascii="Times New Roman" w:hAnsi="Times New Roman" w:eastAsia="宋体" w:cs="宋体"/>
          <w:color w:val="auto"/>
          <w:kern w:val="0"/>
          <w:sz w:val="22"/>
          <w:highlight w:val="none"/>
          <w:lang w:bidi="ar"/>
        </w:rPr>
        <w:t>具有独立的实时库，支持独立创建变量、在线编辑变量、在线实时监视变量的功能。</w:t>
      </w:r>
    </w:p>
    <w:p w14:paraId="110D9917">
      <w:pPr>
        <w:numPr>
          <w:ilvl w:val="0"/>
          <w:numId w:val="28"/>
        </w:numPr>
        <w:spacing w:line="360" w:lineRule="auto"/>
        <w:rPr>
          <w:rFonts w:ascii="Times New Roman" w:hAnsi="Times New Roman" w:eastAsia="宋体" w:cs="宋体"/>
          <w:color w:val="auto"/>
          <w:kern w:val="0"/>
          <w:sz w:val="22"/>
          <w:highlight w:val="none"/>
          <w:lang w:bidi="ar"/>
        </w:rPr>
      </w:pPr>
      <w:r>
        <w:rPr>
          <w:rFonts w:hint="eastAsia" w:ascii="Times New Roman" w:hAnsi="Times New Roman" w:eastAsia="宋体" w:cs="宋体"/>
          <w:color w:val="auto"/>
          <w:kern w:val="0"/>
          <w:sz w:val="22"/>
          <w:highlight w:val="none"/>
          <w:lang w:bidi="ar"/>
        </w:rPr>
        <w:t>与SCADA实时服务器之间可支持分机部署，每个IOServer支持同时向SCADA、工业库、关系库等提供实时数据。</w:t>
      </w:r>
    </w:p>
    <w:p w14:paraId="512871D5">
      <w:pPr>
        <w:numPr>
          <w:ilvl w:val="0"/>
          <w:numId w:val="28"/>
        </w:numPr>
        <w:spacing w:line="360" w:lineRule="auto"/>
        <w:rPr>
          <w:rFonts w:ascii="Times New Roman" w:hAnsi="Times New Roman" w:eastAsia="宋体" w:cs="宋体"/>
          <w:color w:val="auto"/>
          <w:kern w:val="0"/>
          <w:sz w:val="22"/>
          <w:highlight w:val="none"/>
          <w:lang w:bidi="ar"/>
        </w:rPr>
      </w:pPr>
      <w:r>
        <w:rPr>
          <w:rFonts w:hint="eastAsia" w:ascii="Times New Roman" w:hAnsi="Times New Roman" w:eastAsia="宋体" w:cs="宋体"/>
          <w:color w:val="auto"/>
          <w:kern w:val="0"/>
          <w:sz w:val="22"/>
          <w:highlight w:val="none"/>
          <w:lang w:bidi="ar"/>
        </w:rPr>
        <w:t>支持设备远程启停，方便项目的调试和维护。</w:t>
      </w:r>
    </w:p>
    <w:p w14:paraId="6C207DE2">
      <w:pPr>
        <w:numPr>
          <w:ilvl w:val="0"/>
          <w:numId w:val="28"/>
        </w:numPr>
        <w:spacing w:line="360" w:lineRule="auto"/>
        <w:rPr>
          <w:rFonts w:ascii="Times New Roman" w:hAnsi="Times New Roman" w:eastAsia="宋体" w:cs="宋体"/>
          <w:color w:val="auto"/>
          <w:kern w:val="0"/>
          <w:sz w:val="22"/>
          <w:highlight w:val="none"/>
          <w:lang w:bidi="ar"/>
        </w:rPr>
      </w:pPr>
      <w:r>
        <w:rPr>
          <w:rFonts w:hint="eastAsia" w:ascii="Times New Roman" w:hAnsi="Times New Roman" w:eastAsia="宋体" w:cs="宋体"/>
          <w:color w:val="auto"/>
          <w:kern w:val="0"/>
          <w:sz w:val="22"/>
          <w:highlight w:val="none"/>
          <w:lang w:bidi="ar"/>
        </w:rPr>
        <w:t>支持OPCUA客户端、服务端，支持加密、签名、用户名和密码等方式访问方式。</w:t>
      </w:r>
    </w:p>
    <w:p w14:paraId="1B0B7411">
      <w:pPr>
        <w:numPr>
          <w:ilvl w:val="0"/>
          <w:numId w:val="28"/>
        </w:numPr>
        <w:spacing w:line="360" w:lineRule="auto"/>
        <w:rPr>
          <w:rFonts w:ascii="Times New Roman" w:hAnsi="Times New Roman" w:eastAsia="宋体" w:cs="宋体"/>
          <w:color w:val="auto"/>
          <w:kern w:val="0"/>
          <w:sz w:val="22"/>
          <w:highlight w:val="none"/>
          <w:lang w:bidi="ar"/>
        </w:rPr>
      </w:pPr>
      <w:r>
        <w:rPr>
          <w:rFonts w:hint="eastAsia" w:ascii="Times New Roman" w:hAnsi="Times New Roman" w:eastAsia="宋体" w:cs="宋体"/>
          <w:color w:val="auto"/>
          <w:kern w:val="0"/>
          <w:sz w:val="22"/>
          <w:highlight w:val="none"/>
          <w:lang w:bidi="ar"/>
        </w:rPr>
        <w:t>支持MQTT发布和订阅，支持JSON格式的定制开发。</w:t>
      </w:r>
    </w:p>
    <w:p w14:paraId="4AA23D1C">
      <w:pPr>
        <w:numPr>
          <w:ilvl w:val="0"/>
          <w:numId w:val="28"/>
        </w:numPr>
        <w:spacing w:line="360" w:lineRule="auto"/>
        <w:rPr>
          <w:rFonts w:ascii="Times New Roman" w:hAnsi="Times New Roman" w:eastAsia="宋体" w:cs="宋体"/>
          <w:color w:val="auto"/>
          <w:kern w:val="0"/>
          <w:sz w:val="22"/>
          <w:highlight w:val="none"/>
          <w:lang w:bidi="ar"/>
        </w:rPr>
      </w:pPr>
      <w:r>
        <w:rPr>
          <w:rFonts w:hint="eastAsia" w:ascii="Times New Roman" w:hAnsi="Times New Roman" w:eastAsia="宋体" w:cs="宋体"/>
          <w:color w:val="auto"/>
          <w:kern w:val="0"/>
          <w:sz w:val="22"/>
          <w:highlight w:val="none"/>
          <w:lang w:bidi="ar"/>
        </w:rPr>
        <w:t>与SCADA通讯应能支持加密传输。</w:t>
      </w:r>
    </w:p>
    <w:p w14:paraId="3ACD90F6">
      <w:pPr>
        <w:numPr>
          <w:ilvl w:val="0"/>
          <w:numId w:val="28"/>
        </w:numPr>
        <w:spacing w:line="360" w:lineRule="auto"/>
        <w:rPr>
          <w:rFonts w:ascii="Times New Roman" w:hAnsi="Times New Roman" w:eastAsia="宋体" w:cs="Times New Roman"/>
          <w:color w:val="auto"/>
          <w:szCs w:val="24"/>
          <w:highlight w:val="none"/>
        </w:rPr>
      </w:pPr>
      <w:r>
        <w:rPr>
          <w:rFonts w:hint="eastAsia" w:ascii="Times New Roman" w:hAnsi="Times New Roman" w:eastAsia="宋体" w:cs="宋体"/>
          <w:color w:val="auto"/>
          <w:kern w:val="0"/>
          <w:sz w:val="22"/>
          <w:highlight w:val="none"/>
          <w:lang w:bidi="ar"/>
        </w:rPr>
        <w:t>具备日志和运行监视，支持在线添加.删除变量，支持变量的导入导出功能，提供丰富的API接口，供第三方程序获取数据。</w:t>
      </w:r>
    </w:p>
    <w:p w14:paraId="0B81D2D8">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2.4.1.16网络安全设施</w:t>
      </w:r>
    </w:p>
    <w:p w14:paraId="4EA1AD80">
      <w:pPr>
        <w:spacing w:line="360" w:lineRule="auto"/>
        <w:ind w:firstLine="420" w:firstLineChars="200"/>
        <w:jc w:val="left"/>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污水厂网络安全建设需满足网络信息安全等级保护2.0要求；</w:t>
      </w:r>
    </w:p>
    <w:p w14:paraId="4D9502C1">
      <w:pPr>
        <w:spacing w:line="360" w:lineRule="auto"/>
        <w:ind w:firstLine="420" w:firstLineChars="200"/>
        <w:jc w:val="left"/>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中心工业防火墙、厂级工业防火墙、数据库审计系统、工业态势感知、入侵检测系统、安全运维管理系统、日志审计与分析系统、统一安全管理平台和工控主机卫士软件必须为统一品牌产品。</w:t>
      </w:r>
    </w:p>
    <w:p w14:paraId="0789D5E3">
      <w:pPr>
        <w:spacing w:line="360" w:lineRule="auto"/>
        <w:ind w:firstLine="420" w:firstLineChars="200"/>
        <w:jc w:val="left"/>
        <w:outlineLvl w:val="6"/>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1）中心工业</w:t>
      </w:r>
      <w:r>
        <w:rPr>
          <w:rFonts w:ascii="Times New Roman" w:hAnsi="Times New Roman" w:eastAsia="宋体" w:cs="Times New Roman"/>
          <w:color w:val="auto"/>
          <w:szCs w:val="24"/>
          <w:highlight w:val="none"/>
        </w:rPr>
        <w:t>防火墙：</w:t>
      </w:r>
    </w:p>
    <w:p w14:paraId="0C51417E">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2</w:t>
      </w:r>
      <w:r>
        <w:rPr>
          <w:rFonts w:ascii="Times New Roman" w:hAnsi="Times New Roman" w:eastAsia="宋体" w:cs="宋体"/>
          <w:bCs/>
          <w:color w:val="auto"/>
          <w:kern w:val="0"/>
          <w:szCs w:val="18"/>
          <w:highlight w:val="none"/>
        </w:rPr>
        <w:t>U机架式，</w:t>
      </w:r>
      <w:r>
        <w:rPr>
          <w:rFonts w:hint="eastAsia" w:ascii="Times New Roman" w:hAnsi="Times New Roman" w:eastAsia="宋体" w:cs="宋体"/>
          <w:bCs/>
          <w:color w:val="auto"/>
          <w:kern w:val="0"/>
          <w:szCs w:val="18"/>
          <w:highlight w:val="none"/>
        </w:rPr>
        <w:t>冗余电源；</w:t>
      </w:r>
    </w:p>
    <w:p w14:paraId="5E010185">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端口：</w:t>
      </w:r>
      <w:r>
        <w:rPr>
          <w:rFonts w:ascii="Times New Roman" w:hAnsi="Times New Roman" w:eastAsia="宋体" w:cs="宋体"/>
          <w:bCs/>
          <w:color w:val="auto"/>
          <w:kern w:val="0"/>
          <w:szCs w:val="18"/>
          <w:highlight w:val="none"/>
        </w:rPr>
        <w:t>千兆电口≥</w:t>
      </w:r>
      <w:r>
        <w:rPr>
          <w:rFonts w:hint="eastAsia" w:ascii="Times New Roman" w:hAnsi="Times New Roman" w:eastAsia="宋体" w:cs="宋体"/>
          <w:bCs/>
          <w:color w:val="auto"/>
          <w:kern w:val="0"/>
          <w:szCs w:val="18"/>
          <w:highlight w:val="none"/>
        </w:rPr>
        <w:t>16</w:t>
      </w:r>
      <w:r>
        <w:rPr>
          <w:rFonts w:ascii="Times New Roman" w:hAnsi="Times New Roman" w:eastAsia="宋体" w:cs="宋体"/>
          <w:bCs/>
          <w:color w:val="auto"/>
          <w:kern w:val="0"/>
          <w:szCs w:val="18"/>
          <w:highlight w:val="none"/>
        </w:rPr>
        <w:t>，万兆光口≥4，千兆光口≥</w:t>
      </w:r>
      <w:r>
        <w:rPr>
          <w:rFonts w:hint="eastAsia" w:ascii="Times New Roman" w:hAnsi="Times New Roman" w:eastAsia="宋体" w:cs="宋体"/>
          <w:bCs/>
          <w:color w:val="auto"/>
          <w:kern w:val="0"/>
          <w:szCs w:val="18"/>
          <w:highlight w:val="none"/>
        </w:rPr>
        <w:t>2</w:t>
      </w:r>
    </w:p>
    <w:p w14:paraId="6D94BB2A">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性能：</w:t>
      </w:r>
      <w:r>
        <w:rPr>
          <w:rFonts w:ascii="Times New Roman" w:hAnsi="Times New Roman" w:eastAsia="宋体" w:cs="宋体"/>
          <w:bCs/>
          <w:color w:val="auto"/>
          <w:kern w:val="0"/>
          <w:szCs w:val="18"/>
          <w:highlight w:val="none"/>
        </w:rPr>
        <w:t>集成IPS，防病毒，应用识别功能；防火墙吞吐量≥</w:t>
      </w:r>
      <w:r>
        <w:rPr>
          <w:rFonts w:hint="eastAsia" w:ascii="Times New Roman" w:hAnsi="Times New Roman" w:eastAsia="宋体" w:cs="宋体"/>
          <w:bCs/>
          <w:color w:val="auto"/>
          <w:kern w:val="0"/>
          <w:szCs w:val="18"/>
          <w:highlight w:val="none"/>
        </w:rPr>
        <w:t>20</w:t>
      </w:r>
      <w:r>
        <w:rPr>
          <w:rFonts w:ascii="Times New Roman" w:hAnsi="Times New Roman" w:eastAsia="宋体" w:cs="宋体"/>
          <w:bCs/>
          <w:color w:val="auto"/>
          <w:kern w:val="0"/>
          <w:szCs w:val="18"/>
          <w:highlight w:val="none"/>
        </w:rPr>
        <w:t>Gbps，最大并发连接数≥</w:t>
      </w:r>
      <w:r>
        <w:rPr>
          <w:rFonts w:hint="eastAsia" w:ascii="Times New Roman" w:hAnsi="Times New Roman" w:eastAsia="宋体" w:cs="宋体"/>
          <w:bCs/>
          <w:color w:val="auto"/>
          <w:kern w:val="0"/>
          <w:szCs w:val="18"/>
          <w:highlight w:val="none"/>
        </w:rPr>
        <w:t>2</w:t>
      </w:r>
      <w:r>
        <w:rPr>
          <w:rFonts w:ascii="Times New Roman" w:hAnsi="Times New Roman" w:eastAsia="宋体" w:cs="宋体"/>
          <w:bCs/>
          <w:color w:val="auto"/>
          <w:kern w:val="0"/>
          <w:szCs w:val="18"/>
          <w:highlight w:val="none"/>
        </w:rPr>
        <w:t>00万，每秒新建连接数≥</w:t>
      </w:r>
      <w:r>
        <w:rPr>
          <w:rFonts w:hint="eastAsia" w:ascii="Times New Roman" w:hAnsi="Times New Roman" w:eastAsia="宋体" w:cs="宋体"/>
          <w:bCs/>
          <w:color w:val="auto"/>
          <w:kern w:val="0"/>
          <w:szCs w:val="18"/>
          <w:highlight w:val="none"/>
        </w:rPr>
        <w:t>2</w:t>
      </w:r>
      <w:r>
        <w:rPr>
          <w:rFonts w:ascii="Times New Roman" w:hAnsi="Times New Roman" w:eastAsia="宋体" w:cs="宋体"/>
          <w:bCs/>
          <w:color w:val="auto"/>
          <w:kern w:val="0"/>
          <w:szCs w:val="18"/>
          <w:highlight w:val="none"/>
        </w:rPr>
        <w:t>万；</w:t>
      </w:r>
    </w:p>
    <w:p w14:paraId="2573EFF9">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功能：</w:t>
      </w:r>
    </w:p>
    <w:p w14:paraId="039BD445">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ascii="Times New Roman" w:hAnsi="Times New Roman" w:eastAsia="宋体" w:cs="宋体"/>
          <w:bCs/>
          <w:color w:val="auto"/>
          <w:kern w:val="0"/>
          <w:szCs w:val="18"/>
          <w:highlight w:val="none"/>
        </w:rPr>
        <w:t>自带态势感知系统的流量分析组件；</w:t>
      </w:r>
    </w:p>
    <w:p w14:paraId="5578C121">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ascii="Times New Roman" w:hAnsi="Times New Roman" w:eastAsia="宋体" w:cs="宋体"/>
          <w:bCs/>
          <w:color w:val="auto"/>
          <w:kern w:val="0"/>
          <w:szCs w:val="18"/>
          <w:highlight w:val="none"/>
        </w:rPr>
        <w:t>支持透明、路由、交换、旁路或混合多种部署模式；</w:t>
      </w:r>
    </w:p>
    <w:p w14:paraId="4D0E34F8">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ascii="Times New Roman" w:hAnsi="Times New Roman" w:eastAsia="宋体" w:cs="宋体"/>
          <w:bCs/>
          <w:color w:val="auto"/>
          <w:kern w:val="0"/>
          <w:szCs w:val="18"/>
          <w:highlight w:val="none"/>
        </w:rPr>
        <w:t>支持双机热备，支持主主及主备模式，主备模式支持自动同步策略，主主模式支持会话同步</w:t>
      </w:r>
      <w:r>
        <w:rPr>
          <w:rFonts w:hint="eastAsia" w:ascii="Times New Roman" w:hAnsi="Times New Roman" w:eastAsia="宋体" w:cs="宋体"/>
          <w:bCs/>
          <w:color w:val="auto"/>
          <w:kern w:val="0"/>
          <w:szCs w:val="18"/>
          <w:highlight w:val="none"/>
        </w:rPr>
        <w:t>，</w:t>
      </w:r>
      <w:r>
        <w:rPr>
          <w:rFonts w:ascii="Times New Roman" w:hAnsi="Times New Roman" w:eastAsia="宋体" w:cs="宋体"/>
          <w:bCs/>
          <w:color w:val="auto"/>
          <w:kern w:val="0"/>
          <w:szCs w:val="18"/>
          <w:highlight w:val="none"/>
        </w:rPr>
        <w:t>支持基于流量的白名单自学习，可以通过自动学习生成协议白名单列表；支持学习后的白名单智能合并功能，降低白名单维护工作量；</w:t>
      </w:r>
    </w:p>
    <w:p w14:paraId="6845403C">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ascii="Times New Roman" w:hAnsi="Times New Roman" w:eastAsia="宋体" w:cs="宋体"/>
          <w:bCs/>
          <w:color w:val="auto"/>
          <w:kern w:val="0"/>
          <w:szCs w:val="18"/>
          <w:highlight w:val="none"/>
        </w:rPr>
        <w:t>支持基于组态工程文件直接生成白名单，并能追加到现有白名单模板或者重新生成新的白名单模板；</w:t>
      </w:r>
    </w:p>
    <w:p w14:paraId="3ACDC28A">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ascii="Times New Roman" w:hAnsi="Times New Roman" w:eastAsia="宋体" w:cs="宋体"/>
          <w:bCs/>
          <w:color w:val="auto"/>
          <w:kern w:val="0"/>
          <w:szCs w:val="18"/>
          <w:highlight w:val="none"/>
        </w:rPr>
        <w:t>支持不少于12种工业协议的深度解析；支持对OPC UA/DA、Modbus、S7的值域级细粒度工业协议解析能力；支持工控协议格式规约检查，禁止不符合协议规约的通信；</w:t>
      </w:r>
    </w:p>
    <w:p w14:paraId="473B87CC">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ascii="Times New Roman" w:hAnsi="Times New Roman" w:eastAsia="宋体" w:cs="宋体"/>
          <w:bCs/>
          <w:color w:val="auto"/>
          <w:kern w:val="0"/>
          <w:szCs w:val="18"/>
          <w:highlight w:val="none"/>
        </w:rPr>
        <w:t>支持基于IPv6的ACL访问控制、IPS和全局配置；</w:t>
      </w:r>
    </w:p>
    <w:p w14:paraId="78C6F38B">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ascii="Times New Roman" w:hAnsi="Times New Roman" w:eastAsia="宋体" w:cs="宋体"/>
          <w:bCs/>
          <w:color w:val="auto"/>
          <w:kern w:val="0"/>
          <w:szCs w:val="18"/>
          <w:highlight w:val="none"/>
        </w:rPr>
        <w:t>支持不少于10000条特征库，且支持工业安全事件特征库，如PLC程序上载下载、PLC变量写入、CPU状态设置等；</w:t>
      </w:r>
    </w:p>
    <w:p w14:paraId="09313303">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ascii="Times New Roman" w:hAnsi="Times New Roman" w:eastAsia="宋体" w:cs="宋体"/>
          <w:bCs/>
          <w:color w:val="auto"/>
          <w:kern w:val="0"/>
          <w:szCs w:val="18"/>
          <w:highlight w:val="none"/>
        </w:rPr>
        <w:t>要求支持1个镜像流量转出接口，在不影响工业防火墙对原始报文正常处理的情况下，将采集到的流量复制一份，通过镜像转出接口发送给监控设备；</w:t>
      </w:r>
    </w:p>
    <w:p w14:paraId="27D04C8E">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ascii="Times New Roman" w:hAnsi="Times New Roman" w:eastAsia="宋体" w:cs="宋体"/>
          <w:bCs/>
          <w:color w:val="auto"/>
          <w:kern w:val="0"/>
          <w:szCs w:val="18"/>
          <w:highlight w:val="none"/>
        </w:rPr>
        <w:t>要求支持一对一、多对一灵活的镜像配置；</w:t>
      </w:r>
    </w:p>
    <w:p w14:paraId="24EB5A64">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ascii="Times New Roman" w:hAnsi="Times New Roman" w:eastAsia="宋体" w:cs="宋体"/>
          <w:bCs/>
          <w:color w:val="auto"/>
          <w:kern w:val="0"/>
          <w:szCs w:val="18"/>
          <w:highlight w:val="none"/>
        </w:rPr>
        <w:t>要求支持对镜像流量的流入、流出和全部方向可进行自定义镜像；</w:t>
      </w:r>
    </w:p>
    <w:p w14:paraId="1F1452FA">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ascii="Times New Roman" w:hAnsi="Times New Roman" w:eastAsia="宋体" w:cs="宋体"/>
          <w:bCs/>
          <w:color w:val="auto"/>
          <w:kern w:val="0"/>
          <w:szCs w:val="18"/>
          <w:highlight w:val="none"/>
        </w:rPr>
        <w:t>支持将日志以syslog格式同时发送至最多三个日志服务器平台，支持国网电力标准日志格式；</w:t>
      </w:r>
    </w:p>
    <w:p w14:paraId="0DDA7D3E">
      <w:pPr>
        <w:numPr>
          <w:ilvl w:val="255"/>
          <w:numId w:val="0"/>
        </w:numPr>
        <w:snapToGrid w:val="0"/>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宋体"/>
          <w:bCs/>
          <w:color w:val="auto"/>
          <w:kern w:val="0"/>
          <w:szCs w:val="18"/>
          <w:highlight w:val="none"/>
        </w:rPr>
        <w:t>支持以FTP、POP3、SMTP协议进行传输的病毒文件查杀；</w:t>
      </w:r>
    </w:p>
    <w:p w14:paraId="13D5D7EC">
      <w:pPr>
        <w:snapToGrid w:val="0"/>
        <w:spacing w:line="360" w:lineRule="auto"/>
        <w:ind w:firstLine="420" w:firstLineChars="200"/>
        <w:outlineLvl w:val="6"/>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2）厂级</w:t>
      </w:r>
      <w:r>
        <w:rPr>
          <w:rFonts w:ascii="Times New Roman" w:hAnsi="Times New Roman" w:eastAsia="宋体" w:cs="宋体"/>
          <w:bCs/>
          <w:color w:val="auto"/>
          <w:kern w:val="0"/>
          <w:szCs w:val="18"/>
          <w:highlight w:val="none"/>
        </w:rPr>
        <w:t>工业防火墙：</w:t>
      </w:r>
    </w:p>
    <w:p w14:paraId="378F06CF">
      <w:pPr>
        <w:snapToGrid w:val="0"/>
        <w:spacing w:line="360" w:lineRule="auto"/>
        <w:ind w:firstLine="420" w:firstLineChars="200"/>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1U机架式，单电源；</w:t>
      </w:r>
    </w:p>
    <w:p w14:paraId="624A3A68">
      <w:pPr>
        <w:snapToGrid w:val="0"/>
        <w:spacing w:line="360" w:lineRule="auto"/>
        <w:ind w:firstLine="420" w:firstLineChars="200"/>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端口：千兆电口≥6；个千兆SFP光口≥2；</w:t>
      </w:r>
    </w:p>
    <w:p w14:paraId="48AEAB86">
      <w:pPr>
        <w:snapToGrid w:val="0"/>
        <w:spacing w:line="360" w:lineRule="auto"/>
        <w:ind w:firstLine="420" w:firstLineChars="200"/>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性能：网络吞吐量≥1G，并发连接≥300000；每秒新建：≥20000；支持工控黑名单规则应不小于5000条；</w:t>
      </w:r>
    </w:p>
    <w:p w14:paraId="3FF8C268">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功能：</w:t>
      </w:r>
    </w:p>
    <w:p w14:paraId="76F6B582">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支持透明、路由、交换、旁路或混合多种部署模式；</w:t>
      </w:r>
    </w:p>
    <w:p w14:paraId="140CE496">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支持双机热备，支持主主及主备模式，主备模式支持自动同步策略，主主模式支持会话同步；</w:t>
      </w:r>
    </w:p>
    <w:p w14:paraId="0983865F">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支持基于流量的白名单自学习，可以通过自动学习生成协议白名单列表；支持学习后的白名单智能合并功能，降低白名单维护工作量；</w:t>
      </w:r>
    </w:p>
    <w:p w14:paraId="47EAD6F6">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支持基于组态工程文件直接生成白名单，并能追加到现有白名单模板或者重新生成新的白名单模板；</w:t>
      </w:r>
    </w:p>
    <w:p w14:paraId="63F61E2B">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支持不少于12种工业协议的深度解析；支持对OPC UA/DA、Modbus、S7的值域级细粒度工业协议解析能力；支持工控协议格式规约检查，禁止不符合协议规约的通信；</w:t>
      </w:r>
    </w:p>
    <w:p w14:paraId="14264B1D">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支持基于IPv6的ACL访问控制、IPS和全局配置；</w:t>
      </w:r>
    </w:p>
    <w:p w14:paraId="40A88156">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支持不少于10000条特征库，且支持工业安全事件特征库，如PLC程序上载下载、PLC变量写入、CPU状态设置等；</w:t>
      </w:r>
    </w:p>
    <w:p w14:paraId="723C2EE6">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支持以FTP、POP3、SMTP协议进行传输的病毒文件查杀；</w:t>
      </w:r>
    </w:p>
    <w:p w14:paraId="7B4DE76B">
      <w:pPr>
        <w:snapToGrid w:val="0"/>
        <w:spacing w:line="360" w:lineRule="auto"/>
        <w:ind w:firstLine="420" w:firstLineChars="200"/>
        <w:outlineLvl w:val="6"/>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3）</w:t>
      </w:r>
      <w:r>
        <w:rPr>
          <w:rFonts w:ascii="Times New Roman" w:hAnsi="Times New Roman" w:eastAsia="宋体" w:cs="宋体"/>
          <w:bCs/>
          <w:color w:val="auto"/>
          <w:kern w:val="0"/>
          <w:szCs w:val="18"/>
          <w:highlight w:val="none"/>
        </w:rPr>
        <w:t>数据库审计系统：</w:t>
      </w:r>
    </w:p>
    <w:p w14:paraId="45FECE32">
      <w:p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ascii="Times New Roman" w:hAnsi="Times New Roman" w:eastAsia="宋体" w:cs="宋体"/>
          <w:bCs/>
          <w:color w:val="auto"/>
          <w:kern w:val="0"/>
          <w:szCs w:val="18"/>
          <w:highlight w:val="none"/>
          <w:lang w:bidi="ar"/>
        </w:rPr>
        <w:t>2U机架式，单电源</w:t>
      </w:r>
    </w:p>
    <w:p w14:paraId="2FA4246D">
      <w:p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端口：</w:t>
      </w:r>
      <w:r>
        <w:rPr>
          <w:rFonts w:ascii="Times New Roman" w:hAnsi="Times New Roman" w:eastAsia="宋体" w:cs="宋体"/>
          <w:bCs/>
          <w:color w:val="auto"/>
          <w:kern w:val="0"/>
          <w:szCs w:val="18"/>
          <w:highlight w:val="none"/>
          <w:lang w:bidi="ar"/>
        </w:rPr>
        <w:t>6个千兆电口，2个万兆光口、2*USB、1个console</w:t>
      </w:r>
    </w:p>
    <w:p w14:paraId="13A5C998">
      <w:p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储存：≥</w:t>
      </w:r>
      <w:r>
        <w:rPr>
          <w:rFonts w:ascii="Times New Roman" w:hAnsi="Times New Roman" w:eastAsia="宋体" w:cs="宋体"/>
          <w:bCs/>
          <w:color w:val="auto"/>
          <w:kern w:val="0"/>
          <w:szCs w:val="18"/>
          <w:highlight w:val="none"/>
          <w:lang w:bidi="ar"/>
        </w:rPr>
        <w:t>2T硬盘</w:t>
      </w:r>
    </w:p>
    <w:p w14:paraId="014124B8">
      <w:p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性能：SQL处理能力：10000条/s，SQL存储能力：35亿条；</w:t>
      </w:r>
    </w:p>
    <w:p w14:paraId="37DBA811">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功能：</w:t>
      </w:r>
    </w:p>
    <w:p w14:paraId="0C5C2D77">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兼容性要求：支持Oracle、Mysql、MSSQL（SQL Server）、Sybase、DB2、达梦、人大金仓、神州通用、Informix、PostGreSql、Gbase（南大通用）、Hive、MongoDB、Redis、TeraData、 Kafka、Cache、ES、HANA等主流数据库;支持OCI/JDBC/OLEDB/ODBC等常见协议；</w:t>
      </w:r>
    </w:p>
    <w:p w14:paraId="232BB6A1">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默认内置防护策略功能：支持内置高风险规则，防范维护人员执行no where 删除、truncate table等合法的授权的高危操作检测；</w:t>
      </w:r>
    </w:p>
    <w:p w14:paraId="43E1BA7A">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超级白名单防护策略功能：支持数据库连接工具白名单功能，自动忽略数据库连接工具访问数据库的默认操作；</w:t>
      </w:r>
    </w:p>
    <w:p w14:paraId="0A69F40C">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默认高风险防护规则：支持内置高风险操作特征规则，包含清表（delete no where 、truncate table）、删表（drop table）、提权（alter、grant）；</w:t>
      </w:r>
    </w:p>
    <w:p w14:paraId="1314ECAE">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日志查询与告警功能：支持Oracle变量绑定、双向审计；支持对数据库SQL操作语句的细粒度审计，可以分析出每条语句的操作方式、表名、详细操作内容、操作成功/失败、变量值等字段信息；对返回值行列结果全解析和全记录；</w:t>
      </w:r>
    </w:p>
    <w:p w14:paraId="6433CAD8">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统计报表功能：支持可以根据需要再使用内置模板的情况下，设置检索条件进行实时统计分析；支持的内置报表模板不少于30个，可以从来源分析、执行时长分析、操作类型分析、特权操作、登录情况等维度展示数据库的访问情况；</w:t>
      </w:r>
    </w:p>
    <w:p w14:paraId="24FABD79">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操作系统探针功能：支持多探针（Agent），自动部署、统一配置、集中管理及监控。</w:t>
      </w:r>
    </w:p>
    <w:p w14:paraId="055B0644">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支持上下级级联方式部署，告警信息可自动推送到上级设备；</w:t>
      </w:r>
    </w:p>
    <w:p w14:paraId="6FB8AB2E">
      <w:pPr>
        <w:numPr>
          <w:ilvl w:val="255"/>
          <w:numId w:val="0"/>
        </w:numPr>
        <w:snapToGrid w:val="0"/>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宋体"/>
          <w:bCs/>
          <w:color w:val="auto"/>
          <w:kern w:val="0"/>
          <w:szCs w:val="18"/>
          <w:highlight w:val="none"/>
          <w:lang w:bidi="ar"/>
        </w:rPr>
        <w:t>支持对数据库SQL操作语句的细粒度审计，可以分析出每条语句的操作方式、表名、详细操作内容、操作成功/失败、变量值等字段信息；对返回值行列结果全解析和全记录；</w:t>
      </w:r>
    </w:p>
    <w:p w14:paraId="7A87CC1C">
      <w:pPr>
        <w:snapToGrid w:val="0"/>
        <w:spacing w:line="360" w:lineRule="auto"/>
        <w:ind w:firstLine="420" w:firstLineChars="200"/>
        <w:outlineLvl w:val="6"/>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4）工业态势感知：</w:t>
      </w:r>
    </w:p>
    <w:p w14:paraId="2BF52E7F">
      <w:p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2U机架式，冗余电源，≥4T硬盘</w:t>
      </w:r>
    </w:p>
    <w:p w14:paraId="0F7F59B5">
      <w:p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端口：≥4个千兆电口，≥4个千兆光口，≥4个万兆光，≥2*USB，≥1个console；</w:t>
      </w:r>
    </w:p>
    <w:p w14:paraId="28FB40E0">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功能</w:t>
      </w:r>
    </w:p>
    <w:p w14:paraId="6F5B293B">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基于攻击链分析法对系统遭受的各类攻击行为进行统计分析，识别出系统内各类攻击所处阶段、攻击来源、攻击时间、攻击次数、攻击手法、攻击路径，并进行溯源和统计；</w:t>
      </w:r>
    </w:p>
    <w:p w14:paraId="73E4C1D2">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基于系统通信基线模型，对不同业务系统、不同区域之间的信息流动进行监测，对跨区通信、非法接入、非法外联行为进行统计分析，及时发现信息泄露、越权访问和违规操作行为；</w:t>
      </w:r>
    </w:p>
    <w:p w14:paraId="7A6D128F">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支持的工控设备类型包括：支持西门子、施耐德、罗克韦尔、霍尼韦尔、ABB、和利时、巴赫曼、倍福等设备识别；</w:t>
      </w:r>
    </w:p>
    <w:p w14:paraId="363BD047">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的物联网设备包括：海康威视、大华、宇视、天地伟业、雄迈、汉邦高科、安科数字、威视达康、索尼、海思、中维世纪、升泰科技、奇偶科技、科达、英飞拓、智美达、晶睿通讯、MayGion、安讯士、IQeye等不少于20个厂商；</w:t>
      </w:r>
    </w:p>
    <w:p w14:paraId="62145086">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支持的视频会议中兴MCU、中兴视频终端、科达视讯云、科达MCU、科达视频会议终端、华为ViewPoint 等9种视频会系统设备识别；</w:t>
      </w:r>
    </w:p>
    <w:p w14:paraId="5E6BB546">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支持Siemens S7、Modbus、IEC 60870-5-104、DNP3、EtherNet/IP、BACnet、Fox等工控协议指纹；</w:t>
      </w:r>
    </w:p>
    <w:p w14:paraId="3892CE35">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支持Dahua-DVR、RTSP、ONVIF、SIP、VSTARCAM 不少于5种物联网设备的协议指纹；</w:t>
      </w:r>
    </w:p>
    <w:p w14:paraId="29D2B743">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支持支持HTTP、HTTPS、NetBIOS、SNMP、FTP、Telnet、SSH、MySQL、Oracle、MSSQL 不少于10种传统协议指纹；</w:t>
      </w:r>
    </w:p>
    <w:p w14:paraId="7841B699">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基于资产价值、资产脆弱性、合规指数和威胁告警信息，量化评估资产的风险值，为每一个资产绘制资产画像，从多维度描述资产的信息和状态，包括基本信息、风险评分、漏洞信息、不安全配置信息、端口信息、服务信息、会话信息、跨系统访问信息、告警信息、变更记录等；</w:t>
      </w:r>
    </w:p>
    <w:p w14:paraId="4874EBE1">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支持展示每个资产的访问关系图谱，并以不同的颜色标识，表示跨区通信、非法外联、横向威胁、未知设备接入等异常连接；</w:t>
      </w:r>
    </w:p>
    <w:p w14:paraId="11F79963">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支持通过Syslog、SNMP Trap、FTP、SFTP、JDBC、ODBC、SMB、文件、采集代理、私有接口进行数据采集；</w:t>
      </w:r>
    </w:p>
    <w:p w14:paraId="739D6AB2">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采集代理兼容Window、linux、麒麟、凝思操作系统；</w:t>
      </w:r>
    </w:p>
    <w:p w14:paraId="46F09058">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支持工业协议异常分析并告警，具体包含：IEC104、S7、DNP3、Modbus TCP、OPC 等工业协议流量异常及协议异常事件分析，能够实时发现工业网络中的流量异常、非法会话连接、异常控制指令、异常畸形报文等；</w:t>
      </w:r>
    </w:p>
    <w:p w14:paraId="412751DF">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通过学习网络会话信息，建立整个网络的通信基线，然后根据基线判断网络中的异常通信异常连接。系统采用可视化的展示方式，构建网络的逻辑拓扑图，并以不同的颜色标识，表示跨区通信、非法外联、横向威胁、未知设备接入等异常连接；</w:t>
      </w:r>
    </w:p>
    <w:p w14:paraId="5406FD41">
      <w:pPr>
        <w:numPr>
          <w:ilvl w:val="255"/>
          <w:numId w:val="0"/>
        </w:numPr>
        <w:snapToGrid w:val="0"/>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宋体"/>
          <w:bCs/>
          <w:color w:val="auto"/>
          <w:kern w:val="0"/>
          <w:szCs w:val="18"/>
          <w:highlight w:val="none"/>
          <w:lang w:bidi="ar"/>
        </w:rPr>
        <w:t>基于历史事件趋势，预测未来时间窗口内事件趋势，便于提前防御准备，同时，内置分析模型自动对系统内海量安全事件进行关联度挖掘，排查出潜在的威胁行为，便于提前整改排查；</w:t>
      </w:r>
    </w:p>
    <w:p w14:paraId="7106E7C9">
      <w:pPr>
        <w:snapToGrid w:val="0"/>
        <w:spacing w:line="360" w:lineRule="auto"/>
        <w:ind w:firstLine="420" w:firstLineChars="200"/>
        <w:outlineLvl w:val="6"/>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5）入侵检测系统：</w:t>
      </w:r>
    </w:p>
    <w:p w14:paraId="3A3CC02C">
      <w:p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2U机架式，冗余电源</w:t>
      </w:r>
    </w:p>
    <w:p w14:paraId="399A8DA2">
      <w:p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端口：≥16个千兆电口，≥6个万兆光口，≥1个专用带外管理口，≥2*USB2.0；</w:t>
      </w:r>
    </w:p>
    <w:p w14:paraId="60C34A11">
      <w:p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性能：网络吞吐率20G，并发连接数：200万，每秒新建数：≥10000；</w:t>
      </w:r>
    </w:p>
    <w:p w14:paraId="4EDCFC21">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功能：</w:t>
      </w:r>
    </w:p>
    <w:p w14:paraId="094B68AB">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支持主流100+工业协议应用识别</w:t>
      </w:r>
    </w:p>
    <w:p w14:paraId="5820D2B8">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支持工业协议白名单模板定制，模板支持但不限于Modbus、OPC、S7、IEC104等4类工控协议深度解析；</w:t>
      </w:r>
    </w:p>
    <w:p w14:paraId="47366F16">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Modbus白名单支持源、目的IP、功能码、起始地址、结束地址控制，功能码等字段；</w:t>
      </w:r>
    </w:p>
    <w:p w14:paraId="36D74610">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S7白名单支持源、目的IP、功能码、寄存器区、DB区区号、点类型、起始地址、结束地址控制，功能码等字段；</w:t>
      </w:r>
    </w:p>
    <w:p w14:paraId="7DEDDA2F">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OPC支持动态端口识别，白名单支持源、目的IP、接口名、方法名控制等字段；</w:t>
      </w:r>
    </w:p>
    <w:p w14:paraId="7121E1AF">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IEC104白名单支持源、目的IP、类型标识、起始公共地址、结束公共地址、起始信息体地址、结束信息体地址等字段；</w:t>
      </w:r>
    </w:p>
    <w:p w14:paraId="0FA8A00C">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学习模式支持4类工业协议白名单学习，可以设定学习条件包括但不限于开始时间、结束时间、未学习到数据自动停止时间等，学习过程中可以查看学习进度；</w:t>
      </w:r>
    </w:p>
    <w:p w14:paraId="1662AD90">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支持添加OPC、S7、OPC、IEC104等协议规约检测例外策略，针对匹配规约检测例外策略的流量不进行日志记录；</w:t>
      </w:r>
    </w:p>
    <w:p w14:paraId="7283EF6D">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支持基于指令及值域进行审计日志记录，指令记录包括但不限于OPC协议、S7协议、Modbus协议、IEC104协议；值域记录包括但不限于OPC值域、S7值域、Modbus值域；</w:t>
      </w:r>
    </w:p>
    <w:p w14:paraId="1EA68F07">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支持流量大小、流量突变、流量占比监测，监测对象包括但不限于FTP、OPC、POP3、S7、IEC104、Modbus等协议；</w:t>
      </w:r>
    </w:p>
    <w:p w14:paraId="06C34D44">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系统定义超过3000+条主流攻击规则，包含但不限于代码执行、信息泄露、暴力猜接、拒绝服务、缓冲区溢出、SQL注入、跨站脚本、扫描探测、事件监控、间谍软件、广告软件、木马后门等攻击类别；</w:t>
      </w:r>
    </w:p>
    <w:p w14:paraId="44A8A64C">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支持FTP，POP3协议的病毒查杀，支持查杀下载文件中包含的病毒，支持100万余种病毒的查杀，病毒库定期与及时更新；</w:t>
      </w:r>
    </w:p>
    <w:p w14:paraId="48644426">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支持ZIP、GZ、BZ等压缩打包文件的病毒查杀，查杀文件最大100M；</w:t>
      </w:r>
    </w:p>
    <w:p w14:paraId="41DC5860">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支持针对接口进行TCP、UDP、ICMP扫描检测，支持自定义检测阈值、检测周期，支持文件扫描检测，包括但不限于Windows文件共享检测；</w:t>
      </w:r>
    </w:p>
    <w:p w14:paraId="009B8DE2">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支持基于接口、出入流量进行抓包，支持不小于1G的抓包文件容量；</w:t>
      </w:r>
    </w:p>
    <w:p w14:paraId="4A2934AF">
      <w:pPr>
        <w:spacing w:line="360" w:lineRule="auto"/>
        <w:ind w:firstLine="420" w:firstLineChars="200"/>
        <w:rPr>
          <w:rFonts w:ascii="Times New Roman" w:hAnsi="Times New Roman" w:eastAsia="宋体" w:cs="Times New Roman"/>
          <w:color w:val="auto"/>
          <w:sz w:val="18"/>
          <w:szCs w:val="18"/>
          <w:highlight w:val="none"/>
          <w:lang w:bidi="ar"/>
        </w:rPr>
      </w:pPr>
      <w:r>
        <w:rPr>
          <w:rFonts w:hint="eastAsia" w:ascii="Times New Roman" w:hAnsi="Times New Roman" w:eastAsia="宋体" w:cs="宋体"/>
          <w:bCs/>
          <w:color w:val="auto"/>
          <w:kern w:val="0"/>
          <w:szCs w:val="18"/>
          <w:highlight w:val="none"/>
          <w:lang w:bidi="ar"/>
        </w:rPr>
        <w:t>支持同时将日志外发至不少于3个syslog服务器，日志格式支持国网1084号文标准格式；</w:t>
      </w:r>
    </w:p>
    <w:p w14:paraId="536230B5">
      <w:pPr>
        <w:snapToGrid w:val="0"/>
        <w:spacing w:line="360" w:lineRule="auto"/>
        <w:ind w:firstLine="420" w:firstLineChars="200"/>
        <w:outlineLvl w:val="6"/>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6）安全运维管理系统：</w:t>
      </w:r>
    </w:p>
    <w:p w14:paraId="7BF79968">
      <w:p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2U机架式，冗余电源</w:t>
      </w:r>
    </w:p>
    <w:p w14:paraId="4FEB1FFA">
      <w:p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端口：≥6个千兆电口，≥2个千兆光口，≥2*USB，≥1个console；</w:t>
      </w:r>
    </w:p>
    <w:p w14:paraId="29541A7B">
      <w:p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性能：≥2T硬盘，默认≥50点授权；</w:t>
      </w:r>
    </w:p>
    <w:p w14:paraId="085C8CB6">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支持自定义角色，支持将系统功能模块按需分配给角色，从而实现分级分权的管理模式；</w:t>
      </w:r>
    </w:p>
    <w:p w14:paraId="42CC7D38">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支持管理员首页展示运维用户数量、权限组、资产、计划任务、策略数量功能模块，并支持一键跳转至各模块对应功能页面；</w:t>
      </w:r>
    </w:p>
    <w:p w14:paraId="299DA955">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管理员首页拓扑图展示，包括运维用户、资产、资产组，并实时监测运维用户与被运维资产之间的运维关系；支持展示运维用户名称、运维方式、上次登录时间，展示资产名称、资产IP、资产类型、上次登录时间等信息；</w:t>
      </w:r>
    </w:p>
    <w:p w14:paraId="03AF1F9F">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支持运维用户首页展示我的资产、账号有效期、密码有效期、运维工具下载等信息展示，支持展示最近不低于5次运维记录；</w:t>
      </w:r>
    </w:p>
    <w:p w14:paraId="56BB7CEC">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支持资产收藏，收藏的资产显示在资产组前列，方便用户后续运维操作；</w:t>
      </w:r>
    </w:p>
    <w:p w14:paraId="5182E3F4">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运维人员输入账号密码成功单点登录后，系统将自动上收账号到对应资产的账号列表。便于借助拥有资产登录权限的运维人员将资源账户进行上收；</w:t>
      </w:r>
    </w:p>
    <w:p w14:paraId="435E3D09">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支持无需安装任何控件，即可基于浏览器进行RDP、VNC、SSH，telnet，SCP/FTP/SFTP等协议的单点登录，实现跨浏览器和跨运维客户端操作系统的运维操作；</w:t>
      </w:r>
    </w:p>
    <w:p w14:paraId="1E1FE206">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支持web登录时，运维界面添加水印功能，防止敏感信息通过截图拍照泄漏；</w:t>
      </w:r>
    </w:p>
    <w:p w14:paraId="68CE49CB">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支持同时打开多个运维界面；</w:t>
      </w:r>
    </w:p>
    <w:p w14:paraId="1C89B2E8">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支持一键共享字符运维窗口，允许其他专家进行指导操作对应的资产；</w:t>
      </w:r>
    </w:p>
    <w:p w14:paraId="186A7D0A">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支持管理员实时监控用户运维操作，发现高危操作时，可以一键中断运维操作，保障资产安全；</w:t>
      </w:r>
    </w:p>
    <w:p w14:paraId="72E795E1">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支持账户密码+USB KEY双因子登录认证；</w:t>
      </w:r>
    </w:p>
    <w:p w14:paraId="23C1102B">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支持自定义禁用的高危命令集合，命令支持正则表达式；</w:t>
      </w:r>
    </w:p>
    <w:p w14:paraId="551BD370">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支持WEB在线回放录像时自带水印，防止录像回放时敏感信息被截图和拍照；</w:t>
      </w:r>
    </w:p>
    <w:p w14:paraId="4546653F">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审计日志可以采用syslog形式分类外发，至少可以分为系统操作日志、运维操作日志、系统运行日志；</w:t>
      </w:r>
    </w:p>
    <w:p w14:paraId="3025BD78">
      <w:pPr>
        <w:numPr>
          <w:ilvl w:val="255"/>
          <w:numId w:val="0"/>
        </w:numPr>
        <w:snapToGrid w:val="0"/>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宋体"/>
          <w:bCs/>
          <w:color w:val="auto"/>
          <w:kern w:val="0"/>
          <w:szCs w:val="18"/>
          <w:highlight w:val="none"/>
          <w:lang w:bidi="ar"/>
        </w:rPr>
        <w:t>自身账号密码使用国产密码算法SM3存储，采用哈希+Salt算法进行加密和验证。资产的户密码和邮件密码数据支持国密算法SM4。</w:t>
      </w:r>
    </w:p>
    <w:p w14:paraId="1F45ACFD">
      <w:pPr>
        <w:numPr>
          <w:ilvl w:val="255"/>
          <w:numId w:val="0"/>
        </w:numPr>
        <w:snapToGrid w:val="0"/>
        <w:spacing w:line="360" w:lineRule="auto"/>
        <w:ind w:firstLine="420" w:firstLineChars="200"/>
        <w:outlineLvl w:val="6"/>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7）日志审计与分析系统：</w:t>
      </w:r>
    </w:p>
    <w:p w14:paraId="4205A771">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2U机架式，双电源</w:t>
      </w:r>
    </w:p>
    <w:p w14:paraId="2D34227D">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端口：≥6个千兆电口，≥2个万兆光口，≥2*USB，≥1个console；</w:t>
      </w:r>
    </w:p>
    <w:p w14:paraId="09171A2C">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性能：≥4T硬盘，系统默认≥30点授权，日志处理能力≥10000EPS；</w:t>
      </w:r>
    </w:p>
    <w:p w14:paraId="0642CB96">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功能：</w:t>
      </w:r>
    </w:p>
    <w:p w14:paraId="2620330A">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日志审计项目要求，包括但不限于登录注销、账号和权限、外部设备使用（U盘、CDROM、无线网卡、蓝牙、串口、并口）、禁用软件和服务，访问敏感文件、非法外联、违规开发高危端口、命令和指令、进程开启和关闭；</w:t>
      </w:r>
    </w:p>
    <w:p w14:paraId="1BE2ED54">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支持不少于50种常见工业协议流量日志和会话日志，能够实时发现工业网络中的流量异常、会话异常、连接异常、控制指令异常；</w:t>
      </w:r>
    </w:p>
    <w:p w14:paraId="24224A61">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支持工业主机安全事件日志接收和解析，包括但不限于非法使用外部设备日志、禁用软件和服务日志、非法访问敏感文件日志、非法连接外网日志、违规开发高危端口日志等；</w:t>
      </w:r>
    </w:p>
    <w:p w14:paraId="4A84FBC0">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具备强大的关联分析能力，内置近百种关联规则，包含恶意文件、暴力破解、工业协议规约异常等10种以上异常分析；支持自定义关联规则和不少于10种逻辑关系；</w:t>
      </w:r>
    </w:p>
    <w:p w14:paraId="7801B00B">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支持不少于16种主机类事件审计；不少于8种网络类事件审计，不少于15类安全类事件审计，不少于6类应用类事件审计；</w:t>
      </w:r>
    </w:p>
    <w:p w14:paraId="026B872B">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宋体"/>
          <w:bCs/>
          <w:color w:val="auto"/>
          <w:kern w:val="0"/>
          <w:szCs w:val="18"/>
          <w:highlight w:val="none"/>
          <w:lang w:bidi="ar"/>
        </w:rPr>
        <w:t>支持多种方式日志数据的本地、异地转储，能够限制数据备份带宽；</w:t>
      </w:r>
    </w:p>
    <w:p w14:paraId="11537EDE">
      <w:pPr>
        <w:numPr>
          <w:ilvl w:val="255"/>
          <w:numId w:val="0"/>
        </w:numPr>
        <w:snapToGrid w:val="0"/>
        <w:spacing w:line="360" w:lineRule="auto"/>
        <w:ind w:firstLine="420" w:firstLineChars="200"/>
        <w:outlineLvl w:val="6"/>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8）统一安全管理平台：</w:t>
      </w:r>
    </w:p>
    <w:p w14:paraId="1EDA987B">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2U机架式，双电源</w:t>
      </w:r>
    </w:p>
    <w:p w14:paraId="7BE94BD7">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端口：≥4个千兆电口，≥4个千兆光口，≥4个万兆光口，≥2*USB，≥1个console；</w:t>
      </w:r>
    </w:p>
    <w:p w14:paraId="76C90849">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性能：≥4T硬盘，日志处理能力≥2000EPS，关联分析能力≥800EPS；</w:t>
      </w:r>
    </w:p>
    <w:p w14:paraId="2316D193">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支持统一管理工控安全设备，包括但不限于工业互联防火墙、工控网络审计设备、工业主机安全防护软件、入侵检测系统、堡垒机等，提供策略的统一下发、日志的统一收集和设备状态信息的统一监控；</w:t>
      </w:r>
    </w:p>
    <w:p w14:paraId="4B97F528">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具备对主机卫士上报的非白名单程序进行病毒木马查杀的能力，支持病毒库升级；</w:t>
      </w:r>
    </w:p>
    <w:p w14:paraId="15D15482">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支持系统预制的多种告警规则进行自定义选择，根据用户需求定制选择接受或者拒绝告警；</w:t>
      </w:r>
    </w:p>
    <w:p w14:paraId="60BA1931">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支持在拓扑图上查看安全设备状态；</w:t>
      </w:r>
    </w:p>
    <w:p w14:paraId="5373FC50">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支持告警规则覆盖所有的发现、违规通信、监控和审计事件，主要对主机名称、所属区域、资产类型、主机IP、告警级别、告警类型等进行识别；</w:t>
      </w:r>
    </w:p>
    <w:p w14:paraId="2EEBCB48">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支持将安全设备、工控设备和网络设备绘制为实际网络拓扑图的功能，并支持拓扑的下载功能（工控设备、网络设备需第三方提供接口）；</w:t>
      </w:r>
    </w:p>
    <w:p w14:paraId="2D100726">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支持远程登陆IP限制功能，仅允许特定的IP可以登陆平台；</w:t>
      </w:r>
    </w:p>
    <w:p w14:paraId="6D34A58C">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支持攻击路径分析功能，攻击路径中所涉及的IP资产以不同的颜色来表示不同的风险级别；</w:t>
      </w:r>
    </w:p>
    <w:p w14:paraId="1DCA809E">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支持手动配置硬盘容量告警阈值、硬盘容量删除阈值、CPU告警阈值、CPU过高持续时间阈值、内存告警阈值以及内存过高持续时间阈值等功能，以保障平台高效稳定运行；</w:t>
      </w:r>
    </w:p>
    <w:p w14:paraId="70944062">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支持自发现在线安全设备，自动生成在设备列表中，显示操作系统类型、设备CPU、内存、硬盘占用率以及设备在线、离线和告警状态；</w:t>
      </w:r>
    </w:p>
    <w:p w14:paraId="737DFD91">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运用“白环境”理念，对全网安全产品进行统一策略配置。包括网络流量“白名单”、工控协议“白名单”、主机应用“白名单”；</w:t>
      </w:r>
    </w:p>
    <w:p w14:paraId="6084A25E">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全面记录工业网络中的主机安全日志、网络异常攻击监测日志、网络攻击防护日志、工业网络会话信息，同时保留攻击发生时的原始报文信息，便于安全事件的追溯和调查取证。</w:t>
      </w:r>
    </w:p>
    <w:p w14:paraId="65D1D21C">
      <w:pPr>
        <w:snapToGrid w:val="0"/>
        <w:spacing w:line="360" w:lineRule="auto"/>
        <w:ind w:firstLine="420" w:firstLineChars="200"/>
        <w:outlineLvl w:val="6"/>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9）工控主机卫士软件：</w:t>
      </w:r>
    </w:p>
    <w:p w14:paraId="6FBF9F89">
      <w:pPr>
        <w:snapToGrid w:val="0"/>
        <w:spacing w:line="360" w:lineRule="auto"/>
        <w:ind w:firstLine="420" w:firstLineChars="200"/>
        <w:rPr>
          <w:rFonts w:ascii="Times New Roman" w:hAnsi="Times New Roman" w:eastAsia="宋体" w:cs="宋体"/>
          <w:bCs/>
          <w:color w:val="auto"/>
          <w:kern w:val="0"/>
          <w:szCs w:val="18"/>
          <w:highlight w:val="none"/>
          <w:lang w:bidi="ar"/>
        </w:rPr>
      </w:pPr>
      <w:bookmarkStart w:id="524" w:name="_Toc111209539"/>
      <w:r>
        <w:rPr>
          <w:rFonts w:hint="eastAsia" w:ascii="Times New Roman" w:hAnsi="Times New Roman" w:eastAsia="宋体" w:cs="宋体"/>
          <w:bCs/>
          <w:color w:val="auto"/>
          <w:kern w:val="0"/>
          <w:szCs w:val="18"/>
          <w:highlight w:val="none"/>
          <w:lang w:bidi="ar"/>
        </w:rPr>
        <w:t>软件兼容性要求</w:t>
      </w:r>
      <w:bookmarkEnd w:id="524"/>
      <w:r>
        <w:rPr>
          <w:rFonts w:hint="eastAsia" w:ascii="Times New Roman" w:hAnsi="Times New Roman" w:eastAsia="宋体" w:cs="宋体"/>
          <w:bCs/>
          <w:color w:val="auto"/>
          <w:kern w:val="0"/>
          <w:szCs w:val="18"/>
          <w:highlight w:val="none"/>
          <w:lang w:bidi="ar"/>
        </w:rPr>
        <w:t>：Windows系统至少支持Win2000、Win XP、WinVista、Win7、Win8、Win10、Windows2003 Server、Windows2008 Server、Windows2012 Server等；Linux系统至少支持Centos、Redhat、Ubuntu、Debian、凝思、麒麟、统信等。</w:t>
      </w:r>
    </w:p>
    <w:p w14:paraId="0A5BE32E">
      <w:pPr>
        <w:snapToGrid w:val="0"/>
        <w:spacing w:line="360" w:lineRule="auto"/>
        <w:ind w:firstLine="420" w:firstLineChars="200"/>
        <w:rPr>
          <w:rFonts w:ascii="Times New Roman" w:hAnsi="Times New Roman" w:eastAsia="宋体" w:cs="宋体"/>
          <w:bCs/>
          <w:color w:val="auto"/>
          <w:kern w:val="0"/>
          <w:szCs w:val="18"/>
          <w:highlight w:val="none"/>
          <w:lang w:bidi="ar"/>
        </w:rPr>
      </w:pPr>
      <w:bookmarkStart w:id="525" w:name="_Toc111209540"/>
      <w:r>
        <w:rPr>
          <w:rFonts w:hint="eastAsia" w:ascii="Times New Roman" w:hAnsi="Times New Roman" w:eastAsia="宋体" w:cs="宋体"/>
          <w:bCs/>
          <w:color w:val="auto"/>
          <w:kern w:val="0"/>
          <w:szCs w:val="18"/>
          <w:highlight w:val="none"/>
          <w:lang w:bidi="ar"/>
        </w:rPr>
        <w:t>功能要求</w:t>
      </w:r>
      <w:bookmarkEnd w:id="525"/>
      <w:r>
        <w:rPr>
          <w:rFonts w:hint="eastAsia" w:ascii="Times New Roman" w:hAnsi="Times New Roman" w:eastAsia="宋体" w:cs="宋体"/>
          <w:bCs/>
          <w:color w:val="auto"/>
          <w:kern w:val="0"/>
          <w:szCs w:val="18"/>
          <w:highlight w:val="none"/>
          <w:lang w:bidi="ar"/>
        </w:rPr>
        <w:t>：</w:t>
      </w:r>
    </w:p>
    <w:p w14:paraId="63993BAA">
      <w:pPr>
        <w:numPr>
          <w:ilvl w:val="255"/>
          <w:numId w:val="0"/>
        </w:numPr>
        <w:wordWrap w:val="0"/>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程序白名单功能要求：支持基于格式管控可执行文件，包括但但不限于.EXE, .DLL, .COM, .DRV,.DEV, .SCR, .PIF .SYS,.MSI, .TTF, .CPL, .OCX, .FON等；支持基于格式管控Linux可执行文件，包括ELF文件、.so动态库、.a静态库等；</w:t>
      </w:r>
    </w:p>
    <w:p w14:paraId="5CA3C2B7">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支持基于恶意代码引擎可执行文件安全检查，可疑文件给出病毒名称及病毒类型提示，并支持加入白名单；</w:t>
      </w:r>
    </w:p>
    <w:p w14:paraId="53275BCB">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安全加固功能要求：支持保护进程内存空间的完整性，防止缓冲区溢出攻击；支持安全基线当前合规状态的检测展示，支持安全基线的一键批量加固，支持安全基线一键恢复原始配置；支持一键检测操作系统安全基线、服务、程序、进程、用户列表等信息，并可导出报表；</w:t>
      </w:r>
    </w:p>
    <w:p w14:paraId="3BB3E27F">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双因子认证功能要求:；支持USBKey+口令进行双因素身份鉴别，可基于USBKey、主机、操作系统用户完成三合一绑定;USBKey支持重置口令、修改信息以及绑定域用户功能,支持生成紧急密钥，用于丢失USBKey时紧急登录系统；</w:t>
      </w:r>
    </w:p>
    <w:p w14:paraId="2AADF03A">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威胁鉴定功能要求：支持基于管理中心病毒检测引擎，自动上传非白名单程序样本，鉴别威胁类型，并生成告警信息；</w:t>
      </w:r>
    </w:p>
    <w:p w14:paraId="04A70421">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强制访问控制功能要求：支持强制访问控制功能，并提供拦截并告警、告警、禁用三种管控模式；支持BLP、Biba及自定义安全模型，自定义安全模型支持域内访问权限及域间访问规则；</w:t>
      </w:r>
    </w:p>
    <w:p w14:paraId="0E887446">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运维工单功能要求：支持运维工单派发，管理中心可针对主机批量下发运维工单，实现主机的快速维护；</w:t>
      </w:r>
    </w:p>
    <w:p w14:paraId="55E28914">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漏洞防护功能要求：支持流行病毒利用的常见漏洞防护，包括震网病毒利用漏洞MS08-067（CVE-2008-4250）、永恒之蓝利用漏洞MS17-010（CVE-2017-0143）、永恒之黑利用漏洞CVE-2020-0796的防护，且漏洞防护功能支持拦截并告警、告警和禁用三种控制模式；</w:t>
      </w:r>
    </w:p>
    <w:p w14:paraId="17BBCEFA">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管理中心联动功能要求：支持单机版一键切换至网络版，无需重新安装；支持通过管理中心下发升级包，批量更新工控主机卫士；</w:t>
      </w:r>
    </w:p>
    <w:p w14:paraId="2D8B0617">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支持控制光驱、无线网卡、蓝牙、串口、并口的启用、禁用；</w:t>
      </w:r>
    </w:p>
    <w:p w14:paraId="796F6ECD">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支持普通U盘、安全U盘的注册管理，注册U盘可分别配置“只读、读写、执行”属性；</w:t>
      </w:r>
    </w:p>
    <w:p w14:paraId="373C11BC">
      <w:pPr>
        <w:numPr>
          <w:ilvl w:val="255"/>
          <w:numId w:val="0"/>
        </w:numPr>
        <w:snapToGrid w:val="0"/>
        <w:spacing w:line="360" w:lineRule="auto"/>
        <w:ind w:firstLine="420" w:firstLineChars="200"/>
        <w:rPr>
          <w:rFonts w:ascii="Times New Roman" w:hAnsi="Times New Roman" w:eastAsia="宋体" w:cs="宋体"/>
          <w:bCs/>
          <w:color w:val="auto"/>
          <w:kern w:val="0"/>
          <w:szCs w:val="18"/>
          <w:highlight w:val="none"/>
          <w:lang w:bidi="ar"/>
        </w:rPr>
      </w:pPr>
      <w:r>
        <w:rPr>
          <w:rFonts w:hint="eastAsia" w:ascii="Times New Roman" w:hAnsi="Times New Roman" w:eastAsia="宋体" w:cs="宋体"/>
          <w:bCs/>
          <w:color w:val="auto"/>
          <w:kern w:val="0"/>
          <w:szCs w:val="18"/>
          <w:highlight w:val="none"/>
          <w:lang w:bidi="ar"/>
        </w:rPr>
        <w:t>注册U盘可显示U盘序列号、驱动器盘符、管控策略、注册时间、注册状态、接入状态、杀毒标志、U盘类型，并可添加备注描述信息；</w:t>
      </w:r>
    </w:p>
    <w:bookmarkEnd w:id="523"/>
    <w:p w14:paraId="575DC7EB">
      <w:pPr>
        <w:snapToGrid w:val="0"/>
        <w:spacing w:line="360" w:lineRule="auto"/>
        <w:outlineLvl w:val="2"/>
        <w:rPr>
          <w:rFonts w:ascii="Times New Roman" w:hAnsi="Times New Roman" w:eastAsia="宋体" w:cs="宋体"/>
          <w:b/>
          <w:color w:val="auto"/>
          <w:kern w:val="0"/>
          <w:szCs w:val="18"/>
          <w:highlight w:val="none"/>
        </w:rPr>
      </w:pPr>
      <w:bookmarkStart w:id="526" w:name="_Toc104950641"/>
      <w:bookmarkStart w:id="527" w:name="_Toc91320285"/>
      <w:bookmarkStart w:id="528" w:name="_Toc419661379"/>
      <w:bookmarkStart w:id="529" w:name="_Toc20290"/>
      <w:bookmarkStart w:id="530" w:name="_Toc195714312"/>
      <w:r>
        <w:rPr>
          <w:rFonts w:hint="eastAsia" w:ascii="Times New Roman" w:hAnsi="Times New Roman" w:eastAsia="宋体" w:cs="宋体"/>
          <w:b/>
          <w:color w:val="auto"/>
          <w:kern w:val="0"/>
          <w:szCs w:val="18"/>
          <w:highlight w:val="none"/>
        </w:rPr>
        <w:t>2.4.2集中控制系统方案</w:t>
      </w:r>
      <w:bookmarkEnd w:id="526"/>
      <w:bookmarkEnd w:id="527"/>
      <w:r>
        <w:rPr>
          <w:rFonts w:hint="eastAsia" w:ascii="Times New Roman" w:hAnsi="Times New Roman" w:eastAsia="宋体" w:cs="宋体"/>
          <w:b/>
          <w:color w:val="auto"/>
          <w:kern w:val="0"/>
          <w:szCs w:val="18"/>
          <w:highlight w:val="none"/>
        </w:rPr>
        <w:t>与功能</w:t>
      </w:r>
      <w:bookmarkEnd w:id="528"/>
      <w:bookmarkEnd w:id="529"/>
      <w:bookmarkEnd w:id="530"/>
    </w:p>
    <w:p w14:paraId="6E8E9D3E">
      <w:pPr>
        <w:spacing w:line="360" w:lineRule="auto"/>
        <w:ind w:firstLine="420"/>
        <w:rPr>
          <w:rFonts w:ascii="Times New Roman" w:hAnsi="Times New Roman" w:eastAsia="宋体" w:cs="Times New Roman"/>
          <w:color w:val="auto"/>
          <w:szCs w:val="28"/>
          <w:highlight w:val="none"/>
        </w:rPr>
      </w:pPr>
      <w:bookmarkStart w:id="531" w:name="_Toc419661380"/>
      <w:r>
        <w:rPr>
          <w:rFonts w:hint="eastAsia" w:ascii="Times New Roman" w:hAnsi="Times New Roman" w:eastAsia="宋体" w:cs="Times New Roman"/>
          <w:color w:val="auto"/>
          <w:szCs w:val="28"/>
          <w:highlight w:val="none"/>
        </w:rPr>
        <w:t>总体框架：</w:t>
      </w:r>
      <w:r>
        <w:rPr>
          <w:rFonts w:ascii="Times New Roman" w:hAnsi="Times New Roman" w:eastAsia="宋体" w:cs="Times New Roman"/>
          <w:color w:val="auto"/>
          <w:szCs w:val="28"/>
          <w:highlight w:val="none"/>
        </w:rPr>
        <w:t>生产集中控制系统整体</w:t>
      </w:r>
      <w:r>
        <w:rPr>
          <w:rFonts w:hint="eastAsia" w:ascii="Times New Roman" w:hAnsi="Times New Roman" w:eastAsia="宋体" w:cs="Times New Roman"/>
          <w:color w:val="auto"/>
          <w:szCs w:val="28"/>
          <w:highlight w:val="none"/>
        </w:rPr>
        <w:t>采用“1+N”总体框架，包括</w:t>
      </w:r>
      <w:r>
        <w:rPr>
          <w:rFonts w:ascii="Times New Roman" w:hAnsi="Times New Roman" w:eastAsia="宋体" w:cs="Times New Roman"/>
          <w:color w:val="auto"/>
          <w:szCs w:val="28"/>
          <w:highlight w:val="none"/>
        </w:rPr>
        <w:t>1个</w:t>
      </w:r>
      <w:r>
        <w:rPr>
          <w:rFonts w:hint="eastAsia" w:ascii="Times New Roman" w:hAnsi="Times New Roman" w:eastAsia="宋体" w:cs="Times New Roman"/>
          <w:color w:val="auto"/>
          <w:szCs w:val="28"/>
          <w:highlight w:val="none"/>
        </w:rPr>
        <w:t>调度指挥中心、N个数据采集点。</w:t>
      </w:r>
      <w:r>
        <w:rPr>
          <w:rFonts w:ascii="Times New Roman" w:hAnsi="Times New Roman" w:eastAsia="宋体" w:cs="Times New Roman"/>
          <w:color w:val="auto"/>
          <w:szCs w:val="28"/>
          <w:highlight w:val="none"/>
        </w:rPr>
        <w:t>其中集中监控平台软件采用C/S架构，由</w:t>
      </w:r>
      <w:r>
        <w:rPr>
          <w:rFonts w:ascii="Times New Roman" w:hAnsi="Times New Roman" w:eastAsia="宋体" w:cs="Times New Roman"/>
          <w:color w:val="auto"/>
          <w:szCs w:val="24"/>
          <w:highlight w:val="none"/>
        </w:rPr>
        <w:t>SCADA</w:t>
      </w:r>
      <w:r>
        <w:rPr>
          <w:rFonts w:ascii="Times New Roman" w:hAnsi="Times New Roman" w:eastAsia="宋体" w:cs="Times New Roman"/>
          <w:color w:val="auto"/>
          <w:szCs w:val="28"/>
          <w:highlight w:val="none"/>
        </w:rPr>
        <w:t>服务器、SCADA客户端以及</w:t>
      </w:r>
      <w:r>
        <w:rPr>
          <w:rFonts w:hint="eastAsia" w:ascii="Times New Roman" w:hAnsi="Times New Roman" w:eastAsia="宋体" w:cs="Times New Roman"/>
          <w:color w:val="auto"/>
          <w:szCs w:val="28"/>
          <w:highlight w:val="none"/>
        </w:rPr>
        <w:t>数据服务器</w:t>
      </w:r>
      <w:r>
        <w:rPr>
          <w:rFonts w:ascii="Times New Roman" w:hAnsi="Times New Roman" w:eastAsia="宋体" w:cs="Times New Roman"/>
          <w:color w:val="auto"/>
          <w:szCs w:val="28"/>
          <w:highlight w:val="none"/>
        </w:rPr>
        <w:t>等组成。</w:t>
      </w:r>
    </w:p>
    <w:p w14:paraId="3ECA532E">
      <w:pPr>
        <w:spacing w:line="360" w:lineRule="auto"/>
        <w:ind w:firstLine="420"/>
        <w:rPr>
          <w:rFonts w:ascii="Times New Roman" w:hAnsi="Times New Roman" w:eastAsia="宋体" w:cs="Times New Roman"/>
          <w:color w:val="auto"/>
          <w:szCs w:val="28"/>
          <w:highlight w:val="none"/>
        </w:rPr>
      </w:pPr>
      <w:r>
        <w:rPr>
          <w:rFonts w:hint="eastAsia" w:ascii="Times New Roman" w:hAnsi="Times New Roman" w:eastAsia="宋体" w:cs="Times New Roman"/>
          <w:color w:val="auto"/>
          <w:szCs w:val="24"/>
          <w:highlight w:val="none"/>
        </w:rPr>
        <w:t>各级设备均需</w:t>
      </w:r>
      <w:r>
        <w:rPr>
          <w:rFonts w:ascii="Times New Roman" w:hAnsi="Times New Roman" w:eastAsia="宋体" w:cs="Times New Roman"/>
          <w:color w:val="auto"/>
          <w:szCs w:val="24"/>
          <w:highlight w:val="none"/>
        </w:rPr>
        <w:t>符合国际或产业标准，具有良好的模块化功能和标准的互接接口</w:t>
      </w:r>
      <w:r>
        <w:rPr>
          <w:rFonts w:hint="eastAsia" w:ascii="Times New Roman" w:hAnsi="Times New Roman" w:eastAsia="宋体" w:cs="Times New Roman"/>
          <w:color w:val="auto"/>
          <w:szCs w:val="24"/>
          <w:highlight w:val="none"/>
        </w:rPr>
        <w:t>。当部分设备</w:t>
      </w:r>
      <w:r>
        <w:rPr>
          <w:rFonts w:ascii="Times New Roman" w:hAnsi="Times New Roman" w:eastAsia="宋体" w:cs="Times New Roman"/>
          <w:color w:val="auto"/>
          <w:szCs w:val="24"/>
          <w:highlight w:val="none"/>
        </w:rPr>
        <w:t>功能</w:t>
      </w:r>
      <w:r>
        <w:rPr>
          <w:rFonts w:hint="eastAsia" w:ascii="Times New Roman" w:hAnsi="Times New Roman" w:eastAsia="宋体" w:cs="Times New Roman"/>
          <w:color w:val="auto"/>
          <w:szCs w:val="24"/>
          <w:highlight w:val="none"/>
        </w:rPr>
        <w:t>需要变化时，对应增减软硬件设备及网络链路，实现数据和画面同步更新，同时对应增减防火墙等网络安全设施，保障系统安全可靠运行。</w:t>
      </w:r>
    </w:p>
    <w:p w14:paraId="7C0B53A8">
      <w:pPr>
        <w:spacing w:line="360" w:lineRule="auto"/>
        <w:ind w:firstLine="42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1</w:t>
      </w:r>
      <w:r>
        <w:rPr>
          <w:rFonts w:hint="eastAsia" w:ascii="Times New Roman" w:hAnsi="Times New Roman" w:eastAsia="宋体" w:cs="Times New Roman"/>
          <w:color w:val="auto"/>
          <w:szCs w:val="28"/>
          <w:highlight w:val="none"/>
        </w:rPr>
        <w:t>）集控</w:t>
      </w:r>
      <w:r>
        <w:rPr>
          <w:rFonts w:ascii="Times New Roman" w:hAnsi="Times New Roman" w:eastAsia="宋体" w:cs="Times New Roman"/>
          <w:color w:val="auto"/>
          <w:szCs w:val="28"/>
          <w:highlight w:val="none"/>
        </w:rPr>
        <w:t>中心</w:t>
      </w:r>
      <w:r>
        <w:rPr>
          <w:rFonts w:hint="eastAsia" w:ascii="Times New Roman" w:hAnsi="Times New Roman" w:eastAsia="宋体" w:cs="Times New Roman"/>
          <w:color w:val="auto"/>
          <w:szCs w:val="28"/>
          <w:highlight w:val="none"/>
        </w:rPr>
        <w:t>：集控</w:t>
      </w:r>
      <w:r>
        <w:rPr>
          <w:rFonts w:ascii="Times New Roman" w:hAnsi="Times New Roman" w:eastAsia="宋体" w:cs="Times New Roman"/>
          <w:color w:val="auto"/>
          <w:szCs w:val="28"/>
          <w:highlight w:val="none"/>
        </w:rPr>
        <w:t>中心布置2台互为冗余的</w:t>
      </w:r>
      <w:r>
        <w:rPr>
          <w:rFonts w:hint="eastAsia" w:ascii="Times New Roman" w:hAnsi="Times New Roman" w:eastAsia="宋体" w:cs="Times New Roman"/>
          <w:color w:val="auto"/>
          <w:szCs w:val="28"/>
          <w:highlight w:val="none"/>
        </w:rPr>
        <w:t>数据服务器，2套磁盘阵列</w:t>
      </w:r>
      <w:r>
        <w:rPr>
          <w:rFonts w:ascii="Times New Roman" w:hAnsi="Times New Roman" w:eastAsia="宋体" w:cs="Times New Roman"/>
          <w:color w:val="auto"/>
          <w:szCs w:val="28"/>
          <w:highlight w:val="none"/>
        </w:rPr>
        <w:t>，10套SCADA服务器系统。另外设置1套GPS卫星同步时钟，为各硬件提供精确授时。</w:t>
      </w:r>
      <w:r>
        <w:rPr>
          <w:rFonts w:hint="eastAsia" w:ascii="Times New Roman" w:hAnsi="Times New Roman" w:eastAsia="宋体" w:cs="Times New Roman"/>
          <w:color w:val="auto"/>
          <w:szCs w:val="28"/>
          <w:highlight w:val="none"/>
        </w:rPr>
        <w:t>另外，</w:t>
      </w:r>
      <w:r>
        <w:rPr>
          <w:rFonts w:ascii="Times New Roman" w:hAnsi="Times New Roman" w:eastAsia="宋体" w:cs="Times New Roman"/>
          <w:color w:val="auto"/>
          <w:szCs w:val="28"/>
          <w:highlight w:val="none"/>
        </w:rPr>
        <w:t>设置SCADA客户端和大屏系统</w:t>
      </w:r>
      <w:r>
        <w:rPr>
          <w:rFonts w:hint="eastAsia" w:ascii="Times New Roman" w:hAnsi="Times New Roman" w:eastAsia="宋体" w:cs="Times New Roman"/>
          <w:color w:val="auto"/>
          <w:szCs w:val="28"/>
          <w:highlight w:val="none"/>
        </w:rPr>
        <w:t>（与调度指挥中心共用）</w:t>
      </w:r>
      <w:r>
        <w:rPr>
          <w:rFonts w:ascii="Times New Roman" w:hAnsi="Times New Roman" w:eastAsia="宋体" w:cs="Times New Roman"/>
          <w:color w:val="auto"/>
          <w:szCs w:val="28"/>
          <w:highlight w:val="none"/>
        </w:rPr>
        <w:t>，对</w:t>
      </w:r>
      <w:r>
        <w:rPr>
          <w:rFonts w:hint="eastAsia" w:ascii="Times New Roman" w:hAnsi="Times New Roman" w:eastAsia="宋体" w:cs="Times New Roman"/>
          <w:color w:val="auto"/>
          <w:szCs w:val="28"/>
          <w:highlight w:val="none"/>
        </w:rPr>
        <w:t>本项目范围内</w:t>
      </w:r>
      <w:r>
        <w:rPr>
          <w:rFonts w:ascii="Times New Roman" w:hAnsi="Times New Roman" w:eastAsia="宋体" w:cs="Times New Roman"/>
          <w:color w:val="auto"/>
          <w:szCs w:val="28"/>
          <w:highlight w:val="none"/>
        </w:rPr>
        <w:t>污水处理工艺流程进行监控操作。</w:t>
      </w:r>
    </w:p>
    <w:p w14:paraId="4C1ED633">
      <w:pPr>
        <w:spacing w:line="360" w:lineRule="auto"/>
        <w:ind w:firstLine="42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2</w:t>
      </w:r>
      <w:r>
        <w:rPr>
          <w:rFonts w:hint="eastAsia" w:ascii="Times New Roman" w:hAnsi="Times New Roman" w:eastAsia="宋体" w:cs="Times New Roman"/>
          <w:color w:val="auto"/>
          <w:szCs w:val="28"/>
          <w:highlight w:val="none"/>
        </w:rPr>
        <w:t>）</w:t>
      </w:r>
      <w:r>
        <w:rPr>
          <w:rFonts w:ascii="Times New Roman" w:hAnsi="Times New Roman" w:eastAsia="宋体" w:cs="Times New Roman"/>
          <w:color w:val="auto"/>
          <w:szCs w:val="28"/>
          <w:highlight w:val="none"/>
        </w:rPr>
        <w:t>数据采集点</w:t>
      </w:r>
      <w:r>
        <w:rPr>
          <w:rFonts w:hint="eastAsia" w:ascii="Times New Roman" w:hAnsi="Times New Roman" w:eastAsia="宋体" w:cs="Times New Roman"/>
          <w:color w:val="auto"/>
          <w:szCs w:val="28"/>
          <w:highlight w:val="none"/>
        </w:rPr>
        <w:t>：37个污水处理厂及21个</w:t>
      </w:r>
      <w:r>
        <w:rPr>
          <w:rFonts w:ascii="Times New Roman" w:hAnsi="Times New Roman" w:eastAsia="宋体" w:cs="Times New Roman"/>
          <w:color w:val="auto"/>
          <w:szCs w:val="28"/>
          <w:highlight w:val="none"/>
        </w:rPr>
        <w:t>提标项目的现场数据采集点分别安装一台数据采集服务器</w:t>
      </w:r>
      <w:r>
        <w:rPr>
          <w:rFonts w:hint="eastAsia" w:ascii="Times New Roman" w:hAnsi="Times New Roman" w:eastAsia="宋体" w:cs="Times New Roman"/>
          <w:color w:val="auto"/>
          <w:szCs w:val="28"/>
          <w:highlight w:val="none"/>
        </w:rPr>
        <w:t>（部分污水处理厂和提标位于一个中控室，实际数据采集服务器安装数量为37台）</w:t>
      </w:r>
      <w:r>
        <w:rPr>
          <w:rFonts w:ascii="Times New Roman" w:hAnsi="Times New Roman" w:eastAsia="宋体" w:cs="Times New Roman"/>
          <w:color w:val="auto"/>
          <w:szCs w:val="28"/>
          <w:highlight w:val="none"/>
        </w:rPr>
        <w:t>，将所有污水厂数据采集整理后通过OPC协议上传至</w:t>
      </w:r>
      <w:r>
        <w:rPr>
          <w:rFonts w:ascii="Times New Roman" w:hAnsi="Times New Roman" w:eastAsia="宋体" w:cs="Times New Roman"/>
          <w:color w:val="auto"/>
          <w:szCs w:val="24"/>
          <w:highlight w:val="none"/>
        </w:rPr>
        <w:t>SCADA</w:t>
      </w:r>
      <w:r>
        <w:rPr>
          <w:rFonts w:ascii="Times New Roman" w:hAnsi="Times New Roman" w:eastAsia="宋体" w:cs="Times New Roman"/>
          <w:color w:val="auto"/>
          <w:szCs w:val="28"/>
          <w:highlight w:val="none"/>
        </w:rPr>
        <w:t>服务器和</w:t>
      </w:r>
      <w:r>
        <w:rPr>
          <w:rFonts w:hint="eastAsia" w:ascii="Times New Roman" w:hAnsi="Times New Roman" w:eastAsia="宋体" w:cs="Times New Roman"/>
          <w:color w:val="auto"/>
          <w:szCs w:val="28"/>
          <w:highlight w:val="none"/>
        </w:rPr>
        <w:t>数据服务器</w:t>
      </w:r>
      <w:r>
        <w:rPr>
          <w:rFonts w:ascii="Times New Roman" w:hAnsi="Times New Roman" w:eastAsia="宋体" w:cs="Times New Roman"/>
          <w:color w:val="auto"/>
          <w:szCs w:val="28"/>
          <w:highlight w:val="none"/>
        </w:rPr>
        <w:t>，数据采集服务器应具备读写PLC变量的功能，并且支持断网续传。</w:t>
      </w:r>
    </w:p>
    <w:p w14:paraId="0D6C4BE0">
      <w:pPr>
        <w:spacing w:line="360" w:lineRule="auto"/>
        <w:ind w:firstLine="420"/>
        <w:rPr>
          <w:rFonts w:ascii="Times New Roman" w:hAnsi="Times New Roman" w:eastAsia="宋体" w:cs="Times New Roman"/>
          <w:color w:val="auto"/>
          <w:szCs w:val="24"/>
          <w:highlight w:val="none"/>
        </w:rPr>
      </w:pPr>
      <w:r>
        <w:rPr>
          <w:rFonts w:ascii="Times New Roman" w:hAnsi="Times New Roman" w:eastAsia="宋体" w:cs="Times New Roman"/>
          <w:color w:val="auto"/>
          <w:szCs w:val="28"/>
          <w:highlight w:val="none"/>
        </w:rPr>
        <w:t>系统总体框架如下图所示：</w:t>
      </w:r>
    </w:p>
    <w:p w14:paraId="720E1D45">
      <w:pPr>
        <w:snapToGrid w:val="0"/>
        <w:spacing w:line="360" w:lineRule="auto"/>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drawing>
          <wp:inline distT="0" distB="0" distL="114300" distR="114300">
            <wp:extent cx="5093335" cy="2621915"/>
            <wp:effectExtent l="0" t="0" r="12065" b="6985"/>
            <wp:docPr id="11" name="图片 3" descr="东莞系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东莞系统图"/>
                    <pic:cNvPicPr>
                      <a:picLocks noChangeAspect="1"/>
                    </pic:cNvPicPr>
                  </pic:nvPicPr>
                  <pic:blipFill>
                    <a:blip r:embed="rId11"/>
                    <a:stretch>
                      <a:fillRect/>
                    </a:stretch>
                  </pic:blipFill>
                  <pic:spPr>
                    <a:xfrm>
                      <a:off x="0" y="0"/>
                      <a:ext cx="5093335" cy="2621915"/>
                    </a:xfrm>
                    <a:prstGeom prst="rect">
                      <a:avLst/>
                    </a:prstGeom>
                    <a:noFill/>
                    <a:ln>
                      <a:noFill/>
                    </a:ln>
                  </pic:spPr>
                </pic:pic>
              </a:graphicData>
            </a:graphic>
          </wp:inline>
        </w:drawing>
      </w:r>
    </w:p>
    <w:p w14:paraId="50053B21">
      <w:pPr>
        <w:snapToGrid w:val="0"/>
        <w:spacing w:line="360" w:lineRule="auto"/>
        <w:jc w:val="center"/>
        <w:rPr>
          <w:rFonts w:ascii="Times New Roman" w:hAnsi="Times New Roman" w:eastAsia="宋体" w:cs="Times New Roman"/>
          <w:color w:val="auto"/>
          <w:sz w:val="18"/>
          <w:szCs w:val="21"/>
          <w:highlight w:val="none"/>
        </w:rPr>
      </w:pPr>
      <w:r>
        <w:rPr>
          <w:rFonts w:hint="eastAsia" w:ascii="Times New Roman" w:hAnsi="Times New Roman" w:eastAsia="宋体" w:cs="Times New Roman"/>
          <w:color w:val="auto"/>
          <w:sz w:val="18"/>
          <w:szCs w:val="21"/>
          <w:highlight w:val="none"/>
        </w:rPr>
        <w:t>图2.4.2 系统总体架构图</w:t>
      </w:r>
    </w:p>
    <w:p w14:paraId="121CFE08">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2.4.2.1系统方案</w:t>
      </w:r>
      <w:bookmarkEnd w:id="531"/>
    </w:p>
    <w:p w14:paraId="6E60FF52">
      <w:pPr>
        <w:snapToGrid w:val="0"/>
        <w:spacing w:line="360" w:lineRule="auto"/>
        <w:ind w:firstLine="420" w:firstLineChars="200"/>
        <w:rPr>
          <w:rFonts w:ascii="Times New Roman" w:hAnsi="Times New Roman" w:eastAsia="宋体" w:cs="宋体"/>
          <w:bCs/>
          <w:snapToGrid w:val="0"/>
          <w:color w:val="auto"/>
          <w:szCs w:val="21"/>
          <w:highlight w:val="none"/>
        </w:rPr>
      </w:pPr>
      <w:r>
        <w:rPr>
          <w:rFonts w:hint="eastAsia" w:ascii="Times New Roman" w:hAnsi="Times New Roman" w:eastAsia="宋体" w:cs="宋体"/>
          <w:bCs/>
          <w:snapToGrid w:val="0"/>
          <w:color w:val="auto"/>
          <w:szCs w:val="21"/>
          <w:highlight w:val="none"/>
        </w:rPr>
        <w:t>集中控制系统是基于现代先进控制思想的分布式计算机控制系统（即集散型控制系统），它集成了当代计算机技术、高性能控制器及智能化仪表的各自特点于一身，使其在污水处理厂及提标的运行管理方面发挥了巨大的作用。</w:t>
      </w:r>
    </w:p>
    <w:p w14:paraId="3FECEBD9">
      <w:pPr>
        <w:snapToGrid w:val="0"/>
        <w:spacing w:line="360" w:lineRule="auto"/>
        <w:ind w:firstLine="420" w:firstLineChars="200"/>
        <w:rPr>
          <w:rFonts w:ascii="Times New Roman" w:hAnsi="Times New Roman" w:eastAsia="宋体" w:cs="宋体"/>
          <w:bCs/>
          <w:snapToGrid w:val="0"/>
          <w:color w:val="auto"/>
          <w:szCs w:val="21"/>
          <w:highlight w:val="none"/>
        </w:rPr>
      </w:pPr>
      <w:r>
        <w:rPr>
          <w:rFonts w:hint="eastAsia" w:ascii="Times New Roman" w:hAnsi="Times New Roman" w:eastAsia="宋体" w:cs="宋体"/>
          <w:bCs/>
          <w:snapToGrid w:val="0"/>
          <w:color w:val="auto"/>
          <w:szCs w:val="21"/>
          <w:highlight w:val="none"/>
        </w:rPr>
        <w:t>由控制器及自动化仪表组成检测控制系统—现场控制站，以控制分区为对象，具有独立的区域控制能力，能接受中央控制的调控，但不依赖中央控制的存在，对污水处理厂及提标项目各过程进行分散控制；再由调度指挥中心对各厂实行集中管理。各分控站与数据采集服务器之间由工业以太网进行数据通信，各厂与调度指挥中心之间由运营商专网专线进行数据通信，现场控制站与现场测控自控仪表设备之间通过标准4～20mA模拟信号连接并可通过开放式现场总线进行通信，现场控制站与进出水监测站房仪表通过数采仪Modbus或以太网进行数据传输。现场控制站根据污水处理厂所采用的工艺和构筑物的平面分布，设置在控制对象和信号源相对集中的建筑物中。</w:t>
      </w:r>
    </w:p>
    <w:p w14:paraId="436DF7F1">
      <w:pPr>
        <w:snapToGrid w:val="0"/>
        <w:spacing w:line="360" w:lineRule="auto"/>
        <w:ind w:firstLine="420" w:firstLineChars="200"/>
        <w:rPr>
          <w:rFonts w:ascii="Times New Roman" w:hAnsi="Times New Roman" w:eastAsia="宋体" w:cs="宋体"/>
          <w:bCs/>
          <w:snapToGrid w:val="0"/>
          <w:color w:val="auto"/>
          <w:szCs w:val="21"/>
          <w:highlight w:val="none"/>
        </w:rPr>
      </w:pPr>
      <w:r>
        <w:rPr>
          <w:rFonts w:hint="eastAsia" w:ascii="Times New Roman" w:hAnsi="Times New Roman" w:eastAsia="宋体" w:cs="宋体"/>
          <w:bCs/>
          <w:snapToGrid w:val="0"/>
          <w:color w:val="auto"/>
          <w:szCs w:val="21"/>
          <w:highlight w:val="none"/>
        </w:rPr>
        <w:t>厂区网络为环形主干网+局部星形拓扑网络结构，自适应10/100/1000Mbps传输速率，全双工通信，网络传输介质有光缆、双绞线，主网络系统布线、子网络系统布线统一考虑、综合利用。</w:t>
      </w:r>
    </w:p>
    <w:p w14:paraId="242B6079">
      <w:pPr>
        <w:snapToGrid w:val="0"/>
        <w:spacing w:line="360" w:lineRule="auto"/>
        <w:ind w:firstLine="420" w:firstLineChars="200"/>
        <w:rPr>
          <w:rFonts w:ascii="Times New Roman" w:hAnsi="Times New Roman" w:eastAsia="宋体" w:cs="宋体"/>
          <w:bCs/>
          <w:snapToGrid w:val="0"/>
          <w:color w:val="auto"/>
          <w:szCs w:val="21"/>
          <w:highlight w:val="none"/>
        </w:rPr>
      </w:pPr>
      <w:r>
        <w:rPr>
          <w:rFonts w:hint="eastAsia" w:ascii="Times New Roman" w:hAnsi="Times New Roman" w:eastAsia="宋体" w:cs="宋体"/>
          <w:bCs/>
          <w:snapToGrid w:val="0"/>
          <w:color w:val="auto"/>
          <w:szCs w:val="21"/>
          <w:highlight w:val="none"/>
        </w:rPr>
        <w:t>污水处理厂及提标项目与调度指挥中心采用运营商专线加5G专线的方式，采用10M光纤专线组成工控网，100M光纤专线组成视频监控网，当10M工控网专线失效时可自动跳转至100M视频监控网专线，当有线链路均失效时，则使用5G专线传输工控数据，为保证工控数据传输效率，不允许视频监控使用10M专线和5G专线。</w:t>
      </w:r>
    </w:p>
    <w:p w14:paraId="7FD44957">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SCADA系统可无缝兼容多种设备通信接口与通信协议，无需第三方驱动进行数据采集，支持协议至少包括西门子、Allen-Bradley CSP /DF1/EIP、Modbus、DNP、GSM、IEC 60870-5-101/104、OPC 等，有效提高系统的稳定性，易上手、易维护，无需根据不同通信协议进行安装相应驱动。</w:t>
      </w:r>
    </w:p>
    <w:p w14:paraId="45853404">
      <w:pPr>
        <w:spacing w:line="360" w:lineRule="auto"/>
        <w:ind w:firstLine="420" w:firstLineChars="200"/>
        <w:rPr>
          <w:rFonts w:ascii="Times New Roman" w:hAnsi="Times New Roman" w:eastAsia="宋体" w:cs="宋体"/>
          <w:bCs/>
          <w:snapToGrid w:val="0"/>
          <w:color w:val="auto"/>
          <w:szCs w:val="21"/>
          <w:highlight w:val="none"/>
        </w:rPr>
      </w:pPr>
      <w:r>
        <w:rPr>
          <w:rFonts w:hint="eastAsia" w:ascii="Times New Roman" w:hAnsi="Times New Roman" w:eastAsia="宋体" w:cs="Times New Roman"/>
          <w:color w:val="auto"/>
          <w:szCs w:val="24"/>
          <w:highlight w:val="none"/>
        </w:rPr>
        <w:t>集中控制系统为保证整体运行的效率与流畅性，使用5套SCADA系统运行37个污水处理厂及21个提标项目，并且考虑系统冗余配置，本系统共使用10套SCADA系统，污水项目分配根据招标人需求。</w:t>
      </w:r>
    </w:p>
    <w:p w14:paraId="1970213B">
      <w:pPr>
        <w:snapToGrid w:val="0"/>
        <w:spacing w:line="360" w:lineRule="auto"/>
        <w:ind w:firstLine="420" w:firstLineChars="200"/>
        <w:rPr>
          <w:rFonts w:ascii="Times New Roman" w:hAnsi="Times New Roman" w:eastAsia="宋体" w:cs="宋体"/>
          <w:bCs/>
          <w:snapToGrid w:val="0"/>
          <w:color w:val="auto"/>
          <w:szCs w:val="21"/>
          <w:highlight w:val="none"/>
        </w:rPr>
      </w:pPr>
      <w:r>
        <w:rPr>
          <w:rFonts w:hint="eastAsia" w:ascii="Times New Roman" w:hAnsi="Times New Roman" w:eastAsia="宋体" w:cs="宋体"/>
          <w:bCs/>
          <w:snapToGrid w:val="0"/>
          <w:color w:val="auto"/>
          <w:szCs w:val="21"/>
          <w:highlight w:val="none"/>
        </w:rPr>
        <w:t>设备监控、数据管理及运行管理采用C/S模式（Client/Server）在超融合服务器上安装组态软件的服务器端（开发版），在监控工作站上安装客户端（运行版）。客户端应能同时访问10台服务器的项目数据，并且客户端项目二次组态应简单、便捷、易操作，已满足招标人项目管理灵活配置的需求。</w:t>
      </w:r>
    </w:p>
    <w:p w14:paraId="6F4A8DBD">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SCADA系统可无缝兼容多种设备通信接口与通信协议，无需第三方驱动进行数据采集，支持协议至少包括西门子、Allen-Bradley CSP /DF1/EIP、Modbus、DNP、GSM、IEC 60870-5-101/104、OPC 等，有效提高系统的稳定性，易上手、易维护，无需根据不同通信协议进行安装相应驱动。</w:t>
      </w:r>
    </w:p>
    <w:p w14:paraId="7A0A5945">
      <w:pPr>
        <w:snapToGrid w:val="0"/>
        <w:spacing w:line="360" w:lineRule="auto"/>
        <w:ind w:firstLine="420" w:firstLineChars="200"/>
        <w:rPr>
          <w:rFonts w:ascii="Times New Roman" w:hAnsi="Times New Roman" w:eastAsia="宋体" w:cs="宋体"/>
          <w:bCs/>
          <w:snapToGrid w:val="0"/>
          <w:color w:val="auto"/>
          <w:szCs w:val="21"/>
          <w:highlight w:val="none"/>
        </w:rPr>
      </w:pPr>
      <w:r>
        <w:rPr>
          <w:rFonts w:hint="eastAsia" w:ascii="Times New Roman" w:hAnsi="Times New Roman" w:eastAsia="宋体" w:cs="宋体"/>
          <w:bCs/>
          <w:snapToGrid w:val="0"/>
          <w:color w:val="auto"/>
          <w:szCs w:val="21"/>
          <w:highlight w:val="none"/>
        </w:rPr>
        <w:t>设备的控制方式如下：</w:t>
      </w:r>
    </w:p>
    <w:p w14:paraId="49CA704E">
      <w:pPr>
        <w:snapToGrid w:val="0"/>
        <w:spacing w:line="360" w:lineRule="auto"/>
        <w:ind w:firstLine="420" w:firstLineChars="200"/>
        <w:rPr>
          <w:rFonts w:ascii="Times New Roman" w:hAnsi="Times New Roman" w:eastAsia="宋体" w:cs="宋体"/>
          <w:bCs/>
          <w:snapToGrid w:val="0"/>
          <w:color w:val="auto"/>
          <w:szCs w:val="21"/>
          <w:highlight w:val="none"/>
        </w:rPr>
      </w:pPr>
      <w:r>
        <w:rPr>
          <w:rFonts w:hint="eastAsia" w:ascii="Times New Roman" w:hAnsi="Times New Roman" w:eastAsia="宋体" w:cs="宋体"/>
          <w:bCs/>
          <w:snapToGrid w:val="0"/>
          <w:color w:val="auto"/>
          <w:szCs w:val="21"/>
          <w:highlight w:val="none"/>
        </w:rPr>
        <w:t>1）现场手动模式：设备的现场控制箱或MCC控制柜上的“就地/远程”开关选择“就地”方式时，通过现场控制箱或MCC控制柜上的按钮实现对设备的启/停、开/关操作。</w:t>
      </w:r>
    </w:p>
    <w:p w14:paraId="2C7A47F2">
      <w:pPr>
        <w:snapToGrid w:val="0"/>
        <w:spacing w:line="360" w:lineRule="auto"/>
        <w:ind w:firstLine="420" w:firstLineChars="200"/>
        <w:rPr>
          <w:rFonts w:ascii="Times New Roman" w:hAnsi="Times New Roman" w:eastAsia="宋体" w:cs="宋体"/>
          <w:bCs/>
          <w:snapToGrid w:val="0"/>
          <w:color w:val="auto"/>
          <w:szCs w:val="21"/>
          <w:highlight w:val="none"/>
        </w:rPr>
      </w:pPr>
      <w:r>
        <w:rPr>
          <w:rFonts w:hint="eastAsia" w:ascii="Times New Roman" w:hAnsi="Times New Roman" w:eastAsia="宋体" w:cs="宋体"/>
          <w:bCs/>
          <w:snapToGrid w:val="0"/>
          <w:color w:val="auto"/>
          <w:szCs w:val="21"/>
          <w:highlight w:val="none"/>
        </w:rPr>
        <w:t>2）遥控模式：即远程手动控制方式。现场控制箱或MCC控制柜上的“就地/远程” 开关选择“远程”方式，操作人员通过控制站操作面板或中控系统操作站的监控画面用鼠标器或键盘选择“遥控”方式并对设备进行启/停、开/关操作。</w:t>
      </w:r>
    </w:p>
    <w:p w14:paraId="6A7BB8FD">
      <w:pPr>
        <w:snapToGrid w:val="0"/>
        <w:spacing w:line="360" w:lineRule="auto"/>
        <w:ind w:firstLine="420" w:firstLineChars="200"/>
        <w:rPr>
          <w:rFonts w:ascii="Times New Roman" w:hAnsi="Times New Roman" w:eastAsia="宋体" w:cs="宋体"/>
          <w:bCs/>
          <w:snapToGrid w:val="0"/>
          <w:color w:val="auto"/>
          <w:szCs w:val="21"/>
          <w:highlight w:val="none"/>
        </w:rPr>
      </w:pPr>
      <w:r>
        <w:rPr>
          <w:rFonts w:hint="eastAsia" w:ascii="Times New Roman" w:hAnsi="Times New Roman" w:eastAsia="宋体" w:cs="宋体"/>
          <w:bCs/>
          <w:snapToGrid w:val="0"/>
          <w:color w:val="auto"/>
          <w:szCs w:val="21"/>
          <w:highlight w:val="none"/>
        </w:rPr>
        <w:t>3）自动模式：现场控制箱或MCC控制柜上的“就地/远程”开关选择“远程”方式，且操作人员通过控制站操作面板或中控系统操作站的监控画面用鼠标器或键盘将“自动/遥控”设定为“自动”方式时，设备的运行完全由各PLC控制站根据污水处理厂的工况及生产要求来完成对设备的运行或开/关控制，而不需要人工干预。</w:t>
      </w:r>
    </w:p>
    <w:p w14:paraId="0B5349DF">
      <w:pPr>
        <w:snapToGrid w:val="0"/>
        <w:spacing w:line="360" w:lineRule="auto"/>
        <w:ind w:firstLine="420" w:firstLineChars="200"/>
        <w:rPr>
          <w:rFonts w:ascii="Times New Roman" w:hAnsi="Times New Roman" w:eastAsia="宋体" w:cs="宋体"/>
          <w:bCs/>
          <w:snapToGrid w:val="0"/>
          <w:color w:val="auto"/>
          <w:szCs w:val="21"/>
          <w:highlight w:val="none"/>
        </w:rPr>
      </w:pPr>
      <w:r>
        <w:rPr>
          <w:rFonts w:hint="eastAsia" w:ascii="Times New Roman" w:hAnsi="Times New Roman" w:eastAsia="宋体" w:cs="宋体"/>
          <w:bCs/>
          <w:snapToGrid w:val="0"/>
          <w:color w:val="auto"/>
          <w:szCs w:val="21"/>
          <w:highlight w:val="none"/>
        </w:rPr>
        <w:t>控制方式设计为：就地手动控制优先，在此基础上，设置远程遥控和自动控制。控制级别由高到低为：现场手动控制、遥控控制、自动控制。</w:t>
      </w:r>
    </w:p>
    <w:p w14:paraId="65CB6E7D">
      <w:pPr>
        <w:snapToGrid w:val="0"/>
        <w:spacing w:line="360" w:lineRule="auto"/>
        <w:ind w:firstLine="420" w:firstLineChars="200"/>
        <w:rPr>
          <w:rFonts w:ascii="Times New Roman" w:hAnsi="Times New Roman" w:eastAsia="宋体" w:cs="宋体"/>
          <w:bCs/>
          <w:snapToGrid w:val="0"/>
          <w:color w:val="auto"/>
          <w:szCs w:val="21"/>
          <w:highlight w:val="none"/>
        </w:rPr>
      </w:pPr>
      <w:r>
        <w:rPr>
          <w:rFonts w:hint="eastAsia" w:ascii="Times New Roman" w:hAnsi="Times New Roman" w:eastAsia="宋体" w:cs="宋体"/>
          <w:bCs/>
          <w:snapToGrid w:val="0"/>
          <w:color w:val="auto"/>
          <w:szCs w:val="21"/>
          <w:highlight w:val="none"/>
        </w:rPr>
        <w:t>手动干预是操作人员的专有权利，因为过程连锁在此模式下无效；而自动模式下，安全连锁是有效的，并限制操作的可能性，可防止非正常状态下运行。离工艺过程越近的控制层具有更高的优先权。</w:t>
      </w:r>
      <w:bookmarkStart w:id="532" w:name="_Toc104950642"/>
      <w:bookmarkStart w:id="533" w:name="_Toc91320286"/>
      <w:bookmarkStart w:id="534" w:name="_Toc419661381"/>
    </w:p>
    <w:p w14:paraId="525D6492">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2.4.2.2调度指挥中心MMI</w:t>
      </w:r>
    </w:p>
    <w:p w14:paraId="338800BB">
      <w:pPr>
        <w:snapToGrid w:val="0"/>
        <w:spacing w:line="360" w:lineRule="auto"/>
        <w:ind w:firstLine="420" w:firstLineChars="200"/>
        <w:rPr>
          <w:rFonts w:ascii="Times New Roman" w:hAnsi="Times New Roman" w:eastAsia="宋体" w:cs="宋体"/>
          <w:bCs/>
          <w:snapToGrid w:val="0"/>
          <w:color w:val="auto"/>
          <w:szCs w:val="21"/>
          <w:highlight w:val="none"/>
        </w:rPr>
      </w:pPr>
      <w:r>
        <w:rPr>
          <w:rFonts w:hint="eastAsia" w:ascii="Times New Roman" w:hAnsi="Times New Roman" w:eastAsia="宋体" w:cs="宋体"/>
          <w:bCs/>
          <w:snapToGrid w:val="0"/>
          <w:color w:val="auto"/>
          <w:szCs w:val="21"/>
          <w:highlight w:val="none"/>
        </w:rPr>
        <w:t>1）采集工艺过程数据、设备运行状态、电力系统运行状态和数据，远程控制工艺设备运行。</w:t>
      </w:r>
    </w:p>
    <w:p w14:paraId="75851821">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snapToGrid w:val="0"/>
          <w:color w:val="auto"/>
          <w:szCs w:val="21"/>
          <w:highlight w:val="none"/>
        </w:rPr>
        <w:t>2）</w:t>
      </w:r>
      <w:r>
        <w:rPr>
          <w:rFonts w:hint="eastAsia" w:ascii="Times New Roman" w:hAnsi="Times New Roman" w:eastAsia="宋体" w:cs="宋体"/>
          <w:bCs/>
          <w:color w:val="auto"/>
          <w:szCs w:val="21"/>
          <w:highlight w:val="none"/>
        </w:rPr>
        <w:t>能在显示器上显示总工艺流程图，各单体工艺流程图，供电系统图，工艺参数，电气参数，电气设备运行状态等。在确定监控画面后，可对监控对象进行形象图符设计、组态、连接、生成完整的实时监控画面，使用户能在监视器上查询到各种监控对象的动态信息及故障，其形式可以是图像、报表、曲线以及直方图等。同时还应具有友好的汉化人机接口界面，采用图形、图标方式，使管理人员方便地使用鼠标及键盘对系统进行管理、控制，通过监控画面的切换，进行数据查询、状态查询、数据存贮、控制管理等各种操作。人机交互画面必须在能完全体现现场工艺、设备和运行情况的前提下做到画面整体的干净、整洁，画面中构筑物、设备、仪表等模型应易于辨别，文字信息在画面中也应清晰可辨，背景图、各类模型、操作面板、文字等所采用的颜色应保证不易混淆，并且整体画面具有一定的审美水平，系统最终的显示效果以招标人要求为准。</w:t>
      </w:r>
    </w:p>
    <w:p w14:paraId="35107A86">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3）操作站以“人—机”对话方式指导操作，自动状态下，可用键盘或鼠标器设定工艺参数、控制电气设备。</w:t>
      </w:r>
    </w:p>
    <w:p w14:paraId="616E3586">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4）根据采集到的信息，自动建立数据库，能提供整个监控系统运行的各种数据参数、各机械电气设备状态以及各接口设备状态的实时数据库及历史数据库，并能根据信息分类生成各种专用数据库，并自动生成工艺参数的趋势曲线，且具有在线查询、修改、处理、打印等数据库管理软件，可进行日常的操作及维护，同时还应具有ODBC功能，与其它关系数据库建立共享关系，使之将来能与管理信息系统（MIS）联网操作。保存在内存中的实时数据库应存贮有各种监控对象的动态数据，数据刷新周期可调，以保证关键数据的实时响应速度。短期历史数据库应能保存7日的实时数据和组合数据，并不断地予以刷新（其数据来自于实时数据库）。历史数据库中能存入各设备的运行参数、报警记录、事故记录、调度指令等。并具有提供存贮5年运行数据的能力。管理人员通过对工艺曲线进行分析、研究，进一步改进工艺运行方案，提高生产效率。</w:t>
      </w:r>
    </w:p>
    <w:p w14:paraId="16ECBEEE">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5）按生产管理要求打印年、月 、日、班运行报表，报警报表，故障报表及工艺流程图(彩色硬拷贝)。实时报警打印和故障打印，中标人需满足招标人有权在污水处理厂及提标项目现有报表基础上提出的扩展要求，最终报表的格式、数据内容、以及效果等以招标人要求为准。</w:t>
      </w:r>
    </w:p>
    <w:p w14:paraId="68ECFDAA">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6）数据采集服务器通过通信总线与分控制站的现场控制系统进行通信，集中控制系统通过以太网协议与各项目数据采集服务器通讯。计算机系统可在线诊断各类故障。</w:t>
      </w:r>
    </w:p>
    <w:p w14:paraId="3FC12C6D">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7）设不间断电源，保证在发生停电故障时该系统仍能安全可靠地运行2小时以上。</w:t>
      </w:r>
    </w:p>
    <w:p w14:paraId="6DF288AE">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8）预留标准化接口，以便后期与厂管理系统联网，实现资源共享、综合管理。</w:t>
      </w:r>
    </w:p>
    <w:p w14:paraId="5CA64AAB">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9）时间参数：</w:t>
      </w:r>
    </w:p>
    <w:p w14:paraId="24AE3F03">
      <w:pPr>
        <w:snapToGrid w:val="0"/>
        <w:spacing w:line="360" w:lineRule="auto"/>
        <w:ind w:firstLine="422" w:firstLineChars="200"/>
        <w:rPr>
          <w:rFonts w:ascii="Times New Roman" w:hAnsi="Times New Roman" w:eastAsia="宋体" w:cs="宋体"/>
          <w:bCs/>
          <w:color w:val="auto"/>
          <w:szCs w:val="21"/>
          <w:highlight w:val="none"/>
        </w:rPr>
      </w:pPr>
      <w:r>
        <w:rPr>
          <w:rFonts w:ascii="Times New Roman" w:hAnsi="Times New Roman" w:eastAsia="宋体" w:cs="Times New Roman"/>
          <w:b/>
          <w:bCs/>
          <w:color w:val="auto"/>
          <w:szCs w:val="21"/>
          <w:highlight w:val="none"/>
        </w:rPr>
        <w:t>★</w:t>
      </w:r>
      <w:r>
        <w:rPr>
          <w:rFonts w:hint="eastAsia" w:ascii="Times New Roman" w:hAnsi="Times New Roman" w:eastAsia="宋体" w:cs="宋体"/>
          <w:b/>
          <w:color w:val="auto"/>
          <w:szCs w:val="21"/>
          <w:highlight w:val="none"/>
        </w:rPr>
        <w:t>报警响应时间：t ≤1 s； 查询响应时间：t ≤5 s； 实时数据更新时间：t ≤1s；控制指令的响应时间：t ≤1s；计算机画面的切换时间：t ≤1s，报表查询响应时间：t ≤5 s，短期趋势曲线查询时间：t ≤5 s，长期趋势曲线查询时间：t ≤15 s，不允许出现黑屏。</w:t>
      </w:r>
    </w:p>
    <w:p w14:paraId="226B7836">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2.4.2.3软件系统</w:t>
      </w:r>
    </w:p>
    <w:p w14:paraId="4ED2DEB8">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污水处理厂及提标项目的控制软件包括系统软件、应用软件、通信软件、管理软件和二次开发所必须的软件。这些软件必须是成熟的商品软件，并具有类似工程的应用业绩。中央监控SCADA系统组态软件在满足要求后仍留有20%以上的扩展容量。</w:t>
      </w:r>
    </w:p>
    <w:p w14:paraId="7A5C6C65">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2.4.2.4画面管理</w:t>
      </w:r>
    </w:p>
    <w:p w14:paraId="23284153">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实时监测污水厂/提标项目生产过程的主要工艺流程状态、设备运行状态，液位、流量、水质、压力及电力参数、生产药剂消耗数据等重要运行信息，为管理人员提供基于生产过程工艺流程图等的数据实时在线展示功能，并能够根据系统设定频率进行数据刷新。</w:t>
      </w:r>
    </w:p>
    <w:p w14:paraId="0E8EC75C">
      <w:pPr>
        <w:spacing w:line="360" w:lineRule="auto"/>
        <w:ind w:firstLine="420" w:firstLineChars="200"/>
        <w:rPr>
          <w:rFonts w:ascii="Times New Roman" w:hAnsi="Times New Roman" w:eastAsia="宋体" w:cs="Times New Roman"/>
          <w:bCs/>
          <w:color w:val="auto"/>
          <w:szCs w:val="24"/>
          <w:highlight w:val="none"/>
        </w:rPr>
      </w:pPr>
      <w:r>
        <w:rPr>
          <w:rFonts w:hint="eastAsia" w:ascii="Times New Roman" w:hAnsi="Times New Roman" w:eastAsia="宋体" w:cs="Times New Roman"/>
          <w:bCs/>
          <w:color w:val="auto"/>
          <w:szCs w:val="24"/>
          <w:highlight w:val="none"/>
        </w:rPr>
        <w:t>1、</w:t>
      </w:r>
      <w:r>
        <w:rPr>
          <w:rFonts w:ascii="Times New Roman" w:hAnsi="Times New Roman" w:eastAsia="宋体" w:cs="Times New Roman"/>
          <w:bCs/>
          <w:color w:val="auto"/>
          <w:szCs w:val="24"/>
          <w:highlight w:val="none"/>
        </w:rPr>
        <w:t>多厂总</w:t>
      </w:r>
      <w:r>
        <w:rPr>
          <w:rFonts w:hint="eastAsia" w:ascii="Times New Roman" w:hAnsi="Times New Roman" w:eastAsia="宋体" w:cs="Times New Roman"/>
          <w:bCs/>
          <w:color w:val="auto"/>
          <w:szCs w:val="24"/>
          <w:highlight w:val="none"/>
        </w:rPr>
        <w:t>生产情况监控</w:t>
      </w:r>
    </w:p>
    <w:p w14:paraId="0F188C20">
      <w:pPr>
        <w:spacing w:line="360" w:lineRule="auto"/>
        <w:ind w:firstLine="420" w:firstLineChars="200"/>
        <w:rPr>
          <w:rFonts w:ascii="Times New Roman" w:hAnsi="Times New Roman" w:eastAsia="宋体" w:cs="Times New Roman"/>
          <w:bCs/>
          <w:color w:val="auto"/>
          <w:szCs w:val="28"/>
          <w:highlight w:val="none"/>
        </w:rPr>
      </w:pPr>
      <w:r>
        <w:rPr>
          <w:rFonts w:ascii="Times New Roman" w:hAnsi="Times New Roman" w:eastAsia="宋体" w:cs="Times New Roman"/>
          <w:bCs/>
          <w:color w:val="auto"/>
          <w:szCs w:val="28"/>
          <w:highlight w:val="none"/>
        </w:rPr>
        <w:t>展示多个污水厂的主要工艺生产</w:t>
      </w:r>
      <w:r>
        <w:rPr>
          <w:rFonts w:hint="eastAsia" w:ascii="Times New Roman" w:hAnsi="Times New Roman" w:eastAsia="宋体" w:cs="Times New Roman"/>
          <w:bCs/>
          <w:color w:val="auto"/>
          <w:szCs w:val="28"/>
          <w:highlight w:val="none"/>
        </w:rPr>
        <w:t>情况</w:t>
      </w:r>
      <w:r>
        <w:rPr>
          <w:rFonts w:ascii="Times New Roman" w:hAnsi="Times New Roman" w:eastAsia="宋体" w:cs="Times New Roman"/>
          <w:bCs/>
          <w:color w:val="auto"/>
          <w:szCs w:val="28"/>
          <w:highlight w:val="none"/>
        </w:rPr>
        <w:t>画面，以及主要的生产数据（包括流量、水质、报警等信号），实现多污水厂监视画面集成。双击监视画面中的各个污水厂/提标项目，可以直接跳转到每个具体污水厂/提标项目的完整画面，查看全厂的运行情况。</w:t>
      </w:r>
    </w:p>
    <w:p w14:paraId="57AF01D0">
      <w:pPr>
        <w:spacing w:line="360" w:lineRule="auto"/>
        <w:ind w:firstLine="420" w:firstLineChars="200"/>
        <w:rPr>
          <w:rFonts w:ascii="Times New Roman" w:hAnsi="Times New Roman" w:eastAsia="宋体" w:cs="Times New Roman"/>
          <w:bCs/>
          <w:color w:val="auto"/>
          <w:szCs w:val="24"/>
          <w:highlight w:val="none"/>
        </w:rPr>
      </w:pPr>
      <w:r>
        <w:rPr>
          <w:rFonts w:hint="eastAsia" w:ascii="Times New Roman" w:hAnsi="Times New Roman" w:eastAsia="宋体" w:cs="Times New Roman"/>
          <w:bCs/>
          <w:color w:val="auto"/>
          <w:szCs w:val="24"/>
          <w:highlight w:val="none"/>
        </w:rPr>
        <w:t>2、</w:t>
      </w:r>
      <w:r>
        <w:rPr>
          <w:rFonts w:ascii="Times New Roman" w:hAnsi="Times New Roman" w:eastAsia="宋体" w:cs="Times New Roman"/>
          <w:bCs/>
          <w:color w:val="auto"/>
          <w:szCs w:val="24"/>
          <w:highlight w:val="none"/>
        </w:rPr>
        <w:t>厂站网综合监视</w:t>
      </w:r>
    </w:p>
    <w:p w14:paraId="6A030024">
      <w:pPr>
        <w:spacing w:line="360" w:lineRule="auto"/>
        <w:ind w:firstLine="420" w:firstLineChars="200"/>
        <w:rPr>
          <w:rFonts w:ascii="Times New Roman" w:hAnsi="Times New Roman" w:eastAsia="宋体" w:cs="Times New Roman"/>
          <w:bCs/>
          <w:color w:val="auto"/>
          <w:szCs w:val="28"/>
          <w:highlight w:val="none"/>
        </w:rPr>
      </w:pPr>
      <w:r>
        <w:rPr>
          <w:rFonts w:hint="eastAsia" w:ascii="Times New Roman" w:hAnsi="Times New Roman" w:eastAsia="宋体" w:cs="Times New Roman"/>
          <w:bCs/>
          <w:color w:val="auto"/>
          <w:szCs w:val="28"/>
          <w:highlight w:val="none"/>
        </w:rPr>
        <w:t>集控系统可</w:t>
      </w:r>
      <w:r>
        <w:rPr>
          <w:rFonts w:ascii="Times New Roman" w:hAnsi="Times New Roman" w:eastAsia="宋体" w:cs="Times New Roman"/>
          <w:bCs/>
          <w:color w:val="auto"/>
          <w:szCs w:val="28"/>
          <w:highlight w:val="none"/>
        </w:rPr>
        <w:t>接收第三方管网、泵站等数据，并与对应的污水厂画面相结合，实现厂站网综合监视。</w:t>
      </w:r>
    </w:p>
    <w:p w14:paraId="09D45F1B">
      <w:pPr>
        <w:spacing w:line="360" w:lineRule="auto"/>
        <w:ind w:firstLine="420" w:firstLineChars="200"/>
        <w:rPr>
          <w:rFonts w:ascii="Times New Roman" w:hAnsi="Times New Roman" w:eastAsia="宋体" w:cs="Times New Roman"/>
          <w:bCs/>
          <w:color w:val="auto"/>
          <w:szCs w:val="24"/>
          <w:highlight w:val="none"/>
        </w:rPr>
      </w:pPr>
      <w:r>
        <w:rPr>
          <w:rFonts w:hint="eastAsia" w:ascii="Times New Roman" w:hAnsi="Times New Roman" w:eastAsia="宋体" w:cs="Times New Roman"/>
          <w:bCs/>
          <w:color w:val="auto"/>
          <w:szCs w:val="24"/>
          <w:highlight w:val="none"/>
        </w:rPr>
        <w:t>3、</w:t>
      </w:r>
      <w:r>
        <w:rPr>
          <w:rFonts w:ascii="Times New Roman" w:hAnsi="Times New Roman" w:eastAsia="宋体" w:cs="Times New Roman"/>
          <w:bCs/>
          <w:color w:val="auto"/>
          <w:szCs w:val="24"/>
          <w:highlight w:val="none"/>
        </w:rPr>
        <w:t>全厂完整工艺流程</w:t>
      </w:r>
      <w:r>
        <w:rPr>
          <w:rFonts w:hint="eastAsia" w:ascii="Times New Roman" w:hAnsi="Times New Roman" w:eastAsia="宋体" w:cs="Times New Roman"/>
          <w:bCs/>
          <w:color w:val="auto"/>
          <w:szCs w:val="24"/>
          <w:highlight w:val="none"/>
        </w:rPr>
        <w:t>监控</w:t>
      </w:r>
    </w:p>
    <w:p w14:paraId="6D81286F">
      <w:pPr>
        <w:spacing w:line="360" w:lineRule="auto"/>
        <w:ind w:firstLine="420" w:firstLineChars="200"/>
        <w:rPr>
          <w:rFonts w:ascii="Times New Roman" w:hAnsi="Times New Roman" w:eastAsia="宋体" w:cs="Times New Roman"/>
          <w:bCs/>
          <w:color w:val="auto"/>
          <w:szCs w:val="28"/>
          <w:highlight w:val="none"/>
        </w:rPr>
      </w:pPr>
      <w:r>
        <w:rPr>
          <w:rFonts w:ascii="Times New Roman" w:hAnsi="Times New Roman" w:eastAsia="宋体" w:cs="Times New Roman"/>
          <w:bCs/>
          <w:color w:val="auto"/>
          <w:szCs w:val="28"/>
          <w:highlight w:val="none"/>
        </w:rPr>
        <w:t>展示污水厂全厂完整的工艺生产流程，以及进出口处的主要数据（包括压力、流量、液位、水质等参数）和报警信号等，实现全污水厂监视画面集成。双击监视画面中的各个单体，可以直接跳转到每个具体单体画面，查看单体运行情况。</w:t>
      </w:r>
    </w:p>
    <w:p w14:paraId="67472EEC">
      <w:pPr>
        <w:spacing w:line="360" w:lineRule="auto"/>
        <w:ind w:firstLine="420" w:firstLineChars="200"/>
        <w:rPr>
          <w:rFonts w:ascii="Times New Roman" w:hAnsi="Times New Roman" w:eastAsia="宋体" w:cs="Times New Roman"/>
          <w:bCs/>
          <w:color w:val="auto"/>
          <w:szCs w:val="24"/>
          <w:highlight w:val="none"/>
        </w:rPr>
      </w:pPr>
      <w:r>
        <w:rPr>
          <w:rFonts w:hint="eastAsia" w:ascii="Times New Roman" w:hAnsi="Times New Roman" w:eastAsia="宋体" w:cs="Times New Roman"/>
          <w:bCs/>
          <w:color w:val="auto"/>
          <w:szCs w:val="24"/>
          <w:highlight w:val="none"/>
        </w:rPr>
        <w:t>1</w:t>
      </w:r>
      <w:r>
        <w:rPr>
          <w:rFonts w:ascii="Times New Roman" w:hAnsi="Times New Roman" w:eastAsia="宋体" w:cs="Times New Roman"/>
          <w:bCs/>
          <w:color w:val="auto"/>
          <w:szCs w:val="24"/>
          <w:highlight w:val="none"/>
        </w:rPr>
        <w:t>）各单体工艺流程</w:t>
      </w:r>
      <w:r>
        <w:rPr>
          <w:rFonts w:hint="eastAsia" w:ascii="Times New Roman" w:hAnsi="Times New Roman" w:eastAsia="宋体" w:cs="Times New Roman"/>
          <w:bCs/>
          <w:color w:val="auto"/>
          <w:szCs w:val="24"/>
          <w:highlight w:val="none"/>
        </w:rPr>
        <w:t>监控</w:t>
      </w:r>
    </w:p>
    <w:p w14:paraId="7402B3D0">
      <w:pPr>
        <w:spacing w:line="360" w:lineRule="auto"/>
        <w:ind w:firstLine="420" w:firstLineChars="200"/>
        <w:rPr>
          <w:rFonts w:ascii="Times New Roman" w:hAnsi="Times New Roman" w:eastAsia="宋体" w:cs="Times New Roman"/>
          <w:bCs/>
          <w:color w:val="auto"/>
          <w:szCs w:val="28"/>
          <w:highlight w:val="none"/>
        </w:rPr>
      </w:pPr>
      <w:r>
        <w:rPr>
          <w:rFonts w:ascii="Times New Roman" w:hAnsi="Times New Roman" w:eastAsia="宋体" w:cs="Times New Roman"/>
          <w:bCs/>
          <w:color w:val="auto"/>
          <w:szCs w:val="28"/>
          <w:highlight w:val="none"/>
        </w:rPr>
        <w:t>展示单体的运行情况，实现各单体监视画面集成。双击监视画面中的设备，可以直接跳转到具体的设备画面，查看设备运行的实时参数。</w:t>
      </w:r>
    </w:p>
    <w:p w14:paraId="1024D198">
      <w:pPr>
        <w:spacing w:line="360" w:lineRule="auto"/>
        <w:ind w:firstLine="420" w:firstLineChars="200"/>
        <w:rPr>
          <w:rFonts w:ascii="Times New Roman" w:hAnsi="Times New Roman" w:eastAsia="宋体" w:cs="Times New Roman"/>
          <w:bCs/>
          <w:color w:val="auto"/>
          <w:szCs w:val="24"/>
          <w:highlight w:val="none"/>
        </w:rPr>
      </w:pPr>
      <w:r>
        <w:rPr>
          <w:rFonts w:hint="eastAsia" w:ascii="Times New Roman" w:hAnsi="Times New Roman" w:eastAsia="宋体" w:cs="Times New Roman"/>
          <w:bCs/>
          <w:color w:val="auto"/>
          <w:szCs w:val="24"/>
          <w:highlight w:val="none"/>
        </w:rPr>
        <w:t>2</w:t>
      </w:r>
      <w:r>
        <w:rPr>
          <w:rFonts w:ascii="Times New Roman" w:hAnsi="Times New Roman" w:eastAsia="宋体" w:cs="Times New Roman"/>
          <w:bCs/>
          <w:color w:val="auto"/>
          <w:szCs w:val="24"/>
          <w:highlight w:val="none"/>
        </w:rPr>
        <w:t>）工艺设备运行参数集中</w:t>
      </w:r>
      <w:r>
        <w:rPr>
          <w:rFonts w:hint="eastAsia" w:ascii="Times New Roman" w:hAnsi="Times New Roman" w:eastAsia="宋体" w:cs="Times New Roman"/>
          <w:bCs/>
          <w:color w:val="auto"/>
          <w:szCs w:val="24"/>
          <w:highlight w:val="none"/>
        </w:rPr>
        <w:t>监控</w:t>
      </w:r>
    </w:p>
    <w:p w14:paraId="078FFBE1">
      <w:pPr>
        <w:spacing w:line="360" w:lineRule="auto"/>
        <w:ind w:firstLine="420" w:firstLineChars="200"/>
        <w:rPr>
          <w:rFonts w:ascii="Times New Roman" w:hAnsi="Times New Roman" w:eastAsia="宋体" w:cs="Times New Roman"/>
          <w:bCs/>
          <w:color w:val="auto"/>
          <w:szCs w:val="28"/>
          <w:highlight w:val="none"/>
        </w:rPr>
      </w:pPr>
      <w:r>
        <w:rPr>
          <w:rFonts w:ascii="Times New Roman" w:hAnsi="Times New Roman" w:eastAsia="宋体" w:cs="Times New Roman"/>
          <w:bCs/>
          <w:color w:val="auto"/>
          <w:szCs w:val="28"/>
          <w:highlight w:val="none"/>
        </w:rPr>
        <w:t>集中展示全厂主要生产工艺或者设备运行参数的情况，可以一览全厂的工艺生产和设备运行详细情况。</w:t>
      </w:r>
    </w:p>
    <w:p w14:paraId="55D3BFCF">
      <w:pPr>
        <w:spacing w:line="360" w:lineRule="auto"/>
        <w:ind w:firstLine="420" w:firstLineChars="200"/>
        <w:rPr>
          <w:rFonts w:ascii="Times New Roman" w:hAnsi="Times New Roman" w:eastAsia="宋体" w:cs="Times New Roman"/>
          <w:bCs/>
          <w:color w:val="auto"/>
          <w:szCs w:val="24"/>
          <w:highlight w:val="none"/>
        </w:rPr>
      </w:pPr>
      <w:r>
        <w:rPr>
          <w:rFonts w:hint="eastAsia" w:ascii="Times New Roman" w:hAnsi="Times New Roman" w:eastAsia="宋体" w:cs="Times New Roman"/>
          <w:bCs/>
          <w:color w:val="auto"/>
          <w:szCs w:val="24"/>
          <w:highlight w:val="none"/>
        </w:rPr>
        <w:t>3</w:t>
      </w:r>
      <w:r>
        <w:rPr>
          <w:rFonts w:ascii="Times New Roman" w:hAnsi="Times New Roman" w:eastAsia="宋体" w:cs="Times New Roman"/>
          <w:bCs/>
          <w:color w:val="auto"/>
          <w:szCs w:val="24"/>
          <w:highlight w:val="none"/>
        </w:rPr>
        <w:t>）厂区网络系统监视</w:t>
      </w:r>
    </w:p>
    <w:p w14:paraId="7B4C02D9">
      <w:pPr>
        <w:spacing w:line="360" w:lineRule="auto"/>
        <w:ind w:firstLine="420" w:firstLineChars="200"/>
        <w:rPr>
          <w:rFonts w:ascii="Times New Roman" w:hAnsi="Times New Roman" w:eastAsia="宋体" w:cs="Times New Roman"/>
          <w:bCs/>
          <w:color w:val="auto"/>
          <w:szCs w:val="28"/>
          <w:highlight w:val="none"/>
        </w:rPr>
      </w:pPr>
      <w:r>
        <w:rPr>
          <w:rFonts w:ascii="Times New Roman" w:hAnsi="Times New Roman" w:eastAsia="宋体" w:cs="Times New Roman"/>
          <w:bCs/>
          <w:color w:val="auto"/>
          <w:szCs w:val="28"/>
          <w:highlight w:val="none"/>
        </w:rPr>
        <w:t>展示全厂的网络结构，及各节点设备的IP等信息。</w:t>
      </w:r>
    </w:p>
    <w:p w14:paraId="32416024">
      <w:pPr>
        <w:spacing w:line="360" w:lineRule="auto"/>
        <w:ind w:firstLine="420" w:firstLineChars="200"/>
        <w:rPr>
          <w:rFonts w:ascii="Times New Roman" w:hAnsi="Times New Roman" w:eastAsia="宋体" w:cs="Times New Roman"/>
          <w:bCs/>
          <w:color w:val="auto"/>
          <w:szCs w:val="24"/>
          <w:highlight w:val="none"/>
        </w:rPr>
      </w:pPr>
      <w:r>
        <w:rPr>
          <w:rFonts w:hint="eastAsia" w:ascii="Times New Roman" w:hAnsi="Times New Roman" w:eastAsia="宋体" w:cs="Times New Roman"/>
          <w:bCs/>
          <w:color w:val="auto"/>
          <w:szCs w:val="24"/>
          <w:highlight w:val="none"/>
        </w:rPr>
        <w:t>4</w:t>
      </w:r>
      <w:r>
        <w:rPr>
          <w:rFonts w:ascii="Times New Roman" w:hAnsi="Times New Roman" w:eastAsia="宋体" w:cs="Times New Roman"/>
          <w:bCs/>
          <w:color w:val="auto"/>
          <w:szCs w:val="24"/>
          <w:highlight w:val="none"/>
        </w:rPr>
        <w:t>）厂区电力系统监视</w:t>
      </w:r>
    </w:p>
    <w:p w14:paraId="25A18608">
      <w:pPr>
        <w:spacing w:line="360" w:lineRule="auto"/>
        <w:ind w:firstLine="420" w:firstLineChars="200"/>
        <w:rPr>
          <w:rFonts w:ascii="Times New Roman" w:hAnsi="Times New Roman" w:eastAsia="宋体" w:cs="Times New Roman"/>
          <w:bCs/>
          <w:color w:val="auto"/>
          <w:szCs w:val="28"/>
          <w:highlight w:val="none"/>
        </w:rPr>
      </w:pPr>
      <w:r>
        <w:rPr>
          <w:rFonts w:ascii="Times New Roman" w:hAnsi="Times New Roman" w:eastAsia="宋体" w:cs="Times New Roman"/>
          <w:bCs/>
          <w:color w:val="auto"/>
          <w:szCs w:val="28"/>
          <w:highlight w:val="none"/>
        </w:rPr>
        <w:t>展示主要设备的电气运行参数，全面掌握设备的运行状态。</w:t>
      </w:r>
    </w:p>
    <w:p w14:paraId="63F37304">
      <w:pPr>
        <w:spacing w:line="360" w:lineRule="auto"/>
        <w:rPr>
          <w:rFonts w:ascii="Times New Roman" w:hAnsi="Times New Roman" w:eastAsia="宋体" w:cs="Times New Roman"/>
          <w:bCs/>
          <w:color w:val="auto"/>
          <w:szCs w:val="28"/>
          <w:highlight w:val="none"/>
        </w:rPr>
      </w:pPr>
      <w:r>
        <w:rPr>
          <w:rFonts w:hint="eastAsia" w:ascii="Times New Roman" w:hAnsi="Times New Roman" w:eastAsia="宋体" w:cs="Times New Roman"/>
          <w:bCs/>
          <w:color w:val="auto"/>
          <w:szCs w:val="28"/>
          <w:highlight w:val="none"/>
        </w:rPr>
        <w:t>本项目画面最终效果以招标人实际要求为准。</w:t>
      </w:r>
    </w:p>
    <w:p w14:paraId="4BCC980C">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2.4.2.5客户端管理</w:t>
      </w:r>
    </w:p>
    <w:p w14:paraId="50E30E4E">
      <w:pPr>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Times New Roman"/>
          <w:color w:val="auto"/>
          <w:szCs w:val="28"/>
          <w:highlight w:val="none"/>
        </w:rPr>
        <w:t>在调度指挥中心</w:t>
      </w:r>
      <w:r>
        <w:rPr>
          <w:rFonts w:ascii="Times New Roman" w:hAnsi="Times New Roman" w:eastAsia="宋体" w:cs="Times New Roman"/>
          <w:color w:val="auto"/>
          <w:szCs w:val="28"/>
          <w:highlight w:val="none"/>
        </w:rPr>
        <w:t>配置20套SCADA客户端，负责对各污水厂/提标项目工艺流程进行实时监控和操作。SCADA客户端可以实时采集、处理和存储各</w:t>
      </w:r>
      <w:r>
        <w:rPr>
          <w:rFonts w:hint="eastAsia" w:ascii="Times New Roman" w:hAnsi="Times New Roman" w:eastAsia="宋体" w:cs="Times New Roman"/>
          <w:color w:val="auto"/>
          <w:szCs w:val="28"/>
          <w:highlight w:val="none"/>
        </w:rPr>
        <w:t>污水处理厂及</w:t>
      </w:r>
      <w:r>
        <w:rPr>
          <w:rFonts w:ascii="Times New Roman" w:hAnsi="Times New Roman" w:eastAsia="宋体" w:cs="Times New Roman"/>
          <w:color w:val="auto"/>
          <w:szCs w:val="28"/>
          <w:highlight w:val="none"/>
        </w:rPr>
        <w:t>提标项目的数据，同时提供直观、可视化的监控界面，方便操作人员对污水处理工艺进行监控和管理。</w:t>
      </w:r>
      <w:r>
        <w:rPr>
          <w:rFonts w:hint="eastAsia" w:ascii="Times New Roman" w:hAnsi="Times New Roman" w:eastAsia="宋体" w:cs="Times New Roman"/>
          <w:color w:val="auto"/>
          <w:szCs w:val="28"/>
          <w:highlight w:val="none"/>
        </w:rPr>
        <w:t>为了便于集中监视管理，调度指挥中心内配置一套大屏</w:t>
      </w:r>
      <w:r>
        <w:rPr>
          <w:rFonts w:ascii="Times New Roman" w:hAnsi="Times New Roman" w:eastAsia="宋体" w:cs="Times New Roman"/>
          <w:color w:val="auto"/>
          <w:szCs w:val="28"/>
          <w:highlight w:val="none"/>
        </w:rPr>
        <w:t>系统</w:t>
      </w:r>
      <w:r>
        <w:rPr>
          <w:rFonts w:hint="eastAsia" w:ascii="Times New Roman" w:hAnsi="Times New Roman" w:eastAsia="宋体" w:cs="Times New Roman"/>
          <w:color w:val="auto"/>
          <w:szCs w:val="28"/>
          <w:highlight w:val="none"/>
        </w:rPr>
        <w:t>（与调度指挥中心共用，不在本项目范围内）。</w:t>
      </w:r>
    </w:p>
    <w:p w14:paraId="35D4954A">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2.4.2.6</w:t>
      </w:r>
      <w:bookmarkEnd w:id="532"/>
      <w:bookmarkEnd w:id="533"/>
      <w:bookmarkEnd w:id="534"/>
      <w:bookmarkStart w:id="535" w:name="_Toc419661382"/>
      <w:r>
        <w:rPr>
          <w:rFonts w:hint="eastAsia" w:ascii="Times New Roman" w:hAnsi="Times New Roman" w:eastAsia="宋体" w:cs="宋体"/>
          <w:b/>
          <w:color w:val="auto"/>
          <w:szCs w:val="21"/>
          <w:highlight w:val="none"/>
        </w:rPr>
        <w:t>泵站管理</w:t>
      </w:r>
    </w:p>
    <w:bookmarkEnd w:id="535"/>
    <w:p w14:paraId="4E5BC771">
      <w:pPr>
        <w:spacing w:line="360" w:lineRule="auto"/>
        <w:ind w:firstLine="420" w:firstLineChars="200"/>
        <w:rPr>
          <w:rFonts w:ascii="Times New Roman" w:hAnsi="Times New Roman" w:eastAsia="宋体" w:cs="Times New Roman"/>
          <w:color w:val="auto"/>
          <w:szCs w:val="28"/>
          <w:highlight w:val="none"/>
        </w:rPr>
      </w:pPr>
      <w:bookmarkStart w:id="536" w:name="_Toc419661383"/>
      <w:r>
        <w:rPr>
          <w:rFonts w:hint="eastAsia" w:ascii="Times New Roman" w:hAnsi="Times New Roman" w:eastAsia="宋体" w:cs="Times New Roman"/>
          <w:color w:val="auto"/>
          <w:szCs w:val="28"/>
          <w:highlight w:val="none"/>
        </w:rPr>
        <w:t>集中控制系统可</w:t>
      </w:r>
      <w:r>
        <w:rPr>
          <w:rFonts w:ascii="Times New Roman" w:hAnsi="Times New Roman" w:eastAsia="宋体" w:cs="Times New Roman"/>
          <w:color w:val="auto"/>
          <w:szCs w:val="28"/>
          <w:highlight w:val="none"/>
        </w:rPr>
        <w:t>接收</w:t>
      </w:r>
      <w:r>
        <w:rPr>
          <w:rFonts w:hint="eastAsia" w:ascii="Times New Roman" w:hAnsi="Times New Roman" w:eastAsia="宋体" w:cs="Times New Roman"/>
          <w:color w:val="auto"/>
          <w:szCs w:val="28"/>
          <w:highlight w:val="none"/>
        </w:rPr>
        <w:t>招标人污水处理厂及提标项目上游</w:t>
      </w:r>
      <w:r>
        <w:rPr>
          <w:rFonts w:ascii="Times New Roman" w:hAnsi="Times New Roman" w:eastAsia="宋体" w:cs="Times New Roman"/>
          <w:color w:val="auto"/>
          <w:szCs w:val="28"/>
          <w:highlight w:val="none"/>
        </w:rPr>
        <w:t>管网、泵站等数据，并与对应的</w:t>
      </w:r>
      <w:r>
        <w:rPr>
          <w:rFonts w:hint="eastAsia" w:ascii="Times New Roman" w:hAnsi="Times New Roman" w:eastAsia="宋体" w:cs="Times New Roman"/>
          <w:color w:val="auto"/>
          <w:szCs w:val="28"/>
          <w:highlight w:val="none"/>
        </w:rPr>
        <w:t>污水项目</w:t>
      </w:r>
      <w:r>
        <w:rPr>
          <w:rFonts w:ascii="Times New Roman" w:hAnsi="Times New Roman" w:eastAsia="宋体" w:cs="Times New Roman"/>
          <w:color w:val="auto"/>
          <w:szCs w:val="28"/>
          <w:highlight w:val="none"/>
        </w:rPr>
        <w:t>画面相结合，实现厂站网综合监视。</w:t>
      </w:r>
      <w:r>
        <w:rPr>
          <w:rFonts w:hint="eastAsia" w:ascii="Times New Roman" w:hAnsi="Times New Roman" w:eastAsia="宋体" w:cs="Times New Roman"/>
          <w:color w:val="auto"/>
          <w:szCs w:val="28"/>
          <w:highlight w:val="none"/>
        </w:rPr>
        <w:t>本次集控系统通过接收各厂上游关系密切的泵站流量等数据，进行统一分析和联合调度，泵站数量和泵站与污水处理厂及提标项目对应关系以招标人要求为准，具体接收数据如下：</w:t>
      </w:r>
    </w:p>
    <w:p w14:paraId="7CD4282C">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对泵站格栅现场控制箱的监控信号有：</w:t>
      </w:r>
    </w:p>
    <w:p w14:paraId="035AE092">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1）每台电机运行/停止状态</w:t>
      </w:r>
    </w:p>
    <w:p w14:paraId="7416726C">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2）每台电机总故障保护动作状态</w:t>
      </w:r>
    </w:p>
    <w:p w14:paraId="4B7A4050">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对泵站提升泵现场控制箱的监控信号有：</w:t>
      </w:r>
    </w:p>
    <w:p w14:paraId="54907620">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1）每台电机运行/停止状态</w:t>
      </w:r>
    </w:p>
    <w:p w14:paraId="11465DE1">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2）每台电机总故障保护动作状态</w:t>
      </w:r>
    </w:p>
    <w:p w14:paraId="6038C678">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3）每台电机手动/自动控制状态</w:t>
      </w:r>
    </w:p>
    <w:p w14:paraId="663F89EE">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4）每台电机工作电流、电压</w:t>
      </w:r>
    </w:p>
    <w:p w14:paraId="57A53DDD">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5）运行频率指示（仅变频器控制的泵）</w:t>
      </w:r>
    </w:p>
    <w:p w14:paraId="5CD6F3E2">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6）运行电流指示（仅变频器控制的泵）</w:t>
      </w:r>
    </w:p>
    <w:p w14:paraId="4C788EA1">
      <w:pPr>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对泵站现场仪表的监控信号有：</w:t>
      </w:r>
    </w:p>
    <w:p w14:paraId="04C17E91">
      <w:pPr>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1）泵站各监测点位超声波液位计测量的液位值；</w:t>
      </w:r>
    </w:p>
    <w:p w14:paraId="5CB5FDE8">
      <w:pPr>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2）泵站水质分析仪的测量值（如果现场有安装水质分析仪）；</w:t>
      </w:r>
    </w:p>
    <w:bookmarkEnd w:id="536"/>
    <w:p w14:paraId="1AFE3D85">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2.4.2.7日常管理</w:t>
      </w:r>
    </w:p>
    <w:p w14:paraId="7E0A90AC">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日常的数据管理，对采集到的各种数据经计算、处理、分类，自动生成各种数据库及报表、供实时监测、查询、修改、打印，生成后的报表文件的修改或重组。软件系统的可靠性应能保证数据的绝对安全，防止数据的非法访问，特别是对原始数据的修改，按操作等级进行管理，一般情况下，至少应设置三级操作级，即观察级、控制操作级、维护级，每一级都需有访问控制。具有日常的网络管理功能，维持整个局网的运行，定时对各接口设备进行自检、异常时发出报警信号。</w:t>
      </w:r>
    </w:p>
    <w:p w14:paraId="3362AE7A">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2.4.2.8设备管理</w:t>
      </w:r>
    </w:p>
    <w:p w14:paraId="6174A859">
      <w:pPr>
        <w:snapToGrid w:val="0"/>
        <w:spacing w:line="360" w:lineRule="auto"/>
        <w:ind w:firstLine="420" w:firstLineChars="200"/>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能对组成系统的所有硬件设备及运行状态进行在线监测及自诊断，能对实时监控的所有对象的运行状态进行监测及自诊断，有对各类设备运行情况（如工作本次时间、累计时间、开关次数等）进行在线监测，并存入相应文档，以备维护、保养，能对设备故障提出处理意见，以供参考。</w:t>
      </w:r>
    </w:p>
    <w:p w14:paraId="589ABB58">
      <w:pPr>
        <w:snapToGrid w:val="0"/>
        <w:spacing w:line="360" w:lineRule="auto"/>
        <w:ind w:firstLine="420" w:firstLineChars="200"/>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所有设备新增保养倒计时功能，在系统内人工设置每台设备的单次保养间隔次数或时间，当设备已达到80%的保养间隔次数或时间则在设备图标右上角弹出保养提示，当设备已达到100%的保养间隔次数或时间则把设备图标变为红色并显示保养到期报警信息。</w:t>
      </w:r>
    </w:p>
    <w:p w14:paraId="08CA899A">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2.4.2.9能耗管理</w:t>
      </w:r>
    </w:p>
    <w:p w14:paraId="2F8584FA">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软件系统应能对系统的设备运行记录及控制模式进行综合考虑，使系统能在最低的消耗下，发挥最大的效率。</w:t>
      </w:r>
    </w:p>
    <w:p w14:paraId="02DB54E2">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能耗管理应至少包括下列内容：</w:t>
      </w:r>
    </w:p>
    <w:p w14:paraId="75BDC556">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fldChar w:fldCharType="begin"/>
      </w:r>
      <w:r>
        <w:rPr>
          <w:rFonts w:hint="eastAsia" w:ascii="Times New Roman" w:hAnsi="Times New Roman" w:eastAsia="宋体" w:cs="宋体"/>
          <w:bCs/>
          <w:color w:val="auto"/>
          <w:szCs w:val="21"/>
          <w:highlight w:val="none"/>
        </w:rPr>
        <w:instrText xml:space="preserve"> = 1 \* GB3 </w:instrText>
      </w:r>
      <w:r>
        <w:rPr>
          <w:rFonts w:hint="eastAsia" w:ascii="Times New Roman" w:hAnsi="Times New Roman" w:eastAsia="宋体" w:cs="宋体"/>
          <w:bCs/>
          <w:color w:val="auto"/>
          <w:szCs w:val="21"/>
          <w:highlight w:val="none"/>
        </w:rPr>
        <w:fldChar w:fldCharType="separate"/>
      </w:r>
      <w:r>
        <w:rPr>
          <w:rFonts w:hint="eastAsia" w:ascii="Times New Roman" w:hAnsi="Times New Roman" w:eastAsia="宋体" w:cs="宋体"/>
          <w:bCs/>
          <w:color w:val="auto"/>
          <w:szCs w:val="21"/>
          <w:highlight w:val="none"/>
        </w:rPr>
        <w:t>①</w:t>
      </w:r>
      <w:r>
        <w:rPr>
          <w:rFonts w:hint="eastAsia" w:ascii="Times New Roman" w:hAnsi="Times New Roman" w:eastAsia="宋体" w:cs="宋体"/>
          <w:bCs/>
          <w:color w:val="auto"/>
          <w:szCs w:val="21"/>
          <w:highlight w:val="none"/>
        </w:rPr>
        <w:fldChar w:fldCharType="end"/>
      </w:r>
      <w:r>
        <w:rPr>
          <w:rFonts w:hint="eastAsia" w:ascii="Times New Roman" w:hAnsi="Times New Roman" w:eastAsia="宋体" w:cs="宋体"/>
          <w:bCs/>
          <w:color w:val="auto"/>
          <w:szCs w:val="21"/>
          <w:highlight w:val="none"/>
        </w:rPr>
        <w:t>电力消耗；</w:t>
      </w:r>
    </w:p>
    <w:p w14:paraId="0E4A85EA">
      <w:pPr>
        <w:snapToGrid w:val="0"/>
        <w:spacing w:line="360" w:lineRule="auto"/>
        <w:ind w:firstLine="420" w:firstLineChars="200"/>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1、10KV高、低压配电系统；进线柜应显示合闸、故障、接地、相电流、相电压、有功功率、无功功率、功率因数、总电度、总谐波失真；备用柜应显示合闸、故障、相电流、有功功率、无功功率、功率因数、总电度；母联柜应显示合闸、故障、电流；变压器进线柜应显示合闸、故障、高温、电流、总电度。</w:t>
      </w:r>
    </w:p>
    <w:p w14:paraId="1C2500AD">
      <w:pPr>
        <w:snapToGrid w:val="0"/>
        <w:spacing w:line="360" w:lineRule="auto"/>
        <w:ind w:firstLine="420" w:firstLineChars="200"/>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2、低压配电系统；每台设备都有自己的电力监控数据，根据功率的大小分为大型设备和小型设备，其中，大型设备应显示相电压、线电压、相电流、有功功率、无功功率、视在功率、功率因数、有功电度、无功电度、总电度、总谐波失真、频率；小型设备应显示相电压、相电流、频率、有功功率、无功功率、视在功率、功率因数。</w:t>
      </w:r>
    </w:p>
    <w:p w14:paraId="3D60891E">
      <w:pPr>
        <w:snapToGrid w:val="0"/>
        <w:spacing w:line="360" w:lineRule="auto"/>
        <w:ind w:firstLine="420" w:firstLineChars="200"/>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3、电力监控报表与趋势图；系统应具备独立的电力监控报表和电力趋势查询，其目的主要为监控厂区电耗和设备异常用电情况，其中，10KV高、低压配电系统应记录各配电柜有功功率、功率因数、总电度；大型设备配电柜应记录相电压、相电流、有功功率、功率因数、总谐波失真、总电度；小型设备配电柜应记录相电流、有功功率、功率因数、总电度（计算值）。</w:t>
      </w:r>
    </w:p>
    <w:p w14:paraId="59F52F15">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Times New Roman"/>
          <w:bCs/>
          <w:color w:val="auto"/>
          <w:szCs w:val="21"/>
          <w:highlight w:val="none"/>
        </w:rPr>
        <w:t>4、分时计费功能；</w:t>
      </w:r>
      <w:r>
        <w:rPr>
          <w:rFonts w:ascii="Times New Roman" w:hAnsi="Times New Roman" w:eastAsia="宋体" w:cs="宋体"/>
          <w:color w:val="auto"/>
          <w:szCs w:val="21"/>
          <w:highlight w:val="none"/>
        </w:rPr>
        <w:t>实时显示、统计各</w:t>
      </w:r>
      <w:r>
        <w:rPr>
          <w:rFonts w:hint="eastAsia" w:ascii="Times New Roman" w:hAnsi="Times New Roman" w:eastAsia="宋体" w:cs="宋体"/>
          <w:color w:val="auto"/>
          <w:szCs w:val="21"/>
          <w:highlight w:val="none"/>
        </w:rPr>
        <w:t>变压器高压进线柜</w:t>
      </w:r>
      <w:r>
        <w:rPr>
          <w:rFonts w:ascii="Times New Roman" w:hAnsi="Times New Roman" w:eastAsia="宋体" w:cs="宋体"/>
          <w:color w:val="auto"/>
          <w:szCs w:val="21"/>
          <w:highlight w:val="none"/>
        </w:rPr>
        <w:t>的电度值,对电能数据进行分时计费统计,具有多种分时计费(峰、谷、平值等)方案和费率的种类。</w:t>
      </w:r>
    </w:p>
    <w:p w14:paraId="7BDEF44F">
      <w:pPr>
        <w:snapToGrid w:val="0"/>
        <w:spacing w:line="360" w:lineRule="auto"/>
        <w:ind w:firstLine="420" w:firstLineChars="200"/>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5、配电系统温度；系统需实时监测配电房温湿度数据和发热量大的电柜温度数据，例如：进线柜、电容补偿柜、母联柜、提升泵配电柜、鼓风机配电柜、回流泵配电柜等。系统还须实时监测变压器温度和风扇运行情况。</w:t>
      </w:r>
    </w:p>
    <w:p w14:paraId="532F5676">
      <w:pPr>
        <w:snapToGrid w:val="0"/>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bCs/>
          <w:color w:val="auto"/>
          <w:szCs w:val="21"/>
          <w:highlight w:val="none"/>
        </w:rPr>
        <w:t>6、UPS管理；系统通过UPS电源的以太网接口读取UPS的运行参数，并且需在系统中展示UPS的工作模式、负载情况、输入情况、电池剩余容量、故障信息等数据。</w:t>
      </w:r>
    </w:p>
    <w:p w14:paraId="5D32FA14">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fldChar w:fldCharType="begin"/>
      </w:r>
      <w:r>
        <w:rPr>
          <w:rFonts w:hint="eastAsia" w:ascii="Times New Roman" w:hAnsi="Times New Roman" w:eastAsia="宋体" w:cs="宋体"/>
          <w:bCs/>
          <w:color w:val="auto"/>
          <w:szCs w:val="21"/>
          <w:highlight w:val="none"/>
        </w:rPr>
        <w:instrText xml:space="preserve"> = 2 \* GB3 </w:instrText>
      </w:r>
      <w:r>
        <w:rPr>
          <w:rFonts w:hint="eastAsia" w:ascii="Times New Roman" w:hAnsi="Times New Roman" w:eastAsia="宋体" w:cs="宋体"/>
          <w:bCs/>
          <w:color w:val="auto"/>
          <w:szCs w:val="21"/>
          <w:highlight w:val="none"/>
        </w:rPr>
        <w:fldChar w:fldCharType="separate"/>
      </w:r>
      <w:r>
        <w:rPr>
          <w:rFonts w:hint="eastAsia" w:ascii="Times New Roman" w:hAnsi="Times New Roman" w:eastAsia="宋体" w:cs="宋体"/>
          <w:bCs/>
          <w:color w:val="auto"/>
          <w:szCs w:val="21"/>
          <w:highlight w:val="none"/>
        </w:rPr>
        <w:t>②</w:t>
      </w:r>
      <w:r>
        <w:rPr>
          <w:rFonts w:hint="eastAsia" w:ascii="Times New Roman" w:hAnsi="Times New Roman" w:eastAsia="宋体" w:cs="宋体"/>
          <w:bCs/>
          <w:color w:val="auto"/>
          <w:szCs w:val="21"/>
          <w:highlight w:val="none"/>
        </w:rPr>
        <w:fldChar w:fldCharType="end"/>
      </w:r>
      <w:r>
        <w:rPr>
          <w:rFonts w:hint="eastAsia" w:ascii="Times New Roman" w:hAnsi="Times New Roman" w:eastAsia="宋体" w:cs="宋体"/>
          <w:bCs/>
          <w:color w:val="auto"/>
          <w:szCs w:val="21"/>
          <w:highlight w:val="none"/>
        </w:rPr>
        <w:t>化学药剂消耗（包括絮凝剂及其它添加剂等）；</w:t>
      </w:r>
    </w:p>
    <w:p w14:paraId="756CE455">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1、系统应具备展示各类化学药剂的瞬时药耗量。</w:t>
      </w:r>
    </w:p>
    <w:p w14:paraId="1374EC27">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2、系统应具备计算各类药剂日消耗累计量、日吨水药耗等数据，并生成报表、趋势。</w:t>
      </w:r>
    </w:p>
    <w:p w14:paraId="34B7E4F4">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fldChar w:fldCharType="begin"/>
      </w:r>
      <w:r>
        <w:rPr>
          <w:rFonts w:hint="eastAsia" w:ascii="Times New Roman" w:hAnsi="Times New Roman" w:eastAsia="宋体" w:cs="宋体"/>
          <w:bCs/>
          <w:color w:val="auto"/>
          <w:szCs w:val="21"/>
          <w:highlight w:val="none"/>
        </w:rPr>
        <w:instrText xml:space="preserve"> = 3 \* GB3 </w:instrText>
      </w:r>
      <w:r>
        <w:rPr>
          <w:rFonts w:hint="eastAsia" w:ascii="Times New Roman" w:hAnsi="Times New Roman" w:eastAsia="宋体" w:cs="宋体"/>
          <w:bCs/>
          <w:color w:val="auto"/>
          <w:szCs w:val="21"/>
          <w:highlight w:val="none"/>
        </w:rPr>
        <w:fldChar w:fldCharType="separate"/>
      </w:r>
      <w:r>
        <w:rPr>
          <w:rFonts w:hint="eastAsia" w:ascii="Times New Roman" w:hAnsi="Times New Roman" w:eastAsia="宋体" w:cs="宋体"/>
          <w:bCs/>
          <w:color w:val="auto"/>
          <w:szCs w:val="21"/>
          <w:highlight w:val="none"/>
        </w:rPr>
        <w:t>③</w:t>
      </w:r>
      <w:r>
        <w:rPr>
          <w:rFonts w:hint="eastAsia" w:ascii="Times New Roman" w:hAnsi="Times New Roman" w:eastAsia="宋体" w:cs="宋体"/>
          <w:bCs/>
          <w:color w:val="auto"/>
          <w:szCs w:val="21"/>
          <w:highlight w:val="none"/>
        </w:rPr>
        <w:fldChar w:fldCharType="end"/>
      </w:r>
      <w:r>
        <w:rPr>
          <w:rFonts w:hint="eastAsia" w:ascii="Times New Roman" w:hAnsi="Times New Roman" w:eastAsia="宋体" w:cs="宋体"/>
          <w:bCs/>
          <w:color w:val="auto"/>
          <w:szCs w:val="21"/>
          <w:highlight w:val="none"/>
        </w:rPr>
        <w:t>水消耗。</w:t>
      </w:r>
      <w:bookmarkStart w:id="537" w:name="_Toc104950643"/>
      <w:bookmarkStart w:id="538" w:name="_Toc91320287"/>
    </w:p>
    <w:p w14:paraId="6A2488B4">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1、系统应具备展示各单体自来水瞬时消耗量，计算各单体日累计消耗量；</w:t>
      </w:r>
    </w:p>
    <w:p w14:paraId="47B11CF5">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2、系统具备计算厂区每日自来水费，并生成报表、趋势；</w:t>
      </w:r>
    </w:p>
    <w:p w14:paraId="7C0AC7C4">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2.4.2.10报警管理</w:t>
      </w:r>
    </w:p>
    <w:p w14:paraId="68D3C1D4">
      <w:pPr>
        <w:snapToGrid w:val="0"/>
        <w:spacing w:line="360" w:lineRule="auto"/>
        <w:ind w:firstLine="420" w:firstLineChars="200"/>
        <w:rPr>
          <w:rFonts w:ascii="Times New Roman" w:hAnsi="Times New Roman" w:eastAsia="宋体" w:cs="Times New Roman"/>
          <w:bCs/>
          <w:color w:val="auto"/>
          <w:kern w:val="0"/>
          <w:szCs w:val="21"/>
          <w:highlight w:val="none"/>
        </w:rPr>
      </w:pPr>
      <w:r>
        <w:rPr>
          <w:rFonts w:hint="eastAsia" w:ascii="Times New Roman" w:hAnsi="Times New Roman" w:eastAsia="宋体" w:cs="Times New Roman"/>
          <w:bCs/>
          <w:color w:val="auto"/>
          <w:kern w:val="0"/>
          <w:szCs w:val="21"/>
          <w:highlight w:val="none"/>
        </w:rPr>
        <w:t>报警管理系统遵循ANSI/ISA-18.2行业标准，报警管理系统中报警内容应包含故障报警和事件报警，对于报警信息应具备报警编号和分类，高级别报警信息需要人员手动确认与消除，低级别报警信息系统可以自动刷新清除，报警级别可根据采集信号值动态调整。</w:t>
      </w:r>
    </w:p>
    <w:p w14:paraId="7DA03275">
      <w:pPr>
        <w:snapToGrid w:val="0"/>
        <w:spacing w:line="360" w:lineRule="auto"/>
        <w:ind w:firstLine="420" w:firstLineChars="200"/>
        <w:rPr>
          <w:rFonts w:ascii="Times New Roman" w:hAnsi="Times New Roman" w:eastAsia="宋体" w:cs="Times New Roman"/>
          <w:bCs/>
          <w:color w:val="auto"/>
          <w:kern w:val="0"/>
          <w:szCs w:val="21"/>
          <w:highlight w:val="none"/>
        </w:rPr>
      </w:pPr>
      <w:r>
        <w:rPr>
          <w:rFonts w:hint="eastAsia" w:ascii="Times New Roman" w:hAnsi="Times New Roman" w:eastAsia="宋体" w:cs="Times New Roman"/>
          <w:bCs/>
          <w:color w:val="auto"/>
          <w:kern w:val="0"/>
          <w:szCs w:val="21"/>
          <w:highlight w:val="none"/>
        </w:rPr>
        <w:t>报警管理通过消息队列把37个污水处理厂和21个提标项目所有的报警信息打包传输至生产运营管理平台或招标人其他信息化平台系统，并且由中标人编制、提供规范化的报警信息变量表，最终数据传输的格式、数量、频率等以招标人实际要求为准。</w:t>
      </w:r>
    </w:p>
    <w:p w14:paraId="0EAB49B9">
      <w:pPr>
        <w:spacing w:line="360" w:lineRule="auto"/>
        <w:ind w:firstLine="420" w:firstLineChars="200"/>
        <w:rPr>
          <w:rFonts w:ascii="Times New Roman" w:hAnsi="Times New Roman" w:eastAsia="宋体" w:cs="Times New Roman"/>
          <w:color w:val="auto"/>
          <w:szCs w:val="28"/>
          <w:highlight w:val="none"/>
        </w:rPr>
      </w:pPr>
      <w:r>
        <w:rPr>
          <w:rFonts w:hint="eastAsia" w:ascii="Times New Roman" w:hAnsi="Times New Roman" w:eastAsia="宋体" w:cs="Times New Roman"/>
          <w:color w:val="auto"/>
          <w:szCs w:val="28"/>
          <w:highlight w:val="none"/>
        </w:rPr>
        <w:t>1、</w:t>
      </w:r>
      <w:r>
        <w:rPr>
          <w:rFonts w:ascii="Times New Roman" w:hAnsi="Times New Roman" w:eastAsia="宋体" w:cs="Times New Roman"/>
          <w:color w:val="auto"/>
          <w:szCs w:val="28"/>
          <w:highlight w:val="none"/>
        </w:rPr>
        <w:t>报警配置</w:t>
      </w:r>
    </w:p>
    <w:p w14:paraId="121A19BD">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系统支持对系统内所有的变量、关键参数进行报警配置，包括开关量报警（设备故障、设备关停等）、模拟量报警（高限值预警、高限值报警、低限值预警、低限值报警）。具备权限的用户可以配置各个变量的报警限值、报警文本及报警推送人，并且修改报警配置的操作可以被系统全部记录下来，包括修改人、修改时间、修改变量名称、修改前后变量的报警参数等信息。可以支持后续的修改记录查询，便于出现事故后的历史追查。</w:t>
      </w:r>
    </w:p>
    <w:p w14:paraId="3E09E9EF">
      <w:pPr>
        <w:spacing w:line="360" w:lineRule="auto"/>
        <w:ind w:firstLine="420" w:firstLineChars="200"/>
        <w:rPr>
          <w:rFonts w:ascii="Times New Roman" w:hAnsi="Times New Roman" w:eastAsia="宋体" w:cs="Times New Roman"/>
          <w:color w:val="auto"/>
          <w:szCs w:val="28"/>
          <w:highlight w:val="none"/>
        </w:rPr>
      </w:pPr>
      <w:r>
        <w:rPr>
          <w:rFonts w:hint="eastAsia" w:ascii="Times New Roman" w:hAnsi="Times New Roman" w:eastAsia="宋体" w:cs="Times New Roman"/>
          <w:color w:val="auto"/>
          <w:szCs w:val="28"/>
          <w:highlight w:val="none"/>
        </w:rPr>
        <w:t>2、</w:t>
      </w:r>
      <w:r>
        <w:rPr>
          <w:rFonts w:ascii="Times New Roman" w:hAnsi="Times New Roman" w:eastAsia="宋体" w:cs="Times New Roman"/>
          <w:color w:val="auto"/>
          <w:szCs w:val="28"/>
          <w:highlight w:val="none"/>
        </w:rPr>
        <w:t>报警推送</w:t>
      </w:r>
    </w:p>
    <w:p w14:paraId="52CFAEA1">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系统可以在报警配置功能中配置每条报警变量的推送相关人，当有报警信息产生时，系统会将报警信息推</w:t>
      </w:r>
      <w:r>
        <w:rPr>
          <w:rFonts w:hint="eastAsia" w:ascii="Times New Roman" w:hAnsi="Times New Roman" w:eastAsia="宋体" w:cs="Times New Roman"/>
          <w:color w:val="auto"/>
          <w:szCs w:val="28"/>
          <w:highlight w:val="none"/>
        </w:rPr>
        <w:t>送</w:t>
      </w:r>
      <w:r>
        <w:rPr>
          <w:rFonts w:ascii="Times New Roman" w:hAnsi="Times New Roman" w:eastAsia="宋体" w:cs="Times New Roman"/>
          <w:color w:val="auto"/>
          <w:szCs w:val="28"/>
          <w:highlight w:val="none"/>
        </w:rPr>
        <w:t>到相关人员的手机上，提醒对应的负责人尽快去现场查看情况，降低事故反应时间，保证水厂的安全稳定运行。</w:t>
      </w:r>
    </w:p>
    <w:p w14:paraId="6F44BD57">
      <w:pPr>
        <w:spacing w:line="360" w:lineRule="auto"/>
        <w:ind w:firstLine="420" w:firstLineChars="200"/>
        <w:rPr>
          <w:rFonts w:ascii="Times New Roman" w:hAnsi="Times New Roman" w:eastAsia="宋体" w:cs="Times New Roman"/>
          <w:color w:val="auto"/>
          <w:szCs w:val="28"/>
          <w:highlight w:val="none"/>
        </w:rPr>
      </w:pPr>
      <w:r>
        <w:rPr>
          <w:rFonts w:hint="eastAsia" w:ascii="Times New Roman" w:hAnsi="Times New Roman" w:eastAsia="宋体" w:cs="Times New Roman"/>
          <w:color w:val="auto"/>
          <w:szCs w:val="28"/>
          <w:highlight w:val="none"/>
        </w:rPr>
        <w:t>3、</w:t>
      </w:r>
      <w:r>
        <w:rPr>
          <w:rFonts w:ascii="Times New Roman" w:hAnsi="Times New Roman" w:eastAsia="宋体" w:cs="Times New Roman"/>
          <w:color w:val="auto"/>
          <w:szCs w:val="28"/>
          <w:highlight w:val="none"/>
        </w:rPr>
        <w:t>实时报警</w:t>
      </w:r>
    </w:p>
    <w:p w14:paraId="5F3858E3">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系统可以展示水厂存在的所有的实时报警数据，并且支持按照报警时间、报警类型、报警级别进行排序，优先处理最紧急的报警信息。</w:t>
      </w:r>
    </w:p>
    <w:p w14:paraId="02103119">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同时系统可以和各级控制室的声光报警灯或者音响进行关联，当有报警产生时，会通过声音或闪光来提醒控制室人员尽快派人去现场处理异常。</w:t>
      </w:r>
    </w:p>
    <w:p w14:paraId="112AB4B2">
      <w:pPr>
        <w:spacing w:line="360" w:lineRule="auto"/>
        <w:ind w:firstLine="420" w:firstLineChars="200"/>
        <w:rPr>
          <w:rFonts w:ascii="Times New Roman" w:hAnsi="Times New Roman" w:eastAsia="宋体" w:cs="Times New Roman"/>
          <w:color w:val="auto"/>
          <w:szCs w:val="28"/>
          <w:highlight w:val="none"/>
        </w:rPr>
      </w:pPr>
      <w:r>
        <w:rPr>
          <w:rFonts w:hint="eastAsia" w:ascii="Times New Roman" w:hAnsi="Times New Roman" w:eastAsia="宋体" w:cs="Times New Roman"/>
          <w:color w:val="auto"/>
          <w:szCs w:val="28"/>
          <w:highlight w:val="none"/>
        </w:rPr>
        <w:t>4、</w:t>
      </w:r>
      <w:r>
        <w:rPr>
          <w:rFonts w:ascii="Times New Roman" w:hAnsi="Times New Roman" w:eastAsia="宋体" w:cs="Times New Roman"/>
          <w:color w:val="auto"/>
          <w:szCs w:val="28"/>
          <w:highlight w:val="none"/>
        </w:rPr>
        <w:t>历史报警</w:t>
      </w:r>
    </w:p>
    <w:p w14:paraId="22C5C795">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系统提供丰富的历史报警查询功能，可以按照设备位置、变量名称、报警时间、报警类型、报警级别等多种条件进行组合查询，确保可以精确定位到所要查询的报警信息。同时，查询出来的历史报警信息支持导出或者打印。</w:t>
      </w:r>
    </w:p>
    <w:p w14:paraId="1A94C994">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2.4.2.11趋势数据</w:t>
      </w:r>
    </w:p>
    <w:p w14:paraId="26E6BA22">
      <w:pPr>
        <w:spacing w:line="360" w:lineRule="auto"/>
        <w:ind w:firstLine="420" w:firstLineChars="200"/>
        <w:rPr>
          <w:rFonts w:ascii="Times New Roman" w:hAnsi="Times New Roman" w:eastAsia="宋体" w:cs="Times New Roman"/>
          <w:color w:val="auto"/>
          <w:szCs w:val="28"/>
          <w:highlight w:val="none"/>
        </w:rPr>
      </w:pPr>
      <w:r>
        <w:rPr>
          <w:rFonts w:hint="eastAsia" w:ascii="Times New Roman" w:hAnsi="Times New Roman" w:eastAsia="宋体" w:cs="Times New Roman"/>
          <w:color w:val="auto"/>
          <w:szCs w:val="28"/>
          <w:highlight w:val="none"/>
        </w:rPr>
        <w:t>具备</w:t>
      </w:r>
      <w:r>
        <w:rPr>
          <w:rFonts w:ascii="Times New Roman" w:hAnsi="Times New Roman" w:eastAsia="宋体" w:cs="Times New Roman"/>
          <w:color w:val="auto"/>
          <w:szCs w:val="28"/>
          <w:highlight w:val="none"/>
        </w:rPr>
        <w:t>数据分析计算软件可对存储于数据库中的历史数据进行分析计算，自动快速完成各个污水厂/提标项目的生产成本、设备能耗、投入产出比、达标率等的分析，并且生成相应的日、月、季度、年等曲线，也可生成柱状图等，用来满足不同使用者的需求。</w:t>
      </w:r>
    </w:p>
    <w:p w14:paraId="23B1CC5E">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（1）趋势曲线管理</w:t>
      </w:r>
    </w:p>
    <w:p w14:paraId="770DE517">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趋势曲线具有多绘图区、多数据轴、多时间轴，并且能够进行实时趋势曲线和历史趋势曲线在线转换，可以方便的进行个性化趋势曲线的查询、对比以及分析。</w:t>
      </w:r>
      <w:r>
        <w:rPr>
          <w:rFonts w:hint="eastAsia" w:ascii="Times New Roman" w:hAnsi="Times New Roman" w:eastAsia="宋体" w:cs="Times New Roman"/>
          <w:color w:val="auto"/>
          <w:szCs w:val="28"/>
          <w:highlight w:val="none"/>
        </w:rPr>
        <w:t>例如，可按流域、区域等将不同厂的曲线放在一起比对。</w:t>
      </w:r>
    </w:p>
    <w:p w14:paraId="3638C1AC">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（2）趋势曲线</w:t>
      </w:r>
    </w:p>
    <w:p w14:paraId="4FCD3D21">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将关键指标测点值的变化情况通过曲线绘制的表现形式，直观的呈现在用户面前，方便用户实时了解相关重要数据的走势（如水质、压力、流量、电耗、效率等）。</w:t>
      </w:r>
    </w:p>
    <w:p w14:paraId="25BCCA5F">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用户可以根据设备分类、参数分类、时间段选取等方式，将自己关心的数据以曲线的形式展现出来，进行专项KPI分析。</w:t>
      </w:r>
    </w:p>
    <w:p w14:paraId="071F6693">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可以多测点和单测点形式展示。可选择</w:t>
      </w:r>
      <w:r>
        <w:rPr>
          <w:rFonts w:hint="eastAsia" w:ascii="Times New Roman" w:hAnsi="Times New Roman" w:eastAsia="宋体" w:cs="Times New Roman"/>
          <w:color w:val="auto"/>
          <w:szCs w:val="28"/>
          <w:highlight w:val="none"/>
        </w:rPr>
        <w:t>日</w:t>
      </w:r>
      <w:r>
        <w:rPr>
          <w:rFonts w:ascii="Times New Roman" w:hAnsi="Times New Roman" w:eastAsia="宋体" w:cs="Times New Roman"/>
          <w:color w:val="auto"/>
          <w:szCs w:val="28"/>
          <w:highlight w:val="none"/>
        </w:rPr>
        <w:t>、周、月、年周期，查看不同时间跨度的曲线；支持同、环比分析、显示平均线、报警线、最大值和最小值等，支持鼠标拖动或缩放按钮等方式进行缩放。</w:t>
      </w:r>
    </w:p>
    <w:p w14:paraId="405B4352">
      <w:pPr>
        <w:spacing w:line="360" w:lineRule="auto"/>
        <w:ind w:firstLine="420" w:firstLineChars="200"/>
        <w:rPr>
          <w:rFonts w:ascii="Times New Roman" w:hAnsi="Times New Roman" w:eastAsia="宋体" w:cs="Times New Roman"/>
          <w:color w:val="auto"/>
          <w:szCs w:val="28"/>
          <w:highlight w:val="none"/>
        </w:rPr>
      </w:pPr>
      <w:r>
        <w:rPr>
          <w:rFonts w:hint="eastAsia" w:ascii="Times New Roman" w:hAnsi="Times New Roman" w:eastAsia="宋体" w:cs="Times New Roman"/>
          <w:color w:val="auto"/>
          <w:szCs w:val="28"/>
          <w:highlight w:val="none"/>
        </w:rPr>
        <w:t>在各项目现有的趋势曲线基础上根据招标人需求扩展更多趋势曲线，趋势曲线最终效果以招标人实际要求为准。</w:t>
      </w:r>
    </w:p>
    <w:p w14:paraId="73CA95D2">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2.4.2.12数据报表</w:t>
      </w:r>
    </w:p>
    <w:p w14:paraId="56B6D253">
      <w:pPr>
        <w:spacing w:line="360" w:lineRule="auto"/>
        <w:ind w:firstLine="6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将</w:t>
      </w:r>
      <w:r>
        <w:rPr>
          <w:rFonts w:hint="eastAsia" w:ascii="Times New Roman" w:hAnsi="Times New Roman" w:eastAsia="宋体" w:cs="Times New Roman"/>
          <w:color w:val="auto"/>
          <w:szCs w:val="28"/>
          <w:highlight w:val="none"/>
        </w:rPr>
        <w:t>污水处理厂及提标项目</w:t>
      </w:r>
      <w:r>
        <w:rPr>
          <w:rFonts w:ascii="Times New Roman" w:hAnsi="Times New Roman" w:eastAsia="宋体" w:cs="Times New Roman"/>
          <w:color w:val="auto"/>
          <w:szCs w:val="28"/>
          <w:highlight w:val="none"/>
        </w:rPr>
        <w:t>生产运行过程中需记录的各类信息进行电子化，并实现对这些数据的分类、汇总、计算等操作，提高数据共享程度，极大减轻各级人员工作量，提高工作效率；结合集团的报表管理需求，制定出符合企业需求的报表形式，涵盖了实时报表、水质月报表、水质日报表、流量日报表、流量月报表、设备状态报表</w:t>
      </w:r>
      <w:r>
        <w:rPr>
          <w:rFonts w:hint="eastAsia" w:ascii="Times New Roman" w:hAnsi="Times New Roman" w:eastAsia="宋体" w:cs="Times New Roman"/>
          <w:color w:val="auto"/>
          <w:szCs w:val="28"/>
          <w:highlight w:val="none"/>
        </w:rPr>
        <w:t>，以及电力、药剂、用水等的能耗报表</w:t>
      </w:r>
      <w:r>
        <w:rPr>
          <w:rFonts w:ascii="Times New Roman" w:hAnsi="Times New Roman" w:eastAsia="宋体" w:cs="Times New Roman"/>
          <w:color w:val="auto"/>
          <w:szCs w:val="28"/>
          <w:highlight w:val="none"/>
        </w:rPr>
        <w:t>等</w:t>
      </w:r>
      <w:r>
        <w:rPr>
          <w:rFonts w:hint="eastAsia" w:ascii="Times New Roman" w:hAnsi="Times New Roman" w:eastAsia="宋体" w:cs="Times New Roman"/>
          <w:color w:val="auto"/>
          <w:szCs w:val="28"/>
          <w:highlight w:val="none"/>
        </w:rPr>
        <w:t>，统一标准，便于污水处理厂及提标项目报表信息的横向和纵向对比</w:t>
      </w:r>
      <w:r>
        <w:rPr>
          <w:rFonts w:ascii="Times New Roman" w:hAnsi="Times New Roman" w:eastAsia="宋体" w:cs="Times New Roman"/>
          <w:color w:val="auto"/>
          <w:szCs w:val="28"/>
          <w:highlight w:val="none"/>
        </w:rPr>
        <w:t>。</w:t>
      </w:r>
    </w:p>
    <w:p w14:paraId="52161F84">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以各项目现有报表为基础，招标人可在此基础上提出扩展要求，数据报表</w:t>
      </w:r>
      <w:r>
        <w:rPr>
          <w:rFonts w:hint="eastAsia" w:ascii="Times New Roman" w:hAnsi="Times New Roman" w:eastAsia="宋体" w:cs="Times New Roman"/>
          <w:color w:val="auto"/>
          <w:szCs w:val="28"/>
          <w:highlight w:val="none"/>
        </w:rPr>
        <w:t>最终效果以招标人实际要求为准。</w:t>
      </w:r>
    </w:p>
    <w:p w14:paraId="6F8B5B62">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2.4.2.13系统构成</w:t>
      </w:r>
      <w:bookmarkEnd w:id="537"/>
      <w:bookmarkEnd w:id="538"/>
    </w:p>
    <w:p w14:paraId="0BA25811">
      <w:pPr>
        <w:snapToGrid w:val="0"/>
        <w:spacing w:line="360" w:lineRule="auto"/>
        <w:ind w:firstLine="420" w:firstLineChars="200"/>
        <w:rPr>
          <w:rFonts w:ascii="Times New Roman" w:hAnsi="Times New Roman" w:eastAsia="宋体" w:cs="宋体"/>
          <w:bCs/>
          <w:snapToGrid w:val="0"/>
          <w:color w:val="auto"/>
          <w:szCs w:val="21"/>
          <w:highlight w:val="none"/>
        </w:rPr>
      </w:pPr>
      <w:r>
        <w:rPr>
          <w:rFonts w:hint="eastAsia" w:ascii="Times New Roman" w:hAnsi="Times New Roman" w:eastAsia="宋体" w:cs="宋体"/>
          <w:bCs/>
          <w:snapToGrid w:val="0"/>
          <w:color w:val="auto"/>
          <w:szCs w:val="21"/>
          <w:highlight w:val="none"/>
        </w:rPr>
        <w:t>本项目在调度指挥中心安装10套SCADA服务器、2套数据库，在37个污水处理厂及21个提标项目安装一套数据采集服务器，通过运营商专网专线传输工控数据和命令，实现远程监视、控制污水项目的功能。</w:t>
      </w:r>
    </w:p>
    <w:p w14:paraId="36F74380">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系统软件，操作系统选择实时多任务多用户操作系统，中文版本，配备汉字二级字库，具有开放式的软件接口，便于与外系统构成通讯链路。</w:t>
      </w:r>
    </w:p>
    <w:p w14:paraId="0C9EF2A2">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数据库系统，开放的实时数据库通过对监控对象的组态、对监控对象的实时监测和控制，自动生成操作记录表、遥信变位、事故记录等实时数据。实时数据库具有标准的外部数据接口，能与其它控制软件和数据库交换数据。历史数据库能通过DDL、DDE及OLE等与其它应用软件交换数据，并带有标准的SQL接口和ODBC（Open Data Base Connect）接口，提供系统维护和管理手段。</w:t>
      </w:r>
    </w:p>
    <w:p w14:paraId="693D9B19">
      <w:pPr>
        <w:snapToGrid w:val="0"/>
        <w:spacing w:line="360" w:lineRule="auto"/>
        <w:ind w:firstLine="420" w:firstLineChars="200"/>
        <w:rPr>
          <w:rFonts w:ascii="Times New Roman" w:hAnsi="Times New Roman" w:eastAsia="宋体" w:cs="宋体"/>
          <w:bCs/>
          <w:snapToGrid w:val="0"/>
          <w:color w:val="auto"/>
          <w:szCs w:val="21"/>
          <w:highlight w:val="none"/>
        </w:rPr>
      </w:pPr>
      <w:r>
        <w:rPr>
          <w:rFonts w:hint="eastAsia" w:ascii="Times New Roman" w:hAnsi="Times New Roman" w:eastAsia="宋体" w:cs="宋体"/>
          <w:bCs/>
          <w:snapToGrid w:val="0"/>
          <w:color w:val="auto"/>
          <w:szCs w:val="21"/>
          <w:highlight w:val="none"/>
        </w:rPr>
        <w:t>本项目中标人负责完成集中控制系统的集成、调试工作。</w:t>
      </w:r>
    </w:p>
    <w:p w14:paraId="148974EB">
      <w:pPr>
        <w:snapToGrid w:val="0"/>
        <w:spacing w:line="360" w:lineRule="auto"/>
        <w:ind w:firstLine="422" w:firstLineChars="200"/>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1、调度指挥中心</w:t>
      </w:r>
    </w:p>
    <w:p w14:paraId="02584A9F">
      <w:pPr>
        <w:snapToGrid w:val="0"/>
        <w:spacing w:line="360" w:lineRule="auto"/>
        <w:ind w:firstLine="420" w:firstLineChars="200"/>
        <w:rPr>
          <w:rFonts w:ascii="Times New Roman" w:hAnsi="Times New Roman" w:eastAsia="宋体" w:cs="宋体"/>
          <w:bCs/>
          <w:snapToGrid w:val="0"/>
          <w:color w:val="auto"/>
          <w:szCs w:val="21"/>
          <w:highlight w:val="none"/>
        </w:rPr>
      </w:pPr>
      <w:r>
        <w:rPr>
          <w:rFonts w:hint="eastAsia" w:ascii="Times New Roman" w:hAnsi="Times New Roman" w:eastAsia="宋体" w:cs="宋体"/>
          <w:bCs/>
          <w:snapToGrid w:val="0"/>
          <w:color w:val="auto"/>
          <w:szCs w:val="21"/>
          <w:highlight w:val="none"/>
        </w:rPr>
        <w:t>调度指挥中心内集中设置SCADA服务器、数据服务器与监控工作站，</w:t>
      </w:r>
      <w:r>
        <w:rPr>
          <w:rFonts w:hint="eastAsia" w:ascii="Times New Roman" w:hAnsi="Times New Roman" w:eastAsia="宋体" w:cs="宋体"/>
          <w:color w:val="auto"/>
          <w:szCs w:val="21"/>
          <w:highlight w:val="none"/>
        </w:rPr>
        <w:t>系统实现监控管理计算机的冗余，在运行过程中自动检查监控管理计算机的运行状态，一旦发生错误，备用的监控管理计算机可以自动地投入运行，而不需要人为干预</w:t>
      </w:r>
      <w:r>
        <w:rPr>
          <w:rFonts w:hint="eastAsia" w:ascii="Times New Roman" w:hAnsi="Times New Roman" w:eastAsia="宋体" w:cs="宋体"/>
          <w:bCs/>
          <w:snapToGrid w:val="0"/>
          <w:color w:val="auto"/>
          <w:szCs w:val="21"/>
          <w:highlight w:val="none"/>
        </w:rPr>
        <w:t>，具有灵活的运行方式。</w:t>
      </w:r>
    </w:p>
    <w:p w14:paraId="78AFF8AA">
      <w:pPr>
        <w:snapToGrid w:val="0"/>
        <w:spacing w:line="360" w:lineRule="auto"/>
        <w:ind w:firstLine="420" w:firstLineChars="200"/>
        <w:rPr>
          <w:rFonts w:ascii="Times New Roman" w:hAnsi="Times New Roman" w:eastAsia="宋体" w:cs="宋体"/>
          <w:bCs/>
          <w:snapToGrid w:val="0"/>
          <w:color w:val="auto"/>
          <w:szCs w:val="21"/>
          <w:highlight w:val="none"/>
        </w:rPr>
      </w:pPr>
      <w:r>
        <w:rPr>
          <w:rFonts w:hint="eastAsia" w:ascii="Times New Roman" w:hAnsi="Times New Roman" w:eastAsia="宋体" w:cs="宋体"/>
          <w:bCs/>
          <w:snapToGrid w:val="0"/>
          <w:color w:val="auto"/>
          <w:szCs w:val="21"/>
          <w:highlight w:val="none"/>
        </w:rPr>
        <w:t>系统中SCADA服务器主要用于厂区设备的实时监控，数据服务器主要用于数据处理、储存、发布，监控工作站主要为操作人员提供人机交互手段。</w:t>
      </w:r>
    </w:p>
    <w:p w14:paraId="61CB2AAC">
      <w:pPr>
        <w:snapToGrid w:val="0"/>
        <w:spacing w:line="360" w:lineRule="auto"/>
        <w:ind w:firstLine="420" w:firstLineChars="200"/>
        <w:rPr>
          <w:rFonts w:ascii="Times New Roman" w:hAnsi="Times New Roman" w:eastAsia="宋体" w:cs="宋体"/>
          <w:bCs/>
          <w:snapToGrid w:val="0"/>
          <w:color w:val="auto"/>
          <w:szCs w:val="21"/>
          <w:highlight w:val="none"/>
        </w:rPr>
      </w:pPr>
      <w:r>
        <w:rPr>
          <w:rFonts w:hint="eastAsia" w:ascii="Times New Roman" w:hAnsi="Times New Roman" w:eastAsia="宋体" w:cs="宋体"/>
          <w:bCs/>
          <w:snapToGrid w:val="0"/>
          <w:color w:val="auto"/>
          <w:szCs w:val="21"/>
          <w:highlight w:val="none"/>
        </w:rPr>
        <w:t>网络打印装置为各类图文、报表的输出提供直接手段。</w:t>
      </w:r>
    </w:p>
    <w:p w14:paraId="49025272">
      <w:pPr>
        <w:snapToGrid w:val="0"/>
        <w:spacing w:line="360" w:lineRule="auto"/>
        <w:ind w:firstLine="420" w:firstLineChars="200"/>
        <w:rPr>
          <w:rFonts w:ascii="Times New Roman" w:hAnsi="Times New Roman" w:eastAsia="宋体" w:cs="宋体"/>
          <w:bCs/>
          <w:snapToGrid w:val="0"/>
          <w:color w:val="auto"/>
          <w:szCs w:val="21"/>
          <w:highlight w:val="none"/>
        </w:rPr>
      </w:pPr>
      <w:r>
        <w:rPr>
          <w:rFonts w:hint="eastAsia" w:ascii="Times New Roman" w:hAnsi="Times New Roman" w:eastAsia="宋体" w:cs="宋体"/>
          <w:bCs/>
          <w:snapToGrid w:val="0"/>
          <w:color w:val="auto"/>
          <w:szCs w:val="21"/>
          <w:highlight w:val="none"/>
        </w:rPr>
        <w:t>UPS为调度指挥中心的所有电子设备提供了高质量的稳定电源（包括机柜、服务器、交换机、工作站等），在构筑物停电情况下能保证系统运行2小时以上。</w:t>
      </w:r>
    </w:p>
    <w:p w14:paraId="34017920">
      <w:pPr>
        <w:snapToGrid w:val="0"/>
        <w:spacing w:line="360" w:lineRule="auto"/>
        <w:ind w:firstLine="422" w:firstLineChars="200"/>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2、数据采集点</w:t>
      </w:r>
    </w:p>
    <w:p w14:paraId="3E936838">
      <w:pPr>
        <w:spacing w:line="360" w:lineRule="auto"/>
        <w:ind w:firstLine="612"/>
        <w:rPr>
          <w:rFonts w:ascii="Times New Roman" w:hAnsi="Times New Roman" w:eastAsia="宋体" w:cs="Times New Roman"/>
          <w:color w:val="auto"/>
          <w:szCs w:val="28"/>
          <w:highlight w:val="none"/>
        </w:rPr>
      </w:pPr>
      <w:r>
        <w:rPr>
          <w:rFonts w:hint="eastAsia" w:ascii="Times New Roman" w:hAnsi="Times New Roman" w:eastAsia="宋体" w:cs="宋体"/>
          <w:bCs/>
          <w:snapToGrid w:val="0"/>
          <w:color w:val="auto"/>
          <w:szCs w:val="21"/>
          <w:highlight w:val="none"/>
        </w:rPr>
        <w:t>在37个污水处理厂及21个提标项目部署数据采集服务器及软件，数据采集软件</w:t>
      </w:r>
      <w:r>
        <w:rPr>
          <w:rFonts w:ascii="Times New Roman" w:hAnsi="Times New Roman" w:eastAsia="宋体" w:cs="Times New Roman"/>
          <w:color w:val="auto"/>
          <w:szCs w:val="28"/>
          <w:highlight w:val="none"/>
        </w:rPr>
        <w:t>提供多个厂商多种设备的通讯驱动，支持智能模块、仪表、RTU、PLC等各类国内外厂商设备，提供以太网、串口、总线、无线等多种通讯方式，同时确保数据的实时性和稳定性。</w:t>
      </w:r>
    </w:p>
    <w:p w14:paraId="5465704B">
      <w:pPr>
        <w:snapToGrid w:val="0"/>
        <w:spacing w:before="120" w:line="360" w:lineRule="auto"/>
        <w:ind w:firstLine="420" w:firstLineChars="200"/>
        <w:rPr>
          <w:rFonts w:ascii="Times New Roman" w:hAnsi="Times New Roman" w:eastAsia="宋体" w:cs="宋体"/>
          <w:bCs/>
          <w:snapToGrid w:val="0"/>
          <w:color w:val="auto"/>
          <w:sz w:val="24"/>
          <w:szCs w:val="21"/>
          <w:highlight w:val="none"/>
        </w:rPr>
      </w:pPr>
      <w:r>
        <w:rPr>
          <w:rFonts w:hint="eastAsia" w:ascii="Times New Roman" w:hAnsi="Times New Roman" w:eastAsia="宋体" w:cs="Times New Roman"/>
          <w:color w:val="auto"/>
          <w:szCs w:val="21"/>
          <w:highlight w:val="none"/>
        </w:rPr>
        <w:t>数据采集服务器通过OPC协议与中心服务器通讯，并且支持断网续传功能，保证数据服务器的数据完整性。</w:t>
      </w:r>
    </w:p>
    <w:p w14:paraId="4C3684B8">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各项目数据管理应统一且规范化，中标人应建立数据命名标准，以统一的命名规范编制数据变量表，并且需将相关资料移交至招标人。</w:t>
      </w:r>
      <w:bookmarkStart w:id="539" w:name="_Toc419661384"/>
    </w:p>
    <w:p w14:paraId="4E83150B">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2.4.2.14 时间同步</w:t>
      </w:r>
    </w:p>
    <w:p w14:paraId="6261342F">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污水处理厂及提标项目自动化系统网络的设备，包括但不限于监控计算机、数据服务器、SCADA服务器、数据采集服务器、PLC系统、视频监控摄像头、视频监控NVR等，都应具备周期性对时功能。在网络内部设立NTP服务器，使所有设备自动与NTP服务器进行对时，并且NTP服务器定期与中国标准时间进行对时。</w:t>
      </w:r>
    </w:p>
    <w:p w14:paraId="35D93BD5">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2.4.2.15运行控制</w:t>
      </w:r>
      <w:bookmarkEnd w:id="539"/>
      <w:bookmarkStart w:id="540" w:name="_Toc419661385"/>
    </w:p>
    <w:bookmarkEnd w:id="540"/>
    <w:p w14:paraId="0BA3ADE3">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本节内容系按照参考的工艺布置所作的控制系统配置，中标人应根据提交的具体工艺布置，对本节内容进行细化，包括控制系统的配置方案、运行控制要求、控制设备数量、技术标准和指标等（运行控制内容包括但不限于以下项目，实际内容以招标人要求为准）。</w:t>
      </w:r>
      <w:bookmarkStart w:id="541" w:name="_Toc419661386"/>
    </w:p>
    <w:p w14:paraId="18DDA36A">
      <w:pPr>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Times New Roman"/>
          <w:color w:val="auto"/>
          <w:szCs w:val="28"/>
          <w:highlight w:val="none"/>
        </w:rPr>
        <w:t>运行控制的最终效果以招标人实际要求为准。</w:t>
      </w:r>
    </w:p>
    <w:p w14:paraId="7C8DDEE6">
      <w:pPr>
        <w:spacing w:line="360" w:lineRule="auto"/>
        <w:rPr>
          <w:rFonts w:ascii="Times New Roman" w:hAnsi="Times New Roman" w:eastAsia="宋体" w:cs="Times New Roman"/>
          <w:color w:val="auto"/>
          <w:szCs w:val="24"/>
          <w:highlight w:val="none"/>
        </w:rPr>
      </w:pPr>
      <w:r>
        <w:rPr>
          <w:rFonts w:hint="eastAsia" w:ascii="Times New Roman" w:hAnsi="Times New Roman" w:eastAsia="宋体" w:cs="宋体"/>
          <w:bCs/>
          <w:color w:val="auto"/>
          <w:kern w:val="0"/>
          <w:szCs w:val="18"/>
          <w:highlight w:val="none"/>
        </w:rPr>
        <w:t>（1）</w:t>
      </w:r>
      <w:r>
        <w:rPr>
          <w:rFonts w:hint="eastAsia" w:ascii="Times New Roman" w:hAnsi="Times New Roman" w:eastAsia="宋体" w:cs="宋体"/>
          <w:bCs/>
          <w:color w:val="auto"/>
          <w:szCs w:val="21"/>
          <w:highlight w:val="none"/>
        </w:rPr>
        <w:t>粗格栅</w:t>
      </w:r>
      <w:bookmarkEnd w:id="541"/>
    </w:p>
    <w:p w14:paraId="0041B977">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粗格栅位于进水泵房前面的渠道中，其作用是将进水中较大的悬浮物和漂浮物清除，避免后续进水泵叶轮被堵塞及缠绕，从而保证进水泵运行的稳定性。</w:t>
      </w:r>
    </w:p>
    <w:p w14:paraId="4BDA330D">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粗格栅间设置为多台回转式粗格栅机和1台螺旋输送机。多台格栅可同时工作，事故检修时单台工作。格栅运行（开/停）由控制器根据定时自动控制，也可手动操作。</w:t>
      </w:r>
    </w:p>
    <w:p w14:paraId="443368DE">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具备轮换运行机制，在遥控自动模式下，可以根据中控室设置的运行周期和间隔时间自动运行。</w:t>
      </w:r>
    </w:p>
    <w:p w14:paraId="7ED99AD3">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每台粗格栅前后设有手电两用铸铁镶铜方闸门，以便检修格栅之用</w:t>
      </w:r>
    </w:p>
    <w:p w14:paraId="3C683522">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PLC对粗格栅现场控制箱的监控信号有：</w:t>
      </w:r>
    </w:p>
    <w:p w14:paraId="01311C34">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1）每台电机运行/停止状态</w:t>
      </w:r>
    </w:p>
    <w:p w14:paraId="5FCF8464">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2）每台电机总故障保护动作状态</w:t>
      </w:r>
    </w:p>
    <w:p w14:paraId="0CB8883A">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3）每台电机手动/自动控制状态</w:t>
      </w:r>
    </w:p>
    <w:p w14:paraId="1D038D13">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4）每台电机运行/停止命令</w:t>
      </w:r>
      <w:bookmarkStart w:id="542" w:name="_Toc419661387"/>
    </w:p>
    <w:p w14:paraId="57EE7361">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5）每台格栅总运行次数和当日运行次数</w:t>
      </w:r>
    </w:p>
    <w:p w14:paraId="09BB90A2">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PLC对输送机现场控制箱的监控信号有：</w:t>
      </w:r>
    </w:p>
    <w:p w14:paraId="4C8AC54C">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1）每台电机运行/停止状态</w:t>
      </w:r>
    </w:p>
    <w:p w14:paraId="4EBFC153">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2）每台电机总故障保护动作状态</w:t>
      </w:r>
    </w:p>
    <w:p w14:paraId="1B32D88B">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3）每台电机手动/自动控制状态</w:t>
      </w:r>
    </w:p>
    <w:p w14:paraId="2B5DDDB7">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4）每台电机运行/停止命令</w:t>
      </w:r>
    </w:p>
    <w:p w14:paraId="2DD41E9B">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5）螺旋输送机本次运行时间、累计运行时间</w:t>
      </w:r>
    </w:p>
    <w:p w14:paraId="685A23F4">
      <w:pPr>
        <w:spacing w:line="360" w:lineRule="auto"/>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（2）离心潜污泵</w:t>
      </w:r>
      <w:bookmarkEnd w:id="542"/>
    </w:p>
    <w:p w14:paraId="28746DFD">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泵房内设多台潜水泵，在自动控制时水泵运行由控制器根据水泵间水位自动启动及停止，同时设计有现场手动按扭控制方式。</w:t>
      </w:r>
    </w:p>
    <w:p w14:paraId="733858DD">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具备轮换运行机制，在遥控自动模式下，程序根据泵的累计运行时间合理调用每台泵。</w:t>
      </w:r>
    </w:p>
    <w:p w14:paraId="4855E7D0">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具备低液位保护功能，在遥控自动模式下，当液位低于阈值时（可人工设置），系统自动弹出关停潜水泵确认信息，并在一定时间后自动关停提升泵。</w:t>
      </w:r>
    </w:p>
    <w:p w14:paraId="41044445">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新增流量控制功能，在遥控自动模式下，通过调整泵的启动数量和泵的频率来控制流量，原则上应将泵的启停次数降至最低。</w:t>
      </w:r>
    </w:p>
    <w:p w14:paraId="16A10977">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PLC对进水泵现场控制箱的监控信号有：</w:t>
      </w:r>
    </w:p>
    <w:p w14:paraId="4BB42B52">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1）每台电机运行/停止状态</w:t>
      </w:r>
    </w:p>
    <w:p w14:paraId="18287F49">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2）每台电机总故障保护动作状态</w:t>
      </w:r>
    </w:p>
    <w:p w14:paraId="0437E487">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3）每台电机手动/自动控制状态</w:t>
      </w:r>
    </w:p>
    <w:p w14:paraId="46FB8D2A">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4）每台电机工作电流、电压</w:t>
      </w:r>
    </w:p>
    <w:p w14:paraId="31CA0B48">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5）运行频率指示（仅变频器控制的泵）</w:t>
      </w:r>
    </w:p>
    <w:p w14:paraId="7ED8D5E4">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6）运行电流指示（仅变频器控制的泵）</w:t>
      </w:r>
    </w:p>
    <w:p w14:paraId="38B38A52">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7）每台电机运行/停止命令</w:t>
      </w:r>
    </w:p>
    <w:p w14:paraId="7830E612">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8）设定频率（仅变频器控制的泵）</w:t>
      </w:r>
      <w:bookmarkStart w:id="543" w:name="_Toc419661388"/>
    </w:p>
    <w:p w14:paraId="52002BB5">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9）本次运行时间、累计运行时间</w:t>
      </w:r>
    </w:p>
    <w:p w14:paraId="7DD5FEB6">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10）上次启动时间、上次停止时间</w:t>
      </w:r>
    </w:p>
    <w:p w14:paraId="5774D983">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11）当日开关次数、累计开关次数</w:t>
      </w:r>
    </w:p>
    <w:p w14:paraId="5596344C">
      <w:pPr>
        <w:spacing w:line="360" w:lineRule="auto"/>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（3）细格栅</w:t>
      </w:r>
      <w:bookmarkEnd w:id="543"/>
    </w:p>
    <w:p w14:paraId="7DDAF4F3">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细格栅的作用是将粗格栅未能分离的较大颗粒的悬浮物和漂浮物（特别是带状物、丝状物）进一步加以分离并排除，从而保护后续处理工段的稳定运行。</w:t>
      </w:r>
    </w:p>
    <w:p w14:paraId="7273A9CD">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细格栅间设置多台细格栅机和单台螺旋输送机。定时自动控制，也可手动操作。</w:t>
      </w:r>
    </w:p>
    <w:p w14:paraId="23B24343">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具备轮换运行机制，在遥控自动模式下，可以根据中控室设置的运行周期和间隔时间自动运行。</w:t>
      </w:r>
    </w:p>
    <w:p w14:paraId="3C6F2483">
      <w:pPr>
        <w:snapToGrid w:val="0"/>
        <w:spacing w:line="360" w:lineRule="auto"/>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PLC对细格栅现场控制箱的监控信号有：</w:t>
      </w:r>
    </w:p>
    <w:p w14:paraId="6BF8CCEE">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1）联合手/自动操作</w:t>
      </w:r>
    </w:p>
    <w:p w14:paraId="40D552E0">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2）每台电机运行/停止状态</w:t>
      </w:r>
    </w:p>
    <w:p w14:paraId="44208B0D">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3）每台电机故障保护动作状态</w:t>
      </w:r>
    </w:p>
    <w:p w14:paraId="1A6ACEE8">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4）每台电机手动/自动控制状态</w:t>
      </w:r>
    </w:p>
    <w:p w14:paraId="5623A9E2">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5）联合启停操作</w:t>
      </w:r>
    </w:p>
    <w:p w14:paraId="7BD4B4F0">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6）冲洗电磁阀启/停</w:t>
      </w:r>
      <w:bookmarkStart w:id="544" w:name="_Toc419661389"/>
    </w:p>
    <w:p w14:paraId="445414F3">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7）单台格栅总运行次数和当日运行次数</w:t>
      </w:r>
    </w:p>
    <w:p w14:paraId="13814152">
      <w:pPr>
        <w:spacing w:line="360" w:lineRule="auto"/>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PLC对输送机现场控制箱的监控信号有：</w:t>
      </w:r>
    </w:p>
    <w:p w14:paraId="2771E7CF">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1）每台电机运行/停止状态</w:t>
      </w:r>
    </w:p>
    <w:p w14:paraId="777DB40B">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2）每台电机故障保护动作状态</w:t>
      </w:r>
    </w:p>
    <w:p w14:paraId="149D356F">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3）每台电机手动/自动控制状态</w:t>
      </w:r>
    </w:p>
    <w:p w14:paraId="04EACBEF">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4）每台电机运行/停止状态</w:t>
      </w:r>
    </w:p>
    <w:p w14:paraId="3F8DA565">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5）螺旋输送机本次运行时间、累计运行时间</w:t>
      </w:r>
    </w:p>
    <w:p w14:paraId="781E7615">
      <w:pPr>
        <w:spacing w:line="360" w:lineRule="auto"/>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（4）曝气沉砂池</w:t>
      </w:r>
      <w:bookmarkEnd w:id="544"/>
      <w:r>
        <w:rPr>
          <w:rFonts w:hint="eastAsia" w:ascii="Times New Roman" w:hAnsi="Times New Roman" w:eastAsia="宋体" w:cs="宋体"/>
          <w:bCs/>
          <w:color w:val="auto"/>
          <w:kern w:val="0"/>
          <w:szCs w:val="18"/>
          <w:highlight w:val="none"/>
        </w:rPr>
        <w:t>/旋流沉砂池</w:t>
      </w:r>
    </w:p>
    <w:p w14:paraId="2F62F1EC">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沉砂池的作用是去除污水中大于0.2毫米的颗粒，去除率大于95%，以保证后续处理构筑物的稳定运行。</w:t>
      </w:r>
    </w:p>
    <w:p w14:paraId="7C135BE0">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沉砂池设置有链板式刮砂机（旋流沉砂器）、砂水分离器、罗茨鼓风机，系统可根据时间设定由控制器自动控制，也可现场手动按钮操作。</w:t>
      </w:r>
    </w:p>
    <w:p w14:paraId="6DC4A84D">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PLC对沉砂池现场控制箱的监控信号有：</w:t>
      </w:r>
    </w:p>
    <w:p w14:paraId="328DD019">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1）每台电机运行/停止状态</w:t>
      </w:r>
    </w:p>
    <w:p w14:paraId="2D4DFC8D">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2）每台电机总故障保护动作状态</w:t>
      </w:r>
    </w:p>
    <w:p w14:paraId="79A61594">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3）每台电机手动/自动控制状态</w:t>
      </w:r>
    </w:p>
    <w:p w14:paraId="0EB28537">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4）每台链板式刮砂机（旋流沉砂器）电机运行频率显示</w:t>
      </w:r>
    </w:p>
    <w:p w14:paraId="259463E0">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5）每台链板式刮砂机（旋流沉砂器）电机运行频率设定</w:t>
      </w:r>
    </w:p>
    <w:p w14:paraId="7CD66B5D">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6）对提砂阀及风管电磁阀启/停</w:t>
      </w:r>
      <w:bookmarkStart w:id="545" w:name="_Toc419661390"/>
    </w:p>
    <w:p w14:paraId="6FAE8B79">
      <w:pPr>
        <w:spacing w:line="360" w:lineRule="auto"/>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（5）生化池（或生化池及二沉池或MBR池或硝化、反硝化池）</w:t>
      </w:r>
      <w:bookmarkEnd w:id="545"/>
    </w:p>
    <w:p w14:paraId="12ECF0FF">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生化池作用是为各种优势微生物的生长繁殖创造最佳的环境条件和水力条件，使得有机物的降解、氨氮的硝化，以及磷的释放、吸收等生化过程保持高效反应状态，有效地提高生化去除率。</w:t>
      </w:r>
    </w:p>
    <w:p w14:paraId="75E68DC5">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生化池内设有混合液回流泵、回流污泥泵、剩余污泥泵、搅拌器等，根据池上DO、ORP、MLSS等仪表的实时监测值进行相应的控制使生化池发挥最优的处理性能。</w:t>
      </w:r>
    </w:p>
    <w:p w14:paraId="4E632019">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生物池搅拌器、推进器的固定导轨处新增安装振动传感器用于检测电机运行情况。要求中控室SCADA系统能反馈现场电机振动值，并且能手动设定单台电机振动报警阈值（参考振动标准ISO2372）。</w:t>
      </w:r>
    </w:p>
    <w:p w14:paraId="75EF8346">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PLC对生化池现场控制箱的监控信号有：</w:t>
      </w:r>
    </w:p>
    <w:p w14:paraId="55937B80">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1）每台电机运行/停止状态</w:t>
      </w:r>
    </w:p>
    <w:p w14:paraId="502453F0">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2）每台电机总故障保护动作状态</w:t>
      </w:r>
    </w:p>
    <w:p w14:paraId="322AFB79">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3）每台电机手动/自动控制状态</w:t>
      </w:r>
    </w:p>
    <w:p w14:paraId="68FA6C15">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4）每台电动调节阀的开度反馈信号</w:t>
      </w:r>
    </w:p>
    <w:p w14:paraId="1F0FC4FB">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5）DO检测仪的溶解氧值</w:t>
      </w:r>
    </w:p>
    <w:p w14:paraId="17CEAA39">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6）ORP检测仪的氧化还原电位值</w:t>
      </w:r>
    </w:p>
    <w:p w14:paraId="6CE7A49E">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7）MLSS检测仪的污泥浓度值</w:t>
      </w:r>
    </w:p>
    <w:p w14:paraId="6ED57993">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8）超声波液位计的液位值</w:t>
      </w:r>
    </w:p>
    <w:p w14:paraId="7BC180D7">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9）每台电机运行/停止命令</w:t>
      </w:r>
    </w:p>
    <w:p w14:paraId="783717DE">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10）每台电动调节阀的开度设置信号</w:t>
      </w:r>
    </w:p>
    <w:p w14:paraId="59245C9A">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11）变频电机运行频率（按招标人要求）显示与设定</w:t>
      </w:r>
      <w:bookmarkStart w:id="546" w:name="_Toc419661391"/>
    </w:p>
    <w:p w14:paraId="6B7FC2D3">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12）每台电机的本次运行时间、累计运行时间</w:t>
      </w:r>
    </w:p>
    <w:p w14:paraId="0DF6C415">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13）每台电机的振动烈度值</w:t>
      </w:r>
    </w:p>
    <w:p w14:paraId="4B037D58">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对MBR池监控信号有</w:t>
      </w:r>
      <w:r>
        <w:rPr>
          <w:rFonts w:hint="eastAsia" w:ascii="Times New Roman" w:hAnsi="Times New Roman" w:eastAsia="宋体" w:cs="宋体"/>
          <w:color w:val="auto"/>
          <w:szCs w:val="21"/>
          <w:highlight w:val="none"/>
        </w:rPr>
        <w:t>（包括但不限于以下信号，以招标人中控室现有系统为准）</w:t>
      </w:r>
      <w:r>
        <w:rPr>
          <w:rFonts w:hint="eastAsia" w:ascii="Times New Roman" w:hAnsi="Times New Roman" w:eastAsia="宋体" w:cs="宋体"/>
          <w:color w:val="auto"/>
          <w:kern w:val="0"/>
          <w:szCs w:val="21"/>
          <w:highlight w:val="none"/>
        </w:rPr>
        <w:t>：</w:t>
      </w:r>
    </w:p>
    <w:p w14:paraId="321763F5">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1）等待水洗状态；</w:t>
      </w:r>
    </w:p>
    <w:p w14:paraId="1DBA15A8">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2）等待水洗时间计时；</w:t>
      </w:r>
    </w:p>
    <w:p w14:paraId="62002C1B">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3）跨膜压差；</w:t>
      </w:r>
    </w:p>
    <w:p w14:paraId="7F0DF54B">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4）碱洗状态；</w:t>
      </w:r>
    </w:p>
    <w:p w14:paraId="685149FE">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5）高浓度碱洗状态；</w:t>
      </w:r>
    </w:p>
    <w:p w14:paraId="466A2C3C">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6）高浓度酸洗状态；</w:t>
      </w:r>
    </w:p>
    <w:p w14:paraId="478DCE77">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7）酸洗状态；</w:t>
      </w:r>
    </w:p>
    <w:p w14:paraId="3F16CCFA">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8）水洗状态；</w:t>
      </w:r>
    </w:p>
    <w:p w14:paraId="65F42475">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9）产水停歇；</w:t>
      </w:r>
    </w:p>
    <w:p w14:paraId="3E4F64C8">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10）停歇时间计时；</w:t>
      </w:r>
    </w:p>
    <w:p w14:paraId="5F1F604C">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11）产水状态；</w:t>
      </w:r>
    </w:p>
    <w:p w14:paraId="4663B19D">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12）产水时间计时；</w:t>
      </w:r>
    </w:p>
    <w:p w14:paraId="23A53AA4">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13）膜池运行；</w:t>
      </w:r>
    </w:p>
    <w:p w14:paraId="5B0B9EDB">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14）至碱洗次数计数、至高浓度碱洗次数计数、至高浓度酸洗次数计数、至酸洗次数计数、至水洗次数计数；</w:t>
      </w:r>
    </w:p>
    <w:p w14:paraId="69037D44">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15）产水压力；</w:t>
      </w:r>
    </w:p>
    <w:p w14:paraId="6AE9490D">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szCs w:val="21"/>
          <w:highlight w:val="none"/>
        </w:rPr>
        <w:t>16）膜池状态；</w:t>
      </w:r>
    </w:p>
    <w:p w14:paraId="309C864F">
      <w:pPr>
        <w:spacing w:line="360" w:lineRule="auto"/>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（6）鼓风机</w:t>
      </w:r>
      <w:bookmarkEnd w:id="546"/>
    </w:p>
    <w:p w14:paraId="160CC7EB">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鼓风机房PLC柜对每台鼓风机的主要监控信号有：</w:t>
      </w:r>
    </w:p>
    <w:p w14:paraId="4C8B80D6">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采集的信号：风机运行电流、频率，输出风量，出风压力，风机控制方式，风机运行、停止、故障状态信号、风机出口调节阀反馈信号、轴承运行温度、电机振动值、风机本次运行时间、风机累计运行时间、生化池DO数据等。</w:t>
      </w:r>
    </w:p>
    <w:p w14:paraId="11B6313E">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2）输出的信号：风机运行/停止信号、运行频率设定信号，风机出口调节阀或风门的调节控制等。</w:t>
      </w:r>
      <w:bookmarkStart w:id="547" w:name="_Toc419661392"/>
    </w:p>
    <w:p w14:paraId="53D35117">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鼓风机需具备以下功能：</w:t>
      </w:r>
    </w:p>
    <w:p w14:paraId="0D184E50">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1）每台鼓风机在遥控模式下，均能在中控室经行遥控启停，并且能写入运行参数。</w:t>
      </w:r>
    </w:p>
    <w:p w14:paraId="59322FBC">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2）具备轮换运行机制，在遥控自动模式下，程序根据泵的累计运行时间合理调用每台泵。</w:t>
      </w:r>
    </w:p>
    <w:p w14:paraId="1876A8D5">
      <w:pPr>
        <w:spacing w:line="360" w:lineRule="auto"/>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（7）污泥脱水机房</w:t>
      </w:r>
      <w:bookmarkEnd w:id="547"/>
    </w:p>
    <w:p w14:paraId="60D80901">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污泥脱水系统由设备供应商提供控制策略。</w:t>
      </w:r>
    </w:p>
    <w:p w14:paraId="212F26BA">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每台脱水机PLC柜的主要监控信号有：</w:t>
      </w:r>
    </w:p>
    <w:p w14:paraId="713E35C8">
      <w:pPr>
        <w:numPr>
          <w:ilvl w:val="0"/>
          <w:numId w:val="29"/>
        </w:numPr>
        <w:snapToGrid w:val="0"/>
        <w:spacing w:line="360" w:lineRule="auto"/>
        <w:ind w:left="0" w:firstLine="42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采集的信号：脱水机系统成套设备及储泥池、制药系统等PLC提供的所有信号。</w:t>
      </w:r>
    </w:p>
    <w:p w14:paraId="7D94A619">
      <w:pPr>
        <w:numPr>
          <w:ilvl w:val="0"/>
          <w:numId w:val="29"/>
        </w:numPr>
        <w:snapToGrid w:val="0"/>
        <w:spacing w:line="360" w:lineRule="auto"/>
        <w:ind w:left="0" w:firstLine="420"/>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输出的信号：脱水机系统成套设备及储泥池、制药系统等PLC控制的所有设备需要远程控制的运行、反馈及控制方式信号。</w:t>
      </w:r>
    </w:p>
    <w:p w14:paraId="1C70A515">
      <w:pPr>
        <w:spacing w:line="360" w:lineRule="auto"/>
        <w:rPr>
          <w:rFonts w:ascii="Times New Roman" w:hAnsi="Times New Roman" w:eastAsia="宋体" w:cs="宋体"/>
          <w:bCs/>
          <w:color w:val="auto"/>
          <w:kern w:val="0"/>
          <w:szCs w:val="18"/>
          <w:highlight w:val="none"/>
        </w:rPr>
      </w:pPr>
      <w:bookmarkStart w:id="548" w:name="_Toc419661393"/>
      <w:r>
        <w:rPr>
          <w:rFonts w:hint="eastAsia" w:ascii="Times New Roman" w:hAnsi="Times New Roman" w:eastAsia="宋体" w:cs="宋体"/>
          <w:bCs/>
          <w:color w:val="auto"/>
          <w:kern w:val="0"/>
          <w:szCs w:val="18"/>
          <w:highlight w:val="none"/>
        </w:rPr>
        <w:t>（8）储泥池</w:t>
      </w:r>
      <w:bookmarkEnd w:id="548"/>
    </w:p>
    <w:p w14:paraId="606CD8CE">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污泥储池设置液位控制，即在污泥池液位低于0.5m时，关闭污泥脱水机房污泥进料泵；当污泥池液位高于一定（可调整）时，关闭剩余污泥泵。</w:t>
      </w:r>
    </w:p>
    <w:p w14:paraId="610A4724">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污泥储池设有潜水搅拌机，现场控制箱面板上设“手动/自动”转换开关。“手动”状态下，由控制箱面板上的按钮控制搅拌机的运行；“自动”状态下，由所在单体的现场控制站（PLC）控制搅拌机的运行。</w:t>
      </w:r>
    </w:p>
    <w:p w14:paraId="67DC7966">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PLC对搅拌机现场控制箱的监控信号有：</w:t>
      </w:r>
    </w:p>
    <w:p w14:paraId="1393BA69">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1）电机运行/停止状态</w:t>
      </w:r>
    </w:p>
    <w:p w14:paraId="570ADA77">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2）电机总故障保护动作状态</w:t>
      </w:r>
    </w:p>
    <w:p w14:paraId="0047C7E2">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3）电机手动/自动控制状态</w:t>
      </w:r>
    </w:p>
    <w:p w14:paraId="48594EF3">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4）电机运行/停止命令</w:t>
      </w:r>
      <w:bookmarkStart w:id="549" w:name="_Toc419661394"/>
    </w:p>
    <w:p w14:paraId="671E7814">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5）电机本次运行时间、累计运行时间</w:t>
      </w:r>
    </w:p>
    <w:p w14:paraId="43C3FAD0">
      <w:pPr>
        <w:spacing w:line="360" w:lineRule="auto"/>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（9）高效沉淀系统</w:t>
      </w:r>
    </w:p>
    <w:p w14:paraId="3C0134B8">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高效沉淀系统由设备供应商提供控制策略。</w:t>
      </w:r>
    </w:p>
    <w:p w14:paraId="74C72C3D">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PLC控制柜通过光纤以太网和中控室上位机进行通讯。高效沉淀系统PLC柜的主要信号有：</w:t>
      </w:r>
    </w:p>
    <w:p w14:paraId="7702F4EB">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1）电机运行/停止状态</w:t>
      </w:r>
    </w:p>
    <w:p w14:paraId="5D671D41">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2）电机总故障保护动作状态</w:t>
      </w:r>
    </w:p>
    <w:p w14:paraId="066FC3BB">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3）电机手动/自动控制状态</w:t>
      </w:r>
    </w:p>
    <w:p w14:paraId="16CFDBCB">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4）电机运行/停止命令</w:t>
      </w:r>
    </w:p>
    <w:p w14:paraId="3C78198C">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5）变频电机运行频率（按招标人要求）显示与设定</w:t>
      </w:r>
    </w:p>
    <w:p w14:paraId="2896825C">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6）阀门的开到位/关到位/故障状态信号</w:t>
      </w:r>
    </w:p>
    <w:p w14:paraId="7BCA669D">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7）分析仪的测量值信号</w:t>
      </w:r>
    </w:p>
    <w:p w14:paraId="3237FFAB">
      <w:pPr>
        <w:spacing w:line="360" w:lineRule="auto"/>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（10）紫外线消毒系统</w:t>
      </w:r>
      <w:bookmarkEnd w:id="549"/>
    </w:p>
    <w:p w14:paraId="53F86185">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紫外线消毒系统由设备供应商提供控制策略。</w:t>
      </w:r>
    </w:p>
    <w:p w14:paraId="5369FB1F">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PLC控制柜通过光纤以太网和中控室上位机进行通讯。紫外线消毒系统PLC柜的主要监控信号有：每一支紫外光灭菌灯开熄情况（ON/OFF）；每一支紫外光灯管的总运行时间（小时）；每一支紫外光灯组的总运行时间（小时）；每一支紫外光灯组运行/停止（次）；柜内的工作温度、电压、电流；系统故障报警，紧急关机信号；整个系统紫外光强度信号等。</w:t>
      </w:r>
      <w:bookmarkStart w:id="550" w:name="_Toc419661395"/>
    </w:p>
    <w:p w14:paraId="0C9128DC">
      <w:pPr>
        <w:spacing w:line="360" w:lineRule="auto"/>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（11）回用水泵</w:t>
      </w:r>
      <w:bookmarkEnd w:id="550"/>
    </w:p>
    <w:p w14:paraId="6F83041A">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回用水泵现场控制箱面板上设“手动/自动”转换开关。“手动”状态下，由控制箱面板上的按钮控制水泵的运行；“自动”状态下，由所在单体的现场控制站（PLC）控制水泵的运行。</w:t>
      </w:r>
    </w:p>
    <w:p w14:paraId="03D668A9">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PLC对水泵现场控制箱的监控信号有：</w:t>
      </w:r>
    </w:p>
    <w:p w14:paraId="1F3A2F4A">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1）电机运行/停止状态</w:t>
      </w:r>
    </w:p>
    <w:p w14:paraId="39B5A109">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2）电机总故障保护动作状态</w:t>
      </w:r>
    </w:p>
    <w:p w14:paraId="734BE5DE">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3）电机手动/自动控制状态</w:t>
      </w:r>
    </w:p>
    <w:p w14:paraId="7372E913">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4）电机运行/停止命令</w:t>
      </w:r>
      <w:bookmarkStart w:id="551" w:name="_Toc419661396"/>
    </w:p>
    <w:p w14:paraId="482CD288">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5）电机的本次运行时间、累计运行时间</w:t>
      </w:r>
    </w:p>
    <w:p w14:paraId="63AB2DC9">
      <w:pPr>
        <w:spacing w:line="360" w:lineRule="auto"/>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（12）</w:t>
      </w:r>
      <w:bookmarkEnd w:id="551"/>
      <w:r>
        <w:rPr>
          <w:rFonts w:hint="eastAsia" w:ascii="Times New Roman" w:hAnsi="Times New Roman" w:eastAsia="宋体" w:cs="宋体"/>
          <w:bCs/>
          <w:color w:val="auto"/>
          <w:kern w:val="0"/>
          <w:szCs w:val="18"/>
          <w:highlight w:val="none"/>
        </w:rPr>
        <w:t>精密过滤池系统设备</w:t>
      </w:r>
    </w:p>
    <w:p w14:paraId="55FDAB62">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szCs w:val="21"/>
          <w:highlight w:val="none"/>
        </w:rPr>
        <w:t>精密过滤池</w:t>
      </w:r>
      <w:r>
        <w:rPr>
          <w:rFonts w:hint="eastAsia" w:ascii="Times New Roman" w:hAnsi="Times New Roman" w:eastAsia="宋体" w:cs="宋体"/>
          <w:color w:val="auto"/>
          <w:kern w:val="0"/>
          <w:szCs w:val="21"/>
          <w:highlight w:val="none"/>
        </w:rPr>
        <w:t>系统由设备供应商提供控制策略。</w:t>
      </w:r>
    </w:p>
    <w:p w14:paraId="56C4D878">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PLC对精密过滤池系统设备的监控信号有：</w:t>
      </w:r>
    </w:p>
    <w:p w14:paraId="17EA13E8">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1）电机运行/停止状态</w:t>
      </w:r>
    </w:p>
    <w:p w14:paraId="67051EB6">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2）电机总故障保护动作状态</w:t>
      </w:r>
    </w:p>
    <w:p w14:paraId="69290E80">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3）电机手动/自动控制状态</w:t>
      </w:r>
    </w:p>
    <w:p w14:paraId="59353864">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4）电机运行/停止命令</w:t>
      </w:r>
      <w:bookmarkStart w:id="552" w:name="_Toc419661397"/>
    </w:p>
    <w:p w14:paraId="2132C043">
      <w:pPr>
        <w:spacing w:line="360" w:lineRule="auto"/>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（13）加药系统</w:t>
      </w:r>
    </w:p>
    <w:p w14:paraId="1F118ACB">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加药系统由设备供应商提供控制策略。</w:t>
      </w:r>
    </w:p>
    <w:p w14:paraId="50BC0558">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PLC控制柜通过光纤以太网和中控室上位机进行通讯。加药系统PLC柜的主要信号有：</w:t>
      </w:r>
    </w:p>
    <w:p w14:paraId="61EF7EC4">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1）电机运行/停止状态</w:t>
      </w:r>
    </w:p>
    <w:p w14:paraId="28D4457B">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2）电机总故障保护动作状态</w:t>
      </w:r>
    </w:p>
    <w:p w14:paraId="75CF2BF1">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3）电机手动/自动控制状态</w:t>
      </w:r>
    </w:p>
    <w:p w14:paraId="68449766">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4）电机运行/停止命令</w:t>
      </w:r>
    </w:p>
    <w:p w14:paraId="045A18F2">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5）变频电机运行频率（按招标人要求）显示与设定</w:t>
      </w:r>
    </w:p>
    <w:p w14:paraId="2111304E">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6）药罐、药池的液位信号</w:t>
      </w:r>
    </w:p>
    <w:p w14:paraId="36AC2B26">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7）电磁流量计的瞬时流量/累计流量信号</w:t>
      </w:r>
    </w:p>
    <w:p w14:paraId="0AD737E4">
      <w:pPr>
        <w:spacing w:line="360" w:lineRule="auto"/>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（14）阀门、闸门</w:t>
      </w:r>
    </w:p>
    <w:p w14:paraId="403ACD52">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PLC对生产工艺阀门、闸门的监控信号有：</w:t>
      </w:r>
    </w:p>
    <w:p w14:paraId="4337A8DC">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1）现场、远程控制状态</w:t>
      </w:r>
    </w:p>
    <w:p w14:paraId="1E46A263">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2）电动调节阀的开度反馈信号（仅对于有开度调节的阀门）</w:t>
      </w:r>
    </w:p>
    <w:p w14:paraId="5157A12E">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3）闸门开到位、关到位信号</w:t>
      </w:r>
    </w:p>
    <w:p w14:paraId="14ACB0BF">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4）闸门开过程信号、关过程信号</w:t>
      </w:r>
    </w:p>
    <w:p w14:paraId="0001349D">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5）闸门开阀、关阀命令</w:t>
      </w:r>
    </w:p>
    <w:p w14:paraId="53339C49">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6）闸门停开、停关命令</w:t>
      </w:r>
    </w:p>
    <w:p w14:paraId="3CC4D7E2">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7）每台电动调节阀的开度设置信号（仅对于有开度调节的阀门）</w:t>
      </w:r>
    </w:p>
    <w:p w14:paraId="62C4AEA0">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szCs w:val="21"/>
          <w:highlight w:val="none"/>
        </w:rPr>
        <w:t>8）阀门故障信号</w:t>
      </w:r>
    </w:p>
    <w:p w14:paraId="286671A5">
      <w:pPr>
        <w:spacing w:line="360" w:lineRule="auto"/>
        <w:rPr>
          <w:rFonts w:ascii="Times New Roman" w:hAnsi="Times New Roman" w:eastAsia="宋体" w:cs="宋体"/>
          <w:bCs/>
          <w:color w:val="auto"/>
          <w:kern w:val="0"/>
          <w:szCs w:val="18"/>
          <w:highlight w:val="none"/>
        </w:rPr>
      </w:pPr>
      <w:r>
        <w:rPr>
          <w:rFonts w:hint="eastAsia" w:ascii="Times New Roman" w:hAnsi="Times New Roman" w:eastAsia="宋体" w:cs="宋体"/>
          <w:bCs/>
          <w:color w:val="auto"/>
          <w:kern w:val="0"/>
          <w:szCs w:val="18"/>
          <w:highlight w:val="none"/>
        </w:rPr>
        <w:t>（15）高、低压配电间</w:t>
      </w:r>
      <w:bookmarkEnd w:id="552"/>
    </w:p>
    <w:p w14:paraId="53293AB4">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配电间设有高压开关柜综合保护器、低压开关柜综合保护器、直流屏保护装置、变压器温度保护装置。上述仪表支持MODBUS通信。</w:t>
      </w:r>
    </w:p>
    <w:p w14:paraId="77442E98">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PLC必须采集所有经MODBUS通信能采集到的信号和数据，并且所有采集数据刷新时间不能大于5秒。</w:t>
      </w:r>
    </w:p>
    <w:p w14:paraId="575906F3">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电力监控系统需采集的数据有：</w:t>
      </w:r>
    </w:p>
    <w:p w14:paraId="679471E9">
      <w:pPr>
        <w:snapToGrid w:val="0"/>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高压配电柜：</w:t>
      </w:r>
    </w:p>
    <w:p w14:paraId="13EFBD6C">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1）相电压：A相电压、B相电压、C相电压</w:t>
      </w:r>
    </w:p>
    <w:p w14:paraId="16E60E81">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2）线电压：AB相电压、BC相电压、CA相电压</w:t>
      </w:r>
    </w:p>
    <w:p w14:paraId="34823585">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3）电流：A相电流、B相电流、C相电流</w:t>
      </w:r>
    </w:p>
    <w:p w14:paraId="119A778D">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4）有功功率：A相有功功率、B相有功功率、C相有功功率、总有功功率</w:t>
      </w:r>
    </w:p>
    <w:p w14:paraId="0B865C9C">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5）无功功率：A相无功功率、B相无功功率、C相无功功率、总无功功率</w:t>
      </w:r>
    </w:p>
    <w:p w14:paraId="185C2B7A">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6）视在功率：A相视在功率、B相视在功率、C相视在功率、总视在功率</w:t>
      </w:r>
    </w:p>
    <w:p w14:paraId="06295686">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7）功率因数：A功率因数、B功率因数、C功率因数、总功率因数</w:t>
      </w:r>
    </w:p>
    <w:p w14:paraId="26910F3C">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8）有功电度</w:t>
      </w:r>
    </w:p>
    <w:p w14:paraId="0A690931">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9）无功电度</w:t>
      </w:r>
    </w:p>
    <w:p w14:paraId="649134BD">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10）总电度</w:t>
      </w:r>
    </w:p>
    <w:p w14:paraId="6ED11BD6">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11）频率</w:t>
      </w:r>
    </w:p>
    <w:p w14:paraId="09047F06">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12）总谐波失真</w:t>
      </w:r>
    </w:p>
    <w:p w14:paraId="03E7EC37">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13）断路器远方、就地控制信号；</w:t>
      </w:r>
    </w:p>
    <w:p w14:paraId="0DC96F59">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14）断路器、接地开关、小车等位置、储能机构监视；各种事故，预告信号报警和闭锁功能；断路器动作计数；跳闸回路监视。</w:t>
      </w:r>
    </w:p>
    <w:p w14:paraId="5F167805">
      <w:pPr>
        <w:snapToGrid w:val="0"/>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补偿柜：</w:t>
      </w:r>
    </w:p>
    <w:p w14:paraId="72E406DB">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1）1）相电压：A相电压、B相电压、C相电压</w:t>
      </w:r>
    </w:p>
    <w:p w14:paraId="3B9594AD">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2）线电压：AB相电压、BC相电压、CA相电压</w:t>
      </w:r>
    </w:p>
    <w:p w14:paraId="5F3F493B">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3）电流：A相电流、B相电流、C相电流</w:t>
      </w:r>
    </w:p>
    <w:p w14:paraId="74A28DF3">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4）有功功率：A相有功功率、B相有功功率、C相有功功率、总有功功率</w:t>
      </w:r>
    </w:p>
    <w:p w14:paraId="3337FA75">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5）无功功率：A相无功功率、B相无功功率、C相无功功率、总无功功率</w:t>
      </w:r>
    </w:p>
    <w:p w14:paraId="5F019B18">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6）视在功率：A相视在功率、B相视在功率、C相视在功率、总视在功率</w:t>
      </w:r>
    </w:p>
    <w:p w14:paraId="06E4A72C">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7）功率因数：A功率因数、B功率因数、C功率因数、总功率因数</w:t>
      </w:r>
    </w:p>
    <w:p w14:paraId="3D61B70E">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8）有功电度、无功电度、总电度</w:t>
      </w:r>
    </w:p>
    <w:p w14:paraId="2B5D1957">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9）频率</w:t>
      </w:r>
    </w:p>
    <w:p w14:paraId="69178935">
      <w:pPr>
        <w:snapToGrid w:val="0"/>
        <w:spacing w:line="360" w:lineRule="auto"/>
        <w:ind w:firstLine="420" w:firstLineChars="200"/>
        <w:rPr>
          <w:rFonts w:ascii="Times New Roman" w:hAnsi="Times New Roman" w:eastAsia="宋体" w:cs="Times New Roman"/>
          <w:color w:val="auto"/>
          <w:sz w:val="22"/>
          <w:highlight w:val="none"/>
        </w:rPr>
      </w:pPr>
      <w:r>
        <w:rPr>
          <w:rFonts w:hint="eastAsia" w:ascii="Times New Roman" w:hAnsi="Times New Roman" w:eastAsia="宋体" w:cs="宋体"/>
          <w:color w:val="auto"/>
          <w:szCs w:val="21"/>
          <w:highlight w:val="none"/>
        </w:rPr>
        <w:t>10）</w:t>
      </w:r>
      <w:r>
        <w:rPr>
          <w:rFonts w:hint="eastAsia" w:ascii="Times New Roman" w:hAnsi="Times New Roman" w:eastAsia="宋体" w:cs="Times New Roman"/>
          <w:color w:val="auto"/>
          <w:sz w:val="22"/>
          <w:highlight w:val="none"/>
        </w:rPr>
        <w:t>投入段数，故障段数、各段电容器运行时间和投切次数</w:t>
      </w:r>
    </w:p>
    <w:p w14:paraId="17C600B9">
      <w:pPr>
        <w:snapToGrid w:val="0"/>
        <w:spacing w:line="360" w:lineRule="auto"/>
        <w:ind w:firstLine="440" w:firstLineChars="200"/>
        <w:rPr>
          <w:rFonts w:ascii="Times New Roman" w:hAnsi="Times New Roman" w:eastAsia="宋体" w:cs="宋体"/>
          <w:color w:val="auto"/>
          <w:szCs w:val="21"/>
          <w:highlight w:val="none"/>
        </w:rPr>
      </w:pPr>
      <w:r>
        <w:rPr>
          <w:rFonts w:hint="eastAsia" w:ascii="Times New Roman" w:hAnsi="Times New Roman" w:eastAsia="宋体" w:cs="Times New Roman"/>
          <w:color w:val="auto"/>
          <w:sz w:val="22"/>
          <w:highlight w:val="none"/>
        </w:rPr>
        <w:t>11）各次谐波电压畸变率</w:t>
      </w:r>
      <w:r>
        <w:rPr>
          <w:rFonts w:ascii="Times New Roman" w:hAnsi="Times New Roman" w:eastAsia="宋体" w:cs="Times New Roman"/>
          <w:color w:val="auto"/>
          <w:sz w:val="22"/>
          <w:highlight w:val="none"/>
        </w:rPr>
        <w:t>THD_V</w:t>
      </w:r>
      <w:r>
        <w:rPr>
          <w:rFonts w:hint="eastAsia" w:ascii="Times New Roman" w:hAnsi="Times New Roman" w:eastAsia="宋体" w:cs="Times New Roman"/>
          <w:color w:val="auto"/>
          <w:sz w:val="22"/>
          <w:highlight w:val="none"/>
        </w:rPr>
        <w:t>和谐波电流畸变率</w:t>
      </w:r>
      <w:r>
        <w:rPr>
          <w:rFonts w:ascii="Times New Roman" w:hAnsi="Times New Roman" w:eastAsia="宋体" w:cs="Times New Roman"/>
          <w:color w:val="auto"/>
          <w:sz w:val="22"/>
          <w:highlight w:val="none"/>
        </w:rPr>
        <w:t>THD_I</w:t>
      </w:r>
    </w:p>
    <w:p w14:paraId="566F0622">
      <w:pPr>
        <w:snapToGrid w:val="0"/>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断路器：</w:t>
      </w:r>
    </w:p>
    <w:p w14:paraId="58B0BB38">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1）相电压：A相电压、B相电压、C相电压</w:t>
      </w:r>
    </w:p>
    <w:p w14:paraId="7309256A">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2）线电压：AB相电压、BC相电压、CA相电压</w:t>
      </w:r>
    </w:p>
    <w:p w14:paraId="21419974">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3）电流：A相电流、B相电流、C相电流</w:t>
      </w:r>
    </w:p>
    <w:p w14:paraId="4078A6C3">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4）有功功率：A相有功功率、B相有功功率、C相有功功率、总有功功率</w:t>
      </w:r>
    </w:p>
    <w:p w14:paraId="351FB5A5">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5）无功功率：A相无功功率、B相无功功率、C相无功功率、总无功功率</w:t>
      </w:r>
    </w:p>
    <w:p w14:paraId="01CAA2C6">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6）视在功率：A相视在功率、B相视在功率、C相视在功率、总视在功率</w:t>
      </w:r>
    </w:p>
    <w:p w14:paraId="38AC86B2">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7）功率因数：A功率因数、B功率因数、C功率因数、总功率因数</w:t>
      </w:r>
    </w:p>
    <w:p w14:paraId="3B16E0F1">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8）有功电度</w:t>
      </w:r>
    </w:p>
    <w:p w14:paraId="3B16B2B0">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9）无功电度</w:t>
      </w:r>
    </w:p>
    <w:p w14:paraId="7E1AB0ED">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10）总电度</w:t>
      </w:r>
    </w:p>
    <w:p w14:paraId="740680EE">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11）频率</w:t>
      </w:r>
    </w:p>
    <w:p w14:paraId="3A2680CF">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12）总谐波失真</w:t>
      </w:r>
    </w:p>
    <w:p w14:paraId="0E88BB6B">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13）最近十次脱扣和报警记录</w:t>
      </w:r>
    </w:p>
    <w:p w14:paraId="708D05D1">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14）接地故障电流</w:t>
      </w:r>
    </w:p>
    <w:p w14:paraId="1A8F4403">
      <w:pPr>
        <w:snapToGrid w:val="0"/>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低压配电柜智能电表：</w:t>
      </w:r>
    </w:p>
    <w:p w14:paraId="383F6DBC">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1）相电压：A相电压、B相电压、C相电压</w:t>
      </w:r>
    </w:p>
    <w:p w14:paraId="59A2704E">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2）线电压：AB相电压、BC相电压、CA相电压</w:t>
      </w:r>
    </w:p>
    <w:p w14:paraId="474D6FD2">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3）电流：A相电流、B相电流、C相电流</w:t>
      </w:r>
    </w:p>
    <w:p w14:paraId="3B68DCD9">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4）有功功率：A相有功功率、B相有功功率、C相有功功率、总有功功率</w:t>
      </w:r>
    </w:p>
    <w:p w14:paraId="4E48A1A9">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5）无功功率：A相无功功率、B相无功功率、C相无功功率、总无功功率</w:t>
      </w:r>
    </w:p>
    <w:p w14:paraId="7D5A49D2">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6）视在功率：A相视在功率、B相视在功率、C相视在功率、总视在功率</w:t>
      </w:r>
    </w:p>
    <w:p w14:paraId="0945136E">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7）功率因数：A功率因数、B功率因数、C功率因数、总功率因数</w:t>
      </w:r>
    </w:p>
    <w:p w14:paraId="528771F3">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8）有功电度</w:t>
      </w:r>
    </w:p>
    <w:p w14:paraId="28EC759E">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9）无功电度</w:t>
      </w:r>
    </w:p>
    <w:p w14:paraId="40E95A12">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10）总电度</w:t>
      </w:r>
    </w:p>
    <w:p w14:paraId="3C32BF5B">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11）频率</w:t>
      </w:r>
    </w:p>
    <w:p w14:paraId="03AA71F8">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12）总谐波失真</w:t>
      </w:r>
    </w:p>
    <w:p w14:paraId="264F8646">
      <w:pPr>
        <w:snapToGrid w:val="0"/>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变压器温控表：</w:t>
      </w:r>
    </w:p>
    <w:p w14:paraId="42ACC874">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1）三相绕组工作温度；</w:t>
      </w:r>
    </w:p>
    <w:p w14:paraId="196CC152">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2）风机运行状态；</w:t>
      </w:r>
    </w:p>
    <w:p w14:paraId="379F9DFC">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3）风机运行、停止命令；</w:t>
      </w:r>
    </w:p>
    <w:p w14:paraId="7D043890">
      <w:pPr>
        <w:snapToGrid w:val="0"/>
        <w:spacing w:line="360" w:lineRule="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（16）智滤池系统（包括但不限于以下信号，以招标人中控室现有系统为准）</w:t>
      </w:r>
    </w:p>
    <w:p w14:paraId="29738990">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1）小车开关不能及时闭合故障汇总；</w:t>
      </w:r>
    </w:p>
    <w:p w14:paraId="47425C00">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2）设备升降开关不能及时闭合故障汇总；</w:t>
      </w:r>
    </w:p>
    <w:p w14:paraId="4ACF1703">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3）智动定停开关不能及时闭合故障汇总；</w:t>
      </w:r>
    </w:p>
    <w:p w14:paraId="6BB2233E">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4）排渣阀全开/关不及时闭合故障汇总；</w:t>
      </w:r>
    </w:p>
    <w:p w14:paraId="73B2F3F9">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5）设备运行感应开关不及时断开故障汇；</w:t>
      </w:r>
    </w:p>
    <w:p w14:paraId="6875AC88">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6）大车开关不能及时断开故障汇总；</w:t>
      </w:r>
    </w:p>
    <w:p w14:paraId="31A1C5D4">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7）小车开关不能及时断开故障汇总；</w:t>
      </w:r>
    </w:p>
    <w:p w14:paraId="765248E5">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8）设备升降开关不能及时断开故障汇总；</w:t>
      </w:r>
    </w:p>
    <w:p w14:paraId="59601EA7">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9）排渣阀全开/关不及时断开故障汇总；</w:t>
      </w:r>
    </w:p>
    <w:p w14:paraId="1C615730">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10）排渣阀全开/关不及时断开故障汇总；</w:t>
      </w:r>
    </w:p>
    <w:p w14:paraId="44D76ED7">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11）设备运行感应开关不及时闭合故障汇；</w:t>
      </w:r>
    </w:p>
    <w:p w14:paraId="3A3257C1">
      <w:pPr>
        <w:snapToGrid w:val="0"/>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宋体"/>
          <w:color w:val="auto"/>
          <w:szCs w:val="21"/>
          <w:highlight w:val="none"/>
        </w:rPr>
        <w:t>12）大车开关不能及时闭合故障汇总；</w:t>
      </w:r>
    </w:p>
    <w:p w14:paraId="60AE2C17">
      <w:pPr>
        <w:snapToGrid w:val="0"/>
        <w:spacing w:line="360" w:lineRule="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（17）曲线报表系统</w:t>
      </w:r>
    </w:p>
    <w:p w14:paraId="17FF09A5">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中控室上位机有系统、完善的曲线与报表系统，包括各水质分析参数、设备运行参数的历史曲线、运行报表，以满足污水处理厂的运行监控要求。</w:t>
      </w:r>
    </w:p>
    <w:p w14:paraId="7773FC0B">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2.4.2.16视频集成</w:t>
      </w:r>
    </w:p>
    <w:p w14:paraId="7DCF111F">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支持集成</w:t>
      </w:r>
      <w:r>
        <w:rPr>
          <w:rFonts w:hint="eastAsia" w:ascii="Times New Roman" w:hAnsi="Times New Roman" w:eastAsia="宋体" w:cs="Times New Roman"/>
          <w:color w:val="auto"/>
          <w:szCs w:val="28"/>
          <w:highlight w:val="none"/>
        </w:rPr>
        <w:t>污水处理厂及提标项目</w:t>
      </w:r>
      <w:r>
        <w:rPr>
          <w:rFonts w:ascii="Times New Roman" w:hAnsi="Times New Roman" w:eastAsia="宋体" w:cs="Times New Roman"/>
          <w:color w:val="auto"/>
          <w:szCs w:val="28"/>
          <w:highlight w:val="none"/>
        </w:rPr>
        <w:t>的视频监控系统，通过调用视频监控，用户可以实时查看水厂各个</w:t>
      </w:r>
      <w:r>
        <w:rPr>
          <w:rFonts w:hint="eastAsia" w:ascii="Times New Roman" w:hAnsi="Times New Roman" w:eastAsia="宋体" w:cs="Times New Roman"/>
          <w:color w:val="auto"/>
          <w:szCs w:val="28"/>
          <w:highlight w:val="none"/>
        </w:rPr>
        <w:t>设备、</w:t>
      </w:r>
      <w:r>
        <w:rPr>
          <w:rFonts w:ascii="Times New Roman" w:hAnsi="Times New Roman" w:eastAsia="宋体" w:cs="Times New Roman"/>
          <w:color w:val="auto"/>
          <w:szCs w:val="28"/>
          <w:highlight w:val="none"/>
        </w:rPr>
        <w:t>工艺段的</w:t>
      </w:r>
      <w:r>
        <w:rPr>
          <w:rFonts w:hint="eastAsia" w:ascii="Times New Roman" w:hAnsi="Times New Roman" w:eastAsia="宋体" w:cs="Times New Roman"/>
          <w:color w:val="auto"/>
          <w:szCs w:val="28"/>
          <w:highlight w:val="none"/>
        </w:rPr>
        <w:t>实时</w:t>
      </w:r>
      <w:r>
        <w:rPr>
          <w:rFonts w:ascii="Times New Roman" w:hAnsi="Times New Roman" w:eastAsia="宋体" w:cs="Times New Roman"/>
          <w:color w:val="auto"/>
          <w:szCs w:val="28"/>
          <w:highlight w:val="none"/>
        </w:rPr>
        <w:t>视频图像，以确保生产流程控制的稳定性和安全性。这种集成化的解决方案</w:t>
      </w:r>
      <w:r>
        <w:rPr>
          <w:rFonts w:hint="eastAsia" w:ascii="Times New Roman" w:hAnsi="Times New Roman" w:eastAsia="宋体" w:cs="Times New Roman"/>
          <w:color w:val="auto"/>
          <w:szCs w:val="28"/>
          <w:highlight w:val="none"/>
        </w:rPr>
        <w:t>应</w:t>
      </w:r>
      <w:r>
        <w:rPr>
          <w:rFonts w:ascii="Times New Roman" w:hAnsi="Times New Roman" w:eastAsia="宋体" w:cs="Times New Roman"/>
          <w:color w:val="auto"/>
          <w:szCs w:val="28"/>
          <w:highlight w:val="none"/>
        </w:rPr>
        <w:t>与工艺数据展示画面结合在一起，实现信息共享和综合展示。</w:t>
      </w:r>
    </w:p>
    <w:p w14:paraId="5C9707CC">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通过这种集成，用户可以通过点击</w:t>
      </w:r>
      <w:r>
        <w:rPr>
          <w:rFonts w:hint="eastAsia" w:ascii="Times New Roman" w:hAnsi="Times New Roman" w:eastAsia="宋体" w:cs="Times New Roman"/>
          <w:color w:val="auto"/>
          <w:szCs w:val="28"/>
          <w:highlight w:val="none"/>
        </w:rPr>
        <w:t>对应</w:t>
      </w:r>
      <w:r>
        <w:rPr>
          <w:rFonts w:ascii="Times New Roman" w:hAnsi="Times New Roman" w:eastAsia="宋体" w:cs="Times New Roman"/>
          <w:color w:val="auto"/>
          <w:szCs w:val="28"/>
          <w:highlight w:val="none"/>
        </w:rPr>
        <w:t>设备</w:t>
      </w:r>
      <w:r>
        <w:rPr>
          <w:rFonts w:hint="eastAsia" w:ascii="Times New Roman" w:hAnsi="Times New Roman" w:eastAsia="宋体" w:cs="Times New Roman"/>
          <w:color w:val="auto"/>
          <w:szCs w:val="28"/>
          <w:highlight w:val="none"/>
        </w:rPr>
        <w:t>、工艺段的控制面板</w:t>
      </w:r>
      <w:r>
        <w:rPr>
          <w:rFonts w:ascii="Times New Roman" w:hAnsi="Times New Roman" w:eastAsia="宋体" w:cs="Times New Roman"/>
          <w:color w:val="auto"/>
          <w:szCs w:val="28"/>
          <w:highlight w:val="none"/>
        </w:rPr>
        <w:t>打开视频窗口，实现在同一个平台上全面了解水厂的工艺状况和实时视频监控情况。系统能够自动将视频监控数据与工艺数据进行同步关联，使得管理人员可以更快速地获取关键信息，提高决策效率和响应速度。</w:t>
      </w:r>
    </w:p>
    <w:p w14:paraId="4F4C0EAB">
      <w:pPr>
        <w:spacing w:line="360" w:lineRule="auto"/>
        <w:ind w:firstLine="420" w:firstLineChars="200"/>
        <w:rPr>
          <w:rFonts w:ascii="Times New Roman" w:hAnsi="Times New Roman" w:eastAsia="宋体" w:cs="Times New Roman"/>
          <w:color w:val="auto"/>
          <w:szCs w:val="28"/>
          <w:highlight w:val="none"/>
        </w:rPr>
      </w:pPr>
      <w:r>
        <w:rPr>
          <w:rFonts w:hint="eastAsia" w:ascii="Times New Roman" w:hAnsi="Times New Roman" w:eastAsia="宋体" w:cs="Times New Roman"/>
          <w:color w:val="auto"/>
          <w:szCs w:val="28"/>
          <w:highlight w:val="none"/>
        </w:rPr>
        <w:t>此外，视频功能还需实现报警联动、智能弹出等，并且能配合相机的智能功能例如区域识别、人体识别等，对设备进行智能监控。</w:t>
      </w:r>
    </w:p>
    <w:p w14:paraId="275118C2">
      <w:pPr>
        <w:spacing w:line="360" w:lineRule="auto"/>
        <w:ind w:firstLine="420" w:firstLineChars="200"/>
        <w:rPr>
          <w:rFonts w:ascii="Times New Roman" w:hAnsi="Times New Roman" w:eastAsia="宋体" w:cs="Times New Roman"/>
          <w:color w:val="auto"/>
          <w:szCs w:val="28"/>
          <w:highlight w:val="none"/>
        </w:rPr>
      </w:pPr>
      <w:r>
        <w:rPr>
          <w:rFonts w:hint="eastAsia" w:ascii="Times New Roman" w:hAnsi="Times New Roman" w:eastAsia="宋体" w:cs="Times New Roman"/>
          <w:color w:val="auto"/>
          <w:szCs w:val="28"/>
          <w:highlight w:val="none"/>
        </w:rPr>
        <w:t>本项目视频监控画面来源于招标人提供的视频管理应用。</w:t>
      </w:r>
    </w:p>
    <w:p w14:paraId="489C4E97">
      <w:pPr>
        <w:spacing w:line="360" w:lineRule="auto"/>
        <w:ind w:firstLine="420" w:firstLineChars="200"/>
        <w:rPr>
          <w:rFonts w:ascii="Times New Roman" w:hAnsi="Times New Roman" w:eastAsia="宋体" w:cs="Times New Roman"/>
          <w:color w:val="auto"/>
          <w:szCs w:val="28"/>
          <w:highlight w:val="none"/>
        </w:rPr>
      </w:pPr>
      <w:r>
        <w:rPr>
          <w:rFonts w:hint="eastAsia" w:ascii="Times New Roman" w:hAnsi="Times New Roman" w:eastAsia="宋体" w:cs="Times New Roman"/>
          <w:color w:val="auto"/>
          <w:szCs w:val="28"/>
          <w:highlight w:val="none"/>
        </w:rPr>
        <w:t>视频嵌入的最终效果以招标人实际要求为准。</w:t>
      </w:r>
    </w:p>
    <w:p w14:paraId="059937AA">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2.4.2.17系统管理</w:t>
      </w:r>
    </w:p>
    <w:p w14:paraId="40C6387D">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系统管理主要针对系统的操作控制等权限进行管理划分。主要功能</w:t>
      </w:r>
      <w:r>
        <w:rPr>
          <w:rFonts w:hint="eastAsia" w:ascii="Times New Roman" w:hAnsi="Times New Roman" w:eastAsia="宋体" w:cs="Times New Roman"/>
          <w:color w:val="auto"/>
          <w:szCs w:val="28"/>
          <w:highlight w:val="none"/>
        </w:rPr>
        <w:t>分为</w:t>
      </w:r>
      <w:r>
        <w:rPr>
          <w:rFonts w:ascii="Times New Roman" w:hAnsi="Times New Roman" w:eastAsia="宋体" w:cs="Times New Roman"/>
          <w:color w:val="auto"/>
          <w:szCs w:val="28"/>
          <w:highlight w:val="none"/>
        </w:rPr>
        <w:t>用户管理、角色管理、登录日志、操作日志。</w:t>
      </w:r>
    </w:p>
    <w:p w14:paraId="62C71226">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（1）用户管理</w:t>
      </w:r>
    </w:p>
    <w:p w14:paraId="54E47E12">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用户管理主要功能是对用户进行增加、删除、修改密码、修改信息、查询等操作。</w:t>
      </w:r>
    </w:p>
    <w:p w14:paraId="30F59B3A">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（2）角色管理</w:t>
      </w:r>
    </w:p>
    <w:p w14:paraId="66B8C272">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角色管理主要功能是对用户的权限进行修改。</w:t>
      </w:r>
      <w:r>
        <w:rPr>
          <w:rFonts w:hint="eastAsia" w:ascii="Times New Roman" w:hAnsi="Times New Roman" w:eastAsia="宋体" w:cs="Times New Roman"/>
          <w:color w:val="auto"/>
          <w:szCs w:val="28"/>
          <w:highlight w:val="none"/>
        </w:rPr>
        <w:t>将集控系统不同角色账号的安全权限根据等级进行详细划分，</w:t>
      </w:r>
      <w:r>
        <w:rPr>
          <w:rFonts w:ascii="Times New Roman" w:hAnsi="Times New Roman" w:eastAsia="宋体" w:cs="Times New Roman"/>
          <w:color w:val="auto"/>
          <w:szCs w:val="28"/>
          <w:highlight w:val="none"/>
        </w:rPr>
        <w:t>针对不同</w:t>
      </w:r>
      <w:r>
        <w:rPr>
          <w:rFonts w:hint="eastAsia" w:ascii="Times New Roman" w:hAnsi="Times New Roman" w:eastAsia="宋体" w:cs="Times New Roman"/>
          <w:color w:val="auto"/>
          <w:szCs w:val="28"/>
          <w:highlight w:val="none"/>
        </w:rPr>
        <w:t>角色、不同等级</w:t>
      </w:r>
      <w:r>
        <w:rPr>
          <w:rFonts w:ascii="Times New Roman" w:hAnsi="Times New Roman" w:eastAsia="宋体" w:cs="Times New Roman"/>
          <w:color w:val="auto"/>
          <w:szCs w:val="28"/>
          <w:highlight w:val="none"/>
        </w:rPr>
        <w:t>的员工，</w:t>
      </w:r>
      <w:r>
        <w:rPr>
          <w:rFonts w:hint="eastAsia" w:ascii="Times New Roman" w:hAnsi="Times New Roman" w:eastAsia="宋体" w:cs="Times New Roman"/>
          <w:color w:val="auto"/>
          <w:szCs w:val="28"/>
          <w:highlight w:val="none"/>
        </w:rPr>
        <w:t>给予</w:t>
      </w:r>
      <w:r>
        <w:rPr>
          <w:rFonts w:ascii="Times New Roman" w:hAnsi="Times New Roman" w:eastAsia="宋体" w:cs="Times New Roman"/>
          <w:color w:val="auto"/>
          <w:szCs w:val="28"/>
          <w:highlight w:val="none"/>
        </w:rPr>
        <w:t>其不同的权限。操作方法为，按照画面、区域位置、管理等级等</w:t>
      </w:r>
      <w:r>
        <w:rPr>
          <w:rFonts w:hint="eastAsia" w:ascii="Times New Roman" w:hAnsi="Times New Roman" w:eastAsia="宋体" w:cs="Times New Roman"/>
          <w:color w:val="auto"/>
          <w:szCs w:val="28"/>
          <w:highlight w:val="none"/>
        </w:rPr>
        <w:t>多种不同</w:t>
      </w:r>
      <w:r>
        <w:rPr>
          <w:rFonts w:ascii="Times New Roman" w:hAnsi="Times New Roman" w:eastAsia="宋体" w:cs="Times New Roman"/>
          <w:color w:val="auto"/>
          <w:szCs w:val="28"/>
          <w:highlight w:val="none"/>
        </w:rPr>
        <w:t>维度将权限分配给用户，即可达到权限分配的目的。</w:t>
      </w:r>
    </w:p>
    <w:p w14:paraId="22891FD1">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同时对应的角色不同，登录系统后可操作的功能菜单也不同，用户登录后，系统根据用户的角色信息自动生成左侧的菜单栏。</w:t>
      </w:r>
    </w:p>
    <w:p w14:paraId="1FBEEA88">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一般只有管理员用户具备角色管理的权限。</w:t>
      </w:r>
    </w:p>
    <w:p w14:paraId="392CB7E2">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（3）登录日志</w:t>
      </w:r>
    </w:p>
    <w:p w14:paraId="3A316127">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系统为管理人员提供登录日志的功能，可以按照部门、人员、职务、登录时间等条件查询用户的登录记录。</w:t>
      </w:r>
    </w:p>
    <w:p w14:paraId="693EF59E">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（4）操作日志</w:t>
      </w:r>
    </w:p>
    <w:p w14:paraId="05316291">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系统提供操作日志的功能，主要针对系统内某些需要权限或者比较重要的模块，例如报警配置、设备控制、参数设定等。系统可以将操作人员、操作时间、操作对象、操作员电脑IP等信息记录下来。便于后续出现问题时针对性的进行历史追溯。</w:t>
      </w:r>
    </w:p>
    <w:p w14:paraId="16B60BAC">
      <w:pPr>
        <w:snapToGrid w:val="0"/>
        <w:spacing w:line="360" w:lineRule="auto"/>
        <w:outlineLvl w:val="5"/>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2.4.2.18系统性能</w:t>
      </w:r>
    </w:p>
    <w:p w14:paraId="4ABF506A">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系统可靠性：</w:t>
      </w:r>
    </w:p>
    <w:p w14:paraId="232A4040">
      <w:pPr>
        <w:snapToGrid w:val="0"/>
        <w:spacing w:line="360" w:lineRule="auto"/>
        <w:ind w:firstLine="422" w:firstLineChars="200"/>
        <w:rPr>
          <w:rFonts w:ascii="Times New Roman" w:hAnsi="Times New Roman" w:eastAsia="宋体" w:cs="宋体"/>
          <w:b/>
          <w:color w:val="auto"/>
          <w:szCs w:val="21"/>
          <w:highlight w:val="none"/>
        </w:rPr>
      </w:pPr>
      <w:r>
        <w:rPr>
          <w:rFonts w:ascii="Times New Roman" w:hAnsi="Times New Roman" w:eastAsia="宋体" w:cs="Times New Roman"/>
          <w:b/>
          <w:bCs/>
          <w:color w:val="auto"/>
          <w:szCs w:val="21"/>
          <w:highlight w:val="none"/>
        </w:rPr>
        <w:t>★</w:t>
      </w:r>
      <w:r>
        <w:rPr>
          <w:rFonts w:hint="eastAsia" w:ascii="Times New Roman" w:hAnsi="Times New Roman" w:eastAsia="宋体" w:cs="宋体"/>
          <w:b/>
          <w:color w:val="auto"/>
          <w:szCs w:val="21"/>
          <w:highlight w:val="none"/>
        </w:rPr>
        <w:t>要求系统在现网生产环境下7×24小时运行，平均重大故障时间间隔必须大于365日；通过性能监测、系统巡检等方式，及时发现并避免系统故障。</w:t>
      </w:r>
    </w:p>
    <w:p w14:paraId="7F2FCFEF">
      <w:pPr>
        <w:snapToGrid w:val="0"/>
        <w:spacing w:line="360" w:lineRule="auto"/>
        <w:ind w:firstLine="422" w:firstLineChars="200"/>
        <w:rPr>
          <w:rFonts w:ascii="Times New Roman" w:hAnsi="Times New Roman" w:eastAsia="宋体" w:cs="宋体"/>
          <w:b/>
          <w:color w:val="auto"/>
          <w:szCs w:val="21"/>
          <w:highlight w:val="none"/>
        </w:rPr>
      </w:pPr>
      <w:r>
        <w:rPr>
          <w:rFonts w:ascii="Times New Roman" w:hAnsi="Times New Roman" w:eastAsia="宋体" w:cs="Times New Roman"/>
          <w:b/>
          <w:color w:val="auto"/>
          <w:szCs w:val="21"/>
          <w:highlight w:val="none"/>
        </w:rPr>
        <w:t>★</w:t>
      </w:r>
      <w:r>
        <w:rPr>
          <w:rFonts w:hint="eastAsia" w:ascii="Times New Roman" w:hAnsi="Times New Roman" w:eastAsia="宋体" w:cs="宋体"/>
          <w:b/>
          <w:color w:val="auto"/>
          <w:szCs w:val="21"/>
          <w:highlight w:val="none"/>
        </w:rPr>
        <w:t>总体可用率&gt;99.8%，数据库应用可用率≥99.8%，软件应用可用率≥99.9%（或7×24小时不间断运行）；</w:t>
      </w:r>
    </w:p>
    <w:p w14:paraId="1EC285A3">
      <w:pPr>
        <w:snapToGrid w:val="0"/>
        <w:spacing w:line="360" w:lineRule="auto"/>
        <w:ind w:firstLine="422" w:firstLineChars="200"/>
        <w:rPr>
          <w:rFonts w:ascii="Times New Roman" w:hAnsi="Times New Roman" w:eastAsia="宋体" w:cs="宋体"/>
          <w:b/>
          <w:color w:val="auto"/>
          <w:szCs w:val="21"/>
          <w:highlight w:val="none"/>
        </w:rPr>
      </w:pPr>
      <w:r>
        <w:rPr>
          <w:rFonts w:ascii="Times New Roman" w:hAnsi="Times New Roman" w:eastAsia="宋体" w:cs="Times New Roman"/>
          <w:b/>
          <w:color w:val="auto"/>
          <w:szCs w:val="21"/>
          <w:highlight w:val="none"/>
        </w:rPr>
        <w:t>★</w:t>
      </w:r>
      <w:r>
        <w:rPr>
          <w:rFonts w:hint="eastAsia" w:ascii="Times New Roman" w:hAnsi="Times New Roman" w:eastAsia="宋体" w:cs="宋体"/>
          <w:b/>
          <w:color w:val="auto"/>
          <w:szCs w:val="21"/>
          <w:highlight w:val="none"/>
        </w:rPr>
        <w:t>系统影响的功能不可使用的次数不超过3次/年，且平均修复时间在4小时以内；意外死机次数每年不超过1 次；因软件问题导致的操作失败率不超过0.1％；</w:t>
      </w:r>
    </w:p>
    <w:p w14:paraId="44F08556">
      <w:pPr>
        <w:snapToGrid w:val="0"/>
        <w:spacing w:line="360" w:lineRule="auto"/>
        <w:ind w:firstLine="422" w:firstLineChars="200"/>
        <w:rPr>
          <w:rFonts w:ascii="Times New Roman" w:hAnsi="Times New Roman" w:eastAsia="宋体" w:cs="宋体"/>
          <w:b/>
          <w:color w:val="auto"/>
          <w:szCs w:val="21"/>
          <w:highlight w:val="none"/>
        </w:rPr>
      </w:pPr>
      <w:r>
        <w:rPr>
          <w:rFonts w:ascii="Times New Roman" w:hAnsi="Times New Roman" w:eastAsia="宋体" w:cs="Times New Roman"/>
          <w:b/>
          <w:color w:val="auto"/>
          <w:szCs w:val="21"/>
          <w:highlight w:val="none"/>
        </w:rPr>
        <w:t>★</w:t>
      </w:r>
      <w:r>
        <w:rPr>
          <w:rFonts w:hint="eastAsia" w:ascii="Times New Roman" w:hAnsi="Times New Roman" w:eastAsia="宋体" w:cs="宋体"/>
          <w:b/>
          <w:color w:val="auto"/>
          <w:szCs w:val="21"/>
          <w:highlight w:val="none"/>
        </w:rPr>
        <w:t>报警响应时间：t ≤1 s； 查询响应时间：t ≤5 s； 实时数据更新时间：t ≤1s；控制指令的响应时间：t ≤1s；计算机画面的切换时间：t ≤1s，报表查询响应时间：t ≤5 s，短期趋势曲线查询时间：t ≤5 s，长期趋势曲线查询时间：t ≤15 s，不允许出现黑屏。</w:t>
      </w:r>
    </w:p>
    <w:p w14:paraId="219C07CA">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系统安全性</w:t>
      </w:r>
    </w:p>
    <w:p w14:paraId="77E538E4">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本期项目是对东莞市石鼓净水有限公司的污水处理厂及提标项目进行监视和远程控制，其敏感信息较多，不可避免地面临着众多安全威胁。系统的安全风险主要体现在生产数据被非法使用，控制信号被篡改等方面。</w:t>
      </w:r>
    </w:p>
    <w:p w14:paraId="2610FB54">
      <w:pPr>
        <w:snapToGrid w:val="0"/>
        <w:spacing w:line="360" w:lineRule="auto"/>
        <w:ind w:firstLine="420" w:firstLineChars="200"/>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需要根据项目特点，按照信息安全等级保护二级的相关指标，提供有针对性的安全保护措施方案，以保障系统的安全运行。配合系统等级保护测评工作，确保系统通过信息安全等级保护二级测评。</w:t>
      </w:r>
    </w:p>
    <w:p w14:paraId="208CB70F">
      <w:pPr>
        <w:snapToGrid w:val="0"/>
        <w:spacing w:line="360" w:lineRule="auto"/>
        <w:outlineLvl w:val="2"/>
        <w:rPr>
          <w:rFonts w:ascii="Times New Roman" w:hAnsi="Times New Roman" w:eastAsia="宋体" w:cs="宋体"/>
          <w:b/>
          <w:color w:val="auto"/>
          <w:kern w:val="0"/>
          <w:szCs w:val="18"/>
          <w:highlight w:val="none"/>
        </w:rPr>
      </w:pPr>
      <w:bookmarkStart w:id="553" w:name="_Toc195714313"/>
      <w:bookmarkStart w:id="554" w:name="_Toc16668"/>
      <w:r>
        <w:rPr>
          <w:rFonts w:hint="eastAsia" w:ascii="Times New Roman" w:hAnsi="Times New Roman" w:eastAsia="宋体" w:cs="宋体"/>
          <w:b/>
          <w:color w:val="auto"/>
          <w:kern w:val="0"/>
          <w:szCs w:val="18"/>
          <w:highlight w:val="none"/>
        </w:rPr>
        <w:t>2.4.3数据采集系统</w:t>
      </w:r>
      <w:bookmarkEnd w:id="553"/>
      <w:bookmarkEnd w:id="554"/>
    </w:p>
    <w:p w14:paraId="0ABB9016">
      <w:pPr>
        <w:spacing w:line="360" w:lineRule="auto"/>
        <w:ind w:firstLine="420" w:firstLineChars="200"/>
        <w:rPr>
          <w:rFonts w:ascii="Times New Roman" w:hAnsi="Times New Roman" w:eastAsia="宋体" w:cs="Times New Roman"/>
          <w:color w:val="auto"/>
          <w:szCs w:val="28"/>
          <w:highlight w:val="none"/>
        </w:rPr>
      </w:pPr>
      <w:r>
        <w:rPr>
          <w:rFonts w:hint="eastAsia" w:ascii="Times New Roman" w:hAnsi="Times New Roman" w:eastAsia="宋体" w:cs="Times New Roman"/>
          <w:color w:val="auto"/>
          <w:szCs w:val="28"/>
          <w:highlight w:val="none"/>
        </w:rPr>
        <w:t>本项目</w:t>
      </w:r>
      <w:r>
        <w:rPr>
          <w:rFonts w:ascii="Times New Roman" w:hAnsi="Times New Roman" w:eastAsia="宋体" w:cs="Times New Roman"/>
          <w:color w:val="auto"/>
          <w:szCs w:val="28"/>
          <w:highlight w:val="none"/>
        </w:rPr>
        <w:t>现场数据采集点需完成37个污水厂和21个提标项目所有的数据采集和上传服务。</w:t>
      </w:r>
    </w:p>
    <w:p w14:paraId="79C0C653">
      <w:pPr>
        <w:spacing w:line="360" w:lineRule="auto"/>
        <w:ind w:firstLine="420" w:firstLineChars="200"/>
        <w:rPr>
          <w:rFonts w:ascii="Times New Roman" w:hAnsi="Times New Roman" w:eastAsia="宋体" w:cs="Times New Roman"/>
          <w:color w:val="auto"/>
          <w:szCs w:val="28"/>
          <w:highlight w:val="none"/>
        </w:rPr>
      </w:pPr>
      <w:r>
        <w:rPr>
          <w:rFonts w:hint="eastAsia" w:ascii="Times New Roman" w:hAnsi="Times New Roman" w:eastAsia="宋体" w:cs="Times New Roman"/>
          <w:color w:val="auto"/>
          <w:szCs w:val="28"/>
          <w:highlight w:val="none"/>
        </w:rPr>
        <w:t>在37个污水处理厂及21个</w:t>
      </w:r>
      <w:r>
        <w:rPr>
          <w:rFonts w:ascii="Times New Roman" w:hAnsi="Times New Roman" w:eastAsia="宋体" w:cs="Times New Roman"/>
          <w:color w:val="auto"/>
          <w:szCs w:val="28"/>
          <w:highlight w:val="none"/>
        </w:rPr>
        <w:t>提标项目的现场数据采集点分别安装一台数据采集服务器，将所有</w:t>
      </w:r>
      <w:r>
        <w:rPr>
          <w:rFonts w:hint="eastAsia" w:ascii="Times New Roman" w:hAnsi="Times New Roman" w:eastAsia="宋体" w:cs="Times New Roman"/>
          <w:color w:val="auto"/>
          <w:szCs w:val="28"/>
          <w:highlight w:val="none"/>
        </w:rPr>
        <w:t>污水项目</w:t>
      </w:r>
      <w:r>
        <w:rPr>
          <w:rFonts w:ascii="Times New Roman" w:hAnsi="Times New Roman" w:eastAsia="宋体" w:cs="Times New Roman"/>
          <w:color w:val="auto"/>
          <w:szCs w:val="28"/>
          <w:highlight w:val="none"/>
        </w:rPr>
        <w:t>数据采集整理后通过OPC协议上传至SCADA服务器和</w:t>
      </w:r>
      <w:r>
        <w:rPr>
          <w:rFonts w:hint="eastAsia" w:ascii="Times New Roman" w:hAnsi="Times New Roman" w:eastAsia="宋体" w:cs="Times New Roman"/>
          <w:color w:val="auto"/>
          <w:szCs w:val="28"/>
          <w:highlight w:val="none"/>
        </w:rPr>
        <w:t>数据服务器</w:t>
      </w:r>
      <w:r>
        <w:rPr>
          <w:rFonts w:ascii="Times New Roman" w:hAnsi="Times New Roman" w:eastAsia="宋体" w:cs="Times New Roman"/>
          <w:color w:val="auto"/>
          <w:szCs w:val="28"/>
          <w:highlight w:val="none"/>
        </w:rPr>
        <w:t>，数据采集服务器应具备读写PLC变量的功能，并且支持断网续传。</w:t>
      </w:r>
    </w:p>
    <w:p w14:paraId="4CC82123">
      <w:pPr>
        <w:spacing w:line="360" w:lineRule="auto"/>
        <w:ind w:firstLine="420" w:firstLineChars="200"/>
        <w:rPr>
          <w:rFonts w:ascii="Times New Roman" w:hAnsi="Times New Roman" w:eastAsia="宋体" w:cs="Times New Roman"/>
          <w:color w:val="auto"/>
          <w:szCs w:val="28"/>
          <w:highlight w:val="none"/>
        </w:rPr>
      </w:pPr>
      <w:r>
        <w:rPr>
          <w:rFonts w:hint="eastAsia" w:ascii="Times New Roman" w:hAnsi="Times New Roman" w:eastAsia="宋体" w:cs="Times New Roman"/>
          <w:color w:val="auto"/>
          <w:szCs w:val="28"/>
          <w:highlight w:val="none"/>
        </w:rPr>
        <w:t>数据采集系统通过消息队列将</w:t>
      </w:r>
      <w:r>
        <w:rPr>
          <w:rFonts w:ascii="Times New Roman" w:hAnsi="Times New Roman" w:eastAsia="宋体" w:cs="Times New Roman"/>
          <w:color w:val="auto"/>
          <w:szCs w:val="28"/>
          <w:highlight w:val="none"/>
        </w:rPr>
        <w:t>37个污水厂和21个提标项目所有的</w:t>
      </w:r>
      <w:r>
        <w:rPr>
          <w:rFonts w:hint="eastAsia" w:ascii="Times New Roman" w:hAnsi="Times New Roman" w:eastAsia="宋体" w:cs="Times New Roman"/>
          <w:color w:val="auto"/>
          <w:szCs w:val="28"/>
          <w:highlight w:val="none"/>
        </w:rPr>
        <w:t>工艺参数打包传输至生产运营管理平台或招标人其他信息化系统，</w:t>
      </w:r>
      <w:r>
        <w:rPr>
          <w:rFonts w:hint="eastAsia" w:ascii="Times New Roman" w:hAnsi="Times New Roman" w:eastAsia="宋体" w:cs="Times New Roman"/>
          <w:bCs/>
          <w:color w:val="auto"/>
          <w:kern w:val="0"/>
          <w:szCs w:val="21"/>
          <w:highlight w:val="none"/>
        </w:rPr>
        <w:t>并且由中标人编制、提供规范化的工艺参数变量表，最终数据传输的格式、数量、频率等以招标人实际要求为准。</w:t>
      </w:r>
    </w:p>
    <w:p w14:paraId="5DADAAEB">
      <w:pPr>
        <w:spacing w:line="360" w:lineRule="auto"/>
        <w:ind w:firstLine="422" w:firstLineChars="200"/>
        <w:rPr>
          <w:rFonts w:ascii="Times New Roman" w:hAnsi="Times New Roman" w:eastAsia="宋体" w:cs="Times New Roman"/>
          <w:b/>
          <w:color w:val="auto"/>
          <w:szCs w:val="28"/>
          <w:highlight w:val="none"/>
        </w:rPr>
      </w:pPr>
      <w:r>
        <w:rPr>
          <w:rFonts w:hint="eastAsia" w:ascii="Times New Roman" w:hAnsi="Times New Roman" w:eastAsia="宋体" w:cs="Times New Roman"/>
          <w:b/>
          <w:color w:val="auto"/>
          <w:szCs w:val="28"/>
          <w:highlight w:val="none"/>
        </w:rPr>
        <w:t>（1）</w:t>
      </w:r>
      <w:r>
        <w:rPr>
          <w:rFonts w:ascii="Times New Roman" w:hAnsi="Times New Roman" w:eastAsia="宋体" w:cs="Times New Roman"/>
          <w:b/>
          <w:color w:val="auto"/>
          <w:szCs w:val="28"/>
          <w:highlight w:val="none"/>
        </w:rPr>
        <w:t>数据采集与传输</w:t>
      </w:r>
    </w:p>
    <w:p w14:paraId="5802C3E6">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数据采集服务器采集</w:t>
      </w:r>
      <w:r>
        <w:rPr>
          <w:rFonts w:hint="eastAsia" w:ascii="Times New Roman" w:hAnsi="Times New Roman" w:eastAsia="宋体" w:cs="Times New Roman"/>
          <w:color w:val="auto"/>
          <w:szCs w:val="28"/>
          <w:highlight w:val="none"/>
        </w:rPr>
        <w:t>污水处理厂及提标项目的</w:t>
      </w:r>
      <w:r>
        <w:rPr>
          <w:rFonts w:ascii="Times New Roman" w:hAnsi="Times New Roman" w:eastAsia="宋体" w:cs="Times New Roman"/>
          <w:color w:val="auto"/>
          <w:szCs w:val="28"/>
          <w:highlight w:val="none"/>
        </w:rPr>
        <w:t>所有数据，提供</w:t>
      </w:r>
      <w:r>
        <w:rPr>
          <w:rFonts w:hint="eastAsia" w:ascii="Times New Roman" w:hAnsi="Times New Roman" w:eastAsia="宋体" w:cs="Times New Roman"/>
          <w:color w:val="auto"/>
          <w:szCs w:val="28"/>
          <w:highlight w:val="none"/>
        </w:rPr>
        <w:t>全部主流</w:t>
      </w:r>
      <w:r>
        <w:rPr>
          <w:rFonts w:ascii="Times New Roman" w:hAnsi="Times New Roman" w:eastAsia="宋体" w:cs="Times New Roman"/>
          <w:color w:val="auto"/>
          <w:szCs w:val="28"/>
          <w:highlight w:val="none"/>
        </w:rPr>
        <w:t>厂商多种设备的通讯驱动，支持智能模块、仪表、RTU、PLC等各类国内外厂商设备，提供以太网、串口、总线、无线等多种通讯方式，同时确保数据的实时性和稳定性。</w:t>
      </w:r>
    </w:p>
    <w:p w14:paraId="6F2167CE">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系统支持灵活的数据采集方式控制，提供用户周期数据采集、数据变化采集等各种采集方式控制，支持用户为不同的设备设置不同的采集频率。在</w:t>
      </w:r>
      <w:r>
        <w:rPr>
          <w:rFonts w:hint="eastAsia" w:ascii="Times New Roman" w:hAnsi="Times New Roman" w:eastAsia="宋体" w:cs="Times New Roman"/>
          <w:color w:val="auto"/>
          <w:szCs w:val="28"/>
          <w:highlight w:val="none"/>
        </w:rPr>
        <w:t>污水处理厂及</w:t>
      </w:r>
      <w:r>
        <w:rPr>
          <w:rFonts w:ascii="Times New Roman" w:hAnsi="Times New Roman" w:eastAsia="宋体" w:cs="Times New Roman"/>
          <w:color w:val="auto"/>
          <w:szCs w:val="28"/>
          <w:highlight w:val="none"/>
        </w:rPr>
        <w:t>提标项目</w:t>
      </w:r>
      <w:r>
        <w:rPr>
          <w:rFonts w:hint="eastAsia" w:ascii="Times New Roman" w:hAnsi="Times New Roman" w:eastAsia="宋体" w:cs="Times New Roman"/>
          <w:color w:val="auto"/>
          <w:szCs w:val="28"/>
          <w:highlight w:val="none"/>
        </w:rPr>
        <w:t>至调度指挥中心</w:t>
      </w:r>
      <w:r>
        <w:rPr>
          <w:rFonts w:ascii="Times New Roman" w:hAnsi="Times New Roman" w:eastAsia="宋体" w:cs="Times New Roman"/>
          <w:color w:val="auto"/>
          <w:szCs w:val="28"/>
          <w:highlight w:val="none"/>
        </w:rPr>
        <w:t>网络异常时可将数据缓存在本地数据采集服务器，待网络恢复后自动同步缓存的数据，可确保数据的完整性。</w:t>
      </w:r>
    </w:p>
    <w:p w14:paraId="75A42E3F">
      <w:pPr>
        <w:spacing w:line="360" w:lineRule="auto"/>
        <w:ind w:firstLine="422" w:firstLineChars="200"/>
        <w:rPr>
          <w:rFonts w:ascii="Times New Roman" w:hAnsi="Times New Roman" w:eastAsia="宋体" w:cs="Times New Roman"/>
          <w:b/>
          <w:color w:val="auto"/>
          <w:szCs w:val="24"/>
          <w:highlight w:val="none"/>
        </w:rPr>
      </w:pPr>
      <w:r>
        <w:rPr>
          <w:rFonts w:hint="eastAsia" w:ascii="Times New Roman" w:hAnsi="Times New Roman" w:eastAsia="宋体" w:cs="Times New Roman"/>
          <w:b/>
          <w:color w:val="auto"/>
          <w:szCs w:val="24"/>
          <w:highlight w:val="none"/>
        </w:rPr>
        <w:t>（2）</w:t>
      </w:r>
      <w:r>
        <w:rPr>
          <w:rFonts w:ascii="Times New Roman" w:hAnsi="Times New Roman" w:eastAsia="宋体" w:cs="Times New Roman"/>
          <w:b/>
          <w:color w:val="auto"/>
          <w:szCs w:val="24"/>
          <w:highlight w:val="none"/>
        </w:rPr>
        <w:t>历史断点续传采集</w:t>
      </w:r>
    </w:p>
    <w:p w14:paraId="6C956587">
      <w:pPr>
        <w:spacing w:line="360" w:lineRule="auto"/>
        <w:ind w:firstLine="420" w:firstLineChars="200"/>
        <w:rPr>
          <w:rFonts w:ascii="Times New Roman" w:hAnsi="Times New Roman" w:eastAsia="宋体" w:cs="Times New Roman"/>
          <w:color w:val="auto"/>
          <w:szCs w:val="28"/>
          <w:highlight w:val="none"/>
        </w:rPr>
      </w:pPr>
      <w:r>
        <w:rPr>
          <w:rFonts w:hint="eastAsia" w:ascii="Times New Roman" w:hAnsi="Times New Roman" w:eastAsia="宋体" w:cs="Times New Roman"/>
          <w:color w:val="auto"/>
          <w:szCs w:val="28"/>
          <w:highlight w:val="none"/>
        </w:rPr>
        <w:t>调度指挥中心的主要</w:t>
      </w:r>
      <w:r>
        <w:rPr>
          <w:rFonts w:ascii="Times New Roman" w:hAnsi="Times New Roman" w:eastAsia="宋体" w:cs="Times New Roman"/>
          <w:color w:val="auto"/>
          <w:szCs w:val="28"/>
          <w:highlight w:val="none"/>
        </w:rPr>
        <w:t>功能</w:t>
      </w:r>
      <w:r>
        <w:rPr>
          <w:rFonts w:hint="eastAsia" w:ascii="Times New Roman" w:hAnsi="Times New Roman" w:eastAsia="宋体" w:cs="Times New Roman"/>
          <w:color w:val="auto"/>
          <w:szCs w:val="28"/>
          <w:highlight w:val="none"/>
        </w:rPr>
        <w:t>之一</w:t>
      </w:r>
      <w:r>
        <w:rPr>
          <w:rFonts w:ascii="Times New Roman" w:hAnsi="Times New Roman" w:eastAsia="宋体" w:cs="Times New Roman"/>
          <w:color w:val="auto"/>
          <w:szCs w:val="28"/>
          <w:highlight w:val="none"/>
        </w:rPr>
        <w:t>是汇总所有污水厂站的数据，</w:t>
      </w:r>
      <w:r>
        <w:rPr>
          <w:rFonts w:hint="eastAsia" w:ascii="Times New Roman" w:hAnsi="Times New Roman" w:eastAsia="宋体" w:cs="Times New Roman"/>
          <w:color w:val="auto"/>
          <w:szCs w:val="28"/>
          <w:highlight w:val="none"/>
        </w:rPr>
        <w:t>在遇到</w:t>
      </w:r>
      <w:r>
        <w:rPr>
          <w:rFonts w:ascii="Times New Roman" w:hAnsi="Times New Roman" w:eastAsia="宋体" w:cs="Times New Roman"/>
          <w:color w:val="auto"/>
          <w:szCs w:val="28"/>
          <w:highlight w:val="none"/>
        </w:rPr>
        <w:t>网络不稳定</w:t>
      </w:r>
      <w:r>
        <w:rPr>
          <w:rFonts w:hint="eastAsia" w:ascii="Times New Roman" w:hAnsi="Times New Roman" w:eastAsia="宋体" w:cs="Times New Roman"/>
          <w:color w:val="auto"/>
          <w:szCs w:val="28"/>
          <w:highlight w:val="none"/>
        </w:rPr>
        <w:t>的情况下也需</w:t>
      </w:r>
      <w:r>
        <w:rPr>
          <w:rFonts w:ascii="Times New Roman" w:hAnsi="Times New Roman" w:eastAsia="宋体" w:cs="Times New Roman"/>
          <w:color w:val="auto"/>
          <w:szCs w:val="28"/>
          <w:highlight w:val="none"/>
        </w:rPr>
        <w:t>保证数据的完整与安全。</w:t>
      </w:r>
    </w:p>
    <w:p w14:paraId="11040CB2">
      <w:pPr>
        <w:spacing w:line="360" w:lineRule="auto"/>
        <w:ind w:firstLine="420" w:firstLineChars="200"/>
        <w:rPr>
          <w:rFonts w:ascii="Times New Roman" w:hAnsi="Times New Roman" w:eastAsia="宋体" w:cs="宋体"/>
          <w:color w:val="auto"/>
          <w:szCs w:val="21"/>
          <w:highlight w:val="none"/>
        </w:rPr>
      </w:pPr>
      <w:r>
        <w:rPr>
          <w:rFonts w:ascii="Times New Roman" w:hAnsi="Times New Roman" w:eastAsia="宋体" w:cs="Times New Roman"/>
          <w:color w:val="auto"/>
          <w:szCs w:val="28"/>
          <w:highlight w:val="none"/>
        </w:rPr>
        <w:t>数据采集服务器直接把历史数据采集传输到</w:t>
      </w:r>
      <w:r>
        <w:rPr>
          <w:rFonts w:hint="eastAsia" w:ascii="Times New Roman" w:hAnsi="Times New Roman" w:eastAsia="宋体" w:cs="Times New Roman"/>
          <w:color w:val="auto"/>
          <w:szCs w:val="28"/>
          <w:highlight w:val="none"/>
        </w:rPr>
        <w:t>调度指挥中心</w:t>
      </w:r>
      <w:r>
        <w:rPr>
          <w:rFonts w:ascii="Times New Roman" w:hAnsi="Times New Roman" w:eastAsia="宋体" w:cs="Times New Roman"/>
          <w:color w:val="auto"/>
          <w:szCs w:val="28"/>
          <w:highlight w:val="none"/>
        </w:rPr>
        <w:t>的服务器中。数据采集服务器软件具有本地缓存、断点续传的强大功能。数据采集服务器将实时采集中心所需要的历史数据，并实时上传到中心的数据库中。当数据采集服务器与中心的数据传输网络出现中断时，历史数据将缓存到本地的数据采集服务器中，当网络恢复后，本地缓存的数据将逐步恢复到中心的数据库中。数据恢复时，软件将自动判断网络负载情况，合理分配恢复数据使用的带宽，并不会影响当前的数据使用与传输。</w:t>
      </w:r>
    </w:p>
    <w:p w14:paraId="28F89AF1">
      <w:pPr>
        <w:snapToGrid w:val="0"/>
        <w:spacing w:line="360" w:lineRule="auto"/>
        <w:outlineLvl w:val="2"/>
        <w:rPr>
          <w:rFonts w:ascii="Times New Roman" w:hAnsi="Times New Roman" w:eastAsia="宋体" w:cs="宋体"/>
          <w:color w:val="auto"/>
          <w:szCs w:val="21"/>
          <w:highlight w:val="none"/>
        </w:rPr>
      </w:pPr>
      <w:bookmarkStart w:id="555" w:name="_Toc195714314"/>
      <w:bookmarkStart w:id="556" w:name="_Toc5482"/>
      <w:r>
        <w:rPr>
          <w:rFonts w:hint="eastAsia" w:ascii="Times New Roman" w:hAnsi="Times New Roman" w:eastAsia="宋体" w:cs="宋体"/>
          <w:b/>
          <w:color w:val="auto"/>
          <w:kern w:val="0"/>
          <w:szCs w:val="18"/>
          <w:highlight w:val="none"/>
        </w:rPr>
        <w:t>2.4.4网络架构及安全</w:t>
      </w:r>
      <w:bookmarkEnd w:id="555"/>
      <w:bookmarkEnd w:id="556"/>
    </w:p>
    <w:p w14:paraId="5BED6AF9">
      <w:pPr>
        <w:spacing w:line="360" w:lineRule="auto"/>
        <w:outlineLvl w:val="5"/>
        <w:rPr>
          <w:rFonts w:ascii="Times New Roman" w:hAnsi="Times New Roman" w:eastAsia="宋体" w:cs="Times New Roman"/>
          <w:b/>
          <w:bCs/>
          <w:color w:val="auto"/>
          <w:szCs w:val="28"/>
          <w:highlight w:val="none"/>
        </w:rPr>
      </w:pPr>
      <w:r>
        <w:rPr>
          <w:rFonts w:hint="eastAsia" w:ascii="Times New Roman" w:hAnsi="Times New Roman" w:eastAsia="宋体" w:cs="Times New Roman"/>
          <w:b/>
          <w:bCs/>
          <w:color w:val="auto"/>
          <w:szCs w:val="28"/>
          <w:highlight w:val="none"/>
        </w:rPr>
        <w:t>2.4.4.1网络架构</w:t>
      </w:r>
    </w:p>
    <w:p w14:paraId="7F2EC3CC">
      <w:pPr>
        <w:numPr>
          <w:ilvl w:val="0"/>
          <w:numId w:val="30"/>
        </w:numPr>
        <w:spacing w:line="360" w:lineRule="auto"/>
        <w:ind w:firstLine="420" w:firstLineChars="200"/>
        <w:rPr>
          <w:rFonts w:ascii="Times New Roman" w:hAnsi="Times New Roman" w:eastAsia="宋体" w:cs="Times New Roman"/>
          <w:color w:val="auto"/>
          <w:szCs w:val="28"/>
          <w:highlight w:val="none"/>
        </w:rPr>
      </w:pPr>
      <w:r>
        <w:rPr>
          <w:rFonts w:hint="eastAsia" w:ascii="Times New Roman" w:hAnsi="Times New Roman" w:eastAsia="宋体" w:cs="Times New Roman"/>
          <w:color w:val="auto"/>
          <w:szCs w:val="28"/>
          <w:highlight w:val="none"/>
        </w:rPr>
        <w:t>整体架构：</w:t>
      </w:r>
      <w:r>
        <w:rPr>
          <w:rFonts w:ascii="Times New Roman" w:hAnsi="Times New Roman" w:eastAsia="宋体" w:cs="Times New Roman"/>
          <w:color w:val="auto"/>
          <w:szCs w:val="28"/>
          <w:highlight w:val="none"/>
        </w:rPr>
        <w:t>各</w:t>
      </w:r>
      <w:r>
        <w:rPr>
          <w:rFonts w:hint="eastAsia" w:ascii="Times New Roman" w:hAnsi="Times New Roman" w:eastAsia="宋体" w:cs="Times New Roman"/>
          <w:color w:val="auto"/>
          <w:szCs w:val="28"/>
          <w:highlight w:val="none"/>
        </w:rPr>
        <w:t>污水处理厂及</w:t>
      </w:r>
      <w:r>
        <w:rPr>
          <w:rFonts w:ascii="Times New Roman" w:hAnsi="Times New Roman" w:eastAsia="宋体" w:cs="Times New Roman"/>
          <w:color w:val="auto"/>
          <w:szCs w:val="28"/>
          <w:highlight w:val="none"/>
        </w:rPr>
        <w:t>提标项目、</w:t>
      </w:r>
      <w:r>
        <w:rPr>
          <w:rFonts w:hint="eastAsia" w:ascii="Times New Roman" w:hAnsi="Times New Roman" w:eastAsia="宋体" w:cs="Times New Roman"/>
          <w:color w:val="auto"/>
          <w:szCs w:val="28"/>
          <w:highlight w:val="none"/>
        </w:rPr>
        <w:t>调度指挥中心</w:t>
      </w:r>
      <w:r>
        <w:rPr>
          <w:rFonts w:ascii="Times New Roman" w:hAnsi="Times New Roman" w:eastAsia="宋体" w:cs="Times New Roman"/>
          <w:color w:val="auto"/>
          <w:szCs w:val="28"/>
          <w:highlight w:val="none"/>
        </w:rPr>
        <w:t>之间的数据采用</w:t>
      </w:r>
      <w:r>
        <w:rPr>
          <w:rFonts w:hint="eastAsia" w:ascii="Times New Roman" w:hAnsi="Times New Roman" w:eastAsia="宋体" w:cs="Times New Roman"/>
          <w:color w:val="auto"/>
          <w:szCs w:val="28"/>
          <w:highlight w:val="none"/>
        </w:rPr>
        <w:t>“</w:t>
      </w:r>
      <w:r>
        <w:rPr>
          <w:rFonts w:ascii="Times New Roman" w:hAnsi="Times New Roman" w:eastAsia="宋体" w:cs="Times New Roman"/>
          <w:color w:val="auto"/>
          <w:szCs w:val="28"/>
          <w:highlight w:val="none"/>
        </w:rPr>
        <w:t>光纤+5G</w:t>
      </w:r>
      <w:r>
        <w:rPr>
          <w:rFonts w:hint="eastAsia" w:ascii="Times New Roman" w:hAnsi="Times New Roman" w:eastAsia="宋体" w:cs="Times New Roman"/>
          <w:color w:val="auto"/>
          <w:szCs w:val="28"/>
          <w:highlight w:val="none"/>
        </w:rPr>
        <w:t>”</w:t>
      </w:r>
      <w:r>
        <w:rPr>
          <w:rFonts w:ascii="Times New Roman" w:hAnsi="Times New Roman" w:eastAsia="宋体" w:cs="Times New Roman"/>
          <w:color w:val="auto"/>
          <w:szCs w:val="28"/>
          <w:highlight w:val="none"/>
        </w:rPr>
        <w:t>冗余链路传输，其中光纤同时具有10M OTN</w:t>
      </w:r>
      <w:r>
        <w:rPr>
          <w:rFonts w:hint="eastAsia" w:ascii="Times New Roman" w:hAnsi="Times New Roman" w:eastAsia="宋体" w:cs="Times New Roman"/>
          <w:color w:val="auto"/>
          <w:szCs w:val="28"/>
          <w:highlight w:val="none"/>
        </w:rPr>
        <w:t>光纤专线</w:t>
      </w:r>
      <w:r>
        <w:rPr>
          <w:rFonts w:ascii="Times New Roman" w:hAnsi="Times New Roman" w:eastAsia="宋体" w:cs="Times New Roman"/>
          <w:color w:val="auto"/>
          <w:szCs w:val="28"/>
          <w:highlight w:val="none"/>
        </w:rPr>
        <w:t>和100M OTN</w:t>
      </w:r>
      <w:r>
        <w:rPr>
          <w:rFonts w:hint="eastAsia" w:ascii="Times New Roman" w:hAnsi="Times New Roman" w:eastAsia="宋体" w:cs="Times New Roman"/>
          <w:color w:val="auto"/>
          <w:szCs w:val="28"/>
          <w:highlight w:val="none"/>
        </w:rPr>
        <w:t>光纤专线</w:t>
      </w:r>
      <w:r>
        <w:rPr>
          <w:rFonts w:ascii="Times New Roman" w:hAnsi="Times New Roman" w:eastAsia="宋体" w:cs="Times New Roman"/>
          <w:color w:val="auto"/>
          <w:szCs w:val="28"/>
          <w:highlight w:val="none"/>
        </w:rPr>
        <w:t>两路，10M OTN光纤</w:t>
      </w:r>
      <w:r>
        <w:rPr>
          <w:rFonts w:hint="eastAsia" w:ascii="Times New Roman" w:hAnsi="Times New Roman" w:eastAsia="宋体" w:cs="Times New Roman"/>
          <w:color w:val="auto"/>
          <w:szCs w:val="28"/>
          <w:highlight w:val="none"/>
        </w:rPr>
        <w:t>专线负责</w:t>
      </w:r>
      <w:r>
        <w:rPr>
          <w:rFonts w:ascii="Times New Roman" w:hAnsi="Times New Roman" w:eastAsia="宋体" w:cs="Times New Roman"/>
          <w:color w:val="auto"/>
          <w:szCs w:val="28"/>
          <w:highlight w:val="none"/>
        </w:rPr>
        <w:t>传输自控数据，100M OTN光纤</w:t>
      </w:r>
      <w:r>
        <w:rPr>
          <w:rFonts w:hint="eastAsia" w:ascii="Times New Roman" w:hAnsi="Times New Roman" w:eastAsia="宋体" w:cs="Times New Roman"/>
          <w:color w:val="auto"/>
          <w:szCs w:val="28"/>
          <w:highlight w:val="none"/>
        </w:rPr>
        <w:t>专线负责</w:t>
      </w:r>
      <w:r>
        <w:rPr>
          <w:rFonts w:ascii="Times New Roman" w:hAnsi="Times New Roman" w:eastAsia="宋体" w:cs="Times New Roman"/>
          <w:color w:val="auto"/>
          <w:szCs w:val="28"/>
          <w:highlight w:val="none"/>
        </w:rPr>
        <w:t>传输视频数据</w:t>
      </w:r>
      <w:r>
        <w:rPr>
          <w:rFonts w:hint="eastAsia" w:ascii="Times New Roman" w:hAnsi="Times New Roman" w:eastAsia="宋体" w:cs="Times New Roman"/>
          <w:color w:val="auto"/>
          <w:szCs w:val="28"/>
          <w:highlight w:val="none"/>
        </w:rPr>
        <w:t>。</w:t>
      </w:r>
      <w:r>
        <w:rPr>
          <w:rFonts w:ascii="Times New Roman" w:hAnsi="Times New Roman" w:eastAsia="宋体" w:cs="Times New Roman"/>
          <w:color w:val="auto"/>
          <w:szCs w:val="28"/>
          <w:highlight w:val="none"/>
        </w:rPr>
        <w:t>同时</w:t>
      </w:r>
      <w:r>
        <w:rPr>
          <w:rFonts w:hint="eastAsia" w:ascii="Times New Roman" w:hAnsi="Times New Roman" w:eastAsia="宋体" w:cs="Times New Roman"/>
          <w:color w:val="auto"/>
          <w:szCs w:val="28"/>
          <w:highlight w:val="none"/>
        </w:rPr>
        <w:t>，</w:t>
      </w:r>
      <w:r>
        <w:rPr>
          <w:rFonts w:ascii="Times New Roman" w:hAnsi="Times New Roman" w:eastAsia="宋体" w:cs="Times New Roman"/>
          <w:color w:val="auto"/>
          <w:szCs w:val="28"/>
          <w:highlight w:val="none"/>
        </w:rPr>
        <w:t>100M光纤作为自控数据传输的备用链路，当10M OTN光纤</w:t>
      </w:r>
      <w:r>
        <w:rPr>
          <w:rFonts w:hint="eastAsia" w:ascii="Times New Roman" w:hAnsi="Times New Roman" w:eastAsia="宋体" w:cs="Times New Roman"/>
          <w:color w:val="auto"/>
          <w:szCs w:val="28"/>
          <w:highlight w:val="none"/>
        </w:rPr>
        <w:t>专线</w:t>
      </w:r>
      <w:r>
        <w:rPr>
          <w:rFonts w:ascii="Times New Roman" w:hAnsi="Times New Roman" w:eastAsia="宋体" w:cs="Times New Roman"/>
          <w:color w:val="auto"/>
          <w:szCs w:val="28"/>
          <w:highlight w:val="none"/>
        </w:rPr>
        <w:t>出问题时，可利用100M OTN光纤</w:t>
      </w:r>
      <w:r>
        <w:rPr>
          <w:rFonts w:hint="eastAsia" w:ascii="Times New Roman" w:hAnsi="Times New Roman" w:eastAsia="宋体" w:cs="Times New Roman"/>
          <w:color w:val="auto"/>
          <w:szCs w:val="28"/>
          <w:highlight w:val="none"/>
        </w:rPr>
        <w:t>专线</w:t>
      </w:r>
      <w:r>
        <w:rPr>
          <w:rFonts w:ascii="Times New Roman" w:hAnsi="Times New Roman" w:eastAsia="宋体" w:cs="Times New Roman"/>
          <w:color w:val="auto"/>
          <w:szCs w:val="28"/>
          <w:highlight w:val="none"/>
        </w:rPr>
        <w:t>传输自控数据。5G</w:t>
      </w:r>
      <w:r>
        <w:rPr>
          <w:rFonts w:hint="eastAsia" w:ascii="Times New Roman" w:hAnsi="Times New Roman" w:eastAsia="宋体" w:cs="Times New Roman"/>
          <w:color w:val="auto"/>
          <w:szCs w:val="28"/>
          <w:highlight w:val="none"/>
        </w:rPr>
        <w:t>物联网卡</w:t>
      </w:r>
      <w:r>
        <w:rPr>
          <w:rFonts w:ascii="Times New Roman" w:hAnsi="Times New Roman" w:eastAsia="宋体" w:cs="Times New Roman"/>
          <w:color w:val="auto"/>
          <w:szCs w:val="28"/>
          <w:highlight w:val="none"/>
        </w:rPr>
        <w:t>链路作为自控数据传输的备用链路，当</w:t>
      </w:r>
      <w:r>
        <w:rPr>
          <w:rFonts w:hint="eastAsia" w:ascii="Times New Roman" w:hAnsi="Times New Roman" w:eastAsia="宋体" w:cs="Times New Roman"/>
          <w:color w:val="auto"/>
          <w:szCs w:val="28"/>
          <w:highlight w:val="none"/>
        </w:rPr>
        <w:t>两路</w:t>
      </w:r>
      <w:r>
        <w:rPr>
          <w:rFonts w:ascii="Times New Roman" w:hAnsi="Times New Roman" w:eastAsia="宋体" w:cs="Times New Roman"/>
          <w:color w:val="auto"/>
          <w:szCs w:val="28"/>
          <w:highlight w:val="none"/>
        </w:rPr>
        <w:t>光纤</w:t>
      </w:r>
      <w:r>
        <w:rPr>
          <w:rFonts w:hint="eastAsia" w:ascii="Times New Roman" w:hAnsi="Times New Roman" w:eastAsia="宋体" w:cs="Times New Roman"/>
          <w:color w:val="auto"/>
          <w:szCs w:val="28"/>
          <w:highlight w:val="none"/>
        </w:rPr>
        <w:t>专线</w:t>
      </w:r>
      <w:r>
        <w:rPr>
          <w:rFonts w:ascii="Times New Roman" w:hAnsi="Times New Roman" w:eastAsia="宋体" w:cs="Times New Roman"/>
          <w:color w:val="auto"/>
          <w:szCs w:val="28"/>
          <w:highlight w:val="none"/>
        </w:rPr>
        <w:t>均出问题时，可利用5G</w:t>
      </w:r>
      <w:r>
        <w:rPr>
          <w:rFonts w:hint="eastAsia" w:ascii="Times New Roman" w:hAnsi="Times New Roman" w:eastAsia="宋体" w:cs="Times New Roman"/>
          <w:color w:val="auto"/>
          <w:szCs w:val="28"/>
          <w:highlight w:val="none"/>
        </w:rPr>
        <w:t>物联网卡</w:t>
      </w:r>
      <w:r>
        <w:rPr>
          <w:rFonts w:ascii="Times New Roman" w:hAnsi="Times New Roman" w:eastAsia="宋体" w:cs="Times New Roman"/>
          <w:color w:val="auto"/>
          <w:szCs w:val="28"/>
          <w:highlight w:val="none"/>
        </w:rPr>
        <w:t>链路传输自控数据。</w:t>
      </w:r>
    </w:p>
    <w:p w14:paraId="5B250E1F">
      <w:pPr>
        <w:numPr>
          <w:ilvl w:val="0"/>
          <w:numId w:val="30"/>
        </w:num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生产集中控制系统是基于汇聚分散的各水厂自控网络而建设的，在统一整合的自控网络环境下，采集各厂设备仪表信号，控制设备运行情况</w:t>
      </w:r>
      <w:r>
        <w:rPr>
          <w:rFonts w:hint="eastAsia" w:ascii="Times New Roman" w:hAnsi="Times New Roman" w:eastAsia="宋体" w:cs="Times New Roman"/>
          <w:color w:val="auto"/>
          <w:szCs w:val="28"/>
          <w:highlight w:val="none"/>
        </w:rPr>
        <w:t>，</w:t>
      </w:r>
      <w:r>
        <w:rPr>
          <w:rFonts w:ascii="Times New Roman" w:hAnsi="Times New Roman" w:eastAsia="宋体" w:cs="Times New Roman"/>
          <w:color w:val="auto"/>
          <w:szCs w:val="28"/>
          <w:highlight w:val="none"/>
        </w:rPr>
        <w:t>通过运营商的专线网络，区域内参与集控的各厂自控数据被汇聚在</w:t>
      </w:r>
      <w:r>
        <w:rPr>
          <w:rFonts w:hint="eastAsia" w:ascii="Times New Roman" w:hAnsi="Times New Roman" w:eastAsia="宋体" w:cs="Times New Roman"/>
          <w:color w:val="auto"/>
          <w:szCs w:val="28"/>
          <w:highlight w:val="none"/>
        </w:rPr>
        <w:t>石鼓</w:t>
      </w:r>
      <w:r>
        <w:rPr>
          <w:rFonts w:ascii="Times New Roman" w:hAnsi="Times New Roman" w:eastAsia="宋体" w:cs="Times New Roman"/>
          <w:color w:val="auto"/>
          <w:szCs w:val="28"/>
          <w:highlight w:val="none"/>
        </w:rPr>
        <w:t>公司的</w:t>
      </w:r>
      <w:r>
        <w:rPr>
          <w:rFonts w:hint="eastAsia" w:ascii="Times New Roman" w:hAnsi="Times New Roman" w:eastAsia="宋体" w:cs="Times New Roman"/>
          <w:color w:val="auto"/>
          <w:szCs w:val="28"/>
          <w:highlight w:val="none"/>
        </w:rPr>
        <w:t>集控</w:t>
      </w:r>
      <w:r>
        <w:rPr>
          <w:rFonts w:ascii="Times New Roman" w:hAnsi="Times New Roman" w:eastAsia="宋体" w:cs="Times New Roman"/>
          <w:color w:val="auto"/>
          <w:szCs w:val="28"/>
          <w:highlight w:val="none"/>
        </w:rPr>
        <w:t>中心。在生产集中控制系统的集中管控下，水厂设备的运行得以有效监管，并且实现对水厂设备的远程操作。数据采集方式通过以太网协议直接与PLC通讯，保证远程控制的稳定可靠。</w:t>
      </w:r>
    </w:p>
    <w:p w14:paraId="58ABBAE6">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为了保障系统运行安全可靠、生产运行数据记录完整，生产集中控制系统的电源和网络，均采用冗余的方式进行配置。各污水厂/提标项目、</w:t>
      </w:r>
      <w:r>
        <w:rPr>
          <w:rFonts w:hint="eastAsia" w:ascii="Times New Roman" w:hAnsi="Times New Roman" w:eastAsia="宋体" w:cs="Times New Roman"/>
          <w:color w:val="auto"/>
          <w:szCs w:val="28"/>
          <w:highlight w:val="none"/>
        </w:rPr>
        <w:t>集控</w:t>
      </w:r>
      <w:r>
        <w:rPr>
          <w:rFonts w:ascii="Times New Roman" w:hAnsi="Times New Roman" w:eastAsia="宋体" w:cs="Times New Roman"/>
          <w:color w:val="auto"/>
          <w:szCs w:val="28"/>
          <w:highlight w:val="none"/>
        </w:rPr>
        <w:t>中心分别通过专线光纤网络和5G网络相互之间互联互通，以完成各类数据及控制命令在SCADA系统之间的传送，并实现对多厂的集中控制操作，同时支持对账户管理权限动态调整。</w:t>
      </w:r>
    </w:p>
    <w:p w14:paraId="68295632">
      <w:pPr>
        <w:numPr>
          <w:ilvl w:val="255"/>
          <w:numId w:val="0"/>
        </w:numPr>
        <w:spacing w:line="360" w:lineRule="auto"/>
        <w:rPr>
          <w:rFonts w:ascii="Times New Roman" w:hAnsi="Times New Roman" w:eastAsia="宋体" w:cs="Times New Roman"/>
          <w:color w:val="auto"/>
          <w:szCs w:val="28"/>
          <w:highlight w:val="none"/>
        </w:rPr>
      </w:pPr>
    </w:p>
    <w:p w14:paraId="0C2C834E">
      <w:pPr>
        <w:numPr>
          <w:ilvl w:val="255"/>
          <w:numId w:val="0"/>
        </w:numPr>
        <w:spacing w:line="360" w:lineRule="auto"/>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drawing>
          <wp:inline distT="0" distB="0" distL="114300" distR="114300">
            <wp:extent cx="5132070" cy="4062095"/>
            <wp:effectExtent l="0" t="0" r="3810" b="6985"/>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
                    <pic:cNvPicPr>
                      <a:picLocks noChangeAspect="1"/>
                    </pic:cNvPicPr>
                  </pic:nvPicPr>
                  <pic:blipFill>
                    <a:blip r:embed="rId12"/>
                    <a:stretch>
                      <a:fillRect/>
                    </a:stretch>
                  </pic:blipFill>
                  <pic:spPr>
                    <a:xfrm>
                      <a:off x="0" y="0"/>
                      <a:ext cx="5132070" cy="4062095"/>
                    </a:xfrm>
                    <a:prstGeom prst="rect">
                      <a:avLst/>
                    </a:prstGeom>
                  </pic:spPr>
                </pic:pic>
              </a:graphicData>
            </a:graphic>
          </wp:inline>
        </w:drawing>
      </w:r>
    </w:p>
    <w:p w14:paraId="626F2FBB">
      <w:pPr>
        <w:numPr>
          <w:ilvl w:val="255"/>
          <w:numId w:val="0"/>
        </w:numPr>
        <w:spacing w:line="360"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图2.4.4.1-1 系统总体网络架构图</w:t>
      </w:r>
    </w:p>
    <w:p w14:paraId="21EF4F33">
      <w:pPr>
        <w:numPr>
          <w:ilvl w:val="0"/>
          <w:numId w:val="30"/>
        </w:numPr>
        <w:spacing w:line="360" w:lineRule="auto"/>
        <w:ind w:firstLine="420" w:firstLineChars="200"/>
        <w:rPr>
          <w:rFonts w:ascii="Times New Roman" w:hAnsi="Times New Roman" w:eastAsia="宋体" w:cs="Times New Roman"/>
          <w:color w:val="auto"/>
          <w:szCs w:val="28"/>
          <w:highlight w:val="none"/>
        </w:rPr>
      </w:pPr>
      <w:r>
        <w:rPr>
          <w:rFonts w:hint="eastAsia" w:ascii="Times New Roman" w:hAnsi="Times New Roman" w:eastAsia="宋体" w:cs="Times New Roman"/>
          <w:color w:val="auto"/>
          <w:szCs w:val="28"/>
          <w:highlight w:val="none"/>
        </w:rPr>
        <w:t>机房架构：1台服务器交换机与2台中心交换机通过光纤组成环网，12台服务器和2台磁盘阵列通过万兆光纤接口与服务器交换机连接，20台工作站、大屏控制器等其他设备接入中心交换机。</w:t>
      </w:r>
    </w:p>
    <w:p w14:paraId="526A3162">
      <w:pPr>
        <w:numPr>
          <w:ilvl w:val="0"/>
          <w:numId w:val="30"/>
        </w:numPr>
        <w:spacing w:line="360" w:lineRule="auto"/>
        <w:ind w:firstLine="420" w:firstLineChars="200"/>
        <w:rPr>
          <w:rFonts w:ascii="Times New Roman" w:hAnsi="Times New Roman" w:eastAsia="宋体" w:cs="Times New Roman"/>
          <w:color w:val="auto"/>
          <w:szCs w:val="28"/>
          <w:highlight w:val="none"/>
        </w:rPr>
      </w:pPr>
      <w:r>
        <w:rPr>
          <w:rFonts w:hint="eastAsia" w:ascii="Times New Roman" w:hAnsi="Times New Roman" w:eastAsia="宋体" w:cs="Times New Roman"/>
          <w:color w:val="auto"/>
          <w:szCs w:val="28"/>
          <w:highlight w:val="none"/>
        </w:rPr>
        <w:t>数据流向：</w:t>
      </w:r>
      <w:r>
        <w:rPr>
          <w:rFonts w:ascii="Times New Roman" w:hAnsi="Times New Roman" w:eastAsia="宋体" w:cs="Times New Roman"/>
          <w:color w:val="auto"/>
          <w:szCs w:val="28"/>
          <w:highlight w:val="none"/>
        </w:rPr>
        <w:t>生产集中控制系统的数据流向为：部署在各污水厂/提标项目的数据采集服务器实时采集现场设备的数据，并按需分别上传至</w:t>
      </w:r>
      <w:r>
        <w:rPr>
          <w:rFonts w:hint="eastAsia" w:ascii="Times New Roman" w:hAnsi="Times New Roman" w:eastAsia="宋体" w:cs="Times New Roman"/>
          <w:color w:val="auto"/>
          <w:szCs w:val="28"/>
          <w:highlight w:val="none"/>
        </w:rPr>
        <w:t>集控</w:t>
      </w:r>
      <w:r>
        <w:rPr>
          <w:rFonts w:ascii="Times New Roman" w:hAnsi="Times New Roman" w:eastAsia="宋体" w:cs="Times New Roman"/>
          <w:color w:val="auto"/>
          <w:szCs w:val="28"/>
          <w:highlight w:val="none"/>
        </w:rPr>
        <w:t>中心</w:t>
      </w:r>
      <w:r>
        <w:rPr>
          <w:rFonts w:hint="eastAsia" w:ascii="Times New Roman" w:hAnsi="Times New Roman" w:eastAsia="宋体" w:cs="Times New Roman"/>
          <w:color w:val="auto"/>
          <w:szCs w:val="28"/>
          <w:highlight w:val="none"/>
        </w:rPr>
        <w:t>数据服务器</w:t>
      </w:r>
      <w:r>
        <w:rPr>
          <w:rFonts w:ascii="Times New Roman" w:hAnsi="Times New Roman" w:eastAsia="宋体" w:cs="Times New Roman"/>
          <w:color w:val="auto"/>
          <w:szCs w:val="28"/>
          <w:highlight w:val="none"/>
        </w:rPr>
        <w:t>和</w:t>
      </w:r>
      <w:r>
        <w:rPr>
          <w:rFonts w:ascii="Times New Roman" w:hAnsi="Times New Roman" w:eastAsia="宋体" w:cs="Times New Roman"/>
          <w:color w:val="auto"/>
          <w:szCs w:val="24"/>
          <w:highlight w:val="none"/>
        </w:rPr>
        <w:t>SCADA</w:t>
      </w:r>
      <w:r>
        <w:rPr>
          <w:rFonts w:ascii="Times New Roman" w:hAnsi="Times New Roman" w:eastAsia="宋体" w:cs="Times New Roman"/>
          <w:color w:val="auto"/>
          <w:szCs w:val="28"/>
          <w:highlight w:val="none"/>
        </w:rPr>
        <w:t>服务器，由</w:t>
      </w:r>
      <w:r>
        <w:rPr>
          <w:rFonts w:hint="eastAsia" w:ascii="Times New Roman" w:hAnsi="Times New Roman" w:eastAsia="宋体" w:cs="Times New Roman"/>
          <w:color w:val="auto"/>
          <w:szCs w:val="28"/>
          <w:highlight w:val="none"/>
        </w:rPr>
        <w:t>集控</w:t>
      </w:r>
      <w:r>
        <w:rPr>
          <w:rFonts w:ascii="Times New Roman" w:hAnsi="Times New Roman" w:eastAsia="宋体" w:cs="Times New Roman"/>
          <w:color w:val="auto"/>
          <w:szCs w:val="28"/>
          <w:highlight w:val="none"/>
        </w:rPr>
        <w:t>中心</w:t>
      </w:r>
      <w:r>
        <w:rPr>
          <w:rFonts w:hint="eastAsia" w:ascii="Times New Roman" w:hAnsi="Times New Roman" w:eastAsia="宋体" w:cs="Times New Roman"/>
          <w:color w:val="auto"/>
          <w:szCs w:val="28"/>
          <w:highlight w:val="none"/>
        </w:rPr>
        <w:t>数据服务器</w:t>
      </w:r>
      <w:r>
        <w:rPr>
          <w:rFonts w:ascii="Times New Roman" w:hAnsi="Times New Roman" w:eastAsia="宋体" w:cs="Times New Roman"/>
          <w:color w:val="auto"/>
          <w:szCs w:val="28"/>
          <w:highlight w:val="none"/>
        </w:rPr>
        <w:t>和SCADA服务器完成数据存储、管理</w:t>
      </w:r>
      <w:r>
        <w:rPr>
          <w:rFonts w:hint="eastAsia" w:ascii="Times New Roman" w:hAnsi="Times New Roman" w:eastAsia="宋体" w:cs="Times New Roman"/>
          <w:color w:val="auto"/>
          <w:szCs w:val="28"/>
          <w:highlight w:val="none"/>
        </w:rPr>
        <w:t>，并可以由数据服务器向指定</w:t>
      </w:r>
      <w:r>
        <w:rPr>
          <w:rFonts w:ascii="Times New Roman" w:hAnsi="Times New Roman" w:eastAsia="宋体" w:cs="Times New Roman"/>
          <w:color w:val="auto"/>
          <w:szCs w:val="28"/>
          <w:highlight w:val="none"/>
        </w:rPr>
        <w:t>第三方</w:t>
      </w:r>
      <w:r>
        <w:rPr>
          <w:rFonts w:hint="eastAsia" w:ascii="Times New Roman" w:hAnsi="Times New Roman" w:eastAsia="宋体" w:cs="Times New Roman"/>
          <w:color w:val="auto"/>
          <w:szCs w:val="28"/>
          <w:highlight w:val="none"/>
        </w:rPr>
        <w:t>平台发送或接受数据</w:t>
      </w:r>
      <w:r>
        <w:rPr>
          <w:rFonts w:ascii="Times New Roman" w:hAnsi="Times New Roman" w:eastAsia="宋体" w:cs="Times New Roman"/>
          <w:color w:val="auto"/>
          <w:szCs w:val="28"/>
          <w:highlight w:val="none"/>
        </w:rPr>
        <w:t>。</w:t>
      </w:r>
      <w:r>
        <w:rPr>
          <w:rFonts w:hint="eastAsia" w:ascii="Times New Roman" w:hAnsi="Times New Roman" w:eastAsia="宋体" w:cs="Times New Roman"/>
          <w:color w:val="auto"/>
          <w:szCs w:val="28"/>
          <w:highlight w:val="none"/>
        </w:rPr>
        <w:t>集控</w:t>
      </w:r>
      <w:r>
        <w:rPr>
          <w:rFonts w:ascii="Times New Roman" w:hAnsi="Times New Roman" w:eastAsia="宋体" w:cs="Times New Roman"/>
          <w:color w:val="auto"/>
          <w:szCs w:val="28"/>
          <w:highlight w:val="none"/>
        </w:rPr>
        <w:t>中心SCADA服务器按需将数据推送至</w:t>
      </w:r>
      <w:r>
        <w:rPr>
          <w:rFonts w:hint="eastAsia" w:ascii="Times New Roman" w:hAnsi="Times New Roman" w:eastAsia="宋体" w:cs="Times New Roman"/>
          <w:color w:val="auto"/>
          <w:szCs w:val="28"/>
          <w:highlight w:val="none"/>
        </w:rPr>
        <w:t>相应</w:t>
      </w:r>
      <w:r>
        <w:rPr>
          <w:rFonts w:ascii="Times New Roman" w:hAnsi="Times New Roman" w:eastAsia="宋体" w:cs="Times New Roman"/>
          <w:color w:val="auto"/>
          <w:szCs w:val="28"/>
          <w:highlight w:val="none"/>
        </w:rPr>
        <w:t>的SCADA客户端。</w:t>
      </w:r>
    </w:p>
    <w:p w14:paraId="26152D54">
      <w:pPr>
        <w:spacing w:line="360" w:lineRule="auto"/>
        <w:ind w:firstLine="612"/>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系统总体数据流向架构如下图所示：</w:t>
      </w:r>
    </w:p>
    <w:p w14:paraId="2596D831">
      <w:pPr>
        <w:spacing w:line="360"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drawing>
          <wp:inline distT="0" distB="0" distL="114300" distR="114300">
            <wp:extent cx="5430520" cy="4161155"/>
            <wp:effectExtent l="0" t="0" r="17780" b="1079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3"/>
                    <a:stretch>
                      <a:fillRect/>
                    </a:stretch>
                  </pic:blipFill>
                  <pic:spPr>
                    <a:xfrm>
                      <a:off x="0" y="0"/>
                      <a:ext cx="5430520" cy="4161155"/>
                    </a:xfrm>
                    <a:prstGeom prst="rect">
                      <a:avLst/>
                    </a:prstGeom>
                    <a:noFill/>
                    <a:ln>
                      <a:noFill/>
                    </a:ln>
                  </pic:spPr>
                </pic:pic>
              </a:graphicData>
            </a:graphic>
          </wp:inline>
        </w:drawing>
      </w:r>
    </w:p>
    <w:p w14:paraId="5EF389C4">
      <w:pPr>
        <w:spacing w:line="360"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图2.4.4.1-2 系统总体数据流向架构图</w:t>
      </w:r>
    </w:p>
    <w:p w14:paraId="19A8479C">
      <w:pPr>
        <w:spacing w:line="360" w:lineRule="auto"/>
        <w:outlineLvl w:val="5"/>
        <w:rPr>
          <w:rFonts w:ascii="Times New Roman" w:hAnsi="Times New Roman" w:eastAsia="宋体" w:cs="Times New Roman"/>
          <w:b/>
          <w:bCs/>
          <w:color w:val="auto"/>
          <w:szCs w:val="28"/>
          <w:highlight w:val="none"/>
        </w:rPr>
      </w:pPr>
      <w:bookmarkStart w:id="557" w:name="_Toc152145497"/>
      <w:r>
        <w:rPr>
          <w:rFonts w:hint="eastAsia" w:ascii="Times New Roman" w:hAnsi="Times New Roman" w:eastAsia="宋体" w:cs="Times New Roman"/>
          <w:b/>
          <w:bCs/>
          <w:color w:val="auto"/>
          <w:szCs w:val="28"/>
          <w:highlight w:val="none"/>
        </w:rPr>
        <w:t>2</w:t>
      </w:r>
      <w:r>
        <w:rPr>
          <w:rFonts w:ascii="Times New Roman" w:hAnsi="Times New Roman" w:eastAsia="宋体" w:cs="Times New Roman"/>
          <w:b/>
          <w:bCs/>
          <w:color w:val="auto"/>
          <w:szCs w:val="28"/>
          <w:highlight w:val="none"/>
        </w:rPr>
        <w:t>.4.</w:t>
      </w:r>
      <w:r>
        <w:rPr>
          <w:rFonts w:hint="eastAsia" w:ascii="Times New Roman" w:hAnsi="Times New Roman" w:eastAsia="宋体" w:cs="Times New Roman"/>
          <w:b/>
          <w:bCs/>
          <w:color w:val="auto"/>
          <w:szCs w:val="28"/>
          <w:highlight w:val="none"/>
        </w:rPr>
        <w:t>4</w:t>
      </w:r>
      <w:r>
        <w:rPr>
          <w:rFonts w:ascii="Times New Roman" w:hAnsi="Times New Roman" w:eastAsia="宋体" w:cs="Times New Roman"/>
          <w:b/>
          <w:bCs/>
          <w:color w:val="auto"/>
          <w:szCs w:val="28"/>
          <w:highlight w:val="none"/>
        </w:rPr>
        <w:t>.2网络安全系统设计</w:t>
      </w:r>
      <w:bookmarkEnd w:id="557"/>
    </w:p>
    <w:p w14:paraId="1DFAC32F">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按照GB/T 22239-2019《信息安全技术 网络安全等级保护基本要求》，</w:t>
      </w:r>
      <w:r>
        <w:rPr>
          <w:rFonts w:hint="eastAsia" w:ascii="Times New Roman" w:hAnsi="Times New Roman" w:eastAsia="宋体" w:cs="Times New Roman"/>
          <w:color w:val="auto"/>
          <w:szCs w:val="28"/>
          <w:highlight w:val="none"/>
        </w:rPr>
        <w:t>并</w:t>
      </w:r>
      <w:r>
        <w:rPr>
          <w:rFonts w:ascii="Times New Roman" w:hAnsi="Times New Roman" w:eastAsia="宋体" w:cs="Times New Roman"/>
          <w:color w:val="auto"/>
          <w:szCs w:val="28"/>
          <w:highlight w:val="none"/>
        </w:rPr>
        <w:t>结合</w:t>
      </w:r>
      <w:r>
        <w:rPr>
          <w:rFonts w:hint="eastAsia" w:ascii="Times New Roman" w:hAnsi="Times New Roman" w:eastAsia="宋体" w:cs="Times New Roman"/>
          <w:color w:val="auto"/>
          <w:szCs w:val="28"/>
          <w:highlight w:val="none"/>
        </w:rPr>
        <w:t>投标人</w:t>
      </w:r>
      <w:r>
        <w:rPr>
          <w:rFonts w:ascii="Times New Roman" w:hAnsi="Times New Roman" w:eastAsia="宋体" w:cs="Times New Roman"/>
          <w:color w:val="auto"/>
          <w:szCs w:val="28"/>
          <w:highlight w:val="none"/>
        </w:rPr>
        <w:t>当前在技术防护方面以及安全管理制度建设方面所面临的防护现状，现从安全区域边界、安全通信网络、安全计算环境、安全管理中心以及安全管理制度建设5个方面进行</w:t>
      </w:r>
      <w:r>
        <w:rPr>
          <w:rFonts w:hint="eastAsia" w:ascii="Times New Roman" w:hAnsi="Times New Roman" w:eastAsia="宋体" w:cs="Times New Roman"/>
          <w:color w:val="auto"/>
          <w:szCs w:val="28"/>
          <w:highlight w:val="none"/>
        </w:rPr>
        <w:t>投标人</w:t>
      </w:r>
      <w:r>
        <w:rPr>
          <w:rFonts w:ascii="Times New Roman" w:hAnsi="Times New Roman" w:eastAsia="宋体" w:cs="Times New Roman"/>
          <w:color w:val="auto"/>
          <w:szCs w:val="28"/>
          <w:highlight w:val="none"/>
        </w:rPr>
        <w:t>工控</w:t>
      </w:r>
      <w:r>
        <w:rPr>
          <w:rFonts w:hint="eastAsia" w:ascii="Times New Roman" w:hAnsi="Times New Roman" w:eastAsia="宋体" w:cs="Times New Roman"/>
          <w:color w:val="auto"/>
          <w:szCs w:val="28"/>
          <w:highlight w:val="none"/>
        </w:rPr>
        <w:t>网络</w:t>
      </w:r>
      <w:r>
        <w:rPr>
          <w:rFonts w:ascii="Times New Roman" w:hAnsi="Times New Roman" w:eastAsia="宋体" w:cs="Times New Roman"/>
          <w:color w:val="auto"/>
          <w:szCs w:val="28"/>
          <w:highlight w:val="none"/>
        </w:rPr>
        <w:t>安全防护建设。</w:t>
      </w:r>
      <w:r>
        <w:rPr>
          <w:rFonts w:ascii="Times New Roman" w:hAnsi="Times New Roman" w:eastAsia="宋体" w:cs="Times New Roman"/>
          <w:b/>
          <w:bCs/>
          <w:color w:val="auto"/>
          <w:szCs w:val="28"/>
          <w:highlight w:val="none"/>
        </w:rPr>
        <w:t>本工程等级保护</w:t>
      </w:r>
      <w:r>
        <w:rPr>
          <w:rFonts w:hint="eastAsia" w:ascii="Times New Roman" w:hAnsi="Times New Roman" w:eastAsia="宋体" w:cs="Times New Roman"/>
          <w:b/>
          <w:bCs/>
          <w:color w:val="auto"/>
          <w:szCs w:val="28"/>
          <w:highlight w:val="none"/>
        </w:rPr>
        <w:t>要求</w:t>
      </w:r>
      <w:r>
        <w:rPr>
          <w:rFonts w:ascii="Times New Roman" w:hAnsi="Times New Roman" w:eastAsia="宋体" w:cs="Times New Roman"/>
          <w:b/>
          <w:bCs/>
          <w:color w:val="auto"/>
          <w:szCs w:val="28"/>
          <w:highlight w:val="none"/>
        </w:rPr>
        <w:t>为等保二级</w:t>
      </w:r>
      <w:r>
        <w:rPr>
          <w:rFonts w:hint="eastAsia" w:ascii="Times New Roman" w:hAnsi="Times New Roman" w:eastAsia="宋体" w:cs="Times New Roman"/>
          <w:b/>
          <w:bCs/>
          <w:color w:val="auto"/>
          <w:szCs w:val="28"/>
          <w:highlight w:val="none"/>
        </w:rPr>
        <w:t>，中标人在项目过程中同步设计、实施、验收、测评和备案。</w:t>
      </w:r>
    </w:p>
    <w:p w14:paraId="4467925E">
      <w:pPr>
        <w:adjustRightInd w:val="0"/>
        <w:spacing w:line="360" w:lineRule="auto"/>
        <w:jc w:val="left"/>
        <w:rPr>
          <w:rFonts w:ascii="Times New Roman" w:hAnsi="Times New Roman" w:eastAsia="宋体" w:cs="Times New Roman"/>
          <w:color w:val="auto"/>
          <w:szCs w:val="28"/>
          <w:highlight w:val="none"/>
        </w:rPr>
      </w:pPr>
      <w:bookmarkStart w:id="558" w:name="_Toc152145498"/>
      <w:r>
        <w:rPr>
          <w:rFonts w:hint="eastAsia" w:ascii="Times New Roman" w:hAnsi="Times New Roman" w:eastAsia="宋体" w:cs="Times New Roman"/>
          <w:color w:val="auto"/>
          <w:szCs w:val="28"/>
          <w:highlight w:val="none"/>
        </w:rPr>
        <w:t>1、建设安全区域边界</w:t>
      </w:r>
      <w:bookmarkEnd w:id="558"/>
    </w:p>
    <w:p w14:paraId="5BBF520F">
      <w:pPr>
        <w:spacing w:line="360" w:lineRule="auto"/>
        <w:ind w:firstLine="420" w:firstLineChars="200"/>
        <w:rPr>
          <w:rFonts w:ascii="Times New Roman" w:hAnsi="Times New Roman" w:eastAsia="宋体" w:cs="Times New Roman"/>
          <w:color w:val="auto"/>
          <w:szCs w:val="28"/>
          <w:highlight w:val="none"/>
        </w:rPr>
      </w:pPr>
      <w:r>
        <w:rPr>
          <w:rFonts w:hint="eastAsia" w:ascii="Times New Roman" w:hAnsi="Times New Roman" w:eastAsia="宋体" w:cs="Times New Roman"/>
          <w:color w:val="auto"/>
          <w:szCs w:val="28"/>
          <w:highlight w:val="none"/>
        </w:rPr>
        <w:t>（</w:t>
      </w:r>
      <w:r>
        <w:rPr>
          <w:rFonts w:ascii="Times New Roman" w:hAnsi="Times New Roman" w:eastAsia="宋体" w:cs="Times New Roman"/>
          <w:color w:val="auto"/>
          <w:szCs w:val="28"/>
          <w:highlight w:val="none"/>
        </w:rPr>
        <w:t>1）数采服务器与</w:t>
      </w:r>
      <w:r>
        <w:rPr>
          <w:rFonts w:hint="eastAsia" w:ascii="Times New Roman" w:hAnsi="Times New Roman" w:eastAsia="宋体" w:cs="Times New Roman"/>
          <w:color w:val="auto"/>
          <w:szCs w:val="28"/>
          <w:highlight w:val="none"/>
        </w:rPr>
        <w:t>调度智慧</w:t>
      </w:r>
      <w:r>
        <w:rPr>
          <w:rFonts w:ascii="Times New Roman" w:hAnsi="Times New Roman" w:eastAsia="宋体" w:cs="Times New Roman"/>
          <w:color w:val="auto"/>
          <w:szCs w:val="28"/>
          <w:highlight w:val="none"/>
        </w:rPr>
        <w:t>中心之间，需要通过技术防护手段，实现区域边界的隔离与有效的访问控制，将攻击破坏限定在小的范围内，例如：防止非法攻击以此为跳板，对生产网进行攻击，从而影响生产系统正常运行；</w:t>
      </w:r>
    </w:p>
    <w:p w14:paraId="5DFF36E8">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（2）针对第三方笔记本或其他移动设备可以直接接入到生产网内部的问题，需通过技术防护手段管控，实现对非授权的设备的内外联行为进行有效检测、阻断；</w:t>
      </w:r>
    </w:p>
    <w:p w14:paraId="7B9BC598">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（3）针对生产网内部异常流量、用户异常行为以及安全事件，需通过技术手段，实现实时监测、记录，并及时做出告警提示。</w:t>
      </w:r>
    </w:p>
    <w:p w14:paraId="56727A0B">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（4）需通过技术手段，建立有效的网络攻击检测机制，实现对攻击源IP、攻击类型、攻击目标、攻击时间有效检测，针对入侵事件提供及时报警；</w:t>
      </w:r>
    </w:p>
    <w:p w14:paraId="6CB0459E">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（5）需通过技术手段，建立恶意代码防范机制，能够做到针对恶意代码的及时检测和清除；</w:t>
      </w:r>
    </w:p>
    <w:p w14:paraId="4DCA49A5">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6）需针对重要业务流量、重要设备等进行及时安全审计，有效解决部分设备自身的安全审计功能不能实现事件的日期和时间、用户、事件类型、事件是否成功等问题，解决存储达不到6个月，满足等保合规建设要求。</w:t>
      </w:r>
    </w:p>
    <w:p w14:paraId="33465E3E">
      <w:pPr>
        <w:adjustRightInd w:val="0"/>
        <w:spacing w:line="360" w:lineRule="auto"/>
        <w:jc w:val="left"/>
        <w:rPr>
          <w:rFonts w:ascii="Times New Roman" w:hAnsi="Times New Roman" w:eastAsia="宋体" w:cs="Times New Roman"/>
          <w:color w:val="auto"/>
          <w:szCs w:val="28"/>
          <w:highlight w:val="none"/>
        </w:rPr>
      </w:pPr>
      <w:bookmarkStart w:id="559" w:name="_Toc152145499"/>
      <w:r>
        <w:rPr>
          <w:rFonts w:hint="eastAsia" w:ascii="Times New Roman" w:hAnsi="Times New Roman" w:eastAsia="宋体" w:cs="Times New Roman"/>
          <w:color w:val="auto"/>
          <w:szCs w:val="28"/>
          <w:highlight w:val="none"/>
        </w:rPr>
        <w:t>2、</w:t>
      </w:r>
      <w:r>
        <w:rPr>
          <w:rFonts w:ascii="Times New Roman" w:hAnsi="Times New Roman" w:eastAsia="宋体" w:cs="Times New Roman"/>
          <w:color w:val="auto"/>
          <w:szCs w:val="28"/>
          <w:highlight w:val="none"/>
        </w:rPr>
        <w:t>建设安全通信网络</w:t>
      </w:r>
      <w:bookmarkEnd w:id="559"/>
    </w:p>
    <w:p w14:paraId="74974B24">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（1）需根据控制系统中业务的重要性、实时性、业务的关联性、对现场受控设备的影响程度的要求等，逻辑划分不同的安全区域；</w:t>
      </w:r>
    </w:p>
    <w:p w14:paraId="24C736DC">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（2）逻辑划分的不同安全区域之间需采取相应的技术隔离手段，实现区域之间的有效隔离与访问控制。</w:t>
      </w:r>
    </w:p>
    <w:p w14:paraId="786FA80F">
      <w:pPr>
        <w:adjustRightInd w:val="0"/>
        <w:spacing w:line="360" w:lineRule="auto"/>
        <w:jc w:val="left"/>
        <w:rPr>
          <w:rFonts w:ascii="Times New Roman" w:hAnsi="Times New Roman" w:eastAsia="宋体" w:cs="Times New Roman"/>
          <w:color w:val="auto"/>
          <w:szCs w:val="28"/>
          <w:highlight w:val="none"/>
        </w:rPr>
      </w:pPr>
      <w:bookmarkStart w:id="560" w:name="_Toc152145500"/>
      <w:r>
        <w:rPr>
          <w:rFonts w:hint="eastAsia" w:ascii="Times New Roman" w:hAnsi="Times New Roman" w:eastAsia="宋体" w:cs="Times New Roman"/>
          <w:color w:val="auto"/>
          <w:szCs w:val="28"/>
          <w:highlight w:val="none"/>
        </w:rPr>
        <w:t>3、</w:t>
      </w:r>
      <w:r>
        <w:rPr>
          <w:rFonts w:ascii="Times New Roman" w:hAnsi="Times New Roman" w:eastAsia="宋体" w:cs="Times New Roman"/>
          <w:color w:val="auto"/>
          <w:szCs w:val="28"/>
          <w:highlight w:val="none"/>
        </w:rPr>
        <w:t>建立安全计算环境</w:t>
      </w:r>
      <w:bookmarkEnd w:id="560"/>
    </w:p>
    <w:p w14:paraId="11117632">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（1）由于大部分工控主机、服务器身份认证机制简单，需采用技术手段，进行复杂度设置、密码更换周期未设置、登录失败处理的设置；</w:t>
      </w:r>
    </w:p>
    <w:p w14:paraId="2D0D2C3D">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（2）需求通过技术手段，解决重要生产业务服务器身份认证方式单一的问题，满足相关合规性要求；</w:t>
      </w:r>
    </w:p>
    <w:p w14:paraId="396E571F">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（3）需通过技术手段，解决关键业务服务器内配置文件缺乏访问控制手段的问题，防止一旦遭到不法分子攻击或人员误操作，造成关键业务配置文件被破坏，避免影响生产的政策运行；</w:t>
      </w:r>
    </w:p>
    <w:p w14:paraId="26422A6F">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（4）需通过技术手段，解决工控主机、服务器默认共享和高危端口，防止被不法份子利用；</w:t>
      </w:r>
    </w:p>
    <w:p w14:paraId="0481F995">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（5）需通过技术防护手段，解决工控主机、服务器缺乏有效的已知和未知病毒的防护问题，避免病毒入侵行为，做好工控主机以及服务器的安全防护；</w:t>
      </w:r>
    </w:p>
    <w:p w14:paraId="51A53F0A">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（6）需通过技术手段，解决工控主机、服务器缺乏有效的移动介质管控的问题，防止病毒、木马容易通过移动介质</w:t>
      </w:r>
      <w:r>
        <w:rPr>
          <w:rFonts w:hint="eastAsia" w:ascii="Times New Roman" w:hAnsi="Times New Roman" w:eastAsia="宋体" w:cs="Times New Roman"/>
          <w:color w:val="auto"/>
          <w:szCs w:val="28"/>
          <w:highlight w:val="none"/>
        </w:rPr>
        <w:t>“</w:t>
      </w:r>
      <w:r>
        <w:rPr>
          <w:rFonts w:ascii="Times New Roman" w:hAnsi="Times New Roman" w:eastAsia="宋体" w:cs="Times New Roman"/>
          <w:color w:val="auto"/>
          <w:szCs w:val="28"/>
          <w:highlight w:val="none"/>
        </w:rPr>
        <w:t>摆渡</w:t>
      </w:r>
      <w:r>
        <w:rPr>
          <w:rFonts w:hint="eastAsia" w:ascii="Times New Roman" w:hAnsi="Times New Roman" w:eastAsia="宋体" w:cs="Times New Roman"/>
          <w:color w:val="auto"/>
          <w:szCs w:val="28"/>
          <w:highlight w:val="none"/>
        </w:rPr>
        <w:t>”</w:t>
      </w:r>
      <w:r>
        <w:rPr>
          <w:rFonts w:ascii="Times New Roman" w:hAnsi="Times New Roman" w:eastAsia="宋体" w:cs="Times New Roman"/>
          <w:color w:val="auto"/>
          <w:szCs w:val="28"/>
          <w:highlight w:val="none"/>
        </w:rPr>
        <w:t>进入生产系统。</w:t>
      </w:r>
    </w:p>
    <w:p w14:paraId="1BBE22C1">
      <w:pPr>
        <w:adjustRightInd w:val="0"/>
        <w:spacing w:line="360" w:lineRule="auto"/>
        <w:jc w:val="left"/>
        <w:rPr>
          <w:rFonts w:ascii="Times New Roman" w:hAnsi="Times New Roman" w:eastAsia="宋体" w:cs="Times New Roman"/>
          <w:color w:val="auto"/>
          <w:szCs w:val="28"/>
          <w:highlight w:val="none"/>
        </w:rPr>
      </w:pPr>
      <w:bookmarkStart w:id="561" w:name="_Toc152145501"/>
      <w:r>
        <w:rPr>
          <w:rFonts w:hint="eastAsia" w:ascii="Times New Roman" w:hAnsi="Times New Roman" w:eastAsia="宋体" w:cs="Times New Roman"/>
          <w:color w:val="auto"/>
          <w:szCs w:val="28"/>
          <w:highlight w:val="none"/>
        </w:rPr>
        <w:t>4、</w:t>
      </w:r>
      <w:r>
        <w:rPr>
          <w:rFonts w:ascii="Times New Roman" w:hAnsi="Times New Roman" w:eastAsia="宋体" w:cs="Times New Roman"/>
          <w:color w:val="auto"/>
          <w:szCs w:val="28"/>
          <w:highlight w:val="none"/>
        </w:rPr>
        <w:t>建理安全管理中心</w:t>
      </w:r>
      <w:bookmarkEnd w:id="561"/>
    </w:p>
    <w:p w14:paraId="07C2AE7F">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按照GB/T 22239-2019《信息安全技术 网络安全等级保护基本要求》</w:t>
      </w:r>
      <w:r>
        <w:rPr>
          <w:rFonts w:hint="eastAsia" w:ascii="Times New Roman" w:hAnsi="Times New Roman" w:eastAsia="宋体" w:cs="Times New Roman"/>
          <w:color w:val="auto"/>
          <w:szCs w:val="28"/>
          <w:highlight w:val="none"/>
        </w:rPr>
        <w:t>“</w:t>
      </w:r>
      <w:r>
        <w:rPr>
          <w:rFonts w:ascii="Times New Roman" w:hAnsi="Times New Roman" w:eastAsia="宋体" w:cs="Times New Roman"/>
          <w:color w:val="auto"/>
          <w:szCs w:val="28"/>
          <w:highlight w:val="none"/>
        </w:rPr>
        <w:t>一个中心</w:t>
      </w:r>
      <w:r>
        <w:rPr>
          <w:rFonts w:hint="eastAsia" w:ascii="Times New Roman" w:hAnsi="Times New Roman" w:eastAsia="宋体" w:cs="Times New Roman"/>
          <w:color w:val="auto"/>
          <w:szCs w:val="28"/>
          <w:highlight w:val="none"/>
        </w:rPr>
        <w:t>”</w:t>
      </w:r>
      <w:r>
        <w:rPr>
          <w:rFonts w:ascii="Times New Roman" w:hAnsi="Times New Roman" w:eastAsia="宋体" w:cs="Times New Roman"/>
          <w:color w:val="auto"/>
          <w:szCs w:val="28"/>
          <w:highlight w:val="none"/>
        </w:rPr>
        <w:t>合规建设要求，建立统一的安全管理中心，实现对</w:t>
      </w:r>
      <w:r>
        <w:rPr>
          <w:rFonts w:hint="eastAsia" w:ascii="Times New Roman" w:hAnsi="Times New Roman" w:eastAsia="宋体" w:cs="Times New Roman"/>
          <w:color w:val="auto"/>
          <w:szCs w:val="28"/>
          <w:highlight w:val="none"/>
        </w:rPr>
        <w:t>石鼓</w:t>
      </w:r>
      <w:r>
        <w:rPr>
          <w:rFonts w:ascii="Times New Roman" w:hAnsi="Times New Roman" w:eastAsia="宋体" w:cs="Times New Roman"/>
          <w:color w:val="auto"/>
          <w:szCs w:val="28"/>
          <w:highlight w:val="none"/>
        </w:rPr>
        <w:t>公司安全设备的集中管控。</w:t>
      </w:r>
    </w:p>
    <w:p w14:paraId="23DD74C7">
      <w:pPr>
        <w:adjustRightInd w:val="0"/>
        <w:spacing w:line="360" w:lineRule="auto"/>
        <w:jc w:val="left"/>
        <w:rPr>
          <w:rFonts w:ascii="Times New Roman" w:hAnsi="Times New Roman" w:eastAsia="宋体" w:cs="Times New Roman"/>
          <w:color w:val="auto"/>
          <w:szCs w:val="28"/>
          <w:highlight w:val="none"/>
        </w:rPr>
      </w:pPr>
      <w:bookmarkStart w:id="562" w:name="_Toc152145502"/>
      <w:r>
        <w:rPr>
          <w:rFonts w:hint="eastAsia" w:ascii="Times New Roman" w:hAnsi="Times New Roman" w:eastAsia="宋体" w:cs="Times New Roman"/>
          <w:color w:val="auto"/>
          <w:szCs w:val="28"/>
          <w:highlight w:val="none"/>
        </w:rPr>
        <w:t>5、</w:t>
      </w:r>
      <w:r>
        <w:rPr>
          <w:rFonts w:ascii="Times New Roman" w:hAnsi="Times New Roman" w:eastAsia="宋体" w:cs="Times New Roman"/>
          <w:color w:val="auto"/>
          <w:szCs w:val="28"/>
          <w:highlight w:val="none"/>
        </w:rPr>
        <w:t>完善安全管理制度</w:t>
      </w:r>
      <w:bookmarkEnd w:id="562"/>
    </w:p>
    <w:p w14:paraId="4E4EDBA1">
      <w:pPr>
        <w:spacing w:line="360" w:lineRule="auto"/>
        <w:ind w:firstLine="420" w:firstLineChars="200"/>
        <w:rPr>
          <w:rFonts w:ascii="Times New Roman" w:hAnsi="Times New Roman" w:eastAsia="宋体" w:cs="Times New Roman"/>
          <w:color w:val="auto"/>
          <w:szCs w:val="28"/>
          <w:highlight w:val="none"/>
        </w:rPr>
      </w:pPr>
      <w:r>
        <w:rPr>
          <w:rFonts w:ascii="Times New Roman" w:hAnsi="Times New Roman" w:eastAsia="宋体" w:cs="Times New Roman"/>
          <w:color w:val="auto"/>
          <w:szCs w:val="28"/>
          <w:highlight w:val="none"/>
        </w:rPr>
        <w:t>求按照GB/T 22239-2019《信息安全技术 网络安全等级保护基本要求》管理制度建设要求，建立成体系的工控安全管理制度，解决目前</w:t>
      </w:r>
      <w:r>
        <w:rPr>
          <w:rFonts w:hint="eastAsia" w:ascii="Times New Roman" w:hAnsi="Times New Roman" w:eastAsia="宋体" w:cs="Times New Roman"/>
          <w:color w:val="auto"/>
          <w:szCs w:val="28"/>
          <w:highlight w:val="none"/>
        </w:rPr>
        <w:t>石鼓</w:t>
      </w:r>
      <w:r>
        <w:rPr>
          <w:rFonts w:ascii="Times New Roman" w:hAnsi="Times New Roman" w:eastAsia="宋体" w:cs="Times New Roman"/>
          <w:color w:val="auto"/>
          <w:szCs w:val="28"/>
          <w:highlight w:val="none"/>
        </w:rPr>
        <w:t>公司缺少安全管理制度、安全管理机构、安全管理人员、安全建设管理、安全运维管理方面的问题。</w:t>
      </w:r>
    </w:p>
    <w:p w14:paraId="6194241B">
      <w:pPr>
        <w:snapToGrid w:val="0"/>
        <w:spacing w:line="360" w:lineRule="auto"/>
        <w:outlineLvl w:val="2"/>
        <w:rPr>
          <w:rFonts w:ascii="Times New Roman" w:hAnsi="Times New Roman" w:eastAsia="宋体" w:cs="宋体"/>
          <w:color w:val="auto"/>
          <w:szCs w:val="21"/>
          <w:highlight w:val="none"/>
        </w:rPr>
      </w:pPr>
      <w:bookmarkStart w:id="563" w:name="_Toc27547"/>
      <w:bookmarkStart w:id="564" w:name="_Toc195714315"/>
      <w:r>
        <w:rPr>
          <w:rFonts w:hint="eastAsia" w:ascii="Times New Roman" w:hAnsi="Times New Roman" w:eastAsia="宋体" w:cs="宋体"/>
          <w:b/>
          <w:color w:val="auto"/>
          <w:kern w:val="0"/>
          <w:szCs w:val="18"/>
          <w:highlight w:val="none"/>
        </w:rPr>
        <w:t>2.4.5机房要求</w:t>
      </w:r>
      <w:bookmarkEnd w:id="563"/>
      <w:bookmarkEnd w:id="564"/>
    </w:p>
    <w:p w14:paraId="2DF16DE6">
      <w:pPr>
        <w:spacing w:line="360" w:lineRule="auto"/>
        <w:ind w:firstLine="420" w:firstLineChars="200"/>
        <w:rPr>
          <w:rFonts w:ascii="Times New Roman" w:hAnsi="Times New Roman" w:eastAsia="宋体" w:cs="Times New Roman"/>
          <w:color w:val="auto"/>
          <w:szCs w:val="28"/>
          <w:highlight w:val="none"/>
        </w:rPr>
      </w:pPr>
      <w:r>
        <w:rPr>
          <w:rFonts w:hint="eastAsia" w:ascii="Times New Roman" w:hAnsi="Times New Roman" w:eastAsia="宋体" w:cs="Times New Roman"/>
          <w:color w:val="auto"/>
          <w:szCs w:val="28"/>
          <w:highlight w:val="none"/>
        </w:rPr>
        <w:t>指挥中心内部设置一间集中控制系统机房，机房内配置数据服务器、磁盘阵列、S</w:t>
      </w:r>
      <w:r>
        <w:rPr>
          <w:rFonts w:ascii="Times New Roman" w:hAnsi="Times New Roman" w:eastAsia="宋体" w:cs="Times New Roman"/>
          <w:color w:val="auto"/>
          <w:szCs w:val="28"/>
          <w:highlight w:val="none"/>
        </w:rPr>
        <w:t>CADA</w:t>
      </w:r>
      <w:r>
        <w:rPr>
          <w:rFonts w:hint="eastAsia" w:ascii="Times New Roman" w:hAnsi="Times New Roman" w:eastAsia="宋体" w:cs="Times New Roman"/>
          <w:color w:val="auto"/>
          <w:szCs w:val="28"/>
          <w:highlight w:val="none"/>
        </w:rPr>
        <w:t>服务器、网络安全设施、GPS卫星同步时钟以及UPS电源等配套设备，集中控制系统机房需满足《数据中心设计规范》(G</w:t>
      </w:r>
      <w:r>
        <w:rPr>
          <w:rFonts w:ascii="Times New Roman" w:hAnsi="Times New Roman" w:eastAsia="宋体" w:cs="Times New Roman"/>
          <w:color w:val="auto"/>
          <w:szCs w:val="28"/>
          <w:highlight w:val="none"/>
        </w:rPr>
        <w:t>B50174)</w:t>
      </w:r>
      <w:r>
        <w:rPr>
          <w:rFonts w:hint="eastAsia" w:ascii="Times New Roman" w:hAnsi="Times New Roman" w:eastAsia="宋体" w:cs="Times New Roman"/>
          <w:color w:val="auto"/>
          <w:szCs w:val="24"/>
          <w:highlight w:val="none"/>
        </w:rPr>
        <w:t xml:space="preserve"> </w:t>
      </w:r>
      <w:r>
        <w:rPr>
          <w:rFonts w:hint="eastAsia" w:ascii="Times New Roman" w:hAnsi="Times New Roman" w:eastAsia="宋体" w:cs="Times New Roman"/>
          <w:color w:val="auto"/>
          <w:szCs w:val="28"/>
          <w:highlight w:val="none"/>
        </w:rPr>
        <w:t>中的C级数据中心建设要求。</w:t>
      </w:r>
    </w:p>
    <w:p w14:paraId="63370181">
      <w:pPr>
        <w:snapToGrid w:val="0"/>
        <w:spacing w:line="360" w:lineRule="auto"/>
        <w:outlineLvl w:val="2"/>
        <w:rPr>
          <w:rFonts w:ascii="Times New Roman" w:hAnsi="Times New Roman" w:eastAsia="宋体" w:cs="宋体"/>
          <w:color w:val="auto"/>
          <w:szCs w:val="21"/>
          <w:highlight w:val="none"/>
        </w:rPr>
      </w:pPr>
      <w:bookmarkStart w:id="565" w:name="_Toc195714316"/>
      <w:bookmarkStart w:id="566" w:name="_Toc15786"/>
      <w:r>
        <w:rPr>
          <w:rFonts w:hint="eastAsia" w:ascii="Times New Roman" w:hAnsi="Times New Roman" w:eastAsia="宋体" w:cs="宋体"/>
          <w:b/>
          <w:color w:val="auto"/>
          <w:kern w:val="0"/>
          <w:szCs w:val="18"/>
          <w:highlight w:val="none"/>
        </w:rPr>
        <w:t>2.4.6 生产数字化驾驶舱可视化</w:t>
      </w:r>
      <w:bookmarkEnd w:id="565"/>
      <w:bookmarkEnd w:id="566"/>
    </w:p>
    <w:p w14:paraId="0CA0FC14">
      <w:pPr>
        <w:snapToGrid w:val="0"/>
        <w:spacing w:line="360" w:lineRule="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1、综合监视专题</w:t>
      </w:r>
    </w:p>
    <w:p w14:paraId="0C25243E">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支持单项目、多项目不同层级数据过滤，对项目进行全方位的数字化建设，全方位掌握所有站点的整体运维状况。可通过鼠标和键盘的常规交互操作，实现对场景的旋转、平移、缩放。画面两侧数据面板展示单项目、多项目设备运维的能耗、运营成本、实时报警、进水出水量等关键指标参数，对比分析历史数据，横向对比不同项目的指标情况。</w:t>
      </w:r>
    </w:p>
    <w:p w14:paraId="6F64B851">
      <w:pPr>
        <w:snapToGrid w:val="0"/>
        <w:spacing w:line="360" w:lineRule="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各专题支持通过可视化工具对多项目范围进行灵活配置调整，满足生产运营统计分析需要。</w:t>
      </w:r>
    </w:p>
    <w:p w14:paraId="3ACA0554">
      <w:pPr>
        <w:snapToGrid w:val="0"/>
        <w:spacing w:line="360" w:lineRule="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2、运行管理专题</w:t>
      </w:r>
      <w:r>
        <w:rPr>
          <w:rFonts w:hint="eastAsia" w:ascii="Times New Roman" w:hAnsi="Times New Roman" w:eastAsia="宋体" w:cs="宋体"/>
          <w:color w:val="auto"/>
          <w:szCs w:val="21"/>
          <w:highlight w:val="none"/>
        </w:rPr>
        <w:tab/>
      </w:r>
    </w:p>
    <w:p w14:paraId="65C2B2B2">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支持单项目、多项目不同层级数据过滤，将关键指标如耗电量，设备运行状态等运行数据进行统计分析，分析生产过程中的稳定性；统计生产故障和异常情况的发生的次数和原因；评估生产效能和产能水平；分析生产工艺之间的相关性和相互影响程度，对比分析历史数据，横向对比不同项目的指标情况。</w:t>
      </w:r>
    </w:p>
    <w:p w14:paraId="20968BAE">
      <w:pPr>
        <w:snapToGrid w:val="0"/>
        <w:spacing w:line="360" w:lineRule="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3、水质管理专题</w:t>
      </w:r>
      <w:r>
        <w:rPr>
          <w:rFonts w:hint="eastAsia" w:ascii="Times New Roman" w:hAnsi="Times New Roman" w:eastAsia="宋体" w:cs="宋体"/>
          <w:color w:val="auto"/>
          <w:szCs w:val="21"/>
          <w:highlight w:val="none"/>
        </w:rPr>
        <w:tab/>
      </w:r>
    </w:p>
    <w:p w14:paraId="69007B4A">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支持单项目、多项目不同层级数据过滤，对各工艺段中主要的指标进行实时动态监测，统计分析CODcr、NH3-H、BOD5、TP、SS、TN等数据，分析进水、出水，水质变化趋势，对比分析历史数据，横向对比不同项目的指标情况。</w:t>
      </w:r>
    </w:p>
    <w:p w14:paraId="4908F73C">
      <w:pPr>
        <w:snapToGrid w:val="0"/>
        <w:spacing w:line="360" w:lineRule="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4、设备管理专题</w:t>
      </w:r>
      <w:r>
        <w:rPr>
          <w:rFonts w:hint="eastAsia" w:ascii="Times New Roman" w:hAnsi="Times New Roman" w:eastAsia="宋体" w:cs="宋体"/>
          <w:color w:val="auto"/>
          <w:szCs w:val="21"/>
          <w:highlight w:val="none"/>
        </w:rPr>
        <w:tab/>
      </w:r>
    </w:p>
    <w:p w14:paraId="3A77BFBB">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支持单项目、多项目不同层级数据过滤，通过对设备利用率、设备故障率、设备使用效率、设备能耗、设备寿命等维度进行分析，了解设备的运行状况、可靠性和效率，对比分析历史数据，横向对比不同项目的指标情况。</w:t>
      </w:r>
    </w:p>
    <w:p w14:paraId="40BF51D0">
      <w:pPr>
        <w:snapToGrid w:val="0"/>
        <w:spacing w:line="360" w:lineRule="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5、能耗分析专题</w:t>
      </w:r>
      <w:r>
        <w:rPr>
          <w:rFonts w:hint="eastAsia" w:ascii="Times New Roman" w:hAnsi="Times New Roman" w:eastAsia="宋体" w:cs="宋体"/>
          <w:color w:val="auto"/>
          <w:szCs w:val="21"/>
          <w:highlight w:val="none"/>
        </w:rPr>
        <w:tab/>
      </w:r>
    </w:p>
    <w:p w14:paraId="2F4B353F">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支持单项目、多项目不同层级数据过滤，将项目内的每个工艺段及设备的能耗数据进行综合统计展示，对比分析历史数据，横向对比不同项目的指标情况，对未来用药进行研判分析。</w:t>
      </w:r>
    </w:p>
    <w:p w14:paraId="30EEF1E3">
      <w:pPr>
        <w:keepNext/>
        <w:keepLines/>
        <w:numPr>
          <w:ilvl w:val="1"/>
          <w:numId w:val="23"/>
        </w:numPr>
        <w:adjustRightInd w:val="0"/>
        <w:snapToGrid w:val="0"/>
        <w:spacing w:line="360" w:lineRule="auto"/>
        <w:ind w:firstLine="426"/>
        <w:outlineLvl w:val="1"/>
        <w:rPr>
          <w:rFonts w:ascii="Times New Roman" w:hAnsi="Times New Roman" w:eastAsia="宋体" w:cs="Times New Roman"/>
          <w:b/>
          <w:bCs/>
          <w:color w:val="auto"/>
          <w:szCs w:val="21"/>
          <w:highlight w:val="none"/>
        </w:rPr>
      </w:pPr>
      <w:bookmarkStart w:id="567" w:name="_Toc8141"/>
      <w:bookmarkStart w:id="568" w:name="_Toc195714317"/>
      <w:r>
        <w:rPr>
          <w:rFonts w:ascii="Times New Roman" w:hAnsi="Times New Roman" w:eastAsia="宋体" w:cs="Times New Roman"/>
          <w:b/>
          <w:bCs/>
          <w:color w:val="auto"/>
          <w:szCs w:val="21"/>
          <w:highlight w:val="none"/>
        </w:rPr>
        <w:t>货物的交付</w:t>
      </w:r>
      <w:bookmarkEnd w:id="567"/>
      <w:bookmarkEnd w:id="568"/>
    </w:p>
    <w:p w14:paraId="2603BC2E">
      <w:pPr>
        <w:spacing w:line="360" w:lineRule="auto"/>
        <w:ind w:firstLine="422" w:firstLineChars="200"/>
        <w:rPr>
          <w:rFonts w:ascii="Times New Roman" w:hAnsi="Times New Roman" w:eastAsia="宋体" w:cs="Times New Roman"/>
          <w:color w:val="auto"/>
          <w:szCs w:val="24"/>
          <w:highlight w:val="none"/>
        </w:rPr>
      </w:pPr>
      <w:r>
        <w:rPr>
          <w:rFonts w:ascii="Times New Roman" w:hAnsi="Times New Roman" w:eastAsia="宋体" w:cs="Times New Roman"/>
          <w:b/>
          <w:bCs/>
          <w:color w:val="auto"/>
          <w:szCs w:val="24"/>
          <w:highlight w:val="none"/>
        </w:rPr>
        <w:t>（1）中标人应在招标人（或招标人委托的第三方）发出书面供货通知之日起</w:t>
      </w:r>
      <w:r>
        <w:rPr>
          <w:rFonts w:hint="eastAsia" w:ascii="Times New Roman" w:hAnsi="Times New Roman" w:eastAsia="宋体" w:cs="Times New Roman"/>
          <w:b/>
          <w:bCs/>
          <w:color w:val="auto"/>
          <w:szCs w:val="24"/>
          <w:highlight w:val="none"/>
          <w:u w:val="single"/>
        </w:rPr>
        <w:t>30日</w:t>
      </w:r>
      <w:r>
        <w:rPr>
          <w:rFonts w:ascii="Times New Roman" w:hAnsi="Times New Roman" w:eastAsia="宋体" w:cs="Times New Roman"/>
          <w:b/>
          <w:bCs/>
          <w:color w:val="auto"/>
          <w:szCs w:val="24"/>
          <w:highlight w:val="none"/>
        </w:rPr>
        <w:t>内将所有货物运至交货地点，并按合同约定完成交接验收合格。中标人在交货前应提前7</w:t>
      </w:r>
      <w:r>
        <w:rPr>
          <w:rFonts w:hint="eastAsia" w:ascii="Times New Roman" w:hAnsi="Times New Roman" w:eastAsia="宋体" w:cs="Times New Roman"/>
          <w:b/>
          <w:bCs/>
          <w:color w:val="auto"/>
          <w:szCs w:val="24"/>
          <w:highlight w:val="none"/>
        </w:rPr>
        <w:t>日</w:t>
      </w:r>
      <w:r>
        <w:rPr>
          <w:rFonts w:ascii="Times New Roman" w:hAnsi="Times New Roman" w:eastAsia="宋体" w:cs="Times New Roman"/>
          <w:b/>
          <w:bCs/>
          <w:color w:val="auto"/>
          <w:szCs w:val="24"/>
          <w:highlight w:val="none"/>
        </w:rPr>
        <w:t>书面通知招标人，经招标人书面同意后方能送货。如有违反，由此造成的仓储与保管费用以及货物毁损灭失的风险由</w:t>
      </w:r>
      <w:r>
        <w:rPr>
          <w:rFonts w:hint="eastAsia" w:ascii="Times New Roman" w:hAnsi="Times New Roman" w:eastAsia="宋体" w:cs="Times New Roman"/>
          <w:b/>
          <w:bCs/>
          <w:color w:val="auto"/>
          <w:szCs w:val="24"/>
          <w:highlight w:val="none"/>
        </w:rPr>
        <w:t>中</w:t>
      </w:r>
      <w:r>
        <w:rPr>
          <w:rFonts w:ascii="Times New Roman" w:hAnsi="Times New Roman" w:eastAsia="宋体" w:cs="Times New Roman"/>
          <w:b/>
          <w:bCs/>
          <w:color w:val="auto"/>
          <w:szCs w:val="24"/>
          <w:highlight w:val="none"/>
        </w:rPr>
        <w:t>标人全部承担</w:t>
      </w:r>
      <w:r>
        <w:rPr>
          <w:rFonts w:ascii="Times New Roman" w:hAnsi="Times New Roman" w:eastAsia="宋体" w:cs="Times New Roman"/>
          <w:color w:val="auto"/>
          <w:szCs w:val="24"/>
          <w:highlight w:val="none"/>
        </w:rPr>
        <w:t>。</w:t>
      </w:r>
    </w:p>
    <w:p w14:paraId="738DA6C4">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（2）中标人应自行将货物运至交货地点交货，由于使用第三方送货服务导致货物未能经过</w:t>
      </w:r>
      <w:r>
        <w:rPr>
          <w:rFonts w:hint="eastAsia" w:ascii="Times New Roman" w:hAnsi="Times New Roman" w:eastAsia="宋体" w:cs="宋体"/>
          <w:color w:val="auto"/>
          <w:szCs w:val="24"/>
          <w:highlight w:val="none"/>
        </w:rPr>
        <w:t>招标人、中标人双方</w:t>
      </w:r>
      <w:r>
        <w:rPr>
          <w:rFonts w:ascii="Times New Roman" w:hAnsi="Times New Roman" w:eastAsia="宋体" w:cs="Times New Roman"/>
          <w:color w:val="auto"/>
          <w:szCs w:val="24"/>
          <w:highlight w:val="none"/>
        </w:rPr>
        <w:t>共同验收、未送到指定地点仓库的，招标人有权拒绝收货。未经招标人同意，中标人或中标人委托的第三方送货服务仅将货物放置在门口/门卫室，而没有送货至招标人指定的地点的，视为中标人未履行送货义务，招标人有权拒绝接受货物且不予支付货款。上述情况下招标人不负保管责任，货物未按照招标人要求放置而造成的损毁、灭失风险概由中标人承担。招标人根据整体项目进度的情况，有权提出对部分或全部货物提前或延迟交货，但应不迟于交货期限届满前7</w:t>
      </w:r>
      <w:r>
        <w:rPr>
          <w:rFonts w:hint="eastAsia" w:ascii="Times New Roman" w:hAnsi="Times New Roman" w:eastAsia="宋体" w:cs="Times New Roman"/>
          <w:color w:val="auto"/>
          <w:szCs w:val="24"/>
          <w:highlight w:val="none"/>
        </w:rPr>
        <w:t>日</w:t>
      </w:r>
      <w:r>
        <w:rPr>
          <w:rFonts w:ascii="Times New Roman" w:hAnsi="Times New Roman" w:eastAsia="宋体" w:cs="Times New Roman"/>
          <w:color w:val="auto"/>
          <w:szCs w:val="24"/>
          <w:highlight w:val="none"/>
        </w:rPr>
        <w:t>告知中标</w:t>
      </w:r>
      <w:r>
        <w:rPr>
          <w:rFonts w:hint="eastAsia" w:ascii="Times New Roman" w:hAnsi="Times New Roman" w:eastAsia="宋体" w:cs="宋体"/>
          <w:color w:val="auto"/>
          <w:szCs w:val="24"/>
          <w:highlight w:val="none"/>
        </w:rPr>
        <w:t>人</w:t>
      </w:r>
      <w:r>
        <w:rPr>
          <w:rFonts w:ascii="Times New Roman" w:hAnsi="Times New Roman" w:eastAsia="宋体" w:cs="Times New Roman"/>
          <w:color w:val="auto"/>
          <w:szCs w:val="24"/>
          <w:highlight w:val="none"/>
        </w:rPr>
        <w:t>，招标</w:t>
      </w:r>
      <w:r>
        <w:rPr>
          <w:rFonts w:hint="eastAsia" w:ascii="Times New Roman" w:hAnsi="Times New Roman" w:eastAsia="宋体" w:cs="Times New Roman"/>
          <w:color w:val="auto"/>
          <w:szCs w:val="24"/>
          <w:highlight w:val="none"/>
        </w:rPr>
        <w:t>人</w:t>
      </w:r>
      <w:r>
        <w:rPr>
          <w:rFonts w:ascii="Times New Roman" w:hAnsi="Times New Roman" w:eastAsia="宋体" w:cs="Times New Roman"/>
          <w:color w:val="auto"/>
          <w:szCs w:val="24"/>
          <w:highlight w:val="none"/>
        </w:rPr>
        <w:t>无需另行支付任何费用。</w:t>
      </w:r>
    </w:p>
    <w:p w14:paraId="21255573">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（3）中标人有义务配合招标人整体项目进度，对整体项目提供协助及配合。</w:t>
      </w:r>
    </w:p>
    <w:p w14:paraId="166D3555">
      <w:pPr>
        <w:spacing w:line="360" w:lineRule="auto"/>
        <w:ind w:firstLine="422" w:firstLineChars="200"/>
        <w:rPr>
          <w:rFonts w:ascii="Times New Roman" w:hAnsi="Times New Roman" w:eastAsia="宋体" w:cs="Times New Roman"/>
          <w:b/>
          <w:bCs/>
          <w:color w:val="auto"/>
          <w:szCs w:val="24"/>
          <w:highlight w:val="none"/>
        </w:rPr>
      </w:pPr>
      <w:r>
        <w:rPr>
          <w:rFonts w:ascii="Times New Roman" w:hAnsi="Times New Roman" w:eastAsia="宋体" w:cs="Times New Roman"/>
          <w:b/>
          <w:bCs/>
          <w:color w:val="auto"/>
          <w:szCs w:val="24"/>
          <w:highlight w:val="none"/>
        </w:rPr>
        <w:t>（4）交货地点：</w:t>
      </w:r>
      <w:r>
        <w:rPr>
          <w:rFonts w:hint="eastAsia" w:ascii="Times New Roman" w:hAnsi="Times New Roman" w:eastAsia="宋体" w:cs="Times New Roman"/>
          <w:b/>
          <w:bCs/>
          <w:color w:val="auto"/>
          <w:szCs w:val="24"/>
          <w:highlight w:val="none"/>
        </w:rPr>
        <w:t>东莞市石鼓净水有限公司旗下37个污水处理厂和21个提标项目（由招标人提供各项目地址表）或招标人指定送货地点</w:t>
      </w:r>
      <w:r>
        <w:rPr>
          <w:rFonts w:ascii="Times New Roman" w:hAnsi="Times New Roman" w:eastAsia="宋体" w:cs="Times New Roman"/>
          <w:b/>
          <w:bCs/>
          <w:color w:val="auto"/>
          <w:szCs w:val="24"/>
          <w:highlight w:val="none"/>
        </w:rPr>
        <w:t>。</w:t>
      </w:r>
    </w:p>
    <w:p w14:paraId="0E51D053">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（5）运输方式：由中标人自行选择适当的运输方式，并承担</w:t>
      </w:r>
      <w:r>
        <w:rPr>
          <w:rFonts w:hint="eastAsia" w:ascii="Times New Roman" w:hAnsi="Times New Roman" w:eastAsia="宋体" w:cs="Times New Roman"/>
          <w:color w:val="auto"/>
          <w:szCs w:val="24"/>
          <w:highlight w:val="none"/>
        </w:rPr>
        <w:t>所有货物运输产生的</w:t>
      </w:r>
      <w:r>
        <w:rPr>
          <w:rFonts w:ascii="Times New Roman" w:hAnsi="Times New Roman" w:eastAsia="宋体" w:cs="Times New Roman"/>
          <w:color w:val="auto"/>
          <w:szCs w:val="24"/>
          <w:highlight w:val="none"/>
        </w:rPr>
        <w:t>相应费用。</w:t>
      </w:r>
    </w:p>
    <w:p w14:paraId="1CB2AB42">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（6）在交货地点的卸货责任及费用，由中标人承担。</w:t>
      </w:r>
    </w:p>
    <w:p w14:paraId="63397321">
      <w:pPr>
        <w:keepNext/>
        <w:keepLines/>
        <w:numPr>
          <w:ilvl w:val="1"/>
          <w:numId w:val="23"/>
        </w:numPr>
        <w:adjustRightInd w:val="0"/>
        <w:snapToGrid w:val="0"/>
        <w:spacing w:line="360" w:lineRule="auto"/>
        <w:ind w:firstLine="426"/>
        <w:outlineLvl w:val="1"/>
        <w:rPr>
          <w:rFonts w:ascii="Times New Roman" w:hAnsi="Times New Roman" w:eastAsia="宋体" w:cs="Times New Roman"/>
          <w:b/>
          <w:bCs/>
          <w:color w:val="auto"/>
          <w:szCs w:val="21"/>
          <w:highlight w:val="none"/>
          <w:lang w:val="zh-CN"/>
        </w:rPr>
      </w:pPr>
      <w:bookmarkStart w:id="569" w:name="_Toc195714318"/>
      <w:bookmarkStart w:id="570" w:name="_Toc11746"/>
      <w:r>
        <w:rPr>
          <w:rFonts w:ascii="Times New Roman" w:hAnsi="Times New Roman" w:eastAsia="宋体" w:cs="Times New Roman"/>
          <w:b/>
          <w:bCs/>
          <w:color w:val="auto"/>
          <w:szCs w:val="21"/>
          <w:highlight w:val="none"/>
          <w:lang w:val="zh-CN"/>
        </w:rPr>
        <w:t>施工安全及其他要求</w:t>
      </w:r>
      <w:bookmarkEnd w:id="569"/>
      <w:bookmarkEnd w:id="570"/>
    </w:p>
    <w:p w14:paraId="12212C34">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（1）施工设备、工器具：由中标人自行解决。</w:t>
      </w:r>
    </w:p>
    <w:p w14:paraId="40F93AD6">
      <w:pPr>
        <w:tabs>
          <w:tab w:val="left" w:pos="567"/>
        </w:tabs>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（2）施工中用水用电，招标人只负责提供接入点，中标人自行负责电缆线、水管及相关附属件的敷设，同时需做好用水、用电安全防护措施并无条件接受招标人监督。</w:t>
      </w:r>
    </w:p>
    <w:p w14:paraId="36885E68">
      <w:pPr>
        <w:tabs>
          <w:tab w:val="left" w:pos="567"/>
        </w:tabs>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（3）</w:t>
      </w:r>
      <w:r>
        <w:rPr>
          <w:rFonts w:ascii="Times New Roman" w:hAnsi="Times New Roman" w:eastAsia="宋体" w:cs="Times New Roman"/>
          <w:color w:val="auto"/>
          <w:szCs w:val="24"/>
          <w:highlight w:val="none"/>
        </w:rPr>
        <w:t>施工安全：中标人做好施工的安全防护措施，施工过程中出现的安全事故由中标人自行承担。</w:t>
      </w:r>
    </w:p>
    <w:p w14:paraId="64B9B2B5">
      <w:pPr>
        <w:keepNext/>
        <w:keepLines/>
        <w:numPr>
          <w:ilvl w:val="1"/>
          <w:numId w:val="23"/>
        </w:numPr>
        <w:adjustRightInd w:val="0"/>
        <w:snapToGrid w:val="0"/>
        <w:spacing w:line="360" w:lineRule="auto"/>
        <w:ind w:firstLine="426"/>
        <w:outlineLvl w:val="1"/>
        <w:rPr>
          <w:rFonts w:ascii="Times New Roman" w:hAnsi="Times New Roman" w:eastAsia="宋体" w:cs="Times New Roman"/>
          <w:b/>
          <w:bCs/>
          <w:color w:val="auto"/>
          <w:szCs w:val="21"/>
          <w:highlight w:val="none"/>
          <w:lang w:val="zh-CN"/>
        </w:rPr>
      </w:pPr>
      <w:bookmarkStart w:id="571" w:name="_Toc28119"/>
      <w:bookmarkStart w:id="572" w:name="_Toc195714319"/>
      <w:r>
        <w:rPr>
          <w:rFonts w:ascii="Times New Roman" w:hAnsi="Times New Roman" w:eastAsia="宋体" w:cs="Times New Roman"/>
          <w:b/>
          <w:bCs/>
          <w:color w:val="auto"/>
          <w:szCs w:val="21"/>
          <w:highlight w:val="none"/>
          <w:lang w:val="zh-CN"/>
        </w:rPr>
        <w:t>安装、调试</w:t>
      </w:r>
      <w:bookmarkEnd w:id="571"/>
      <w:bookmarkEnd w:id="572"/>
    </w:p>
    <w:p w14:paraId="436CEB8F">
      <w:pPr>
        <w:tabs>
          <w:tab w:val="left" w:pos="567"/>
        </w:tabs>
        <w:spacing w:line="360" w:lineRule="auto"/>
        <w:ind w:firstLine="422" w:firstLineChars="200"/>
        <w:rPr>
          <w:rFonts w:ascii="Times New Roman" w:hAnsi="Times New Roman" w:eastAsia="宋体" w:cs="Times New Roman"/>
          <w:color w:val="auto"/>
          <w:szCs w:val="24"/>
          <w:highlight w:val="none"/>
        </w:rPr>
      </w:pPr>
      <w:r>
        <w:rPr>
          <w:rFonts w:ascii="Times New Roman" w:hAnsi="Times New Roman" w:eastAsia="宋体" w:cs="Times New Roman"/>
          <w:b/>
          <w:bCs/>
          <w:color w:val="auto"/>
          <w:szCs w:val="24"/>
          <w:highlight w:val="none"/>
        </w:rPr>
        <w:t>（1）中标人应于交货后派专业技术人员在招标人规定的时间内完成供货，并在交接验收合格后</w:t>
      </w:r>
      <w:r>
        <w:rPr>
          <w:rFonts w:ascii="Times New Roman" w:hAnsi="Times New Roman" w:eastAsia="宋体" w:cs="Times New Roman"/>
          <w:b/>
          <w:bCs/>
          <w:color w:val="auto"/>
          <w:szCs w:val="24"/>
          <w:highlight w:val="none"/>
          <w:u w:val="single"/>
        </w:rPr>
        <w:t xml:space="preserve"> </w:t>
      </w:r>
      <w:r>
        <w:rPr>
          <w:rFonts w:hint="eastAsia" w:ascii="Times New Roman" w:hAnsi="Times New Roman" w:eastAsia="宋体" w:cs="Times New Roman"/>
          <w:b/>
          <w:bCs/>
          <w:color w:val="auto"/>
          <w:szCs w:val="24"/>
          <w:highlight w:val="none"/>
          <w:u w:val="single"/>
        </w:rPr>
        <w:t>270</w:t>
      </w:r>
      <w:r>
        <w:rPr>
          <w:rFonts w:ascii="Times New Roman" w:hAnsi="Times New Roman" w:eastAsia="宋体" w:cs="Times New Roman"/>
          <w:b/>
          <w:bCs/>
          <w:color w:val="auto"/>
          <w:szCs w:val="24"/>
          <w:highlight w:val="none"/>
          <w:u w:val="single"/>
        </w:rPr>
        <w:t xml:space="preserve"> </w:t>
      </w:r>
      <w:r>
        <w:rPr>
          <w:rFonts w:hint="eastAsia" w:ascii="Times New Roman" w:hAnsi="Times New Roman" w:eastAsia="宋体" w:cs="Times New Roman"/>
          <w:b/>
          <w:bCs/>
          <w:color w:val="auto"/>
          <w:szCs w:val="24"/>
          <w:highlight w:val="none"/>
          <w:u w:val="single"/>
        </w:rPr>
        <w:t>日</w:t>
      </w:r>
      <w:r>
        <w:rPr>
          <w:rFonts w:ascii="Times New Roman" w:hAnsi="Times New Roman" w:eastAsia="宋体" w:cs="Times New Roman"/>
          <w:b/>
          <w:bCs/>
          <w:color w:val="auto"/>
          <w:szCs w:val="24"/>
          <w:highlight w:val="none"/>
        </w:rPr>
        <w:t>内完成全部设备的安装，且经招标人初步验收合格。中标人负责在招标人要求的时间内完成</w:t>
      </w:r>
      <w:r>
        <w:rPr>
          <w:rFonts w:hint="eastAsia" w:ascii="Times New Roman" w:hAnsi="Times New Roman" w:eastAsia="宋体" w:cs="Times New Roman"/>
          <w:b/>
          <w:bCs/>
          <w:color w:val="auto"/>
          <w:szCs w:val="24"/>
          <w:highlight w:val="none"/>
        </w:rPr>
        <w:t>系统功能完整度测试</w:t>
      </w:r>
      <w:r>
        <w:rPr>
          <w:rFonts w:ascii="Times New Roman" w:hAnsi="Times New Roman" w:eastAsia="宋体" w:cs="Times New Roman"/>
          <w:b/>
          <w:bCs/>
          <w:color w:val="auto"/>
          <w:szCs w:val="24"/>
          <w:highlight w:val="none"/>
        </w:rPr>
        <w:t>，以及性能考核的技术指导工作。</w:t>
      </w:r>
    </w:p>
    <w:p w14:paraId="582B4BA7">
      <w:pPr>
        <w:tabs>
          <w:tab w:val="left" w:pos="567"/>
        </w:tabs>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（2）在货物安装、调试过程中，中标人应遵守招标人现场的管理规定，并遵守工程施工、安全生产、消防安全的有关管理规定，采取必要的安全防范措施，消除事故隐患，并随时接受招标人（</w:t>
      </w:r>
      <w:r>
        <w:rPr>
          <w:rFonts w:hint="eastAsia" w:ascii="Times New Roman" w:hAnsi="Times New Roman" w:eastAsia="宋体" w:cs="Times New Roman"/>
          <w:color w:val="auto"/>
          <w:szCs w:val="24"/>
          <w:highlight w:val="none"/>
        </w:rPr>
        <w:t>或</w:t>
      </w:r>
      <w:r>
        <w:rPr>
          <w:rFonts w:ascii="Times New Roman" w:hAnsi="Times New Roman" w:eastAsia="宋体" w:cs="Times New Roman"/>
          <w:color w:val="auto"/>
          <w:szCs w:val="24"/>
          <w:highlight w:val="none"/>
        </w:rPr>
        <w:t>招标人委托的第三方）安全检查人员的监督检查。在中标人搬运、安装、调试</w:t>
      </w:r>
      <w:r>
        <w:rPr>
          <w:rFonts w:hint="eastAsia" w:ascii="Times New Roman" w:hAnsi="Times New Roman" w:eastAsia="宋体" w:cs="Times New Roman"/>
          <w:color w:val="auto"/>
          <w:szCs w:val="24"/>
          <w:highlight w:val="none"/>
        </w:rPr>
        <w:t>、验收</w:t>
      </w:r>
      <w:r>
        <w:rPr>
          <w:rFonts w:ascii="Times New Roman" w:hAnsi="Times New Roman" w:eastAsia="宋体" w:cs="Times New Roman"/>
          <w:color w:val="auto"/>
          <w:szCs w:val="24"/>
          <w:highlight w:val="none"/>
        </w:rPr>
        <w:t>过程中所产生的安全责任（包括但不限于对协助人员、施工人员、第三方所造成的财物毁损、人员损伤、</w:t>
      </w:r>
      <w:r>
        <w:rPr>
          <w:rFonts w:ascii="Times New Roman" w:hAnsi="Times New Roman" w:eastAsia="宋体" w:cs="Times New Roman"/>
          <w:color w:val="auto"/>
          <w:szCs w:val="21"/>
          <w:highlight w:val="none"/>
        </w:rPr>
        <w:t>以及防火、防电、防盗责任</w:t>
      </w:r>
      <w:r>
        <w:rPr>
          <w:rFonts w:ascii="Times New Roman" w:hAnsi="Times New Roman" w:eastAsia="宋体" w:cs="Times New Roman"/>
          <w:color w:val="auto"/>
          <w:szCs w:val="24"/>
          <w:highlight w:val="none"/>
        </w:rPr>
        <w:t>等），中标人应承担全部赔偿及相关法律责任，与招标人无关；如因此造成招标人损失的，中标人应按招标人实际损失款项的【2】倍标准进行赔偿。</w:t>
      </w:r>
    </w:p>
    <w:p w14:paraId="74C29497">
      <w:pPr>
        <w:tabs>
          <w:tab w:val="left" w:pos="567"/>
        </w:tabs>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3）中标人负责安装、调试，并及时解决调试、试运行中出现的由中标人供货设备导致的问题，相关问题的解决时长以不影响工期为原则，否则将视为中标人逾期交货，且招标人有权追究中标人逾期交货的责任，即每逾期一日，中标人应按合同</w:t>
      </w:r>
      <w:r>
        <w:rPr>
          <w:rFonts w:hint="eastAsia" w:ascii="Times New Roman" w:hAnsi="Times New Roman" w:eastAsia="宋体" w:cs="Times New Roman"/>
          <w:color w:val="auto"/>
          <w:szCs w:val="24"/>
          <w:highlight w:val="none"/>
        </w:rPr>
        <w:t>总</w:t>
      </w:r>
      <w:r>
        <w:rPr>
          <w:rFonts w:ascii="Times New Roman" w:hAnsi="Times New Roman" w:eastAsia="宋体" w:cs="Times New Roman"/>
          <w:color w:val="auto"/>
          <w:szCs w:val="24"/>
          <w:highlight w:val="none"/>
        </w:rPr>
        <w:t>价</w:t>
      </w:r>
      <w:r>
        <w:rPr>
          <w:rFonts w:hint="eastAsia" w:ascii="Times New Roman" w:hAnsi="Times New Roman" w:eastAsia="宋体" w:cs="Times New Roman"/>
          <w:color w:val="auto"/>
          <w:szCs w:val="24"/>
          <w:highlight w:val="none"/>
        </w:rPr>
        <w:t>（含税）</w:t>
      </w:r>
      <w:r>
        <w:rPr>
          <w:rFonts w:ascii="Times New Roman" w:hAnsi="Times New Roman" w:eastAsia="宋体" w:cs="Times New Roman"/>
          <w:color w:val="auto"/>
          <w:szCs w:val="24"/>
          <w:highlight w:val="none"/>
        </w:rPr>
        <w:t>的5‰向招标人支付违约金。中标人逾期超过30日的，招标人可单方解除本合同，无论招标人是否解除本合同，中标人除支付前述逾期违约金外，还应按合同</w:t>
      </w:r>
      <w:r>
        <w:rPr>
          <w:rFonts w:hint="eastAsia" w:ascii="Times New Roman" w:hAnsi="Times New Roman" w:eastAsia="宋体" w:cs="Times New Roman"/>
          <w:color w:val="auto"/>
          <w:szCs w:val="24"/>
          <w:highlight w:val="none"/>
        </w:rPr>
        <w:t>总</w:t>
      </w:r>
      <w:r>
        <w:rPr>
          <w:rFonts w:ascii="Times New Roman" w:hAnsi="Times New Roman" w:eastAsia="宋体" w:cs="Times New Roman"/>
          <w:color w:val="auto"/>
          <w:szCs w:val="24"/>
          <w:highlight w:val="none"/>
        </w:rPr>
        <w:t>价</w:t>
      </w:r>
      <w:r>
        <w:rPr>
          <w:rFonts w:hint="eastAsia" w:ascii="Times New Roman" w:hAnsi="Times New Roman" w:eastAsia="宋体" w:cs="Times New Roman"/>
          <w:color w:val="auto"/>
          <w:szCs w:val="24"/>
          <w:highlight w:val="none"/>
        </w:rPr>
        <w:t>（含税）</w:t>
      </w:r>
      <w:r>
        <w:rPr>
          <w:rFonts w:ascii="Times New Roman" w:hAnsi="Times New Roman" w:eastAsia="宋体" w:cs="Times New Roman"/>
          <w:color w:val="auto"/>
          <w:szCs w:val="24"/>
          <w:highlight w:val="none"/>
        </w:rPr>
        <w:t>的5%向招标人支付</w:t>
      </w:r>
      <w:r>
        <w:rPr>
          <w:rFonts w:hint="eastAsia" w:ascii="Times New Roman" w:hAnsi="Times New Roman" w:eastAsia="宋体" w:cs="Times New Roman"/>
          <w:color w:val="auto"/>
          <w:szCs w:val="24"/>
          <w:highlight w:val="none"/>
        </w:rPr>
        <w:t>赔偿金</w:t>
      </w:r>
      <w:r>
        <w:rPr>
          <w:rFonts w:ascii="Times New Roman" w:hAnsi="Times New Roman" w:eastAsia="宋体" w:cs="Times New Roman"/>
          <w:color w:val="auto"/>
          <w:szCs w:val="24"/>
          <w:highlight w:val="none"/>
        </w:rPr>
        <w:t>。该部分金额不足以弥补招标人损失的，招标人有权另行追偿。</w:t>
      </w:r>
    </w:p>
    <w:p w14:paraId="4528039E">
      <w:pPr>
        <w:tabs>
          <w:tab w:val="left" w:pos="567"/>
        </w:tabs>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（4）中标人现场施工需服从、配合施工总承包单位（由招标人另行委托）的安全文明施工管理</w:t>
      </w:r>
      <w:r>
        <w:rPr>
          <w:rFonts w:hint="eastAsia" w:ascii="Times New Roman" w:hAnsi="Times New Roman" w:eastAsia="宋体" w:cs="Times New Roman"/>
          <w:color w:val="auto"/>
          <w:szCs w:val="24"/>
          <w:highlight w:val="none"/>
        </w:rPr>
        <w:t>，并与施工总承包单位签订安全生产协议。由于中标人原因造成其他第三方参建单位人员伤亡、财物损失或者被监督部门行政处罚，中标人须承担相应赔偿责任</w:t>
      </w:r>
      <w:r>
        <w:rPr>
          <w:rFonts w:ascii="Times New Roman" w:hAnsi="Times New Roman" w:eastAsia="宋体" w:cs="Times New Roman"/>
          <w:color w:val="auto"/>
          <w:szCs w:val="24"/>
          <w:highlight w:val="none"/>
        </w:rPr>
        <w:t>。</w:t>
      </w:r>
    </w:p>
    <w:p w14:paraId="70FF0142">
      <w:pPr>
        <w:tabs>
          <w:tab w:val="left" w:pos="567"/>
        </w:tabs>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（5）中标人应严格按照国家有关安全文明施工的标准与规范制定安全文明施工操作规程，配备必要的安全生产和劳动保护设施，加强对施工作业人员的施工安全教育培训，对他们的安全负责。</w:t>
      </w:r>
    </w:p>
    <w:p w14:paraId="473DF7B5">
      <w:pPr>
        <w:tabs>
          <w:tab w:val="left" w:pos="567"/>
        </w:tabs>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（6）中标人应对合同工程的安全文明施工负责，采取有效的安全措施消除安全事故隐患，并接受和配合依法实施的监督检查。</w:t>
      </w:r>
    </w:p>
    <w:p w14:paraId="2CECDCFB">
      <w:pPr>
        <w:tabs>
          <w:tab w:val="left" w:pos="567"/>
        </w:tabs>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7）中标人应遵守国家有关环境保护、卫生监督的法律法规，采取有效措施，保证施工场地达到环境保护、卫生部门的管理要求，为现场自有人员（含委派人员）提供并维护干净卫生的生活设施，保持施工场地的清洁整齐。</w:t>
      </w:r>
    </w:p>
    <w:p w14:paraId="321283C8">
      <w:pPr>
        <w:tabs>
          <w:tab w:val="left" w:pos="567"/>
        </w:tabs>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8</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为保证合同设备的性能、满足招标文件要求功能且长期、稳定、正常运行要求所需要的，除施工图纸设计的预留洞口、预埋件、回填外，需要另行发生的开（补）洞口、增加预埋件、填缝、回填材料、水管、电路接驳、安全装置等，均由中标人自行负责，其费用包括在投标价中</w:t>
      </w:r>
      <w:r>
        <w:rPr>
          <w:rFonts w:ascii="Times New Roman" w:hAnsi="Times New Roman" w:eastAsia="宋体" w:cs="Times New Roman"/>
          <w:color w:val="auto"/>
          <w:szCs w:val="24"/>
          <w:highlight w:val="none"/>
        </w:rPr>
        <w:t>。</w:t>
      </w:r>
    </w:p>
    <w:p w14:paraId="4B9195BD">
      <w:pPr>
        <w:keepNext/>
        <w:keepLines/>
        <w:numPr>
          <w:ilvl w:val="1"/>
          <w:numId w:val="23"/>
        </w:numPr>
        <w:adjustRightInd w:val="0"/>
        <w:snapToGrid w:val="0"/>
        <w:spacing w:line="360" w:lineRule="auto"/>
        <w:ind w:firstLine="426"/>
        <w:outlineLvl w:val="1"/>
        <w:rPr>
          <w:rFonts w:ascii="Times New Roman" w:hAnsi="Times New Roman" w:eastAsia="宋体" w:cs="Times New Roman"/>
          <w:b/>
          <w:bCs/>
          <w:color w:val="auto"/>
          <w:szCs w:val="21"/>
          <w:highlight w:val="none"/>
          <w:lang w:val="zh-CN"/>
        </w:rPr>
      </w:pPr>
      <w:bookmarkStart w:id="573" w:name="_Toc6217"/>
      <w:bookmarkStart w:id="574" w:name="_Toc195714320"/>
      <w:r>
        <w:rPr>
          <w:rFonts w:ascii="Times New Roman" w:hAnsi="Times New Roman" w:eastAsia="宋体" w:cs="Times New Roman"/>
          <w:b/>
          <w:bCs/>
          <w:color w:val="auto"/>
          <w:szCs w:val="21"/>
          <w:highlight w:val="none"/>
          <w:lang w:val="zh-CN"/>
        </w:rPr>
        <w:t>验收要求</w:t>
      </w:r>
      <w:bookmarkEnd w:id="573"/>
      <w:bookmarkEnd w:id="574"/>
    </w:p>
    <w:p w14:paraId="5867BE20">
      <w:pPr>
        <w:tabs>
          <w:tab w:val="left" w:pos="567"/>
        </w:tabs>
        <w:spacing w:line="360" w:lineRule="auto"/>
        <w:ind w:firstLine="424" w:firstLineChars="202"/>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验收分为货到交货地点的交接验收，货物完成安装、</w:t>
      </w:r>
      <w:r>
        <w:rPr>
          <w:rFonts w:hint="eastAsia" w:ascii="Times New Roman" w:hAnsi="Times New Roman" w:eastAsia="宋体" w:cs="Times New Roman"/>
          <w:color w:val="auto"/>
          <w:szCs w:val="24"/>
          <w:highlight w:val="none"/>
        </w:rPr>
        <w:t>调试、系统功能完整度测试</w:t>
      </w:r>
      <w:r>
        <w:rPr>
          <w:rFonts w:ascii="Times New Roman" w:hAnsi="Times New Roman" w:eastAsia="宋体" w:cs="Times New Roman"/>
          <w:color w:val="auto"/>
          <w:szCs w:val="24"/>
          <w:highlight w:val="none"/>
        </w:rPr>
        <w:t>的初步验收，和</w:t>
      </w:r>
      <w:r>
        <w:rPr>
          <w:rFonts w:hint="eastAsia" w:ascii="Times New Roman" w:hAnsi="Times New Roman" w:eastAsia="宋体" w:cs="Times New Roman"/>
          <w:color w:val="auto"/>
          <w:szCs w:val="24"/>
          <w:highlight w:val="none"/>
        </w:rPr>
        <w:t>上线试运行并完成整改</w:t>
      </w:r>
      <w:r>
        <w:rPr>
          <w:rFonts w:ascii="Times New Roman" w:hAnsi="Times New Roman" w:eastAsia="宋体" w:cs="Times New Roman"/>
          <w:color w:val="auto"/>
          <w:szCs w:val="24"/>
          <w:highlight w:val="none"/>
        </w:rPr>
        <w:t>的最终验收，并符合《城镇污水处理厂工程质量验收规范》（GB50334-2017）、《城乡排水工程项目规范》</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GB55027-2022</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等的规定。</w:t>
      </w:r>
    </w:p>
    <w:p w14:paraId="4425C08C">
      <w:pPr>
        <w:spacing w:line="360" w:lineRule="auto"/>
        <w:ind w:firstLine="420" w:firstLineChars="200"/>
        <w:outlineLvl w:val="2"/>
        <w:rPr>
          <w:rFonts w:ascii="Times New Roman" w:hAnsi="Times New Roman" w:eastAsia="宋体" w:cs="Times New Roman"/>
          <w:color w:val="auto"/>
          <w:szCs w:val="24"/>
          <w:highlight w:val="none"/>
        </w:rPr>
      </w:pPr>
      <w:bookmarkStart w:id="575" w:name="_Toc7987"/>
      <w:bookmarkStart w:id="576" w:name="_Toc195714321"/>
      <w:r>
        <w:rPr>
          <w:rFonts w:hint="eastAsia" w:ascii="Times New Roman" w:hAnsi="Times New Roman" w:eastAsia="宋体" w:cs="Times New Roman"/>
          <w:color w:val="auto"/>
          <w:szCs w:val="24"/>
          <w:highlight w:val="none"/>
        </w:rPr>
        <w:t>2.8.1 项目验收依据</w:t>
      </w:r>
      <w:bookmarkEnd w:id="575"/>
      <w:bookmarkEnd w:id="576"/>
    </w:p>
    <w:p w14:paraId="30FA82FD">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项目验收的依据主要包括项目</w:t>
      </w:r>
      <w:r>
        <w:rPr>
          <w:rFonts w:hint="eastAsia" w:ascii="Times New Roman" w:hAnsi="Times New Roman" w:eastAsia="宋体" w:cs="Times New Roman"/>
          <w:color w:val="auto"/>
          <w:szCs w:val="24"/>
          <w:highlight w:val="none"/>
        </w:rPr>
        <w:t>可研文件、</w:t>
      </w:r>
      <w:r>
        <w:rPr>
          <w:rFonts w:ascii="Times New Roman" w:hAnsi="Times New Roman" w:eastAsia="宋体" w:cs="Times New Roman"/>
          <w:color w:val="auto"/>
          <w:szCs w:val="24"/>
          <w:highlight w:val="none"/>
        </w:rPr>
        <w:t>合同及相应招投标文件、经审批部门审定的项目设计方案和批复文件、项目</w:t>
      </w:r>
      <w:r>
        <w:rPr>
          <w:rFonts w:hint="eastAsia" w:ascii="Times New Roman" w:hAnsi="Times New Roman" w:eastAsia="宋体" w:cs="Times New Roman"/>
          <w:color w:val="auto"/>
          <w:szCs w:val="24"/>
          <w:highlight w:val="none"/>
        </w:rPr>
        <w:t>招标人</w:t>
      </w:r>
      <w:r>
        <w:rPr>
          <w:rFonts w:ascii="Times New Roman" w:hAnsi="Times New Roman" w:eastAsia="宋体" w:cs="Times New Roman"/>
          <w:color w:val="auto"/>
          <w:szCs w:val="24"/>
          <w:highlight w:val="none"/>
        </w:rPr>
        <w:t>下达的任务书和验收</w:t>
      </w:r>
      <w:r>
        <w:rPr>
          <w:rFonts w:hint="eastAsia" w:ascii="Times New Roman" w:hAnsi="Times New Roman" w:eastAsia="宋体" w:cs="Times New Roman"/>
          <w:color w:val="auto"/>
          <w:szCs w:val="24"/>
          <w:highlight w:val="none"/>
        </w:rPr>
        <w:t>招标人与中标人双方</w:t>
      </w:r>
      <w:r>
        <w:rPr>
          <w:rFonts w:ascii="Times New Roman" w:hAnsi="Times New Roman" w:eastAsia="宋体" w:cs="Times New Roman"/>
          <w:color w:val="auto"/>
          <w:szCs w:val="24"/>
          <w:highlight w:val="none"/>
        </w:rPr>
        <w:t>约定的验收依据文档或相关标准。</w:t>
      </w:r>
    </w:p>
    <w:p w14:paraId="6F9028C3">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注：</w:t>
      </w:r>
      <w:r>
        <w:rPr>
          <w:rFonts w:hint="eastAsia" w:ascii="Times New Roman" w:hAnsi="Times New Roman" w:eastAsia="宋体" w:cs="Times New Roman"/>
          <w:color w:val="auto"/>
          <w:szCs w:val="24"/>
          <w:highlight w:val="none"/>
        </w:rPr>
        <w:t>招标人与中标人</w:t>
      </w:r>
      <w:r>
        <w:rPr>
          <w:rFonts w:ascii="Times New Roman" w:hAnsi="Times New Roman" w:eastAsia="宋体" w:cs="Times New Roman"/>
          <w:color w:val="auto"/>
          <w:szCs w:val="24"/>
          <w:highlight w:val="none"/>
        </w:rPr>
        <w:t>双方约定的验收依据文档，</w:t>
      </w:r>
      <w:r>
        <w:rPr>
          <w:rFonts w:hint="eastAsia" w:ascii="Times New Roman" w:hAnsi="Times New Roman" w:eastAsia="宋体" w:cs="Times New Roman"/>
          <w:color w:val="auto"/>
          <w:szCs w:val="24"/>
          <w:highlight w:val="none"/>
        </w:rPr>
        <w:t>包括但不限于如下：</w:t>
      </w:r>
    </w:p>
    <w:tbl>
      <w:tblPr>
        <w:tblStyle w:val="44"/>
        <w:tblW w:w="4994" w:type="pct"/>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98"/>
        <w:gridCol w:w="9160"/>
      </w:tblGrid>
      <w:tr w14:paraId="1D256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40A64596">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
                <w:color w:val="auto"/>
                <w:szCs w:val="28"/>
                <w:highlight w:val="none"/>
              </w:rPr>
            </w:pPr>
            <w:r>
              <w:rPr>
                <w:rFonts w:hint="eastAsia" w:ascii="仿宋_GB2312" w:hAnsi="仿宋_GB2312" w:eastAsia="宋体" w:cs="仿宋_GB2312"/>
                <w:b/>
                <w:color w:val="auto"/>
                <w:szCs w:val="21"/>
                <w:highlight w:val="none"/>
                <w:lang w:bidi="ar"/>
              </w:rPr>
              <w:t>编号</w:t>
            </w:r>
          </w:p>
        </w:tc>
        <w:tc>
          <w:tcPr>
            <w:tcW w:w="4421" w:type="pct"/>
            <w:tcBorders>
              <w:top w:val="single" w:color="000000" w:sz="4" w:space="0"/>
              <w:left w:val="nil"/>
              <w:bottom w:val="single" w:color="000000" w:sz="4" w:space="0"/>
              <w:right w:val="single" w:color="000000" w:sz="4" w:space="0"/>
            </w:tcBorders>
            <w:shd w:val="clear" w:color="auto" w:fill="D9D9D9"/>
            <w:vAlign w:val="center"/>
          </w:tcPr>
          <w:p w14:paraId="2326A803">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
                <w:color w:val="auto"/>
                <w:szCs w:val="28"/>
                <w:highlight w:val="none"/>
              </w:rPr>
            </w:pPr>
            <w:r>
              <w:rPr>
                <w:rFonts w:hint="eastAsia" w:ascii="仿宋_GB2312" w:hAnsi="仿宋_GB2312" w:eastAsia="宋体" w:cs="仿宋_GB2312"/>
                <w:b/>
                <w:color w:val="auto"/>
                <w:szCs w:val="21"/>
                <w:highlight w:val="none"/>
                <w:lang w:bidi="ar"/>
              </w:rPr>
              <w:t>名称</w:t>
            </w:r>
          </w:p>
        </w:tc>
      </w:tr>
      <w:tr w14:paraId="36054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D2EFE">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Cs/>
                <w:color w:val="auto"/>
                <w:szCs w:val="28"/>
                <w:highlight w:val="none"/>
              </w:rPr>
            </w:pPr>
            <w:r>
              <w:rPr>
                <w:rFonts w:hint="eastAsia" w:ascii="仿宋_GB2312" w:hAnsi="仿宋_GB2312" w:eastAsia="宋体" w:cs="仿宋_GB2312"/>
                <w:bCs/>
                <w:color w:val="auto"/>
                <w:szCs w:val="21"/>
                <w:highlight w:val="none"/>
                <w:lang w:bidi="ar"/>
              </w:rPr>
              <w:t>1</w:t>
            </w:r>
          </w:p>
        </w:tc>
        <w:tc>
          <w:tcPr>
            <w:tcW w:w="4421" w:type="pct"/>
            <w:tcBorders>
              <w:top w:val="single" w:color="000000" w:sz="4" w:space="0"/>
              <w:left w:val="nil"/>
              <w:bottom w:val="single" w:color="000000" w:sz="4" w:space="0"/>
              <w:right w:val="single" w:color="000000" w:sz="4" w:space="0"/>
            </w:tcBorders>
            <w:shd w:val="clear" w:color="auto" w:fill="auto"/>
            <w:vAlign w:val="center"/>
          </w:tcPr>
          <w:p w14:paraId="1D479777">
            <w:pPr>
              <w:keepNext w:val="0"/>
              <w:keepLines w:val="0"/>
              <w:suppressLineNumbers w:val="0"/>
              <w:autoSpaceDN w:val="0"/>
              <w:spacing w:before="0" w:beforeAutospacing="0" w:after="0" w:afterAutospacing="0"/>
              <w:ind w:left="0" w:right="0"/>
              <w:rPr>
                <w:rFonts w:hint="default" w:ascii="仿宋_GB2312" w:hAnsi="仿宋_GB2312" w:eastAsia="宋体" w:cs="仿宋_GB2312"/>
                <w:color w:val="auto"/>
                <w:szCs w:val="28"/>
                <w:highlight w:val="none"/>
              </w:rPr>
            </w:pPr>
            <w:r>
              <w:rPr>
                <w:rFonts w:hint="eastAsia" w:ascii="仿宋_GB2312" w:hAnsi="仿宋_GB2312" w:eastAsia="宋体" w:cs="仿宋_GB2312"/>
                <w:color w:val="auto"/>
                <w:szCs w:val="21"/>
                <w:highlight w:val="none"/>
                <w:lang w:bidi="ar"/>
              </w:rPr>
              <w:t>项目设计方案</w:t>
            </w:r>
          </w:p>
        </w:tc>
      </w:tr>
      <w:tr w14:paraId="5B3AF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E64FF">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Cs/>
                <w:color w:val="auto"/>
                <w:szCs w:val="28"/>
                <w:highlight w:val="none"/>
              </w:rPr>
            </w:pPr>
            <w:r>
              <w:rPr>
                <w:rFonts w:hint="eastAsia" w:ascii="仿宋_GB2312" w:hAnsi="仿宋_GB2312" w:eastAsia="宋体" w:cs="仿宋_GB2312"/>
                <w:bCs/>
                <w:color w:val="auto"/>
                <w:szCs w:val="21"/>
                <w:highlight w:val="none"/>
                <w:lang w:bidi="ar"/>
              </w:rPr>
              <w:t>2</w:t>
            </w:r>
          </w:p>
        </w:tc>
        <w:tc>
          <w:tcPr>
            <w:tcW w:w="4421" w:type="pct"/>
            <w:tcBorders>
              <w:top w:val="single" w:color="000000" w:sz="4" w:space="0"/>
              <w:left w:val="nil"/>
              <w:bottom w:val="single" w:color="000000" w:sz="4" w:space="0"/>
              <w:right w:val="single" w:color="000000" w:sz="4" w:space="0"/>
            </w:tcBorders>
            <w:shd w:val="clear" w:color="auto" w:fill="auto"/>
            <w:vAlign w:val="center"/>
          </w:tcPr>
          <w:p w14:paraId="104F127C">
            <w:pPr>
              <w:keepNext w:val="0"/>
              <w:keepLines w:val="0"/>
              <w:suppressLineNumbers w:val="0"/>
              <w:autoSpaceDN w:val="0"/>
              <w:spacing w:before="0" w:beforeAutospacing="0" w:after="0" w:afterAutospacing="0"/>
              <w:ind w:left="0" w:right="0"/>
              <w:rPr>
                <w:rFonts w:hint="default" w:ascii="仿宋_GB2312" w:hAnsi="仿宋_GB2312" w:eastAsia="宋体" w:cs="仿宋_GB2312"/>
                <w:color w:val="auto"/>
                <w:szCs w:val="21"/>
                <w:highlight w:val="none"/>
                <w:lang w:bidi="ar"/>
              </w:rPr>
            </w:pPr>
            <w:r>
              <w:rPr>
                <w:rFonts w:hint="eastAsia" w:ascii="仿宋_GB2312" w:hAnsi="仿宋_GB2312" w:eastAsia="宋体" w:cs="仿宋_GB2312"/>
                <w:color w:val="auto"/>
                <w:szCs w:val="21"/>
                <w:highlight w:val="none"/>
                <w:lang w:bidi="ar"/>
              </w:rPr>
              <w:t>项目合同</w:t>
            </w:r>
          </w:p>
        </w:tc>
      </w:tr>
      <w:tr w14:paraId="5A49E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58999">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Cs/>
                <w:color w:val="auto"/>
                <w:szCs w:val="28"/>
                <w:highlight w:val="none"/>
              </w:rPr>
            </w:pPr>
            <w:r>
              <w:rPr>
                <w:rFonts w:hint="eastAsia" w:ascii="仿宋_GB2312" w:hAnsi="仿宋_GB2312" w:eastAsia="宋体" w:cs="仿宋_GB2312"/>
                <w:bCs/>
                <w:color w:val="auto"/>
                <w:szCs w:val="21"/>
                <w:highlight w:val="none"/>
                <w:lang w:bidi="ar"/>
              </w:rPr>
              <w:t>3</w:t>
            </w:r>
          </w:p>
        </w:tc>
        <w:tc>
          <w:tcPr>
            <w:tcW w:w="4421" w:type="pct"/>
            <w:tcBorders>
              <w:top w:val="single" w:color="000000" w:sz="4" w:space="0"/>
              <w:left w:val="nil"/>
              <w:bottom w:val="single" w:color="000000" w:sz="4" w:space="0"/>
              <w:right w:val="single" w:color="000000" w:sz="4" w:space="0"/>
            </w:tcBorders>
            <w:shd w:val="clear" w:color="auto" w:fill="auto"/>
            <w:vAlign w:val="center"/>
          </w:tcPr>
          <w:p w14:paraId="008E8BB3">
            <w:pPr>
              <w:keepNext w:val="0"/>
              <w:keepLines w:val="0"/>
              <w:suppressLineNumbers w:val="0"/>
              <w:autoSpaceDN w:val="0"/>
              <w:spacing w:before="0" w:beforeAutospacing="0" w:after="0" w:afterAutospacing="0"/>
              <w:ind w:left="0" w:right="0"/>
              <w:rPr>
                <w:rFonts w:hint="default" w:ascii="仿宋_GB2312" w:hAnsi="仿宋_GB2312" w:eastAsia="宋体" w:cs="仿宋_GB2312"/>
                <w:color w:val="auto"/>
                <w:szCs w:val="28"/>
                <w:highlight w:val="none"/>
              </w:rPr>
            </w:pPr>
            <w:r>
              <w:rPr>
                <w:rFonts w:hint="eastAsia" w:ascii="仿宋_GB2312" w:hAnsi="仿宋_GB2312" w:eastAsia="宋体" w:cs="仿宋_GB2312"/>
                <w:color w:val="auto"/>
                <w:szCs w:val="21"/>
                <w:highlight w:val="none"/>
                <w:lang w:bidi="ar"/>
              </w:rPr>
              <w:t>项目实施方案、履约清单</w:t>
            </w:r>
          </w:p>
        </w:tc>
      </w:tr>
      <w:tr w14:paraId="538CA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3B9C2">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Cs/>
                <w:color w:val="auto"/>
                <w:szCs w:val="28"/>
                <w:highlight w:val="none"/>
              </w:rPr>
            </w:pPr>
            <w:r>
              <w:rPr>
                <w:rFonts w:hint="eastAsia" w:ascii="仿宋_GB2312" w:hAnsi="仿宋_GB2312" w:eastAsia="宋体" w:cs="仿宋_GB2312"/>
                <w:bCs/>
                <w:color w:val="auto"/>
                <w:szCs w:val="21"/>
                <w:highlight w:val="none"/>
                <w:lang w:bidi="ar"/>
              </w:rPr>
              <w:t>4</w:t>
            </w:r>
          </w:p>
        </w:tc>
        <w:tc>
          <w:tcPr>
            <w:tcW w:w="4421" w:type="pct"/>
            <w:tcBorders>
              <w:top w:val="single" w:color="000000" w:sz="4" w:space="0"/>
              <w:left w:val="nil"/>
              <w:bottom w:val="single" w:color="000000" w:sz="4" w:space="0"/>
              <w:right w:val="single" w:color="000000" w:sz="4" w:space="0"/>
            </w:tcBorders>
            <w:shd w:val="clear" w:color="auto" w:fill="auto"/>
            <w:vAlign w:val="center"/>
          </w:tcPr>
          <w:p w14:paraId="3BA09D16">
            <w:pPr>
              <w:keepNext w:val="0"/>
              <w:keepLines w:val="0"/>
              <w:suppressLineNumbers w:val="0"/>
              <w:autoSpaceDN w:val="0"/>
              <w:spacing w:before="0" w:beforeAutospacing="0" w:after="0" w:afterAutospacing="0"/>
              <w:ind w:left="0" w:right="0"/>
              <w:rPr>
                <w:rFonts w:hint="default" w:ascii="仿宋_GB2312" w:hAnsi="仿宋_GB2312" w:eastAsia="宋体" w:cs="仿宋_GB2312"/>
                <w:color w:val="auto"/>
                <w:szCs w:val="28"/>
                <w:highlight w:val="none"/>
              </w:rPr>
            </w:pPr>
            <w:r>
              <w:rPr>
                <w:rFonts w:hint="eastAsia" w:ascii="仿宋_GB2312" w:hAnsi="仿宋_GB2312" w:eastAsia="宋体" w:cs="仿宋_GB2312"/>
                <w:color w:val="auto"/>
                <w:szCs w:val="21"/>
                <w:highlight w:val="none"/>
                <w:lang w:bidi="ar"/>
              </w:rPr>
              <w:t>项目设备、软件需求规格说明书</w:t>
            </w:r>
          </w:p>
        </w:tc>
      </w:tr>
      <w:tr w14:paraId="13126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52CB8">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Cs/>
                <w:color w:val="auto"/>
                <w:szCs w:val="28"/>
                <w:highlight w:val="none"/>
              </w:rPr>
            </w:pPr>
            <w:r>
              <w:rPr>
                <w:rFonts w:hint="eastAsia" w:ascii="仿宋_GB2312" w:hAnsi="仿宋_GB2312" w:eastAsia="宋体" w:cs="仿宋_GB2312"/>
                <w:bCs/>
                <w:color w:val="auto"/>
                <w:szCs w:val="21"/>
                <w:highlight w:val="none"/>
                <w:lang w:bidi="ar"/>
              </w:rPr>
              <w:t>5</w:t>
            </w:r>
          </w:p>
        </w:tc>
        <w:tc>
          <w:tcPr>
            <w:tcW w:w="4421" w:type="pct"/>
            <w:tcBorders>
              <w:top w:val="single" w:color="000000" w:sz="4" w:space="0"/>
              <w:left w:val="nil"/>
              <w:bottom w:val="single" w:color="000000" w:sz="4" w:space="0"/>
              <w:right w:val="single" w:color="000000" w:sz="4" w:space="0"/>
            </w:tcBorders>
            <w:shd w:val="clear" w:color="auto" w:fill="auto"/>
            <w:vAlign w:val="center"/>
          </w:tcPr>
          <w:p w14:paraId="7F686767">
            <w:pPr>
              <w:keepNext w:val="0"/>
              <w:keepLines w:val="0"/>
              <w:suppressLineNumbers w:val="0"/>
              <w:autoSpaceDN w:val="0"/>
              <w:spacing w:before="0" w:beforeAutospacing="0" w:after="0" w:afterAutospacing="0"/>
              <w:ind w:left="0" w:right="0"/>
              <w:rPr>
                <w:rFonts w:hint="default" w:ascii="仿宋_GB2312" w:hAnsi="仿宋_GB2312" w:eastAsia="宋体" w:cs="仿宋_GB2312"/>
                <w:color w:val="auto"/>
                <w:szCs w:val="28"/>
                <w:highlight w:val="none"/>
              </w:rPr>
            </w:pPr>
            <w:r>
              <w:rPr>
                <w:rFonts w:hint="eastAsia" w:ascii="仿宋_GB2312" w:hAnsi="仿宋_GB2312" w:eastAsia="宋体" w:cs="仿宋_GB2312"/>
                <w:color w:val="auto"/>
                <w:szCs w:val="21"/>
                <w:highlight w:val="none"/>
                <w:lang w:bidi="ar"/>
              </w:rPr>
              <w:t>项目概要设计说明书</w:t>
            </w:r>
          </w:p>
        </w:tc>
      </w:tr>
      <w:tr w14:paraId="4F1C8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1644B">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Cs/>
                <w:color w:val="auto"/>
                <w:szCs w:val="28"/>
                <w:highlight w:val="none"/>
              </w:rPr>
            </w:pPr>
            <w:r>
              <w:rPr>
                <w:rFonts w:hint="eastAsia" w:ascii="仿宋_GB2312" w:hAnsi="仿宋_GB2312" w:eastAsia="宋体" w:cs="仿宋_GB2312"/>
                <w:bCs/>
                <w:color w:val="auto"/>
                <w:szCs w:val="21"/>
                <w:highlight w:val="none"/>
                <w:lang w:bidi="ar"/>
              </w:rPr>
              <w:t>6</w:t>
            </w:r>
          </w:p>
        </w:tc>
        <w:tc>
          <w:tcPr>
            <w:tcW w:w="4421" w:type="pct"/>
            <w:tcBorders>
              <w:top w:val="single" w:color="000000" w:sz="4" w:space="0"/>
              <w:left w:val="nil"/>
              <w:bottom w:val="single" w:color="000000" w:sz="4" w:space="0"/>
              <w:right w:val="single" w:color="000000" w:sz="4" w:space="0"/>
            </w:tcBorders>
            <w:shd w:val="clear" w:color="auto" w:fill="auto"/>
            <w:vAlign w:val="center"/>
          </w:tcPr>
          <w:p w14:paraId="41A8322B">
            <w:pPr>
              <w:keepNext w:val="0"/>
              <w:keepLines w:val="0"/>
              <w:suppressLineNumbers w:val="0"/>
              <w:autoSpaceDN w:val="0"/>
              <w:spacing w:before="0" w:beforeAutospacing="0" w:after="0" w:afterAutospacing="0"/>
              <w:ind w:left="0" w:right="0"/>
              <w:rPr>
                <w:rFonts w:hint="default" w:ascii="仿宋_GB2312" w:hAnsi="仿宋_GB2312" w:eastAsia="宋体" w:cs="仿宋_GB2312"/>
                <w:color w:val="auto"/>
                <w:szCs w:val="28"/>
                <w:highlight w:val="none"/>
              </w:rPr>
            </w:pPr>
            <w:r>
              <w:rPr>
                <w:rFonts w:hint="eastAsia" w:ascii="仿宋_GB2312" w:hAnsi="仿宋_GB2312" w:eastAsia="宋体" w:cs="仿宋_GB2312"/>
                <w:color w:val="auto"/>
                <w:szCs w:val="21"/>
                <w:highlight w:val="none"/>
                <w:lang w:bidi="ar"/>
              </w:rPr>
              <w:t>项目详细设计说明书</w:t>
            </w:r>
          </w:p>
        </w:tc>
      </w:tr>
      <w:tr w14:paraId="50D46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77A1B">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Cs/>
                <w:color w:val="auto"/>
                <w:szCs w:val="28"/>
                <w:highlight w:val="none"/>
              </w:rPr>
            </w:pPr>
            <w:r>
              <w:rPr>
                <w:rFonts w:hint="eastAsia" w:ascii="仿宋_GB2312" w:hAnsi="仿宋_GB2312" w:eastAsia="宋体" w:cs="仿宋_GB2312"/>
                <w:bCs/>
                <w:color w:val="auto"/>
                <w:szCs w:val="21"/>
                <w:highlight w:val="none"/>
                <w:lang w:bidi="ar"/>
              </w:rPr>
              <w:t>7</w:t>
            </w:r>
          </w:p>
        </w:tc>
        <w:tc>
          <w:tcPr>
            <w:tcW w:w="4421" w:type="pct"/>
            <w:tcBorders>
              <w:top w:val="single" w:color="000000" w:sz="4" w:space="0"/>
              <w:left w:val="nil"/>
              <w:bottom w:val="single" w:color="000000" w:sz="4" w:space="0"/>
              <w:right w:val="single" w:color="000000" w:sz="4" w:space="0"/>
            </w:tcBorders>
            <w:shd w:val="clear" w:color="auto" w:fill="auto"/>
            <w:vAlign w:val="center"/>
          </w:tcPr>
          <w:p w14:paraId="33208A0D">
            <w:pPr>
              <w:keepNext w:val="0"/>
              <w:keepLines w:val="0"/>
              <w:suppressLineNumbers w:val="0"/>
              <w:autoSpaceDN w:val="0"/>
              <w:spacing w:before="0" w:beforeAutospacing="0" w:after="0" w:afterAutospacing="0"/>
              <w:ind w:left="0" w:right="0"/>
              <w:rPr>
                <w:rFonts w:hint="default" w:ascii="仿宋_GB2312" w:hAnsi="仿宋_GB2312" w:eastAsia="宋体" w:cs="仿宋_GB2312"/>
                <w:color w:val="auto"/>
                <w:szCs w:val="28"/>
                <w:highlight w:val="none"/>
              </w:rPr>
            </w:pPr>
            <w:r>
              <w:rPr>
                <w:rFonts w:hint="eastAsia" w:ascii="仿宋_GB2312" w:hAnsi="仿宋_GB2312" w:eastAsia="宋体" w:cs="仿宋_GB2312"/>
                <w:color w:val="auto"/>
                <w:szCs w:val="21"/>
                <w:highlight w:val="none"/>
                <w:lang w:bidi="ar"/>
              </w:rPr>
              <w:t>自检测试报告</w:t>
            </w:r>
          </w:p>
        </w:tc>
      </w:tr>
      <w:tr w14:paraId="6D003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5FE6A">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Cs/>
                <w:color w:val="auto"/>
                <w:szCs w:val="28"/>
                <w:highlight w:val="none"/>
              </w:rPr>
            </w:pPr>
            <w:r>
              <w:rPr>
                <w:rFonts w:hint="eastAsia" w:ascii="仿宋_GB2312" w:hAnsi="仿宋_GB2312" w:eastAsia="宋体" w:cs="仿宋_GB2312"/>
                <w:bCs/>
                <w:color w:val="auto"/>
                <w:szCs w:val="21"/>
                <w:highlight w:val="none"/>
                <w:lang w:bidi="ar"/>
              </w:rPr>
              <w:t>8</w:t>
            </w:r>
          </w:p>
        </w:tc>
        <w:tc>
          <w:tcPr>
            <w:tcW w:w="4421" w:type="pct"/>
            <w:tcBorders>
              <w:top w:val="single" w:color="000000" w:sz="4" w:space="0"/>
              <w:left w:val="nil"/>
              <w:bottom w:val="single" w:color="000000" w:sz="4" w:space="0"/>
              <w:right w:val="single" w:color="000000" w:sz="4" w:space="0"/>
            </w:tcBorders>
            <w:shd w:val="clear" w:color="auto" w:fill="auto"/>
            <w:vAlign w:val="center"/>
          </w:tcPr>
          <w:p w14:paraId="1CE181F8">
            <w:pPr>
              <w:keepNext w:val="0"/>
              <w:keepLines w:val="0"/>
              <w:suppressLineNumbers w:val="0"/>
              <w:autoSpaceDN w:val="0"/>
              <w:spacing w:before="0" w:beforeAutospacing="0" w:after="0" w:afterAutospacing="0"/>
              <w:ind w:left="0" w:right="0"/>
              <w:rPr>
                <w:rFonts w:hint="default" w:ascii="仿宋_GB2312" w:hAnsi="仿宋_GB2312" w:eastAsia="宋体" w:cs="仿宋_GB2312"/>
                <w:color w:val="auto"/>
                <w:szCs w:val="28"/>
                <w:highlight w:val="none"/>
              </w:rPr>
            </w:pPr>
            <w:r>
              <w:rPr>
                <w:rFonts w:hint="eastAsia" w:ascii="仿宋_GB2312" w:hAnsi="仿宋_GB2312" w:eastAsia="宋体" w:cs="仿宋_GB2312"/>
                <w:color w:val="auto"/>
                <w:szCs w:val="21"/>
                <w:highlight w:val="none"/>
                <w:lang w:bidi="ar"/>
              </w:rPr>
              <w:t>初验报告</w:t>
            </w:r>
          </w:p>
        </w:tc>
      </w:tr>
      <w:tr w14:paraId="6A2F9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337E2">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Cs/>
                <w:color w:val="auto"/>
                <w:szCs w:val="28"/>
                <w:highlight w:val="none"/>
              </w:rPr>
            </w:pPr>
            <w:r>
              <w:rPr>
                <w:rFonts w:hint="eastAsia" w:ascii="仿宋_GB2312" w:hAnsi="仿宋_GB2312" w:eastAsia="宋体" w:cs="仿宋_GB2312"/>
                <w:bCs/>
                <w:color w:val="auto"/>
                <w:szCs w:val="21"/>
                <w:highlight w:val="none"/>
                <w:lang w:bidi="ar"/>
              </w:rPr>
              <w:t>9</w:t>
            </w:r>
          </w:p>
        </w:tc>
        <w:tc>
          <w:tcPr>
            <w:tcW w:w="4421" w:type="pct"/>
            <w:tcBorders>
              <w:top w:val="single" w:color="000000" w:sz="4" w:space="0"/>
              <w:left w:val="nil"/>
              <w:bottom w:val="single" w:color="000000" w:sz="4" w:space="0"/>
              <w:right w:val="single" w:color="000000" w:sz="4" w:space="0"/>
            </w:tcBorders>
            <w:shd w:val="clear" w:color="auto" w:fill="auto"/>
            <w:vAlign w:val="center"/>
          </w:tcPr>
          <w:p w14:paraId="4CC9658F">
            <w:pPr>
              <w:keepNext w:val="0"/>
              <w:keepLines w:val="0"/>
              <w:suppressLineNumbers w:val="0"/>
              <w:autoSpaceDN w:val="0"/>
              <w:spacing w:before="0" w:beforeAutospacing="0" w:after="0" w:afterAutospacing="0"/>
              <w:ind w:left="0" w:right="0"/>
              <w:rPr>
                <w:rFonts w:hint="default" w:ascii="仿宋_GB2312" w:hAnsi="仿宋_GB2312" w:eastAsia="宋体" w:cs="仿宋_GB2312"/>
                <w:color w:val="auto"/>
                <w:szCs w:val="28"/>
                <w:highlight w:val="none"/>
              </w:rPr>
            </w:pPr>
            <w:r>
              <w:rPr>
                <w:rFonts w:hint="eastAsia" w:ascii="仿宋_GB2312" w:hAnsi="仿宋_GB2312" w:eastAsia="宋体" w:cs="仿宋_GB2312"/>
                <w:color w:val="auto"/>
                <w:szCs w:val="21"/>
                <w:highlight w:val="none"/>
                <w:lang w:bidi="ar"/>
              </w:rPr>
              <w:t>试运行总结报告</w:t>
            </w:r>
          </w:p>
        </w:tc>
      </w:tr>
      <w:tr w14:paraId="5C29C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6832A">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Cs/>
                <w:color w:val="auto"/>
                <w:szCs w:val="28"/>
                <w:highlight w:val="none"/>
              </w:rPr>
            </w:pPr>
            <w:r>
              <w:rPr>
                <w:rFonts w:hint="eastAsia" w:ascii="仿宋_GB2312" w:hAnsi="仿宋_GB2312" w:eastAsia="宋体" w:cs="仿宋_GB2312"/>
                <w:bCs/>
                <w:color w:val="auto"/>
                <w:szCs w:val="21"/>
                <w:highlight w:val="none"/>
                <w:lang w:bidi="ar"/>
              </w:rPr>
              <w:t>10</w:t>
            </w:r>
          </w:p>
        </w:tc>
        <w:tc>
          <w:tcPr>
            <w:tcW w:w="4421" w:type="pct"/>
            <w:tcBorders>
              <w:top w:val="single" w:color="000000" w:sz="4" w:space="0"/>
              <w:left w:val="nil"/>
              <w:bottom w:val="single" w:color="000000" w:sz="4" w:space="0"/>
              <w:right w:val="single" w:color="000000" w:sz="4" w:space="0"/>
            </w:tcBorders>
            <w:shd w:val="clear" w:color="auto" w:fill="auto"/>
            <w:vAlign w:val="center"/>
          </w:tcPr>
          <w:p w14:paraId="4D3A1855">
            <w:pPr>
              <w:keepNext w:val="0"/>
              <w:keepLines w:val="0"/>
              <w:suppressLineNumbers w:val="0"/>
              <w:autoSpaceDN w:val="0"/>
              <w:spacing w:before="0" w:beforeAutospacing="0" w:after="0" w:afterAutospacing="0"/>
              <w:ind w:left="0" w:right="0"/>
              <w:rPr>
                <w:rFonts w:hint="default" w:ascii="仿宋_GB2312" w:hAnsi="仿宋_GB2312" w:eastAsia="宋体" w:cs="仿宋_GB2312"/>
                <w:color w:val="auto"/>
                <w:szCs w:val="28"/>
                <w:highlight w:val="none"/>
              </w:rPr>
            </w:pPr>
            <w:r>
              <w:rPr>
                <w:rFonts w:hint="eastAsia" w:ascii="仿宋_GB2312" w:hAnsi="仿宋_GB2312" w:eastAsia="宋体" w:cs="仿宋_GB2312"/>
                <w:color w:val="auto"/>
                <w:szCs w:val="21"/>
                <w:highlight w:val="none"/>
                <w:lang w:bidi="ar"/>
              </w:rPr>
              <w:t>终验报告</w:t>
            </w:r>
          </w:p>
        </w:tc>
      </w:tr>
    </w:tbl>
    <w:p w14:paraId="43CBD1A2">
      <w:pPr>
        <w:spacing w:line="360" w:lineRule="auto"/>
        <w:ind w:firstLine="420" w:firstLineChars="200"/>
        <w:outlineLvl w:val="2"/>
        <w:rPr>
          <w:rFonts w:ascii="Times New Roman" w:hAnsi="Times New Roman" w:eastAsia="宋体" w:cs="Times New Roman"/>
          <w:color w:val="auto"/>
          <w:szCs w:val="24"/>
          <w:highlight w:val="none"/>
        </w:rPr>
      </w:pPr>
      <w:bookmarkStart w:id="577" w:name="_Toc26658"/>
      <w:bookmarkStart w:id="578" w:name="_Toc195714322"/>
      <w:r>
        <w:rPr>
          <w:rFonts w:hint="eastAsia" w:ascii="Times New Roman" w:hAnsi="Times New Roman" w:eastAsia="宋体" w:cs="Times New Roman"/>
          <w:color w:val="auto"/>
          <w:szCs w:val="24"/>
          <w:highlight w:val="none"/>
        </w:rPr>
        <w:t>2.8.2 项目验收前提条件</w:t>
      </w:r>
      <w:bookmarkEnd w:id="577"/>
      <w:bookmarkEnd w:id="578"/>
    </w:p>
    <w:p w14:paraId="028F233D">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1</w:t>
      </w:r>
      <w:r>
        <w:rPr>
          <w:rFonts w:ascii="Times New Roman" w:hAnsi="Times New Roman" w:eastAsia="宋体" w:cs="Times New Roman"/>
          <w:color w:val="auto"/>
          <w:szCs w:val="24"/>
          <w:highlight w:val="none"/>
        </w:rPr>
        <w:t>）交接验收</w:t>
      </w:r>
      <w:r>
        <w:rPr>
          <w:rFonts w:hint="eastAsia" w:ascii="Times New Roman" w:hAnsi="Times New Roman" w:eastAsia="宋体" w:cs="Times New Roman"/>
          <w:color w:val="auto"/>
          <w:szCs w:val="24"/>
          <w:highlight w:val="none"/>
        </w:rPr>
        <w:t>条件</w:t>
      </w:r>
      <w:r>
        <w:rPr>
          <w:rFonts w:ascii="Times New Roman" w:hAnsi="Times New Roman" w:eastAsia="宋体" w:cs="Times New Roman"/>
          <w:color w:val="auto"/>
          <w:szCs w:val="24"/>
          <w:highlight w:val="none"/>
        </w:rPr>
        <w:t>：</w:t>
      </w:r>
    </w:p>
    <w:p w14:paraId="6C3E3048">
      <w:pPr>
        <w:tabs>
          <w:tab w:val="left" w:pos="567"/>
        </w:tabs>
        <w:spacing w:line="360" w:lineRule="auto"/>
        <w:ind w:firstLine="424" w:firstLineChars="202"/>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1）货物运抵交货地点现场后 7 日内，招标人（</w:t>
      </w:r>
      <w:r>
        <w:rPr>
          <w:rFonts w:hint="eastAsia" w:ascii="Times New Roman" w:hAnsi="Times New Roman" w:eastAsia="宋体" w:cs="Times New Roman"/>
          <w:color w:val="auto"/>
          <w:szCs w:val="24"/>
          <w:highlight w:val="none"/>
        </w:rPr>
        <w:t>或</w:t>
      </w:r>
      <w:r>
        <w:rPr>
          <w:rFonts w:ascii="Times New Roman" w:hAnsi="Times New Roman" w:eastAsia="宋体" w:cs="Times New Roman"/>
          <w:color w:val="auto"/>
          <w:szCs w:val="24"/>
          <w:highlight w:val="none"/>
        </w:rPr>
        <w:t>招标人委托的第三方）、中标人代表共同开箱验货。招标人按照本合同及招标文件、投标文件、制造图纸、国家相关法律法规以及规范的要求等相关的规定，对货物的品种、品牌、产地、型号规格、数量、外观质量、资料等进行清点和检查，并根据清点和检查情况作详细的记录。</w:t>
      </w:r>
    </w:p>
    <w:p w14:paraId="115443B6">
      <w:pPr>
        <w:tabs>
          <w:tab w:val="left" w:pos="567"/>
        </w:tabs>
        <w:spacing w:line="360" w:lineRule="auto"/>
        <w:ind w:firstLine="424" w:firstLineChars="202"/>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2）若中标人所提供的设备或部件为国外制造，除提供技术资料外，还应提供原产地证书、报关资料及检验检疫证明、完税证明。</w:t>
      </w:r>
    </w:p>
    <w:p w14:paraId="0A9A30EB">
      <w:pPr>
        <w:tabs>
          <w:tab w:val="left" w:pos="567"/>
        </w:tabs>
        <w:spacing w:line="360" w:lineRule="auto"/>
        <w:ind w:firstLine="424" w:firstLineChars="202"/>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3）如发现货物的品种、品牌、产地、型号规格、数量、外观质量、资料与合同约定或招标文件规定不符，或货物短缺、质次、损坏等问题，</w:t>
      </w:r>
      <w:r>
        <w:rPr>
          <w:rFonts w:hint="eastAsia" w:ascii="Times New Roman" w:hAnsi="Times New Roman" w:eastAsia="宋体" w:cs="Times New Roman"/>
          <w:color w:val="auto"/>
          <w:szCs w:val="24"/>
          <w:highlight w:val="none"/>
        </w:rPr>
        <w:t>招标人</w:t>
      </w:r>
      <w:r>
        <w:rPr>
          <w:rFonts w:ascii="Times New Roman" w:hAnsi="Times New Roman" w:eastAsia="宋体" w:cs="Times New Roman"/>
          <w:color w:val="auto"/>
          <w:szCs w:val="24"/>
          <w:highlight w:val="none"/>
        </w:rPr>
        <w:t>应作详细纪录，招标人有权拒绝收货，如招标人同意收货的，中标人在招标人规定的时间内立即、无条件</w:t>
      </w:r>
      <w:r>
        <w:rPr>
          <w:rFonts w:hint="eastAsia" w:ascii="Times New Roman" w:hAnsi="Times New Roman" w:eastAsia="宋体" w:cs="Times New Roman"/>
          <w:color w:val="auto"/>
          <w:szCs w:val="24"/>
          <w:highlight w:val="none"/>
        </w:rPr>
        <w:t>进行</w:t>
      </w:r>
      <w:r>
        <w:rPr>
          <w:rFonts w:ascii="Times New Roman" w:hAnsi="Times New Roman" w:eastAsia="宋体" w:cs="Times New Roman"/>
          <w:color w:val="auto"/>
          <w:szCs w:val="24"/>
          <w:highlight w:val="none"/>
        </w:rPr>
        <w:t>调换或补齐。由此产生的制造、修理和运费及保险费均应由中标人负担，与招标人无关。以上调换、更换、补齐货物的时间包含在本合同约定的交货时间内。</w:t>
      </w:r>
    </w:p>
    <w:p w14:paraId="141FF3C5">
      <w:pPr>
        <w:tabs>
          <w:tab w:val="left" w:pos="567"/>
        </w:tabs>
        <w:spacing w:line="360" w:lineRule="auto"/>
        <w:ind w:firstLine="424" w:firstLineChars="202"/>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4）由于非招标人原因而引起的设备或部件的修理或更换的时间，如不影响工程建设进度，则不视为逾期交货，否则将视为中标人逾期交货，且招标人有权追究中标人逾期交货的责任，即每逾期一日，中标人应按合同</w:t>
      </w:r>
      <w:r>
        <w:rPr>
          <w:rFonts w:hint="eastAsia" w:ascii="Times New Roman" w:hAnsi="Times New Roman" w:eastAsia="宋体" w:cs="Times New Roman"/>
          <w:color w:val="auto"/>
          <w:szCs w:val="24"/>
          <w:highlight w:val="none"/>
        </w:rPr>
        <w:t>总</w:t>
      </w:r>
      <w:r>
        <w:rPr>
          <w:rFonts w:ascii="Times New Roman" w:hAnsi="Times New Roman" w:eastAsia="宋体" w:cs="Times New Roman"/>
          <w:color w:val="auto"/>
          <w:szCs w:val="24"/>
          <w:highlight w:val="none"/>
        </w:rPr>
        <w:t>价</w:t>
      </w:r>
      <w:r>
        <w:rPr>
          <w:rFonts w:hint="eastAsia" w:ascii="Times New Roman" w:hAnsi="Times New Roman" w:eastAsia="宋体" w:cs="Times New Roman"/>
          <w:color w:val="auto"/>
          <w:szCs w:val="24"/>
          <w:highlight w:val="none"/>
        </w:rPr>
        <w:t>（含税）</w:t>
      </w:r>
      <w:r>
        <w:rPr>
          <w:rFonts w:ascii="Times New Roman" w:hAnsi="Times New Roman" w:eastAsia="宋体" w:cs="Times New Roman"/>
          <w:color w:val="auto"/>
          <w:szCs w:val="24"/>
          <w:highlight w:val="none"/>
        </w:rPr>
        <w:t>的5‰向招标人支付违约金。中标人逾期超过30日的，招标人可单方解除本合同，无论招标人是否解除本合同，中标人除支付前述逾期违约金外，还应按合同</w:t>
      </w:r>
      <w:r>
        <w:rPr>
          <w:rFonts w:hint="eastAsia" w:ascii="Times New Roman" w:hAnsi="Times New Roman" w:eastAsia="宋体" w:cs="Times New Roman"/>
          <w:color w:val="auto"/>
          <w:szCs w:val="24"/>
          <w:highlight w:val="none"/>
        </w:rPr>
        <w:t>总</w:t>
      </w:r>
      <w:r>
        <w:rPr>
          <w:rFonts w:ascii="Times New Roman" w:hAnsi="Times New Roman" w:eastAsia="宋体" w:cs="Times New Roman"/>
          <w:color w:val="auto"/>
          <w:szCs w:val="24"/>
          <w:highlight w:val="none"/>
        </w:rPr>
        <w:t>价</w:t>
      </w:r>
      <w:r>
        <w:rPr>
          <w:rFonts w:hint="eastAsia" w:ascii="Times New Roman" w:hAnsi="Times New Roman" w:eastAsia="宋体" w:cs="Times New Roman"/>
          <w:color w:val="auto"/>
          <w:szCs w:val="24"/>
          <w:highlight w:val="none"/>
        </w:rPr>
        <w:t>（含税）</w:t>
      </w:r>
      <w:r>
        <w:rPr>
          <w:rFonts w:ascii="Times New Roman" w:hAnsi="Times New Roman" w:eastAsia="宋体" w:cs="Times New Roman"/>
          <w:color w:val="auto"/>
          <w:szCs w:val="24"/>
          <w:highlight w:val="none"/>
        </w:rPr>
        <w:t>的5%向招标人支付赔偿金。该部分金额不足以弥补招标人损失的，招标人还有权另行追偿。</w:t>
      </w:r>
    </w:p>
    <w:p w14:paraId="744CE619">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5）交接验收合格后，招标人</w:t>
      </w:r>
      <w:r>
        <w:rPr>
          <w:rFonts w:hint="eastAsia" w:ascii="Times New Roman" w:hAnsi="Times New Roman" w:eastAsia="宋体" w:cs="Times New Roman"/>
          <w:color w:val="auto"/>
          <w:szCs w:val="24"/>
          <w:highlight w:val="none"/>
        </w:rPr>
        <w:t>、中标人双方共同出具验收报告并由双方书面确认交接验收结果</w:t>
      </w:r>
      <w:r>
        <w:rPr>
          <w:rFonts w:ascii="Times New Roman" w:hAnsi="Times New Roman" w:eastAsia="宋体" w:cs="Times New Roman"/>
          <w:color w:val="auto"/>
          <w:szCs w:val="24"/>
          <w:highlight w:val="none"/>
        </w:rPr>
        <w:t>。</w:t>
      </w:r>
    </w:p>
    <w:p w14:paraId="30A828E1">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2</w:t>
      </w:r>
      <w:r>
        <w:rPr>
          <w:rFonts w:ascii="Times New Roman" w:hAnsi="Times New Roman" w:eastAsia="宋体" w:cs="Times New Roman"/>
          <w:color w:val="auto"/>
          <w:szCs w:val="24"/>
          <w:highlight w:val="none"/>
        </w:rPr>
        <w:t>）初步验收</w:t>
      </w:r>
      <w:r>
        <w:rPr>
          <w:rFonts w:hint="eastAsia" w:ascii="Times New Roman" w:hAnsi="Times New Roman" w:eastAsia="宋体" w:cs="Times New Roman"/>
          <w:color w:val="auto"/>
          <w:szCs w:val="24"/>
          <w:highlight w:val="none"/>
        </w:rPr>
        <w:t>条件</w:t>
      </w:r>
      <w:r>
        <w:rPr>
          <w:rFonts w:ascii="Times New Roman" w:hAnsi="Times New Roman" w:eastAsia="宋体" w:cs="Times New Roman"/>
          <w:color w:val="auto"/>
          <w:szCs w:val="24"/>
          <w:highlight w:val="none"/>
        </w:rPr>
        <w:t>：</w:t>
      </w:r>
    </w:p>
    <w:p w14:paraId="76E4627B">
      <w:pPr>
        <w:tabs>
          <w:tab w:val="left" w:pos="567"/>
        </w:tabs>
        <w:spacing w:line="360" w:lineRule="auto"/>
        <w:ind w:firstLine="424" w:firstLineChars="202"/>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1）合同下货物在完成安装、单机试运转、性能测试合格后</w:t>
      </w:r>
      <w:r>
        <w:rPr>
          <w:rFonts w:hint="eastAsia" w:ascii="Times New Roman" w:hAnsi="Times New Roman" w:eastAsia="宋体" w:cs="Times New Roman"/>
          <w:color w:val="auto"/>
          <w:szCs w:val="24"/>
          <w:highlight w:val="none"/>
        </w:rPr>
        <w:t>，且软件类项目，系统功能完整实现，系统功能100%实现</w:t>
      </w:r>
      <w:r>
        <w:rPr>
          <w:rFonts w:ascii="Times New Roman" w:hAnsi="Times New Roman" w:eastAsia="宋体" w:cs="Times New Roman"/>
          <w:color w:val="auto"/>
          <w:szCs w:val="24"/>
          <w:highlight w:val="none"/>
        </w:rPr>
        <w:t>，招标人（</w:t>
      </w:r>
      <w:r>
        <w:rPr>
          <w:rFonts w:hint="eastAsia" w:ascii="Times New Roman" w:hAnsi="Times New Roman" w:eastAsia="宋体" w:cs="Times New Roman"/>
          <w:color w:val="auto"/>
          <w:szCs w:val="24"/>
          <w:highlight w:val="none"/>
        </w:rPr>
        <w:t>或</w:t>
      </w:r>
      <w:r>
        <w:rPr>
          <w:rFonts w:ascii="Times New Roman" w:hAnsi="Times New Roman" w:eastAsia="宋体" w:cs="Times New Roman"/>
          <w:color w:val="auto"/>
          <w:szCs w:val="24"/>
          <w:highlight w:val="none"/>
        </w:rPr>
        <w:t>招标人委托的第三方）、中标人一起对设备的完整性，安装与</w:t>
      </w:r>
      <w:r>
        <w:rPr>
          <w:rFonts w:hint="eastAsia" w:ascii="Times New Roman" w:hAnsi="Times New Roman" w:eastAsia="宋体" w:cs="Times New Roman"/>
          <w:color w:val="auto"/>
          <w:szCs w:val="24"/>
          <w:highlight w:val="none"/>
        </w:rPr>
        <w:t>技术方案</w:t>
      </w:r>
      <w:r>
        <w:rPr>
          <w:rFonts w:ascii="Times New Roman" w:hAnsi="Times New Roman" w:eastAsia="宋体" w:cs="Times New Roman"/>
          <w:color w:val="auto"/>
          <w:szCs w:val="24"/>
          <w:highlight w:val="none"/>
        </w:rPr>
        <w:t>符合性和合理性、单机试运转的测试结果</w:t>
      </w:r>
      <w:r>
        <w:rPr>
          <w:rFonts w:hint="eastAsia" w:ascii="Times New Roman" w:hAnsi="Times New Roman" w:eastAsia="宋体" w:cs="Times New Roman"/>
          <w:color w:val="auto"/>
          <w:szCs w:val="24"/>
          <w:highlight w:val="none"/>
        </w:rPr>
        <w:t>及软件类项目确认系统功能100%实现，对系统</w:t>
      </w:r>
      <w:r>
        <w:rPr>
          <w:rFonts w:ascii="Times New Roman" w:hAnsi="Times New Roman" w:eastAsia="宋体" w:cs="Times New Roman"/>
          <w:color w:val="auto"/>
          <w:szCs w:val="24"/>
          <w:highlight w:val="none"/>
        </w:rPr>
        <w:t>进行初步检验</w:t>
      </w:r>
      <w:r>
        <w:rPr>
          <w:rFonts w:hint="eastAsia" w:ascii="Times New Roman" w:hAnsi="Times New Roman" w:eastAsia="宋体" w:cs="Times New Roman"/>
          <w:color w:val="auto"/>
          <w:szCs w:val="24"/>
          <w:highlight w:val="none"/>
        </w:rPr>
        <w:t>并初步满足试运行条件</w:t>
      </w:r>
      <w:r>
        <w:rPr>
          <w:rFonts w:ascii="Times New Roman" w:hAnsi="Times New Roman" w:eastAsia="宋体" w:cs="Times New Roman"/>
          <w:color w:val="auto"/>
          <w:szCs w:val="24"/>
          <w:highlight w:val="none"/>
        </w:rPr>
        <w:t>。</w:t>
      </w:r>
    </w:p>
    <w:p w14:paraId="435D8450">
      <w:pPr>
        <w:tabs>
          <w:tab w:val="left" w:pos="567"/>
        </w:tabs>
        <w:spacing w:line="360" w:lineRule="auto"/>
        <w:ind w:firstLine="424" w:firstLineChars="202"/>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2）中标人在货物安装、单机试运转过程中，应做好详细的检验、测试记录和试验结果，检验结果应符合本合同及招标文件、投标文件、制造图纸、国家相关法律法规以及规范的规定标准。（当多个标准不一致时，以最高标准作为验收标准）。 </w:t>
      </w:r>
    </w:p>
    <w:p w14:paraId="1115118F">
      <w:pPr>
        <w:tabs>
          <w:tab w:val="left" w:pos="567"/>
        </w:tabs>
        <w:spacing w:line="360" w:lineRule="auto"/>
        <w:ind w:firstLine="424" w:firstLineChars="202"/>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3）达到验收标准，</w:t>
      </w:r>
      <w:r>
        <w:rPr>
          <w:rFonts w:ascii="Times New Roman" w:hAnsi="Times New Roman" w:eastAsia="宋体" w:cs="Times New Roman"/>
          <w:color w:val="auto"/>
          <w:szCs w:val="21"/>
          <w:highlight w:val="none"/>
        </w:rPr>
        <w:t>招</w:t>
      </w:r>
      <w:r>
        <w:rPr>
          <w:rFonts w:hint="eastAsia" w:ascii="Times New Roman" w:hAnsi="Times New Roman" w:eastAsia="宋体" w:cs="Times New Roman"/>
          <w:color w:val="auto"/>
          <w:szCs w:val="21"/>
          <w:highlight w:val="none"/>
        </w:rPr>
        <w:t>标人</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rPr>
        <w:t>中标人双</w:t>
      </w:r>
      <w:r>
        <w:rPr>
          <w:rFonts w:ascii="Times New Roman" w:hAnsi="Times New Roman" w:eastAsia="宋体" w:cs="Times New Roman"/>
          <w:color w:val="auto"/>
          <w:szCs w:val="21"/>
          <w:highlight w:val="none"/>
        </w:rPr>
        <w:t>方</w:t>
      </w:r>
      <w:r>
        <w:rPr>
          <w:rFonts w:hint="eastAsia" w:ascii="Times New Roman" w:hAnsi="Times New Roman" w:eastAsia="宋体" w:cs="Times New Roman"/>
          <w:color w:val="auto"/>
          <w:szCs w:val="24"/>
          <w:highlight w:val="none"/>
        </w:rPr>
        <w:t>共同出具验收报告并由双方书面确认初步验收结果</w:t>
      </w:r>
      <w:r>
        <w:rPr>
          <w:rFonts w:ascii="Times New Roman" w:hAnsi="Times New Roman" w:eastAsia="宋体" w:cs="Times New Roman"/>
          <w:color w:val="auto"/>
          <w:szCs w:val="24"/>
          <w:highlight w:val="none"/>
        </w:rPr>
        <w:t xml:space="preserve">。中标人同时提供单机试运转报告、测试报告等资料。 </w:t>
      </w:r>
    </w:p>
    <w:p w14:paraId="2D34AF52">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3</w:t>
      </w:r>
      <w:r>
        <w:rPr>
          <w:rFonts w:ascii="Times New Roman" w:hAnsi="Times New Roman" w:eastAsia="宋体" w:cs="Times New Roman"/>
          <w:color w:val="auto"/>
          <w:szCs w:val="24"/>
          <w:highlight w:val="none"/>
        </w:rPr>
        <w:t>）最终验收</w:t>
      </w:r>
      <w:r>
        <w:rPr>
          <w:rFonts w:hint="eastAsia" w:ascii="Times New Roman" w:hAnsi="Times New Roman" w:eastAsia="宋体" w:cs="Times New Roman"/>
          <w:color w:val="auto"/>
          <w:szCs w:val="24"/>
          <w:highlight w:val="none"/>
        </w:rPr>
        <w:t>条件</w:t>
      </w:r>
      <w:r>
        <w:rPr>
          <w:rFonts w:ascii="Times New Roman" w:hAnsi="Times New Roman" w:eastAsia="宋体" w:cs="Times New Roman"/>
          <w:color w:val="auto"/>
          <w:szCs w:val="24"/>
          <w:highlight w:val="none"/>
        </w:rPr>
        <w:t>：</w:t>
      </w:r>
    </w:p>
    <w:p w14:paraId="1D01866C">
      <w:pPr>
        <w:tabs>
          <w:tab w:val="left" w:pos="567"/>
        </w:tabs>
        <w:spacing w:line="360" w:lineRule="auto"/>
        <w:ind w:firstLine="424" w:firstLineChars="202"/>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1）项目涉及的系统运行环境的保护、安全、消防等设施已按照设计与主体工程同时建成，系统完成上线试运行、初验以及</w:t>
      </w:r>
      <w:r>
        <w:rPr>
          <w:rFonts w:hint="eastAsia" w:ascii="Times New Roman" w:hAnsi="Times New Roman" w:eastAsia="宋体" w:cs="Times New Roman"/>
          <w:color w:val="auto"/>
          <w:szCs w:val="24"/>
          <w:highlight w:val="none"/>
        </w:rPr>
        <w:t>3</w:t>
      </w:r>
      <w:r>
        <w:rPr>
          <w:rFonts w:ascii="Times New Roman" w:hAnsi="Times New Roman" w:eastAsia="宋体" w:cs="Times New Roman"/>
          <w:color w:val="auto"/>
          <w:szCs w:val="24"/>
          <w:highlight w:val="none"/>
        </w:rPr>
        <w:t>个月以上的迭代优化并系统整体合格，试运行过程中发现的全部问题完成整改，问题整改完成率100%</w:t>
      </w:r>
      <w:r>
        <w:rPr>
          <w:rFonts w:hint="eastAsia" w:ascii="Times New Roman" w:hAnsi="Times New Roman" w:eastAsia="宋体" w:cs="Times New Roman"/>
          <w:color w:val="auto"/>
          <w:szCs w:val="24"/>
          <w:highlight w:val="none"/>
        </w:rPr>
        <w:t>。</w:t>
      </w:r>
    </w:p>
    <w:p w14:paraId="4B015896">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w:t>
      </w:r>
      <w:r>
        <w:rPr>
          <w:rFonts w:ascii="Times New Roman" w:hAnsi="Times New Roman" w:eastAsia="宋体" w:cs="Times New Roman"/>
          <w:color w:val="auto"/>
          <w:szCs w:val="24"/>
          <w:highlight w:val="none"/>
        </w:rPr>
        <w:t>等级保护单位出具了结论为合格的等级保护报告</w:t>
      </w:r>
      <w:r>
        <w:rPr>
          <w:rFonts w:hint="eastAsia" w:ascii="Times New Roman" w:hAnsi="Times New Roman" w:eastAsia="宋体" w:cs="Times New Roman"/>
          <w:color w:val="auto"/>
          <w:szCs w:val="24"/>
          <w:highlight w:val="none"/>
        </w:rPr>
        <w:t>。</w:t>
      </w:r>
    </w:p>
    <w:p w14:paraId="0904CD34">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3</w:t>
      </w:r>
      <w:r>
        <w:rPr>
          <w:rFonts w:ascii="Times New Roman" w:hAnsi="Times New Roman" w:eastAsia="宋体" w:cs="Times New Roman"/>
          <w:color w:val="auto"/>
          <w:szCs w:val="24"/>
          <w:highlight w:val="none"/>
        </w:rPr>
        <w:t>）货物按上述程序验收合格的，中标人移交完所有资料文档后，招标人</w:t>
      </w:r>
      <w:r>
        <w:rPr>
          <w:rFonts w:hint="eastAsia" w:ascii="Times New Roman" w:hAnsi="Times New Roman" w:eastAsia="宋体" w:cs="Times New Roman"/>
          <w:color w:val="auto"/>
          <w:szCs w:val="24"/>
          <w:highlight w:val="none"/>
        </w:rPr>
        <w:t>、中标人双方共同出具验收报告并由双方书面确认最终验收结果</w:t>
      </w:r>
      <w:r>
        <w:rPr>
          <w:rFonts w:ascii="Times New Roman" w:hAnsi="Times New Roman" w:eastAsia="宋体" w:cs="Times New Roman"/>
          <w:color w:val="auto"/>
          <w:szCs w:val="24"/>
          <w:highlight w:val="none"/>
        </w:rPr>
        <w:t>。</w:t>
      </w:r>
    </w:p>
    <w:p w14:paraId="257E36DB">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4</w:t>
      </w:r>
      <w:r>
        <w:rPr>
          <w:rFonts w:ascii="Times New Roman" w:hAnsi="Times New Roman" w:eastAsia="宋体" w:cs="Times New Roman"/>
          <w:color w:val="auto"/>
          <w:szCs w:val="24"/>
          <w:highlight w:val="none"/>
        </w:rPr>
        <w:t>）当</w:t>
      </w:r>
      <w:r>
        <w:rPr>
          <w:rFonts w:hint="eastAsia" w:ascii="Times New Roman" w:hAnsi="Times New Roman" w:eastAsia="宋体" w:cs="Times New Roman"/>
          <w:color w:val="auto"/>
          <w:szCs w:val="24"/>
          <w:highlight w:val="none"/>
        </w:rPr>
        <w:t>试运行总结报告出具并双方书面确认后</w:t>
      </w:r>
      <w:r>
        <w:rPr>
          <w:rFonts w:ascii="Times New Roman" w:hAnsi="Times New Roman" w:eastAsia="宋体" w:cs="Times New Roman"/>
          <w:color w:val="auto"/>
          <w:szCs w:val="24"/>
          <w:highlight w:val="none"/>
        </w:rPr>
        <w:t>，或因非中标人原因导致本合同项下货物不能进行最终验收的，自合同下全部货物初步验收合格满9个月后（以先到期为准）视为最终验收合格。</w:t>
      </w:r>
    </w:p>
    <w:p w14:paraId="028C5FCB">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招标人在进行任何一次验收时发现货物不符合相关要求的，可拒绝收货或要求中标人承担免费更换或退货责任，中标人应将该等产品在3日内自行拆除及运回，招标人不承担因验收造成的产品损耗且不对产品承担保管责任，因此产生的一切费用及风险由中标人承担。</w:t>
      </w:r>
    </w:p>
    <w:p w14:paraId="6EEA2249">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6</w:t>
      </w:r>
      <w:r>
        <w:rPr>
          <w:rFonts w:ascii="Times New Roman" w:hAnsi="Times New Roman" w:eastAsia="宋体" w:cs="Times New Roman"/>
          <w:color w:val="auto"/>
          <w:szCs w:val="24"/>
          <w:highlight w:val="none"/>
        </w:rPr>
        <w:t>）招标人根据本条规定对货物所做出的验收，仅作为起算付款及质保期之用，不视为双方对于货物质量的最终认可，中标人仍应在质保期内对产品质量承担保证责任。</w:t>
      </w:r>
    </w:p>
    <w:p w14:paraId="747DEB59">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7</w:t>
      </w:r>
      <w:r>
        <w:rPr>
          <w:rFonts w:ascii="Times New Roman" w:hAnsi="Times New Roman" w:eastAsia="宋体" w:cs="Times New Roman"/>
          <w:color w:val="auto"/>
          <w:szCs w:val="24"/>
          <w:highlight w:val="none"/>
        </w:rPr>
        <w:t>）货物在最终验收合格前，其损耗、毁损、灭失等风险及责任由中标人承担，如因发生前述情形，导致中标人所供应的货物不能通过招标人验收的，中标人应按招标人要求予以免费更换或退货。</w:t>
      </w:r>
    </w:p>
    <w:p w14:paraId="0EEEA919">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8</w:t>
      </w:r>
      <w:r>
        <w:rPr>
          <w:rFonts w:ascii="Times New Roman" w:hAnsi="Times New Roman" w:eastAsia="宋体" w:cs="Times New Roman"/>
          <w:color w:val="auto"/>
          <w:szCs w:val="24"/>
          <w:highlight w:val="none"/>
        </w:rPr>
        <w:t>）验收过程中，如对检验记录不能取得一致意见时，可委托工程所在地具有资质的权威的第三方检验机构联合进行检验。检验结果具有约束力，检验费用由责任方负担。</w:t>
      </w:r>
    </w:p>
    <w:p w14:paraId="174E930D">
      <w:pPr>
        <w:keepNext/>
        <w:keepLines/>
        <w:numPr>
          <w:ilvl w:val="255"/>
          <w:numId w:val="0"/>
        </w:numPr>
        <w:tabs>
          <w:tab w:val="left" w:pos="0"/>
        </w:tabs>
        <w:adjustRightInd w:val="0"/>
        <w:snapToGrid w:val="0"/>
        <w:spacing w:line="360" w:lineRule="auto"/>
        <w:ind w:firstLine="422" w:firstLineChars="200"/>
        <w:outlineLvl w:val="2"/>
        <w:rPr>
          <w:rFonts w:ascii="Times New Roman" w:hAnsi="Times New Roman" w:eastAsia="宋体" w:cs="Times New Roman"/>
          <w:b/>
          <w:bCs/>
          <w:color w:val="auto"/>
          <w:szCs w:val="32"/>
          <w:highlight w:val="none"/>
        </w:rPr>
      </w:pPr>
      <w:bookmarkStart w:id="579" w:name="_Toc25346"/>
      <w:bookmarkStart w:id="580" w:name="_Toc195714323"/>
      <w:r>
        <w:rPr>
          <w:rFonts w:hint="eastAsia" w:ascii="Times New Roman" w:hAnsi="Times New Roman" w:eastAsia="宋体" w:cs="Times New Roman"/>
          <w:b/>
          <w:bCs/>
          <w:color w:val="auto"/>
          <w:szCs w:val="32"/>
          <w:highlight w:val="none"/>
        </w:rPr>
        <w:t>2.8.3 项目验收的形式</w:t>
      </w:r>
      <w:bookmarkEnd w:id="579"/>
      <w:bookmarkEnd w:id="580"/>
    </w:p>
    <w:p w14:paraId="0C2C764F">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项目验收以会议形式为主进行开展，验收期间，可视情况增加现场实地检查环节。</w:t>
      </w:r>
    </w:p>
    <w:p w14:paraId="23A71F52">
      <w:pPr>
        <w:spacing w:line="360" w:lineRule="auto"/>
        <w:ind w:firstLine="422" w:firstLineChars="200"/>
        <w:rPr>
          <w:rFonts w:ascii="Times New Roman" w:hAnsi="Times New Roman" w:eastAsia="宋体" w:cs="Times New Roman"/>
          <w:b/>
          <w:color w:val="auto"/>
          <w:szCs w:val="24"/>
          <w:highlight w:val="none"/>
        </w:rPr>
      </w:pPr>
      <w:r>
        <w:rPr>
          <w:rFonts w:hint="eastAsia" w:ascii="Times New Roman" w:hAnsi="Times New Roman" w:eastAsia="宋体" w:cs="Times New Roman"/>
          <w:b/>
          <w:color w:val="auto"/>
          <w:szCs w:val="24"/>
          <w:highlight w:val="none"/>
        </w:rPr>
        <w:t>（1）</w:t>
      </w:r>
      <w:r>
        <w:rPr>
          <w:rFonts w:ascii="Times New Roman" w:hAnsi="Times New Roman" w:eastAsia="宋体" w:cs="Times New Roman"/>
          <w:b/>
          <w:color w:val="auto"/>
          <w:szCs w:val="24"/>
          <w:highlight w:val="none"/>
        </w:rPr>
        <w:t>会议验收要求</w:t>
      </w:r>
    </w:p>
    <w:p w14:paraId="07A299AF">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地点要求：会议地点由各方共同商定选择。</w:t>
      </w:r>
    </w:p>
    <w:p w14:paraId="45338E5B">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出席人员要求：</w:t>
      </w:r>
      <w:r>
        <w:rPr>
          <w:rFonts w:hint="eastAsia" w:ascii="Times New Roman" w:hAnsi="Times New Roman" w:eastAsia="宋体" w:cs="Times New Roman"/>
          <w:color w:val="auto"/>
          <w:szCs w:val="24"/>
          <w:highlight w:val="none"/>
        </w:rPr>
        <w:t>招标人代表、中标人代表、监理单位代表和第三方测评单位代表</w:t>
      </w:r>
      <w:r>
        <w:rPr>
          <w:rFonts w:ascii="Times New Roman" w:hAnsi="Times New Roman" w:eastAsia="宋体" w:cs="Times New Roman"/>
          <w:color w:val="auto"/>
          <w:szCs w:val="24"/>
          <w:highlight w:val="none"/>
        </w:rPr>
        <w:t>。</w:t>
      </w:r>
    </w:p>
    <w:p w14:paraId="7AA7FA57">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汇报内容要求：参建各方均需准备汇报材料，</w:t>
      </w:r>
      <w:r>
        <w:rPr>
          <w:rFonts w:hint="eastAsia" w:ascii="Times New Roman" w:hAnsi="Times New Roman" w:eastAsia="宋体" w:cs="Times New Roman"/>
          <w:color w:val="auto"/>
          <w:szCs w:val="24"/>
          <w:highlight w:val="none"/>
        </w:rPr>
        <w:t>招标人</w:t>
      </w:r>
      <w:r>
        <w:rPr>
          <w:rFonts w:ascii="Times New Roman" w:hAnsi="Times New Roman" w:eastAsia="宋体" w:cs="Times New Roman"/>
          <w:color w:val="auto"/>
          <w:szCs w:val="24"/>
          <w:highlight w:val="none"/>
        </w:rPr>
        <w:t>以汇报项目的背景和建设目标为主，</w:t>
      </w:r>
      <w:r>
        <w:rPr>
          <w:rFonts w:hint="eastAsia" w:ascii="Times New Roman" w:hAnsi="Times New Roman" w:eastAsia="宋体" w:cs="Times New Roman"/>
          <w:color w:val="auto"/>
          <w:szCs w:val="24"/>
          <w:highlight w:val="none"/>
        </w:rPr>
        <w:t>中标人</w:t>
      </w:r>
      <w:r>
        <w:rPr>
          <w:rFonts w:ascii="Times New Roman" w:hAnsi="Times New Roman" w:eastAsia="宋体" w:cs="Times New Roman"/>
          <w:color w:val="auto"/>
          <w:szCs w:val="24"/>
          <w:highlight w:val="none"/>
        </w:rPr>
        <w:t>以汇报项目的建设历程和成果实现完成情况为主，监理单位以汇报监督管理情况为主，测评单位以汇报测评内容和测试结论为主。</w:t>
      </w:r>
    </w:p>
    <w:p w14:paraId="1546DC49">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验收材料准备要求：份数和装订按规定要求准备。</w:t>
      </w:r>
    </w:p>
    <w:p w14:paraId="4C725138">
      <w:pPr>
        <w:spacing w:line="360" w:lineRule="auto"/>
        <w:ind w:firstLine="422" w:firstLineChars="200"/>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w:t>
      </w:r>
      <w:r>
        <w:rPr>
          <w:rFonts w:hint="eastAsia" w:ascii="Times New Roman" w:hAnsi="Times New Roman" w:eastAsia="宋体" w:cs="Times New Roman"/>
          <w:b/>
          <w:color w:val="auto"/>
          <w:szCs w:val="24"/>
          <w:highlight w:val="none"/>
        </w:rPr>
        <w:t>2</w:t>
      </w:r>
      <w:r>
        <w:rPr>
          <w:rFonts w:ascii="Times New Roman" w:hAnsi="Times New Roman" w:eastAsia="宋体" w:cs="Times New Roman"/>
          <w:b/>
          <w:color w:val="auto"/>
          <w:szCs w:val="24"/>
          <w:highlight w:val="none"/>
        </w:rPr>
        <w:t>）现场验收要求</w:t>
      </w:r>
    </w:p>
    <w:p w14:paraId="5378FAF1">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涉及硬件设备到货和安装调测需由监理单位协助</w:t>
      </w:r>
      <w:r>
        <w:rPr>
          <w:rFonts w:hint="eastAsia" w:ascii="Times New Roman" w:hAnsi="Times New Roman" w:eastAsia="宋体" w:cs="Times New Roman"/>
          <w:color w:val="auto"/>
          <w:szCs w:val="24"/>
          <w:highlight w:val="none"/>
        </w:rPr>
        <w:t>招标人</w:t>
      </w:r>
      <w:r>
        <w:rPr>
          <w:rFonts w:ascii="Times New Roman" w:hAnsi="Times New Roman" w:eastAsia="宋体" w:cs="Times New Roman"/>
          <w:color w:val="auto"/>
          <w:szCs w:val="24"/>
          <w:highlight w:val="none"/>
        </w:rPr>
        <w:t>完成验收前的检查工作并形成验收过程材料</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现场验收主要采取抽查验收为主，包括设备</w:t>
      </w:r>
      <w:r>
        <w:rPr>
          <w:rFonts w:hint="eastAsia" w:ascii="Times New Roman" w:hAnsi="Times New Roman" w:eastAsia="宋体" w:cs="Times New Roman"/>
          <w:color w:val="auto"/>
          <w:szCs w:val="24"/>
          <w:highlight w:val="none"/>
        </w:rPr>
        <w:t>型号参数、</w:t>
      </w:r>
      <w:r>
        <w:rPr>
          <w:rFonts w:ascii="Times New Roman" w:hAnsi="Times New Roman" w:eastAsia="宋体" w:cs="Times New Roman"/>
          <w:color w:val="auto"/>
          <w:szCs w:val="24"/>
          <w:highlight w:val="none"/>
        </w:rPr>
        <w:t>配置</w:t>
      </w:r>
      <w:r>
        <w:rPr>
          <w:rFonts w:hint="eastAsia" w:ascii="Times New Roman" w:hAnsi="Times New Roman" w:eastAsia="宋体" w:cs="Times New Roman"/>
          <w:color w:val="auto"/>
          <w:szCs w:val="24"/>
          <w:highlight w:val="none"/>
        </w:rPr>
        <w:t>和</w:t>
      </w:r>
      <w:r>
        <w:rPr>
          <w:rFonts w:ascii="Times New Roman" w:hAnsi="Times New Roman" w:eastAsia="宋体" w:cs="Times New Roman"/>
          <w:color w:val="auto"/>
          <w:szCs w:val="24"/>
          <w:highlight w:val="none"/>
        </w:rPr>
        <w:t>功能演示等。验收环节，</w:t>
      </w:r>
      <w:r>
        <w:rPr>
          <w:rFonts w:hint="eastAsia" w:ascii="Times New Roman" w:hAnsi="Times New Roman" w:eastAsia="宋体" w:cs="Times New Roman"/>
          <w:color w:val="auto"/>
          <w:szCs w:val="24"/>
          <w:highlight w:val="none"/>
        </w:rPr>
        <w:t>中标人</w:t>
      </w:r>
      <w:r>
        <w:rPr>
          <w:rFonts w:ascii="Times New Roman" w:hAnsi="Times New Roman" w:eastAsia="宋体" w:cs="Times New Roman"/>
          <w:color w:val="auto"/>
          <w:szCs w:val="24"/>
          <w:highlight w:val="none"/>
        </w:rPr>
        <w:t>均需做好各项准备工作，包括安排讲解人员、预先做好功能预演等。</w:t>
      </w:r>
    </w:p>
    <w:p w14:paraId="654F39D0">
      <w:pPr>
        <w:keepNext/>
        <w:keepLines/>
        <w:numPr>
          <w:ilvl w:val="255"/>
          <w:numId w:val="0"/>
        </w:numPr>
        <w:tabs>
          <w:tab w:val="left" w:pos="0"/>
        </w:tabs>
        <w:adjustRightInd w:val="0"/>
        <w:snapToGrid w:val="0"/>
        <w:spacing w:line="360" w:lineRule="auto"/>
        <w:ind w:firstLine="422" w:firstLineChars="200"/>
        <w:outlineLvl w:val="2"/>
        <w:rPr>
          <w:rFonts w:ascii="Times New Roman" w:hAnsi="Times New Roman" w:eastAsia="宋体" w:cs="Times New Roman"/>
          <w:b/>
          <w:bCs/>
          <w:color w:val="auto"/>
          <w:szCs w:val="32"/>
          <w:highlight w:val="none"/>
        </w:rPr>
      </w:pPr>
      <w:bookmarkStart w:id="581" w:name="_Toc195714324"/>
      <w:bookmarkStart w:id="582" w:name="_Toc25932"/>
      <w:r>
        <w:rPr>
          <w:rFonts w:hint="eastAsia" w:ascii="Times New Roman" w:hAnsi="Times New Roman" w:eastAsia="宋体" w:cs="Times New Roman"/>
          <w:b/>
          <w:bCs/>
          <w:color w:val="auto"/>
          <w:szCs w:val="32"/>
          <w:highlight w:val="none"/>
        </w:rPr>
        <w:t>2.8.4 项目验收要求</w:t>
      </w:r>
      <w:bookmarkEnd w:id="581"/>
      <w:bookmarkEnd w:id="582"/>
    </w:p>
    <w:p w14:paraId="19691151">
      <w:pPr>
        <w:spacing w:line="360" w:lineRule="auto"/>
        <w:ind w:firstLine="422" w:firstLineChars="200"/>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w:t>
      </w:r>
      <w:r>
        <w:rPr>
          <w:rFonts w:hint="eastAsia" w:ascii="Times New Roman" w:hAnsi="Times New Roman" w:eastAsia="宋体" w:cs="Times New Roman"/>
          <w:b/>
          <w:color w:val="auto"/>
          <w:szCs w:val="24"/>
          <w:highlight w:val="none"/>
        </w:rPr>
        <w:t>1</w:t>
      </w:r>
      <w:r>
        <w:rPr>
          <w:rFonts w:ascii="Times New Roman" w:hAnsi="Times New Roman" w:eastAsia="宋体" w:cs="Times New Roman"/>
          <w:b/>
          <w:color w:val="auto"/>
          <w:szCs w:val="24"/>
          <w:highlight w:val="none"/>
        </w:rPr>
        <w:t>）验收方案（含计划）的制定与报审要求</w:t>
      </w:r>
    </w:p>
    <w:p w14:paraId="016C9FCF">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中标人拟定验收方案，编制完成后呈报监理单位和招标人审批。</w:t>
      </w:r>
    </w:p>
    <w:p w14:paraId="38BB5187">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验收方案需包含时间安排、地点安排、参与人员安排、准备工作完成情况反馈等基本内容。</w:t>
      </w:r>
    </w:p>
    <w:p w14:paraId="698A9C9C">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验收方案作为验收申请的附件文件随验收申请提交，经批准后，作为验收工作组织的依据性文件。</w:t>
      </w:r>
    </w:p>
    <w:p w14:paraId="3BB2E325">
      <w:pPr>
        <w:spacing w:line="360" w:lineRule="auto"/>
        <w:ind w:firstLine="422" w:firstLineChars="200"/>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w:t>
      </w:r>
      <w:r>
        <w:rPr>
          <w:rFonts w:hint="eastAsia" w:ascii="Times New Roman" w:hAnsi="Times New Roman" w:eastAsia="宋体" w:cs="Times New Roman"/>
          <w:b/>
          <w:color w:val="auto"/>
          <w:szCs w:val="24"/>
          <w:highlight w:val="none"/>
        </w:rPr>
        <w:t>2</w:t>
      </w:r>
      <w:r>
        <w:rPr>
          <w:rFonts w:ascii="Times New Roman" w:hAnsi="Times New Roman" w:eastAsia="宋体" w:cs="Times New Roman"/>
          <w:b/>
          <w:color w:val="auto"/>
          <w:szCs w:val="24"/>
          <w:highlight w:val="none"/>
        </w:rPr>
        <w:t>）验收会议材料准备</w:t>
      </w:r>
    </w:p>
    <w:p w14:paraId="4949F4F5">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招标人</w:t>
      </w:r>
      <w:r>
        <w:rPr>
          <w:rFonts w:ascii="Times New Roman" w:hAnsi="Times New Roman" w:eastAsia="宋体" w:cs="Times New Roman"/>
          <w:color w:val="auto"/>
          <w:szCs w:val="24"/>
          <w:highlight w:val="none"/>
        </w:rPr>
        <w:t>负责准备项目情况介绍报告；监理单位负责监理工作报告、监理成果文件、会议议程等材料准备；</w:t>
      </w:r>
      <w:r>
        <w:rPr>
          <w:rFonts w:hint="eastAsia" w:ascii="Times New Roman" w:hAnsi="Times New Roman" w:eastAsia="宋体" w:cs="Times New Roman"/>
          <w:color w:val="auto"/>
          <w:szCs w:val="24"/>
          <w:highlight w:val="none"/>
        </w:rPr>
        <w:t>中标人</w:t>
      </w:r>
      <w:r>
        <w:rPr>
          <w:rFonts w:ascii="Times New Roman" w:hAnsi="Times New Roman" w:eastAsia="宋体" w:cs="Times New Roman"/>
          <w:color w:val="auto"/>
          <w:szCs w:val="24"/>
          <w:highlight w:val="none"/>
        </w:rPr>
        <w:t>负责项目总结报告、项目验收材料、验收报告（初验、终验）。</w:t>
      </w:r>
    </w:p>
    <w:p w14:paraId="7E6605B5">
      <w:pPr>
        <w:keepNext/>
        <w:keepLines/>
        <w:numPr>
          <w:ilvl w:val="255"/>
          <w:numId w:val="0"/>
        </w:numPr>
        <w:tabs>
          <w:tab w:val="left" w:pos="0"/>
        </w:tabs>
        <w:adjustRightInd w:val="0"/>
        <w:snapToGrid w:val="0"/>
        <w:spacing w:line="360" w:lineRule="auto"/>
        <w:ind w:firstLine="422" w:firstLineChars="200"/>
        <w:outlineLvl w:val="2"/>
        <w:rPr>
          <w:rFonts w:ascii="Times New Roman" w:hAnsi="Times New Roman" w:eastAsia="宋体" w:cs="Times New Roman"/>
          <w:b/>
          <w:bCs/>
          <w:color w:val="auto"/>
          <w:szCs w:val="32"/>
          <w:highlight w:val="none"/>
        </w:rPr>
      </w:pPr>
      <w:bookmarkStart w:id="583" w:name="_Toc195714325"/>
      <w:bookmarkStart w:id="584" w:name="_Toc27099"/>
      <w:r>
        <w:rPr>
          <w:rFonts w:hint="eastAsia" w:ascii="Times New Roman" w:hAnsi="Times New Roman" w:eastAsia="宋体" w:cs="Times New Roman"/>
          <w:b/>
          <w:bCs/>
          <w:color w:val="auto"/>
          <w:szCs w:val="32"/>
          <w:highlight w:val="none"/>
        </w:rPr>
        <w:t>2.8.5 项目验收中标人应提交的资料</w:t>
      </w:r>
      <w:bookmarkEnd w:id="583"/>
      <w:bookmarkEnd w:id="584"/>
    </w:p>
    <w:p w14:paraId="08DD236F">
      <w:pPr>
        <w:spacing w:line="360" w:lineRule="auto"/>
        <w:ind w:firstLine="420" w:firstLineChars="20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w:t>
      </w:r>
      <w:r>
        <w:rPr>
          <w:rFonts w:hint="eastAsia" w:ascii="Times New Roman" w:hAnsi="Times New Roman" w:eastAsia="宋体" w:cs="Times New Roman"/>
          <w:bCs/>
          <w:color w:val="auto"/>
          <w:szCs w:val="24"/>
          <w:highlight w:val="none"/>
        </w:rPr>
        <w:t>1</w:t>
      </w:r>
      <w:r>
        <w:rPr>
          <w:rFonts w:ascii="Times New Roman" w:hAnsi="Times New Roman" w:eastAsia="宋体" w:cs="Times New Roman"/>
          <w:bCs/>
          <w:color w:val="auto"/>
          <w:szCs w:val="24"/>
          <w:highlight w:val="none"/>
        </w:rPr>
        <w:t>）项目</w:t>
      </w:r>
      <w:r>
        <w:rPr>
          <w:rFonts w:hint="eastAsia" w:ascii="Times New Roman" w:hAnsi="Times New Roman" w:eastAsia="宋体" w:cs="Times New Roman"/>
          <w:color w:val="auto"/>
          <w:szCs w:val="24"/>
          <w:highlight w:val="none"/>
        </w:rPr>
        <w:t>中标人</w:t>
      </w:r>
      <w:r>
        <w:rPr>
          <w:rFonts w:ascii="Times New Roman" w:hAnsi="Times New Roman" w:eastAsia="宋体" w:cs="Times New Roman"/>
          <w:bCs/>
          <w:color w:val="auto"/>
          <w:szCs w:val="24"/>
          <w:highlight w:val="none"/>
        </w:rPr>
        <w:t>应提交的资料</w:t>
      </w:r>
    </w:p>
    <w:p w14:paraId="2261506B">
      <w:pPr>
        <w:spacing w:line="360" w:lineRule="auto"/>
        <w:ind w:firstLine="420" w:firstLineChars="20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项目</w:t>
      </w:r>
      <w:r>
        <w:rPr>
          <w:rFonts w:hint="eastAsia" w:ascii="Times New Roman" w:hAnsi="Times New Roman" w:eastAsia="宋体" w:cs="Times New Roman"/>
          <w:color w:val="auto"/>
          <w:szCs w:val="24"/>
          <w:highlight w:val="none"/>
        </w:rPr>
        <w:t>中标人</w:t>
      </w:r>
      <w:r>
        <w:rPr>
          <w:rFonts w:ascii="Times New Roman" w:hAnsi="Times New Roman" w:eastAsia="宋体" w:cs="Times New Roman"/>
          <w:bCs/>
          <w:color w:val="auto"/>
          <w:szCs w:val="24"/>
          <w:highlight w:val="none"/>
        </w:rPr>
        <w:t>在提交项目验收申请表时，应提供项目验收所需的必要材料，</w:t>
      </w:r>
      <w:r>
        <w:rPr>
          <w:rFonts w:hint="eastAsia" w:ascii="Times New Roman" w:hAnsi="Times New Roman" w:eastAsia="宋体" w:cs="Times New Roman"/>
          <w:bCs/>
          <w:color w:val="auto"/>
          <w:szCs w:val="24"/>
          <w:highlight w:val="none"/>
        </w:rPr>
        <w:t>包括但不限于：</w:t>
      </w:r>
    </w:p>
    <w:tbl>
      <w:tblPr>
        <w:tblStyle w:val="44"/>
        <w:tblW w:w="499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90"/>
        <w:gridCol w:w="9363"/>
      </w:tblGrid>
      <w:tr w14:paraId="53E0F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trPr>
        <w:tc>
          <w:tcPr>
            <w:tcW w:w="478"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11CFEC53">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
                <w:color w:val="auto"/>
                <w:szCs w:val="21"/>
                <w:highlight w:val="none"/>
              </w:rPr>
            </w:pPr>
            <w:r>
              <w:rPr>
                <w:rFonts w:hint="eastAsia" w:ascii="仿宋_GB2312" w:hAnsi="仿宋_GB2312" w:eastAsia="宋体" w:cs="仿宋_GB2312"/>
                <w:b/>
                <w:color w:val="auto"/>
                <w:szCs w:val="21"/>
                <w:highlight w:val="none"/>
                <w:lang w:bidi="ar"/>
              </w:rPr>
              <w:t>编号</w:t>
            </w:r>
          </w:p>
        </w:tc>
        <w:tc>
          <w:tcPr>
            <w:tcW w:w="4521"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0E44B6EA">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
                <w:color w:val="auto"/>
                <w:szCs w:val="21"/>
                <w:highlight w:val="none"/>
              </w:rPr>
            </w:pPr>
            <w:r>
              <w:rPr>
                <w:rFonts w:hint="eastAsia" w:ascii="仿宋_GB2312" w:hAnsi="仿宋_GB2312" w:eastAsia="宋体" w:cs="仿宋_GB2312"/>
                <w:b/>
                <w:color w:val="auto"/>
                <w:szCs w:val="21"/>
                <w:highlight w:val="none"/>
                <w:lang w:bidi="ar"/>
              </w:rPr>
              <w:t>文件名称</w:t>
            </w:r>
          </w:p>
        </w:tc>
      </w:tr>
      <w:tr w14:paraId="0C24A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F8762">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2AE60">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项目实施方案（含项目计划）</w:t>
            </w:r>
          </w:p>
        </w:tc>
      </w:tr>
      <w:tr w14:paraId="5FADC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7DC0B">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2</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FEA2F">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需求规格说明书</w:t>
            </w:r>
          </w:p>
        </w:tc>
      </w:tr>
      <w:tr w14:paraId="6262F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2789F">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3</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A9A3F">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概要设计说明书</w:t>
            </w:r>
          </w:p>
        </w:tc>
      </w:tr>
      <w:tr w14:paraId="7DD36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A5F00">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4</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1F046">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详细设计说明书</w:t>
            </w:r>
          </w:p>
        </w:tc>
      </w:tr>
      <w:tr w14:paraId="6F36C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CF6A4">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5</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FBC41">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数据库设计说明书</w:t>
            </w:r>
          </w:p>
        </w:tc>
      </w:tr>
      <w:tr w14:paraId="63A08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46BDC">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6</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75085">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lang w:bidi="ar"/>
              </w:rPr>
            </w:pPr>
            <w:r>
              <w:rPr>
                <w:rFonts w:hint="eastAsia" w:ascii="仿宋_GB2312" w:hAnsi="仿宋_GB2312" w:eastAsia="宋体" w:cs="仿宋_GB2312"/>
                <w:color w:val="auto"/>
                <w:szCs w:val="21"/>
                <w:highlight w:val="none"/>
                <w:lang w:bidi="ar"/>
              </w:rPr>
              <w:t>设备到货记录表</w:t>
            </w:r>
          </w:p>
        </w:tc>
      </w:tr>
      <w:tr w14:paraId="61BA3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3E043">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7</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860E0">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lang w:bidi="ar"/>
              </w:rPr>
            </w:pPr>
            <w:r>
              <w:rPr>
                <w:rFonts w:hint="eastAsia" w:ascii="仿宋_GB2312" w:hAnsi="仿宋_GB2312" w:eastAsia="宋体" w:cs="仿宋_GB2312"/>
                <w:color w:val="auto"/>
                <w:szCs w:val="21"/>
                <w:highlight w:val="none"/>
                <w:lang w:bidi="ar"/>
              </w:rPr>
              <w:t>设备安装记录表、安装图纸</w:t>
            </w:r>
          </w:p>
        </w:tc>
      </w:tr>
      <w:tr w14:paraId="16955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CA7A8">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8</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E1A56">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lang w:bidi="ar"/>
              </w:rPr>
            </w:pPr>
            <w:r>
              <w:rPr>
                <w:rFonts w:hint="eastAsia" w:ascii="仿宋_GB2312" w:hAnsi="仿宋_GB2312" w:eastAsia="宋体" w:cs="仿宋_GB2312"/>
                <w:color w:val="auto"/>
                <w:szCs w:val="21"/>
                <w:highlight w:val="none"/>
                <w:lang w:bidi="ar"/>
              </w:rPr>
              <w:t>设备功能自检报告</w:t>
            </w:r>
          </w:p>
        </w:tc>
      </w:tr>
      <w:tr w14:paraId="7F198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8C45E">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9</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AB3C2">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项目阶段性测试方案项目阶段性测试记录</w:t>
            </w:r>
          </w:p>
        </w:tc>
      </w:tr>
      <w:tr w14:paraId="0A816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BDE30">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10</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9DF0B">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项目阶段性测试报告</w:t>
            </w:r>
          </w:p>
        </w:tc>
      </w:tr>
      <w:tr w14:paraId="381A1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5D1E9">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11</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5C14A">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集成部署方案</w:t>
            </w:r>
          </w:p>
        </w:tc>
      </w:tr>
      <w:tr w14:paraId="2B759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A07FC">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12</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A47E7">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测试方案</w:t>
            </w:r>
          </w:p>
        </w:tc>
      </w:tr>
      <w:tr w14:paraId="3E9C2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EF3DF">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13</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B62EE">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自检测试报告</w:t>
            </w:r>
          </w:p>
        </w:tc>
      </w:tr>
      <w:tr w14:paraId="43AD4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CB3C6">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14</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3C05F">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维护手册</w:t>
            </w:r>
          </w:p>
        </w:tc>
      </w:tr>
      <w:tr w14:paraId="4CE78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F1BB4">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15</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6D1D7">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项目建设内容与完成情况对照表</w:t>
            </w:r>
          </w:p>
        </w:tc>
      </w:tr>
      <w:tr w14:paraId="7CB6A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A257A">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16</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0DCDC">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用户培训</w:t>
            </w:r>
          </w:p>
        </w:tc>
      </w:tr>
      <w:tr w14:paraId="525CE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370CF">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17</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22876">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试运行方案</w:t>
            </w:r>
          </w:p>
        </w:tc>
      </w:tr>
      <w:tr w14:paraId="731F8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20B9E">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18</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5C8AD">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初步验收方案</w:t>
            </w:r>
          </w:p>
        </w:tc>
      </w:tr>
      <w:tr w14:paraId="7B477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AB011">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19</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A83E5">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初验报告</w:t>
            </w:r>
          </w:p>
        </w:tc>
      </w:tr>
      <w:tr w14:paraId="7902A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0BC10">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20</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8DF64">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试运行总结报告</w:t>
            </w:r>
          </w:p>
        </w:tc>
      </w:tr>
      <w:tr w14:paraId="1B3A0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11DC1">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21</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FE848">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工作联系单</w:t>
            </w:r>
          </w:p>
        </w:tc>
      </w:tr>
      <w:tr w14:paraId="596C6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5AE3F">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22</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7DCAF">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售后服务方案</w:t>
            </w:r>
          </w:p>
        </w:tc>
      </w:tr>
      <w:tr w14:paraId="564CF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4F5DD">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23</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829F6">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用户使用报告</w:t>
            </w:r>
          </w:p>
        </w:tc>
      </w:tr>
      <w:tr w14:paraId="6C4A1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66A9F">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24</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5AFFE">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竣工总结报告</w:t>
            </w:r>
          </w:p>
        </w:tc>
      </w:tr>
      <w:tr w14:paraId="36C0D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4DC51">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25</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56383">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验收方案</w:t>
            </w:r>
          </w:p>
        </w:tc>
      </w:tr>
      <w:tr w14:paraId="35F35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5AB6E">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26</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C9481">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项目终验报告</w:t>
            </w:r>
          </w:p>
        </w:tc>
      </w:tr>
      <w:tr w14:paraId="0C5C8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8FB49">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27</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E7CA2">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其他交付文档</w:t>
            </w:r>
          </w:p>
        </w:tc>
      </w:tr>
    </w:tbl>
    <w:p w14:paraId="68D2C64C">
      <w:pPr>
        <w:spacing w:line="360" w:lineRule="auto"/>
        <w:rPr>
          <w:rFonts w:ascii="Times New Roman" w:hAnsi="Times New Roman" w:eastAsia="宋体" w:cs="Times New Roman"/>
          <w:bCs/>
          <w:color w:val="auto"/>
          <w:szCs w:val="24"/>
          <w:highlight w:val="none"/>
        </w:rPr>
      </w:pPr>
    </w:p>
    <w:p w14:paraId="0ADB0EF3">
      <w:pPr>
        <w:keepNext/>
        <w:keepLines/>
        <w:numPr>
          <w:ilvl w:val="255"/>
          <w:numId w:val="0"/>
        </w:numPr>
        <w:tabs>
          <w:tab w:val="left" w:pos="0"/>
        </w:tabs>
        <w:adjustRightInd w:val="0"/>
        <w:snapToGrid w:val="0"/>
        <w:spacing w:line="360" w:lineRule="auto"/>
        <w:ind w:firstLine="422" w:firstLineChars="200"/>
        <w:outlineLvl w:val="2"/>
        <w:rPr>
          <w:rFonts w:ascii="Times New Roman" w:hAnsi="Times New Roman" w:eastAsia="宋体" w:cs="Times New Roman"/>
          <w:b/>
          <w:bCs/>
          <w:color w:val="auto"/>
          <w:szCs w:val="32"/>
          <w:highlight w:val="none"/>
        </w:rPr>
      </w:pPr>
      <w:bookmarkStart w:id="585" w:name="_Toc19796"/>
      <w:bookmarkStart w:id="586" w:name="_Toc195714326"/>
      <w:r>
        <w:rPr>
          <w:rFonts w:hint="eastAsia" w:ascii="Times New Roman" w:hAnsi="Times New Roman" w:eastAsia="宋体" w:cs="Times New Roman"/>
          <w:b/>
          <w:bCs/>
          <w:color w:val="auto"/>
          <w:szCs w:val="32"/>
          <w:highlight w:val="none"/>
        </w:rPr>
        <w:t>2.8.6 项目验收不能通过的情况</w:t>
      </w:r>
      <w:bookmarkEnd w:id="585"/>
      <w:bookmarkEnd w:id="586"/>
    </w:p>
    <w:p w14:paraId="302E5405">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当存在以下任何情形之一时，项目验收应当不予通过：</w:t>
      </w:r>
    </w:p>
    <w:p w14:paraId="12161914">
      <w:pPr>
        <w:spacing w:line="360" w:lineRule="auto"/>
        <w:ind w:firstLine="56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验收文档、资料、数据不真实。</w:t>
      </w:r>
    </w:p>
    <w:p w14:paraId="47A1997D">
      <w:pPr>
        <w:spacing w:line="360" w:lineRule="auto"/>
        <w:ind w:firstLine="56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2</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设计或施工不符合合同要求，或未达到国家及省市相关标准要求。</w:t>
      </w:r>
    </w:p>
    <w:p w14:paraId="04390311">
      <w:pPr>
        <w:spacing w:line="360" w:lineRule="auto"/>
        <w:ind w:firstLine="56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3</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严重偏离项目目标或擅自修改项目主要建设内容。</w:t>
      </w:r>
    </w:p>
    <w:p w14:paraId="21EFBA29">
      <w:pPr>
        <w:spacing w:line="360" w:lineRule="auto"/>
        <w:ind w:firstLine="56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4</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监理单位出具不同意验收意见。</w:t>
      </w:r>
    </w:p>
    <w:p w14:paraId="098C4E61">
      <w:pPr>
        <w:spacing w:line="360" w:lineRule="auto"/>
        <w:ind w:firstLine="56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5</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第三方测评或安全等级保护测评结论为不通过。</w:t>
      </w:r>
    </w:p>
    <w:p w14:paraId="61A952A7">
      <w:pPr>
        <w:snapToGrid w:val="0"/>
        <w:spacing w:line="360" w:lineRule="auto"/>
        <w:ind w:firstLine="56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6</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项目实施或试运行过程中出现重大问题，未能解决和</w:t>
      </w:r>
      <w:r>
        <w:rPr>
          <w:rFonts w:hint="eastAsia" w:ascii="Times New Roman" w:hAnsi="Times New Roman" w:eastAsia="宋体" w:cs="Times New Roman"/>
          <w:color w:val="auto"/>
          <w:szCs w:val="24"/>
          <w:highlight w:val="none"/>
        </w:rPr>
        <w:t>作出</w:t>
      </w:r>
      <w:r>
        <w:rPr>
          <w:rFonts w:ascii="Times New Roman" w:hAnsi="Times New Roman" w:eastAsia="宋体" w:cs="Times New Roman"/>
          <w:color w:val="auto"/>
          <w:szCs w:val="24"/>
          <w:highlight w:val="none"/>
        </w:rPr>
        <w:t>说明，或存在纠纷尚未解决的。</w:t>
      </w:r>
    </w:p>
    <w:p w14:paraId="7F04D951">
      <w:pPr>
        <w:keepNext/>
        <w:keepLines/>
        <w:numPr>
          <w:ilvl w:val="255"/>
          <w:numId w:val="0"/>
        </w:numPr>
        <w:tabs>
          <w:tab w:val="left" w:pos="0"/>
          <w:tab w:val="left" w:pos="420"/>
        </w:tabs>
        <w:snapToGrid w:val="0"/>
        <w:spacing w:before="260" w:after="260" w:line="360" w:lineRule="auto"/>
        <w:ind w:firstLine="422" w:firstLineChars="200"/>
        <w:outlineLvl w:val="1"/>
        <w:rPr>
          <w:rFonts w:ascii="Times New Roman" w:hAnsi="Times New Roman" w:eastAsia="Arial" w:cs="Times New Roman"/>
          <w:b/>
          <w:bCs/>
          <w:color w:val="auto"/>
          <w:szCs w:val="32"/>
          <w:highlight w:val="none"/>
        </w:rPr>
      </w:pPr>
      <w:bookmarkStart w:id="587" w:name="_Toc195714327"/>
      <w:bookmarkStart w:id="588" w:name="_Toc21800"/>
      <w:r>
        <w:rPr>
          <w:rFonts w:hint="eastAsia" w:ascii="Times New Roman" w:hAnsi="Times New Roman" w:eastAsia="宋体" w:cs="Times New Roman"/>
          <w:b/>
          <w:bCs/>
          <w:color w:val="auto"/>
          <w:szCs w:val="32"/>
          <w:highlight w:val="none"/>
        </w:rPr>
        <w:t xml:space="preserve">2.8.7 </w:t>
      </w:r>
      <w:r>
        <w:rPr>
          <w:rFonts w:hint="eastAsia" w:ascii="Times New Roman" w:hAnsi="Times New Roman" w:eastAsia="Arial" w:cs="Times New Roman"/>
          <w:b/>
          <w:bCs/>
          <w:color w:val="auto"/>
          <w:szCs w:val="32"/>
          <w:highlight w:val="none"/>
        </w:rPr>
        <w:t>项目评估</w:t>
      </w:r>
      <w:bookmarkEnd w:id="587"/>
      <w:bookmarkEnd w:id="588"/>
    </w:p>
    <w:p w14:paraId="3F01BC32">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在项目通过验收正式运行六个月后，中标人需进行项目评估，针对污水厂集中控制系统的应用状况进行深入分析。提交的评估报告应涵盖：系统运行状态、问题识别以及优化建议等关键内容。基于这份报告，中标人必须对污水厂集中控制系统进行相应的完善和优化。</w:t>
      </w:r>
    </w:p>
    <w:p w14:paraId="1BDC456E">
      <w:pPr>
        <w:numPr>
          <w:ilvl w:val="255"/>
          <w:numId w:val="0"/>
        </w:numPr>
        <w:rPr>
          <w:rFonts w:ascii="Times New Roman" w:hAnsi="Times New Roman" w:eastAsia="宋体" w:cs="Times New Roman"/>
          <w:color w:val="auto"/>
          <w:szCs w:val="24"/>
          <w:highlight w:val="none"/>
        </w:rPr>
      </w:pPr>
    </w:p>
    <w:p w14:paraId="6DFDA589">
      <w:pPr>
        <w:keepNext/>
        <w:keepLines/>
        <w:numPr>
          <w:ilvl w:val="1"/>
          <w:numId w:val="23"/>
        </w:numPr>
        <w:adjustRightInd w:val="0"/>
        <w:snapToGrid w:val="0"/>
        <w:spacing w:line="360" w:lineRule="auto"/>
        <w:ind w:firstLine="426"/>
        <w:outlineLvl w:val="1"/>
        <w:rPr>
          <w:rFonts w:ascii="Times New Roman" w:hAnsi="Times New Roman" w:eastAsia="宋体" w:cs="Times New Roman"/>
          <w:b/>
          <w:bCs/>
          <w:color w:val="auto"/>
          <w:szCs w:val="21"/>
          <w:highlight w:val="none"/>
          <w:lang w:val="zh-CN"/>
        </w:rPr>
      </w:pPr>
      <w:bookmarkStart w:id="589" w:name="_Toc195714328"/>
      <w:bookmarkStart w:id="590" w:name="_Toc21984"/>
      <w:r>
        <w:rPr>
          <w:rFonts w:ascii="Times New Roman" w:hAnsi="Times New Roman" w:eastAsia="宋体" w:cs="Times New Roman"/>
          <w:b/>
          <w:bCs/>
          <w:color w:val="auto"/>
          <w:szCs w:val="21"/>
          <w:highlight w:val="none"/>
          <w:lang w:val="zh-CN"/>
        </w:rPr>
        <w:t>质保及售后要求</w:t>
      </w:r>
      <w:bookmarkEnd w:id="589"/>
      <w:bookmarkEnd w:id="590"/>
    </w:p>
    <w:p w14:paraId="07700F0E">
      <w:pPr>
        <w:tabs>
          <w:tab w:val="left" w:pos="567"/>
        </w:tabs>
        <w:spacing w:line="360" w:lineRule="auto"/>
        <w:ind w:firstLine="424" w:firstLineChars="202"/>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 xml:space="preserve">（1）中标人应以书面形式提供货物原厂家的质量保障承诺，该等承诺不应低于本合同约定的标准。当由制造商直接负责售后服务时，不免除中标人对货物的质量及售后服务责任，中标人与制造商就货物质量及售后服务向招标人承担连带责任。 </w:t>
      </w:r>
    </w:p>
    <w:p w14:paraId="2513A993">
      <w:pPr>
        <w:tabs>
          <w:tab w:val="left" w:pos="567"/>
        </w:tabs>
        <w:spacing w:line="360" w:lineRule="auto"/>
        <w:ind w:firstLine="426" w:firstLineChars="202"/>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4"/>
          <w:highlight w:val="none"/>
        </w:rPr>
        <w:t>（2）本合同项下</w:t>
      </w:r>
      <w:r>
        <w:rPr>
          <w:rFonts w:hint="eastAsia" w:ascii="Times New Roman" w:hAnsi="Times New Roman" w:eastAsia="宋体" w:cs="Times New Roman"/>
          <w:b/>
          <w:bCs/>
          <w:color w:val="auto"/>
          <w:szCs w:val="24"/>
          <w:highlight w:val="none"/>
        </w:rPr>
        <w:t>设备、软件、系统</w:t>
      </w:r>
      <w:r>
        <w:rPr>
          <w:rFonts w:ascii="Times New Roman" w:hAnsi="Times New Roman" w:eastAsia="宋体" w:cs="Times New Roman"/>
          <w:b/>
          <w:bCs/>
          <w:color w:val="auto"/>
          <w:szCs w:val="24"/>
          <w:highlight w:val="none"/>
        </w:rPr>
        <w:t>质保期为至少24个月，质保期自</w:t>
      </w:r>
      <w:r>
        <w:rPr>
          <w:rFonts w:ascii="Times New Roman" w:hAnsi="Times New Roman" w:eastAsia="宋体" w:cs="Times New Roman"/>
          <w:b/>
          <w:color w:val="auto"/>
          <w:szCs w:val="24"/>
          <w:highlight w:val="none"/>
        </w:rPr>
        <w:t>项目所有</w:t>
      </w:r>
      <w:r>
        <w:rPr>
          <w:rFonts w:hint="eastAsia" w:ascii="Times New Roman" w:hAnsi="Times New Roman" w:eastAsia="宋体" w:cs="Times New Roman"/>
          <w:b/>
          <w:color w:val="auto"/>
          <w:szCs w:val="24"/>
          <w:highlight w:val="none"/>
        </w:rPr>
        <w:t>设备、软件、系统</w:t>
      </w:r>
      <w:r>
        <w:rPr>
          <w:rFonts w:ascii="Times New Roman" w:hAnsi="Times New Roman" w:eastAsia="宋体" w:cs="Times New Roman"/>
          <w:b/>
          <w:bCs/>
          <w:color w:val="auto"/>
          <w:szCs w:val="24"/>
          <w:highlight w:val="none"/>
        </w:rPr>
        <w:t>最终验收合格之日起计算</w:t>
      </w:r>
      <w:r>
        <w:rPr>
          <w:rFonts w:ascii="Times New Roman" w:hAnsi="Times New Roman" w:eastAsia="宋体" w:cs="Times New Roman"/>
          <w:b/>
          <w:bCs/>
          <w:color w:val="auto"/>
          <w:szCs w:val="21"/>
          <w:highlight w:val="none"/>
        </w:rPr>
        <w:t>（以</w:t>
      </w:r>
      <w:r>
        <w:rPr>
          <w:rFonts w:hint="eastAsia" w:ascii="Times New Roman" w:hAnsi="Times New Roman" w:eastAsia="宋体" w:cs="Times New Roman"/>
          <w:b/>
          <w:bCs/>
          <w:color w:val="auto"/>
          <w:szCs w:val="21"/>
          <w:highlight w:val="none"/>
        </w:rPr>
        <w:t>项目</w:t>
      </w:r>
      <w:r>
        <w:rPr>
          <w:rFonts w:ascii="Times New Roman" w:hAnsi="Times New Roman" w:eastAsia="宋体" w:cs="Times New Roman"/>
          <w:b/>
          <w:bCs/>
          <w:color w:val="auto"/>
          <w:szCs w:val="21"/>
          <w:highlight w:val="none"/>
        </w:rPr>
        <w:t>整体验收报告日期为准）</w:t>
      </w:r>
      <w:r>
        <w:rPr>
          <w:rFonts w:ascii="Times New Roman" w:hAnsi="Times New Roman" w:eastAsia="宋体" w:cs="Times New Roman"/>
          <w:b/>
          <w:bCs/>
          <w:color w:val="auto"/>
          <w:szCs w:val="24"/>
          <w:highlight w:val="none"/>
        </w:rPr>
        <w:t>。</w:t>
      </w:r>
      <w:r>
        <w:rPr>
          <w:rFonts w:hint="eastAsia" w:ascii="Times New Roman" w:hAnsi="Times New Roman" w:eastAsia="宋体" w:cs="Times New Roman"/>
          <w:b/>
          <w:bCs/>
          <w:color w:val="auto"/>
          <w:szCs w:val="21"/>
          <w:highlight w:val="none"/>
        </w:rPr>
        <w:t>质保期内，中标人对所投设备供货、安装质量进行免费</w:t>
      </w:r>
      <w:r>
        <w:rPr>
          <w:rFonts w:hint="eastAsia" w:ascii="Times New Roman" w:hAnsi="Times New Roman" w:eastAsia="宋体" w:cs="Times New Roman"/>
          <w:b/>
          <w:bCs/>
          <w:color w:val="auto"/>
          <w:szCs w:val="21"/>
          <w:highlight w:val="none"/>
          <w:lang w:bidi="ar"/>
        </w:rPr>
        <w:t>硬件售后和系统运维服务</w:t>
      </w:r>
      <w:r>
        <w:rPr>
          <w:rFonts w:hint="eastAsia" w:ascii="Times New Roman" w:hAnsi="Times New Roman" w:eastAsia="宋体" w:cs="Times New Roman"/>
          <w:b/>
          <w:bCs/>
          <w:color w:val="auto"/>
          <w:szCs w:val="21"/>
          <w:highlight w:val="none"/>
        </w:rPr>
        <w:t>，免费</w:t>
      </w:r>
      <w:r>
        <w:rPr>
          <w:rFonts w:hint="eastAsia" w:ascii="Times New Roman" w:hAnsi="Times New Roman" w:eastAsia="宋体" w:cs="Times New Roman"/>
          <w:b/>
          <w:bCs/>
          <w:color w:val="auto"/>
          <w:szCs w:val="21"/>
          <w:highlight w:val="none"/>
          <w:lang w:bidi="ar"/>
        </w:rPr>
        <w:t>硬件售后和系统运维服务</w:t>
      </w:r>
      <w:r>
        <w:rPr>
          <w:rFonts w:hint="eastAsia" w:ascii="Times New Roman" w:hAnsi="Times New Roman" w:eastAsia="宋体" w:cs="Times New Roman"/>
          <w:b/>
          <w:bCs/>
          <w:color w:val="auto"/>
          <w:szCs w:val="21"/>
          <w:highlight w:val="none"/>
        </w:rPr>
        <w:t>包括但不限于由中标人承担完成质保期的工作而产生的运费、购置费、测试费、人工费、维护费等各项费用。</w:t>
      </w:r>
    </w:p>
    <w:p w14:paraId="28F8B539">
      <w:pPr>
        <w:widowControl/>
        <w:numPr>
          <w:ilvl w:val="255"/>
          <w:numId w:val="0"/>
        </w:numPr>
        <w:tabs>
          <w:tab w:val="left" w:pos="567"/>
        </w:tabs>
        <w:spacing w:line="360" w:lineRule="auto"/>
        <w:ind w:firstLine="424" w:firstLineChars="202"/>
        <w:jc w:val="left"/>
        <w:rPr>
          <w:rFonts w:ascii="Times New Roman" w:hAnsi="Times New Roman" w:eastAsia="宋体" w:cs="Times New Roman"/>
          <w:color w:val="auto"/>
          <w:szCs w:val="24"/>
          <w:highlight w:val="none"/>
          <w:lang w:bidi="ar"/>
        </w:rPr>
      </w:pPr>
      <w:r>
        <w:rPr>
          <w:rFonts w:hint="eastAsia" w:ascii="Times New Roman" w:hAnsi="Times New Roman" w:eastAsia="宋体" w:cs="Times New Roman"/>
          <w:color w:val="auto"/>
          <w:szCs w:val="24"/>
          <w:highlight w:val="none"/>
          <w:lang w:bidi="ar"/>
        </w:rPr>
        <w:t>（3）</w:t>
      </w:r>
      <w:r>
        <w:rPr>
          <w:rFonts w:ascii="Times New Roman" w:hAnsi="Times New Roman" w:eastAsia="宋体" w:cs="Times New Roman"/>
          <w:color w:val="auto"/>
          <w:szCs w:val="24"/>
          <w:highlight w:val="none"/>
          <w:lang w:bidi="ar"/>
        </w:rPr>
        <w:t>运维服务内容</w:t>
      </w:r>
    </w:p>
    <w:p w14:paraId="1CA5750D">
      <w:pPr>
        <w:widowControl/>
        <w:numPr>
          <w:ilvl w:val="255"/>
          <w:numId w:val="0"/>
        </w:numPr>
        <w:tabs>
          <w:tab w:val="left" w:pos="567"/>
        </w:tabs>
        <w:spacing w:line="360" w:lineRule="auto"/>
        <w:ind w:firstLine="424" w:firstLineChars="202"/>
        <w:jc w:val="left"/>
        <w:rPr>
          <w:rFonts w:ascii="Times New Roman" w:hAnsi="Times New Roman" w:eastAsia="宋体" w:cs="Times New Roman"/>
          <w:color w:val="auto"/>
          <w:szCs w:val="24"/>
          <w:highlight w:val="none"/>
          <w:lang w:bidi="ar"/>
        </w:rPr>
      </w:pPr>
      <w:r>
        <w:rPr>
          <w:rFonts w:hint="eastAsia" w:ascii="Times New Roman" w:hAnsi="Times New Roman" w:eastAsia="宋体" w:cs="Times New Roman"/>
          <w:color w:val="auto"/>
          <w:szCs w:val="24"/>
          <w:highlight w:val="none"/>
          <w:lang w:bidi="ar"/>
        </w:rPr>
        <w:t>1）</w:t>
      </w:r>
      <w:r>
        <w:rPr>
          <w:rFonts w:ascii="Times New Roman" w:hAnsi="Times New Roman" w:eastAsia="宋体" w:cs="Times New Roman"/>
          <w:color w:val="auto"/>
          <w:szCs w:val="24"/>
          <w:highlight w:val="none"/>
          <w:lang w:bidi="ar"/>
        </w:rPr>
        <w:t>系统监控：中标人需对项目所涉及的所有系统进行实时监控，确保系统稳定运行，及时发现并处理故障。</w:t>
      </w:r>
    </w:p>
    <w:p w14:paraId="74629BA1">
      <w:pPr>
        <w:widowControl/>
        <w:numPr>
          <w:ilvl w:val="255"/>
          <w:numId w:val="0"/>
        </w:numPr>
        <w:tabs>
          <w:tab w:val="left" w:pos="567"/>
        </w:tabs>
        <w:spacing w:line="360" w:lineRule="auto"/>
        <w:ind w:firstLine="424" w:firstLineChars="202"/>
        <w:jc w:val="left"/>
        <w:rPr>
          <w:rFonts w:ascii="Times New Roman" w:hAnsi="Times New Roman" w:eastAsia="宋体" w:cs="Times New Roman"/>
          <w:color w:val="auto"/>
          <w:szCs w:val="24"/>
          <w:highlight w:val="none"/>
          <w:lang w:bidi="ar"/>
        </w:rPr>
      </w:pPr>
      <w:r>
        <w:rPr>
          <w:rFonts w:hint="eastAsia" w:ascii="Times New Roman" w:hAnsi="Times New Roman" w:eastAsia="宋体" w:cs="Times New Roman"/>
          <w:color w:val="auto"/>
          <w:szCs w:val="24"/>
          <w:highlight w:val="none"/>
          <w:lang w:bidi="ar"/>
        </w:rPr>
        <w:t>2）</w:t>
      </w:r>
      <w:r>
        <w:rPr>
          <w:rFonts w:ascii="Times New Roman" w:hAnsi="Times New Roman" w:eastAsia="宋体" w:cs="Times New Roman"/>
          <w:color w:val="auto"/>
          <w:szCs w:val="24"/>
          <w:highlight w:val="none"/>
          <w:lang w:bidi="ar"/>
        </w:rPr>
        <w:t>故障处理：中标人应提供7x24小时的故障处理服务，服务方式电话咨询、远程协助和现场处理。当发生系统不能运行、应用不能正常使用等重大故障时，投标人确保30分钟内响应，2小时内派遣专业技术人员到达现场处理，4小时内排除故障恢复运行。</w:t>
      </w:r>
    </w:p>
    <w:p w14:paraId="1C525A6A">
      <w:pPr>
        <w:widowControl/>
        <w:numPr>
          <w:ilvl w:val="255"/>
          <w:numId w:val="0"/>
        </w:numPr>
        <w:tabs>
          <w:tab w:val="left" w:pos="567"/>
        </w:tabs>
        <w:spacing w:line="360" w:lineRule="auto"/>
        <w:ind w:firstLine="424" w:firstLineChars="202"/>
        <w:jc w:val="left"/>
        <w:rPr>
          <w:rFonts w:ascii="Times New Roman" w:hAnsi="Times New Roman" w:eastAsia="宋体" w:cs="Times New Roman"/>
          <w:color w:val="auto"/>
          <w:szCs w:val="24"/>
          <w:highlight w:val="none"/>
          <w:lang w:bidi="ar"/>
        </w:rPr>
      </w:pPr>
      <w:r>
        <w:rPr>
          <w:rFonts w:hint="eastAsia" w:ascii="Times New Roman" w:hAnsi="Times New Roman" w:eastAsia="宋体" w:cs="Times New Roman"/>
          <w:color w:val="auto"/>
          <w:szCs w:val="24"/>
          <w:highlight w:val="none"/>
          <w:lang w:bidi="ar"/>
        </w:rPr>
        <w:t>3）</w:t>
      </w:r>
      <w:r>
        <w:rPr>
          <w:rFonts w:ascii="Times New Roman" w:hAnsi="Times New Roman" w:eastAsia="宋体" w:cs="Times New Roman"/>
          <w:color w:val="auto"/>
          <w:szCs w:val="24"/>
          <w:highlight w:val="none"/>
          <w:lang w:bidi="ar"/>
        </w:rPr>
        <w:t>系统维护：中标人应定期对项目所涉及的系统进行维护，包括系统更新、补丁安装、性能优化等，确保系统持续稳定运行。</w:t>
      </w:r>
    </w:p>
    <w:p w14:paraId="5EB386C2">
      <w:pPr>
        <w:widowControl/>
        <w:numPr>
          <w:ilvl w:val="255"/>
          <w:numId w:val="0"/>
        </w:numPr>
        <w:tabs>
          <w:tab w:val="left" w:pos="567"/>
        </w:tabs>
        <w:spacing w:line="360" w:lineRule="auto"/>
        <w:ind w:firstLine="424" w:firstLineChars="202"/>
        <w:jc w:val="left"/>
        <w:rPr>
          <w:rFonts w:ascii="Times New Roman" w:hAnsi="Times New Roman" w:eastAsia="宋体" w:cs="Times New Roman"/>
          <w:color w:val="auto"/>
          <w:szCs w:val="24"/>
          <w:highlight w:val="none"/>
          <w:lang w:bidi="ar"/>
        </w:rPr>
      </w:pPr>
      <w:r>
        <w:rPr>
          <w:rFonts w:hint="eastAsia" w:ascii="Times New Roman" w:hAnsi="Times New Roman" w:eastAsia="宋体" w:cs="Times New Roman"/>
          <w:color w:val="auto"/>
          <w:szCs w:val="24"/>
          <w:highlight w:val="none"/>
          <w:lang w:bidi="ar"/>
        </w:rPr>
        <w:t>4）</w:t>
      </w:r>
      <w:r>
        <w:rPr>
          <w:rFonts w:ascii="Times New Roman" w:hAnsi="Times New Roman" w:eastAsia="宋体" w:cs="Times New Roman"/>
          <w:color w:val="auto"/>
          <w:szCs w:val="24"/>
          <w:highlight w:val="none"/>
          <w:lang w:bidi="ar"/>
        </w:rPr>
        <w:t>数据备份与恢复：中标人应定期对项目所涉及的数据进行备份，确保数据安全。同时，应提供数据恢复服务，确保在发生数据丢失时能够及时恢复。</w:t>
      </w:r>
    </w:p>
    <w:p w14:paraId="20C48DB2">
      <w:pPr>
        <w:widowControl/>
        <w:numPr>
          <w:ilvl w:val="255"/>
          <w:numId w:val="0"/>
        </w:numPr>
        <w:tabs>
          <w:tab w:val="left" w:pos="567"/>
        </w:tabs>
        <w:spacing w:line="360" w:lineRule="auto"/>
        <w:ind w:firstLine="424" w:firstLineChars="202"/>
        <w:jc w:val="left"/>
        <w:rPr>
          <w:rFonts w:ascii="Times New Roman" w:hAnsi="Times New Roman" w:eastAsia="宋体" w:cs="Times New Roman"/>
          <w:color w:val="auto"/>
          <w:szCs w:val="24"/>
          <w:highlight w:val="none"/>
          <w:lang w:bidi="ar"/>
        </w:rPr>
      </w:pPr>
      <w:r>
        <w:rPr>
          <w:rFonts w:hint="eastAsia" w:ascii="Times New Roman" w:hAnsi="Times New Roman" w:eastAsia="宋体" w:cs="Times New Roman"/>
          <w:color w:val="auto"/>
          <w:szCs w:val="24"/>
          <w:highlight w:val="none"/>
          <w:lang w:bidi="ar"/>
        </w:rPr>
        <w:t>5）</w:t>
      </w:r>
      <w:r>
        <w:rPr>
          <w:rFonts w:ascii="Times New Roman" w:hAnsi="Times New Roman" w:eastAsia="宋体" w:cs="Times New Roman"/>
          <w:color w:val="auto"/>
          <w:szCs w:val="24"/>
          <w:highlight w:val="none"/>
          <w:lang w:bidi="ar"/>
        </w:rPr>
        <w:t>安全防护：中标人应负责项目所涉及的系统安全防护，包括但不限于防火墙配置、病毒防护、入侵检测等，确保系统安全稳定运行。</w:t>
      </w:r>
    </w:p>
    <w:p w14:paraId="2C47CA60">
      <w:pPr>
        <w:widowControl/>
        <w:numPr>
          <w:ilvl w:val="255"/>
          <w:numId w:val="0"/>
        </w:numPr>
        <w:tabs>
          <w:tab w:val="left" w:pos="567"/>
        </w:tabs>
        <w:spacing w:line="360" w:lineRule="auto"/>
        <w:ind w:firstLine="424" w:firstLineChars="202"/>
        <w:jc w:val="left"/>
        <w:rPr>
          <w:rFonts w:ascii="Times New Roman" w:hAnsi="Times New Roman" w:eastAsia="宋体" w:cs="Times New Roman"/>
          <w:color w:val="auto"/>
          <w:szCs w:val="24"/>
          <w:highlight w:val="none"/>
          <w:lang w:bidi="ar"/>
        </w:rPr>
      </w:pPr>
      <w:r>
        <w:rPr>
          <w:rFonts w:hint="eastAsia" w:ascii="Times New Roman" w:hAnsi="Times New Roman" w:eastAsia="宋体" w:cs="Times New Roman"/>
          <w:color w:val="auto"/>
          <w:szCs w:val="24"/>
          <w:highlight w:val="none"/>
          <w:lang w:bidi="ar"/>
        </w:rPr>
        <w:t>（4）</w:t>
      </w:r>
      <w:r>
        <w:rPr>
          <w:rFonts w:ascii="Times New Roman" w:hAnsi="Times New Roman" w:eastAsia="宋体" w:cs="Times New Roman"/>
          <w:color w:val="auto"/>
          <w:szCs w:val="24"/>
          <w:highlight w:val="none"/>
          <w:lang w:bidi="ar"/>
        </w:rPr>
        <w:t>运维服务质量要求</w:t>
      </w:r>
    </w:p>
    <w:p w14:paraId="114A0849">
      <w:pPr>
        <w:widowControl/>
        <w:numPr>
          <w:ilvl w:val="255"/>
          <w:numId w:val="0"/>
        </w:numPr>
        <w:tabs>
          <w:tab w:val="left" w:pos="567"/>
        </w:tabs>
        <w:spacing w:line="360" w:lineRule="auto"/>
        <w:ind w:firstLine="424" w:firstLineChars="202"/>
        <w:jc w:val="left"/>
        <w:rPr>
          <w:rFonts w:ascii="Times New Roman" w:hAnsi="Times New Roman" w:eastAsia="宋体" w:cs="Times New Roman"/>
          <w:color w:val="auto"/>
          <w:szCs w:val="24"/>
          <w:highlight w:val="none"/>
          <w:lang w:bidi="ar"/>
        </w:rPr>
      </w:pPr>
      <w:r>
        <w:rPr>
          <w:rFonts w:hint="eastAsia" w:ascii="Times New Roman" w:hAnsi="Times New Roman" w:eastAsia="宋体" w:cs="Times New Roman"/>
          <w:color w:val="auto"/>
          <w:szCs w:val="24"/>
          <w:highlight w:val="none"/>
          <w:lang w:bidi="ar"/>
        </w:rPr>
        <w:t>1）</w:t>
      </w:r>
      <w:r>
        <w:rPr>
          <w:rFonts w:ascii="Times New Roman" w:hAnsi="Times New Roman" w:eastAsia="宋体" w:cs="Times New Roman"/>
          <w:color w:val="auto"/>
          <w:szCs w:val="24"/>
          <w:highlight w:val="none"/>
          <w:lang w:bidi="ar"/>
        </w:rPr>
        <w:t>中标人应保证所提供的运维服务质量，确保项目所涉及的系统稳定、安全、高效运行。</w:t>
      </w:r>
    </w:p>
    <w:p w14:paraId="401BEA78">
      <w:pPr>
        <w:widowControl/>
        <w:numPr>
          <w:ilvl w:val="255"/>
          <w:numId w:val="0"/>
        </w:numPr>
        <w:tabs>
          <w:tab w:val="left" w:pos="567"/>
        </w:tabs>
        <w:spacing w:line="360" w:lineRule="auto"/>
        <w:ind w:firstLine="424" w:firstLineChars="202"/>
        <w:jc w:val="left"/>
        <w:rPr>
          <w:rFonts w:ascii="Times New Roman" w:hAnsi="Times New Roman" w:eastAsia="宋体" w:cs="Times New Roman"/>
          <w:color w:val="auto"/>
          <w:szCs w:val="24"/>
          <w:highlight w:val="none"/>
          <w:lang w:bidi="ar"/>
        </w:rPr>
      </w:pPr>
      <w:r>
        <w:rPr>
          <w:rFonts w:hint="eastAsia" w:ascii="Times New Roman" w:hAnsi="Times New Roman" w:eastAsia="宋体" w:cs="Times New Roman"/>
          <w:color w:val="auto"/>
          <w:szCs w:val="24"/>
          <w:highlight w:val="none"/>
          <w:lang w:bidi="ar"/>
        </w:rPr>
        <w:t>2）</w:t>
      </w:r>
      <w:r>
        <w:rPr>
          <w:rFonts w:ascii="Times New Roman" w:hAnsi="Times New Roman" w:eastAsia="宋体" w:cs="Times New Roman"/>
          <w:color w:val="auto"/>
          <w:szCs w:val="24"/>
          <w:highlight w:val="none"/>
          <w:lang w:bidi="ar"/>
        </w:rPr>
        <w:t>中标人应建立完善的运维服务体系，包括但不限于运维服务流程、故障处理机制、客户反馈渠道等，确保运维服务的顺利进行。</w:t>
      </w:r>
    </w:p>
    <w:p w14:paraId="0ADF0070">
      <w:pPr>
        <w:widowControl/>
        <w:numPr>
          <w:ilvl w:val="255"/>
          <w:numId w:val="0"/>
        </w:numPr>
        <w:tabs>
          <w:tab w:val="left" w:pos="567"/>
        </w:tabs>
        <w:spacing w:line="360" w:lineRule="auto"/>
        <w:ind w:firstLine="424" w:firstLineChars="202"/>
        <w:jc w:val="left"/>
        <w:rPr>
          <w:rFonts w:ascii="Times New Roman" w:hAnsi="Times New Roman" w:eastAsia="宋体" w:cs="Times New Roman"/>
          <w:color w:val="auto"/>
          <w:szCs w:val="24"/>
          <w:highlight w:val="none"/>
          <w:lang w:bidi="ar"/>
        </w:rPr>
      </w:pPr>
      <w:r>
        <w:rPr>
          <w:rFonts w:hint="eastAsia" w:ascii="Times New Roman" w:hAnsi="Times New Roman" w:eastAsia="宋体" w:cs="Times New Roman"/>
          <w:color w:val="auto"/>
          <w:szCs w:val="24"/>
          <w:highlight w:val="none"/>
          <w:lang w:bidi="ar"/>
        </w:rPr>
        <w:t>3）</w:t>
      </w:r>
      <w:r>
        <w:rPr>
          <w:rFonts w:ascii="Times New Roman" w:hAnsi="Times New Roman" w:eastAsia="宋体" w:cs="Times New Roman"/>
          <w:color w:val="auto"/>
          <w:szCs w:val="24"/>
          <w:highlight w:val="none"/>
          <w:lang w:bidi="ar"/>
        </w:rPr>
        <w:t>招标人有权对中标人的运维服务进行监督和评价，如发现中标人未按照约定提供服务或服务质量不达标，招标人有权要求中标人限期整改，逾期未整改的，招标人有权追究中标人的违约责任。</w:t>
      </w:r>
    </w:p>
    <w:p w14:paraId="10EEF6D8">
      <w:pPr>
        <w:widowControl/>
        <w:numPr>
          <w:ilvl w:val="255"/>
          <w:numId w:val="0"/>
        </w:numPr>
        <w:tabs>
          <w:tab w:val="left" w:pos="567"/>
        </w:tabs>
        <w:spacing w:line="360" w:lineRule="auto"/>
        <w:ind w:firstLine="424" w:firstLineChars="202"/>
        <w:jc w:val="left"/>
        <w:rPr>
          <w:rFonts w:ascii="Times New Roman" w:hAnsi="Times New Roman" w:eastAsia="宋体" w:cs="Times New Roman"/>
          <w:color w:val="auto"/>
          <w:szCs w:val="24"/>
          <w:highlight w:val="none"/>
          <w:lang w:bidi="ar"/>
        </w:rPr>
      </w:pPr>
      <w:r>
        <w:rPr>
          <w:rFonts w:hint="eastAsia" w:ascii="Times New Roman" w:hAnsi="Times New Roman" w:eastAsia="宋体" w:cs="Times New Roman"/>
          <w:color w:val="auto"/>
          <w:szCs w:val="24"/>
          <w:highlight w:val="none"/>
          <w:lang w:bidi="ar"/>
        </w:rPr>
        <w:t>（5）</w:t>
      </w:r>
      <w:r>
        <w:rPr>
          <w:rFonts w:ascii="Times New Roman" w:hAnsi="Times New Roman" w:eastAsia="宋体" w:cs="Times New Roman"/>
          <w:color w:val="auto"/>
          <w:szCs w:val="24"/>
          <w:highlight w:val="none"/>
          <w:lang w:bidi="ar"/>
        </w:rPr>
        <w:t>运维服务质量要求如下：</w:t>
      </w:r>
    </w:p>
    <w:p w14:paraId="599B22C7">
      <w:pPr>
        <w:widowControl/>
        <w:numPr>
          <w:ilvl w:val="255"/>
          <w:numId w:val="0"/>
        </w:numPr>
        <w:tabs>
          <w:tab w:val="left" w:pos="567"/>
        </w:tabs>
        <w:spacing w:line="360" w:lineRule="auto"/>
        <w:ind w:firstLine="424" w:firstLineChars="202"/>
        <w:jc w:val="left"/>
        <w:rPr>
          <w:rFonts w:ascii="Times New Roman" w:hAnsi="Times New Roman" w:eastAsia="宋体" w:cs="Times New Roman"/>
          <w:color w:val="auto"/>
          <w:szCs w:val="24"/>
          <w:highlight w:val="none"/>
          <w:lang w:bidi="ar"/>
        </w:rPr>
      </w:pPr>
      <w:r>
        <w:rPr>
          <w:rFonts w:hint="eastAsia" w:ascii="Times New Roman" w:hAnsi="Times New Roman" w:eastAsia="宋体" w:cs="Times New Roman"/>
          <w:color w:val="auto"/>
          <w:szCs w:val="24"/>
          <w:highlight w:val="none"/>
          <w:lang w:bidi="ar"/>
        </w:rPr>
        <w:t>1）</w:t>
      </w:r>
      <w:r>
        <w:rPr>
          <w:rFonts w:ascii="Times New Roman" w:hAnsi="Times New Roman" w:eastAsia="宋体" w:cs="Times New Roman"/>
          <w:color w:val="auto"/>
          <w:szCs w:val="24"/>
          <w:highlight w:val="none"/>
          <w:lang w:bidi="ar"/>
        </w:rPr>
        <w:t>中标人应保证所提供的运维服务质量，确保项目所涉及的系统稳定、安全、高效运行。</w:t>
      </w:r>
    </w:p>
    <w:p w14:paraId="2F705382">
      <w:pPr>
        <w:widowControl/>
        <w:numPr>
          <w:ilvl w:val="255"/>
          <w:numId w:val="0"/>
        </w:numPr>
        <w:tabs>
          <w:tab w:val="left" w:pos="567"/>
        </w:tabs>
        <w:spacing w:line="360" w:lineRule="auto"/>
        <w:ind w:firstLine="424" w:firstLineChars="202"/>
        <w:jc w:val="left"/>
        <w:rPr>
          <w:rFonts w:ascii="Times New Roman" w:hAnsi="Times New Roman" w:eastAsia="宋体" w:cs="Times New Roman"/>
          <w:color w:val="auto"/>
          <w:szCs w:val="24"/>
          <w:highlight w:val="none"/>
          <w:lang w:bidi="ar"/>
        </w:rPr>
      </w:pPr>
      <w:r>
        <w:rPr>
          <w:rFonts w:hint="eastAsia" w:ascii="Times New Roman" w:hAnsi="Times New Roman" w:eastAsia="宋体" w:cs="Times New Roman"/>
          <w:color w:val="auto"/>
          <w:szCs w:val="24"/>
          <w:highlight w:val="none"/>
          <w:lang w:bidi="ar"/>
        </w:rPr>
        <w:t>2）</w:t>
      </w:r>
      <w:r>
        <w:rPr>
          <w:rFonts w:ascii="Times New Roman" w:hAnsi="Times New Roman" w:eastAsia="宋体" w:cs="Times New Roman"/>
          <w:color w:val="auto"/>
          <w:szCs w:val="24"/>
          <w:highlight w:val="none"/>
          <w:lang w:bidi="ar"/>
        </w:rPr>
        <w:t>中标人应建立完善的运维服务体系，包括但不限于运维服务流程、故障处理机制、客户反馈渠道等，确保运维服务的顺利进行。</w:t>
      </w:r>
    </w:p>
    <w:p w14:paraId="36731ECD">
      <w:pPr>
        <w:widowControl/>
        <w:numPr>
          <w:ilvl w:val="255"/>
          <w:numId w:val="0"/>
        </w:numPr>
        <w:tabs>
          <w:tab w:val="left" w:pos="567"/>
        </w:tabs>
        <w:spacing w:line="360" w:lineRule="auto"/>
        <w:ind w:firstLine="424" w:firstLineChars="202"/>
        <w:jc w:val="left"/>
        <w:rPr>
          <w:rFonts w:ascii="Times New Roman" w:hAnsi="Times New Roman" w:eastAsia="宋体" w:cs="Times New Roman"/>
          <w:color w:val="auto"/>
          <w:szCs w:val="24"/>
          <w:highlight w:val="none"/>
          <w:lang w:bidi="ar"/>
        </w:rPr>
      </w:pPr>
      <w:r>
        <w:rPr>
          <w:rFonts w:hint="eastAsia" w:ascii="Times New Roman" w:hAnsi="Times New Roman" w:eastAsia="宋体" w:cs="Times New Roman"/>
          <w:color w:val="auto"/>
          <w:szCs w:val="24"/>
          <w:highlight w:val="none"/>
          <w:lang w:bidi="ar"/>
        </w:rPr>
        <w:t>3）</w:t>
      </w:r>
      <w:r>
        <w:rPr>
          <w:rFonts w:ascii="Times New Roman" w:hAnsi="Times New Roman" w:eastAsia="宋体" w:cs="Times New Roman"/>
          <w:color w:val="auto"/>
          <w:szCs w:val="24"/>
          <w:highlight w:val="none"/>
          <w:lang w:bidi="ar"/>
        </w:rPr>
        <w:t>招标人有权对中标人的运维服务进行监督和评价，如发现中标人未按照约定提供服务或服务质量不达标，招标人有权要求中标人限期整改，逾期未整改的，招标人有权终止合同并追究中标人的违约责任。</w:t>
      </w:r>
    </w:p>
    <w:p w14:paraId="15C8128A">
      <w:pPr>
        <w:widowControl/>
        <w:tabs>
          <w:tab w:val="left" w:pos="567"/>
        </w:tabs>
        <w:spacing w:line="360" w:lineRule="auto"/>
        <w:ind w:firstLine="424" w:firstLineChars="202"/>
        <w:jc w:val="left"/>
        <w:rPr>
          <w:rFonts w:ascii="Times New Roman" w:hAnsi="Times New Roman" w:eastAsia="宋体" w:cs="Times New Roman"/>
          <w:color w:val="auto"/>
          <w:szCs w:val="24"/>
          <w:highlight w:val="none"/>
          <w:lang w:bidi="ar"/>
        </w:rPr>
      </w:pPr>
      <w:r>
        <w:rPr>
          <w:rFonts w:hint="eastAsia" w:ascii="Times New Roman" w:hAnsi="Times New Roman" w:eastAsia="宋体" w:cs="Times New Roman"/>
          <w:color w:val="auto"/>
          <w:szCs w:val="24"/>
          <w:highlight w:val="none"/>
          <w:lang w:bidi="ar"/>
        </w:rPr>
        <w:t>4）</w:t>
      </w:r>
      <w:r>
        <w:rPr>
          <w:rFonts w:ascii="Times New Roman" w:hAnsi="Times New Roman" w:eastAsia="宋体" w:cs="Times New Roman"/>
          <w:color w:val="auto"/>
          <w:szCs w:val="24"/>
          <w:highlight w:val="none"/>
          <w:lang w:bidi="ar"/>
        </w:rPr>
        <w:t>运维服务期服务评分要求：运维服务期服务将采用年度评分机制，评分与质保金挂钩</w:t>
      </w:r>
      <w:r>
        <w:rPr>
          <w:rFonts w:hint="eastAsia" w:ascii="Times New Roman" w:hAnsi="Times New Roman" w:eastAsia="宋体" w:cs="Times New Roman"/>
          <w:color w:val="auto"/>
          <w:szCs w:val="24"/>
          <w:highlight w:val="none"/>
          <w:lang w:bidi="ar"/>
        </w:rPr>
        <w:t>，质保期内总分等于各年度评分表得分的平均值</w:t>
      </w:r>
      <w:r>
        <w:rPr>
          <w:rFonts w:ascii="Times New Roman" w:hAnsi="Times New Roman" w:eastAsia="宋体" w:cs="Times New Roman"/>
          <w:color w:val="auto"/>
          <w:szCs w:val="24"/>
          <w:highlight w:val="none"/>
          <w:lang w:bidi="ar"/>
        </w:rPr>
        <w:t>。评分满分100分，其中招标人的</w:t>
      </w:r>
      <w:r>
        <w:rPr>
          <w:rFonts w:hint="eastAsia" w:ascii="Times New Roman" w:hAnsi="Times New Roman" w:eastAsia="宋体" w:cs="Times New Roman"/>
          <w:color w:val="auto"/>
          <w:szCs w:val="24"/>
          <w:highlight w:val="none"/>
          <w:lang w:bidi="ar"/>
        </w:rPr>
        <w:t>项目</w:t>
      </w:r>
      <w:r>
        <w:rPr>
          <w:rFonts w:ascii="Times New Roman" w:hAnsi="Times New Roman" w:eastAsia="宋体" w:cs="Times New Roman"/>
          <w:color w:val="auto"/>
          <w:szCs w:val="24"/>
          <w:highlight w:val="none"/>
          <w:lang w:bidi="ar"/>
        </w:rPr>
        <w:t>管理部门占50%，招标人的使用部门或厂区占50%。具体评分细则详见下表。</w:t>
      </w:r>
    </w:p>
    <w:p w14:paraId="6A22CD0E">
      <w:pPr>
        <w:tabs>
          <w:tab w:val="left" w:pos="567"/>
        </w:tabs>
        <w:spacing w:line="360" w:lineRule="auto"/>
        <w:ind w:firstLine="568" w:firstLineChars="202"/>
        <w:jc w:val="center"/>
        <w:rPr>
          <w:rFonts w:ascii="Times New Roman" w:hAnsi="Times New Roman" w:eastAsia="宋体" w:cs="Times New Roman"/>
          <w:b/>
          <w:bCs/>
          <w:color w:val="auto"/>
          <w:sz w:val="28"/>
          <w:szCs w:val="36"/>
          <w:highlight w:val="none"/>
        </w:rPr>
      </w:pPr>
      <w:r>
        <w:rPr>
          <w:rFonts w:ascii="Times New Roman" w:hAnsi="Times New Roman" w:eastAsia="宋体" w:cs="Times New Roman"/>
          <w:b/>
          <w:bCs/>
          <w:color w:val="auto"/>
          <w:sz w:val="28"/>
          <w:szCs w:val="36"/>
          <w:highlight w:val="none"/>
        </w:rPr>
        <w:t>运维服务期服务评分表</w:t>
      </w:r>
    </w:p>
    <w:p w14:paraId="31B7BF6F">
      <w:pPr>
        <w:tabs>
          <w:tab w:val="left" w:pos="567"/>
        </w:tabs>
        <w:spacing w:line="360" w:lineRule="auto"/>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部室或厂区：</w:t>
      </w:r>
    </w:p>
    <w:tbl>
      <w:tblPr>
        <w:tblStyle w:val="45"/>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116"/>
        <w:gridCol w:w="4846"/>
        <w:gridCol w:w="850"/>
        <w:gridCol w:w="851"/>
      </w:tblGrid>
      <w:tr w14:paraId="7E09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52D9A4E3">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序号</w:t>
            </w:r>
          </w:p>
        </w:tc>
        <w:tc>
          <w:tcPr>
            <w:tcW w:w="1116" w:type="dxa"/>
            <w:vAlign w:val="center"/>
          </w:tcPr>
          <w:p w14:paraId="17514CFB">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指标</w:t>
            </w:r>
          </w:p>
        </w:tc>
        <w:tc>
          <w:tcPr>
            <w:tcW w:w="4846" w:type="dxa"/>
            <w:vAlign w:val="center"/>
          </w:tcPr>
          <w:p w14:paraId="5717C514">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说明</w:t>
            </w:r>
          </w:p>
        </w:tc>
        <w:tc>
          <w:tcPr>
            <w:tcW w:w="850" w:type="dxa"/>
            <w:vAlign w:val="center"/>
          </w:tcPr>
          <w:p w14:paraId="03D05880">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分值</w:t>
            </w:r>
          </w:p>
        </w:tc>
        <w:tc>
          <w:tcPr>
            <w:tcW w:w="851" w:type="dxa"/>
            <w:vAlign w:val="center"/>
          </w:tcPr>
          <w:p w14:paraId="5BE81973">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得分</w:t>
            </w:r>
          </w:p>
        </w:tc>
      </w:tr>
      <w:tr w14:paraId="0F03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6954AA0A">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w:t>
            </w:r>
          </w:p>
        </w:tc>
        <w:tc>
          <w:tcPr>
            <w:tcW w:w="1116" w:type="dxa"/>
            <w:vAlign w:val="center"/>
          </w:tcPr>
          <w:p w14:paraId="431A1371">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服务热线</w:t>
            </w:r>
          </w:p>
        </w:tc>
        <w:tc>
          <w:tcPr>
            <w:tcW w:w="4846" w:type="dxa"/>
          </w:tcPr>
          <w:p w14:paraId="6358747E">
            <w:pPr>
              <w:keepNext w:val="0"/>
              <w:keepLines w:val="0"/>
              <w:suppressLineNumbers w:val="0"/>
              <w:tabs>
                <w:tab w:val="left" w:pos="567"/>
              </w:tabs>
              <w:spacing w:before="0" w:beforeAutospacing="0" w:after="0" w:afterAutospacing="0" w:line="360" w:lineRule="auto"/>
              <w:ind w:left="0" w:right="0" w:firstLine="424" w:firstLineChars="202"/>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投标人应按合同规定设置服务热线，未设置热线扣10分。</w:t>
            </w:r>
          </w:p>
        </w:tc>
        <w:tc>
          <w:tcPr>
            <w:tcW w:w="850" w:type="dxa"/>
            <w:vAlign w:val="center"/>
          </w:tcPr>
          <w:p w14:paraId="4A5073E5">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10</w:t>
            </w:r>
          </w:p>
        </w:tc>
        <w:tc>
          <w:tcPr>
            <w:tcW w:w="851" w:type="dxa"/>
            <w:vAlign w:val="center"/>
          </w:tcPr>
          <w:p w14:paraId="0F601816">
            <w:pPr>
              <w:keepNext w:val="0"/>
              <w:keepLines w:val="0"/>
              <w:suppressLineNumbers w:val="0"/>
              <w:tabs>
                <w:tab w:val="left" w:pos="567"/>
              </w:tabs>
              <w:spacing w:before="0" w:beforeAutospacing="0" w:after="0" w:afterAutospacing="0" w:line="360" w:lineRule="auto"/>
              <w:ind w:left="0" w:right="0" w:firstLine="424" w:firstLineChars="202"/>
              <w:jc w:val="center"/>
              <w:rPr>
                <w:rFonts w:hint="default" w:ascii="Times New Roman" w:hAnsi="Times New Roman" w:eastAsia="宋体" w:cs="Times New Roman"/>
                <w:color w:val="auto"/>
                <w:szCs w:val="24"/>
                <w:highlight w:val="none"/>
              </w:rPr>
            </w:pPr>
          </w:p>
        </w:tc>
      </w:tr>
      <w:tr w14:paraId="441B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3A242776">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2</w:t>
            </w:r>
          </w:p>
        </w:tc>
        <w:tc>
          <w:tcPr>
            <w:tcW w:w="1116" w:type="dxa"/>
            <w:vAlign w:val="center"/>
          </w:tcPr>
          <w:p w14:paraId="109A2A53">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服务响应</w:t>
            </w:r>
          </w:p>
        </w:tc>
        <w:tc>
          <w:tcPr>
            <w:tcW w:w="4846" w:type="dxa"/>
          </w:tcPr>
          <w:p w14:paraId="072792D9">
            <w:pPr>
              <w:keepNext w:val="0"/>
              <w:keepLines w:val="0"/>
              <w:suppressLineNumbers w:val="0"/>
              <w:tabs>
                <w:tab w:val="left" w:pos="567"/>
              </w:tabs>
              <w:spacing w:before="0" w:beforeAutospacing="0" w:after="0" w:afterAutospacing="0" w:line="360" w:lineRule="auto"/>
              <w:ind w:left="0" w:right="0" w:firstLine="424" w:firstLineChars="202"/>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投标人接到招标人报障后，工作日8小时到达现场，并于48小时内更换或修复缺陷，未按照要求修复缺陷的每次扣5分，直至扣完为止。</w:t>
            </w:r>
          </w:p>
        </w:tc>
        <w:tc>
          <w:tcPr>
            <w:tcW w:w="850" w:type="dxa"/>
            <w:vAlign w:val="center"/>
          </w:tcPr>
          <w:p w14:paraId="388D581C">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30</w:t>
            </w:r>
          </w:p>
        </w:tc>
        <w:tc>
          <w:tcPr>
            <w:tcW w:w="851" w:type="dxa"/>
            <w:vAlign w:val="center"/>
          </w:tcPr>
          <w:p w14:paraId="2C9BFC78">
            <w:pPr>
              <w:keepNext w:val="0"/>
              <w:keepLines w:val="0"/>
              <w:suppressLineNumbers w:val="0"/>
              <w:tabs>
                <w:tab w:val="left" w:pos="567"/>
              </w:tabs>
              <w:spacing w:before="0" w:beforeAutospacing="0" w:after="0" w:afterAutospacing="0" w:line="360" w:lineRule="auto"/>
              <w:ind w:left="0" w:right="0" w:firstLine="424" w:firstLineChars="202"/>
              <w:jc w:val="center"/>
              <w:rPr>
                <w:rFonts w:hint="default" w:ascii="Times New Roman" w:hAnsi="Times New Roman" w:eastAsia="宋体" w:cs="Times New Roman"/>
                <w:color w:val="auto"/>
                <w:szCs w:val="24"/>
                <w:highlight w:val="none"/>
              </w:rPr>
            </w:pPr>
          </w:p>
        </w:tc>
      </w:tr>
      <w:tr w14:paraId="62D2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0D001176">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3</w:t>
            </w:r>
          </w:p>
        </w:tc>
        <w:tc>
          <w:tcPr>
            <w:tcW w:w="1116" w:type="dxa"/>
            <w:vAlign w:val="center"/>
          </w:tcPr>
          <w:p w14:paraId="7495DC63">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功能完善</w:t>
            </w:r>
          </w:p>
        </w:tc>
        <w:tc>
          <w:tcPr>
            <w:tcW w:w="4846" w:type="dxa"/>
          </w:tcPr>
          <w:p w14:paraId="2D27F847">
            <w:pPr>
              <w:keepNext w:val="0"/>
              <w:keepLines w:val="0"/>
              <w:suppressLineNumbers w:val="0"/>
              <w:tabs>
                <w:tab w:val="left" w:pos="567"/>
              </w:tabs>
              <w:spacing w:before="0" w:beforeAutospacing="0" w:after="0" w:afterAutospacing="0" w:line="360" w:lineRule="auto"/>
              <w:ind w:left="0" w:right="0" w:firstLine="424" w:firstLineChars="202"/>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质保期间协助提供对系统需求涉及的系统</w:t>
            </w:r>
            <w:r>
              <w:rPr>
                <w:rFonts w:hint="eastAsia" w:ascii="Times New Roman" w:hAnsi="Times New Roman" w:eastAsia="宋体" w:cs="Times New Roman"/>
                <w:color w:val="auto"/>
                <w:szCs w:val="24"/>
                <w:highlight w:val="none"/>
              </w:rPr>
              <w:t>画面、数据排布</w:t>
            </w:r>
            <w:r>
              <w:rPr>
                <w:rFonts w:hint="default" w:ascii="Times New Roman" w:hAnsi="Times New Roman" w:eastAsia="宋体" w:cs="Times New Roman"/>
                <w:color w:val="auto"/>
                <w:szCs w:val="24"/>
                <w:highlight w:val="none"/>
              </w:rPr>
              <w:t>、应用功能、报表</w:t>
            </w:r>
            <w:r>
              <w:rPr>
                <w:rFonts w:hint="eastAsia" w:ascii="Times New Roman" w:hAnsi="Times New Roman" w:eastAsia="宋体" w:cs="Times New Roman"/>
                <w:color w:val="auto"/>
                <w:szCs w:val="24"/>
                <w:highlight w:val="none"/>
              </w:rPr>
              <w:t>图标</w:t>
            </w:r>
            <w:r>
              <w:rPr>
                <w:rFonts w:hint="default" w:ascii="Times New Roman" w:hAnsi="Times New Roman" w:eastAsia="宋体" w:cs="Times New Roman"/>
                <w:color w:val="auto"/>
                <w:szCs w:val="24"/>
                <w:highlight w:val="none"/>
              </w:rPr>
              <w:t>功能完善服务，未能按照要求提供优化完善服务的，每次扣5分，直至扣完为止。</w:t>
            </w:r>
          </w:p>
        </w:tc>
        <w:tc>
          <w:tcPr>
            <w:tcW w:w="850" w:type="dxa"/>
            <w:vAlign w:val="center"/>
          </w:tcPr>
          <w:p w14:paraId="62218C7E">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40</w:t>
            </w:r>
          </w:p>
        </w:tc>
        <w:tc>
          <w:tcPr>
            <w:tcW w:w="851" w:type="dxa"/>
            <w:vAlign w:val="center"/>
          </w:tcPr>
          <w:p w14:paraId="6AA4DE8A">
            <w:pPr>
              <w:keepNext w:val="0"/>
              <w:keepLines w:val="0"/>
              <w:suppressLineNumbers w:val="0"/>
              <w:tabs>
                <w:tab w:val="left" w:pos="567"/>
              </w:tabs>
              <w:spacing w:before="0" w:beforeAutospacing="0" w:after="0" w:afterAutospacing="0" w:line="360" w:lineRule="auto"/>
              <w:ind w:left="0" w:right="0" w:firstLine="424" w:firstLineChars="202"/>
              <w:jc w:val="center"/>
              <w:rPr>
                <w:rFonts w:hint="default" w:ascii="Times New Roman" w:hAnsi="Times New Roman" w:eastAsia="宋体" w:cs="Times New Roman"/>
                <w:color w:val="auto"/>
                <w:szCs w:val="24"/>
                <w:highlight w:val="none"/>
              </w:rPr>
            </w:pPr>
          </w:p>
        </w:tc>
      </w:tr>
      <w:tr w14:paraId="11B2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1C8AFE49">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4</w:t>
            </w:r>
          </w:p>
        </w:tc>
        <w:tc>
          <w:tcPr>
            <w:tcW w:w="1116" w:type="dxa"/>
            <w:vAlign w:val="center"/>
          </w:tcPr>
          <w:p w14:paraId="37DA25A8">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对接服务</w:t>
            </w:r>
          </w:p>
        </w:tc>
        <w:tc>
          <w:tcPr>
            <w:tcW w:w="4846" w:type="dxa"/>
          </w:tcPr>
          <w:p w14:paraId="4A4A334E">
            <w:pPr>
              <w:keepNext w:val="0"/>
              <w:keepLines w:val="0"/>
              <w:suppressLineNumbers w:val="0"/>
              <w:tabs>
                <w:tab w:val="left" w:pos="567"/>
              </w:tabs>
              <w:spacing w:before="0" w:beforeAutospacing="0" w:after="0" w:afterAutospacing="0" w:line="360" w:lineRule="auto"/>
              <w:ind w:left="0" w:right="0" w:firstLine="424" w:firstLineChars="202"/>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质保期内协助提供对外部三方应用系统、数据库的对接服务，未能按照要求提供对接服务的每次扣5分，直至扣完为止。</w:t>
            </w:r>
          </w:p>
        </w:tc>
        <w:tc>
          <w:tcPr>
            <w:tcW w:w="850" w:type="dxa"/>
            <w:vAlign w:val="center"/>
          </w:tcPr>
          <w:p w14:paraId="3D431864">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20</w:t>
            </w:r>
          </w:p>
        </w:tc>
        <w:tc>
          <w:tcPr>
            <w:tcW w:w="851" w:type="dxa"/>
            <w:vAlign w:val="center"/>
          </w:tcPr>
          <w:p w14:paraId="56C54B4E">
            <w:pPr>
              <w:keepNext w:val="0"/>
              <w:keepLines w:val="0"/>
              <w:suppressLineNumbers w:val="0"/>
              <w:tabs>
                <w:tab w:val="left" w:pos="567"/>
              </w:tabs>
              <w:spacing w:before="0" w:beforeAutospacing="0" w:after="0" w:afterAutospacing="0" w:line="360" w:lineRule="auto"/>
              <w:ind w:left="0" w:right="0" w:firstLine="424" w:firstLineChars="202"/>
              <w:jc w:val="center"/>
              <w:rPr>
                <w:rFonts w:hint="default" w:ascii="Times New Roman" w:hAnsi="Times New Roman" w:eastAsia="宋体" w:cs="Times New Roman"/>
                <w:color w:val="auto"/>
                <w:szCs w:val="24"/>
                <w:highlight w:val="none"/>
              </w:rPr>
            </w:pPr>
          </w:p>
        </w:tc>
      </w:tr>
      <w:tr w14:paraId="496DF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8" w:type="dxa"/>
            <w:gridSpan w:val="3"/>
            <w:vAlign w:val="center"/>
          </w:tcPr>
          <w:p w14:paraId="6616CECF">
            <w:pPr>
              <w:keepNext w:val="0"/>
              <w:keepLines w:val="0"/>
              <w:suppressLineNumbers w:val="0"/>
              <w:tabs>
                <w:tab w:val="left" w:pos="567"/>
              </w:tabs>
              <w:spacing w:before="0" w:beforeAutospacing="0" w:after="0" w:afterAutospacing="0" w:line="360" w:lineRule="auto"/>
              <w:ind w:left="0" w:right="0" w:firstLine="424" w:firstLineChars="202"/>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总分</w:t>
            </w:r>
          </w:p>
        </w:tc>
        <w:tc>
          <w:tcPr>
            <w:tcW w:w="850" w:type="dxa"/>
            <w:vAlign w:val="center"/>
          </w:tcPr>
          <w:p w14:paraId="71AAF634">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100</w:t>
            </w:r>
          </w:p>
        </w:tc>
        <w:tc>
          <w:tcPr>
            <w:tcW w:w="851" w:type="dxa"/>
          </w:tcPr>
          <w:p w14:paraId="0978985C">
            <w:pPr>
              <w:keepNext w:val="0"/>
              <w:keepLines w:val="0"/>
              <w:suppressLineNumbers w:val="0"/>
              <w:tabs>
                <w:tab w:val="left" w:pos="567"/>
              </w:tabs>
              <w:spacing w:before="0" w:beforeAutospacing="0" w:after="0" w:afterAutospacing="0" w:line="360" w:lineRule="auto"/>
              <w:ind w:left="0" w:right="0" w:firstLine="424" w:firstLineChars="202"/>
              <w:rPr>
                <w:rFonts w:hint="default" w:ascii="Times New Roman" w:hAnsi="Times New Roman" w:eastAsia="宋体" w:cs="Times New Roman"/>
                <w:color w:val="auto"/>
                <w:szCs w:val="24"/>
                <w:highlight w:val="none"/>
              </w:rPr>
            </w:pPr>
          </w:p>
        </w:tc>
      </w:tr>
      <w:tr w14:paraId="472F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9" w:type="dxa"/>
            <w:gridSpan w:val="5"/>
          </w:tcPr>
          <w:p w14:paraId="32E0F0A2">
            <w:pPr>
              <w:keepNext w:val="0"/>
              <w:keepLines w:val="0"/>
              <w:suppressLineNumbers w:val="0"/>
              <w:tabs>
                <w:tab w:val="left" w:pos="567"/>
              </w:tabs>
              <w:spacing w:before="0" w:beforeAutospacing="0" w:after="0" w:afterAutospacing="0" w:line="360" w:lineRule="auto"/>
              <w:ind w:left="0" w:right="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说明：</w:t>
            </w:r>
          </w:p>
          <w:p w14:paraId="40BFBAD0">
            <w:pPr>
              <w:keepNext w:val="0"/>
              <w:keepLines w:val="0"/>
              <w:suppressLineNumbers w:val="0"/>
              <w:tabs>
                <w:tab w:val="left" w:pos="567"/>
              </w:tabs>
              <w:spacing w:before="0" w:beforeAutospacing="0" w:after="0" w:afterAutospacing="0" w:line="360" w:lineRule="auto"/>
              <w:ind w:left="0" w:right="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1.总分=[</w:t>
            </w:r>
            <w:r>
              <w:rPr>
                <w:rFonts w:hint="eastAsia" w:ascii="Times New Roman" w:hAnsi="Times New Roman" w:eastAsia="宋体" w:cs="Times New Roman"/>
                <w:color w:val="auto"/>
                <w:szCs w:val="24"/>
                <w:highlight w:val="none"/>
              </w:rPr>
              <w:t>项目</w:t>
            </w:r>
            <w:r>
              <w:rPr>
                <w:rFonts w:hint="default" w:ascii="Times New Roman" w:hAnsi="Times New Roman" w:eastAsia="宋体" w:cs="Times New Roman"/>
                <w:color w:val="auto"/>
                <w:szCs w:val="24"/>
                <w:highlight w:val="none"/>
              </w:rPr>
              <w:t xml:space="preserve">管理部门评分（0-100）*50%]+[使用部门或厂区评分平均分（0-100）*50%]，总分满分为100分； </w:t>
            </w:r>
          </w:p>
          <w:p w14:paraId="425BFADC">
            <w:pPr>
              <w:keepNext w:val="0"/>
              <w:keepLines w:val="0"/>
              <w:suppressLineNumbers w:val="0"/>
              <w:tabs>
                <w:tab w:val="left" w:pos="567"/>
              </w:tabs>
              <w:spacing w:before="0" w:beforeAutospacing="0" w:after="0" w:afterAutospacing="0" w:line="360" w:lineRule="auto"/>
              <w:ind w:left="0" w:right="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2.使用部门或厂区评分平均分=Σ使用部门或厂区评分/评分使用部门或厂区数。</w:t>
            </w:r>
          </w:p>
        </w:tc>
      </w:tr>
    </w:tbl>
    <w:p w14:paraId="375DB334">
      <w:pPr>
        <w:widowControl/>
        <w:tabs>
          <w:tab w:val="left" w:pos="567"/>
        </w:tabs>
        <w:jc w:val="left"/>
        <w:rPr>
          <w:rFonts w:ascii="Times New Roman" w:hAnsi="Times New Roman" w:eastAsia="宋体" w:cs="Times New Roman"/>
          <w:color w:val="auto"/>
          <w:szCs w:val="24"/>
          <w:highlight w:val="none"/>
          <w:lang w:bidi="ar"/>
        </w:rPr>
      </w:pPr>
      <w:r>
        <w:rPr>
          <w:rFonts w:ascii="Times New Roman" w:hAnsi="Times New Roman" w:eastAsia="宋体" w:cs="Times New Roman"/>
          <w:color w:val="auto"/>
          <w:szCs w:val="24"/>
          <w:highlight w:val="none"/>
        </w:rPr>
        <w:t>部室或厂区代表：                                      时间：</w:t>
      </w:r>
    </w:p>
    <w:p w14:paraId="4D0CFB02">
      <w:pPr>
        <w:tabs>
          <w:tab w:val="left" w:pos="567"/>
        </w:tabs>
        <w:spacing w:line="360" w:lineRule="auto"/>
        <w:ind w:firstLine="424" w:firstLineChars="202"/>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★投标人需为以上运维服务内容报价，免费质保期后的每年运维费用不得超过本项目投标人投标报价的8%。</w:t>
      </w:r>
    </w:p>
    <w:p w14:paraId="381FCC55">
      <w:pPr>
        <w:tabs>
          <w:tab w:val="left" w:pos="567"/>
        </w:tabs>
        <w:spacing w:line="360" w:lineRule="auto"/>
        <w:ind w:firstLine="424" w:firstLineChars="202"/>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6</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货物质保要求</w:t>
      </w:r>
    </w:p>
    <w:p w14:paraId="14450EBA">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w:t>
      </w:r>
      <w:r>
        <w:rPr>
          <w:rFonts w:ascii="Times New Roman" w:hAnsi="Times New Roman" w:eastAsia="宋体" w:cs="Times New Roman"/>
          <w:color w:val="auto"/>
          <w:szCs w:val="24"/>
          <w:highlight w:val="none"/>
        </w:rPr>
        <w:t>质保期内中标人应提供免费上门维修、保养及其他售后服务，对设备出现的不符合合同要求的或有瑕疵之处提供免费维修或更换配件服务，经维修、更换配件后的设备质保期从维修或更换并经招标人验收合格后重新计算。</w:t>
      </w:r>
    </w:p>
    <w:p w14:paraId="4A93589D">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w:t>
      </w:r>
      <w:r>
        <w:rPr>
          <w:rFonts w:ascii="Times New Roman" w:hAnsi="Times New Roman" w:eastAsia="宋体" w:cs="Times New Roman"/>
          <w:color w:val="auto"/>
          <w:szCs w:val="24"/>
          <w:highlight w:val="none"/>
        </w:rPr>
        <w:t>）在质保期内中标人应负责设备的保养，并实施每年至少两次（至少半年为一周期）的整体检查，并在每次检查后【15】日内向</w:t>
      </w:r>
      <w:r>
        <w:rPr>
          <w:rFonts w:hint="eastAsia" w:ascii="Times New Roman" w:hAnsi="Times New Roman" w:eastAsia="宋体" w:cs="Times New Roman"/>
          <w:color w:val="auto"/>
          <w:szCs w:val="24"/>
          <w:highlight w:val="none"/>
        </w:rPr>
        <w:t>招标人</w:t>
      </w:r>
      <w:r>
        <w:rPr>
          <w:rFonts w:ascii="Times New Roman" w:hAnsi="Times New Roman" w:eastAsia="宋体" w:cs="Times New Roman"/>
          <w:color w:val="auto"/>
          <w:szCs w:val="24"/>
          <w:highlight w:val="none"/>
        </w:rPr>
        <w:t>提供书面的检查报告。质保期间如在正常操作情况下，任何机件因设计不当、材质缺陷或制造欠佳等因素而发生故障，中标人应在接到报修通知后4小时内予以响应，24小时内到场修复故障，24小时内不能维修的，应提供替代设备供</w:t>
      </w:r>
      <w:r>
        <w:rPr>
          <w:rFonts w:hint="eastAsia" w:ascii="Times New Roman" w:hAnsi="Times New Roman" w:eastAsia="宋体" w:cs="Times New Roman"/>
          <w:color w:val="auto"/>
          <w:szCs w:val="24"/>
          <w:highlight w:val="none"/>
        </w:rPr>
        <w:t>招标人</w:t>
      </w:r>
      <w:r>
        <w:rPr>
          <w:rFonts w:ascii="Times New Roman" w:hAnsi="Times New Roman" w:eastAsia="宋体" w:cs="Times New Roman"/>
          <w:color w:val="auto"/>
          <w:szCs w:val="24"/>
          <w:highlight w:val="none"/>
        </w:rPr>
        <w:t>临时使用。如中标人未在规定的期限内修复，</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4"/>
          <w:highlight w:val="none"/>
        </w:rPr>
        <w:t>有权采取必要措施如另行委托第三方对设备进行维护，由此产生的风险和费用由中标人承担，且</w:t>
      </w:r>
      <w:r>
        <w:rPr>
          <w:rFonts w:hint="eastAsia" w:ascii="Times New Roman" w:hAnsi="Times New Roman" w:eastAsia="宋体" w:cs="Times New Roman"/>
          <w:color w:val="auto"/>
          <w:szCs w:val="24"/>
          <w:highlight w:val="none"/>
        </w:rPr>
        <w:t>招标人</w:t>
      </w:r>
      <w:r>
        <w:rPr>
          <w:rFonts w:hint="eastAsia" w:ascii="Times New Roman" w:hAnsi="Times New Roman" w:eastAsia="宋体" w:cs="Times New Roman"/>
          <w:color w:val="auto"/>
          <w:szCs w:val="21"/>
          <w:highlight w:val="none"/>
        </w:rPr>
        <w:t>有权</w:t>
      </w:r>
      <w:r>
        <w:rPr>
          <w:rFonts w:ascii="Times New Roman" w:hAnsi="Times New Roman" w:eastAsia="宋体" w:cs="Times New Roman"/>
          <w:color w:val="auto"/>
          <w:szCs w:val="24"/>
          <w:highlight w:val="none"/>
        </w:rPr>
        <w:t>从质保金中直接予以扣除</w:t>
      </w:r>
      <w:r>
        <w:rPr>
          <w:rFonts w:hint="eastAsia" w:ascii="Times New Roman" w:hAnsi="Times New Roman" w:eastAsia="宋体" w:cs="Times New Roman"/>
          <w:color w:val="auto"/>
          <w:szCs w:val="24"/>
          <w:highlight w:val="none"/>
        </w:rPr>
        <w:t>或招标人</w:t>
      </w:r>
      <w:r>
        <w:rPr>
          <w:rFonts w:ascii="Times New Roman" w:hAnsi="Times New Roman" w:eastAsia="宋体" w:cs="Times New Roman"/>
          <w:color w:val="auto"/>
          <w:szCs w:val="24"/>
          <w:highlight w:val="none"/>
        </w:rPr>
        <w:t>有权从</w:t>
      </w:r>
      <w:r>
        <w:rPr>
          <w:rFonts w:hint="eastAsia" w:ascii="Times New Roman" w:hAnsi="Times New Roman" w:eastAsia="宋体" w:cs="Times New Roman"/>
          <w:color w:val="auto"/>
          <w:szCs w:val="24"/>
          <w:highlight w:val="none"/>
        </w:rPr>
        <w:t>质量保函</w:t>
      </w:r>
      <w:r>
        <w:rPr>
          <w:rFonts w:ascii="Times New Roman" w:hAnsi="Times New Roman" w:eastAsia="宋体" w:cs="Times New Roman"/>
          <w:color w:val="auto"/>
          <w:szCs w:val="24"/>
          <w:highlight w:val="none"/>
        </w:rPr>
        <w:t>中</w:t>
      </w:r>
      <w:r>
        <w:rPr>
          <w:rFonts w:hint="eastAsia" w:ascii="Times New Roman" w:hAnsi="Times New Roman" w:eastAsia="宋体" w:cs="Times New Roman"/>
          <w:color w:val="auto"/>
          <w:szCs w:val="24"/>
          <w:highlight w:val="none"/>
        </w:rPr>
        <w:t>提取质保金</w:t>
      </w:r>
      <w:r>
        <w:rPr>
          <w:rFonts w:ascii="Times New Roman" w:hAnsi="Times New Roman" w:eastAsia="宋体" w:cs="Times New Roman"/>
          <w:color w:val="auto"/>
          <w:szCs w:val="24"/>
          <w:highlight w:val="none"/>
        </w:rPr>
        <w:t>予以</w:t>
      </w:r>
      <w:r>
        <w:rPr>
          <w:rFonts w:hint="eastAsia" w:ascii="Times New Roman" w:hAnsi="Times New Roman" w:eastAsia="宋体" w:cs="Times New Roman"/>
          <w:color w:val="auto"/>
          <w:szCs w:val="24"/>
          <w:highlight w:val="none"/>
        </w:rPr>
        <w:t>支付</w:t>
      </w:r>
      <w:r>
        <w:rPr>
          <w:rFonts w:hint="eastAsia" w:ascii="Times New Roman" w:hAnsi="Times New Roman" w:eastAsia="宋体" w:cs="Times New Roman"/>
          <w:color w:val="auto"/>
          <w:szCs w:val="21"/>
          <w:highlight w:val="none"/>
        </w:rPr>
        <w:t>维护、修复等费用</w:t>
      </w:r>
      <w:r>
        <w:rPr>
          <w:rFonts w:ascii="Times New Roman" w:hAnsi="Times New Roman" w:eastAsia="宋体" w:cs="Times New Roman"/>
          <w:color w:val="auto"/>
          <w:szCs w:val="24"/>
          <w:highlight w:val="none"/>
        </w:rPr>
        <w:t>，质保金不足以支付的，</w:t>
      </w:r>
      <w:r>
        <w:rPr>
          <w:rFonts w:hint="eastAsia" w:ascii="Times New Roman" w:hAnsi="Times New Roman" w:eastAsia="宋体" w:cs="Times New Roman"/>
          <w:color w:val="auto"/>
          <w:szCs w:val="24"/>
          <w:highlight w:val="none"/>
        </w:rPr>
        <w:t>不足部分由中标人承担，如造成其他损失的，中标人还应承担赔偿责任</w:t>
      </w:r>
      <w:r>
        <w:rPr>
          <w:rFonts w:ascii="Times New Roman" w:hAnsi="Times New Roman" w:eastAsia="宋体" w:cs="Times New Roman"/>
          <w:color w:val="auto"/>
          <w:szCs w:val="24"/>
          <w:highlight w:val="none"/>
        </w:rPr>
        <w:t>。</w:t>
      </w:r>
    </w:p>
    <w:p w14:paraId="4710FCFD">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3</w:t>
      </w:r>
      <w:r>
        <w:rPr>
          <w:rFonts w:ascii="Times New Roman" w:hAnsi="Times New Roman" w:eastAsia="宋体" w:cs="Times New Roman"/>
          <w:color w:val="auto"/>
          <w:szCs w:val="24"/>
          <w:highlight w:val="none"/>
        </w:rPr>
        <w:t>）在质保期内，</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4"/>
          <w:highlight w:val="none"/>
        </w:rPr>
        <w:t>有权拒绝使用带有缺陷的或与合同要求不符的设备</w:t>
      </w:r>
      <w:r>
        <w:rPr>
          <w:rFonts w:hint="eastAsia" w:ascii="Times New Roman" w:hAnsi="Times New Roman" w:eastAsia="宋体" w:cs="Times New Roman"/>
          <w:color w:val="auto"/>
          <w:szCs w:val="24"/>
          <w:highlight w:val="none"/>
        </w:rPr>
        <w:t>、软件、系统等等</w:t>
      </w:r>
      <w:r>
        <w:rPr>
          <w:rFonts w:ascii="Times New Roman" w:hAnsi="Times New Roman" w:eastAsia="宋体" w:cs="Times New Roman"/>
          <w:color w:val="auto"/>
          <w:szCs w:val="24"/>
          <w:highlight w:val="none"/>
        </w:rPr>
        <w:t>，这些设备</w:t>
      </w:r>
      <w:r>
        <w:rPr>
          <w:rFonts w:hint="eastAsia" w:ascii="Times New Roman" w:hAnsi="Times New Roman" w:eastAsia="宋体" w:cs="Times New Roman"/>
          <w:color w:val="auto"/>
          <w:szCs w:val="24"/>
          <w:highlight w:val="none"/>
        </w:rPr>
        <w:t>、软件、系统等</w:t>
      </w:r>
      <w:r>
        <w:rPr>
          <w:rFonts w:ascii="Times New Roman" w:hAnsi="Times New Roman" w:eastAsia="宋体" w:cs="Times New Roman"/>
          <w:color w:val="auto"/>
          <w:szCs w:val="24"/>
          <w:highlight w:val="none"/>
        </w:rPr>
        <w:t>由中标人负责免费修好或更换，</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4"/>
          <w:highlight w:val="none"/>
        </w:rPr>
        <w:t>不负担所增加费用。</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4"/>
          <w:highlight w:val="none"/>
        </w:rPr>
        <w:t>如发现产品的质量、规格、性能、数量等与本招标文件规定不符，或发现产品无论由于任何原因存在隐藏缺陷、瑕疵、工艺问题或使用不良的材料的，或产品出现质量问题的，中标人应根据</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4"/>
          <w:highlight w:val="none"/>
        </w:rPr>
        <w:t>指示承担免费更换或退货责任。</w:t>
      </w:r>
    </w:p>
    <w:p w14:paraId="1147B7F9">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4</w:t>
      </w:r>
      <w:r>
        <w:rPr>
          <w:rFonts w:ascii="Times New Roman" w:hAnsi="Times New Roman" w:eastAsia="宋体" w:cs="Times New Roman"/>
          <w:color w:val="auto"/>
          <w:szCs w:val="24"/>
          <w:highlight w:val="none"/>
        </w:rPr>
        <w:t>）在质保期内，如设备</w:t>
      </w:r>
      <w:r>
        <w:rPr>
          <w:rFonts w:hint="eastAsia" w:ascii="Times New Roman" w:hAnsi="Times New Roman" w:eastAsia="宋体" w:cs="Times New Roman"/>
          <w:color w:val="auto"/>
          <w:szCs w:val="24"/>
          <w:highlight w:val="none"/>
        </w:rPr>
        <w:t>、软件、系统等</w:t>
      </w:r>
      <w:r>
        <w:rPr>
          <w:rFonts w:ascii="Times New Roman" w:hAnsi="Times New Roman" w:eastAsia="宋体" w:cs="Times New Roman"/>
          <w:color w:val="auto"/>
          <w:szCs w:val="24"/>
          <w:highlight w:val="none"/>
        </w:rPr>
        <w:t>出现故障（7</w:t>
      </w:r>
      <w:r>
        <w:rPr>
          <w:rFonts w:hint="eastAsia" w:ascii="Times New Roman" w:hAnsi="Times New Roman" w:eastAsia="宋体" w:cs="Times New Roman"/>
          <w:color w:val="auto"/>
          <w:szCs w:val="24"/>
          <w:highlight w:val="none"/>
        </w:rPr>
        <w:t>日</w:t>
      </w:r>
      <w:r>
        <w:rPr>
          <w:rFonts w:ascii="Times New Roman" w:hAnsi="Times New Roman" w:eastAsia="宋体" w:cs="Times New Roman"/>
          <w:color w:val="auto"/>
          <w:szCs w:val="24"/>
          <w:highlight w:val="none"/>
        </w:rPr>
        <w:t>内）无法修复，或一个故障累计出现超过两次（含两次），或货物累计经三次维修后仍无法正常运行的，中标人应无条件根据</w:t>
      </w:r>
      <w:r>
        <w:rPr>
          <w:rFonts w:hint="eastAsia" w:ascii="Times New Roman" w:hAnsi="Times New Roman" w:eastAsia="宋体" w:cs="Times New Roman"/>
          <w:color w:val="auto"/>
          <w:szCs w:val="24"/>
          <w:highlight w:val="none"/>
        </w:rPr>
        <w:t>招标人</w:t>
      </w:r>
      <w:r>
        <w:rPr>
          <w:rFonts w:ascii="Times New Roman" w:hAnsi="Times New Roman" w:eastAsia="宋体" w:cs="Times New Roman"/>
          <w:color w:val="auto"/>
          <w:szCs w:val="24"/>
          <w:highlight w:val="none"/>
        </w:rPr>
        <w:t>要求承担免费更换或退货责任，由此产生的费用由中标人承担，包括但不限于运输费用、搬运费用、采购费用等全部费用。</w:t>
      </w:r>
    </w:p>
    <w:p w14:paraId="115BD088">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）中标人需提供</w:t>
      </w:r>
      <w:r>
        <w:rPr>
          <w:rFonts w:hint="eastAsia" w:ascii="Times New Roman" w:hAnsi="Times New Roman" w:eastAsia="宋体" w:cs="Times New Roman"/>
          <w:color w:val="auto"/>
          <w:szCs w:val="24"/>
          <w:highlight w:val="none"/>
        </w:rPr>
        <w:t>本项目</w:t>
      </w:r>
      <w:r>
        <w:rPr>
          <w:rFonts w:ascii="Times New Roman" w:hAnsi="Times New Roman" w:eastAsia="宋体" w:cs="Times New Roman"/>
          <w:color w:val="auto"/>
          <w:szCs w:val="24"/>
          <w:highlight w:val="none"/>
        </w:rPr>
        <w:t>设备的运维说明书，指导</w:t>
      </w:r>
      <w:r>
        <w:rPr>
          <w:rFonts w:hint="eastAsia" w:ascii="Times New Roman" w:hAnsi="Times New Roman" w:eastAsia="宋体" w:cs="Times New Roman"/>
          <w:color w:val="auto"/>
          <w:szCs w:val="24"/>
          <w:highlight w:val="none"/>
        </w:rPr>
        <w:t>招标人</w:t>
      </w:r>
      <w:r>
        <w:rPr>
          <w:rFonts w:ascii="Times New Roman" w:hAnsi="Times New Roman" w:eastAsia="宋体" w:cs="Times New Roman"/>
          <w:color w:val="auto"/>
          <w:szCs w:val="24"/>
          <w:highlight w:val="none"/>
        </w:rPr>
        <w:t>对设备的运维管理，尽可能减少设备的故障率。</w:t>
      </w:r>
    </w:p>
    <w:p w14:paraId="7BE87A70">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（7）其他质保要求</w:t>
      </w:r>
    </w:p>
    <w:p w14:paraId="6CA4CB86">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w:t>
      </w:r>
      <w:r>
        <w:rPr>
          <w:rFonts w:ascii="Times New Roman" w:hAnsi="Times New Roman" w:eastAsia="宋体" w:cs="Times New Roman"/>
          <w:color w:val="auto"/>
          <w:szCs w:val="24"/>
          <w:highlight w:val="none"/>
        </w:rPr>
        <w:t>）质保期内全部服务费（含更换零部件，达到招标文件及合同约定条件的更换货物或退货）和维修费用及</w:t>
      </w:r>
      <w:r>
        <w:rPr>
          <w:rFonts w:hint="eastAsia" w:ascii="Times New Roman" w:hAnsi="Times New Roman" w:eastAsia="宋体" w:cs="Times New Roman"/>
          <w:color w:val="auto"/>
          <w:szCs w:val="24"/>
          <w:highlight w:val="none"/>
        </w:rPr>
        <w:t>中标人</w:t>
      </w:r>
      <w:r>
        <w:rPr>
          <w:rFonts w:ascii="Times New Roman" w:hAnsi="Times New Roman" w:eastAsia="宋体" w:cs="Times New Roman"/>
          <w:color w:val="auto"/>
          <w:szCs w:val="24"/>
          <w:highlight w:val="none"/>
        </w:rPr>
        <w:t>技术服务人员的一切费用由中标人全部自理，招标人保留索赔在质保期内设备缺陷导致的损失的权利。质保期满后的维修，中标人同意只收取合理的零件成本费用。</w:t>
      </w:r>
    </w:p>
    <w:p w14:paraId="64992A72">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w:t>
      </w:r>
      <w:r>
        <w:rPr>
          <w:rFonts w:ascii="Times New Roman" w:hAnsi="Times New Roman" w:eastAsia="宋体" w:cs="Times New Roman"/>
          <w:color w:val="auto"/>
          <w:szCs w:val="24"/>
          <w:highlight w:val="none"/>
        </w:rPr>
        <w:t>）中标人应建立质量跟踪档案，对</w:t>
      </w:r>
      <w:r>
        <w:rPr>
          <w:rFonts w:hint="eastAsia" w:ascii="Times New Roman" w:hAnsi="Times New Roman" w:eastAsia="宋体" w:cs="Times New Roman"/>
          <w:color w:val="auto"/>
          <w:szCs w:val="24"/>
          <w:highlight w:val="none"/>
        </w:rPr>
        <w:t>招标人</w:t>
      </w:r>
      <w:r>
        <w:rPr>
          <w:rFonts w:ascii="Times New Roman" w:hAnsi="Times New Roman" w:eastAsia="宋体" w:cs="Times New Roman"/>
          <w:color w:val="auto"/>
          <w:szCs w:val="24"/>
          <w:highlight w:val="none"/>
        </w:rPr>
        <w:t>进行每月一次的定期回访（电话或现场），以保证货物的正常运行。</w:t>
      </w:r>
    </w:p>
    <w:p w14:paraId="4111C75A">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3</w:t>
      </w:r>
      <w:r>
        <w:rPr>
          <w:rFonts w:ascii="Times New Roman" w:hAnsi="Times New Roman" w:eastAsia="宋体" w:cs="Times New Roman"/>
          <w:color w:val="auto"/>
          <w:szCs w:val="24"/>
          <w:highlight w:val="none"/>
        </w:rPr>
        <w:t>）中标人未按要求提供售后服务的，招标人有权要求其他第三方提供相关服务，</w:t>
      </w:r>
      <w:r>
        <w:rPr>
          <w:rFonts w:hint="eastAsia" w:ascii="Times New Roman" w:hAnsi="Times New Roman" w:eastAsia="宋体" w:cs="Times New Roman"/>
          <w:color w:val="auto"/>
          <w:szCs w:val="24"/>
          <w:highlight w:val="none"/>
        </w:rPr>
        <w:t>因此产生的费用（包括但不限于合同所约定的总价款、</w:t>
      </w:r>
      <w:r>
        <w:rPr>
          <w:rFonts w:hint="eastAsia" w:ascii="Times New Roman" w:hAnsi="Times New Roman" w:eastAsia="宋体" w:cs="Times New Roman"/>
          <w:color w:val="auto"/>
          <w:szCs w:val="21"/>
          <w:highlight w:val="none"/>
        </w:rPr>
        <w:t>招标人</w:t>
      </w:r>
      <w:r>
        <w:rPr>
          <w:rFonts w:hint="eastAsia" w:ascii="Times New Roman" w:hAnsi="Times New Roman" w:eastAsia="宋体" w:cs="Times New Roman"/>
          <w:color w:val="auto"/>
          <w:szCs w:val="24"/>
          <w:highlight w:val="none"/>
        </w:rPr>
        <w:t>为维护自身权益所支付的律师费、诉讼费、鉴定费、差旅费等）全部由中标人承担</w:t>
      </w:r>
      <w:r>
        <w:rPr>
          <w:rFonts w:ascii="Times New Roman" w:hAnsi="Times New Roman" w:eastAsia="宋体" w:cs="Times New Roman"/>
          <w:color w:val="auto"/>
          <w:szCs w:val="24"/>
          <w:highlight w:val="none"/>
        </w:rPr>
        <w:t>。</w:t>
      </w:r>
    </w:p>
    <w:p w14:paraId="7FF8D778">
      <w:pPr>
        <w:keepNext/>
        <w:keepLines/>
        <w:numPr>
          <w:ilvl w:val="1"/>
          <w:numId w:val="23"/>
        </w:numPr>
        <w:adjustRightInd w:val="0"/>
        <w:snapToGrid w:val="0"/>
        <w:spacing w:line="360" w:lineRule="auto"/>
        <w:ind w:firstLine="426"/>
        <w:outlineLvl w:val="1"/>
        <w:rPr>
          <w:rFonts w:ascii="Times New Roman" w:hAnsi="Times New Roman" w:eastAsia="宋体" w:cs="Times New Roman"/>
          <w:b/>
          <w:bCs/>
          <w:color w:val="auto"/>
          <w:szCs w:val="21"/>
          <w:highlight w:val="none"/>
          <w:lang w:val="zh-CN"/>
        </w:rPr>
      </w:pPr>
      <w:bookmarkStart w:id="591" w:name="_Toc195714329"/>
      <w:bookmarkStart w:id="592" w:name="_Toc15949"/>
      <w:r>
        <w:rPr>
          <w:rFonts w:hint="eastAsia" w:ascii="Times New Roman" w:hAnsi="Times New Roman" w:eastAsia="宋体" w:cs="Times New Roman"/>
          <w:b/>
          <w:bCs/>
          <w:color w:val="auto"/>
          <w:szCs w:val="21"/>
          <w:highlight w:val="none"/>
        </w:rPr>
        <w:t>培训要求</w:t>
      </w:r>
      <w:bookmarkEnd w:id="591"/>
      <w:bookmarkEnd w:id="592"/>
    </w:p>
    <w:p w14:paraId="16DF0FE0">
      <w:pPr>
        <w:spacing w:line="360" w:lineRule="auto"/>
        <w:ind w:firstLine="420" w:firstLineChars="200"/>
        <w:jc w:val="left"/>
        <w:rPr>
          <w:rFonts w:ascii="Times New Roman" w:hAnsi="Times New Roman" w:eastAsia="宋体" w:cs="Times New Roman"/>
          <w:color w:val="auto"/>
          <w:szCs w:val="21"/>
          <w:highlight w:val="none"/>
          <w:lang w:val="zh-CN"/>
        </w:rPr>
      </w:pPr>
      <w:r>
        <w:rPr>
          <w:rFonts w:hint="eastAsia" w:ascii="Times New Roman" w:hAnsi="Times New Roman" w:eastAsia="宋体" w:cs="Times New Roman"/>
          <w:color w:val="auto"/>
          <w:szCs w:val="21"/>
          <w:highlight w:val="none"/>
          <w:lang w:val="zh-CN"/>
        </w:rPr>
        <w:t>提供培训方案：中标人提供的培训方案包括：培训方案的设计、培训制度的制定、培训开发、培训实施和培训效果评估，及时监控培训效果，保证培训课程符合招标人实际的需要。在系统运行（含试运行）的各个阶段相应的培训内容描述，培训阶段安排包括：项目管理培训、系统运行维护培训等。</w:t>
      </w:r>
    </w:p>
    <w:p w14:paraId="36EDB0D8">
      <w:pPr>
        <w:spacing w:before="120" w:line="360" w:lineRule="auto"/>
        <w:ind w:firstLine="420" w:firstLineChars="200"/>
        <w:rPr>
          <w:rFonts w:ascii="Times New Roman" w:hAnsi="Times New Roman" w:eastAsia="宋体" w:cs="Times New Roman"/>
          <w:color w:val="auto"/>
          <w:szCs w:val="21"/>
          <w:highlight w:val="none"/>
          <w:lang w:val="zh-CN"/>
        </w:rPr>
      </w:pPr>
      <w:r>
        <w:rPr>
          <w:rFonts w:hint="eastAsia" w:ascii="Times New Roman" w:hAnsi="Times New Roman" w:eastAsia="宋体" w:cs="Times New Roman"/>
          <w:color w:val="auto"/>
          <w:szCs w:val="21"/>
          <w:highlight w:val="none"/>
          <w:lang w:val="zh-CN"/>
        </w:rPr>
        <w:t>培训内容要求：中标人需根据招标人实际情况安排培训，培训次数视招标人需求而定，具体培训内容及安排如下表所示：</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200"/>
        <w:gridCol w:w="1418"/>
        <w:gridCol w:w="3251"/>
        <w:gridCol w:w="1831"/>
      </w:tblGrid>
      <w:tr w14:paraId="7B55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vAlign w:val="center"/>
          </w:tcPr>
          <w:p w14:paraId="702B7381">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编号</w:t>
            </w:r>
          </w:p>
        </w:tc>
        <w:tc>
          <w:tcPr>
            <w:tcW w:w="1200" w:type="dxa"/>
            <w:vAlign w:val="center"/>
          </w:tcPr>
          <w:p w14:paraId="404B7736">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培训方式</w:t>
            </w:r>
          </w:p>
        </w:tc>
        <w:tc>
          <w:tcPr>
            <w:tcW w:w="1418" w:type="dxa"/>
            <w:vAlign w:val="center"/>
          </w:tcPr>
          <w:p w14:paraId="7EF5AC82">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对象及人数</w:t>
            </w:r>
          </w:p>
        </w:tc>
        <w:tc>
          <w:tcPr>
            <w:tcW w:w="3251" w:type="dxa"/>
            <w:vAlign w:val="center"/>
          </w:tcPr>
          <w:p w14:paraId="5893D15D">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内容</w:t>
            </w:r>
          </w:p>
        </w:tc>
        <w:tc>
          <w:tcPr>
            <w:tcW w:w="1831" w:type="dxa"/>
            <w:vAlign w:val="center"/>
          </w:tcPr>
          <w:p w14:paraId="4FE220F1">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时间</w:t>
            </w:r>
          </w:p>
        </w:tc>
      </w:tr>
      <w:tr w14:paraId="19F04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vAlign w:val="center"/>
          </w:tcPr>
          <w:p w14:paraId="4C16A160">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w:t>
            </w:r>
          </w:p>
        </w:tc>
        <w:tc>
          <w:tcPr>
            <w:tcW w:w="1200" w:type="dxa"/>
            <w:vAlign w:val="center"/>
          </w:tcPr>
          <w:p w14:paraId="6C62784B">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现场培训</w:t>
            </w:r>
          </w:p>
        </w:tc>
        <w:tc>
          <w:tcPr>
            <w:tcW w:w="1418" w:type="dxa"/>
            <w:vAlign w:val="center"/>
          </w:tcPr>
          <w:p w14:paraId="40634BBF">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系统管理员，人数不限</w:t>
            </w:r>
          </w:p>
        </w:tc>
        <w:tc>
          <w:tcPr>
            <w:tcW w:w="3251" w:type="dxa"/>
            <w:vAlign w:val="center"/>
          </w:tcPr>
          <w:p w14:paraId="16167400">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系统软件环境、平台及应用软件的安装、调试培训，使管理员能熟练掌握系统安装、平台配置及常见故障处理。</w:t>
            </w:r>
          </w:p>
        </w:tc>
        <w:tc>
          <w:tcPr>
            <w:tcW w:w="1831" w:type="dxa"/>
            <w:vAlign w:val="center"/>
          </w:tcPr>
          <w:p w14:paraId="1ED7E1C9">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整个项目实施阶段</w:t>
            </w:r>
          </w:p>
        </w:tc>
      </w:tr>
      <w:tr w14:paraId="1FF9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vAlign w:val="center"/>
          </w:tcPr>
          <w:p w14:paraId="6C722482">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w:t>
            </w:r>
          </w:p>
        </w:tc>
        <w:tc>
          <w:tcPr>
            <w:tcW w:w="1200" w:type="dxa"/>
            <w:vAlign w:val="center"/>
          </w:tcPr>
          <w:p w14:paraId="1709397A">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集中培训</w:t>
            </w:r>
          </w:p>
        </w:tc>
        <w:tc>
          <w:tcPr>
            <w:tcW w:w="1418" w:type="dxa"/>
            <w:vAlign w:val="center"/>
          </w:tcPr>
          <w:p w14:paraId="1CA56DDD">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人数不限</w:t>
            </w:r>
          </w:p>
        </w:tc>
        <w:tc>
          <w:tcPr>
            <w:tcW w:w="3251" w:type="dxa"/>
            <w:vAlign w:val="center"/>
          </w:tcPr>
          <w:p w14:paraId="5E564643">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1.系统应用软件的日常使用、配置、维护和注意事项培训，使管理</w:t>
            </w:r>
          </w:p>
          <w:p w14:paraId="45D00A35">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员（含各单位系统管理员）能够快速熟悉系统功能和性能，完成日常</w:t>
            </w:r>
          </w:p>
          <w:p w14:paraId="64E05643">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维护工作。</w:t>
            </w:r>
          </w:p>
          <w:p w14:paraId="5CFF0FE1">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2.使各类用户熟练相关应用系统的操作，能够处理日常业务</w:t>
            </w:r>
          </w:p>
        </w:tc>
        <w:tc>
          <w:tcPr>
            <w:tcW w:w="1831" w:type="dxa"/>
            <w:vAlign w:val="center"/>
          </w:tcPr>
          <w:p w14:paraId="2E771FD5">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系统试运行阶段</w:t>
            </w:r>
          </w:p>
        </w:tc>
      </w:tr>
      <w:tr w14:paraId="53232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vAlign w:val="center"/>
          </w:tcPr>
          <w:p w14:paraId="4BFCD433">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3</w:t>
            </w:r>
          </w:p>
        </w:tc>
        <w:tc>
          <w:tcPr>
            <w:tcW w:w="1200" w:type="dxa"/>
            <w:vAlign w:val="center"/>
          </w:tcPr>
          <w:p w14:paraId="30F92883">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网络培训</w:t>
            </w:r>
          </w:p>
        </w:tc>
        <w:tc>
          <w:tcPr>
            <w:tcW w:w="1418" w:type="dxa"/>
            <w:vAlign w:val="center"/>
          </w:tcPr>
          <w:p w14:paraId="6DABC3A7">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根据实际需要组织安排</w:t>
            </w:r>
          </w:p>
        </w:tc>
        <w:tc>
          <w:tcPr>
            <w:tcW w:w="3251" w:type="dxa"/>
            <w:vAlign w:val="center"/>
          </w:tcPr>
          <w:p w14:paraId="1596104B">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利用各种网络在线协同工具，针对不同的对象组织在线培训，进行在线演示、在线互动。</w:t>
            </w:r>
          </w:p>
        </w:tc>
        <w:tc>
          <w:tcPr>
            <w:tcW w:w="1831" w:type="dxa"/>
            <w:vAlign w:val="center"/>
          </w:tcPr>
          <w:p w14:paraId="75A46583">
            <w:pPr>
              <w:keepNext w:val="0"/>
              <w:keepLines w:val="0"/>
              <w:suppressLineNumbers w:val="0"/>
              <w:spacing w:before="120" w:beforeAutospacing="0" w:after="0" w:afterAutospacing="0" w:line="360"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系统试运行阶段</w:t>
            </w:r>
          </w:p>
        </w:tc>
      </w:tr>
    </w:tbl>
    <w:p w14:paraId="7831FC84">
      <w:pPr>
        <w:spacing w:before="120"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培训方式要求：采用理论和实践相结合的培训方式。理论培训主要以授课方式进行，从专业技术理论的角度对系统进行深入浅出的讲解，提高学员的知识水平。实践操作培训主要以演示，使用操作指导为主，能够让学员独立使用相关软件系统，并掌握相关系统使用技巧，提高用户使用效率。</w:t>
      </w:r>
    </w:p>
    <w:p w14:paraId="793228C7">
      <w:pPr>
        <w:keepNext/>
        <w:keepLines/>
        <w:numPr>
          <w:ilvl w:val="1"/>
          <w:numId w:val="23"/>
        </w:numPr>
        <w:adjustRightInd w:val="0"/>
        <w:snapToGrid w:val="0"/>
        <w:spacing w:line="360" w:lineRule="auto"/>
        <w:ind w:firstLine="426"/>
        <w:outlineLvl w:val="1"/>
        <w:rPr>
          <w:rFonts w:ascii="Times New Roman" w:hAnsi="Times New Roman" w:eastAsia="宋体" w:cs="Times New Roman"/>
          <w:b/>
          <w:bCs/>
          <w:color w:val="auto"/>
          <w:szCs w:val="21"/>
          <w:highlight w:val="none"/>
          <w:lang w:val="zh-CN"/>
        </w:rPr>
      </w:pPr>
      <w:bookmarkStart w:id="593" w:name="_Toc27570"/>
      <w:bookmarkStart w:id="594" w:name="_Toc195714330"/>
      <w:r>
        <w:rPr>
          <w:rFonts w:ascii="Times New Roman" w:hAnsi="Times New Roman" w:eastAsia="宋体" w:cs="Times New Roman"/>
          <w:b/>
          <w:bCs/>
          <w:color w:val="auto"/>
          <w:szCs w:val="21"/>
          <w:highlight w:val="none"/>
          <w:lang w:val="zh-CN"/>
        </w:rPr>
        <w:t>价款要求</w:t>
      </w:r>
      <w:bookmarkEnd w:id="593"/>
      <w:bookmarkEnd w:id="594"/>
    </w:p>
    <w:p w14:paraId="4B960264">
      <w:pPr>
        <w:tabs>
          <w:tab w:val="left" w:pos="567"/>
        </w:tabs>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w:t>
      </w:r>
      <w:r>
        <w:rPr>
          <w:rFonts w:ascii="Times New Roman" w:hAnsi="Times New Roman" w:eastAsia="宋体" w:cs="Times New Roman"/>
          <w:color w:val="auto"/>
          <w:szCs w:val="24"/>
          <w:highlight w:val="none"/>
        </w:rPr>
        <w:t>本项目的报价为</w:t>
      </w:r>
      <w:r>
        <w:rPr>
          <w:rFonts w:hint="eastAsia" w:ascii="Times New Roman" w:hAnsi="Times New Roman" w:eastAsia="宋体" w:cs="Times New Roman"/>
          <w:color w:val="auto"/>
          <w:szCs w:val="24"/>
          <w:highlight w:val="none"/>
        </w:rPr>
        <w:t>总价</w:t>
      </w:r>
      <w:r>
        <w:rPr>
          <w:rFonts w:ascii="Times New Roman" w:hAnsi="Times New Roman" w:eastAsia="宋体" w:cs="Times New Roman"/>
          <w:color w:val="auto"/>
          <w:szCs w:val="24"/>
          <w:highlight w:val="none"/>
        </w:rPr>
        <w:t>（不含</w:t>
      </w:r>
      <w:r>
        <w:rPr>
          <w:rFonts w:hint="eastAsia" w:ascii="Times New Roman" w:hAnsi="Times New Roman" w:eastAsia="宋体" w:cs="Times New Roman"/>
          <w:color w:val="auto"/>
          <w:szCs w:val="24"/>
          <w:highlight w:val="none"/>
        </w:rPr>
        <w:t>销项税额</w:t>
      </w:r>
      <w:r>
        <w:rPr>
          <w:rFonts w:ascii="Times New Roman" w:hAnsi="Times New Roman" w:eastAsia="宋体" w:cs="Times New Roman"/>
          <w:color w:val="auto"/>
          <w:szCs w:val="24"/>
          <w:highlight w:val="none"/>
        </w:rPr>
        <w:t>），未经</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4"/>
          <w:highlight w:val="none"/>
        </w:rPr>
        <w:t>书面确认，</w:t>
      </w:r>
      <w:r>
        <w:rPr>
          <w:rFonts w:hint="eastAsia" w:ascii="Times New Roman" w:hAnsi="Times New Roman" w:eastAsia="宋体" w:cs="Times New Roman"/>
          <w:color w:val="auto"/>
          <w:szCs w:val="24"/>
          <w:highlight w:val="none"/>
        </w:rPr>
        <w:t>中标人</w:t>
      </w:r>
      <w:r>
        <w:rPr>
          <w:rFonts w:ascii="Times New Roman" w:hAnsi="Times New Roman" w:eastAsia="宋体" w:cs="Times New Roman"/>
          <w:color w:val="auto"/>
          <w:szCs w:val="24"/>
          <w:highlight w:val="none"/>
        </w:rPr>
        <w:t>无权另行收取其它任何费用。</w:t>
      </w:r>
    </w:p>
    <w:p w14:paraId="39523A67">
      <w:pPr>
        <w:tabs>
          <w:tab w:val="left" w:pos="567"/>
        </w:tabs>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w:t>
      </w:r>
      <w:r>
        <w:rPr>
          <w:rFonts w:ascii="Times New Roman" w:hAnsi="Times New Roman" w:eastAsia="宋体" w:cs="Times New Roman"/>
          <w:color w:val="auto"/>
          <w:szCs w:val="24"/>
          <w:highlight w:val="none"/>
        </w:rPr>
        <w:t>本合同项下全部货物到达现场并交接验收合格，</w:t>
      </w:r>
      <w:r>
        <w:rPr>
          <w:rFonts w:hint="eastAsia" w:ascii="Times New Roman" w:hAnsi="Times New Roman" w:eastAsia="宋体" w:cs="Times New Roman"/>
          <w:color w:val="auto"/>
          <w:szCs w:val="24"/>
          <w:highlight w:val="none"/>
        </w:rPr>
        <w:t>中标人</w:t>
      </w:r>
      <w:r>
        <w:rPr>
          <w:rFonts w:ascii="Times New Roman" w:hAnsi="Times New Roman" w:eastAsia="宋体" w:cs="Times New Roman"/>
          <w:color w:val="auto"/>
          <w:szCs w:val="24"/>
          <w:highlight w:val="none"/>
        </w:rPr>
        <w:t>按合同要求提交</w:t>
      </w:r>
      <w:r>
        <w:rPr>
          <w:rFonts w:hint="eastAsia" w:ascii="Times New Roman" w:hAnsi="Times New Roman" w:eastAsia="宋体" w:cs="Times New Roman"/>
          <w:color w:val="auto"/>
          <w:szCs w:val="24"/>
          <w:highlight w:val="none"/>
        </w:rPr>
        <w:t>所供货物</w:t>
      </w:r>
      <w:r>
        <w:rPr>
          <w:rFonts w:ascii="Times New Roman" w:hAnsi="Times New Roman" w:eastAsia="宋体" w:cs="Times New Roman"/>
          <w:color w:val="auto"/>
          <w:szCs w:val="24"/>
          <w:highlight w:val="none"/>
        </w:rPr>
        <w:t>符合</w:t>
      </w:r>
      <w:r>
        <w:rPr>
          <w:rFonts w:hint="eastAsia" w:ascii="Times New Roman" w:hAnsi="Times New Roman" w:eastAsia="宋体" w:cs="Times New Roman"/>
          <w:color w:val="auto"/>
          <w:szCs w:val="24"/>
          <w:highlight w:val="none"/>
        </w:rPr>
        <w:t>要求的相关资料，并</w:t>
      </w:r>
      <w:r>
        <w:rPr>
          <w:rFonts w:ascii="Times New Roman" w:hAnsi="Times New Roman" w:eastAsia="宋体" w:cs="Times New Roman"/>
          <w:color w:val="auto"/>
          <w:szCs w:val="24"/>
          <w:highlight w:val="none"/>
        </w:rPr>
        <w:t>向</w:t>
      </w:r>
      <w:r>
        <w:rPr>
          <w:rFonts w:hint="eastAsia" w:ascii="Times New Roman" w:hAnsi="Times New Roman" w:eastAsia="宋体" w:cs="Times New Roman"/>
          <w:color w:val="auto"/>
          <w:szCs w:val="24"/>
          <w:highlight w:val="none"/>
        </w:rPr>
        <w:t>招标人</w:t>
      </w:r>
      <w:r>
        <w:rPr>
          <w:rFonts w:ascii="Times New Roman" w:hAnsi="Times New Roman" w:eastAsia="宋体" w:cs="Times New Roman"/>
          <w:color w:val="auto"/>
          <w:szCs w:val="21"/>
          <w:highlight w:val="none"/>
        </w:rPr>
        <w:t>提交请款报告</w:t>
      </w:r>
      <w:r>
        <w:rPr>
          <w:rFonts w:hint="eastAsia" w:ascii="Times New Roman" w:hAnsi="Times New Roman" w:eastAsia="宋体" w:cs="Times New Roman"/>
          <w:color w:val="auto"/>
          <w:szCs w:val="21"/>
          <w:highlight w:val="none"/>
        </w:rPr>
        <w:t>、发票等请款材料，</w:t>
      </w:r>
      <w:r>
        <w:rPr>
          <w:rFonts w:ascii="Times New Roman" w:hAnsi="Times New Roman" w:eastAsia="宋体" w:cs="Times New Roman"/>
          <w:color w:val="auto"/>
          <w:szCs w:val="24"/>
          <w:highlight w:val="none"/>
        </w:rPr>
        <w:t>经</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4"/>
          <w:highlight w:val="none"/>
        </w:rPr>
        <w:t>确认无误后</w:t>
      </w:r>
      <w:r>
        <w:rPr>
          <w:rFonts w:hint="eastAsia" w:ascii="Times New Roman" w:hAnsi="Times New Roman" w:eastAsia="宋体" w:cs="Times New Roman"/>
          <w:color w:val="auto"/>
          <w:szCs w:val="24"/>
          <w:highlight w:val="none"/>
        </w:rPr>
        <w:t>十五</w:t>
      </w:r>
      <w:r>
        <w:rPr>
          <w:rFonts w:ascii="Times New Roman" w:hAnsi="Times New Roman" w:eastAsia="宋体" w:cs="Times New Roman"/>
          <w:color w:val="auto"/>
          <w:szCs w:val="24"/>
          <w:highlight w:val="none"/>
        </w:rPr>
        <w:t>个工作日内，</w:t>
      </w:r>
      <w:r>
        <w:rPr>
          <w:rFonts w:hint="eastAsia" w:ascii="Times New Roman" w:hAnsi="Times New Roman" w:eastAsia="宋体" w:cs="Times New Roman"/>
          <w:color w:val="auto"/>
          <w:szCs w:val="24"/>
          <w:highlight w:val="none"/>
        </w:rPr>
        <w:t>招标人</w:t>
      </w:r>
      <w:r>
        <w:rPr>
          <w:rFonts w:ascii="Times New Roman" w:hAnsi="Times New Roman" w:eastAsia="宋体" w:cs="Times New Roman"/>
          <w:color w:val="auto"/>
          <w:szCs w:val="24"/>
          <w:highlight w:val="none"/>
        </w:rPr>
        <w:t>向中标人支付至</w:t>
      </w:r>
      <w:r>
        <w:rPr>
          <w:rFonts w:hint="eastAsia" w:ascii="Times New Roman" w:hAnsi="Times New Roman" w:eastAsia="宋体" w:cs="Times New Roman"/>
          <w:color w:val="auto"/>
          <w:szCs w:val="24"/>
          <w:highlight w:val="none"/>
        </w:rPr>
        <w:t>软件、硬件设备购置合同价</w:t>
      </w:r>
      <w:r>
        <w:rPr>
          <w:rFonts w:ascii="Times New Roman" w:hAnsi="Times New Roman" w:eastAsia="宋体" w:cs="Times New Roman"/>
          <w:color w:val="auto"/>
          <w:szCs w:val="24"/>
          <w:highlight w:val="none"/>
        </w:rPr>
        <w:t>的</w:t>
      </w:r>
      <w:r>
        <w:rPr>
          <w:rFonts w:hint="eastAsia" w:ascii="Times New Roman" w:hAnsi="Times New Roman" w:eastAsia="宋体" w:cs="Times New Roman"/>
          <w:color w:val="auto"/>
          <w:szCs w:val="24"/>
          <w:highlight w:val="none"/>
        </w:rPr>
        <w:t>60</w:t>
      </w:r>
      <w:r>
        <w:rPr>
          <w:rFonts w:ascii="Times New Roman" w:hAnsi="Times New Roman" w:eastAsia="宋体" w:cs="Times New Roman"/>
          <w:color w:val="auto"/>
          <w:szCs w:val="24"/>
          <w:highlight w:val="none"/>
        </w:rPr>
        <w:t>%及对应税额，</w:t>
      </w:r>
      <w:r>
        <w:rPr>
          <w:rFonts w:hint="eastAsia" w:ascii="Times New Roman" w:hAnsi="Times New Roman" w:eastAsia="宋体" w:cs="Times New Roman"/>
          <w:color w:val="auto"/>
          <w:szCs w:val="24"/>
          <w:highlight w:val="none"/>
        </w:rPr>
        <w:t>招标人</w:t>
      </w:r>
      <w:r>
        <w:rPr>
          <w:rFonts w:ascii="Times New Roman" w:hAnsi="Times New Roman" w:eastAsia="宋体" w:cs="Times New Roman"/>
          <w:color w:val="auto"/>
          <w:szCs w:val="24"/>
          <w:highlight w:val="none"/>
        </w:rPr>
        <w:t>通过银行转账或银行承兑汇票方式支付相应款项至本</w:t>
      </w:r>
      <w:r>
        <w:rPr>
          <w:rFonts w:hint="eastAsia" w:ascii="Times New Roman" w:hAnsi="Times New Roman" w:eastAsia="宋体" w:cs="Times New Roman"/>
          <w:color w:val="auto"/>
          <w:szCs w:val="24"/>
          <w:highlight w:val="none"/>
        </w:rPr>
        <w:t>项目</w:t>
      </w:r>
      <w:r>
        <w:rPr>
          <w:rFonts w:ascii="Times New Roman" w:hAnsi="Times New Roman" w:eastAsia="宋体" w:cs="Times New Roman"/>
          <w:color w:val="auto"/>
          <w:szCs w:val="24"/>
          <w:highlight w:val="none"/>
        </w:rPr>
        <w:t>合同中载明的</w:t>
      </w:r>
      <w:r>
        <w:rPr>
          <w:rFonts w:hint="eastAsia" w:ascii="Times New Roman" w:hAnsi="Times New Roman" w:eastAsia="宋体" w:cs="Times New Roman"/>
          <w:color w:val="auto"/>
          <w:szCs w:val="24"/>
          <w:highlight w:val="none"/>
        </w:rPr>
        <w:t>中标人</w:t>
      </w:r>
      <w:r>
        <w:rPr>
          <w:rFonts w:ascii="Times New Roman" w:hAnsi="Times New Roman" w:eastAsia="宋体" w:cs="Times New Roman"/>
          <w:color w:val="auto"/>
          <w:szCs w:val="24"/>
          <w:highlight w:val="none"/>
        </w:rPr>
        <w:t>银行账户中，汇票期限不超过三个月，每期款项支付方式由</w:t>
      </w:r>
      <w:r>
        <w:rPr>
          <w:rFonts w:hint="eastAsia" w:ascii="Times New Roman" w:hAnsi="Times New Roman" w:eastAsia="宋体" w:cs="Times New Roman"/>
          <w:color w:val="auto"/>
          <w:szCs w:val="24"/>
          <w:highlight w:val="none"/>
        </w:rPr>
        <w:t>招标人</w:t>
      </w:r>
      <w:r>
        <w:rPr>
          <w:rFonts w:ascii="Times New Roman" w:hAnsi="Times New Roman" w:eastAsia="宋体" w:cs="Times New Roman"/>
          <w:color w:val="auto"/>
          <w:szCs w:val="24"/>
          <w:highlight w:val="none"/>
        </w:rPr>
        <w:t>决定；</w:t>
      </w:r>
    </w:p>
    <w:p w14:paraId="012C64BB">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3、</w:t>
      </w:r>
      <w:r>
        <w:rPr>
          <w:rFonts w:ascii="Times New Roman" w:hAnsi="Times New Roman" w:eastAsia="宋体" w:cs="Times New Roman"/>
          <w:color w:val="auto"/>
          <w:szCs w:val="24"/>
          <w:highlight w:val="none"/>
        </w:rPr>
        <w:t>剩余货款，</w:t>
      </w:r>
      <w:r>
        <w:rPr>
          <w:rFonts w:hint="eastAsia" w:ascii="Times New Roman" w:hAnsi="Times New Roman" w:eastAsia="宋体" w:cs="Times New Roman"/>
          <w:color w:val="auto"/>
          <w:szCs w:val="24"/>
          <w:highlight w:val="none"/>
        </w:rPr>
        <w:t>招标人</w:t>
      </w:r>
      <w:r>
        <w:rPr>
          <w:rFonts w:ascii="Times New Roman" w:hAnsi="Times New Roman" w:eastAsia="宋体" w:cs="Times New Roman"/>
          <w:color w:val="auto"/>
          <w:szCs w:val="24"/>
          <w:highlight w:val="none"/>
        </w:rPr>
        <w:t>以下列方式向</w:t>
      </w:r>
      <w:r>
        <w:rPr>
          <w:rFonts w:hint="eastAsia" w:ascii="Times New Roman" w:hAnsi="Times New Roman" w:eastAsia="宋体" w:cs="Times New Roman"/>
          <w:color w:val="auto"/>
          <w:szCs w:val="24"/>
          <w:highlight w:val="none"/>
        </w:rPr>
        <w:t>中标人</w:t>
      </w:r>
      <w:r>
        <w:rPr>
          <w:rFonts w:ascii="Times New Roman" w:hAnsi="Times New Roman" w:eastAsia="宋体" w:cs="Times New Roman"/>
          <w:color w:val="auto"/>
          <w:szCs w:val="24"/>
          <w:highlight w:val="none"/>
        </w:rPr>
        <w:t>支付：</w:t>
      </w:r>
    </w:p>
    <w:p w14:paraId="6E6EF3CC">
      <w:pPr>
        <w:tabs>
          <w:tab w:val="left" w:pos="567"/>
        </w:tabs>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（1）中标人完成本项目系统招标人在运营的24个污水处理厂和21个提标项目（按表1.2.1-1和表1.2.1-2）的内容并通过初步验收后，中标人</w:t>
      </w:r>
      <w:r>
        <w:rPr>
          <w:rFonts w:ascii="Times New Roman" w:hAnsi="Times New Roman" w:eastAsia="宋体" w:cs="Times New Roman"/>
          <w:color w:val="auto"/>
          <w:szCs w:val="24"/>
          <w:highlight w:val="none"/>
        </w:rPr>
        <w:t>按合同要求提交符合</w:t>
      </w:r>
      <w:r>
        <w:rPr>
          <w:rFonts w:hint="eastAsia" w:ascii="Times New Roman" w:hAnsi="Times New Roman" w:eastAsia="宋体" w:cs="Times New Roman"/>
          <w:color w:val="auto"/>
          <w:szCs w:val="24"/>
          <w:highlight w:val="none"/>
        </w:rPr>
        <w:t>本项目初步验收要求的相关资料</w:t>
      </w:r>
      <w:r>
        <w:rPr>
          <w:rFonts w:ascii="Times New Roman" w:hAnsi="Times New Roman" w:eastAsia="宋体" w:cs="Times New Roman"/>
          <w:color w:val="auto"/>
          <w:szCs w:val="24"/>
          <w:highlight w:val="none"/>
        </w:rPr>
        <w:t>，并提交</w:t>
      </w:r>
      <w:r>
        <w:rPr>
          <w:rFonts w:hint="eastAsia" w:ascii="Times New Roman" w:hAnsi="Times New Roman" w:eastAsia="宋体" w:cs="Times New Roman"/>
          <w:color w:val="auto"/>
          <w:szCs w:val="24"/>
          <w:highlight w:val="none"/>
        </w:rPr>
        <w:t>请</w:t>
      </w:r>
      <w:r>
        <w:rPr>
          <w:rFonts w:ascii="Times New Roman" w:hAnsi="Times New Roman" w:eastAsia="宋体" w:cs="Times New Roman"/>
          <w:color w:val="auto"/>
          <w:szCs w:val="24"/>
          <w:highlight w:val="none"/>
        </w:rPr>
        <w:t>款报告</w:t>
      </w:r>
      <w:r>
        <w:rPr>
          <w:rFonts w:hint="eastAsia" w:ascii="Times New Roman" w:hAnsi="Times New Roman" w:eastAsia="宋体" w:cs="Times New Roman"/>
          <w:color w:val="auto"/>
          <w:szCs w:val="24"/>
          <w:highlight w:val="none"/>
        </w:rPr>
        <w:t>、发票等请款材料，</w:t>
      </w:r>
      <w:r>
        <w:rPr>
          <w:rFonts w:ascii="Times New Roman" w:hAnsi="Times New Roman" w:eastAsia="宋体" w:cs="Times New Roman"/>
          <w:color w:val="auto"/>
          <w:szCs w:val="24"/>
          <w:highlight w:val="none"/>
        </w:rPr>
        <w:t>经</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4"/>
          <w:highlight w:val="none"/>
        </w:rPr>
        <w:t>确认无误后</w:t>
      </w:r>
      <w:r>
        <w:rPr>
          <w:rFonts w:hint="eastAsia" w:ascii="Times New Roman" w:hAnsi="Times New Roman" w:eastAsia="宋体" w:cs="Times New Roman"/>
          <w:color w:val="auto"/>
          <w:szCs w:val="24"/>
          <w:highlight w:val="none"/>
        </w:rPr>
        <w:t>十五</w:t>
      </w:r>
      <w:r>
        <w:rPr>
          <w:rFonts w:ascii="Times New Roman" w:hAnsi="Times New Roman" w:eastAsia="宋体" w:cs="Times New Roman"/>
          <w:color w:val="auto"/>
          <w:szCs w:val="24"/>
          <w:highlight w:val="none"/>
        </w:rPr>
        <w:t>个工作日内</w:t>
      </w:r>
      <w:r>
        <w:rPr>
          <w:rFonts w:hint="eastAsia" w:ascii="Times New Roman" w:hAnsi="Times New Roman" w:eastAsia="宋体" w:cs="Times New Roman"/>
          <w:color w:val="auto"/>
          <w:szCs w:val="24"/>
          <w:highlight w:val="none"/>
        </w:rPr>
        <w:t>，招标人</w:t>
      </w:r>
      <w:r>
        <w:rPr>
          <w:rFonts w:ascii="Times New Roman" w:hAnsi="Times New Roman" w:eastAsia="宋体" w:cs="Times New Roman"/>
          <w:color w:val="auto"/>
          <w:szCs w:val="24"/>
          <w:highlight w:val="none"/>
        </w:rPr>
        <w:t>向</w:t>
      </w:r>
      <w:r>
        <w:rPr>
          <w:rFonts w:hint="eastAsia" w:ascii="Times New Roman" w:hAnsi="Times New Roman" w:eastAsia="宋体" w:cs="Times New Roman"/>
          <w:color w:val="auto"/>
          <w:szCs w:val="24"/>
          <w:highlight w:val="none"/>
        </w:rPr>
        <w:t>中标人</w:t>
      </w:r>
      <w:r>
        <w:rPr>
          <w:rFonts w:ascii="Times New Roman" w:hAnsi="Times New Roman" w:eastAsia="宋体" w:cs="Times New Roman"/>
          <w:color w:val="auto"/>
          <w:szCs w:val="24"/>
          <w:highlight w:val="none"/>
        </w:rPr>
        <w:t>支付至</w:t>
      </w:r>
      <w:r>
        <w:rPr>
          <w:rFonts w:hint="eastAsia" w:ascii="Times New Roman" w:hAnsi="Times New Roman" w:eastAsia="宋体" w:cs="Times New Roman"/>
          <w:color w:val="auto"/>
          <w:szCs w:val="24"/>
          <w:highlight w:val="none"/>
        </w:rPr>
        <w:t>组态开发及安装调试合同价的70%和软件、硬件设备购置合同价的70%及对应税额</w:t>
      </w:r>
      <w:r>
        <w:rPr>
          <w:rFonts w:ascii="Times New Roman" w:hAnsi="Times New Roman" w:eastAsia="宋体" w:cs="Times New Roman"/>
          <w:color w:val="auto"/>
          <w:szCs w:val="24"/>
          <w:highlight w:val="none"/>
        </w:rPr>
        <w:t>；</w:t>
      </w:r>
    </w:p>
    <w:p w14:paraId="60F0E818">
      <w:pPr>
        <w:tabs>
          <w:tab w:val="left" w:pos="567"/>
        </w:tabs>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（2）本项目系统</w:t>
      </w:r>
      <w:r>
        <w:rPr>
          <w:rFonts w:ascii="Times New Roman" w:hAnsi="Times New Roman" w:eastAsia="宋体" w:cs="Times New Roman"/>
          <w:color w:val="auto"/>
          <w:szCs w:val="24"/>
          <w:highlight w:val="none"/>
        </w:rPr>
        <w:t>最终验收合格后，</w:t>
      </w:r>
      <w:r>
        <w:rPr>
          <w:rFonts w:hint="eastAsia" w:ascii="Times New Roman" w:hAnsi="Times New Roman" w:eastAsia="宋体" w:cs="Times New Roman"/>
          <w:color w:val="auto"/>
          <w:szCs w:val="24"/>
          <w:highlight w:val="none"/>
        </w:rPr>
        <w:t>中标人</w:t>
      </w:r>
      <w:r>
        <w:rPr>
          <w:rFonts w:ascii="Times New Roman" w:hAnsi="Times New Roman" w:eastAsia="宋体" w:cs="Times New Roman"/>
          <w:color w:val="auto"/>
          <w:szCs w:val="24"/>
          <w:highlight w:val="none"/>
        </w:rPr>
        <w:t>按合同要求提交符合</w:t>
      </w:r>
      <w:r>
        <w:rPr>
          <w:rFonts w:hint="eastAsia" w:ascii="Times New Roman" w:hAnsi="Times New Roman" w:eastAsia="宋体" w:cs="Times New Roman"/>
          <w:color w:val="auto"/>
          <w:szCs w:val="24"/>
          <w:highlight w:val="none"/>
        </w:rPr>
        <w:t>本项目最终验收要求的相关资料</w:t>
      </w:r>
      <w:r>
        <w:rPr>
          <w:rFonts w:ascii="Times New Roman" w:hAnsi="Times New Roman" w:eastAsia="宋体" w:cs="Times New Roman"/>
          <w:color w:val="auto"/>
          <w:szCs w:val="24"/>
          <w:highlight w:val="none"/>
        </w:rPr>
        <w:t>，并提交</w:t>
      </w:r>
      <w:r>
        <w:rPr>
          <w:rFonts w:hint="eastAsia" w:ascii="Times New Roman" w:hAnsi="Times New Roman" w:eastAsia="宋体" w:cs="Times New Roman"/>
          <w:color w:val="auto"/>
          <w:szCs w:val="24"/>
          <w:highlight w:val="none"/>
        </w:rPr>
        <w:t>请</w:t>
      </w:r>
      <w:r>
        <w:rPr>
          <w:rFonts w:ascii="Times New Roman" w:hAnsi="Times New Roman" w:eastAsia="宋体" w:cs="Times New Roman"/>
          <w:color w:val="auto"/>
          <w:szCs w:val="24"/>
          <w:highlight w:val="none"/>
        </w:rPr>
        <w:t>款报告</w:t>
      </w:r>
      <w:r>
        <w:rPr>
          <w:rFonts w:hint="eastAsia" w:ascii="Times New Roman" w:hAnsi="Times New Roman" w:eastAsia="宋体" w:cs="Times New Roman"/>
          <w:color w:val="auto"/>
          <w:szCs w:val="24"/>
          <w:highlight w:val="none"/>
        </w:rPr>
        <w:t>、发票等请款材料，</w:t>
      </w:r>
      <w:r>
        <w:rPr>
          <w:rFonts w:ascii="Times New Roman" w:hAnsi="Times New Roman" w:eastAsia="宋体" w:cs="Times New Roman"/>
          <w:color w:val="auto"/>
          <w:szCs w:val="24"/>
          <w:highlight w:val="none"/>
        </w:rPr>
        <w:t>经</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4"/>
          <w:highlight w:val="none"/>
        </w:rPr>
        <w:t>确认无误后</w:t>
      </w:r>
      <w:r>
        <w:rPr>
          <w:rFonts w:hint="eastAsia" w:ascii="Times New Roman" w:hAnsi="Times New Roman" w:eastAsia="宋体" w:cs="Times New Roman"/>
          <w:color w:val="auto"/>
          <w:szCs w:val="24"/>
          <w:highlight w:val="none"/>
        </w:rPr>
        <w:t>十五</w:t>
      </w:r>
      <w:r>
        <w:rPr>
          <w:rFonts w:ascii="Times New Roman" w:hAnsi="Times New Roman" w:eastAsia="宋体" w:cs="Times New Roman"/>
          <w:color w:val="auto"/>
          <w:szCs w:val="24"/>
          <w:highlight w:val="none"/>
        </w:rPr>
        <w:t>个工作日内</w:t>
      </w:r>
      <w:r>
        <w:rPr>
          <w:rFonts w:hint="eastAsia" w:ascii="Times New Roman" w:hAnsi="Times New Roman" w:eastAsia="宋体" w:cs="Times New Roman"/>
          <w:color w:val="auto"/>
          <w:szCs w:val="24"/>
          <w:highlight w:val="none"/>
        </w:rPr>
        <w:t>，招标人</w:t>
      </w:r>
      <w:r>
        <w:rPr>
          <w:rFonts w:ascii="Times New Roman" w:hAnsi="Times New Roman" w:eastAsia="宋体" w:cs="Times New Roman"/>
          <w:color w:val="auto"/>
          <w:szCs w:val="24"/>
          <w:highlight w:val="none"/>
        </w:rPr>
        <w:t>向</w:t>
      </w:r>
      <w:r>
        <w:rPr>
          <w:rFonts w:hint="eastAsia" w:ascii="Times New Roman" w:hAnsi="Times New Roman" w:eastAsia="宋体" w:cs="Times New Roman"/>
          <w:color w:val="auto"/>
          <w:szCs w:val="24"/>
          <w:highlight w:val="none"/>
        </w:rPr>
        <w:t>中标人</w:t>
      </w:r>
      <w:r>
        <w:rPr>
          <w:rFonts w:ascii="Times New Roman" w:hAnsi="Times New Roman" w:eastAsia="宋体" w:cs="Times New Roman"/>
          <w:color w:val="auto"/>
          <w:szCs w:val="24"/>
          <w:highlight w:val="none"/>
        </w:rPr>
        <w:t>支付至</w:t>
      </w:r>
      <w:r>
        <w:rPr>
          <w:rFonts w:hint="eastAsia" w:ascii="Times New Roman" w:hAnsi="Times New Roman" w:eastAsia="宋体" w:cs="Times New Roman"/>
          <w:color w:val="auto"/>
          <w:szCs w:val="24"/>
          <w:highlight w:val="none"/>
        </w:rPr>
        <w:t>组态开发及安装调试合同价的95%和软件、硬件设备购置合同价的95%及对应税额</w:t>
      </w:r>
      <w:r>
        <w:rPr>
          <w:rFonts w:ascii="Times New Roman" w:hAnsi="Times New Roman" w:eastAsia="宋体" w:cs="Times New Roman"/>
          <w:color w:val="auto"/>
          <w:szCs w:val="24"/>
          <w:highlight w:val="none"/>
        </w:rPr>
        <w:t>；</w:t>
      </w:r>
    </w:p>
    <w:p w14:paraId="090B8E72">
      <w:pPr>
        <w:tabs>
          <w:tab w:val="left" w:pos="567"/>
        </w:tabs>
        <w:spacing w:line="360" w:lineRule="auto"/>
        <w:ind w:firstLine="424" w:firstLineChars="202"/>
        <w:jc w:val="left"/>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（3）</w:t>
      </w:r>
      <w:r>
        <w:rPr>
          <w:rFonts w:ascii="Times New Roman" w:hAnsi="Times New Roman" w:eastAsia="宋体" w:cs="Times New Roman"/>
          <w:color w:val="auto"/>
          <w:szCs w:val="24"/>
          <w:highlight w:val="none"/>
        </w:rPr>
        <w:t>剩余合同</w:t>
      </w:r>
      <w:r>
        <w:rPr>
          <w:rFonts w:hint="eastAsia" w:ascii="Times New Roman" w:hAnsi="Times New Roman" w:eastAsia="宋体" w:cs="Times New Roman"/>
          <w:color w:val="auto"/>
          <w:szCs w:val="24"/>
          <w:highlight w:val="none"/>
        </w:rPr>
        <w:t>总价（含税）</w:t>
      </w:r>
      <w:r>
        <w:rPr>
          <w:rFonts w:ascii="Times New Roman" w:hAnsi="Times New Roman" w:eastAsia="宋体" w:cs="Times New Roman"/>
          <w:color w:val="auto"/>
          <w:szCs w:val="24"/>
          <w:highlight w:val="none"/>
        </w:rPr>
        <w:t>的</w:t>
      </w: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作为项目质保金</w:t>
      </w:r>
      <w:r>
        <w:rPr>
          <w:rFonts w:ascii="Times New Roman" w:hAnsi="Times New Roman" w:eastAsia="宋体" w:cs="Times New Roman"/>
          <w:color w:val="auto"/>
          <w:szCs w:val="24"/>
          <w:highlight w:val="none"/>
        </w:rPr>
        <w:t>（质保金与</w:t>
      </w:r>
      <w:r>
        <w:rPr>
          <w:rFonts w:ascii="Times New Roman" w:hAnsi="Times New Roman" w:eastAsia="宋体" w:cs="Times New Roman"/>
          <w:color w:val="auto"/>
          <w:szCs w:val="24"/>
          <w:highlight w:val="none"/>
          <w:lang w:bidi="zh-CN"/>
        </w:rPr>
        <w:t>运维服务期服务评分</w:t>
      </w:r>
      <w:r>
        <w:rPr>
          <w:rFonts w:ascii="Times New Roman" w:hAnsi="Times New Roman" w:eastAsia="宋体" w:cs="Times New Roman"/>
          <w:color w:val="auto"/>
          <w:szCs w:val="24"/>
          <w:highlight w:val="none"/>
        </w:rPr>
        <w:t>挂钩，</w:t>
      </w:r>
      <w:r>
        <w:rPr>
          <w:rFonts w:ascii="Times New Roman" w:hAnsi="Times New Roman" w:eastAsia="宋体" w:cs="Times New Roman"/>
          <w:color w:val="auto"/>
          <w:szCs w:val="24"/>
          <w:highlight w:val="none"/>
          <w:lang w:bidi="zh-CN"/>
        </w:rPr>
        <w:t>运维服务期服务评分要求</w:t>
      </w:r>
      <w:r>
        <w:rPr>
          <w:rFonts w:ascii="Times New Roman" w:hAnsi="Times New Roman" w:eastAsia="宋体" w:cs="Times New Roman"/>
          <w:color w:val="auto"/>
          <w:szCs w:val="24"/>
          <w:highlight w:val="none"/>
        </w:rPr>
        <w:t>详见</w:t>
      </w:r>
      <w:r>
        <w:rPr>
          <w:rFonts w:hint="eastAsia" w:ascii="Times New Roman" w:hAnsi="Times New Roman" w:eastAsia="宋体" w:cs="Times New Roman"/>
          <w:color w:val="auto"/>
          <w:szCs w:val="24"/>
          <w:highlight w:val="none"/>
        </w:rPr>
        <w:t>2.9</w:t>
      </w:r>
      <w:r>
        <w:rPr>
          <w:rFonts w:ascii="Times New Roman" w:hAnsi="Times New Roman" w:eastAsia="宋体" w:cs="Times New Roman"/>
          <w:color w:val="auto"/>
          <w:szCs w:val="24"/>
          <w:highlight w:val="none"/>
        </w:rPr>
        <w:t>项目质保</w:t>
      </w:r>
      <w:r>
        <w:rPr>
          <w:rFonts w:hint="eastAsia" w:ascii="Times New Roman" w:hAnsi="Times New Roman" w:eastAsia="宋体" w:cs="Times New Roman"/>
          <w:color w:val="auto"/>
          <w:szCs w:val="24"/>
          <w:highlight w:val="none"/>
        </w:rPr>
        <w:t>及售后</w:t>
      </w:r>
      <w:r>
        <w:rPr>
          <w:rFonts w:ascii="Times New Roman" w:hAnsi="Times New Roman" w:eastAsia="宋体" w:cs="Times New Roman"/>
          <w:color w:val="auto"/>
          <w:szCs w:val="24"/>
          <w:highlight w:val="none"/>
        </w:rPr>
        <w:t>要求）在质保期届满后根据</w:t>
      </w:r>
      <w:r>
        <w:rPr>
          <w:rFonts w:hint="eastAsia" w:ascii="Times New Roman" w:hAnsi="Times New Roman" w:eastAsia="宋体" w:cs="Times New Roman"/>
          <w:color w:val="auto"/>
          <w:szCs w:val="21"/>
          <w:highlight w:val="none"/>
        </w:rPr>
        <w:t>中标人</w:t>
      </w:r>
      <w:r>
        <w:rPr>
          <w:rFonts w:ascii="Times New Roman" w:hAnsi="Times New Roman" w:eastAsia="宋体" w:cs="Times New Roman"/>
          <w:color w:val="auto"/>
          <w:szCs w:val="24"/>
          <w:highlight w:val="none"/>
        </w:rPr>
        <w:t>提供货物质量情况及</w:t>
      </w:r>
      <w:r>
        <w:rPr>
          <w:rFonts w:hint="eastAsia" w:ascii="Times New Roman" w:hAnsi="Times New Roman" w:eastAsia="宋体" w:cs="Times New Roman"/>
          <w:color w:val="auto"/>
          <w:szCs w:val="24"/>
          <w:highlight w:val="none"/>
        </w:rPr>
        <w:t>中标人</w:t>
      </w:r>
      <w:r>
        <w:rPr>
          <w:rFonts w:ascii="Times New Roman" w:hAnsi="Times New Roman" w:eastAsia="宋体" w:cs="Times New Roman"/>
          <w:color w:val="auto"/>
          <w:szCs w:val="24"/>
          <w:highlight w:val="none"/>
        </w:rPr>
        <w:t>履行质保期义务的情况，由</w:t>
      </w:r>
      <w:r>
        <w:rPr>
          <w:rFonts w:ascii="Times New Roman" w:hAnsi="Times New Roman" w:eastAsia="宋体" w:cs="Times New Roman"/>
          <w:color w:val="auto"/>
          <w:szCs w:val="21"/>
          <w:highlight w:val="none"/>
        </w:rPr>
        <w:t>招</w:t>
      </w:r>
      <w:r>
        <w:rPr>
          <w:rFonts w:hint="eastAsia" w:ascii="Times New Roman" w:hAnsi="Times New Roman" w:eastAsia="宋体" w:cs="Times New Roman"/>
          <w:color w:val="auto"/>
          <w:szCs w:val="21"/>
          <w:highlight w:val="none"/>
        </w:rPr>
        <w:t>标人</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rPr>
        <w:t>中标人双</w:t>
      </w:r>
      <w:r>
        <w:rPr>
          <w:rFonts w:ascii="Times New Roman" w:hAnsi="Times New Roman" w:eastAsia="宋体" w:cs="Times New Roman"/>
          <w:color w:val="auto"/>
          <w:szCs w:val="21"/>
          <w:highlight w:val="none"/>
        </w:rPr>
        <w:t>方</w:t>
      </w:r>
      <w:r>
        <w:rPr>
          <w:rFonts w:ascii="Times New Roman" w:hAnsi="Times New Roman" w:eastAsia="宋体" w:cs="Times New Roman"/>
          <w:color w:val="auto"/>
          <w:szCs w:val="24"/>
          <w:highlight w:val="none"/>
        </w:rPr>
        <w:t>进行结算，且在</w:t>
      </w:r>
      <w:r>
        <w:rPr>
          <w:rFonts w:hint="eastAsia" w:ascii="Times New Roman" w:hAnsi="Times New Roman" w:eastAsia="宋体" w:cs="Times New Roman"/>
          <w:color w:val="auto"/>
          <w:szCs w:val="24"/>
          <w:highlight w:val="none"/>
        </w:rPr>
        <w:t>中标人</w:t>
      </w:r>
      <w:r>
        <w:rPr>
          <w:rFonts w:ascii="Times New Roman" w:hAnsi="Times New Roman" w:eastAsia="宋体" w:cs="Times New Roman"/>
          <w:color w:val="auto"/>
          <w:szCs w:val="24"/>
          <w:highlight w:val="none"/>
        </w:rPr>
        <w:t>提交请款报告</w:t>
      </w:r>
      <w:r>
        <w:rPr>
          <w:rFonts w:hint="eastAsia" w:ascii="Times New Roman" w:hAnsi="Times New Roman" w:eastAsia="宋体" w:cs="Times New Roman"/>
          <w:color w:val="auto"/>
          <w:szCs w:val="24"/>
          <w:highlight w:val="none"/>
        </w:rPr>
        <w:t>、发票等请款材料，</w:t>
      </w:r>
      <w:r>
        <w:rPr>
          <w:rFonts w:ascii="Times New Roman" w:hAnsi="Times New Roman" w:eastAsia="宋体" w:cs="Times New Roman"/>
          <w:color w:val="auto"/>
          <w:szCs w:val="24"/>
          <w:highlight w:val="none"/>
        </w:rPr>
        <w:t>经</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4"/>
          <w:highlight w:val="none"/>
        </w:rPr>
        <w:t>确认无误后</w:t>
      </w:r>
      <w:r>
        <w:rPr>
          <w:rFonts w:hint="eastAsia" w:ascii="Times New Roman" w:hAnsi="Times New Roman" w:eastAsia="宋体" w:cs="Times New Roman"/>
          <w:color w:val="auto"/>
          <w:szCs w:val="24"/>
          <w:highlight w:val="none"/>
        </w:rPr>
        <w:t>十五</w:t>
      </w:r>
      <w:r>
        <w:rPr>
          <w:rFonts w:ascii="Times New Roman" w:hAnsi="Times New Roman" w:eastAsia="宋体" w:cs="Times New Roman"/>
          <w:color w:val="auto"/>
          <w:szCs w:val="24"/>
          <w:highlight w:val="none"/>
        </w:rPr>
        <w:t>个工作日内，</w:t>
      </w:r>
      <w:r>
        <w:rPr>
          <w:rFonts w:hint="eastAsia" w:ascii="Times New Roman" w:hAnsi="Times New Roman" w:eastAsia="宋体" w:cs="Times New Roman"/>
          <w:color w:val="auto"/>
          <w:szCs w:val="21"/>
          <w:highlight w:val="none"/>
        </w:rPr>
        <w:t>招标人</w:t>
      </w:r>
      <w:r>
        <w:rPr>
          <w:rFonts w:hint="eastAsia" w:ascii="Times New Roman" w:hAnsi="Times New Roman" w:eastAsia="宋体" w:cs="Times New Roman"/>
          <w:color w:val="auto"/>
          <w:szCs w:val="24"/>
          <w:highlight w:val="none"/>
        </w:rPr>
        <w:t>向中标人支付质保金；招标人</w:t>
      </w:r>
      <w:r>
        <w:rPr>
          <w:rFonts w:ascii="Times New Roman" w:hAnsi="Times New Roman" w:eastAsia="宋体" w:cs="Times New Roman"/>
          <w:color w:val="auto"/>
          <w:szCs w:val="24"/>
          <w:highlight w:val="none"/>
        </w:rPr>
        <w:t>通过银行转账或银行承兑汇票方式支付相应款项至本合同指定的中标人收款银行账户中，汇票期限不超过三个月，每期款项支付方式由招标人决定。</w:t>
      </w:r>
    </w:p>
    <w:p w14:paraId="0E05E738">
      <w:pPr>
        <w:tabs>
          <w:tab w:val="left" w:pos="567"/>
        </w:tabs>
        <w:spacing w:line="360" w:lineRule="auto"/>
        <w:ind w:firstLine="424" w:firstLineChars="202"/>
        <w:jc w:val="left"/>
        <w:rPr>
          <w:rFonts w:ascii="Times New Roman" w:hAnsi="Times New Roman" w:eastAsia="宋体" w:cs="Times New Roman"/>
          <w:color w:val="auto"/>
          <w:szCs w:val="24"/>
          <w:highlight w:val="none"/>
          <w:lang w:bidi="en-US"/>
        </w:rPr>
      </w:pPr>
      <w:r>
        <w:rPr>
          <w:rFonts w:ascii="Times New Roman" w:hAnsi="Times New Roman" w:eastAsia="宋体" w:cs="Times New Roman"/>
          <w:color w:val="auto"/>
          <w:szCs w:val="24"/>
          <w:highlight w:val="none"/>
          <w:lang w:bidi="en-US"/>
        </w:rPr>
        <w:t>运维服务期服务评分及质保金支付对应关系：</w:t>
      </w:r>
    </w:p>
    <w:p w14:paraId="3A51D0CC">
      <w:pPr>
        <w:numPr>
          <w:ilvl w:val="255"/>
          <w:numId w:val="0"/>
        </w:numPr>
        <w:tabs>
          <w:tab w:val="left" w:pos="567"/>
        </w:tabs>
        <w:spacing w:line="360" w:lineRule="auto"/>
        <w:ind w:firstLine="424" w:firstLineChars="202"/>
        <w:jc w:val="left"/>
        <w:rPr>
          <w:rFonts w:ascii="Times New Roman" w:hAnsi="Times New Roman" w:eastAsia="宋体" w:cs="Times New Roman"/>
          <w:color w:val="auto"/>
          <w:szCs w:val="24"/>
          <w:highlight w:val="none"/>
          <w:lang w:bidi="en-US"/>
        </w:rPr>
      </w:pPr>
      <w:r>
        <w:rPr>
          <w:rFonts w:hint="eastAsia" w:ascii="Times New Roman" w:hAnsi="Times New Roman" w:eastAsia="宋体" w:cs="Times New Roman"/>
          <w:color w:val="auto"/>
          <w:szCs w:val="24"/>
          <w:highlight w:val="none"/>
          <w:lang w:bidi="en-US"/>
        </w:rPr>
        <w:t>1）</w:t>
      </w:r>
      <w:r>
        <w:rPr>
          <w:rFonts w:ascii="Times New Roman" w:hAnsi="Times New Roman" w:eastAsia="宋体" w:cs="Times New Roman"/>
          <w:color w:val="auto"/>
          <w:szCs w:val="24"/>
          <w:highlight w:val="none"/>
          <w:lang w:bidi="en-US"/>
        </w:rPr>
        <w:t>运维服务期间，当评分≥90分，投标人可全额取得质保金。</w:t>
      </w:r>
    </w:p>
    <w:p w14:paraId="30549D8A">
      <w:pPr>
        <w:numPr>
          <w:ilvl w:val="255"/>
          <w:numId w:val="0"/>
        </w:numPr>
        <w:tabs>
          <w:tab w:val="left" w:pos="567"/>
        </w:tabs>
        <w:spacing w:line="360" w:lineRule="auto"/>
        <w:ind w:firstLine="424" w:firstLineChars="202"/>
        <w:jc w:val="left"/>
        <w:rPr>
          <w:rFonts w:ascii="Times New Roman" w:hAnsi="Times New Roman" w:eastAsia="宋体" w:cs="Times New Roman"/>
          <w:color w:val="auto"/>
          <w:szCs w:val="24"/>
          <w:highlight w:val="none"/>
          <w:lang w:bidi="en-US"/>
        </w:rPr>
      </w:pPr>
      <w:r>
        <w:rPr>
          <w:rFonts w:hint="eastAsia" w:ascii="Times New Roman" w:hAnsi="Times New Roman" w:eastAsia="宋体" w:cs="Times New Roman"/>
          <w:color w:val="auto"/>
          <w:szCs w:val="24"/>
          <w:highlight w:val="none"/>
          <w:lang w:bidi="en-US"/>
        </w:rPr>
        <w:t>2）</w:t>
      </w:r>
      <w:r>
        <w:rPr>
          <w:rFonts w:ascii="Times New Roman" w:hAnsi="Times New Roman" w:eastAsia="宋体" w:cs="Times New Roman"/>
          <w:color w:val="auto"/>
          <w:szCs w:val="24"/>
          <w:highlight w:val="none"/>
          <w:lang w:bidi="en-US"/>
        </w:rPr>
        <w:t>运维服务期间，当80分≤评分</w:t>
      </w:r>
      <w:r>
        <w:rPr>
          <w:rFonts w:ascii="Times New Roman" w:hAnsi="Times New Roman" w:eastAsia="宋体" w:cs="Times New Roman"/>
          <w:color w:val="auto"/>
          <w:szCs w:val="24"/>
          <w:highlight w:val="none"/>
          <w:lang w:bidi="ar"/>
        </w:rPr>
        <w:t>＜</w:t>
      </w:r>
      <w:r>
        <w:rPr>
          <w:rFonts w:ascii="Times New Roman" w:hAnsi="Times New Roman" w:eastAsia="宋体" w:cs="Times New Roman"/>
          <w:color w:val="auto"/>
          <w:szCs w:val="24"/>
          <w:highlight w:val="none"/>
          <w:lang w:bidi="en-US"/>
        </w:rPr>
        <w:t>90分，质保金按照80%支付。</w:t>
      </w:r>
    </w:p>
    <w:p w14:paraId="5EE3FC8A">
      <w:pPr>
        <w:numPr>
          <w:ilvl w:val="255"/>
          <w:numId w:val="0"/>
        </w:numPr>
        <w:tabs>
          <w:tab w:val="left" w:pos="567"/>
        </w:tabs>
        <w:spacing w:line="360" w:lineRule="auto"/>
        <w:ind w:firstLine="424" w:firstLineChars="202"/>
        <w:jc w:val="left"/>
        <w:rPr>
          <w:rFonts w:ascii="Times New Roman" w:hAnsi="Times New Roman" w:eastAsia="宋体" w:cs="Times New Roman"/>
          <w:color w:val="auto"/>
          <w:szCs w:val="24"/>
          <w:highlight w:val="none"/>
          <w:lang w:bidi="en-US"/>
        </w:rPr>
      </w:pPr>
      <w:r>
        <w:rPr>
          <w:rFonts w:hint="eastAsia" w:ascii="Times New Roman" w:hAnsi="Times New Roman" w:eastAsia="宋体" w:cs="Times New Roman"/>
          <w:color w:val="auto"/>
          <w:szCs w:val="24"/>
          <w:highlight w:val="none"/>
          <w:lang w:bidi="en-US"/>
        </w:rPr>
        <w:t>3）</w:t>
      </w:r>
      <w:r>
        <w:rPr>
          <w:rFonts w:ascii="Times New Roman" w:hAnsi="Times New Roman" w:eastAsia="宋体" w:cs="Times New Roman"/>
          <w:color w:val="auto"/>
          <w:szCs w:val="24"/>
          <w:highlight w:val="none"/>
          <w:lang w:bidi="en-US"/>
        </w:rPr>
        <w:t>运维服务期间，当70分≤评分</w:t>
      </w:r>
      <w:r>
        <w:rPr>
          <w:rFonts w:ascii="Times New Roman" w:hAnsi="Times New Roman" w:eastAsia="宋体" w:cs="Times New Roman"/>
          <w:color w:val="auto"/>
          <w:szCs w:val="24"/>
          <w:highlight w:val="none"/>
          <w:lang w:bidi="ar"/>
        </w:rPr>
        <w:t>＜</w:t>
      </w:r>
      <w:r>
        <w:rPr>
          <w:rFonts w:ascii="Times New Roman" w:hAnsi="Times New Roman" w:eastAsia="宋体" w:cs="Times New Roman"/>
          <w:color w:val="auto"/>
          <w:szCs w:val="24"/>
          <w:highlight w:val="none"/>
          <w:lang w:bidi="en-US"/>
        </w:rPr>
        <w:t>80分，质保金按照70%支付。</w:t>
      </w:r>
    </w:p>
    <w:p w14:paraId="19C0DD58">
      <w:pPr>
        <w:numPr>
          <w:ilvl w:val="255"/>
          <w:numId w:val="0"/>
        </w:numPr>
        <w:tabs>
          <w:tab w:val="left" w:pos="567"/>
        </w:tabs>
        <w:spacing w:line="360" w:lineRule="auto"/>
        <w:ind w:firstLine="424" w:firstLineChars="202"/>
        <w:jc w:val="left"/>
        <w:rPr>
          <w:rFonts w:ascii="Times New Roman" w:hAnsi="Times New Roman" w:eastAsia="宋体" w:cs="Times New Roman"/>
          <w:color w:val="auto"/>
          <w:szCs w:val="24"/>
          <w:highlight w:val="none"/>
          <w:lang w:bidi="en-US"/>
        </w:rPr>
      </w:pPr>
      <w:r>
        <w:rPr>
          <w:rFonts w:hint="eastAsia" w:ascii="Times New Roman" w:hAnsi="Times New Roman" w:eastAsia="宋体" w:cs="Times New Roman"/>
          <w:color w:val="auto"/>
          <w:szCs w:val="24"/>
          <w:highlight w:val="none"/>
          <w:lang w:bidi="en-US"/>
        </w:rPr>
        <w:t>4）</w:t>
      </w:r>
      <w:r>
        <w:rPr>
          <w:rFonts w:ascii="Times New Roman" w:hAnsi="Times New Roman" w:eastAsia="宋体" w:cs="Times New Roman"/>
          <w:color w:val="auto"/>
          <w:szCs w:val="24"/>
          <w:highlight w:val="none"/>
          <w:lang w:bidi="en-US"/>
        </w:rPr>
        <w:t>运维服务期间，当60分≤评分</w:t>
      </w:r>
      <w:r>
        <w:rPr>
          <w:rFonts w:ascii="Times New Roman" w:hAnsi="Times New Roman" w:eastAsia="宋体" w:cs="Times New Roman"/>
          <w:color w:val="auto"/>
          <w:szCs w:val="24"/>
          <w:highlight w:val="none"/>
          <w:lang w:bidi="ar"/>
        </w:rPr>
        <w:t>＜</w:t>
      </w:r>
      <w:r>
        <w:rPr>
          <w:rFonts w:ascii="Times New Roman" w:hAnsi="Times New Roman" w:eastAsia="宋体" w:cs="Times New Roman"/>
          <w:color w:val="auto"/>
          <w:szCs w:val="24"/>
          <w:highlight w:val="none"/>
          <w:lang w:bidi="en-US"/>
        </w:rPr>
        <w:t>70分，质保金按照60%支付。</w:t>
      </w:r>
    </w:p>
    <w:p w14:paraId="190AE03A">
      <w:pPr>
        <w:tabs>
          <w:tab w:val="left" w:pos="567"/>
        </w:tabs>
        <w:spacing w:line="360" w:lineRule="auto"/>
        <w:ind w:firstLine="424" w:firstLineChars="202"/>
        <w:jc w:val="left"/>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bidi="en-US"/>
        </w:rPr>
        <w:t>5）</w:t>
      </w:r>
      <w:r>
        <w:rPr>
          <w:rFonts w:ascii="Times New Roman" w:hAnsi="Times New Roman" w:eastAsia="宋体" w:cs="Times New Roman"/>
          <w:color w:val="auto"/>
          <w:szCs w:val="24"/>
          <w:highlight w:val="none"/>
          <w:lang w:bidi="en-US"/>
        </w:rPr>
        <w:t>运维服务期间，当评分</w:t>
      </w:r>
      <w:r>
        <w:rPr>
          <w:rFonts w:ascii="Times New Roman" w:hAnsi="Times New Roman" w:eastAsia="宋体" w:cs="Times New Roman"/>
          <w:color w:val="auto"/>
          <w:szCs w:val="24"/>
          <w:highlight w:val="none"/>
          <w:lang w:bidi="ar"/>
        </w:rPr>
        <w:t>＜</w:t>
      </w:r>
      <w:r>
        <w:rPr>
          <w:rFonts w:ascii="Times New Roman" w:hAnsi="Times New Roman" w:eastAsia="宋体" w:cs="Times New Roman"/>
          <w:color w:val="auto"/>
          <w:szCs w:val="24"/>
          <w:highlight w:val="none"/>
          <w:lang w:bidi="en-US"/>
        </w:rPr>
        <w:t>60分，质保金不予以支付。</w:t>
      </w:r>
    </w:p>
    <w:p w14:paraId="2C16B4A7">
      <w:pPr>
        <w:tabs>
          <w:tab w:val="left" w:pos="567"/>
        </w:tabs>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4、中标人收取每笔款项前，在提交请款报告的同时一并提供发票抬头为招标人的等额合法有效的增值税专用发票；请款报告及发票的金额应当由招标人、中标人双方确认，若因招标人未确认请款金额而中标人自行开具请款报告及发票的，中标人应按照</w:t>
      </w:r>
      <w:r>
        <w:rPr>
          <w:rFonts w:hint="eastAsia" w:ascii="Times New Roman" w:hAnsi="Times New Roman" w:eastAsia="宋体" w:cs="Times New Roman"/>
          <w:color w:val="auto"/>
          <w:szCs w:val="21"/>
          <w:highlight w:val="none"/>
        </w:rPr>
        <w:t>招标人</w:t>
      </w:r>
      <w:r>
        <w:rPr>
          <w:rFonts w:hint="eastAsia" w:ascii="Times New Roman" w:hAnsi="Times New Roman" w:eastAsia="宋体" w:cs="Times New Roman"/>
          <w:color w:val="auto"/>
          <w:szCs w:val="24"/>
          <w:highlight w:val="none"/>
        </w:rPr>
        <w:t>要求重新开具，由此导致的中标人迟延提供发票或提供的发票不合格的责任由中标人自行承担，</w:t>
      </w:r>
      <w:r>
        <w:rPr>
          <w:rFonts w:hint="eastAsia" w:ascii="Times New Roman" w:hAnsi="Times New Roman" w:eastAsia="宋体" w:cs="Times New Roman"/>
          <w:color w:val="auto"/>
          <w:szCs w:val="21"/>
          <w:highlight w:val="none"/>
        </w:rPr>
        <w:t>招标人</w:t>
      </w:r>
      <w:r>
        <w:rPr>
          <w:rFonts w:hint="eastAsia" w:ascii="Times New Roman" w:hAnsi="Times New Roman" w:eastAsia="宋体" w:cs="Times New Roman"/>
          <w:color w:val="auto"/>
          <w:szCs w:val="24"/>
          <w:highlight w:val="none"/>
        </w:rPr>
        <w:t>的付款时间可相应顺延，且不视为违约。因支付产生的相关银行手续费用，根据有关银行规定执行，如不能明确的，由</w:t>
      </w:r>
      <w:r>
        <w:rPr>
          <w:rFonts w:hint="eastAsia" w:ascii="Times New Roman" w:hAnsi="Times New Roman" w:eastAsia="宋体" w:cs="Times New Roman"/>
          <w:color w:val="auto"/>
          <w:szCs w:val="21"/>
          <w:highlight w:val="none"/>
        </w:rPr>
        <w:t>招标人、中标人</w:t>
      </w:r>
      <w:r>
        <w:rPr>
          <w:rFonts w:hint="eastAsia" w:ascii="Times New Roman" w:hAnsi="Times New Roman" w:eastAsia="宋体" w:cs="Times New Roman"/>
          <w:color w:val="auto"/>
          <w:szCs w:val="24"/>
          <w:highlight w:val="none"/>
        </w:rPr>
        <w:t>双方各承担50%。由于中标人提供的发票不符合税法规定，给</w:t>
      </w:r>
      <w:r>
        <w:rPr>
          <w:rFonts w:hint="eastAsia" w:ascii="Times New Roman" w:hAnsi="Times New Roman" w:eastAsia="宋体" w:cs="Times New Roman"/>
          <w:color w:val="auto"/>
          <w:szCs w:val="21"/>
          <w:highlight w:val="none"/>
        </w:rPr>
        <w:t>招标人</w:t>
      </w:r>
      <w:r>
        <w:rPr>
          <w:rFonts w:hint="eastAsia" w:ascii="Times New Roman" w:hAnsi="Times New Roman" w:eastAsia="宋体" w:cs="Times New Roman"/>
          <w:color w:val="auto"/>
          <w:szCs w:val="24"/>
          <w:highlight w:val="none"/>
        </w:rPr>
        <w:t>造成的损失由中标人承担赔偿责任。</w:t>
      </w:r>
    </w:p>
    <w:p w14:paraId="7CFE046D">
      <w:pPr>
        <w:tabs>
          <w:tab w:val="left" w:pos="567"/>
        </w:tabs>
        <w:spacing w:line="360" w:lineRule="auto"/>
        <w:ind w:firstLine="420" w:firstLineChars="200"/>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5、合同在履约过程中，中标人根据本合同约定需向招标人支付违约金、赔偿金、其他应付费用等款项的，招标人有权要求中标人向招标人支付完前述款项后，招标人才根据本合同向中标人支付合同价和税额，由此造成逾期付款的，招标人不构成违约；或者，招标人有权从履约担保中扣除前述款项，且中标人必须按照扣除前述款项前的合同价（销售额）开具增值税专用发票，保证增值税税额符合法律规定。</w:t>
      </w:r>
    </w:p>
    <w:p w14:paraId="50CAE043">
      <w:pPr>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br w:type="page"/>
      </w:r>
    </w:p>
    <w:p w14:paraId="646FF9AA">
      <w:pPr>
        <w:tabs>
          <w:tab w:val="left" w:pos="567"/>
        </w:tabs>
        <w:spacing w:line="360" w:lineRule="auto"/>
        <w:ind w:firstLine="420" w:firstLineChars="200"/>
        <w:rPr>
          <w:rFonts w:hint="eastAsia" w:ascii="Times New Roman" w:hAnsi="Times New Roman" w:eastAsia="宋体" w:cs="Times New Roman"/>
          <w:color w:val="auto"/>
          <w:szCs w:val="24"/>
          <w:highlight w:val="none"/>
        </w:rPr>
      </w:pPr>
    </w:p>
    <w:p w14:paraId="0A6DD5D5">
      <w:pPr>
        <w:keepNext/>
        <w:keepLines/>
        <w:numPr>
          <w:ilvl w:val="0"/>
          <w:numId w:val="2"/>
        </w:numPr>
        <w:spacing w:after="240" w:afterLines="100" w:line="360" w:lineRule="auto"/>
        <w:jc w:val="center"/>
        <w:outlineLvl w:val="0"/>
        <w:rPr>
          <w:rFonts w:ascii="Times New Roman" w:hAnsi="Times New Roman" w:eastAsia="宋体" w:cs="Times New Roman"/>
          <w:b/>
          <w:bCs/>
          <w:color w:val="auto"/>
          <w:kern w:val="44"/>
          <w:szCs w:val="44"/>
          <w:highlight w:val="none"/>
        </w:rPr>
      </w:pPr>
      <w:bookmarkStart w:id="595" w:name="_Toc195714331"/>
      <w:bookmarkStart w:id="596" w:name="_Toc31794"/>
      <w:r>
        <w:rPr>
          <w:rFonts w:ascii="Times New Roman" w:hAnsi="Times New Roman" w:eastAsia="宋体" w:cs="Times New Roman"/>
          <w:b/>
          <w:bCs/>
          <w:color w:val="auto"/>
          <w:kern w:val="44"/>
          <w:szCs w:val="44"/>
          <w:highlight w:val="none"/>
        </w:rPr>
        <w:t>资料要求及招标设计</w:t>
      </w:r>
      <w:bookmarkEnd w:id="595"/>
      <w:bookmarkEnd w:id="596"/>
    </w:p>
    <w:p w14:paraId="4452A4F7">
      <w:pPr>
        <w:keepNext/>
        <w:keepLines/>
        <w:numPr>
          <w:ilvl w:val="0"/>
          <w:numId w:val="31"/>
        </w:numPr>
        <w:adjustRightInd w:val="0"/>
        <w:snapToGrid w:val="0"/>
        <w:spacing w:line="360" w:lineRule="auto"/>
        <w:ind w:firstLine="373"/>
        <w:outlineLvl w:val="1"/>
        <w:rPr>
          <w:rFonts w:ascii="Times New Roman" w:hAnsi="Times New Roman" w:eastAsia="宋体" w:cs="Times New Roman"/>
          <w:color w:val="auto"/>
          <w:szCs w:val="21"/>
          <w:highlight w:val="none"/>
        </w:rPr>
      </w:pPr>
      <w:bookmarkStart w:id="597" w:name="_Toc195714332"/>
      <w:bookmarkStart w:id="598" w:name="_Toc23192"/>
      <w:r>
        <w:rPr>
          <w:rFonts w:ascii="Times New Roman" w:hAnsi="Times New Roman" w:eastAsia="宋体" w:cs="Times New Roman"/>
          <w:b/>
          <w:bCs/>
          <w:color w:val="auto"/>
          <w:szCs w:val="21"/>
          <w:highlight w:val="none"/>
        </w:rPr>
        <w:t>投标人提交技术资料的总体要求：</w:t>
      </w:r>
      <w:bookmarkEnd w:id="597"/>
      <w:bookmarkEnd w:id="598"/>
    </w:p>
    <w:p w14:paraId="36B5EEED">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（1）投标人提供的所有技术文件及相关书面资料将作为合同的必要组成部分与合同一起生效执行。</w:t>
      </w:r>
    </w:p>
    <w:p w14:paraId="2CF7828E">
      <w:pPr>
        <w:widowControl/>
        <w:adjustRightInd w:val="0"/>
        <w:snapToGrid w:val="0"/>
        <w:spacing w:line="360" w:lineRule="auto"/>
        <w:ind w:firstLine="420" w:firstLineChars="200"/>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（2）投标人提供的技术文件应是完整的、清晰易读的、容易阅读并且无错误。</w:t>
      </w:r>
    </w:p>
    <w:p w14:paraId="74E5C3E6">
      <w:pPr>
        <w:widowControl/>
        <w:adjustRightInd w:val="0"/>
        <w:snapToGrid w:val="0"/>
        <w:spacing w:line="360" w:lineRule="auto"/>
        <w:ind w:firstLine="420" w:firstLineChars="200"/>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（3）投标人提交的技术响应文件均用简体中文编写，所有尺寸单位应是国际单位(SI)制。</w:t>
      </w:r>
    </w:p>
    <w:p w14:paraId="1DF1F61B">
      <w:pPr>
        <w:widowControl/>
        <w:adjustRightInd w:val="0"/>
        <w:snapToGrid w:val="0"/>
        <w:spacing w:line="360" w:lineRule="auto"/>
        <w:ind w:firstLine="420" w:firstLineChars="200"/>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（4）进口设备除提交英文技术文件外必须同时提供简体中文对应译本，并以中文译本为准。</w:t>
      </w:r>
    </w:p>
    <w:p w14:paraId="2D3E3DB9">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（5）图纸和资料的补充</w:t>
      </w:r>
    </w:p>
    <w:p w14:paraId="02A73086">
      <w:pPr>
        <w:widowControl/>
        <w:adjustRightInd w:val="0"/>
        <w:snapToGrid w:val="0"/>
        <w:spacing w:line="360" w:lineRule="auto"/>
        <w:ind w:firstLine="420" w:firstLineChars="200"/>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在出现遗漏或发现错误时，有关设备的补充资料应及时提交招标人进行补充设计或设计变更。</w:t>
      </w:r>
    </w:p>
    <w:p w14:paraId="0E58205E">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（6）</w:t>
      </w:r>
      <w:r>
        <w:rPr>
          <w:rFonts w:hint="eastAsia" w:ascii="Times New Roman" w:hAnsi="Times New Roman" w:eastAsia="宋体" w:cs="Times New Roman"/>
          <w:color w:val="auto"/>
          <w:szCs w:val="24"/>
          <w:highlight w:val="none"/>
        </w:rPr>
        <w:t>方案</w:t>
      </w:r>
      <w:r>
        <w:rPr>
          <w:rFonts w:ascii="Times New Roman" w:hAnsi="Times New Roman" w:eastAsia="宋体" w:cs="Times New Roman"/>
          <w:color w:val="auto"/>
          <w:szCs w:val="24"/>
          <w:highlight w:val="none"/>
        </w:rPr>
        <w:t>的修改</w:t>
      </w:r>
    </w:p>
    <w:p w14:paraId="5AF61A4F">
      <w:pPr>
        <w:widowControl/>
        <w:adjustRightInd w:val="0"/>
        <w:snapToGrid w:val="0"/>
        <w:spacing w:line="360" w:lineRule="auto"/>
        <w:ind w:firstLine="420" w:firstLineChars="200"/>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本用户需求书的技术要求对投标人均是严格的规定，投标人应遵守这些规定。但投标人也可根据自己提供更优的设备对设计</w:t>
      </w:r>
      <w:r>
        <w:rPr>
          <w:rFonts w:hint="eastAsia" w:ascii="Times New Roman" w:hAnsi="Times New Roman" w:eastAsia="宋体" w:cs="Times New Roman"/>
          <w:color w:val="auto"/>
          <w:kern w:val="0"/>
          <w:szCs w:val="21"/>
          <w:highlight w:val="none"/>
        </w:rPr>
        <w:t>方案</w:t>
      </w:r>
      <w:r>
        <w:rPr>
          <w:rFonts w:ascii="Times New Roman" w:hAnsi="Times New Roman" w:eastAsia="宋体" w:cs="Times New Roman"/>
          <w:color w:val="auto"/>
          <w:kern w:val="0"/>
          <w:szCs w:val="21"/>
          <w:highlight w:val="none"/>
        </w:rPr>
        <w:t>提出必要的改动建议，是否采纳由招标人根据情况和合理性决定。</w:t>
      </w:r>
    </w:p>
    <w:p w14:paraId="3D636D30">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（7）图纸标准</w:t>
      </w:r>
    </w:p>
    <w:p w14:paraId="17D62770">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所有图纸尺寸应用一种规格的图纸A2幅面（投标文件中的图纸采用A3幅面，但应折叠成A4规格）。所有计量采用国际单位制（SI制），所有注释，标题和说明应为中文。</w:t>
      </w:r>
    </w:p>
    <w:p w14:paraId="55123DD4">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全部图纸必须清晰，完整，并与相应的工程图纸和技术规定的要求相符。</w:t>
      </w:r>
    </w:p>
    <w:p w14:paraId="6BE6837E">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（8）全部资料应分类清晰、适当</w:t>
      </w:r>
      <w:r>
        <w:rPr>
          <w:rFonts w:hint="eastAsia" w:ascii="Times New Roman" w:hAnsi="Times New Roman" w:eastAsia="宋体" w:cs="Times New Roman"/>
          <w:color w:val="auto"/>
          <w:szCs w:val="21"/>
          <w:highlight w:val="none"/>
        </w:rPr>
        <w:t>地</w:t>
      </w:r>
      <w:r>
        <w:rPr>
          <w:rFonts w:ascii="Times New Roman" w:hAnsi="Times New Roman" w:eastAsia="宋体" w:cs="Times New Roman"/>
          <w:color w:val="auto"/>
          <w:szCs w:val="21"/>
          <w:highlight w:val="none"/>
        </w:rPr>
        <w:t>装订成册，文件夹为硬塑料夹，夹内文件应取放方便。但投标阶段，招标文件对投标文件的编制、装订另有规定的，从其规定。</w:t>
      </w:r>
    </w:p>
    <w:p w14:paraId="41A40BDA">
      <w:pPr>
        <w:widowControl/>
        <w:adjustRightInd w:val="0"/>
        <w:snapToGrid w:val="0"/>
        <w:spacing w:line="360" w:lineRule="auto"/>
        <w:ind w:firstLine="420" w:firstLineChars="200"/>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（9）除投标阶段的投标文件外，其他各阶段的资料均需以子项目为单位进行准备、递交。</w:t>
      </w:r>
    </w:p>
    <w:p w14:paraId="52D61D14">
      <w:pPr>
        <w:keepNext/>
        <w:keepLines/>
        <w:numPr>
          <w:ilvl w:val="0"/>
          <w:numId w:val="31"/>
        </w:numPr>
        <w:adjustRightInd w:val="0"/>
        <w:snapToGrid w:val="0"/>
        <w:spacing w:line="360" w:lineRule="auto"/>
        <w:ind w:firstLine="373"/>
        <w:outlineLvl w:val="1"/>
        <w:rPr>
          <w:rFonts w:ascii="Times New Roman" w:hAnsi="Times New Roman" w:eastAsia="宋体" w:cs="Times New Roman"/>
          <w:b/>
          <w:bCs/>
          <w:color w:val="auto"/>
          <w:szCs w:val="21"/>
          <w:highlight w:val="none"/>
        </w:rPr>
      </w:pPr>
      <w:bookmarkStart w:id="599" w:name="_Toc16866"/>
      <w:bookmarkStart w:id="600" w:name="_Toc195714333"/>
      <w:r>
        <w:rPr>
          <w:rFonts w:ascii="Times New Roman" w:hAnsi="Times New Roman" w:eastAsia="宋体" w:cs="Times New Roman"/>
          <w:b/>
          <w:bCs/>
          <w:color w:val="auto"/>
          <w:szCs w:val="21"/>
          <w:highlight w:val="none"/>
        </w:rPr>
        <w:t>各阶段递交技术资料的要求：</w:t>
      </w:r>
      <w:bookmarkEnd w:id="599"/>
      <w:bookmarkEnd w:id="600"/>
    </w:p>
    <w:p w14:paraId="3EECCCF8">
      <w:pPr>
        <w:keepNext/>
        <w:keepLines/>
        <w:numPr>
          <w:ilvl w:val="0"/>
          <w:numId w:val="32"/>
        </w:numPr>
        <w:adjustRightInd w:val="0"/>
        <w:snapToGrid w:val="0"/>
        <w:spacing w:line="360" w:lineRule="auto"/>
        <w:ind w:firstLine="426"/>
        <w:outlineLvl w:val="2"/>
        <w:rPr>
          <w:rFonts w:ascii="Times New Roman" w:hAnsi="Times New Roman" w:eastAsia="宋体" w:cs="Times New Roman"/>
          <w:bCs/>
          <w:color w:val="auto"/>
          <w:szCs w:val="21"/>
          <w:highlight w:val="none"/>
        </w:rPr>
      </w:pPr>
      <w:bookmarkStart w:id="601" w:name="_Toc195714334"/>
      <w:bookmarkStart w:id="602" w:name="_Toc11777"/>
      <w:r>
        <w:rPr>
          <w:rFonts w:ascii="Times New Roman" w:hAnsi="Times New Roman" w:eastAsia="宋体" w:cs="Times New Roman"/>
          <w:b/>
          <w:bCs/>
          <w:color w:val="auto"/>
          <w:szCs w:val="21"/>
          <w:highlight w:val="none"/>
        </w:rPr>
        <w:t>投标阶段</w:t>
      </w:r>
      <w:bookmarkEnd w:id="601"/>
      <w:bookmarkEnd w:id="602"/>
    </w:p>
    <w:p w14:paraId="73783D33">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投标人按照本用户需求第三节“详细技术要求”的规定，以及招标文件对投标文件编制的要求递交尽可能详细的技术资料（含电子文件），内容包括但不限于：</w:t>
      </w:r>
    </w:p>
    <w:p w14:paraId="6CD32CF0">
      <w:pPr>
        <w:numPr>
          <w:ilvl w:val="0"/>
          <w:numId w:val="33"/>
        </w:numPr>
        <w:snapToGrid w:val="0"/>
        <w:spacing w:line="360" w:lineRule="auto"/>
        <w:ind w:firstLine="315" w:firstLineChars="15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投标人在投标文件中必须提供供货设备的设备说明书、必要的设备图纸等技术资料。这些资料应能表述设备的关键参数和性能</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包括设备部件的材质、质量标准、设备产地、制造商</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，例如（包括但不限于此）：</w:t>
      </w:r>
    </w:p>
    <w:p w14:paraId="3006E85E">
      <w:pPr>
        <w:snapToGrid w:val="0"/>
        <w:spacing w:line="360" w:lineRule="auto"/>
        <w:ind w:firstLine="315" w:firstLineChars="15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机械类：性能曲线、效率曲线、性能参数、结构图、主要部件材质表、电气自控配套图纸等及说明（包括电机功率、轴功率等）。</w:t>
      </w:r>
    </w:p>
    <w:p w14:paraId="68E87249">
      <w:pPr>
        <w:snapToGrid w:val="0"/>
        <w:spacing w:line="360" w:lineRule="auto"/>
        <w:ind w:firstLine="315" w:firstLineChars="15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电机类：主要性能参数、电机接线及结构简图等。</w:t>
      </w:r>
    </w:p>
    <w:p w14:paraId="1070354C">
      <w:pPr>
        <w:snapToGrid w:val="0"/>
        <w:spacing w:line="360" w:lineRule="auto"/>
        <w:ind w:firstLine="315" w:firstLineChars="15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电气控制类：主要性能参数、平均无故障时间，系统图、硬件构成图、软件功能说明、原理图、电气设备图纸等。</w:t>
      </w:r>
    </w:p>
    <w:p w14:paraId="17CF2818">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上述文件必须包括电子文档备份，投标人投标时按投标文件组成的要求提供电子文件外，中标后还须将上述文件电子文档（和设计阶段的资料一起）提供给</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1"/>
          <w:highlight w:val="none"/>
        </w:rPr>
        <w:t>（中标后提交的电子文档以U盘作为存储介质交付）。</w:t>
      </w:r>
    </w:p>
    <w:p w14:paraId="02AB1935">
      <w:pPr>
        <w:keepNext/>
        <w:keepLines/>
        <w:numPr>
          <w:ilvl w:val="0"/>
          <w:numId w:val="32"/>
        </w:numPr>
        <w:adjustRightInd w:val="0"/>
        <w:snapToGrid w:val="0"/>
        <w:spacing w:line="360" w:lineRule="auto"/>
        <w:ind w:firstLine="426"/>
        <w:outlineLvl w:val="2"/>
        <w:rPr>
          <w:rFonts w:ascii="Times New Roman" w:hAnsi="Times New Roman" w:eastAsia="宋体" w:cs="Times New Roman"/>
          <w:bCs/>
          <w:color w:val="auto"/>
          <w:szCs w:val="21"/>
          <w:highlight w:val="none"/>
        </w:rPr>
      </w:pPr>
      <w:bookmarkStart w:id="603" w:name="_Toc18269"/>
      <w:bookmarkStart w:id="604" w:name="_Toc195714335"/>
      <w:r>
        <w:rPr>
          <w:rFonts w:ascii="Times New Roman" w:hAnsi="Times New Roman" w:eastAsia="宋体" w:cs="Times New Roman"/>
          <w:b/>
          <w:bCs/>
          <w:color w:val="auto"/>
          <w:szCs w:val="21"/>
          <w:highlight w:val="none"/>
        </w:rPr>
        <w:t>设计阶段</w:t>
      </w:r>
      <w:bookmarkEnd w:id="603"/>
      <w:bookmarkEnd w:id="604"/>
    </w:p>
    <w:p w14:paraId="6396E9DB">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（1）中标人应在收到中标通知后5个工作日内向</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1"/>
          <w:highlight w:val="none"/>
        </w:rPr>
        <w:t>提供</w:t>
      </w:r>
      <w:r>
        <w:rPr>
          <w:rFonts w:hint="eastAsia" w:ascii="Times New Roman" w:hAnsi="Times New Roman" w:eastAsia="宋体" w:cs="Times New Roman"/>
          <w:color w:val="auto"/>
          <w:szCs w:val="21"/>
          <w:highlight w:val="none"/>
        </w:rPr>
        <w:t>2</w:t>
      </w:r>
      <w:r>
        <w:rPr>
          <w:rFonts w:ascii="Times New Roman" w:hAnsi="Times New Roman" w:eastAsia="宋体" w:cs="Times New Roman"/>
          <w:color w:val="auto"/>
          <w:szCs w:val="21"/>
          <w:highlight w:val="none"/>
        </w:rPr>
        <w:t>份完整的所有供货设备的必要技术资料（含纸质和电子文件</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电子文档以U盘作为存储介质交付）。</w:t>
      </w:r>
    </w:p>
    <w:p w14:paraId="1640486D">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如果中标人不能一次按时提供全部资料，在征得</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1"/>
          <w:highlight w:val="none"/>
        </w:rPr>
        <w:t>书面同意后可以在两周内提交全部资料。</w:t>
      </w:r>
    </w:p>
    <w:p w14:paraId="1C7AA0C5">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中标人应在收到中标通知后</w:t>
      </w:r>
      <w:r>
        <w:rPr>
          <w:rFonts w:hint="eastAsia" w:ascii="Times New Roman" w:hAnsi="Times New Roman" w:eastAsia="宋体" w:cs="Times New Roman"/>
          <w:color w:val="auto"/>
          <w:szCs w:val="21"/>
          <w:highlight w:val="none"/>
        </w:rPr>
        <w:t>30</w:t>
      </w:r>
      <w:r>
        <w:rPr>
          <w:rFonts w:ascii="Times New Roman" w:hAnsi="Times New Roman" w:eastAsia="宋体" w:cs="Times New Roman"/>
          <w:color w:val="auto"/>
          <w:szCs w:val="21"/>
          <w:highlight w:val="none"/>
        </w:rPr>
        <w:t>个工作日内向</w:t>
      </w:r>
      <w:r>
        <w:rPr>
          <w:rFonts w:hint="eastAsia" w:ascii="Times New Roman" w:hAnsi="Times New Roman" w:eastAsia="宋体" w:cs="Times New Roman"/>
          <w:color w:val="auto"/>
          <w:szCs w:val="21"/>
          <w:highlight w:val="none"/>
        </w:rPr>
        <w:t>招标人</w:t>
      </w:r>
      <w:r>
        <w:rPr>
          <w:rFonts w:ascii="Times New Roman" w:hAnsi="Times New Roman" w:eastAsia="宋体" w:cs="Times New Roman"/>
          <w:color w:val="auto"/>
          <w:szCs w:val="21"/>
          <w:highlight w:val="none"/>
        </w:rPr>
        <w:t>提供详细施工图设计（含纸质和电子文件</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电子文档以U盘作为存储介质交付）。中标人必须保证</w:t>
      </w:r>
      <w:r>
        <w:rPr>
          <w:rFonts w:hint="eastAsia" w:ascii="Times New Roman" w:hAnsi="Times New Roman" w:eastAsia="宋体" w:cs="Times New Roman"/>
          <w:color w:val="auto"/>
          <w:szCs w:val="21"/>
          <w:highlight w:val="none"/>
        </w:rPr>
        <w:t>设计</w:t>
      </w:r>
      <w:r>
        <w:rPr>
          <w:rFonts w:ascii="Times New Roman" w:hAnsi="Times New Roman" w:eastAsia="宋体" w:cs="Times New Roman"/>
          <w:color w:val="auto"/>
          <w:szCs w:val="21"/>
          <w:highlight w:val="none"/>
        </w:rPr>
        <w:t>资料符合工程安装需求。如因中标人提供的</w:t>
      </w:r>
      <w:r>
        <w:rPr>
          <w:rFonts w:hint="eastAsia" w:ascii="Times New Roman" w:hAnsi="Times New Roman" w:eastAsia="宋体" w:cs="Times New Roman"/>
          <w:color w:val="auto"/>
          <w:szCs w:val="21"/>
          <w:highlight w:val="none"/>
        </w:rPr>
        <w:t>设计</w:t>
      </w:r>
      <w:r>
        <w:rPr>
          <w:rFonts w:ascii="Times New Roman" w:hAnsi="Times New Roman" w:eastAsia="宋体" w:cs="Times New Roman"/>
          <w:color w:val="auto"/>
          <w:szCs w:val="21"/>
          <w:highlight w:val="none"/>
        </w:rPr>
        <w:t>资料错误导致设备无法安装的，由此造成的一切损失由中标人承担</w:t>
      </w:r>
      <w:r>
        <w:rPr>
          <w:rFonts w:hint="eastAsia" w:ascii="Times New Roman" w:hAnsi="Times New Roman" w:eastAsia="宋体" w:cs="Times New Roman"/>
          <w:color w:val="auto"/>
          <w:szCs w:val="21"/>
          <w:highlight w:val="none"/>
        </w:rPr>
        <w:t>。</w:t>
      </w:r>
    </w:p>
    <w:p w14:paraId="397F9571">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（2）设计资料</w:t>
      </w:r>
    </w:p>
    <w:p w14:paraId="0DE71EAD">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中标人应负责提供与供货设备相关的及供货界线内的所有必要资料，</w:t>
      </w:r>
      <w:r>
        <w:rPr>
          <w:rFonts w:hint="eastAsia" w:ascii="Times New Roman" w:hAnsi="Times New Roman" w:eastAsia="宋体" w:cs="Times New Roman"/>
          <w:color w:val="auto"/>
          <w:szCs w:val="21"/>
          <w:highlight w:val="none"/>
        </w:rPr>
        <w:t>并</w:t>
      </w:r>
      <w:r>
        <w:rPr>
          <w:rFonts w:ascii="Times New Roman" w:hAnsi="Times New Roman" w:eastAsia="宋体" w:cs="Times New Roman"/>
          <w:color w:val="auto"/>
          <w:szCs w:val="21"/>
          <w:highlight w:val="none"/>
        </w:rPr>
        <w:t>完成详细设计。包括</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但不限于此</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w:t>
      </w:r>
    </w:p>
    <w:p w14:paraId="4ECA88C1">
      <w:pPr>
        <w:numPr>
          <w:ilvl w:val="0"/>
          <w:numId w:val="34"/>
        </w:numPr>
        <w:adjustRightInd w:val="0"/>
        <w:snapToGrid w:val="0"/>
        <w:spacing w:line="360" w:lineRule="auto"/>
        <w:ind w:firstLine="371" w:firstLineChars="177"/>
        <w:rPr>
          <w:rFonts w:ascii="Times New Roman" w:hAnsi="Times New Roman" w:eastAsia="宋体" w:cs="Times New Roman"/>
          <w:color w:val="auto"/>
          <w:szCs w:val="24"/>
          <w:highlight w:val="none"/>
        </w:rPr>
      </w:pPr>
      <w:r>
        <w:rPr>
          <w:rFonts w:ascii="Times New Roman" w:hAnsi="Times New Roman" w:eastAsia="宋体" w:cs="Times New Roman"/>
          <w:color w:val="auto"/>
          <w:szCs w:val="21"/>
          <w:highlight w:val="none"/>
        </w:rPr>
        <w:t>中标人供货范围内的设备图纸及设备说明书。</w:t>
      </w:r>
    </w:p>
    <w:p w14:paraId="1C8EBDFB">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电控柜</w:t>
      </w:r>
      <w:r>
        <w:rPr>
          <w:rFonts w:hint="eastAsia" w:ascii="Times New Roman" w:hAnsi="Times New Roman" w:eastAsia="宋体" w:cs="Times New Roman"/>
          <w:color w:val="auto"/>
          <w:szCs w:val="21"/>
          <w:highlight w:val="none"/>
        </w:rPr>
        <w:t>、机柜</w:t>
      </w:r>
      <w:r>
        <w:rPr>
          <w:rFonts w:ascii="Times New Roman" w:hAnsi="Times New Roman" w:eastAsia="宋体" w:cs="Times New Roman"/>
          <w:color w:val="auto"/>
          <w:szCs w:val="21"/>
          <w:highlight w:val="none"/>
        </w:rPr>
        <w:t>（箱）的外形尺寸、安装方式。</w:t>
      </w:r>
    </w:p>
    <w:p w14:paraId="702A3838">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电控柜</w:t>
      </w:r>
      <w:r>
        <w:rPr>
          <w:rFonts w:hint="eastAsia" w:ascii="Times New Roman" w:hAnsi="Times New Roman" w:eastAsia="宋体" w:cs="Times New Roman"/>
          <w:color w:val="auto"/>
          <w:szCs w:val="21"/>
          <w:highlight w:val="none"/>
        </w:rPr>
        <w:t>、机柜</w:t>
      </w:r>
      <w:r>
        <w:rPr>
          <w:rFonts w:ascii="Times New Roman" w:hAnsi="Times New Roman" w:eastAsia="宋体" w:cs="Times New Roman"/>
          <w:color w:val="auto"/>
          <w:szCs w:val="21"/>
          <w:highlight w:val="none"/>
        </w:rPr>
        <w:t>（箱）的控制原理图、端子图。</w:t>
      </w:r>
    </w:p>
    <w:p w14:paraId="5EEC47F3">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1"/>
          <w:highlight w:val="none"/>
        </w:rPr>
        <w:t>配套电缆</w:t>
      </w:r>
      <w:r>
        <w:rPr>
          <w:rFonts w:hint="eastAsia" w:ascii="Times New Roman" w:hAnsi="Times New Roman" w:eastAsia="宋体" w:cs="Times New Roman"/>
          <w:color w:val="auto"/>
          <w:szCs w:val="21"/>
          <w:highlight w:val="none"/>
        </w:rPr>
        <w:t>、光缆</w:t>
      </w:r>
      <w:r>
        <w:rPr>
          <w:rFonts w:ascii="Times New Roman" w:hAnsi="Times New Roman" w:eastAsia="宋体" w:cs="Times New Roman"/>
          <w:color w:val="auto"/>
          <w:szCs w:val="21"/>
          <w:highlight w:val="none"/>
        </w:rPr>
        <w:t>的型号、规格、长度。</w:t>
      </w:r>
    </w:p>
    <w:p w14:paraId="1ECEAC70">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B、在设备安装时对土建构筑物的专门要求及图纸。包括基础、承载力、设备重量、材料种类和加工等。</w:t>
      </w:r>
    </w:p>
    <w:p w14:paraId="4643F8EC">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C、交货界区内详细的设备的工作图及安装图。</w:t>
      </w:r>
    </w:p>
    <w:p w14:paraId="6916C7E0">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D、第三节详细技术要求中所要求提供的技术资料。</w:t>
      </w:r>
    </w:p>
    <w:p w14:paraId="33DFD0C0">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E、交货界区内用电设备清单，指明穿过交货界区的电缆连接件和电缆一览表、端子图。</w:t>
      </w:r>
    </w:p>
    <w:p w14:paraId="30D3E13D">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F、交货界区内控制系统软件和电缆表、端子图。</w:t>
      </w:r>
    </w:p>
    <w:p w14:paraId="6CE8251B">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G、机械设备配套电气设备及控制箱（柜）图纸，包括</w:t>
      </w:r>
    </w:p>
    <w:p w14:paraId="001BD8BD">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电缆</w:t>
      </w:r>
      <w:r>
        <w:rPr>
          <w:rFonts w:hint="eastAsia" w:ascii="Times New Roman" w:hAnsi="Times New Roman" w:eastAsia="宋体" w:cs="Times New Roman"/>
          <w:color w:val="auto"/>
          <w:szCs w:val="21"/>
          <w:highlight w:val="none"/>
        </w:rPr>
        <w:t>、光缆</w:t>
      </w:r>
      <w:r>
        <w:rPr>
          <w:rFonts w:ascii="Times New Roman" w:hAnsi="Times New Roman" w:eastAsia="宋体" w:cs="Times New Roman"/>
          <w:color w:val="auto"/>
          <w:szCs w:val="21"/>
          <w:highlight w:val="none"/>
        </w:rPr>
        <w:t>清单—须标明电缆</w:t>
      </w:r>
      <w:r>
        <w:rPr>
          <w:rFonts w:hint="eastAsia" w:ascii="Times New Roman" w:hAnsi="Times New Roman" w:eastAsia="宋体" w:cs="Times New Roman"/>
          <w:color w:val="auto"/>
          <w:szCs w:val="21"/>
          <w:highlight w:val="none"/>
        </w:rPr>
        <w:t>、光缆</w:t>
      </w:r>
      <w:r>
        <w:rPr>
          <w:rFonts w:ascii="Times New Roman" w:hAnsi="Times New Roman" w:eastAsia="宋体" w:cs="Times New Roman"/>
          <w:color w:val="auto"/>
          <w:szCs w:val="21"/>
          <w:highlight w:val="none"/>
        </w:rPr>
        <w:t>名称、芯数、截面、载流量、功能、起终点及工程量。</w:t>
      </w:r>
    </w:p>
    <w:p w14:paraId="6CC523DB">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总布置图—设备的总体布置图，详图和一览表等。</w:t>
      </w:r>
    </w:p>
    <w:p w14:paraId="664F7767">
      <w:pPr>
        <w:keepNext/>
        <w:keepLines/>
        <w:numPr>
          <w:ilvl w:val="0"/>
          <w:numId w:val="32"/>
        </w:numPr>
        <w:adjustRightInd w:val="0"/>
        <w:snapToGrid w:val="0"/>
        <w:spacing w:line="360" w:lineRule="auto"/>
        <w:ind w:firstLine="426"/>
        <w:outlineLvl w:val="2"/>
        <w:rPr>
          <w:rFonts w:ascii="Times New Roman" w:hAnsi="Times New Roman" w:eastAsia="宋体" w:cs="Times New Roman"/>
          <w:b/>
          <w:bCs/>
          <w:color w:val="auto"/>
          <w:szCs w:val="18"/>
          <w:highlight w:val="none"/>
        </w:rPr>
      </w:pPr>
      <w:bookmarkStart w:id="605" w:name="_Toc22287"/>
      <w:bookmarkStart w:id="606" w:name="_Toc195714336"/>
      <w:r>
        <w:rPr>
          <w:rFonts w:ascii="Times New Roman" w:hAnsi="Times New Roman" w:eastAsia="宋体" w:cs="Times New Roman"/>
          <w:b/>
          <w:bCs/>
          <w:color w:val="auto"/>
          <w:szCs w:val="18"/>
          <w:highlight w:val="none"/>
        </w:rPr>
        <w:t>交货阶段</w:t>
      </w:r>
      <w:bookmarkEnd w:id="605"/>
      <w:bookmarkEnd w:id="606"/>
    </w:p>
    <w:p w14:paraId="73D596A9">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（1）设备安装运行维护手册</w:t>
      </w:r>
    </w:p>
    <w:p w14:paraId="0E4C3F95">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中标人在设备交货的同时应提供全套由制造厂签字的技术文件及所有设备的安装操作、维修手册。这些设备包括工艺设备、</w:t>
      </w:r>
      <w:r>
        <w:rPr>
          <w:rFonts w:hint="eastAsia" w:ascii="Times New Roman" w:hAnsi="Times New Roman" w:eastAsia="宋体" w:cs="Times New Roman"/>
          <w:color w:val="auto"/>
          <w:szCs w:val="21"/>
          <w:highlight w:val="none"/>
        </w:rPr>
        <w:t>电气设备</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rPr>
        <w:t>网络设备、计算硬件、</w:t>
      </w:r>
      <w:r>
        <w:rPr>
          <w:rFonts w:ascii="Times New Roman" w:hAnsi="Times New Roman" w:eastAsia="宋体" w:cs="Times New Roman"/>
          <w:color w:val="auto"/>
          <w:szCs w:val="21"/>
          <w:highlight w:val="none"/>
        </w:rPr>
        <w:t>中心控制及其它控制装置等全部供货设备。</w:t>
      </w:r>
    </w:p>
    <w:p w14:paraId="4F0BF99B">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所有设备必须提供满足现场装配的设备装配图。</w:t>
      </w:r>
    </w:p>
    <w:p w14:paraId="3C133531">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（2）安装调试资料</w:t>
      </w:r>
    </w:p>
    <w:p w14:paraId="6D47E4BA">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A、调试大纲，应包括但不限于以下内容：调试阶段详细的进度计划；调试阶段划分，阶段目标、程序、测试方法；调试班子的人员、设备、仪器的配备；对调试中可能出现的故障的预防及排除措施；安全措施。</w:t>
      </w:r>
    </w:p>
    <w:p w14:paraId="34299B62">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rPr>
        <w:t>系统功能测试评定表。</w:t>
      </w:r>
    </w:p>
    <w:p w14:paraId="39A06A2F">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C</w:t>
      </w:r>
      <w:r>
        <w:rPr>
          <w:rFonts w:ascii="Times New Roman" w:hAnsi="Times New Roman" w:eastAsia="宋体" w:cs="Times New Roman"/>
          <w:color w:val="auto"/>
          <w:szCs w:val="21"/>
          <w:highlight w:val="none"/>
        </w:rPr>
        <w:t>、联合试运转评定表。</w:t>
      </w:r>
    </w:p>
    <w:p w14:paraId="551E5376">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D</w:t>
      </w:r>
      <w:r>
        <w:rPr>
          <w:rFonts w:ascii="Times New Roman" w:hAnsi="Times New Roman" w:eastAsia="宋体" w:cs="Times New Roman"/>
          <w:color w:val="auto"/>
          <w:szCs w:val="21"/>
          <w:highlight w:val="none"/>
        </w:rPr>
        <w:t>、质量和安全事故处理报告。</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有则提供</w:t>
      </w:r>
      <w:r>
        <w:rPr>
          <w:rFonts w:hint="eastAsia" w:ascii="Times New Roman" w:hAnsi="Times New Roman" w:eastAsia="宋体" w:cs="Times New Roman"/>
          <w:color w:val="auto"/>
          <w:szCs w:val="21"/>
          <w:highlight w:val="none"/>
        </w:rPr>
        <w:t>）</w:t>
      </w:r>
    </w:p>
    <w:p w14:paraId="3165F79D">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（3）运行保养维修手册内容要求</w:t>
      </w:r>
    </w:p>
    <w:p w14:paraId="1D0C790D">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A.运行手册</w:t>
      </w:r>
    </w:p>
    <w:p w14:paraId="17CD3816">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污水处理厂操作管理人员所用的运行手册，应当包括下列各项内容，但不限于这些内容：操作步骤；在运行中应采取的安全操作须知；基本保养常识；可能引起事故的原因及解除方法；其它要求。</w:t>
      </w:r>
    </w:p>
    <w:p w14:paraId="5AF51346">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B.保养手册</w:t>
      </w:r>
    </w:p>
    <w:p w14:paraId="632661E4">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①</w:t>
      </w:r>
      <w:r>
        <w:rPr>
          <w:rFonts w:hint="eastAsia" w:ascii="Times New Roman" w:hAnsi="Times New Roman" w:eastAsia="宋体" w:cs="Times New Roman"/>
          <w:color w:val="auto"/>
          <w:szCs w:val="21"/>
          <w:highlight w:val="none"/>
        </w:rPr>
        <w:t xml:space="preserve"> </w:t>
      </w:r>
      <w:r>
        <w:rPr>
          <w:rFonts w:ascii="Times New Roman" w:hAnsi="Times New Roman" w:eastAsia="宋体" w:cs="Times New Roman"/>
          <w:color w:val="auto"/>
          <w:szCs w:val="21"/>
          <w:highlight w:val="none"/>
        </w:rPr>
        <w:t>日常维修</w:t>
      </w:r>
      <w:r>
        <w:rPr>
          <w:rFonts w:hint="eastAsia" w:ascii="Times New Roman" w:hAnsi="Times New Roman" w:eastAsia="宋体" w:cs="Times New Roman"/>
          <w:color w:val="auto"/>
          <w:szCs w:val="21"/>
          <w:highlight w:val="none"/>
        </w:rPr>
        <w:t>、维护</w:t>
      </w:r>
      <w:r>
        <w:rPr>
          <w:rFonts w:ascii="Times New Roman" w:hAnsi="Times New Roman" w:eastAsia="宋体" w:cs="Times New Roman"/>
          <w:color w:val="auto"/>
          <w:szCs w:val="21"/>
          <w:highlight w:val="none"/>
        </w:rPr>
        <w:t>、试验和更换部件的手续、步骤和时间。</w:t>
      </w:r>
    </w:p>
    <w:p w14:paraId="02BD1831">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②</w:t>
      </w:r>
      <w:r>
        <w:rPr>
          <w:rFonts w:hint="eastAsia" w:ascii="Times New Roman" w:hAnsi="Times New Roman" w:eastAsia="宋体" w:cs="Times New Roman"/>
          <w:color w:val="auto"/>
          <w:szCs w:val="21"/>
          <w:highlight w:val="none"/>
        </w:rPr>
        <w:t xml:space="preserve"> </w:t>
      </w:r>
      <w:r>
        <w:rPr>
          <w:rFonts w:ascii="Times New Roman" w:hAnsi="Times New Roman" w:eastAsia="宋体" w:cs="Times New Roman"/>
          <w:color w:val="auto"/>
          <w:szCs w:val="21"/>
          <w:highlight w:val="none"/>
        </w:rPr>
        <w:t>图示容易出事故地方，并提出补救措施，以便操作人员可以迅速寻找出事故的原因和消灭这些误动作。</w:t>
      </w:r>
    </w:p>
    <w:p w14:paraId="13A363A8">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③</w:t>
      </w:r>
      <w:r>
        <w:rPr>
          <w:rFonts w:ascii="Times New Roman" w:hAnsi="Times New Roman" w:eastAsia="宋体" w:cs="Times New Roman"/>
          <w:color w:val="auto"/>
          <w:szCs w:val="21"/>
          <w:highlight w:val="none"/>
        </w:rPr>
        <w:t xml:space="preserve"> 一份备品备件清单，它应包括电气和机械设备上应该有的全部备品备件，并说明订货方法方面的参考资料和备件名称。</w:t>
      </w:r>
    </w:p>
    <w:p w14:paraId="36C7940B">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④</w:t>
      </w:r>
      <w:r>
        <w:rPr>
          <w:rFonts w:ascii="Times New Roman" w:hAnsi="Times New Roman" w:eastAsia="宋体" w:cs="Times New Roman"/>
          <w:color w:val="auto"/>
          <w:szCs w:val="21"/>
          <w:highlight w:val="none"/>
        </w:rPr>
        <w:t xml:space="preserve"> 提供一份完整的制造商和供货商的名称表，它应包括有地址、电话号码、传真号码、邮政编码以及在中国的代理商。</w:t>
      </w:r>
    </w:p>
    <w:p w14:paraId="0FF9A341">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⑤</w:t>
      </w:r>
      <w:r>
        <w:rPr>
          <w:rFonts w:ascii="Times New Roman" w:hAnsi="Times New Roman" w:eastAsia="宋体" w:cs="Times New Roman"/>
          <w:color w:val="auto"/>
          <w:szCs w:val="21"/>
          <w:highlight w:val="none"/>
        </w:rPr>
        <w:t>提供一份完整的制造商提供的设备操作维修的指导事项表，按制造商名字序列排列，并用设备件号、型号、图号和文字相配</w:t>
      </w:r>
    </w:p>
    <w:p w14:paraId="2CFC54F0">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（4）完整的装箱单、产品合格证、质保保证书、维修手册及服务卡。</w:t>
      </w:r>
    </w:p>
    <w:p w14:paraId="471D0BA2">
      <w:pPr>
        <w:adjustRightInd w:val="0"/>
        <w:snapToGrid w:val="0"/>
        <w:spacing w:line="360" w:lineRule="auto"/>
        <w:ind w:firstLine="371" w:firstLineChars="177"/>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（5）中标人应提供设备性能、测试性能、测试报告和其它重要资料。</w:t>
      </w:r>
    </w:p>
    <w:p w14:paraId="65B9D1AE">
      <w:pPr>
        <w:keepNext/>
        <w:keepLines/>
        <w:numPr>
          <w:ilvl w:val="0"/>
          <w:numId w:val="32"/>
        </w:numPr>
        <w:adjustRightInd w:val="0"/>
        <w:snapToGrid w:val="0"/>
        <w:spacing w:line="360" w:lineRule="auto"/>
        <w:ind w:firstLine="426"/>
        <w:outlineLvl w:val="2"/>
        <w:rPr>
          <w:rFonts w:ascii="Times New Roman" w:hAnsi="Times New Roman" w:eastAsia="宋体" w:cs="Times New Roman"/>
          <w:bCs/>
          <w:color w:val="auto"/>
          <w:szCs w:val="21"/>
          <w:highlight w:val="none"/>
        </w:rPr>
      </w:pPr>
      <w:bookmarkStart w:id="607" w:name="_Toc195714337"/>
      <w:bookmarkStart w:id="608" w:name="_Toc30166"/>
      <w:r>
        <w:rPr>
          <w:rFonts w:ascii="Times New Roman" w:hAnsi="Times New Roman" w:eastAsia="宋体" w:cs="Times New Roman"/>
          <w:b/>
          <w:bCs/>
          <w:color w:val="auto"/>
          <w:szCs w:val="21"/>
          <w:highlight w:val="none"/>
        </w:rPr>
        <w:t>验收阶段</w:t>
      </w:r>
      <w:bookmarkEnd w:id="607"/>
      <w:bookmarkEnd w:id="608"/>
    </w:p>
    <w:p w14:paraId="659E14F7">
      <w:pPr>
        <w:adjustRightInd w:val="0"/>
        <w:snapToGrid w:val="0"/>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中标人在完成</w:t>
      </w:r>
      <w:r>
        <w:rPr>
          <w:rFonts w:hint="eastAsia" w:ascii="Times New Roman" w:hAnsi="Times New Roman" w:eastAsia="宋体" w:cs="Times New Roman"/>
          <w:color w:val="auto"/>
          <w:szCs w:val="21"/>
          <w:highlight w:val="none"/>
        </w:rPr>
        <w:t>最终</w:t>
      </w:r>
      <w:r>
        <w:rPr>
          <w:rFonts w:ascii="Times New Roman" w:hAnsi="Times New Roman" w:eastAsia="宋体" w:cs="Times New Roman"/>
          <w:color w:val="auto"/>
          <w:szCs w:val="21"/>
          <w:highlight w:val="none"/>
        </w:rPr>
        <w:t>验收合格后</w:t>
      </w:r>
      <w:r>
        <w:rPr>
          <w:rFonts w:hint="eastAsia" w:ascii="Times New Roman" w:hAnsi="Times New Roman" w:eastAsia="宋体" w:cs="Times New Roman"/>
          <w:color w:val="auto"/>
          <w:szCs w:val="21"/>
          <w:highlight w:val="none"/>
        </w:rPr>
        <w:t>30日</w:t>
      </w:r>
      <w:r>
        <w:rPr>
          <w:rFonts w:ascii="Times New Roman" w:hAnsi="Times New Roman" w:eastAsia="宋体" w:cs="Times New Roman"/>
          <w:color w:val="auto"/>
          <w:szCs w:val="21"/>
          <w:highlight w:val="none"/>
        </w:rPr>
        <w:t>内，向招标人（或监理单位）</w:t>
      </w:r>
      <w:r>
        <w:rPr>
          <w:rFonts w:hint="eastAsia" w:ascii="Times New Roman" w:hAnsi="Times New Roman" w:eastAsia="宋体" w:cs="Times New Roman"/>
          <w:color w:val="auto"/>
          <w:szCs w:val="21"/>
          <w:highlight w:val="none"/>
        </w:rPr>
        <w:t>分别</w:t>
      </w:r>
      <w:r>
        <w:rPr>
          <w:rFonts w:ascii="Times New Roman" w:hAnsi="Times New Roman" w:eastAsia="宋体" w:cs="Times New Roman"/>
          <w:color w:val="auto"/>
          <w:szCs w:val="21"/>
          <w:highlight w:val="none"/>
        </w:rPr>
        <w:t xml:space="preserve">移交四套符合现行工程验收规范的竣工资料和一套电子档扫描件（以光盘或U盘作为存储介质交付）。 </w:t>
      </w:r>
    </w:p>
    <w:p w14:paraId="249789B5">
      <w:pPr>
        <w:spacing w:line="360" w:lineRule="auto"/>
        <w:rPr>
          <w:rFonts w:ascii="Times New Roman" w:hAnsi="Times New Roman" w:eastAsia="宋体" w:cs="Times New Roman"/>
          <w:color w:val="auto"/>
          <w:szCs w:val="24"/>
          <w:highlight w:val="none"/>
        </w:rPr>
      </w:pPr>
    </w:p>
    <w:p w14:paraId="4F0CF9C1">
      <w:pPr>
        <w:spacing w:line="360" w:lineRule="auto"/>
        <w:rPr>
          <w:rFonts w:ascii="宋体" w:hAnsi="宋体" w:eastAsia="宋体" w:cs="Times New Roman"/>
          <w:b/>
          <w:color w:val="auto"/>
          <w:szCs w:val="21"/>
          <w:highlight w:val="none"/>
          <w:lang w:val="zh-CN"/>
        </w:rPr>
      </w:pPr>
    </w:p>
    <w:p w14:paraId="7C0BEED9">
      <w:pPr>
        <w:spacing w:line="360" w:lineRule="auto"/>
        <w:rPr>
          <w:rFonts w:ascii="宋体" w:hAnsi="宋体" w:eastAsia="宋体" w:cs="Times New Roman"/>
          <w:color w:val="auto"/>
          <w:szCs w:val="21"/>
          <w:highlight w:val="none"/>
        </w:rPr>
      </w:pPr>
    </w:p>
    <w:p w14:paraId="0CE990E5">
      <w:pPr>
        <w:rPr>
          <w:rFonts w:ascii="宋体" w:hAnsi="宋体" w:eastAsia="宋体" w:cs="Times New Roman"/>
          <w:b/>
          <w:color w:val="auto"/>
          <w:szCs w:val="21"/>
          <w:highlight w:val="none"/>
        </w:rPr>
      </w:pPr>
    </w:p>
    <w:p w14:paraId="31C009DF">
      <w:pPr>
        <w:pageBreakBefore/>
        <w:tabs>
          <w:tab w:val="left" w:pos="1080"/>
        </w:tabs>
        <w:autoSpaceDE w:val="0"/>
        <w:autoSpaceDN w:val="0"/>
        <w:adjustRightInd w:val="0"/>
        <w:spacing w:line="360" w:lineRule="auto"/>
        <w:ind w:left="357" w:leftChars="-100" w:hanging="567"/>
        <w:jc w:val="center"/>
        <w:outlineLvl w:val="0"/>
        <w:rPr>
          <w:rFonts w:ascii="宋体" w:hAnsi="宋体" w:eastAsia="宋体" w:cs="宋体"/>
          <w:b/>
          <w:bCs/>
          <w:color w:val="auto"/>
          <w:kern w:val="44"/>
          <w:sz w:val="32"/>
          <w:szCs w:val="32"/>
          <w:highlight w:val="none"/>
          <w:lang w:val="zh-CN"/>
        </w:rPr>
      </w:pPr>
      <w:bookmarkStart w:id="609" w:name="_Toc20401"/>
      <w:bookmarkStart w:id="610" w:name="_Toc486167707"/>
      <w:bookmarkStart w:id="611" w:name="_Toc19547"/>
      <w:bookmarkStart w:id="612" w:name="_Toc11281_WPSOffice_Level1"/>
      <w:bookmarkStart w:id="613" w:name="_Toc450662892"/>
      <w:bookmarkStart w:id="614" w:name="_Toc195714338"/>
      <w:bookmarkStart w:id="615" w:name="_Toc142508359"/>
      <w:bookmarkStart w:id="616" w:name="_Toc25251"/>
      <w:bookmarkStart w:id="617" w:name="_Toc134469727"/>
      <w:r>
        <w:rPr>
          <w:rFonts w:hint="eastAsia" w:ascii="宋体" w:hAnsi="宋体" w:eastAsia="宋体" w:cs="宋体"/>
          <w:b/>
          <w:bCs/>
          <w:color w:val="auto"/>
          <w:kern w:val="44"/>
          <w:sz w:val="32"/>
          <w:szCs w:val="32"/>
          <w:highlight w:val="none"/>
          <w:lang w:val="zh-CN"/>
        </w:rPr>
        <w:t>第四篇</w:t>
      </w:r>
      <w:r>
        <w:rPr>
          <w:rFonts w:ascii="宋体" w:hAnsi="宋体" w:eastAsia="宋体" w:cs="宋体"/>
          <w:b/>
          <w:bCs/>
          <w:color w:val="auto"/>
          <w:kern w:val="44"/>
          <w:sz w:val="32"/>
          <w:szCs w:val="32"/>
          <w:highlight w:val="none"/>
          <w:lang w:val="zh-CN"/>
        </w:rPr>
        <w:t xml:space="preserve"> </w:t>
      </w:r>
      <w:r>
        <w:rPr>
          <w:rFonts w:hint="eastAsia" w:ascii="宋体" w:hAnsi="宋体" w:eastAsia="宋体" w:cs="宋体"/>
          <w:b/>
          <w:bCs/>
          <w:color w:val="auto"/>
          <w:kern w:val="44"/>
          <w:sz w:val="32"/>
          <w:szCs w:val="32"/>
          <w:highlight w:val="none"/>
          <w:lang w:val="zh-CN"/>
        </w:rPr>
        <w:t>合同条款格式</w:t>
      </w:r>
      <w:bookmarkEnd w:id="609"/>
      <w:bookmarkEnd w:id="610"/>
      <w:bookmarkEnd w:id="611"/>
      <w:bookmarkEnd w:id="612"/>
      <w:bookmarkEnd w:id="613"/>
      <w:bookmarkEnd w:id="614"/>
      <w:bookmarkEnd w:id="615"/>
      <w:bookmarkEnd w:id="616"/>
    </w:p>
    <w:p w14:paraId="0D1645CE">
      <w:pPr>
        <w:autoSpaceDE w:val="0"/>
        <w:autoSpaceDN w:val="0"/>
        <w:adjustRightInd w:val="0"/>
        <w:snapToGrid w:val="0"/>
        <w:spacing w:line="360" w:lineRule="auto"/>
        <w:jc w:val="center"/>
        <w:rPr>
          <w:rFonts w:ascii="宋体" w:hAnsi="宋体" w:eastAsia="宋体" w:cs="Times New Roman"/>
          <w:color w:val="auto"/>
          <w:kern w:val="0"/>
          <w:sz w:val="24"/>
          <w:szCs w:val="24"/>
          <w:highlight w:val="none"/>
        </w:rPr>
      </w:pPr>
    </w:p>
    <w:p w14:paraId="4ECE9B06">
      <w:pPr>
        <w:autoSpaceDE w:val="0"/>
        <w:autoSpaceDN w:val="0"/>
        <w:adjustRightInd w:val="0"/>
        <w:snapToGrid w:val="0"/>
        <w:spacing w:line="360" w:lineRule="auto"/>
        <w:jc w:val="center"/>
        <w:rPr>
          <w:rFonts w:ascii="宋体" w:hAnsi="宋体" w:eastAsia="宋体" w:cs="Times New Roman"/>
          <w:color w:val="auto"/>
          <w:kern w:val="0"/>
          <w:sz w:val="24"/>
          <w:szCs w:val="24"/>
          <w:highlight w:val="none"/>
        </w:rPr>
      </w:pPr>
    </w:p>
    <w:p w14:paraId="33E25714">
      <w:pPr>
        <w:autoSpaceDE w:val="0"/>
        <w:autoSpaceDN w:val="0"/>
        <w:adjustRightInd w:val="0"/>
        <w:snapToGrid w:val="0"/>
        <w:spacing w:line="360" w:lineRule="auto"/>
        <w:jc w:val="center"/>
        <w:rPr>
          <w:rFonts w:ascii="宋体" w:hAnsi="宋体" w:eastAsia="宋体" w:cs="Times New Roman"/>
          <w:color w:val="auto"/>
          <w:kern w:val="0"/>
          <w:sz w:val="24"/>
          <w:szCs w:val="24"/>
          <w:highlight w:val="none"/>
        </w:rPr>
      </w:pPr>
    </w:p>
    <w:p w14:paraId="0D1D7AE1">
      <w:pPr>
        <w:autoSpaceDE w:val="0"/>
        <w:autoSpaceDN w:val="0"/>
        <w:adjustRightInd w:val="0"/>
        <w:spacing w:line="360" w:lineRule="auto"/>
        <w:jc w:val="center"/>
        <w:rPr>
          <w:rFonts w:ascii="宋体" w:hAnsi="宋体" w:eastAsia="宋体" w:cs="Times New Roman"/>
          <w:b/>
          <w:color w:val="auto"/>
          <w:kern w:val="0"/>
          <w:sz w:val="52"/>
          <w:szCs w:val="96"/>
          <w:highlight w:val="none"/>
        </w:rPr>
      </w:pPr>
      <w:r>
        <w:rPr>
          <w:rFonts w:hint="eastAsia" w:ascii="宋体" w:hAnsi="宋体" w:eastAsia="宋体" w:cs="Times New Roman"/>
          <w:b/>
          <w:color w:val="auto"/>
          <w:kern w:val="0"/>
          <w:sz w:val="52"/>
          <w:szCs w:val="96"/>
          <w:highlight w:val="none"/>
        </w:rPr>
        <w:t>东莞市石鼓净水有限公司污水处理厂及提标项目中控系统集约化升级改造项目</w:t>
      </w:r>
    </w:p>
    <w:p w14:paraId="5B478DCE">
      <w:pPr>
        <w:autoSpaceDE w:val="0"/>
        <w:autoSpaceDN w:val="0"/>
        <w:adjustRightInd w:val="0"/>
        <w:spacing w:line="360" w:lineRule="auto"/>
        <w:jc w:val="center"/>
        <w:rPr>
          <w:rFonts w:ascii="宋体" w:hAnsi="宋体" w:eastAsia="宋体" w:cs="Times New Roman"/>
          <w:bCs/>
          <w:color w:val="auto"/>
          <w:kern w:val="0"/>
          <w:sz w:val="52"/>
          <w:szCs w:val="52"/>
          <w:highlight w:val="none"/>
        </w:rPr>
      </w:pPr>
    </w:p>
    <w:p w14:paraId="03E10923">
      <w:pPr>
        <w:autoSpaceDE w:val="0"/>
        <w:autoSpaceDN w:val="0"/>
        <w:adjustRightInd w:val="0"/>
        <w:spacing w:before="840" w:beforeLines="350" w:after="360" w:afterLines="150" w:line="360" w:lineRule="auto"/>
        <w:jc w:val="center"/>
        <w:rPr>
          <w:rFonts w:ascii="宋体" w:hAnsi="宋体" w:eastAsia="宋体" w:cs="Times New Roman"/>
          <w:b/>
          <w:bCs/>
          <w:color w:val="auto"/>
          <w:spacing w:val="60"/>
          <w:kern w:val="0"/>
          <w:sz w:val="52"/>
          <w:szCs w:val="52"/>
          <w:highlight w:val="none"/>
        </w:rPr>
      </w:pPr>
      <w:r>
        <w:rPr>
          <w:rFonts w:hint="eastAsia" w:ascii="宋体" w:hAnsi="宋体" w:eastAsia="宋体" w:cs="Times New Roman"/>
          <w:b/>
          <w:bCs/>
          <w:color w:val="auto"/>
          <w:spacing w:val="60"/>
          <w:kern w:val="0"/>
          <w:sz w:val="52"/>
          <w:szCs w:val="52"/>
          <w:highlight w:val="none"/>
        </w:rPr>
        <w:t>采购合同</w:t>
      </w:r>
    </w:p>
    <w:p w14:paraId="28C3B8E0">
      <w:pPr>
        <w:autoSpaceDE w:val="0"/>
        <w:autoSpaceDN w:val="0"/>
        <w:adjustRightInd w:val="0"/>
        <w:spacing w:line="360" w:lineRule="auto"/>
        <w:jc w:val="center"/>
        <w:rPr>
          <w:rFonts w:ascii="宋体" w:hAnsi="宋体" w:eastAsia="宋体" w:cs="Times New Roman"/>
          <w:b/>
          <w:bCs/>
          <w:color w:val="auto"/>
          <w:kern w:val="0"/>
          <w:sz w:val="24"/>
          <w:szCs w:val="21"/>
          <w:highlight w:val="none"/>
        </w:rPr>
      </w:pPr>
      <w:r>
        <w:rPr>
          <w:rFonts w:hint="eastAsia" w:ascii="宋体" w:hAnsi="宋体" w:eastAsia="宋体" w:cs="Times New Roman"/>
          <w:b/>
          <w:bCs/>
          <w:color w:val="auto"/>
          <w:kern w:val="0"/>
          <w:sz w:val="24"/>
          <w:szCs w:val="21"/>
          <w:highlight w:val="none"/>
        </w:rPr>
        <w:t>（合同编号：       ）</w:t>
      </w:r>
    </w:p>
    <w:p w14:paraId="232F5BF8">
      <w:pPr>
        <w:autoSpaceDE w:val="0"/>
        <w:autoSpaceDN w:val="0"/>
        <w:adjustRightInd w:val="0"/>
        <w:spacing w:line="360" w:lineRule="auto"/>
        <w:jc w:val="left"/>
        <w:rPr>
          <w:rFonts w:ascii="宋体" w:hAnsi="宋体" w:eastAsia="宋体" w:cs="Times New Roman"/>
          <w:b/>
          <w:bCs/>
          <w:color w:val="auto"/>
          <w:kern w:val="0"/>
          <w:sz w:val="24"/>
          <w:szCs w:val="21"/>
          <w:highlight w:val="none"/>
        </w:rPr>
      </w:pPr>
    </w:p>
    <w:p w14:paraId="4476C725">
      <w:pPr>
        <w:autoSpaceDE w:val="0"/>
        <w:autoSpaceDN w:val="0"/>
        <w:adjustRightInd w:val="0"/>
        <w:spacing w:line="360" w:lineRule="auto"/>
        <w:jc w:val="left"/>
        <w:rPr>
          <w:rFonts w:ascii="宋体" w:hAnsi="宋体" w:eastAsia="宋体" w:cs="Times New Roman"/>
          <w:b/>
          <w:bCs/>
          <w:color w:val="auto"/>
          <w:kern w:val="0"/>
          <w:sz w:val="24"/>
          <w:szCs w:val="21"/>
          <w:highlight w:val="none"/>
        </w:rPr>
      </w:pPr>
    </w:p>
    <w:p w14:paraId="4F948E01">
      <w:pPr>
        <w:autoSpaceDE w:val="0"/>
        <w:autoSpaceDN w:val="0"/>
        <w:adjustRightInd w:val="0"/>
        <w:spacing w:line="360" w:lineRule="auto"/>
        <w:jc w:val="left"/>
        <w:rPr>
          <w:rFonts w:ascii="宋体" w:hAnsi="宋体" w:eastAsia="宋体" w:cs="Times New Roman"/>
          <w:b/>
          <w:bCs/>
          <w:color w:val="auto"/>
          <w:kern w:val="0"/>
          <w:sz w:val="24"/>
          <w:szCs w:val="21"/>
          <w:highlight w:val="none"/>
        </w:rPr>
      </w:pPr>
    </w:p>
    <w:p w14:paraId="34287A62">
      <w:pPr>
        <w:autoSpaceDE w:val="0"/>
        <w:autoSpaceDN w:val="0"/>
        <w:adjustRightInd w:val="0"/>
        <w:spacing w:line="360" w:lineRule="auto"/>
        <w:jc w:val="left"/>
        <w:rPr>
          <w:rFonts w:ascii="宋体" w:hAnsi="宋体" w:eastAsia="宋体" w:cs="Times New Roman"/>
          <w:b/>
          <w:bCs/>
          <w:color w:val="auto"/>
          <w:kern w:val="0"/>
          <w:sz w:val="24"/>
          <w:szCs w:val="21"/>
          <w:highlight w:val="none"/>
        </w:rPr>
      </w:pPr>
    </w:p>
    <w:p w14:paraId="1D99C1AC">
      <w:pPr>
        <w:autoSpaceDE w:val="0"/>
        <w:autoSpaceDN w:val="0"/>
        <w:adjustRightInd w:val="0"/>
        <w:spacing w:line="480" w:lineRule="auto"/>
        <w:ind w:firstLine="2811" w:firstLineChars="1000"/>
        <w:jc w:val="left"/>
        <w:rPr>
          <w:rFonts w:ascii="宋体" w:hAnsi="宋体" w:eastAsia="宋体" w:cs="Times New Roman"/>
          <w:b/>
          <w:bCs/>
          <w:color w:val="auto"/>
          <w:kern w:val="0"/>
          <w:sz w:val="28"/>
          <w:szCs w:val="28"/>
          <w:highlight w:val="none"/>
        </w:rPr>
      </w:pPr>
      <w:r>
        <w:rPr>
          <w:rFonts w:hint="eastAsia" w:ascii="宋体" w:hAnsi="宋体" w:eastAsia="宋体" w:cs="宋体"/>
          <w:b/>
          <w:bCs/>
          <w:color w:val="auto"/>
          <w:kern w:val="0"/>
          <w:sz w:val="28"/>
          <w:szCs w:val="28"/>
          <w:highlight w:val="none"/>
        </w:rPr>
        <w:t>甲方：</w:t>
      </w:r>
      <w:r>
        <w:rPr>
          <w:rFonts w:hint="eastAsia" w:ascii="宋体" w:hAnsi="宋体" w:eastAsia="宋体" w:cs="Times New Roman"/>
          <w:b/>
          <w:bCs/>
          <w:color w:val="auto"/>
          <w:kern w:val="0"/>
          <w:sz w:val="28"/>
          <w:szCs w:val="28"/>
          <w:highlight w:val="none"/>
          <w:u w:val="single"/>
        </w:rPr>
        <w:t xml:space="preserve">东莞市石鼓净水有限公司 </w:t>
      </w:r>
      <w:r>
        <w:rPr>
          <w:rFonts w:ascii="宋体" w:hAnsi="宋体" w:eastAsia="宋体" w:cs="Times New Roman"/>
          <w:b/>
          <w:bCs/>
          <w:color w:val="auto"/>
          <w:kern w:val="0"/>
          <w:sz w:val="28"/>
          <w:szCs w:val="28"/>
          <w:highlight w:val="none"/>
        </w:rPr>
        <w:t xml:space="preserve"> </w:t>
      </w:r>
    </w:p>
    <w:p w14:paraId="7897B05C">
      <w:pPr>
        <w:autoSpaceDE w:val="0"/>
        <w:autoSpaceDN w:val="0"/>
        <w:adjustRightInd w:val="0"/>
        <w:spacing w:line="480" w:lineRule="auto"/>
        <w:ind w:firstLine="2811" w:firstLineChars="1000"/>
        <w:jc w:val="left"/>
        <w:rPr>
          <w:rFonts w:ascii="宋体" w:hAnsi="宋体" w:eastAsia="宋体" w:cs="Times New Roman"/>
          <w:b/>
          <w:bCs/>
          <w:color w:val="auto"/>
          <w:kern w:val="0"/>
          <w:sz w:val="28"/>
          <w:szCs w:val="28"/>
          <w:highlight w:val="none"/>
          <w:u w:val="single"/>
        </w:rPr>
      </w:pPr>
      <w:r>
        <w:rPr>
          <w:rFonts w:hint="eastAsia" w:ascii="宋体" w:hAnsi="宋体" w:eastAsia="宋体" w:cs="宋体"/>
          <w:b/>
          <w:bCs/>
          <w:color w:val="auto"/>
          <w:kern w:val="0"/>
          <w:sz w:val="28"/>
          <w:szCs w:val="28"/>
          <w:highlight w:val="none"/>
        </w:rPr>
        <w:t>乙方：</w:t>
      </w:r>
      <w:r>
        <w:rPr>
          <w:rFonts w:hint="eastAsia" w:ascii="宋体" w:hAnsi="宋体" w:eastAsia="宋体" w:cs="宋体"/>
          <w:b/>
          <w:bCs/>
          <w:color w:val="auto"/>
          <w:kern w:val="0"/>
          <w:sz w:val="28"/>
          <w:szCs w:val="28"/>
          <w:highlight w:val="none"/>
          <w:u w:val="single"/>
        </w:rPr>
        <w:t xml:space="preserve">                          </w:t>
      </w:r>
    </w:p>
    <w:p w14:paraId="6CF2A32D">
      <w:pPr>
        <w:autoSpaceDE w:val="0"/>
        <w:autoSpaceDN w:val="0"/>
        <w:adjustRightInd w:val="0"/>
        <w:spacing w:line="360" w:lineRule="auto"/>
        <w:ind w:firstLine="2811" w:firstLineChars="1000"/>
        <w:jc w:val="left"/>
        <w:rPr>
          <w:rFonts w:ascii="宋体" w:hAnsi="宋体" w:eastAsia="宋体" w:cs="宋体"/>
          <w:b/>
          <w:bCs/>
          <w:color w:val="auto"/>
          <w:kern w:val="0"/>
          <w:sz w:val="28"/>
          <w:szCs w:val="28"/>
          <w:highlight w:val="none"/>
        </w:rPr>
      </w:pPr>
    </w:p>
    <w:p w14:paraId="1432ED28">
      <w:pPr>
        <w:autoSpaceDE w:val="0"/>
        <w:autoSpaceDN w:val="0"/>
        <w:adjustRightInd w:val="0"/>
        <w:spacing w:line="360" w:lineRule="auto"/>
        <w:ind w:firstLine="2811" w:firstLineChars="1000"/>
        <w:jc w:val="left"/>
        <w:rPr>
          <w:rFonts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签订日期：   年   月   日</w:t>
      </w:r>
    </w:p>
    <w:p w14:paraId="1295A7A0">
      <w:pPr>
        <w:autoSpaceDE w:val="0"/>
        <w:autoSpaceDN w:val="0"/>
        <w:adjustRightInd w:val="0"/>
        <w:jc w:val="left"/>
        <w:rPr>
          <w:rFonts w:ascii="宋体" w:hAnsi="宋体" w:eastAsia="宋体" w:cs="宋体"/>
          <w:b/>
          <w:bCs/>
          <w:color w:val="auto"/>
          <w:kern w:val="0"/>
          <w:sz w:val="28"/>
          <w:szCs w:val="28"/>
          <w:highlight w:val="none"/>
        </w:rPr>
      </w:pPr>
    </w:p>
    <w:p w14:paraId="31AE73AA">
      <w:pPr>
        <w:autoSpaceDE w:val="0"/>
        <w:autoSpaceDN w:val="0"/>
        <w:adjustRightInd w:val="0"/>
        <w:jc w:val="left"/>
        <w:rPr>
          <w:rFonts w:ascii="宋体" w:hAnsi="宋体" w:eastAsia="宋体" w:cs="宋体"/>
          <w:b/>
          <w:bCs/>
          <w:color w:val="auto"/>
          <w:kern w:val="0"/>
          <w:sz w:val="28"/>
          <w:szCs w:val="28"/>
          <w:highlight w:val="none"/>
        </w:rPr>
      </w:pPr>
    </w:p>
    <w:p w14:paraId="7F860686">
      <w:pPr>
        <w:autoSpaceDE w:val="0"/>
        <w:autoSpaceDN w:val="0"/>
        <w:adjustRightInd w:val="0"/>
        <w:snapToGrid w:val="0"/>
        <w:spacing w:line="360" w:lineRule="auto"/>
        <w:jc w:val="left"/>
        <w:rPr>
          <w:rFonts w:ascii="宋体" w:hAnsi="宋体" w:eastAsia="宋体" w:cs="Times New Roman"/>
          <w:color w:val="auto"/>
          <w:kern w:val="0"/>
          <w:szCs w:val="21"/>
          <w:highlight w:val="none"/>
        </w:rPr>
        <w:sectPr>
          <w:footerReference r:id="rId4" w:type="first"/>
          <w:footerReference r:id="rId3" w:type="default"/>
          <w:pgSz w:w="12240" w:h="15840"/>
          <w:pgMar w:top="1191" w:right="1043" w:bottom="1191" w:left="1043" w:header="720" w:footer="720" w:gutter="0"/>
          <w:cols w:space="720" w:num="1"/>
          <w:titlePg/>
          <w:docGrid w:linePitch="326" w:charSpace="0"/>
        </w:sectPr>
      </w:pPr>
    </w:p>
    <w:p w14:paraId="424CCCDB">
      <w:pPr>
        <w:autoSpaceDE w:val="0"/>
        <w:autoSpaceDN w:val="0"/>
        <w:spacing w:line="360" w:lineRule="auto"/>
        <w:jc w:val="left"/>
        <w:rPr>
          <w:rFonts w:ascii="宋体" w:hAnsi="宋体" w:eastAsia="宋体"/>
          <w:color w:val="auto"/>
          <w:kern w:val="0"/>
          <w:szCs w:val="21"/>
          <w:highlight w:val="none"/>
        </w:rPr>
      </w:pPr>
      <w:r>
        <w:rPr>
          <w:rFonts w:hint="eastAsia" w:ascii="宋体" w:hAnsi="宋体" w:eastAsia="宋体"/>
          <w:color w:val="auto"/>
          <w:kern w:val="0"/>
          <w:szCs w:val="21"/>
          <w:highlight w:val="none"/>
          <w:lang w:val="zh-CN"/>
        </w:rPr>
        <w:t>委托方</w:t>
      </w:r>
      <w:r>
        <w:rPr>
          <w:rFonts w:hint="eastAsia" w:ascii="宋体" w:hAnsi="宋体" w:eastAsia="宋体"/>
          <w:color w:val="auto"/>
          <w:kern w:val="0"/>
          <w:szCs w:val="21"/>
          <w:highlight w:val="none"/>
        </w:rPr>
        <w:t>（</w:t>
      </w:r>
      <w:r>
        <w:rPr>
          <w:rFonts w:hint="eastAsia" w:ascii="宋体" w:hAnsi="宋体" w:eastAsia="宋体"/>
          <w:color w:val="auto"/>
          <w:kern w:val="0"/>
          <w:szCs w:val="21"/>
          <w:highlight w:val="none"/>
          <w:lang w:val="zh-CN"/>
        </w:rPr>
        <w:t>甲方</w:t>
      </w:r>
      <w:r>
        <w:rPr>
          <w:rFonts w:hint="eastAsia" w:ascii="宋体" w:hAnsi="宋体" w:eastAsia="宋体"/>
          <w:color w:val="auto"/>
          <w:kern w:val="0"/>
          <w:szCs w:val="21"/>
          <w:highlight w:val="none"/>
        </w:rPr>
        <w:t>）：</w:t>
      </w:r>
    </w:p>
    <w:p w14:paraId="48F35786">
      <w:pPr>
        <w:autoSpaceDE w:val="0"/>
        <w:autoSpaceDN w:val="0"/>
        <w:spacing w:line="360" w:lineRule="auto"/>
        <w:jc w:val="left"/>
        <w:rPr>
          <w:rFonts w:ascii="宋体" w:hAnsi="宋体" w:eastAsia="宋体"/>
          <w:color w:val="auto"/>
          <w:kern w:val="0"/>
          <w:szCs w:val="21"/>
          <w:highlight w:val="none"/>
        </w:rPr>
      </w:pPr>
      <w:r>
        <w:rPr>
          <w:rFonts w:hint="eastAsia" w:ascii="宋体" w:hAnsi="宋体" w:eastAsia="宋体"/>
          <w:color w:val="auto"/>
          <w:kern w:val="0"/>
          <w:szCs w:val="21"/>
          <w:highlight w:val="none"/>
          <w:lang w:val="zh-CN"/>
        </w:rPr>
        <w:t>受托方</w:t>
      </w:r>
      <w:r>
        <w:rPr>
          <w:rFonts w:hint="eastAsia" w:ascii="宋体" w:hAnsi="宋体" w:eastAsia="宋体"/>
          <w:color w:val="auto"/>
          <w:kern w:val="0"/>
          <w:szCs w:val="21"/>
          <w:highlight w:val="none"/>
        </w:rPr>
        <w:t>（</w:t>
      </w:r>
      <w:r>
        <w:rPr>
          <w:rFonts w:hint="eastAsia" w:ascii="宋体" w:hAnsi="宋体" w:eastAsia="宋体"/>
          <w:color w:val="auto"/>
          <w:kern w:val="0"/>
          <w:szCs w:val="21"/>
          <w:highlight w:val="none"/>
          <w:lang w:val="zh-CN"/>
        </w:rPr>
        <w:t>乙方</w:t>
      </w:r>
      <w:r>
        <w:rPr>
          <w:rFonts w:hint="eastAsia" w:ascii="宋体" w:hAnsi="宋体" w:eastAsia="宋体"/>
          <w:color w:val="auto"/>
          <w:kern w:val="0"/>
          <w:szCs w:val="21"/>
          <w:highlight w:val="none"/>
        </w:rPr>
        <w:t>）：</w:t>
      </w:r>
    </w:p>
    <w:p w14:paraId="4FBE4D0C">
      <w:pPr>
        <w:autoSpaceDE w:val="0"/>
        <w:autoSpaceDN w:val="0"/>
        <w:adjustRightInd w:val="0"/>
        <w:spacing w:line="360" w:lineRule="auto"/>
        <w:ind w:firstLine="420" w:firstLineChars="200"/>
        <w:jc w:val="left"/>
        <w:rPr>
          <w:rFonts w:ascii="宋体" w:hAnsi="宋体" w:eastAsia="宋体"/>
          <w:color w:val="auto"/>
          <w:kern w:val="0"/>
          <w:szCs w:val="21"/>
          <w:highlight w:val="none"/>
          <w:lang w:val="zh-CN" w:bidi="ar"/>
        </w:rPr>
      </w:pPr>
      <w:r>
        <w:rPr>
          <w:rFonts w:hint="eastAsia" w:ascii="宋体" w:hAnsi="宋体" w:eastAsia="宋体"/>
          <w:color w:val="auto"/>
          <w:kern w:val="0"/>
          <w:szCs w:val="21"/>
          <w:highlight w:val="none"/>
        </w:rPr>
        <w:t>根据</w:t>
      </w:r>
      <w:r>
        <w:rPr>
          <w:rFonts w:hint="eastAsia" w:ascii="宋体" w:hAnsi="宋体" w:eastAsia="宋体"/>
          <w:color w:val="auto"/>
          <w:kern w:val="0"/>
          <w:szCs w:val="21"/>
          <w:highlight w:val="none"/>
          <w:lang w:val="zh-CN" w:bidi="ar"/>
        </w:rPr>
        <w:t>《中华人民共和国民法典》</w:t>
      </w:r>
      <w:r>
        <w:rPr>
          <w:rFonts w:hint="eastAsia" w:ascii="宋体" w:hAnsi="宋体" w:eastAsia="宋体"/>
          <w:color w:val="auto"/>
          <w:kern w:val="0"/>
          <w:szCs w:val="21"/>
          <w:highlight w:val="none"/>
          <w:lang w:bidi="ar"/>
        </w:rPr>
        <w:t>等相关法律法规</w:t>
      </w:r>
      <w:r>
        <w:rPr>
          <w:rFonts w:hint="eastAsia" w:ascii="宋体" w:hAnsi="宋体" w:eastAsia="宋体"/>
          <w:color w:val="auto"/>
          <w:kern w:val="0"/>
          <w:szCs w:val="21"/>
          <w:highlight w:val="none"/>
          <w:lang w:val="zh-CN" w:bidi="ar"/>
        </w:rPr>
        <w:t>，</w:t>
      </w:r>
      <w:r>
        <w:rPr>
          <w:rFonts w:hint="eastAsia" w:ascii="宋体" w:hAnsi="宋体" w:eastAsia="宋体"/>
          <w:color w:val="auto"/>
          <w:kern w:val="0"/>
          <w:szCs w:val="21"/>
          <w:highlight w:val="none"/>
          <w:lang w:bidi="ar"/>
        </w:rPr>
        <w:t>以及</w:t>
      </w:r>
      <w:r>
        <w:rPr>
          <w:rFonts w:hint="eastAsia" w:ascii="宋体" w:hAnsi="宋体" w:eastAsia="宋体"/>
          <w:color w:val="auto"/>
          <w:kern w:val="0"/>
          <w:szCs w:val="21"/>
          <w:highlight w:val="none"/>
        </w:rPr>
        <w:t>招标文件（招标编号：</w:t>
      </w:r>
      <w:r>
        <w:rPr>
          <w:rFonts w:hint="eastAsia" w:ascii="宋体" w:hAnsi="宋体" w:eastAsia="宋体"/>
          <w:color w:val="auto"/>
          <w:kern w:val="0"/>
          <w:szCs w:val="21"/>
          <w:highlight w:val="none"/>
          <w:u w:val="single"/>
          <w:lang w:eastAsia="zh-CN"/>
        </w:rPr>
        <w:t xml:space="preserve">                </w:t>
      </w:r>
      <w:r>
        <w:rPr>
          <w:rFonts w:hint="eastAsia" w:ascii="宋体" w:hAnsi="宋体" w:eastAsia="宋体"/>
          <w:color w:val="auto"/>
          <w:kern w:val="0"/>
          <w:szCs w:val="21"/>
          <w:highlight w:val="none"/>
        </w:rPr>
        <w:t>）和中标通知书，甲、乙双方经充分协商，</w:t>
      </w:r>
      <w:r>
        <w:rPr>
          <w:rFonts w:hint="eastAsia" w:ascii="宋体" w:hAnsi="宋体" w:eastAsia="宋体"/>
          <w:color w:val="auto"/>
          <w:kern w:val="0"/>
          <w:szCs w:val="21"/>
          <w:highlight w:val="none"/>
          <w:lang w:bidi="ar"/>
        </w:rPr>
        <w:t>就甲方委托乙方</w:t>
      </w:r>
      <w:r>
        <w:rPr>
          <w:rFonts w:hint="eastAsia" w:ascii="宋体" w:hAnsi="宋体" w:eastAsia="宋体"/>
          <w:color w:val="auto"/>
          <w:kern w:val="0"/>
          <w:szCs w:val="21"/>
          <w:highlight w:val="none"/>
        </w:rPr>
        <w:t>提供</w:t>
      </w:r>
      <w:r>
        <w:rPr>
          <w:rFonts w:hint="eastAsia" w:ascii="宋体" w:hAnsi="宋体" w:eastAsia="宋体"/>
          <w:color w:val="auto"/>
          <w:kern w:val="0"/>
          <w:szCs w:val="21"/>
          <w:highlight w:val="none"/>
          <w:u w:val="single"/>
        </w:rPr>
        <w:t>东莞市石鼓净水有限公司污水处理厂及提标项目中控系统集约化升级改造项目</w:t>
      </w:r>
      <w:r>
        <w:rPr>
          <w:rFonts w:hint="eastAsia" w:ascii="宋体" w:hAnsi="宋体" w:eastAsia="宋体"/>
          <w:color w:val="auto"/>
          <w:kern w:val="0"/>
          <w:szCs w:val="21"/>
          <w:highlight w:val="none"/>
        </w:rPr>
        <w:t>事宜</w:t>
      </w:r>
      <w:r>
        <w:rPr>
          <w:rFonts w:hint="eastAsia" w:ascii="宋体" w:hAnsi="宋体" w:eastAsia="宋体"/>
          <w:color w:val="auto"/>
          <w:kern w:val="0"/>
          <w:szCs w:val="21"/>
          <w:highlight w:val="none"/>
          <w:lang w:val="zh-CN" w:bidi="ar"/>
        </w:rPr>
        <w:t>达成一致意见，签订本合同。</w:t>
      </w:r>
    </w:p>
    <w:p w14:paraId="756DA144">
      <w:pPr>
        <w:autoSpaceDE w:val="0"/>
        <w:autoSpaceDN w:val="0"/>
        <w:spacing w:line="360" w:lineRule="auto"/>
        <w:ind w:firstLine="422" w:firstLineChars="200"/>
        <w:jc w:val="left"/>
        <w:outlineLvl w:val="0"/>
        <w:rPr>
          <w:rFonts w:ascii="宋体" w:hAnsi="宋体" w:eastAsia="宋体"/>
          <w:b/>
          <w:color w:val="auto"/>
          <w:kern w:val="0"/>
          <w:szCs w:val="21"/>
          <w:highlight w:val="none"/>
          <w:lang w:bidi="ar"/>
        </w:rPr>
      </w:pPr>
      <w:bookmarkStart w:id="618" w:name="_Toc195714339"/>
      <w:bookmarkStart w:id="619" w:name="_Toc6891"/>
      <w:r>
        <w:rPr>
          <w:rFonts w:hint="eastAsia" w:ascii="宋体" w:hAnsi="宋体" w:eastAsia="宋体"/>
          <w:b/>
          <w:color w:val="auto"/>
          <w:kern w:val="0"/>
          <w:szCs w:val="21"/>
          <w:highlight w:val="none"/>
          <w:lang w:bidi="ar"/>
        </w:rPr>
        <w:t>一、服务内容</w:t>
      </w:r>
      <w:bookmarkEnd w:id="617"/>
      <w:bookmarkEnd w:id="618"/>
      <w:bookmarkEnd w:id="619"/>
    </w:p>
    <w:p w14:paraId="101DCD6C">
      <w:pPr>
        <w:autoSpaceDE w:val="0"/>
        <w:autoSpaceDN w:val="0"/>
        <w:spacing w:line="360" w:lineRule="auto"/>
        <w:ind w:firstLine="422" w:firstLineChars="200"/>
        <w:jc w:val="left"/>
        <w:rPr>
          <w:rFonts w:ascii="宋体" w:hAnsi="宋体" w:eastAsia="宋体"/>
          <w:b/>
          <w:color w:val="auto"/>
          <w:kern w:val="0"/>
          <w:szCs w:val="21"/>
          <w:highlight w:val="none"/>
          <w:lang w:bidi="ar"/>
        </w:rPr>
      </w:pPr>
      <w:r>
        <w:rPr>
          <w:rFonts w:hint="eastAsia" w:ascii="宋体" w:hAnsi="宋体" w:eastAsia="宋体"/>
          <w:b/>
          <w:color w:val="auto"/>
          <w:kern w:val="0"/>
          <w:szCs w:val="21"/>
          <w:highlight w:val="none"/>
          <w:lang w:bidi="ar"/>
        </w:rPr>
        <w:t>（一）本次招标范围为37个污水处理厂及21个提标项目中控系统升级改造项目设备采购，招标设备清单见用户需求书第二节详细技术要求。</w:t>
      </w:r>
    </w:p>
    <w:p w14:paraId="256DCA67">
      <w:pPr>
        <w:autoSpaceDE w:val="0"/>
        <w:autoSpaceDN w:val="0"/>
        <w:spacing w:line="360" w:lineRule="auto"/>
        <w:ind w:firstLine="422" w:firstLineChars="200"/>
        <w:jc w:val="left"/>
        <w:rPr>
          <w:rFonts w:ascii="宋体" w:hAnsi="宋体" w:eastAsia="宋体"/>
          <w:b/>
          <w:bCs/>
          <w:color w:val="auto"/>
          <w:kern w:val="0"/>
          <w:szCs w:val="21"/>
          <w:highlight w:val="none"/>
          <w:lang w:bidi="ar"/>
        </w:rPr>
      </w:pPr>
      <w:r>
        <w:rPr>
          <w:rFonts w:hint="eastAsia" w:ascii="宋体" w:hAnsi="宋体" w:eastAsia="宋体"/>
          <w:b/>
          <w:bCs/>
          <w:color w:val="auto"/>
          <w:kern w:val="0"/>
          <w:szCs w:val="21"/>
          <w:highlight w:val="none"/>
          <w:lang w:bidi="ar"/>
        </w:rPr>
        <w:t>（二）合同服务内容包括但不限于以下内容：</w:t>
      </w:r>
    </w:p>
    <w:p w14:paraId="52D2734B">
      <w:pPr>
        <w:autoSpaceDE w:val="0"/>
        <w:autoSpaceDN w:val="0"/>
        <w:spacing w:line="360" w:lineRule="auto"/>
        <w:ind w:firstLine="420" w:firstLineChars="200"/>
        <w:jc w:val="left"/>
        <w:rPr>
          <w:rFonts w:ascii="宋体" w:hAnsi="宋体" w:eastAsia="宋体"/>
          <w:color w:val="auto"/>
          <w:kern w:val="0"/>
          <w:szCs w:val="21"/>
          <w:highlight w:val="none"/>
          <w:lang w:bidi="ar"/>
        </w:rPr>
      </w:pPr>
      <w:r>
        <w:rPr>
          <w:rFonts w:hint="eastAsia" w:ascii="宋体" w:hAnsi="宋体" w:eastAsia="宋体"/>
          <w:color w:val="auto"/>
          <w:kern w:val="0"/>
          <w:szCs w:val="21"/>
          <w:highlight w:val="none"/>
          <w:lang w:bidi="ar"/>
        </w:rPr>
        <w:t>1.污水处理厂及提标项目中控系统集约化升级改造采购范围内所有货物及其附件（含SCADA系统、报表系统、趋势曲线系统、数据采集系统、超融合系统、网络安全等软件）的设计（含二次深化设计）、采购、制造及系统集成、测试、试验、运输（至各子项目工地现场甲方指定地点）、保险、装卸、安装（含安全防护、文明施工措施）、单机试运转、指导及配合联合试运转（含耗材）、验收、培训及技术服务；</w:t>
      </w:r>
    </w:p>
    <w:p w14:paraId="7544E469">
      <w:pPr>
        <w:autoSpaceDE w:val="0"/>
        <w:autoSpaceDN w:val="0"/>
        <w:spacing w:line="360" w:lineRule="auto"/>
        <w:ind w:firstLine="420" w:firstLineChars="200"/>
        <w:jc w:val="left"/>
        <w:rPr>
          <w:rFonts w:ascii="宋体" w:hAnsi="宋体" w:eastAsia="宋体"/>
          <w:color w:val="auto"/>
          <w:kern w:val="0"/>
          <w:szCs w:val="21"/>
          <w:highlight w:val="none"/>
          <w:lang w:bidi="ar"/>
        </w:rPr>
      </w:pPr>
      <w:r>
        <w:rPr>
          <w:rFonts w:hint="eastAsia" w:ascii="宋体" w:hAnsi="宋体" w:eastAsia="宋体"/>
          <w:color w:val="auto"/>
          <w:kern w:val="0"/>
          <w:szCs w:val="21"/>
          <w:highlight w:val="none"/>
          <w:lang w:bidi="ar"/>
        </w:rPr>
        <w:t>2.按用户需求书要求提供各阶段的纸质和电子版技术资料（含图纸），包括投标货物及其工艺所有制造方、使用方应支付的对商标权、专利权和版权、设计或其他知识产权而需要向其他方支付的版税及其他相关费用；</w:t>
      </w:r>
    </w:p>
    <w:p w14:paraId="51AFA116">
      <w:pPr>
        <w:autoSpaceDE w:val="0"/>
        <w:autoSpaceDN w:val="0"/>
        <w:spacing w:line="360" w:lineRule="auto"/>
        <w:ind w:firstLine="420" w:firstLineChars="200"/>
        <w:jc w:val="left"/>
        <w:rPr>
          <w:rFonts w:ascii="宋体" w:hAnsi="宋体" w:eastAsia="宋体"/>
          <w:color w:val="auto"/>
          <w:kern w:val="0"/>
          <w:szCs w:val="21"/>
          <w:highlight w:val="none"/>
          <w:lang w:bidi="ar"/>
        </w:rPr>
      </w:pPr>
      <w:r>
        <w:rPr>
          <w:rFonts w:hint="eastAsia" w:ascii="宋体" w:hAnsi="宋体" w:eastAsia="宋体"/>
          <w:color w:val="auto"/>
          <w:kern w:val="0"/>
          <w:szCs w:val="21"/>
          <w:highlight w:val="none"/>
          <w:lang w:bidi="ar"/>
        </w:rPr>
        <w:t>3.验收时为达到相关标准而可能增加的、不合格货物更换、零配件更换等；</w:t>
      </w:r>
    </w:p>
    <w:p w14:paraId="4630811E">
      <w:pPr>
        <w:autoSpaceDE w:val="0"/>
        <w:autoSpaceDN w:val="0"/>
        <w:spacing w:line="360" w:lineRule="auto"/>
        <w:ind w:firstLine="420" w:firstLineChars="200"/>
        <w:jc w:val="left"/>
        <w:rPr>
          <w:rFonts w:ascii="宋体" w:hAnsi="宋体" w:eastAsia="宋体"/>
          <w:color w:val="auto"/>
          <w:kern w:val="0"/>
          <w:szCs w:val="21"/>
          <w:highlight w:val="none"/>
          <w:lang w:bidi="ar"/>
        </w:rPr>
      </w:pPr>
      <w:r>
        <w:rPr>
          <w:rFonts w:hint="eastAsia" w:ascii="宋体" w:hAnsi="宋体" w:eastAsia="宋体"/>
          <w:color w:val="auto"/>
          <w:kern w:val="0"/>
          <w:szCs w:val="21"/>
          <w:highlight w:val="none"/>
          <w:lang w:bidi="ar"/>
        </w:rPr>
        <w:t>4.甲方所在地及工地现场培训全过程（含会务、资料、培训方及非中文培训师的翻译、乙方、甲方涉及的所有费用），但用户需求书中明确不包含在本次合同总价范围的乙方所在地培训除外；</w:t>
      </w:r>
    </w:p>
    <w:p w14:paraId="10D39294">
      <w:pPr>
        <w:autoSpaceDE w:val="0"/>
        <w:autoSpaceDN w:val="0"/>
        <w:spacing w:line="360" w:lineRule="auto"/>
        <w:ind w:firstLine="420" w:firstLineChars="200"/>
        <w:jc w:val="left"/>
        <w:rPr>
          <w:rFonts w:ascii="宋体" w:hAnsi="宋体" w:eastAsia="宋体"/>
          <w:color w:val="auto"/>
          <w:kern w:val="0"/>
          <w:szCs w:val="21"/>
          <w:highlight w:val="none"/>
          <w:lang w:bidi="ar"/>
        </w:rPr>
      </w:pPr>
      <w:r>
        <w:rPr>
          <w:rFonts w:hint="eastAsia" w:ascii="宋体" w:hAnsi="宋体" w:eastAsia="宋体"/>
          <w:color w:val="auto"/>
          <w:kern w:val="0"/>
          <w:szCs w:val="21"/>
          <w:highlight w:val="none"/>
          <w:lang w:bidi="ar"/>
        </w:rPr>
        <w:t>5.设备备品备件（含零配件）、设备拆装维修所需特殊专用工具购置，但用户需求书中明确不包含在本次合同总价范围的设备维修、检测所需仪器仪表除外；</w:t>
      </w:r>
    </w:p>
    <w:p w14:paraId="6363348A">
      <w:pPr>
        <w:autoSpaceDE w:val="0"/>
        <w:autoSpaceDN w:val="0"/>
        <w:spacing w:line="360" w:lineRule="auto"/>
        <w:ind w:firstLine="420" w:firstLineChars="200"/>
        <w:jc w:val="left"/>
        <w:rPr>
          <w:rFonts w:ascii="宋体" w:hAnsi="宋体" w:eastAsia="宋体"/>
          <w:color w:val="auto"/>
          <w:kern w:val="0"/>
          <w:szCs w:val="21"/>
          <w:highlight w:val="none"/>
          <w:lang w:bidi="ar"/>
        </w:rPr>
      </w:pPr>
      <w:r>
        <w:rPr>
          <w:rFonts w:hint="eastAsia" w:ascii="宋体" w:hAnsi="宋体" w:eastAsia="宋体"/>
          <w:color w:val="auto"/>
          <w:kern w:val="0"/>
          <w:szCs w:val="21"/>
          <w:highlight w:val="none"/>
          <w:lang w:bidi="ar"/>
        </w:rPr>
        <w:t>6.日常技术指导，免费的质保期保修服务，包括但不限于对设备、系统的运行指导，免费维修、保修或更换配件，在设备、系统出现严重故障、影响正常运行、修复有困难的情况下，对设备、系统进行免费更换的费用；</w:t>
      </w:r>
    </w:p>
    <w:p w14:paraId="72634382">
      <w:pPr>
        <w:autoSpaceDE w:val="0"/>
        <w:autoSpaceDN w:val="0"/>
        <w:spacing w:line="360" w:lineRule="auto"/>
        <w:ind w:firstLine="420" w:firstLineChars="200"/>
        <w:jc w:val="left"/>
        <w:rPr>
          <w:rFonts w:ascii="宋体" w:hAnsi="宋体" w:eastAsia="宋体"/>
          <w:color w:val="auto"/>
          <w:kern w:val="0"/>
          <w:szCs w:val="21"/>
          <w:highlight w:val="none"/>
          <w:lang w:bidi="ar"/>
        </w:rPr>
      </w:pPr>
      <w:r>
        <w:rPr>
          <w:rFonts w:hint="eastAsia" w:ascii="宋体" w:hAnsi="宋体" w:eastAsia="宋体"/>
          <w:color w:val="auto"/>
          <w:kern w:val="0"/>
          <w:szCs w:val="21"/>
          <w:highlight w:val="none"/>
          <w:lang w:bidi="ar"/>
        </w:rPr>
        <w:t>7.设计联络，在施工图设计阶段，乙方有义务根据实际情况派遣技术人员到东莞市参加设计联络会议进行技术交流，包括参加设计会签及校核和审查会议，合同总价已包含完成施工图设计过程中的一切费用；</w:t>
      </w:r>
    </w:p>
    <w:p w14:paraId="11E0E801">
      <w:pPr>
        <w:autoSpaceDE w:val="0"/>
        <w:autoSpaceDN w:val="0"/>
        <w:spacing w:line="360" w:lineRule="auto"/>
        <w:ind w:firstLine="420" w:firstLineChars="200"/>
        <w:jc w:val="left"/>
        <w:rPr>
          <w:rFonts w:ascii="宋体" w:hAnsi="宋体" w:eastAsia="宋体"/>
          <w:color w:val="auto"/>
          <w:kern w:val="0"/>
          <w:szCs w:val="21"/>
          <w:highlight w:val="none"/>
          <w:lang w:bidi="ar"/>
        </w:rPr>
      </w:pPr>
      <w:r>
        <w:rPr>
          <w:rFonts w:hint="eastAsia" w:ascii="宋体" w:hAnsi="宋体" w:eastAsia="宋体"/>
          <w:color w:val="auto"/>
          <w:kern w:val="0"/>
          <w:szCs w:val="21"/>
          <w:highlight w:val="none"/>
          <w:lang w:bidi="ar"/>
        </w:rPr>
        <w:t>8.招标设备清单虽未列出，但根据技术方案或为满足设计功能所必需的设备材料；</w:t>
      </w:r>
    </w:p>
    <w:p w14:paraId="13CC5762">
      <w:pPr>
        <w:autoSpaceDE w:val="0"/>
        <w:autoSpaceDN w:val="0"/>
        <w:spacing w:line="360" w:lineRule="auto"/>
        <w:ind w:firstLine="420" w:firstLineChars="200"/>
        <w:jc w:val="left"/>
        <w:rPr>
          <w:rFonts w:ascii="宋体" w:hAnsi="宋体" w:eastAsia="宋体"/>
          <w:color w:val="auto"/>
          <w:kern w:val="0"/>
          <w:szCs w:val="21"/>
          <w:highlight w:val="none"/>
          <w:lang w:bidi="ar"/>
        </w:rPr>
      </w:pPr>
      <w:r>
        <w:rPr>
          <w:rFonts w:hint="eastAsia" w:ascii="宋体" w:hAnsi="宋体" w:eastAsia="宋体"/>
          <w:color w:val="auto"/>
          <w:kern w:val="0"/>
          <w:szCs w:val="21"/>
          <w:highlight w:val="none"/>
          <w:lang w:bidi="ar"/>
        </w:rPr>
        <w:t>9.项目最终效果应能在甲方调度指挥中心远程控制37个污水处理厂及21个提标项目，系统需达到全部污水项目100%的自控率，如因项目在合同签订之日前已存在的自控故障导致无法满足自控率要求，乙方应在系统预留能满足100%自控率所对应的点位、功能等内容。</w:t>
      </w:r>
    </w:p>
    <w:p w14:paraId="72C03E01">
      <w:pPr>
        <w:autoSpaceDE w:val="0"/>
        <w:autoSpaceDN w:val="0"/>
        <w:spacing w:line="360" w:lineRule="auto"/>
        <w:ind w:firstLine="420" w:firstLineChars="200"/>
        <w:jc w:val="left"/>
        <w:rPr>
          <w:rFonts w:ascii="宋体" w:hAnsi="宋体" w:eastAsia="宋体"/>
          <w:color w:val="auto"/>
          <w:kern w:val="0"/>
          <w:szCs w:val="21"/>
          <w:highlight w:val="none"/>
          <w:lang w:bidi="ar"/>
        </w:rPr>
      </w:pPr>
      <w:r>
        <w:rPr>
          <w:rFonts w:hint="eastAsia" w:ascii="宋体" w:hAnsi="宋体" w:eastAsia="宋体"/>
          <w:color w:val="auto"/>
          <w:kern w:val="0"/>
          <w:szCs w:val="21"/>
          <w:highlight w:val="none"/>
          <w:lang w:bidi="ar"/>
        </w:rPr>
        <w:t>10.项目质保期内甲方现有项目自动化系统完善、修复以及新建项目竣工后，乙方负责系统接入的工作。</w:t>
      </w:r>
    </w:p>
    <w:p w14:paraId="70B8FB84">
      <w:pPr>
        <w:autoSpaceDE w:val="0"/>
        <w:autoSpaceDN w:val="0"/>
        <w:spacing w:line="360" w:lineRule="auto"/>
        <w:ind w:firstLine="420" w:firstLineChars="200"/>
        <w:jc w:val="left"/>
        <w:rPr>
          <w:rFonts w:ascii="宋体" w:hAnsi="宋体" w:eastAsia="宋体"/>
          <w:color w:val="auto"/>
          <w:kern w:val="0"/>
          <w:szCs w:val="21"/>
          <w:highlight w:val="none"/>
          <w:lang w:bidi="ar"/>
        </w:rPr>
      </w:pPr>
      <w:r>
        <w:rPr>
          <w:rFonts w:hint="eastAsia" w:ascii="宋体" w:hAnsi="宋体" w:eastAsia="宋体"/>
          <w:color w:val="auto"/>
          <w:kern w:val="0"/>
          <w:szCs w:val="21"/>
          <w:highlight w:val="none"/>
          <w:lang w:bidi="ar"/>
        </w:rPr>
        <w:t>11.乙方负责提供本项目网络安全等级保护测试服务（等级保护要求为等保二级），乙方在项目过程中负责系统网络安全的前期摸查、设计、实施、验收、测评和备案等工作，服务所产生的相关费用包括但不限于测评费、人工费、材料费等均由乙方承担。</w:t>
      </w:r>
    </w:p>
    <w:p w14:paraId="317B2532">
      <w:pPr>
        <w:autoSpaceDE w:val="0"/>
        <w:autoSpaceDN w:val="0"/>
        <w:spacing w:line="360" w:lineRule="auto"/>
        <w:ind w:firstLine="422" w:firstLineChars="200"/>
        <w:jc w:val="left"/>
        <w:outlineLvl w:val="0"/>
        <w:rPr>
          <w:rFonts w:ascii="宋体" w:hAnsi="宋体" w:eastAsia="宋体"/>
          <w:b/>
          <w:color w:val="auto"/>
          <w:kern w:val="0"/>
          <w:szCs w:val="21"/>
          <w:highlight w:val="none"/>
          <w:lang w:bidi="ar"/>
        </w:rPr>
      </w:pPr>
      <w:bookmarkStart w:id="620" w:name="_Toc134469728"/>
      <w:bookmarkStart w:id="621" w:name="_Toc14542"/>
      <w:bookmarkStart w:id="622" w:name="_Toc195714340"/>
      <w:r>
        <w:rPr>
          <w:rFonts w:hint="eastAsia" w:ascii="宋体" w:hAnsi="宋体" w:eastAsia="宋体"/>
          <w:b/>
          <w:color w:val="auto"/>
          <w:kern w:val="0"/>
          <w:szCs w:val="21"/>
          <w:highlight w:val="none"/>
          <w:lang w:bidi="ar"/>
        </w:rPr>
        <w:t>二、</w:t>
      </w:r>
      <w:bookmarkEnd w:id="620"/>
      <w:r>
        <w:rPr>
          <w:rFonts w:hint="eastAsia" w:ascii="宋体" w:hAnsi="宋体" w:eastAsia="宋体"/>
          <w:b/>
          <w:color w:val="auto"/>
          <w:kern w:val="0"/>
          <w:szCs w:val="21"/>
          <w:highlight w:val="none"/>
          <w:lang w:bidi="ar"/>
        </w:rPr>
        <w:t>货物的交付</w:t>
      </w:r>
      <w:bookmarkEnd w:id="621"/>
      <w:bookmarkEnd w:id="622"/>
    </w:p>
    <w:p w14:paraId="1497DF30">
      <w:pPr>
        <w:widowControl/>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一）乙方应在甲方（或甲方委托的第三方）发出书面供货通知之日起30日内将所有货物运至交货地点，并按合同约定完成交接验收合格。乙方在交货前应提前7日书面通知甲方，经甲方书面同意后方能送货。如有违反，由此造成的仓储与保管费用以及货物毁损灭失的风险由乙方全部承担。</w:t>
      </w:r>
    </w:p>
    <w:p w14:paraId="2A2A4838">
      <w:pPr>
        <w:widowControl/>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二）乙方应自行将货物运至交货地点交货，由于使用第三方送货服务导致货物未能经过甲乙双方共同验收、未送到指定地点仓库的，甲方有权拒绝收货。未经甲方同意，乙方或乙方委托的第三方送货服务仅将货物放置在门口/门卫室，而没有送货至甲方指定的地点的，视为乙方未履行送货义务，甲方有权拒绝接受货物且不予支付货款。上述情况下甲方不负保管责任，货物未按照甲方要求放置而造成的损毁、灭失风险概由乙方承担。甲方根据整体项目进度的情况，有权提出对部分或全部货物提前或延迟交货，但应不迟于交货期限届满前7日告知乙方，甲方无需另行支付任何费用。</w:t>
      </w:r>
    </w:p>
    <w:p w14:paraId="42024ECD">
      <w:pPr>
        <w:widowControl/>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（三）乙方有义务配合甲方整体项目进度，对整体项目提供协助及配合。</w:t>
      </w:r>
    </w:p>
    <w:p w14:paraId="5ED59ABF">
      <w:pPr>
        <w:widowControl/>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（四）交货地点：东莞市石鼓净水有限公司旗下37个污水处理厂和21个提标项目（由甲方提供各项目地址表）或甲方指定送货地点。</w:t>
      </w:r>
    </w:p>
    <w:p w14:paraId="1677482B">
      <w:pPr>
        <w:widowControl/>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（五）运输方式：由乙方自行选择适当的运输方式，并承担所有货物运输产生的相应费用。</w:t>
      </w:r>
    </w:p>
    <w:p w14:paraId="324FB4E6">
      <w:pPr>
        <w:widowControl/>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（六）在交货地点的卸货责任及费用，由乙方承担。</w:t>
      </w:r>
    </w:p>
    <w:p w14:paraId="19B07D23">
      <w:pPr>
        <w:autoSpaceDE w:val="0"/>
        <w:autoSpaceDN w:val="0"/>
        <w:spacing w:line="360" w:lineRule="auto"/>
        <w:ind w:firstLine="422" w:firstLineChars="200"/>
        <w:jc w:val="left"/>
        <w:outlineLvl w:val="0"/>
        <w:rPr>
          <w:rFonts w:ascii="宋体" w:hAnsi="宋体" w:eastAsia="宋体"/>
          <w:b/>
          <w:color w:val="auto"/>
          <w:kern w:val="0"/>
          <w:szCs w:val="21"/>
          <w:highlight w:val="none"/>
          <w:lang w:bidi="ar"/>
        </w:rPr>
      </w:pPr>
      <w:bookmarkStart w:id="623" w:name="_Toc670"/>
      <w:bookmarkStart w:id="624" w:name="_Toc195714341"/>
      <w:r>
        <w:rPr>
          <w:rFonts w:hint="eastAsia" w:ascii="宋体" w:hAnsi="宋体" w:eastAsia="宋体"/>
          <w:b/>
          <w:color w:val="auto"/>
          <w:kern w:val="0"/>
          <w:szCs w:val="21"/>
          <w:highlight w:val="none"/>
          <w:lang w:bidi="ar"/>
        </w:rPr>
        <w:t>三、施工安全及其他要求</w:t>
      </w:r>
      <w:bookmarkEnd w:id="623"/>
      <w:bookmarkEnd w:id="624"/>
    </w:p>
    <w:p w14:paraId="0FE73E79">
      <w:pPr>
        <w:widowControl/>
        <w:autoSpaceDE w:val="0"/>
        <w:autoSpaceDN w:val="0"/>
        <w:spacing w:line="360" w:lineRule="auto"/>
        <w:ind w:firstLine="420" w:firstLineChars="200"/>
        <w:jc w:val="left"/>
        <w:rPr>
          <w:rFonts w:ascii="宋体" w:hAnsi="宋体" w:eastAsia="宋体"/>
          <w:bCs/>
          <w:color w:val="auto"/>
          <w:kern w:val="0"/>
          <w:szCs w:val="21"/>
          <w:highlight w:val="none"/>
          <w:lang w:bidi="ar"/>
        </w:rPr>
      </w:pPr>
      <w:r>
        <w:rPr>
          <w:rFonts w:hint="eastAsia" w:ascii="宋体" w:hAnsi="宋体" w:eastAsia="宋体"/>
          <w:bCs/>
          <w:color w:val="auto"/>
          <w:kern w:val="0"/>
          <w:szCs w:val="21"/>
          <w:highlight w:val="none"/>
          <w:lang w:bidi="ar"/>
        </w:rPr>
        <w:t>（一）施工设备、工器具：由乙方自行解决。</w:t>
      </w:r>
    </w:p>
    <w:p w14:paraId="428C75EA">
      <w:pPr>
        <w:widowControl/>
        <w:autoSpaceDE w:val="0"/>
        <w:autoSpaceDN w:val="0"/>
        <w:spacing w:line="360" w:lineRule="auto"/>
        <w:ind w:firstLine="420" w:firstLineChars="200"/>
        <w:jc w:val="left"/>
        <w:rPr>
          <w:rFonts w:ascii="宋体" w:hAnsi="宋体" w:eastAsia="宋体"/>
          <w:bCs/>
          <w:color w:val="auto"/>
          <w:kern w:val="0"/>
          <w:szCs w:val="21"/>
          <w:highlight w:val="none"/>
          <w:lang w:bidi="ar"/>
        </w:rPr>
      </w:pPr>
      <w:r>
        <w:rPr>
          <w:rFonts w:hint="eastAsia" w:ascii="宋体" w:hAnsi="宋体" w:eastAsia="宋体"/>
          <w:bCs/>
          <w:color w:val="auto"/>
          <w:kern w:val="0"/>
          <w:szCs w:val="21"/>
          <w:highlight w:val="none"/>
          <w:lang w:bidi="ar"/>
        </w:rPr>
        <w:t>（二）施工中用水用电，甲方只负责提供接入点，乙方自行负责电缆线、水管及相关附属件的敷设，同时需做好用水、用电安全防护措施并无条件接受甲方监督。</w:t>
      </w:r>
    </w:p>
    <w:p w14:paraId="6DFBC1A9">
      <w:pPr>
        <w:widowControl/>
        <w:autoSpaceDE w:val="0"/>
        <w:autoSpaceDN w:val="0"/>
        <w:spacing w:line="360" w:lineRule="auto"/>
        <w:ind w:firstLine="420" w:firstLineChars="200"/>
        <w:jc w:val="left"/>
        <w:rPr>
          <w:rFonts w:ascii="宋体" w:hAnsi="宋体" w:eastAsia="宋体"/>
          <w:bCs/>
          <w:color w:val="auto"/>
          <w:kern w:val="0"/>
          <w:szCs w:val="21"/>
          <w:highlight w:val="none"/>
          <w:lang w:bidi="ar"/>
        </w:rPr>
      </w:pPr>
      <w:r>
        <w:rPr>
          <w:rFonts w:hint="eastAsia" w:ascii="宋体" w:hAnsi="宋体" w:eastAsia="宋体"/>
          <w:bCs/>
          <w:color w:val="auto"/>
          <w:kern w:val="0"/>
          <w:szCs w:val="21"/>
          <w:highlight w:val="none"/>
          <w:lang w:bidi="ar"/>
        </w:rPr>
        <w:t>（三）施工安全：乙方做好施工的安全防护措施，施工过程中出现的安全事故由乙方自行承担。</w:t>
      </w:r>
    </w:p>
    <w:p w14:paraId="314A0985">
      <w:pPr>
        <w:autoSpaceDE w:val="0"/>
        <w:autoSpaceDN w:val="0"/>
        <w:spacing w:line="360" w:lineRule="auto"/>
        <w:ind w:firstLine="422" w:firstLineChars="200"/>
        <w:jc w:val="left"/>
        <w:outlineLvl w:val="0"/>
        <w:rPr>
          <w:rFonts w:ascii="宋体" w:hAnsi="宋体" w:eastAsia="宋体"/>
          <w:b/>
          <w:color w:val="auto"/>
          <w:kern w:val="0"/>
          <w:szCs w:val="21"/>
          <w:highlight w:val="none"/>
          <w:lang w:bidi="ar"/>
        </w:rPr>
      </w:pPr>
      <w:bookmarkStart w:id="625" w:name="_Toc14898"/>
      <w:bookmarkStart w:id="626" w:name="_Toc195714342"/>
      <w:r>
        <w:rPr>
          <w:rFonts w:hint="eastAsia" w:ascii="宋体" w:hAnsi="宋体" w:eastAsia="宋体"/>
          <w:b/>
          <w:color w:val="auto"/>
          <w:kern w:val="0"/>
          <w:szCs w:val="21"/>
          <w:highlight w:val="none"/>
          <w:lang w:bidi="ar"/>
        </w:rPr>
        <w:t>四、安装、调试</w:t>
      </w:r>
      <w:bookmarkEnd w:id="625"/>
      <w:bookmarkEnd w:id="626"/>
    </w:p>
    <w:p w14:paraId="3A9A81AD">
      <w:pPr>
        <w:widowControl/>
        <w:autoSpaceDE w:val="0"/>
        <w:autoSpaceDN w:val="0"/>
        <w:spacing w:line="360" w:lineRule="auto"/>
        <w:ind w:firstLine="420" w:firstLineChars="200"/>
        <w:jc w:val="left"/>
        <w:rPr>
          <w:rFonts w:ascii="宋体" w:hAnsi="宋体" w:eastAsia="宋体"/>
          <w:bCs/>
          <w:color w:val="auto"/>
          <w:kern w:val="0"/>
          <w:szCs w:val="21"/>
          <w:highlight w:val="none"/>
          <w:lang w:bidi="ar"/>
        </w:rPr>
      </w:pPr>
      <w:r>
        <w:rPr>
          <w:rFonts w:hint="eastAsia" w:ascii="宋体" w:hAnsi="宋体" w:eastAsia="宋体"/>
          <w:bCs/>
          <w:color w:val="auto"/>
          <w:kern w:val="0"/>
          <w:szCs w:val="21"/>
          <w:highlight w:val="none"/>
          <w:lang w:bidi="ar"/>
        </w:rPr>
        <w:t>（一）乙方应于交货后派专业技术人员在甲方规定的时间内完成供货，并在交接验收合格后</w:t>
      </w:r>
      <w:r>
        <w:rPr>
          <w:rFonts w:hint="eastAsia" w:ascii="宋体" w:hAnsi="宋体" w:eastAsia="宋体"/>
          <w:bCs/>
          <w:color w:val="auto"/>
          <w:kern w:val="0"/>
          <w:szCs w:val="21"/>
          <w:highlight w:val="none"/>
          <w:u w:val="single"/>
          <w:lang w:bidi="ar"/>
        </w:rPr>
        <w:t xml:space="preserve">    </w:t>
      </w:r>
      <w:r>
        <w:rPr>
          <w:rFonts w:hint="eastAsia" w:ascii="宋体" w:hAnsi="宋体" w:eastAsia="宋体"/>
          <w:bCs/>
          <w:color w:val="auto"/>
          <w:kern w:val="0"/>
          <w:szCs w:val="21"/>
          <w:highlight w:val="none"/>
          <w:lang w:bidi="ar"/>
        </w:rPr>
        <w:t>日内完成全部设备的安装，且经甲方初步验收合格。乙方负责在甲方要求的时间内完成系统功能完整度测试，以及性能考核的技术指导工作。</w:t>
      </w:r>
    </w:p>
    <w:p w14:paraId="4F7D14E9">
      <w:pPr>
        <w:widowControl/>
        <w:autoSpaceDE w:val="0"/>
        <w:autoSpaceDN w:val="0"/>
        <w:spacing w:line="360" w:lineRule="auto"/>
        <w:ind w:firstLine="420" w:firstLineChars="200"/>
        <w:jc w:val="left"/>
        <w:rPr>
          <w:rFonts w:ascii="宋体" w:hAnsi="宋体" w:eastAsia="宋体"/>
          <w:bCs/>
          <w:color w:val="auto"/>
          <w:kern w:val="0"/>
          <w:szCs w:val="21"/>
          <w:highlight w:val="none"/>
          <w:lang w:bidi="ar"/>
        </w:rPr>
      </w:pPr>
      <w:r>
        <w:rPr>
          <w:rFonts w:hint="eastAsia" w:ascii="宋体" w:hAnsi="宋体" w:eastAsia="宋体"/>
          <w:bCs/>
          <w:color w:val="auto"/>
          <w:kern w:val="0"/>
          <w:szCs w:val="21"/>
          <w:highlight w:val="none"/>
          <w:lang w:bidi="ar"/>
        </w:rPr>
        <w:t>（二）在货物安装、调试过程中，乙方应遵守甲方现场的管理规定，并遵守工程施工、安全生产、消防安全的有关管理规定，采取必要的安全防范措施，消除事故隐患，并随时接受甲方（或甲方委托的第三方）安全检查人员的监督检查。在乙方搬运、安装、调试、验收过程中所产生的安全责任（包括但不限于对协助人员、施工人员、第三方所造成的财物毁损、人员损伤、以及防火、防电、防盗责任等），乙方应承担全部赔偿及相关法律责任，与甲方无关；如因此造成甲方损失的，乙方应按甲方实际损失款项的【2】倍标准进行赔偿。</w:t>
      </w:r>
    </w:p>
    <w:p w14:paraId="1E7FED08">
      <w:pPr>
        <w:widowControl/>
        <w:autoSpaceDE w:val="0"/>
        <w:autoSpaceDN w:val="0"/>
        <w:spacing w:line="360" w:lineRule="auto"/>
        <w:ind w:firstLine="420" w:firstLineChars="200"/>
        <w:jc w:val="left"/>
        <w:rPr>
          <w:rFonts w:ascii="宋体" w:hAnsi="宋体" w:eastAsia="宋体"/>
          <w:bCs/>
          <w:color w:val="auto"/>
          <w:kern w:val="0"/>
          <w:szCs w:val="21"/>
          <w:highlight w:val="none"/>
          <w:lang w:bidi="ar"/>
        </w:rPr>
      </w:pPr>
      <w:r>
        <w:rPr>
          <w:rFonts w:hint="eastAsia" w:ascii="宋体" w:hAnsi="宋体" w:eastAsia="宋体"/>
          <w:bCs/>
          <w:color w:val="auto"/>
          <w:kern w:val="0"/>
          <w:szCs w:val="21"/>
          <w:highlight w:val="none"/>
          <w:lang w:bidi="ar"/>
        </w:rPr>
        <w:t>（三）乙方现场施工需服从、配合施工总承包单位（由甲方另行委托）的安全文明施工管理，并与施工总承包单位签订安全生产协议。由于乙方原因造成其他第三方参建单位人员伤亡、财物损失或者被监督部门行政处罚，乙方须承担相应赔偿责任。</w:t>
      </w:r>
    </w:p>
    <w:p w14:paraId="21BB9E7D">
      <w:pPr>
        <w:widowControl/>
        <w:autoSpaceDE w:val="0"/>
        <w:autoSpaceDN w:val="0"/>
        <w:spacing w:line="360" w:lineRule="auto"/>
        <w:ind w:firstLine="420" w:firstLineChars="200"/>
        <w:jc w:val="left"/>
        <w:rPr>
          <w:rFonts w:ascii="宋体" w:hAnsi="宋体" w:eastAsia="宋体"/>
          <w:bCs/>
          <w:color w:val="auto"/>
          <w:kern w:val="0"/>
          <w:szCs w:val="21"/>
          <w:highlight w:val="none"/>
          <w:lang w:bidi="ar"/>
        </w:rPr>
      </w:pPr>
      <w:r>
        <w:rPr>
          <w:rFonts w:hint="eastAsia" w:ascii="宋体" w:hAnsi="宋体" w:eastAsia="宋体"/>
          <w:bCs/>
          <w:color w:val="auto"/>
          <w:kern w:val="0"/>
          <w:szCs w:val="21"/>
          <w:highlight w:val="none"/>
          <w:lang w:bidi="ar"/>
        </w:rPr>
        <w:t>（四）乙方应严格按照国家有关安全文明施工的标准与规范制定安全文明施工操作规程，配备必要的安全生产和劳动保护设施，加强对施工作业人员的施工安全教育培训，对他们的安全负责。</w:t>
      </w:r>
    </w:p>
    <w:p w14:paraId="6A251A21">
      <w:pPr>
        <w:widowControl/>
        <w:autoSpaceDE w:val="0"/>
        <w:autoSpaceDN w:val="0"/>
        <w:spacing w:line="360" w:lineRule="auto"/>
        <w:ind w:firstLine="420" w:firstLineChars="200"/>
        <w:jc w:val="left"/>
        <w:rPr>
          <w:rFonts w:ascii="宋体" w:hAnsi="宋体" w:eastAsia="宋体"/>
          <w:bCs/>
          <w:color w:val="auto"/>
          <w:kern w:val="0"/>
          <w:szCs w:val="21"/>
          <w:highlight w:val="none"/>
          <w:lang w:bidi="ar"/>
        </w:rPr>
      </w:pPr>
      <w:r>
        <w:rPr>
          <w:rFonts w:hint="eastAsia" w:ascii="宋体" w:hAnsi="宋体" w:eastAsia="宋体"/>
          <w:bCs/>
          <w:color w:val="auto"/>
          <w:kern w:val="0"/>
          <w:szCs w:val="21"/>
          <w:highlight w:val="none"/>
          <w:lang w:bidi="ar"/>
        </w:rPr>
        <w:t>（五）乙方应对合同工程的安全文明施工负责，采取有效的安全措施消除安全事故隐患，并接受和配合依法实施的监督检查。</w:t>
      </w:r>
    </w:p>
    <w:p w14:paraId="46C712BD">
      <w:pPr>
        <w:widowControl/>
        <w:autoSpaceDE w:val="0"/>
        <w:autoSpaceDN w:val="0"/>
        <w:spacing w:line="360" w:lineRule="auto"/>
        <w:ind w:firstLine="420" w:firstLineChars="200"/>
        <w:jc w:val="left"/>
        <w:rPr>
          <w:rFonts w:ascii="宋体" w:hAnsi="宋体" w:eastAsia="宋体"/>
          <w:bCs/>
          <w:color w:val="auto"/>
          <w:kern w:val="0"/>
          <w:szCs w:val="21"/>
          <w:highlight w:val="none"/>
          <w:lang w:bidi="ar"/>
        </w:rPr>
      </w:pPr>
      <w:r>
        <w:rPr>
          <w:rFonts w:hint="eastAsia" w:ascii="宋体" w:hAnsi="宋体" w:eastAsia="宋体"/>
          <w:bCs/>
          <w:color w:val="auto"/>
          <w:kern w:val="0"/>
          <w:szCs w:val="21"/>
          <w:highlight w:val="none"/>
          <w:lang w:bidi="ar"/>
        </w:rPr>
        <w:t>（六）乙方应遵守国家有关环境保护、卫生监督的法律法规，采取有效措施，保证施工场地达到环境保护、卫生部门的管理要求，为现场自有人员（含委派人员）提供并维护干净卫生的生活设施，保持施工场地的清洁整齐。</w:t>
      </w:r>
    </w:p>
    <w:p w14:paraId="5CD31FDC">
      <w:pPr>
        <w:widowControl/>
        <w:autoSpaceDE w:val="0"/>
        <w:autoSpaceDN w:val="0"/>
        <w:spacing w:line="360" w:lineRule="auto"/>
        <w:ind w:firstLine="420" w:firstLineChars="200"/>
        <w:jc w:val="left"/>
        <w:rPr>
          <w:rFonts w:ascii="宋体" w:hAnsi="宋体" w:eastAsia="宋体"/>
          <w:bCs/>
          <w:color w:val="auto"/>
          <w:kern w:val="0"/>
          <w:szCs w:val="21"/>
          <w:highlight w:val="none"/>
          <w:lang w:bidi="ar"/>
        </w:rPr>
      </w:pPr>
      <w:r>
        <w:rPr>
          <w:rFonts w:hint="eastAsia" w:ascii="宋体" w:hAnsi="宋体" w:eastAsia="宋体"/>
          <w:bCs/>
          <w:color w:val="auto"/>
          <w:kern w:val="0"/>
          <w:szCs w:val="21"/>
          <w:highlight w:val="none"/>
          <w:lang w:bidi="ar"/>
        </w:rPr>
        <w:t>（七）为保证合同设备的性能、满足招标文件要求功能且长期、稳定、正常运行要求所需要的，除施工图纸设计的预留洞口、预埋件、回填外，需要另行发生的开（补）洞口、增加预埋件、填缝、回填材料、水管、电路接驳、安全装置等，均由乙方自行负责，其费用包括在合同总价（含税）中。</w:t>
      </w:r>
    </w:p>
    <w:p w14:paraId="176F4FD1">
      <w:pPr>
        <w:autoSpaceDE w:val="0"/>
        <w:autoSpaceDN w:val="0"/>
        <w:spacing w:line="360" w:lineRule="auto"/>
        <w:ind w:firstLine="422" w:firstLineChars="200"/>
        <w:jc w:val="left"/>
        <w:outlineLvl w:val="0"/>
        <w:rPr>
          <w:rFonts w:ascii="宋体" w:hAnsi="宋体" w:eastAsia="宋体"/>
          <w:b/>
          <w:color w:val="auto"/>
          <w:kern w:val="0"/>
          <w:szCs w:val="21"/>
          <w:highlight w:val="none"/>
          <w:lang w:bidi="ar"/>
        </w:rPr>
      </w:pPr>
      <w:bookmarkStart w:id="627" w:name="_Toc134469729"/>
      <w:bookmarkStart w:id="628" w:name="_Toc195714343"/>
      <w:bookmarkStart w:id="629" w:name="_Toc5657"/>
      <w:r>
        <w:rPr>
          <w:rFonts w:hint="eastAsia" w:ascii="宋体" w:hAnsi="宋体" w:eastAsia="宋体"/>
          <w:b/>
          <w:color w:val="auto"/>
          <w:kern w:val="0"/>
          <w:szCs w:val="21"/>
          <w:highlight w:val="none"/>
          <w:lang w:bidi="ar"/>
        </w:rPr>
        <w:t>五、合同价款</w:t>
      </w:r>
      <w:r>
        <w:rPr>
          <w:rFonts w:hint="eastAsia" w:ascii="宋体" w:hAnsi="宋体" w:eastAsia="宋体"/>
          <w:b/>
          <w:color w:val="auto"/>
          <w:kern w:val="0"/>
          <w:szCs w:val="21"/>
          <w:highlight w:val="none"/>
          <w:lang w:val="zh-CN" w:bidi="ar"/>
        </w:rPr>
        <w:t>及支付方式</w:t>
      </w:r>
      <w:bookmarkEnd w:id="627"/>
      <w:bookmarkEnd w:id="628"/>
      <w:bookmarkEnd w:id="629"/>
    </w:p>
    <w:p w14:paraId="4E4DCAD7">
      <w:pPr>
        <w:autoSpaceDE w:val="0"/>
        <w:autoSpaceDN w:val="0"/>
        <w:spacing w:line="360" w:lineRule="auto"/>
        <w:ind w:firstLine="422" w:firstLineChars="200"/>
        <w:jc w:val="left"/>
        <w:rPr>
          <w:rFonts w:ascii="宋体" w:hAnsi="宋体" w:eastAsia="宋体"/>
          <w:b/>
          <w:color w:val="auto"/>
          <w:kern w:val="0"/>
          <w:szCs w:val="21"/>
          <w:highlight w:val="none"/>
          <w:lang w:bidi="ar"/>
        </w:rPr>
      </w:pPr>
      <w:r>
        <w:rPr>
          <w:rFonts w:hint="eastAsia" w:ascii="宋体" w:hAnsi="宋体" w:eastAsia="宋体"/>
          <w:b/>
          <w:color w:val="auto"/>
          <w:kern w:val="0"/>
          <w:szCs w:val="21"/>
          <w:highlight w:val="none"/>
          <w:lang w:bidi="ar"/>
        </w:rPr>
        <w:t>（一）合同价款</w:t>
      </w:r>
    </w:p>
    <w:p w14:paraId="6C5B90F5">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1.本项目合同总价（不含乙方销项税）为</w:t>
      </w:r>
      <w:r>
        <w:rPr>
          <w:rFonts w:hint="eastAsia" w:ascii="宋体" w:hAnsi="宋体" w:eastAsia="宋体"/>
          <w:color w:val="auto"/>
          <w:kern w:val="0"/>
          <w:szCs w:val="21"/>
          <w:highlight w:val="none"/>
          <w:u w:val="single"/>
        </w:rPr>
        <w:t xml:space="preserve">¥        </w:t>
      </w:r>
      <w:r>
        <w:rPr>
          <w:rFonts w:hint="eastAsia" w:ascii="宋体" w:hAnsi="宋体" w:eastAsia="宋体"/>
          <w:color w:val="auto"/>
          <w:kern w:val="0"/>
          <w:szCs w:val="21"/>
          <w:highlight w:val="none"/>
        </w:rPr>
        <w:t>元（大写人民币</w:t>
      </w:r>
      <w:r>
        <w:rPr>
          <w:rFonts w:hint="eastAsia" w:ascii="宋体" w:hAnsi="宋体" w:eastAsia="宋体"/>
          <w:color w:val="auto"/>
          <w:kern w:val="0"/>
          <w:szCs w:val="21"/>
          <w:highlight w:val="none"/>
          <w:u w:val="single"/>
        </w:rPr>
        <w:t xml:space="preserve">         </w:t>
      </w:r>
      <w:r>
        <w:rPr>
          <w:rFonts w:hint="eastAsia" w:ascii="宋体" w:hAnsi="宋体" w:eastAsia="宋体"/>
          <w:color w:val="auto"/>
          <w:kern w:val="0"/>
          <w:szCs w:val="21"/>
          <w:highlight w:val="none"/>
        </w:rPr>
        <w:t>），组态开发及安装调试的合同价(不含乙方销项税)为</w:t>
      </w:r>
      <w:r>
        <w:rPr>
          <w:rFonts w:ascii="Arial" w:hAnsi="Arial" w:eastAsia="宋体" w:cs="Arial"/>
          <w:color w:val="auto"/>
          <w:kern w:val="0"/>
          <w:szCs w:val="21"/>
          <w:highlight w:val="none"/>
          <w:u w:val="single"/>
        </w:rPr>
        <w:t>¥</w:t>
      </w:r>
      <w:r>
        <w:rPr>
          <w:rFonts w:hint="eastAsia" w:ascii="宋体" w:hAnsi="宋体" w:eastAsia="宋体" w:cs="Times New Roman"/>
          <w:color w:val="auto"/>
          <w:kern w:val="0"/>
          <w:szCs w:val="21"/>
          <w:highlight w:val="none"/>
          <w:u w:val="single"/>
        </w:rPr>
        <w:t xml:space="preserve"> </w:t>
      </w:r>
      <w:r>
        <w:rPr>
          <w:rFonts w:hint="eastAsia" w:ascii="宋体" w:hAnsi="宋体" w:eastAsia="宋体"/>
          <w:color w:val="auto"/>
          <w:kern w:val="0"/>
          <w:szCs w:val="21"/>
          <w:highlight w:val="none"/>
          <w:u w:val="single"/>
        </w:rPr>
        <w:t xml:space="preserve">     </w:t>
      </w:r>
      <w:r>
        <w:rPr>
          <w:rFonts w:hint="eastAsia" w:ascii="宋体" w:hAnsi="宋体" w:eastAsia="宋体"/>
          <w:color w:val="auto"/>
          <w:kern w:val="0"/>
          <w:szCs w:val="21"/>
          <w:highlight w:val="none"/>
        </w:rPr>
        <w:t>元(大写人民币</w:t>
      </w:r>
      <w:r>
        <w:rPr>
          <w:rFonts w:hint="eastAsia" w:ascii="宋体" w:hAnsi="宋体" w:eastAsia="宋体"/>
          <w:color w:val="auto"/>
          <w:kern w:val="0"/>
          <w:szCs w:val="21"/>
          <w:highlight w:val="none"/>
          <w:u w:val="single"/>
        </w:rPr>
        <w:t xml:space="preserve">    </w:t>
      </w:r>
      <w:r>
        <w:rPr>
          <w:rFonts w:hint="eastAsia" w:ascii="宋体" w:hAnsi="宋体" w:eastAsia="宋体"/>
          <w:color w:val="auto"/>
          <w:kern w:val="0"/>
          <w:szCs w:val="21"/>
          <w:highlight w:val="none"/>
        </w:rPr>
        <w:t>)，软件、硬件设备购置的合同价(不含乙方销项税)为</w:t>
      </w:r>
      <w:r>
        <w:rPr>
          <w:rFonts w:ascii="Arial" w:hAnsi="Arial" w:eastAsia="宋体" w:cs="Arial"/>
          <w:color w:val="auto"/>
          <w:kern w:val="0"/>
          <w:szCs w:val="21"/>
          <w:highlight w:val="none"/>
          <w:u w:val="single"/>
        </w:rPr>
        <w:t>¥</w:t>
      </w:r>
      <w:r>
        <w:rPr>
          <w:rFonts w:hint="eastAsia" w:ascii="宋体" w:hAnsi="宋体" w:eastAsia="宋体"/>
          <w:color w:val="auto"/>
          <w:kern w:val="0"/>
          <w:szCs w:val="21"/>
          <w:highlight w:val="none"/>
          <w:u w:val="single"/>
        </w:rPr>
        <w:t xml:space="preserve">    </w:t>
      </w:r>
      <w:r>
        <w:rPr>
          <w:rFonts w:hint="eastAsia" w:ascii="宋体" w:hAnsi="宋体" w:eastAsia="宋体"/>
          <w:color w:val="auto"/>
          <w:kern w:val="0"/>
          <w:szCs w:val="21"/>
          <w:highlight w:val="none"/>
        </w:rPr>
        <w:t>元(大写人民币</w:t>
      </w:r>
      <w:r>
        <w:rPr>
          <w:rFonts w:hint="eastAsia" w:ascii="宋体" w:hAnsi="宋体" w:eastAsia="宋体"/>
          <w:color w:val="auto"/>
          <w:kern w:val="0"/>
          <w:szCs w:val="21"/>
          <w:highlight w:val="none"/>
          <w:u w:val="single"/>
        </w:rPr>
        <w:t xml:space="preserve">    </w:t>
      </w:r>
      <w:r>
        <w:rPr>
          <w:rFonts w:hint="eastAsia" w:ascii="宋体" w:hAnsi="宋体" w:eastAsia="宋体"/>
          <w:color w:val="auto"/>
          <w:kern w:val="0"/>
          <w:szCs w:val="21"/>
          <w:highlight w:val="none"/>
        </w:rPr>
        <w:t>）。乙方须了解项目情况、各类费用以及风险情况，合同签订后，不再另行增加任何费用。</w:t>
      </w:r>
    </w:p>
    <w:p w14:paraId="03B97E07">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合同价为不变价，如有漏项，视同已包含在本项目范围内，不再另作调整。未经甲方书面许可，乙方无权要求甲方支付其他任何费用。</w:t>
      </w:r>
    </w:p>
    <w:p w14:paraId="71D3B809">
      <w:pPr>
        <w:autoSpaceDE w:val="0"/>
        <w:autoSpaceDN w:val="0"/>
        <w:spacing w:line="360" w:lineRule="auto"/>
        <w:ind w:firstLine="420" w:firstLineChars="200"/>
        <w:jc w:val="left"/>
        <w:rPr>
          <w:rFonts w:ascii="宋体" w:hAnsi="宋体" w:eastAsia="宋体"/>
          <w:color w:val="auto"/>
          <w:kern w:val="0"/>
          <w:szCs w:val="21"/>
          <w:highlight w:val="none"/>
          <w:lang w:bidi="ar"/>
        </w:rPr>
      </w:pPr>
      <w:r>
        <w:rPr>
          <w:rFonts w:hint="eastAsia" w:ascii="宋体" w:hAnsi="宋体" w:eastAsia="宋体"/>
          <w:color w:val="auto"/>
          <w:kern w:val="0"/>
          <w:szCs w:val="21"/>
          <w:highlight w:val="none"/>
          <w:lang w:bidi="ar"/>
        </w:rPr>
        <w:t>2.依法计得并根据本合同约定确定的销项税额由甲方承担。根据《中华人民共和国增值税暂行条例》（国务院令第691号修订版）及当前税务部门的相关规定，本合同项目组态开发及安装调试的</w:t>
      </w:r>
      <w:r>
        <w:rPr>
          <w:rFonts w:hint="eastAsia" w:ascii="宋体" w:hAnsi="宋体" w:eastAsia="宋体" w:cs="宋体"/>
          <w:color w:val="auto"/>
          <w:kern w:val="0"/>
          <w:szCs w:val="21"/>
          <w:highlight w:val="none"/>
          <w:lang w:bidi="ar"/>
        </w:rPr>
        <w:t xml:space="preserve">增值税税率为  </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 xml:space="preserve">，对应的销项税额为¥ </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元（大写人民币</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）；软件、</w:t>
      </w:r>
      <w:r>
        <w:rPr>
          <w:rFonts w:hint="eastAsia" w:ascii="宋体" w:hAnsi="宋体" w:eastAsia="宋体"/>
          <w:color w:val="auto"/>
          <w:kern w:val="0"/>
          <w:szCs w:val="21"/>
          <w:highlight w:val="none"/>
          <w:lang w:bidi="ar"/>
        </w:rPr>
        <w:t>硬件设备购置费的增值税税率为</w:t>
      </w:r>
      <w:r>
        <w:rPr>
          <w:rFonts w:hint="eastAsia" w:hAnsi="宋体"/>
          <w:color w:val="auto"/>
          <w:szCs w:val="21"/>
          <w:highlight w:val="none"/>
          <w:u w:val="single"/>
          <w:lang w:bidi="ar"/>
        </w:rPr>
        <w:t xml:space="preserve">        </w:t>
      </w:r>
      <w:r>
        <w:rPr>
          <w:rFonts w:hint="eastAsia" w:ascii="宋体" w:hAnsi="宋体" w:eastAsia="宋体"/>
          <w:color w:val="auto"/>
          <w:kern w:val="0"/>
          <w:szCs w:val="21"/>
          <w:highlight w:val="none"/>
          <w:lang w:bidi="ar"/>
        </w:rPr>
        <w:t>，对应的销项税额为¥</w:t>
      </w:r>
      <w:r>
        <w:rPr>
          <w:rFonts w:hint="eastAsia" w:ascii="宋体" w:hAnsi="宋体" w:eastAsia="宋体"/>
          <w:color w:val="auto"/>
          <w:kern w:val="0"/>
          <w:szCs w:val="21"/>
          <w:highlight w:val="none"/>
          <w:u w:val="single"/>
          <w:lang w:bidi="ar"/>
        </w:rPr>
        <w:t xml:space="preserve">       </w:t>
      </w:r>
      <w:r>
        <w:rPr>
          <w:rFonts w:hint="eastAsia" w:ascii="宋体" w:hAnsi="宋体" w:eastAsia="宋体"/>
          <w:color w:val="auto"/>
          <w:kern w:val="0"/>
          <w:szCs w:val="21"/>
          <w:highlight w:val="none"/>
          <w:lang w:bidi="ar"/>
        </w:rPr>
        <w:t>元（大写人民币</w:t>
      </w:r>
      <w:r>
        <w:rPr>
          <w:rFonts w:hint="eastAsia" w:ascii="宋体" w:hAnsi="宋体" w:eastAsia="宋体"/>
          <w:color w:val="auto"/>
          <w:kern w:val="0"/>
          <w:szCs w:val="21"/>
          <w:highlight w:val="none"/>
          <w:u w:val="single"/>
          <w:lang w:bidi="ar"/>
        </w:rPr>
        <w:t xml:space="preserve">             </w:t>
      </w:r>
      <w:r>
        <w:rPr>
          <w:rFonts w:hint="eastAsia" w:ascii="宋体" w:hAnsi="宋体" w:eastAsia="宋体"/>
          <w:color w:val="auto"/>
          <w:kern w:val="0"/>
          <w:szCs w:val="21"/>
          <w:highlight w:val="none"/>
          <w:lang w:bidi="ar"/>
        </w:rPr>
        <w:t>），具体税率执行以财政部国家税务总局关于软件产品增值税政策的通知【财税〔2011〕100号】及相关法律法规为准。在本合同履行过程中，税收政策变动导致增值税税率调整，依法应调整销项税额的，依法调整；但因乙方未按合同约定时间完成供货、未根据合同约定提供合法、完整的请款资料、项目验收不合格导致的返工或退货、项目验收合格前的非正常损耗等原因导致销项税额增加的，相应损失由乙方承担。</w:t>
      </w:r>
    </w:p>
    <w:p w14:paraId="327F5CDC">
      <w:pPr>
        <w:spacing w:line="360" w:lineRule="auto"/>
        <w:ind w:firstLine="476" w:firstLineChars="227"/>
        <w:rPr>
          <w:color w:val="auto"/>
          <w:highlight w:val="none"/>
        </w:rPr>
      </w:pPr>
      <w:r>
        <w:rPr>
          <w:rFonts w:hint="eastAsia" w:ascii="宋体" w:hAnsi="宋体" w:eastAsia="宋体" w:cs="Times New Roman"/>
          <w:color w:val="auto"/>
          <w:szCs w:val="21"/>
          <w:highlight w:val="none"/>
        </w:rPr>
        <w:t>3.</w:t>
      </w:r>
      <w:r>
        <w:rPr>
          <w:rFonts w:hint="eastAsia" w:ascii="宋体" w:hAnsi="宋体" w:eastAsia="宋体" w:cs="Times New Roman"/>
          <w:color w:val="auto"/>
          <w:kern w:val="0"/>
          <w:szCs w:val="21"/>
          <w:highlight w:val="none"/>
        </w:rPr>
        <w:t>本项目合同总价（含税）</w:t>
      </w:r>
      <w:r>
        <w:rPr>
          <w:rFonts w:hint="eastAsia" w:ascii="宋体" w:hAnsi="宋体" w:eastAsia="宋体" w:cs="Times New Roman"/>
          <w:color w:val="auto"/>
          <w:szCs w:val="21"/>
          <w:highlight w:val="none"/>
        </w:rPr>
        <w:t>为</w:t>
      </w:r>
      <w:r>
        <w:rPr>
          <w:rFonts w:hint="eastAsia" w:ascii="宋体" w:hAnsi="宋体" w:eastAsia="宋体" w:cs="Times New Roman"/>
          <w:color w:val="auto"/>
          <w:szCs w:val="21"/>
          <w:highlight w:val="none"/>
          <w:u w:val="single"/>
        </w:rPr>
        <w:t>¥        元</w:t>
      </w:r>
      <w:r>
        <w:rPr>
          <w:rFonts w:hint="eastAsia" w:ascii="宋体" w:hAnsi="宋体" w:eastAsia="宋体" w:cs="Times New Roman"/>
          <w:color w:val="auto"/>
          <w:szCs w:val="21"/>
          <w:highlight w:val="none"/>
        </w:rPr>
        <w:t>（大写人民币</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w:t>
      </w:r>
      <w:r>
        <w:rPr>
          <w:rFonts w:hint="eastAsia" w:ascii="宋体" w:hAnsi="宋体" w:eastAsia="宋体" w:cs="Times New Roman"/>
          <w:color w:val="auto"/>
          <w:kern w:val="0"/>
          <w:szCs w:val="21"/>
          <w:highlight w:val="none"/>
        </w:rPr>
        <w:t>组态开发及安装调试</w:t>
      </w:r>
      <w:r>
        <w:rPr>
          <w:rFonts w:hint="eastAsia" w:ascii="宋体" w:hAnsi="宋体" w:eastAsia="宋体" w:cs="Times New Roman"/>
          <w:color w:val="auto"/>
          <w:szCs w:val="21"/>
          <w:highlight w:val="none"/>
        </w:rPr>
        <w:t>合同价税合计为</w:t>
      </w:r>
      <w:r>
        <w:rPr>
          <w:rFonts w:hint="eastAsia" w:ascii="宋体" w:hAnsi="宋体" w:eastAsia="宋体" w:cs="Times New Roman"/>
          <w:color w:val="auto"/>
          <w:szCs w:val="21"/>
          <w:highlight w:val="none"/>
          <w:u w:val="single"/>
        </w:rPr>
        <w:t>¥        元</w:t>
      </w:r>
      <w:r>
        <w:rPr>
          <w:rFonts w:hint="eastAsia" w:ascii="宋体" w:hAnsi="宋体" w:eastAsia="宋体" w:cs="Times New Roman"/>
          <w:color w:val="auto"/>
          <w:szCs w:val="21"/>
          <w:highlight w:val="none"/>
        </w:rPr>
        <w:t>（大写人民币</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）；软件、</w:t>
      </w:r>
      <w:r>
        <w:rPr>
          <w:rFonts w:hint="eastAsia" w:ascii="宋体" w:hAnsi="宋体" w:eastAsia="宋体" w:cs="Times New Roman"/>
          <w:color w:val="auto"/>
          <w:kern w:val="0"/>
          <w:szCs w:val="21"/>
          <w:highlight w:val="none"/>
        </w:rPr>
        <w:t>硬件设备购置</w:t>
      </w:r>
      <w:r>
        <w:rPr>
          <w:rFonts w:hint="eastAsia" w:ascii="宋体" w:hAnsi="宋体" w:eastAsia="宋体" w:cs="Times New Roman"/>
          <w:color w:val="auto"/>
          <w:szCs w:val="21"/>
          <w:highlight w:val="none"/>
        </w:rPr>
        <w:t>合同价税合计为</w:t>
      </w:r>
      <w:r>
        <w:rPr>
          <w:rFonts w:hint="eastAsia" w:ascii="宋体" w:hAnsi="宋体" w:eastAsia="宋体" w:cs="Times New Roman"/>
          <w:color w:val="auto"/>
          <w:szCs w:val="21"/>
          <w:highlight w:val="none"/>
          <w:u w:val="single"/>
        </w:rPr>
        <w:t>¥        元</w:t>
      </w:r>
      <w:r>
        <w:rPr>
          <w:rFonts w:hint="eastAsia" w:ascii="宋体" w:hAnsi="宋体" w:eastAsia="宋体" w:cs="Times New Roman"/>
          <w:color w:val="auto"/>
          <w:szCs w:val="21"/>
          <w:highlight w:val="none"/>
        </w:rPr>
        <w:t>（大写人民币</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），合同履行期间根据本条第2项规定调整销项税额的，结算合同价税合计对应调整。</w:t>
      </w:r>
    </w:p>
    <w:p w14:paraId="18F2C6C9">
      <w:pPr>
        <w:autoSpaceDE w:val="0"/>
        <w:autoSpaceDN w:val="0"/>
        <w:adjustRightInd w:val="0"/>
        <w:spacing w:line="360" w:lineRule="auto"/>
        <w:ind w:firstLine="476" w:firstLineChars="227"/>
        <w:jc w:val="left"/>
        <w:rPr>
          <w:rFonts w:ascii="宋体" w:hAnsi="宋体" w:eastAsia="宋体"/>
          <w:color w:val="auto"/>
          <w:szCs w:val="21"/>
          <w:highlight w:val="none"/>
        </w:rPr>
      </w:pPr>
      <w:r>
        <w:rPr>
          <w:rFonts w:hint="eastAsia" w:ascii="宋体" w:hAnsi="宋体" w:eastAsia="宋体"/>
          <w:color w:val="auto"/>
          <w:szCs w:val="21"/>
          <w:highlight w:val="none"/>
        </w:rPr>
        <w:t>因乙方未按法定税率计算税额或未根据本合同约定出具对应税额的增值税专用发票等乙方原因导致甲方多支付税额的，乙方必须退还甲方，给甲方造成损失的，乙方须向甲方赔偿</w:t>
      </w:r>
      <w:r>
        <w:rPr>
          <w:rFonts w:hint="eastAsia" w:ascii="宋体" w:hAnsi="宋体" w:eastAsia="宋体"/>
          <w:color w:val="auto"/>
          <w:kern w:val="0"/>
          <w:szCs w:val="21"/>
          <w:highlight w:val="none"/>
        </w:rPr>
        <w:t>相应损失。</w:t>
      </w:r>
    </w:p>
    <w:p w14:paraId="35EA897B">
      <w:pPr>
        <w:autoSpaceDE w:val="0"/>
        <w:autoSpaceDN w:val="0"/>
        <w:spacing w:line="360" w:lineRule="auto"/>
        <w:ind w:firstLine="422" w:firstLineChars="200"/>
        <w:jc w:val="left"/>
        <w:rPr>
          <w:rFonts w:ascii="宋体" w:hAnsi="宋体" w:eastAsia="宋体"/>
          <w:b/>
          <w:color w:val="auto"/>
          <w:kern w:val="0"/>
          <w:szCs w:val="21"/>
          <w:highlight w:val="none"/>
          <w:lang w:bidi="ar"/>
        </w:rPr>
      </w:pPr>
      <w:r>
        <w:rPr>
          <w:rFonts w:hint="eastAsia" w:ascii="宋体" w:hAnsi="宋体" w:eastAsia="宋体"/>
          <w:b/>
          <w:color w:val="auto"/>
          <w:kern w:val="0"/>
          <w:szCs w:val="21"/>
          <w:highlight w:val="none"/>
          <w:lang w:bidi="ar"/>
        </w:rPr>
        <w:t>（二）支付方式</w:t>
      </w:r>
    </w:p>
    <w:p w14:paraId="00ADBFE3">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1、本合同项下全部货物到达现场并交接验收合格，乙方按合同要求提交所供货物符合要求的相关资料，并向甲方提交请款报告、发票等请款材料，经甲方确认无误后十五个工作日内，甲方向乙方支付至软件、硬件设备购置合同价的60%及对应税额，甲方通过银行转账或银行承兑汇票方式支付相应款项至本合同中载明的乙方银行账户中，汇票期限不超过三个月，每期款项支付方式由甲方决定；</w:t>
      </w:r>
    </w:p>
    <w:p w14:paraId="7B516493">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2、剩余货款，甲方以下列方式向乙方支付：</w:t>
      </w:r>
    </w:p>
    <w:p w14:paraId="02B3C4FA">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1）乙方完成本项目系统甲方在运营的24个污水处理厂和21个提标项目的内容并通过初步验收后，乙方按合同要求提交符合本项目初步验收要求的相关资料，并提交请款报告、发票等请款材料，经甲方确认无误后十五个工作日内，甲方向乙方支付至组态开发及安装调试合同价的70%和软件、硬件设备购置合同价的70%及对应税额；</w:t>
      </w:r>
    </w:p>
    <w:p w14:paraId="58B15578">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2）本项目系统最终验收合格后，乙方按合同要求提交符合本项目最终验收要求的相关资料，并提交请款报告、发票等请款材料，经甲方确认无误后十五个工作日内，甲方向乙方支付至组态开发及安装调试合同价的95%和软件、硬件设备购置合同价的95%及对应税额；</w:t>
      </w:r>
    </w:p>
    <w:p w14:paraId="76A2C0AD">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3）剩余合同总价（含税）的5%作为项目质保金（质保金与运维服务期服务评分挂钩，运维服务期服务评分要求详见本合同第九条第（二）款质保及售后要求）在质保期届满后根据乙方提供货物质量情况及乙方履行质保期义务的情况，由甲乙双方进行结算，且在乙方提交请款报告、发票等请款材料，经甲方确认无误后十五个工作日内，甲方向乙方支付质保金；甲方通过银行转账或银行承兑汇票方式支付相应款项至本合同指定的乙方收款银行账户中，汇票期限不超过三个月，每期款项支付方式由甲方决定。</w:t>
      </w:r>
    </w:p>
    <w:p w14:paraId="7DFC7B63">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运维服务期服务评分及质保金支付对应关系：</w:t>
      </w:r>
    </w:p>
    <w:p w14:paraId="62E11415">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1）运维服务期间，当评分≥90分，乙方可全额取得质保金。</w:t>
      </w:r>
    </w:p>
    <w:p w14:paraId="3AFAB79D">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2）运维服务期间，当80分≤评分＜90分，质保金按照80%支付。</w:t>
      </w:r>
    </w:p>
    <w:p w14:paraId="055A551D">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3）运维服务期间，当70分≤评分＜80分，质保金按照70%支付。</w:t>
      </w:r>
    </w:p>
    <w:p w14:paraId="239DA41D">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4）运维服务期间，当60分≤评分＜70分，质保金按照60%支付。</w:t>
      </w:r>
    </w:p>
    <w:p w14:paraId="21E8175C">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5）运维服务期间，当评分＜60分，质保金不予以支付。</w:t>
      </w:r>
    </w:p>
    <w:p w14:paraId="4D5276D8">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3、乙方收取每笔款项前，在提交请款报告的同时一并提供发票抬头为甲方的等额合法有效的增值税专用发票；请款报告及发票的金额应当由甲乙双方确认，若因甲方未确认请款金额而乙方自行开具请款报告及发票的，乙方应按照甲方要求重新开具，由此导致的乙方迟延提供发票或提供的发票不合格的责任由乙方自行承担，甲方的付款时间可相应顺延，且不视为违约。因支付产生的相关银行手续费用，根据有关银行规定执行，如不能明确的，由甲方、乙方双方各承担50%。由于乙方提供的发票不符合税法规定，给甲方造成的损失由乙方承担赔偿责任。</w:t>
      </w:r>
    </w:p>
    <w:p w14:paraId="4D1FB6FC">
      <w:pPr>
        <w:autoSpaceDE w:val="0"/>
        <w:autoSpaceDN w:val="0"/>
        <w:spacing w:line="360" w:lineRule="auto"/>
        <w:ind w:firstLine="420" w:firstLineChars="200"/>
        <w:jc w:val="left"/>
        <w:rPr>
          <w:rFonts w:ascii="宋体" w:hAnsi="宋体" w:eastAsia="宋体"/>
          <w:color w:val="auto"/>
          <w:kern w:val="0"/>
          <w:szCs w:val="21"/>
          <w:highlight w:val="none"/>
          <w:lang w:bidi="ar"/>
        </w:rPr>
      </w:pPr>
      <w:r>
        <w:rPr>
          <w:rFonts w:hint="eastAsia" w:ascii="宋体" w:hAnsi="宋体" w:eastAsia="宋体"/>
          <w:color w:val="auto"/>
          <w:kern w:val="0"/>
          <w:szCs w:val="21"/>
          <w:highlight w:val="none"/>
        </w:rPr>
        <w:t>4、合同在履约过程中，乙方根据本合同约定需向甲方支付违约金、赔偿金、其他应付费用等款项的，甲方有权要求乙方向甲方支付完前述款项后，甲方才根据本合同向乙方支付合同价和税额，由此造成逾期付款的，甲方不构成违约；或者，甲方有权从履约担保中扣除前述款项，且乙方必须按照扣除前述款项前的合同价（销售额）开具增值税专用发票，保证增值税税额符合法律规定。</w:t>
      </w:r>
    </w:p>
    <w:p w14:paraId="352B6F6C">
      <w:pPr>
        <w:autoSpaceDE w:val="0"/>
        <w:autoSpaceDN w:val="0"/>
        <w:spacing w:line="360" w:lineRule="auto"/>
        <w:ind w:firstLine="420" w:firstLineChars="200"/>
        <w:jc w:val="left"/>
        <w:rPr>
          <w:rFonts w:ascii="宋体" w:hAnsi="宋体" w:eastAsia="宋体"/>
          <w:color w:val="auto"/>
          <w:kern w:val="0"/>
          <w:szCs w:val="21"/>
          <w:highlight w:val="none"/>
          <w:lang w:bidi="ar"/>
        </w:rPr>
      </w:pPr>
      <w:r>
        <w:rPr>
          <w:rFonts w:hint="eastAsia" w:ascii="宋体" w:hAnsi="宋体" w:eastAsia="宋体"/>
          <w:color w:val="auto"/>
          <w:kern w:val="0"/>
          <w:szCs w:val="21"/>
          <w:highlight w:val="none"/>
          <w:lang w:bidi="ar"/>
        </w:rPr>
        <w:t>5.乙方指定收款银行账户信息如下：</w:t>
      </w:r>
    </w:p>
    <w:p w14:paraId="1AAFE7CF">
      <w:pPr>
        <w:autoSpaceDE w:val="0"/>
        <w:autoSpaceDN w:val="0"/>
        <w:spacing w:line="360" w:lineRule="auto"/>
        <w:ind w:firstLine="420" w:firstLineChars="200"/>
        <w:jc w:val="left"/>
        <w:rPr>
          <w:rFonts w:ascii="宋体" w:hAnsi="宋体" w:eastAsia="宋体"/>
          <w:color w:val="auto"/>
          <w:kern w:val="0"/>
          <w:szCs w:val="21"/>
          <w:highlight w:val="none"/>
          <w:u w:val="single"/>
          <w:lang w:bidi="ar"/>
        </w:rPr>
      </w:pPr>
      <w:r>
        <w:rPr>
          <w:rFonts w:hint="eastAsia" w:ascii="宋体" w:hAnsi="宋体" w:eastAsia="宋体"/>
          <w:color w:val="auto"/>
          <w:kern w:val="0"/>
          <w:szCs w:val="21"/>
          <w:highlight w:val="none"/>
          <w:lang w:bidi="ar"/>
        </w:rPr>
        <w:t>公司名称：</w:t>
      </w:r>
      <w:r>
        <w:rPr>
          <w:rFonts w:hint="eastAsia" w:ascii="宋体" w:hAnsi="宋体" w:eastAsia="宋体"/>
          <w:color w:val="auto"/>
          <w:kern w:val="0"/>
          <w:szCs w:val="21"/>
          <w:highlight w:val="none"/>
          <w:u w:val="single"/>
          <w:lang w:bidi="ar"/>
        </w:rPr>
        <w:t xml:space="preserve">                                     </w:t>
      </w:r>
    </w:p>
    <w:p w14:paraId="22A86855">
      <w:pPr>
        <w:autoSpaceDE w:val="0"/>
        <w:autoSpaceDN w:val="0"/>
        <w:spacing w:line="360" w:lineRule="auto"/>
        <w:ind w:firstLine="420" w:firstLineChars="200"/>
        <w:jc w:val="left"/>
        <w:rPr>
          <w:rFonts w:ascii="宋体" w:hAnsi="宋体" w:eastAsia="宋体"/>
          <w:color w:val="auto"/>
          <w:kern w:val="0"/>
          <w:szCs w:val="21"/>
          <w:highlight w:val="none"/>
          <w:lang w:bidi="ar"/>
        </w:rPr>
      </w:pPr>
      <w:r>
        <w:rPr>
          <w:rFonts w:hint="eastAsia" w:ascii="宋体" w:hAnsi="宋体" w:eastAsia="宋体"/>
          <w:color w:val="auto"/>
          <w:kern w:val="0"/>
          <w:szCs w:val="21"/>
          <w:highlight w:val="none"/>
          <w:lang w:bidi="ar"/>
        </w:rPr>
        <w:t>开户银行：</w:t>
      </w:r>
      <w:r>
        <w:rPr>
          <w:rFonts w:hint="eastAsia" w:ascii="宋体" w:hAnsi="宋体" w:eastAsia="宋体"/>
          <w:color w:val="auto"/>
          <w:kern w:val="0"/>
          <w:szCs w:val="21"/>
          <w:highlight w:val="none"/>
          <w:u w:val="single"/>
          <w:lang w:bidi="ar"/>
        </w:rPr>
        <w:t xml:space="preserve">                                     </w:t>
      </w:r>
    </w:p>
    <w:p w14:paraId="1231A8FA">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lang w:bidi="ar"/>
        </w:rPr>
        <w:t>账    号：</w:t>
      </w:r>
      <w:r>
        <w:rPr>
          <w:rFonts w:hint="eastAsia" w:ascii="宋体" w:hAnsi="宋体" w:eastAsia="宋体"/>
          <w:color w:val="auto"/>
          <w:kern w:val="0"/>
          <w:szCs w:val="21"/>
          <w:highlight w:val="none"/>
          <w:u w:val="single"/>
          <w:lang w:bidi="ar"/>
        </w:rPr>
        <w:t xml:space="preserve">                                     </w:t>
      </w:r>
    </w:p>
    <w:p w14:paraId="25B055BA">
      <w:pPr>
        <w:autoSpaceDE w:val="0"/>
        <w:autoSpaceDN w:val="0"/>
        <w:spacing w:line="360" w:lineRule="auto"/>
        <w:ind w:firstLine="422" w:firstLineChars="200"/>
        <w:jc w:val="left"/>
        <w:outlineLvl w:val="0"/>
        <w:rPr>
          <w:rFonts w:ascii="宋体" w:hAnsi="宋体" w:eastAsia="宋体"/>
          <w:b/>
          <w:color w:val="auto"/>
          <w:kern w:val="0"/>
          <w:szCs w:val="21"/>
          <w:highlight w:val="none"/>
          <w:lang w:bidi="ar"/>
        </w:rPr>
      </w:pPr>
      <w:bookmarkStart w:id="630" w:name="_Toc195714344"/>
      <w:bookmarkStart w:id="631" w:name="_Toc30064"/>
      <w:bookmarkStart w:id="632" w:name="_Toc134469730"/>
      <w:r>
        <w:rPr>
          <w:rFonts w:hint="eastAsia" w:ascii="宋体" w:hAnsi="宋体" w:eastAsia="宋体"/>
          <w:b/>
          <w:color w:val="auto"/>
          <w:kern w:val="0"/>
          <w:szCs w:val="21"/>
          <w:highlight w:val="none"/>
          <w:lang w:bidi="ar"/>
        </w:rPr>
        <w:t>六、甲乙双方权利义务</w:t>
      </w:r>
      <w:bookmarkEnd w:id="630"/>
      <w:bookmarkEnd w:id="631"/>
      <w:bookmarkEnd w:id="632"/>
    </w:p>
    <w:p w14:paraId="44041450">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（一）甲方权利义务</w:t>
      </w:r>
    </w:p>
    <w:p w14:paraId="087099BA">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1</w:t>
      </w:r>
      <w:r>
        <w:rPr>
          <w:rFonts w:ascii="宋体" w:hAnsi="宋体" w:eastAsia="宋体"/>
          <w:color w:val="auto"/>
          <w:kern w:val="0"/>
          <w:szCs w:val="21"/>
          <w:highlight w:val="none"/>
        </w:rPr>
        <w:t>.</w:t>
      </w:r>
      <w:r>
        <w:rPr>
          <w:rFonts w:hint="eastAsia" w:ascii="宋体" w:hAnsi="宋体" w:eastAsia="宋体"/>
          <w:color w:val="auto"/>
          <w:kern w:val="0"/>
          <w:szCs w:val="21"/>
          <w:highlight w:val="none"/>
        </w:rPr>
        <w:t>为保证开发系统的质量，在本项目执行过程中，甲方有权合理地提出变更、扩展、替换或修改本项目的某些部分的请求，包括增加或修改系统的相应功能，提升有关技术参数等。如甲方提出的变更要求在合理范围内，或上述变更如果不执行将会影响系统的正常使用或主要功能，乙方应执行变更要求。如乙方不同意变更要求，应当在5个工作日内对此作出书面回复，其内容应包括变更对项目交付日期、系统性能、项目技术参数的影响等，甲方应根据实际情况与乙方进行协商。</w:t>
      </w:r>
    </w:p>
    <w:p w14:paraId="7DAE700C">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2</w:t>
      </w:r>
      <w:r>
        <w:rPr>
          <w:rFonts w:ascii="宋体" w:hAnsi="宋体" w:eastAsia="宋体"/>
          <w:color w:val="auto"/>
          <w:kern w:val="0"/>
          <w:szCs w:val="21"/>
          <w:highlight w:val="none"/>
        </w:rPr>
        <w:t>.</w:t>
      </w:r>
      <w:r>
        <w:rPr>
          <w:rFonts w:hint="eastAsia" w:ascii="宋体" w:hAnsi="宋体" w:eastAsia="宋体"/>
          <w:color w:val="auto"/>
          <w:kern w:val="0"/>
          <w:szCs w:val="21"/>
          <w:highlight w:val="none"/>
        </w:rPr>
        <w:t>甲方有权对乙方工作情况进行监督检查，有权聘请第三方作为本项目的监理单位以及验收测评单位。如甲方指定了第三方作为项目监理单位，监理单位在甲方授权范围内，享有与甲方同等的权利，以监督本项目的进行。如甲方指定了第三方进行系统验收测评，乙方有义务配合并保证通过其测评工作。</w:t>
      </w:r>
    </w:p>
    <w:p w14:paraId="3059A67B">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3</w:t>
      </w:r>
      <w:r>
        <w:rPr>
          <w:rFonts w:ascii="宋体" w:hAnsi="宋体" w:eastAsia="宋体"/>
          <w:color w:val="auto"/>
          <w:kern w:val="0"/>
          <w:szCs w:val="21"/>
          <w:highlight w:val="none"/>
        </w:rPr>
        <w:t>.</w:t>
      </w:r>
      <w:r>
        <w:rPr>
          <w:rFonts w:hint="eastAsia" w:ascii="宋体" w:hAnsi="宋体" w:eastAsia="宋体"/>
          <w:color w:val="auto"/>
          <w:kern w:val="0"/>
          <w:szCs w:val="21"/>
          <w:highlight w:val="none"/>
        </w:rPr>
        <w:t>甲方有权对乙方提交的成果提出修改意见，乙方应在甲方规定时间内完成修改提交符合要求的成果。</w:t>
      </w:r>
    </w:p>
    <w:p w14:paraId="0E05DC67">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4</w:t>
      </w:r>
      <w:r>
        <w:rPr>
          <w:rFonts w:ascii="宋体" w:hAnsi="宋体" w:eastAsia="宋体"/>
          <w:color w:val="auto"/>
          <w:kern w:val="0"/>
          <w:szCs w:val="21"/>
          <w:highlight w:val="none"/>
        </w:rPr>
        <w:t>.</w:t>
      </w:r>
      <w:r>
        <w:rPr>
          <w:rFonts w:hint="eastAsia" w:ascii="宋体" w:hAnsi="宋体" w:eastAsia="宋体"/>
          <w:color w:val="auto"/>
          <w:kern w:val="0"/>
          <w:szCs w:val="21"/>
          <w:highlight w:val="none"/>
        </w:rPr>
        <w:t>因政府政策影响，甲方战略、板块、业务与职能调整，信息新技术发展等因素原因，甲方有单方面中止项目的权利，项目中止应在乙方收到甲方的书面通知时即时生效；如因甲方中止项目导致工期延误的，工期予以相应顺延，但甲方无需支付补偿费用，项目中止期间，除非必要，乙方亦中止相关服务的提供。</w:t>
      </w:r>
    </w:p>
    <w:p w14:paraId="13BE1885">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（二）乙方权利义务</w:t>
      </w:r>
    </w:p>
    <w:p w14:paraId="73D393E1">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1</w:t>
      </w:r>
      <w:r>
        <w:rPr>
          <w:rFonts w:ascii="宋体" w:hAnsi="宋体" w:eastAsia="宋体"/>
          <w:color w:val="auto"/>
          <w:kern w:val="0"/>
          <w:szCs w:val="21"/>
          <w:highlight w:val="none"/>
        </w:rPr>
        <w:t>.</w:t>
      </w:r>
      <w:r>
        <w:rPr>
          <w:rFonts w:hint="eastAsia" w:ascii="宋体" w:hAnsi="宋体" w:eastAsia="宋体"/>
          <w:color w:val="auto"/>
          <w:kern w:val="0"/>
          <w:szCs w:val="21"/>
          <w:highlight w:val="none"/>
        </w:rPr>
        <w:t>乙方应按国家规定的技术规范、标准提供服务，按甲方委托服务规定的内容、要求、时间向甲方交付成果，并对提交成果的质量、真实性、准确性、完整性负责。</w:t>
      </w:r>
    </w:p>
    <w:p w14:paraId="090CC462">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2</w:t>
      </w:r>
      <w:r>
        <w:rPr>
          <w:rFonts w:ascii="宋体" w:hAnsi="宋体" w:eastAsia="宋体"/>
          <w:color w:val="auto"/>
          <w:kern w:val="0"/>
          <w:szCs w:val="21"/>
          <w:highlight w:val="none"/>
        </w:rPr>
        <w:t>.</w:t>
      </w:r>
      <w:r>
        <w:rPr>
          <w:rFonts w:hint="eastAsia" w:ascii="宋体" w:hAnsi="宋体" w:eastAsia="宋体"/>
          <w:color w:val="auto"/>
          <w:kern w:val="0"/>
          <w:szCs w:val="21"/>
          <w:highlight w:val="none"/>
        </w:rPr>
        <w:t>本项目禁止转包分包，未经甲方书面同意，乙方不得将本合同项目部分或全部开发工作转让第三人承担。如发现乙方转包分包情况，甲方有权终止合同，要求乙方支付本项目合同总价（含税）</w:t>
      </w:r>
      <w:r>
        <w:rPr>
          <w:rFonts w:hint="eastAsia" w:ascii="宋体" w:hAnsi="宋体" w:eastAsia="宋体"/>
          <w:color w:val="auto"/>
          <w:kern w:val="0"/>
          <w:szCs w:val="21"/>
          <w:highlight w:val="none"/>
          <w:u w:val="single"/>
        </w:rPr>
        <w:t xml:space="preserve"> 20% </w:t>
      </w:r>
      <w:r>
        <w:rPr>
          <w:rFonts w:hint="eastAsia" w:ascii="宋体" w:hAnsi="宋体" w:eastAsia="宋体"/>
          <w:color w:val="auto"/>
          <w:kern w:val="0"/>
          <w:szCs w:val="21"/>
          <w:highlight w:val="none"/>
        </w:rPr>
        <w:t>的违约金并赔偿甲方的全部损失及由此产生的一切费用，包括不限于评估费、律师费、诉讼费、差旅费等费用。</w:t>
      </w:r>
    </w:p>
    <w:p w14:paraId="2DB05769">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3</w:t>
      </w:r>
      <w:r>
        <w:rPr>
          <w:rFonts w:ascii="宋体" w:hAnsi="宋体" w:eastAsia="宋体"/>
          <w:color w:val="auto"/>
          <w:kern w:val="0"/>
          <w:szCs w:val="21"/>
          <w:highlight w:val="none"/>
        </w:rPr>
        <w:t>.</w:t>
      </w:r>
      <w:r>
        <w:rPr>
          <w:rFonts w:hint="eastAsia" w:ascii="宋体" w:hAnsi="宋体" w:eastAsia="宋体"/>
          <w:color w:val="auto"/>
          <w:kern w:val="0"/>
          <w:szCs w:val="21"/>
          <w:highlight w:val="none"/>
        </w:rPr>
        <w:t>乙方应确保具备实施和完成本项目的资质及能力，如在本合同履行中，因出现在现有技术水平和条件下难以克服的技术困难，经专家权威机构认定为技术风险，本项目开发失败或部分失败的，甲方有权单方解除合同，乙方应退还甲方已支付的项目费用，乙方已完成或付出的劳动可与甲方协商补偿，其已完成的成果及其相关知识产权、使用权归甲方所有。</w:t>
      </w:r>
    </w:p>
    <w:p w14:paraId="67D68C31">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4</w:t>
      </w:r>
      <w:r>
        <w:rPr>
          <w:rFonts w:ascii="宋体" w:hAnsi="宋体" w:eastAsia="宋体"/>
          <w:color w:val="auto"/>
          <w:kern w:val="0"/>
          <w:szCs w:val="21"/>
          <w:highlight w:val="none"/>
        </w:rPr>
        <w:t>.</w:t>
      </w:r>
      <w:r>
        <w:rPr>
          <w:rFonts w:hint="eastAsia" w:ascii="宋体" w:hAnsi="宋体" w:eastAsia="宋体"/>
          <w:color w:val="auto"/>
          <w:kern w:val="0"/>
          <w:szCs w:val="21"/>
          <w:highlight w:val="none"/>
        </w:rPr>
        <w:t>乙方不得向外泄露甲方提供的相关资料，并应对甲方的商业资料进行绝对保密。否则，由于乙方过错导致的上述资料泄密的，乙方应向甲方支付本</w:t>
      </w:r>
      <w:r>
        <w:rPr>
          <w:rFonts w:hint="eastAsia" w:ascii="宋体" w:hAnsi="宋体" w:eastAsia="宋体" w:cs="Times New Roman"/>
          <w:color w:val="auto"/>
          <w:kern w:val="0"/>
          <w:szCs w:val="21"/>
          <w:highlight w:val="none"/>
        </w:rPr>
        <w:t>项目合同总价（含税）</w:t>
      </w:r>
      <w:r>
        <w:rPr>
          <w:rFonts w:hint="eastAsia" w:ascii="宋体" w:hAnsi="宋体" w:eastAsia="宋体"/>
          <w:color w:val="auto"/>
          <w:kern w:val="0"/>
          <w:szCs w:val="21"/>
          <w:highlight w:val="none"/>
          <w:u w:val="single"/>
        </w:rPr>
        <w:t xml:space="preserve"> 20% </w:t>
      </w:r>
      <w:r>
        <w:rPr>
          <w:rFonts w:hint="eastAsia" w:ascii="宋体" w:hAnsi="宋体" w:eastAsia="宋体"/>
          <w:color w:val="auto"/>
          <w:kern w:val="0"/>
          <w:szCs w:val="21"/>
          <w:highlight w:val="none"/>
        </w:rPr>
        <w:t>的违约金，并赔偿甲方的全部损失及由此产生的一切费用，包括不限于评估费、律师费、诉讼费、差旅费等费用。</w:t>
      </w:r>
    </w:p>
    <w:p w14:paraId="132A2B15">
      <w:pPr>
        <w:autoSpaceDE w:val="0"/>
        <w:autoSpaceDN w:val="0"/>
        <w:spacing w:line="360" w:lineRule="auto"/>
        <w:ind w:firstLine="422" w:firstLineChars="200"/>
        <w:jc w:val="left"/>
        <w:outlineLvl w:val="0"/>
        <w:rPr>
          <w:rFonts w:ascii="宋体" w:hAnsi="宋体" w:eastAsia="宋体"/>
          <w:b/>
          <w:color w:val="auto"/>
          <w:kern w:val="0"/>
          <w:szCs w:val="21"/>
          <w:highlight w:val="none"/>
        </w:rPr>
      </w:pPr>
      <w:bookmarkStart w:id="633" w:name="_Toc19836"/>
      <w:bookmarkStart w:id="634" w:name="_Toc195714345"/>
      <w:bookmarkStart w:id="635" w:name="_Toc134469731"/>
      <w:r>
        <w:rPr>
          <w:rFonts w:hint="eastAsia" w:ascii="宋体" w:hAnsi="宋体" w:eastAsia="宋体"/>
          <w:b/>
          <w:color w:val="auto"/>
          <w:kern w:val="0"/>
          <w:szCs w:val="21"/>
          <w:highlight w:val="none"/>
        </w:rPr>
        <w:t>七、技术风险</w:t>
      </w:r>
      <w:bookmarkEnd w:id="633"/>
      <w:bookmarkEnd w:id="634"/>
      <w:bookmarkEnd w:id="635"/>
    </w:p>
    <w:p w14:paraId="4ECEC1E0">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（一）甲乙双方确定，本合同项目的技术风险按当事人甲乙双方认可的专家权威机构确定的方式认定。认定技术风险的基本内容应当包括技术风险的存在、范围、程度及损失大小等，认定技术风险的基本条件是：</w:t>
      </w:r>
    </w:p>
    <w:p w14:paraId="6F806C2A">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1.本合同项目在现有技术水平条件下具有足够的难度。</w:t>
      </w:r>
    </w:p>
    <w:p w14:paraId="352855D1">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2.乙方在主观上无过错且经认定开发失败为合理的失败。</w:t>
      </w:r>
    </w:p>
    <w:p w14:paraId="4E57948A">
      <w:pPr>
        <w:autoSpaceDE w:val="0"/>
        <w:autoSpaceDN w:val="0"/>
        <w:spacing w:line="360" w:lineRule="auto"/>
        <w:ind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二）乙方发现技术风险存在并有可能致使开发失败或部分失败的情形时，应当在5个工作日内通知甲方并采取适当措施减少损失。逾期未通知并未采取适当措施而致使损失扩大的，乙方应当就开发失败造成甲方的全部损失部分承担赔偿责任。</w:t>
      </w:r>
    </w:p>
    <w:p w14:paraId="3461657A">
      <w:pPr>
        <w:autoSpaceDE w:val="0"/>
        <w:autoSpaceDN w:val="0"/>
        <w:spacing w:line="360" w:lineRule="auto"/>
        <w:ind w:firstLine="422" w:firstLineChars="200"/>
        <w:jc w:val="left"/>
        <w:outlineLvl w:val="0"/>
        <w:rPr>
          <w:rFonts w:ascii="宋体" w:hAnsi="宋体" w:eastAsia="宋体"/>
          <w:b/>
          <w:color w:val="auto"/>
          <w:kern w:val="0"/>
          <w:szCs w:val="21"/>
          <w:highlight w:val="none"/>
        </w:rPr>
      </w:pPr>
      <w:bookmarkStart w:id="636" w:name="_Toc134469732"/>
      <w:bookmarkStart w:id="637" w:name="_Toc13714"/>
      <w:bookmarkStart w:id="638" w:name="_Toc195714346"/>
      <w:r>
        <w:rPr>
          <w:rFonts w:hint="eastAsia" w:ascii="宋体" w:hAnsi="宋体" w:eastAsia="宋体"/>
          <w:b/>
          <w:color w:val="auto"/>
          <w:kern w:val="0"/>
          <w:szCs w:val="21"/>
          <w:highlight w:val="none"/>
        </w:rPr>
        <w:t>八、项目交付成果要求、验收要求</w:t>
      </w:r>
      <w:bookmarkEnd w:id="636"/>
      <w:r>
        <w:rPr>
          <w:rFonts w:hint="eastAsia" w:ascii="宋体" w:hAnsi="宋体" w:eastAsia="宋体"/>
          <w:b/>
          <w:color w:val="auto"/>
          <w:kern w:val="0"/>
          <w:szCs w:val="21"/>
          <w:highlight w:val="none"/>
        </w:rPr>
        <w:t>和项目评估</w:t>
      </w:r>
      <w:bookmarkEnd w:id="637"/>
      <w:bookmarkEnd w:id="638"/>
    </w:p>
    <w:p w14:paraId="359779C4">
      <w:pPr>
        <w:autoSpaceDE w:val="0"/>
        <w:autoSpaceDN w:val="0"/>
        <w:spacing w:line="360" w:lineRule="auto"/>
        <w:ind w:firstLine="422" w:firstLineChars="200"/>
        <w:jc w:val="left"/>
        <w:outlineLvl w:val="1"/>
        <w:rPr>
          <w:rFonts w:ascii="宋体" w:hAnsi="宋体" w:eastAsia="宋体"/>
          <w:b/>
          <w:bCs/>
          <w:color w:val="auto"/>
          <w:kern w:val="0"/>
          <w:szCs w:val="21"/>
          <w:highlight w:val="none"/>
        </w:rPr>
      </w:pPr>
      <w:bookmarkStart w:id="639" w:name="_Toc30032"/>
      <w:bookmarkStart w:id="640" w:name="_Toc195714347"/>
      <w:r>
        <w:rPr>
          <w:rFonts w:hint="eastAsia" w:ascii="宋体" w:hAnsi="宋体" w:eastAsia="宋体"/>
          <w:b/>
          <w:bCs/>
          <w:color w:val="auto"/>
          <w:kern w:val="0"/>
          <w:szCs w:val="21"/>
          <w:highlight w:val="none"/>
        </w:rPr>
        <w:t>（一）项目交付成果要求：</w:t>
      </w:r>
      <w:bookmarkEnd w:id="639"/>
      <w:bookmarkEnd w:id="640"/>
    </w:p>
    <w:p w14:paraId="6840042E">
      <w:pPr>
        <w:autoSpaceDE w:val="0"/>
        <w:autoSpaceDN w:val="0"/>
        <w:spacing w:line="360" w:lineRule="auto"/>
        <w:ind w:firstLine="422" w:firstLineChars="200"/>
        <w:jc w:val="left"/>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1.乙方提交技术资料的总体要求</w:t>
      </w:r>
    </w:p>
    <w:p w14:paraId="1C177453">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（1）乙方提供的所有技术文件及相关书面资料将作为合同的必要组成部分与合同一起生效执行。</w:t>
      </w:r>
    </w:p>
    <w:p w14:paraId="122655FA">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（2）乙方提供的技术文件应是完整的、清晰易读的、容易阅读并且无错误。</w:t>
      </w:r>
    </w:p>
    <w:p w14:paraId="215ACEC8">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（3）乙方提交的技术响应文件均用简体中文编写，所有尺寸单位应是国际单位(SI)制。</w:t>
      </w:r>
    </w:p>
    <w:p w14:paraId="32759844">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（4）进口设备除提交英文技术文件外必须同时提供简体中文对应译本，并以中文译本为准。</w:t>
      </w:r>
    </w:p>
    <w:p w14:paraId="4FFF9A51">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（5）图纸和资料的补充</w:t>
      </w:r>
    </w:p>
    <w:p w14:paraId="41FBE7EA">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在出现遗漏或发现错误时，有关设备的补充资料应及时提交甲方进行补充设计或设计变更。</w:t>
      </w:r>
    </w:p>
    <w:p w14:paraId="32101AF3">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（6）方案的修改</w:t>
      </w:r>
    </w:p>
    <w:p w14:paraId="77A85692">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本用户需求书的技术要求对乙方均是严格的规定，乙方应遵守这些规定。但乙方也可根据自己提供更优的设备对设计方案提出必要的改动建议，是否采纳由甲方根据情况和合理性决定。</w:t>
      </w:r>
    </w:p>
    <w:p w14:paraId="4656206C">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（7）图纸标准</w:t>
      </w:r>
    </w:p>
    <w:p w14:paraId="1155FDAF">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所有图纸尺寸应用一种规格的图纸A2幅面（投标文件中的图纸采用A3幅面，但应折叠成A4规格）。所有计量采用国际单位制（SI制），所有注释，标题和说明应为中文。</w:t>
      </w:r>
    </w:p>
    <w:p w14:paraId="6B5E9D65">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全部图纸必须清晰，完整，并与相应的工程图纸和技术规定的要求相符。</w:t>
      </w:r>
    </w:p>
    <w:p w14:paraId="3146BB73">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（8）全部资料应分类清晰、适当地装订成册，文件夹为硬塑料夹，夹内文件应取放方便。</w:t>
      </w:r>
    </w:p>
    <w:p w14:paraId="0D1F0C4C">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（9）除投标阶段的投标文件外，其他各阶段的资料均需以子项目为单位进行准备、递交。</w:t>
      </w:r>
    </w:p>
    <w:p w14:paraId="5CCBE5F8">
      <w:pPr>
        <w:autoSpaceDE w:val="0"/>
        <w:autoSpaceDN w:val="0"/>
        <w:spacing w:line="360" w:lineRule="auto"/>
        <w:ind w:firstLine="422" w:firstLineChars="200"/>
        <w:jc w:val="left"/>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2.设计阶段</w:t>
      </w:r>
    </w:p>
    <w:p w14:paraId="58724C6C">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（1）乙方应在收到中标通知后5个工作日内向甲方提供2份完整的所有供货设备的必要技术资料（含纸质和电子文件，电子文档以U盘作为存储介质交付）。</w:t>
      </w:r>
    </w:p>
    <w:p w14:paraId="5369FC07">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如果乙方不能一次按时提供全部资料，在征得甲方书面同意后可以在两周内提交全部资料。</w:t>
      </w:r>
    </w:p>
    <w:p w14:paraId="1A025A33">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乙方应在收到中标通知后30个工作日内向甲方提供详细施工图设计（含纸质和电子文件，电子文档以U盘作为存储介质交付）。甲方必须保证设计资料符合工程安装需求。如因乙方提供的设计资料错误导致设备无法安装的，由此造成的一切损失由乙方承担。</w:t>
      </w:r>
    </w:p>
    <w:p w14:paraId="532085E5">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（2）设计资料</w:t>
      </w:r>
    </w:p>
    <w:p w14:paraId="59714E60">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乙方应负责提供与供货设备相关的及供货界线内的所有必要资料，并完成详细设计。包括（但不限于此）：</w:t>
      </w:r>
    </w:p>
    <w:p w14:paraId="6807990F">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A、乙方供货范围内的设备图纸及设备说明书。</w:t>
      </w:r>
    </w:p>
    <w:p w14:paraId="162F195D">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电控柜、机柜（箱）的外形尺寸、安装方式。</w:t>
      </w:r>
    </w:p>
    <w:p w14:paraId="19BF5688">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电控柜、机柜（箱）的控制原理图、端子图。</w:t>
      </w:r>
    </w:p>
    <w:p w14:paraId="09FFABCE">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配套电缆、光缆的型号、规格、长度。</w:t>
      </w:r>
    </w:p>
    <w:p w14:paraId="13BCFB64">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B、在设备安装时对土建构筑物的专门要求及图纸。包括基础、承载力、设备重量、材料种类和加工等。</w:t>
      </w:r>
    </w:p>
    <w:p w14:paraId="28009934">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C、交货界区内详细的设备的工作图及安装图。</w:t>
      </w:r>
    </w:p>
    <w:p w14:paraId="784FEE63">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D、第三节详细技术要求中所要求提供的技术资料。</w:t>
      </w:r>
    </w:p>
    <w:p w14:paraId="36C3EAD0">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E、交货界区内用电设备清单，指明穿过交货界区的电缆连接件和电缆一览表、端子图。</w:t>
      </w:r>
    </w:p>
    <w:p w14:paraId="3AEC56EE">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F、交货界区内控制系统软件和电缆表、端子图。</w:t>
      </w:r>
    </w:p>
    <w:p w14:paraId="5B311E3C">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G、机械设备配套电气设备及控制箱（柜）图纸，包括</w:t>
      </w:r>
    </w:p>
    <w:p w14:paraId="2C9FAB5B">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电缆、光缆清单—须标明电缆、光缆名称、芯数、截面、载流量、功能、起终点及工程量。</w:t>
      </w:r>
    </w:p>
    <w:p w14:paraId="46C867DC">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总布置图—设备的总体布置图，详图和一览表等。</w:t>
      </w:r>
    </w:p>
    <w:p w14:paraId="29A3A9A5">
      <w:pPr>
        <w:autoSpaceDE w:val="0"/>
        <w:autoSpaceDN w:val="0"/>
        <w:spacing w:line="360" w:lineRule="auto"/>
        <w:ind w:firstLine="422" w:firstLineChars="200"/>
        <w:jc w:val="left"/>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3.交货阶段</w:t>
      </w:r>
    </w:p>
    <w:p w14:paraId="08A6DCD8">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（1）设备安装运行维护手册</w:t>
      </w:r>
    </w:p>
    <w:p w14:paraId="38B155A0">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乙方在设备交货的同时应提供全套由制造厂签字的技术文件及所有设备的安装操作、维修手册。这些设备包括工艺设备、电气设备、网络设备、计算硬件、中心控制及其它控制装置等全部供货设备。</w:t>
      </w:r>
    </w:p>
    <w:p w14:paraId="7BED5CD7">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所有设备必须提供满足现场装配的设备装配图。</w:t>
      </w:r>
    </w:p>
    <w:p w14:paraId="7C064A03">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（2）安装调试资料</w:t>
      </w:r>
    </w:p>
    <w:p w14:paraId="1A74FDBF">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A、调试大纲，应包括但不限于以下内容：调试阶段详细的进度计划；调试阶段划分，阶段目标、程序、测试方法；调试班子的人员、设备、仪器的配备；对调试中可能出现的故障的预防及排除措施；安全措施。</w:t>
      </w:r>
    </w:p>
    <w:p w14:paraId="5861D82B">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B、系统功能测试评定表。</w:t>
      </w:r>
    </w:p>
    <w:p w14:paraId="1E497482">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C、联合试运转评定表。</w:t>
      </w:r>
    </w:p>
    <w:p w14:paraId="24DBC565">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D、质量和安全事故处理报告。（有则提供）</w:t>
      </w:r>
    </w:p>
    <w:p w14:paraId="0031B3D5">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（3）运行保养维修手册内容要求</w:t>
      </w:r>
    </w:p>
    <w:p w14:paraId="192A0718">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A.运行手册</w:t>
      </w:r>
    </w:p>
    <w:p w14:paraId="0DD3C6AE">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污水处理厂操作管理人员所用的运行手册，应当包括下列各项内容，但不限于这些内容：操作步骤；在运行中应采取的安全操作须知；基本保养常识；可能引起事故的原因及解除方法；其它要求。</w:t>
      </w:r>
    </w:p>
    <w:p w14:paraId="60592BA9">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B.保养手册</w:t>
      </w:r>
    </w:p>
    <w:p w14:paraId="0E872F3B">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① 日常维修、维护、试验和更换部件的手续、步骤和时间。</w:t>
      </w:r>
    </w:p>
    <w:p w14:paraId="07D57A6D">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② 图示容易出事故地方，并提出补救措施，以便操作人员可以迅速寻找出事故的原因和消灭这些误动作。</w:t>
      </w:r>
    </w:p>
    <w:p w14:paraId="3D955F9D">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③ 一份备品备件清单，它应包括电气和机械设备上应该有的全部备品备件，并说明订货方法方面的参考资料和备件名称。</w:t>
      </w:r>
    </w:p>
    <w:p w14:paraId="31335518">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④ 提供一份完整的制造商和供货商的名称表，它应包括有地址、电话号码、传真号码、邮政编码以及在中国的代理商。</w:t>
      </w:r>
    </w:p>
    <w:p w14:paraId="37E12DD0">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⑤提供一份完整的制造商提供的设备操作维修的指导事项表，按制造商名字序列排列，并用设备件号、型号、图号和文字相配</w:t>
      </w:r>
    </w:p>
    <w:p w14:paraId="70100C7F">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（4）完整的装箱单、产品合格证、质保保证书、维修手册及服务卡。</w:t>
      </w:r>
    </w:p>
    <w:p w14:paraId="4E54DE1C">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（5）乙方应提供设备性能、测试性能、测试报告和其它重要资料。</w:t>
      </w:r>
    </w:p>
    <w:p w14:paraId="13F46821">
      <w:pPr>
        <w:autoSpaceDE w:val="0"/>
        <w:autoSpaceDN w:val="0"/>
        <w:spacing w:line="360" w:lineRule="auto"/>
        <w:ind w:firstLine="422" w:firstLineChars="200"/>
        <w:jc w:val="left"/>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4.验收阶段</w:t>
      </w:r>
    </w:p>
    <w:p w14:paraId="6D896C2D">
      <w:pPr>
        <w:autoSpaceDE w:val="0"/>
        <w:autoSpaceDN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乙方在完成最终验收合格后30日内，向甲方（或监理单位）分别移交四套符合现行工程验收规范的竣工资料和一套电子档扫描件（以光盘或U盘作为存储介质交付）。 </w:t>
      </w:r>
    </w:p>
    <w:p w14:paraId="412DE434">
      <w:pPr>
        <w:autoSpaceDE w:val="0"/>
        <w:autoSpaceDN w:val="0"/>
        <w:spacing w:line="360" w:lineRule="auto"/>
        <w:ind w:firstLine="422" w:firstLineChars="200"/>
        <w:jc w:val="left"/>
        <w:outlineLvl w:val="1"/>
        <w:rPr>
          <w:rFonts w:ascii="宋体" w:hAnsi="宋体" w:eastAsia="宋体" w:cs="宋体"/>
          <w:b/>
          <w:bCs/>
          <w:color w:val="auto"/>
          <w:kern w:val="0"/>
          <w:szCs w:val="21"/>
          <w:highlight w:val="none"/>
        </w:rPr>
      </w:pPr>
      <w:bookmarkStart w:id="641" w:name="_Toc195714348"/>
      <w:bookmarkStart w:id="642" w:name="_Toc13316"/>
      <w:r>
        <w:rPr>
          <w:rFonts w:hint="eastAsia" w:ascii="宋体" w:hAnsi="宋体" w:eastAsia="宋体" w:cs="宋体"/>
          <w:b/>
          <w:bCs/>
          <w:color w:val="auto"/>
          <w:kern w:val="0"/>
          <w:szCs w:val="21"/>
          <w:highlight w:val="none"/>
        </w:rPr>
        <w:t>（二）验收要求</w:t>
      </w:r>
      <w:bookmarkEnd w:id="641"/>
      <w:bookmarkEnd w:id="642"/>
    </w:p>
    <w:p w14:paraId="0CB72E82">
      <w:pPr>
        <w:tabs>
          <w:tab w:val="left" w:pos="567"/>
        </w:tabs>
        <w:spacing w:line="360" w:lineRule="auto"/>
        <w:ind w:firstLine="424" w:firstLineChars="202"/>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验收分为货到交货地点的交接验收，货物完成安装、</w:t>
      </w:r>
      <w:r>
        <w:rPr>
          <w:rFonts w:hint="eastAsia" w:ascii="Times New Roman" w:hAnsi="Times New Roman" w:eastAsia="宋体" w:cs="Times New Roman"/>
          <w:color w:val="auto"/>
          <w:szCs w:val="24"/>
          <w:highlight w:val="none"/>
        </w:rPr>
        <w:t>调试、系统功能完整度测试</w:t>
      </w:r>
      <w:r>
        <w:rPr>
          <w:rFonts w:ascii="Times New Roman" w:hAnsi="Times New Roman" w:eastAsia="宋体" w:cs="Times New Roman"/>
          <w:color w:val="auto"/>
          <w:szCs w:val="24"/>
          <w:highlight w:val="none"/>
        </w:rPr>
        <w:t>的初步验收，和</w:t>
      </w:r>
      <w:r>
        <w:rPr>
          <w:rFonts w:hint="eastAsia" w:ascii="Times New Roman" w:hAnsi="Times New Roman" w:eastAsia="宋体" w:cs="Times New Roman"/>
          <w:color w:val="auto"/>
          <w:szCs w:val="24"/>
          <w:highlight w:val="none"/>
        </w:rPr>
        <w:t>上线试运行并完成整改</w:t>
      </w:r>
      <w:r>
        <w:rPr>
          <w:rFonts w:ascii="Times New Roman" w:hAnsi="Times New Roman" w:eastAsia="宋体" w:cs="Times New Roman"/>
          <w:color w:val="auto"/>
          <w:szCs w:val="24"/>
          <w:highlight w:val="none"/>
        </w:rPr>
        <w:t>的最终验收，并符合《城镇污水处理厂工程质量验收规范》（GB50334-2017）、《城乡排水工程项目规范》</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GB55027-2022</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等的规定。</w:t>
      </w:r>
    </w:p>
    <w:p w14:paraId="0A199787">
      <w:pPr>
        <w:spacing w:line="360" w:lineRule="auto"/>
        <w:ind w:firstLine="422" w:firstLineChars="200"/>
        <w:outlineLvl w:val="2"/>
        <w:rPr>
          <w:rFonts w:ascii="Times New Roman" w:hAnsi="Times New Roman" w:eastAsia="宋体" w:cs="Times New Roman"/>
          <w:b/>
          <w:bCs/>
          <w:color w:val="auto"/>
          <w:szCs w:val="24"/>
          <w:highlight w:val="none"/>
        </w:rPr>
      </w:pPr>
      <w:bookmarkStart w:id="643" w:name="_Toc195714349"/>
      <w:bookmarkStart w:id="644" w:name="_Toc3152"/>
      <w:r>
        <w:rPr>
          <w:rFonts w:hint="eastAsia" w:ascii="Times New Roman" w:hAnsi="Times New Roman" w:eastAsia="宋体" w:cs="Times New Roman"/>
          <w:b/>
          <w:bCs/>
          <w:color w:val="auto"/>
          <w:szCs w:val="24"/>
          <w:highlight w:val="none"/>
        </w:rPr>
        <w:t>1.项目验收依据</w:t>
      </w:r>
      <w:bookmarkEnd w:id="643"/>
      <w:bookmarkEnd w:id="644"/>
    </w:p>
    <w:p w14:paraId="57CA8C27">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项目验收的依据主要包括项目</w:t>
      </w:r>
      <w:r>
        <w:rPr>
          <w:rFonts w:hint="eastAsia" w:ascii="Times New Roman" w:hAnsi="Times New Roman" w:eastAsia="宋体" w:cs="Times New Roman"/>
          <w:color w:val="auto"/>
          <w:szCs w:val="24"/>
          <w:highlight w:val="none"/>
        </w:rPr>
        <w:t>可研文件、</w:t>
      </w:r>
      <w:r>
        <w:rPr>
          <w:rFonts w:ascii="Times New Roman" w:hAnsi="Times New Roman" w:eastAsia="宋体" w:cs="Times New Roman"/>
          <w:color w:val="auto"/>
          <w:szCs w:val="24"/>
          <w:highlight w:val="none"/>
        </w:rPr>
        <w:t>合同及相应招投标文件、经审批部门审定的项目设计方案和批复文件、项目</w:t>
      </w:r>
      <w:r>
        <w:rPr>
          <w:rFonts w:hint="eastAsia" w:ascii="Times New Roman" w:hAnsi="Times New Roman" w:eastAsia="宋体" w:cs="Times New Roman"/>
          <w:color w:val="auto"/>
          <w:szCs w:val="24"/>
          <w:highlight w:val="none"/>
        </w:rPr>
        <w:t>甲方</w:t>
      </w:r>
      <w:r>
        <w:rPr>
          <w:rFonts w:ascii="Times New Roman" w:hAnsi="Times New Roman" w:eastAsia="宋体" w:cs="Times New Roman"/>
          <w:color w:val="auto"/>
          <w:szCs w:val="24"/>
          <w:highlight w:val="none"/>
        </w:rPr>
        <w:t>下达的任务书和验收</w:t>
      </w:r>
      <w:r>
        <w:rPr>
          <w:rFonts w:hint="eastAsia" w:ascii="Times New Roman" w:hAnsi="Times New Roman" w:eastAsia="宋体" w:cs="Times New Roman"/>
          <w:color w:val="auto"/>
          <w:szCs w:val="24"/>
          <w:highlight w:val="none"/>
        </w:rPr>
        <w:t>甲方与乙方双方</w:t>
      </w:r>
      <w:r>
        <w:rPr>
          <w:rFonts w:ascii="Times New Roman" w:hAnsi="Times New Roman" w:eastAsia="宋体" w:cs="Times New Roman"/>
          <w:color w:val="auto"/>
          <w:szCs w:val="24"/>
          <w:highlight w:val="none"/>
        </w:rPr>
        <w:t>约定的验收依据文档或相关标准。</w:t>
      </w:r>
    </w:p>
    <w:p w14:paraId="3A34DB29">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注：</w:t>
      </w:r>
      <w:r>
        <w:rPr>
          <w:rFonts w:hint="eastAsia" w:ascii="Times New Roman" w:hAnsi="Times New Roman" w:eastAsia="宋体" w:cs="Times New Roman"/>
          <w:color w:val="auto"/>
          <w:szCs w:val="24"/>
          <w:highlight w:val="none"/>
        </w:rPr>
        <w:t>甲方与乙方</w:t>
      </w:r>
      <w:r>
        <w:rPr>
          <w:rFonts w:ascii="Times New Roman" w:hAnsi="Times New Roman" w:eastAsia="宋体" w:cs="Times New Roman"/>
          <w:color w:val="auto"/>
          <w:szCs w:val="24"/>
          <w:highlight w:val="none"/>
        </w:rPr>
        <w:t>双方约定的验收依据文档，</w:t>
      </w:r>
      <w:r>
        <w:rPr>
          <w:rFonts w:hint="eastAsia" w:ascii="Times New Roman" w:hAnsi="Times New Roman" w:eastAsia="宋体" w:cs="Times New Roman"/>
          <w:color w:val="auto"/>
          <w:szCs w:val="24"/>
          <w:highlight w:val="none"/>
        </w:rPr>
        <w:t>包括但不限于如下：</w:t>
      </w:r>
    </w:p>
    <w:tbl>
      <w:tblPr>
        <w:tblStyle w:val="44"/>
        <w:tblW w:w="4994" w:type="pct"/>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98"/>
        <w:gridCol w:w="9160"/>
      </w:tblGrid>
      <w:tr w14:paraId="40548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15F641AF">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
                <w:color w:val="auto"/>
                <w:szCs w:val="28"/>
                <w:highlight w:val="none"/>
              </w:rPr>
            </w:pPr>
            <w:r>
              <w:rPr>
                <w:rFonts w:hint="eastAsia" w:ascii="仿宋_GB2312" w:hAnsi="仿宋_GB2312" w:eastAsia="宋体" w:cs="仿宋_GB2312"/>
                <w:b/>
                <w:color w:val="auto"/>
                <w:szCs w:val="21"/>
                <w:highlight w:val="none"/>
                <w:lang w:bidi="ar"/>
              </w:rPr>
              <w:t>编号</w:t>
            </w:r>
          </w:p>
        </w:tc>
        <w:tc>
          <w:tcPr>
            <w:tcW w:w="4421" w:type="pct"/>
            <w:tcBorders>
              <w:top w:val="single" w:color="000000" w:sz="4" w:space="0"/>
              <w:left w:val="nil"/>
              <w:bottom w:val="single" w:color="000000" w:sz="4" w:space="0"/>
              <w:right w:val="single" w:color="000000" w:sz="4" w:space="0"/>
            </w:tcBorders>
            <w:shd w:val="clear" w:color="auto" w:fill="D9D9D9"/>
            <w:vAlign w:val="center"/>
          </w:tcPr>
          <w:p w14:paraId="0CAD9A64">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
                <w:color w:val="auto"/>
                <w:szCs w:val="28"/>
                <w:highlight w:val="none"/>
              </w:rPr>
            </w:pPr>
            <w:r>
              <w:rPr>
                <w:rFonts w:hint="eastAsia" w:ascii="仿宋_GB2312" w:hAnsi="仿宋_GB2312" w:eastAsia="宋体" w:cs="仿宋_GB2312"/>
                <w:b/>
                <w:color w:val="auto"/>
                <w:szCs w:val="21"/>
                <w:highlight w:val="none"/>
                <w:lang w:bidi="ar"/>
              </w:rPr>
              <w:t>名称</w:t>
            </w:r>
          </w:p>
        </w:tc>
      </w:tr>
      <w:tr w14:paraId="01C8F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6C5CC">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Cs/>
                <w:color w:val="auto"/>
                <w:szCs w:val="28"/>
                <w:highlight w:val="none"/>
              </w:rPr>
            </w:pPr>
            <w:r>
              <w:rPr>
                <w:rFonts w:hint="eastAsia" w:ascii="仿宋_GB2312" w:hAnsi="仿宋_GB2312" w:eastAsia="宋体" w:cs="仿宋_GB2312"/>
                <w:bCs/>
                <w:color w:val="auto"/>
                <w:szCs w:val="21"/>
                <w:highlight w:val="none"/>
                <w:lang w:bidi="ar"/>
              </w:rPr>
              <w:t>1</w:t>
            </w:r>
          </w:p>
        </w:tc>
        <w:tc>
          <w:tcPr>
            <w:tcW w:w="4421" w:type="pct"/>
            <w:tcBorders>
              <w:top w:val="single" w:color="000000" w:sz="4" w:space="0"/>
              <w:left w:val="nil"/>
              <w:bottom w:val="single" w:color="000000" w:sz="4" w:space="0"/>
              <w:right w:val="single" w:color="000000" w:sz="4" w:space="0"/>
            </w:tcBorders>
            <w:shd w:val="clear" w:color="auto" w:fill="auto"/>
            <w:vAlign w:val="center"/>
          </w:tcPr>
          <w:p w14:paraId="64A4EFE8">
            <w:pPr>
              <w:keepNext w:val="0"/>
              <w:keepLines w:val="0"/>
              <w:suppressLineNumbers w:val="0"/>
              <w:autoSpaceDN w:val="0"/>
              <w:spacing w:before="0" w:beforeAutospacing="0" w:after="0" w:afterAutospacing="0"/>
              <w:ind w:left="0" w:right="0"/>
              <w:rPr>
                <w:rFonts w:hint="default" w:ascii="仿宋_GB2312" w:hAnsi="仿宋_GB2312" w:eastAsia="宋体" w:cs="仿宋_GB2312"/>
                <w:color w:val="auto"/>
                <w:szCs w:val="28"/>
                <w:highlight w:val="none"/>
              </w:rPr>
            </w:pPr>
            <w:r>
              <w:rPr>
                <w:rFonts w:hint="eastAsia" w:ascii="仿宋_GB2312" w:hAnsi="仿宋_GB2312" w:eastAsia="宋体" w:cs="仿宋_GB2312"/>
                <w:color w:val="auto"/>
                <w:szCs w:val="21"/>
                <w:highlight w:val="none"/>
                <w:lang w:bidi="ar"/>
              </w:rPr>
              <w:t>项目设计方案</w:t>
            </w:r>
          </w:p>
        </w:tc>
      </w:tr>
      <w:tr w14:paraId="61CBA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9ADE9">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Cs/>
                <w:color w:val="auto"/>
                <w:szCs w:val="28"/>
                <w:highlight w:val="none"/>
              </w:rPr>
            </w:pPr>
            <w:r>
              <w:rPr>
                <w:rFonts w:hint="eastAsia" w:ascii="仿宋_GB2312" w:hAnsi="仿宋_GB2312" w:eastAsia="宋体" w:cs="仿宋_GB2312"/>
                <w:bCs/>
                <w:color w:val="auto"/>
                <w:szCs w:val="21"/>
                <w:highlight w:val="none"/>
                <w:lang w:bidi="ar"/>
              </w:rPr>
              <w:t>2</w:t>
            </w:r>
          </w:p>
        </w:tc>
        <w:tc>
          <w:tcPr>
            <w:tcW w:w="4421" w:type="pct"/>
            <w:tcBorders>
              <w:top w:val="single" w:color="000000" w:sz="4" w:space="0"/>
              <w:left w:val="nil"/>
              <w:bottom w:val="single" w:color="000000" w:sz="4" w:space="0"/>
              <w:right w:val="single" w:color="000000" w:sz="4" w:space="0"/>
            </w:tcBorders>
            <w:shd w:val="clear" w:color="auto" w:fill="auto"/>
            <w:vAlign w:val="center"/>
          </w:tcPr>
          <w:p w14:paraId="5902BEF1">
            <w:pPr>
              <w:keepNext w:val="0"/>
              <w:keepLines w:val="0"/>
              <w:suppressLineNumbers w:val="0"/>
              <w:autoSpaceDN w:val="0"/>
              <w:spacing w:before="0" w:beforeAutospacing="0" w:after="0" w:afterAutospacing="0"/>
              <w:ind w:left="0" w:right="0"/>
              <w:rPr>
                <w:rFonts w:hint="default" w:ascii="仿宋_GB2312" w:hAnsi="仿宋_GB2312" w:eastAsia="宋体" w:cs="仿宋_GB2312"/>
                <w:color w:val="auto"/>
                <w:szCs w:val="21"/>
                <w:highlight w:val="none"/>
                <w:lang w:bidi="ar"/>
              </w:rPr>
            </w:pPr>
            <w:r>
              <w:rPr>
                <w:rFonts w:hint="eastAsia" w:ascii="仿宋_GB2312" w:hAnsi="仿宋_GB2312" w:eastAsia="宋体" w:cs="仿宋_GB2312"/>
                <w:color w:val="auto"/>
                <w:szCs w:val="21"/>
                <w:highlight w:val="none"/>
                <w:lang w:bidi="ar"/>
              </w:rPr>
              <w:t>项目合同</w:t>
            </w:r>
          </w:p>
        </w:tc>
      </w:tr>
      <w:tr w14:paraId="198BF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3B292">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Cs/>
                <w:color w:val="auto"/>
                <w:szCs w:val="28"/>
                <w:highlight w:val="none"/>
              </w:rPr>
            </w:pPr>
            <w:r>
              <w:rPr>
                <w:rFonts w:hint="eastAsia" w:ascii="仿宋_GB2312" w:hAnsi="仿宋_GB2312" w:eastAsia="宋体" w:cs="仿宋_GB2312"/>
                <w:bCs/>
                <w:color w:val="auto"/>
                <w:szCs w:val="21"/>
                <w:highlight w:val="none"/>
                <w:lang w:bidi="ar"/>
              </w:rPr>
              <w:t>3</w:t>
            </w:r>
          </w:p>
        </w:tc>
        <w:tc>
          <w:tcPr>
            <w:tcW w:w="4421" w:type="pct"/>
            <w:tcBorders>
              <w:top w:val="single" w:color="000000" w:sz="4" w:space="0"/>
              <w:left w:val="nil"/>
              <w:bottom w:val="single" w:color="000000" w:sz="4" w:space="0"/>
              <w:right w:val="single" w:color="000000" w:sz="4" w:space="0"/>
            </w:tcBorders>
            <w:shd w:val="clear" w:color="auto" w:fill="auto"/>
            <w:vAlign w:val="center"/>
          </w:tcPr>
          <w:p w14:paraId="1DD59766">
            <w:pPr>
              <w:keepNext w:val="0"/>
              <w:keepLines w:val="0"/>
              <w:suppressLineNumbers w:val="0"/>
              <w:autoSpaceDN w:val="0"/>
              <w:spacing w:before="0" w:beforeAutospacing="0" w:after="0" w:afterAutospacing="0"/>
              <w:ind w:left="0" w:right="0"/>
              <w:rPr>
                <w:rFonts w:hint="default" w:ascii="仿宋_GB2312" w:hAnsi="仿宋_GB2312" w:eastAsia="宋体" w:cs="仿宋_GB2312"/>
                <w:color w:val="auto"/>
                <w:szCs w:val="28"/>
                <w:highlight w:val="none"/>
              </w:rPr>
            </w:pPr>
            <w:r>
              <w:rPr>
                <w:rFonts w:hint="eastAsia" w:ascii="仿宋_GB2312" w:hAnsi="仿宋_GB2312" w:eastAsia="宋体" w:cs="仿宋_GB2312"/>
                <w:color w:val="auto"/>
                <w:szCs w:val="21"/>
                <w:highlight w:val="none"/>
                <w:lang w:bidi="ar"/>
              </w:rPr>
              <w:t>项目实施方案、履约清单</w:t>
            </w:r>
          </w:p>
        </w:tc>
      </w:tr>
      <w:tr w14:paraId="004D6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2BAFB">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Cs/>
                <w:color w:val="auto"/>
                <w:szCs w:val="28"/>
                <w:highlight w:val="none"/>
              </w:rPr>
            </w:pPr>
            <w:r>
              <w:rPr>
                <w:rFonts w:hint="eastAsia" w:ascii="仿宋_GB2312" w:hAnsi="仿宋_GB2312" w:eastAsia="宋体" w:cs="仿宋_GB2312"/>
                <w:bCs/>
                <w:color w:val="auto"/>
                <w:szCs w:val="21"/>
                <w:highlight w:val="none"/>
                <w:lang w:bidi="ar"/>
              </w:rPr>
              <w:t>4</w:t>
            </w:r>
          </w:p>
        </w:tc>
        <w:tc>
          <w:tcPr>
            <w:tcW w:w="4421" w:type="pct"/>
            <w:tcBorders>
              <w:top w:val="single" w:color="000000" w:sz="4" w:space="0"/>
              <w:left w:val="nil"/>
              <w:bottom w:val="single" w:color="000000" w:sz="4" w:space="0"/>
              <w:right w:val="single" w:color="000000" w:sz="4" w:space="0"/>
            </w:tcBorders>
            <w:shd w:val="clear" w:color="auto" w:fill="auto"/>
            <w:vAlign w:val="center"/>
          </w:tcPr>
          <w:p w14:paraId="4621F641">
            <w:pPr>
              <w:keepNext w:val="0"/>
              <w:keepLines w:val="0"/>
              <w:suppressLineNumbers w:val="0"/>
              <w:autoSpaceDN w:val="0"/>
              <w:spacing w:before="0" w:beforeAutospacing="0" w:after="0" w:afterAutospacing="0"/>
              <w:ind w:left="0" w:right="0"/>
              <w:rPr>
                <w:rFonts w:hint="default" w:ascii="仿宋_GB2312" w:hAnsi="仿宋_GB2312" w:eastAsia="宋体" w:cs="仿宋_GB2312"/>
                <w:color w:val="auto"/>
                <w:szCs w:val="28"/>
                <w:highlight w:val="none"/>
              </w:rPr>
            </w:pPr>
            <w:r>
              <w:rPr>
                <w:rFonts w:hint="eastAsia" w:ascii="仿宋_GB2312" w:hAnsi="仿宋_GB2312" w:eastAsia="宋体" w:cs="仿宋_GB2312"/>
                <w:color w:val="auto"/>
                <w:szCs w:val="21"/>
                <w:highlight w:val="none"/>
                <w:lang w:bidi="ar"/>
              </w:rPr>
              <w:t>项目设备、软件需求规格说明书</w:t>
            </w:r>
          </w:p>
        </w:tc>
      </w:tr>
      <w:tr w14:paraId="75CE7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4C291">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Cs/>
                <w:color w:val="auto"/>
                <w:szCs w:val="28"/>
                <w:highlight w:val="none"/>
              </w:rPr>
            </w:pPr>
            <w:r>
              <w:rPr>
                <w:rFonts w:hint="eastAsia" w:ascii="仿宋_GB2312" w:hAnsi="仿宋_GB2312" w:eastAsia="宋体" w:cs="仿宋_GB2312"/>
                <w:bCs/>
                <w:color w:val="auto"/>
                <w:szCs w:val="21"/>
                <w:highlight w:val="none"/>
                <w:lang w:bidi="ar"/>
              </w:rPr>
              <w:t>5</w:t>
            </w:r>
          </w:p>
        </w:tc>
        <w:tc>
          <w:tcPr>
            <w:tcW w:w="4421" w:type="pct"/>
            <w:tcBorders>
              <w:top w:val="single" w:color="000000" w:sz="4" w:space="0"/>
              <w:left w:val="nil"/>
              <w:bottom w:val="single" w:color="000000" w:sz="4" w:space="0"/>
              <w:right w:val="single" w:color="000000" w:sz="4" w:space="0"/>
            </w:tcBorders>
            <w:shd w:val="clear" w:color="auto" w:fill="auto"/>
            <w:vAlign w:val="center"/>
          </w:tcPr>
          <w:p w14:paraId="67E2D4FA">
            <w:pPr>
              <w:keepNext w:val="0"/>
              <w:keepLines w:val="0"/>
              <w:suppressLineNumbers w:val="0"/>
              <w:autoSpaceDN w:val="0"/>
              <w:spacing w:before="0" w:beforeAutospacing="0" w:after="0" w:afterAutospacing="0"/>
              <w:ind w:left="0" w:right="0"/>
              <w:rPr>
                <w:rFonts w:hint="default" w:ascii="仿宋_GB2312" w:hAnsi="仿宋_GB2312" w:eastAsia="宋体" w:cs="仿宋_GB2312"/>
                <w:color w:val="auto"/>
                <w:szCs w:val="28"/>
                <w:highlight w:val="none"/>
              </w:rPr>
            </w:pPr>
            <w:r>
              <w:rPr>
                <w:rFonts w:hint="eastAsia" w:ascii="仿宋_GB2312" w:hAnsi="仿宋_GB2312" w:eastAsia="宋体" w:cs="仿宋_GB2312"/>
                <w:color w:val="auto"/>
                <w:szCs w:val="21"/>
                <w:highlight w:val="none"/>
                <w:lang w:bidi="ar"/>
              </w:rPr>
              <w:t>项目概要设计说明书</w:t>
            </w:r>
          </w:p>
        </w:tc>
      </w:tr>
      <w:tr w14:paraId="4EC80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F6717">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Cs/>
                <w:color w:val="auto"/>
                <w:szCs w:val="28"/>
                <w:highlight w:val="none"/>
              </w:rPr>
            </w:pPr>
            <w:r>
              <w:rPr>
                <w:rFonts w:hint="eastAsia" w:ascii="仿宋_GB2312" w:hAnsi="仿宋_GB2312" w:eastAsia="宋体" w:cs="仿宋_GB2312"/>
                <w:bCs/>
                <w:color w:val="auto"/>
                <w:szCs w:val="21"/>
                <w:highlight w:val="none"/>
                <w:lang w:bidi="ar"/>
              </w:rPr>
              <w:t>6</w:t>
            </w:r>
          </w:p>
        </w:tc>
        <w:tc>
          <w:tcPr>
            <w:tcW w:w="4421" w:type="pct"/>
            <w:tcBorders>
              <w:top w:val="single" w:color="000000" w:sz="4" w:space="0"/>
              <w:left w:val="nil"/>
              <w:bottom w:val="single" w:color="000000" w:sz="4" w:space="0"/>
              <w:right w:val="single" w:color="000000" w:sz="4" w:space="0"/>
            </w:tcBorders>
            <w:shd w:val="clear" w:color="auto" w:fill="auto"/>
            <w:vAlign w:val="center"/>
          </w:tcPr>
          <w:p w14:paraId="0E6BBAC0">
            <w:pPr>
              <w:keepNext w:val="0"/>
              <w:keepLines w:val="0"/>
              <w:suppressLineNumbers w:val="0"/>
              <w:autoSpaceDN w:val="0"/>
              <w:spacing w:before="0" w:beforeAutospacing="0" w:after="0" w:afterAutospacing="0"/>
              <w:ind w:left="0" w:right="0"/>
              <w:rPr>
                <w:rFonts w:hint="default" w:ascii="仿宋_GB2312" w:hAnsi="仿宋_GB2312" w:eastAsia="宋体" w:cs="仿宋_GB2312"/>
                <w:color w:val="auto"/>
                <w:szCs w:val="28"/>
                <w:highlight w:val="none"/>
              </w:rPr>
            </w:pPr>
            <w:r>
              <w:rPr>
                <w:rFonts w:hint="eastAsia" w:ascii="仿宋_GB2312" w:hAnsi="仿宋_GB2312" w:eastAsia="宋体" w:cs="仿宋_GB2312"/>
                <w:color w:val="auto"/>
                <w:szCs w:val="21"/>
                <w:highlight w:val="none"/>
                <w:lang w:bidi="ar"/>
              </w:rPr>
              <w:t>项目详细设计说明书</w:t>
            </w:r>
          </w:p>
        </w:tc>
      </w:tr>
      <w:tr w14:paraId="2C900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22CAB">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Cs/>
                <w:color w:val="auto"/>
                <w:szCs w:val="28"/>
                <w:highlight w:val="none"/>
              </w:rPr>
            </w:pPr>
            <w:r>
              <w:rPr>
                <w:rFonts w:hint="eastAsia" w:ascii="仿宋_GB2312" w:hAnsi="仿宋_GB2312" w:eastAsia="宋体" w:cs="仿宋_GB2312"/>
                <w:bCs/>
                <w:color w:val="auto"/>
                <w:szCs w:val="21"/>
                <w:highlight w:val="none"/>
                <w:lang w:bidi="ar"/>
              </w:rPr>
              <w:t>7</w:t>
            </w:r>
          </w:p>
        </w:tc>
        <w:tc>
          <w:tcPr>
            <w:tcW w:w="4421" w:type="pct"/>
            <w:tcBorders>
              <w:top w:val="single" w:color="000000" w:sz="4" w:space="0"/>
              <w:left w:val="nil"/>
              <w:bottom w:val="single" w:color="000000" w:sz="4" w:space="0"/>
              <w:right w:val="single" w:color="000000" w:sz="4" w:space="0"/>
            </w:tcBorders>
            <w:shd w:val="clear" w:color="auto" w:fill="auto"/>
            <w:vAlign w:val="center"/>
          </w:tcPr>
          <w:p w14:paraId="43CC89DF">
            <w:pPr>
              <w:keepNext w:val="0"/>
              <w:keepLines w:val="0"/>
              <w:suppressLineNumbers w:val="0"/>
              <w:autoSpaceDN w:val="0"/>
              <w:spacing w:before="0" w:beforeAutospacing="0" w:after="0" w:afterAutospacing="0"/>
              <w:ind w:left="0" w:right="0"/>
              <w:rPr>
                <w:rFonts w:hint="default" w:ascii="仿宋_GB2312" w:hAnsi="仿宋_GB2312" w:eastAsia="宋体" w:cs="仿宋_GB2312"/>
                <w:color w:val="auto"/>
                <w:szCs w:val="28"/>
                <w:highlight w:val="none"/>
              </w:rPr>
            </w:pPr>
            <w:r>
              <w:rPr>
                <w:rFonts w:hint="eastAsia" w:ascii="仿宋_GB2312" w:hAnsi="仿宋_GB2312" w:eastAsia="宋体" w:cs="仿宋_GB2312"/>
                <w:color w:val="auto"/>
                <w:szCs w:val="21"/>
                <w:highlight w:val="none"/>
                <w:lang w:bidi="ar"/>
              </w:rPr>
              <w:t>自检测试报告</w:t>
            </w:r>
          </w:p>
        </w:tc>
      </w:tr>
      <w:tr w14:paraId="7ED17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6416D">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Cs/>
                <w:color w:val="auto"/>
                <w:szCs w:val="28"/>
                <w:highlight w:val="none"/>
              </w:rPr>
            </w:pPr>
            <w:r>
              <w:rPr>
                <w:rFonts w:hint="eastAsia" w:ascii="仿宋_GB2312" w:hAnsi="仿宋_GB2312" w:eastAsia="宋体" w:cs="仿宋_GB2312"/>
                <w:bCs/>
                <w:color w:val="auto"/>
                <w:szCs w:val="21"/>
                <w:highlight w:val="none"/>
                <w:lang w:bidi="ar"/>
              </w:rPr>
              <w:t>8</w:t>
            </w:r>
          </w:p>
        </w:tc>
        <w:tc>
          <w:tcPr>
            <w:tcW w:w="4421" w:type="pct"/>
            <w:tcBorders>
              <w:top w:val="single" w:color="000000" w:sz="4" w:space="0"/>
              <w:left w:val="nil"/>
              <w:bottom w:val="single" w:color="000000" w:sz="4" w:space="0"/>
              <w:right w:val="single" w:color="000000" w:sz="4" w:space="0"/>
            </w:tcBorders>
            <w:shd w:val="clear" w:color="auto" w:fill="auto"/>
            <w:vAlign w:val="center"/>
          </w:tcPr>
          <w:p w14:paraId="64937F0B">
            <w:pPr>
              <w:keepNext w:val="0"/>
              <w:keepLines w:val="0"/>
              <w:suppressLineNumbers w:val="0"/>
              <w:autoSpaceDN w:val="0"/>
              <w:spacing w:before="0" w:beforeAutospacing="0" w:after="0" w:afterAutospacing="0"/>
              <w:ind w:left="0" w:right="0"/>
              <w:rPr>
                <w:rFonts w:hint="default" w:ascii="仿宋_GB2312" w:hAnsi="仿宋_GB2312" w:eastAsia="宋体" w:cs="仿宋_GB2312"/>
                <w:color w:val="auto"/>
                <w:szCs w:val="28"/>
                <w:highlight w:val="none"/>
              </w:rPr>
            </w:pPr>
            <w:r>
              <w:rPr>
                <w:rFonts w:hint="eastAsia" w:ascii="仿宋_GB2312" w:hAnsi="仿宋_GB2312" w:eastAsia="宋体" w:cs="仿宋_GB2312"/>
                <w:color w:val="auto"/>
                <w:szCs w:val="21"/>
                <w:highlight w:val="none"/>
                <w:lang w:bidi="ar"/>
              </w:rPr>
              <w:t>初验报告</w:t>
            </w:r>
          </w:p>
        </w:tc>
      </w:tr>
      <w:tr w14:paraId="4F896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A8295">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Cs/>
                <w:color w:val="auto"/>
                <w:szCs w:val="28"/>
                <w:highlight w:val="none"/>
              </w:rPr>
            </w:pPr>
            <w:r>
              <w:rPr>
                <w:rFonts w:hint="eastAsia" w:ascii="仿宋_GB2312" w:hAnsi="仿宋_GB2312" w:eastAsia="宋体" w:cs="仿宋_GB2312"/>
                <w:bCs/>
                <w:color w:val="auto"/>
                <w:szCs w:val="21"/>
                <w:highlight w:val="none"/>
                <w:lang w:bidi="ar"/>
              </w:rPr>
              <w:t>9</w:t>
            </w:r>
          </w:p>
        </w:tc>
        <w:tc>
          <w:tcPr>
            <w:tcW w:w="4421" w:type="pct"/>
            <w:tcBorders>
              <w:top w:val="single" w:color="000000" w:sz="4" w:space="0"/>
              <w:left w:val="nil"/>
              <w:bottom w:val="single" w:color="000000" w:sz="4" w:space="0"/>
              <w:right w:val="single" w:color="000000" w:sz="4" w:space="0"/>
            </w:tcBorders>
            <w:shd w:val="clear" w:color="auto" w:fill="auto"/>
            <w:vAlign w:val="center"/>
          </w:tcPr>
          <w:p w14:paraId="3A0B8275">
            <w:pPr>
              <w:keepNext w:val="0"/>
              <w:keepLines w:val="0"/>
              <w:suppressLineNumbers w:val="0"/>
              <w:autoSpaceDN w:val="0"/>
              <w:spacing w:before="0" w:beforeAutospacing="0" w:after="0" w:afterAutospacing="0"/>
              <w:ind w:left="0" w:right="0"/>
              <w:rPr>
                <w:rFonts w:hint="default" w:ascii="仿宋_GB2312" w:hAnsi="仿宋_GB2312" w:eastAsia="宋体" w:cs="仿宋_GB2312"/>
                <w:color w:val="auto"/>
                <w:szCs w:val="28"/>
                <w:highlight w:val="none"/>
              </w:rPr>
            </w:pPr>
            <w:r>
              <w:rPr>
                <w:rFonts w:hint="eastAsia" w:ascii="仿宋_GB2312" w:hAnsi="仿宋_GB2312" w:eastAsia="宋体" w:cs="仿宋_GB2312"/>
                <w:color w:val="auto"/>
                <w:szCs w:val="21"/>
                <w:highlight w:val="none"/>
                <w:lang w:bidi="ar"/>
              </w:rPr>
              <w:t>试运行总结报告</w:t>
            </w:r>
          </w:p>
        </w:tc>
      </w:tr>
      <w:tr w14:paraId="1055E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84289">
            <w:pPr>
              <w:keepNext w:val="0"/>
              <w:keepLines w:val="0"/>
              <w:suppressLineNumbers w:val="0"/>
              <w:autoSpaceDN w:val="0"/>
              <w:spacing w:before="0" w:beforeAutospacing="0" w:after="0" w:afterAutospacing="0"/>
              <w:ind w:left="0" w:right="0"/>
              <w:jc w:val="center"/>
              <w:rPr>
                <w:rFonts w:hint="default" w:ascii="仿宋_GB2312" w:hAnsi="仿宋_GB2312" w:eastAsia="宋体" w:cs="仿宋_GB2312"/>
                <w:bCs/>
                <w:color w:val="auto"/>
                <w:szCs w:val="28"/>
                <w:highlight w:val="none"/>
              </w:rPr>
            </w:pPr>
            <w:r>
              <w:rPr>
                <w:rFonts w:hint="eastAsia" w:ascii="仿宋_GB2312" w:hAnsi="仿宋_GB2312" w:eastAsia="宋体" w:cs="仿宋_GB2312"/>
                <w:bCs/>
                <w:color w:val="auto"/>
                <w:szCs w:val="21"/>
                <w:highlight w:val="none"/>
                <w:lang w:bidi="ar"/>
              </w:rPr>
              <w:t>10</w:t>
            </w:r>
          </w:p>
        </w:tc>
        <w:tc>
          <w:tcPr>
            <w:tcW w:w="4421" w:type="pct"/>
            <w:tcBorders>
              <w:top w:val="single" w:color="000000" w:sz="4" w:space="0"/>
              <w:left w:val="nil"/>
              <w:bottom w:val="single" w:color="000000" w:sz="4" w:space="0"/>
              <w:right w:val="single" w:color="000000" w:sz="4" w:space="0"/>
            </w:tcBorders>
            <w:shd w:val="clear" w:color="auto" w:fill="auto"/>
            <w:vAlign w:val="center"/>
          </w:tcPr>
          <w:p w14:paraId="1E77EF0B">
            <w:pPr>
              <w:keepNext w:val="0"/>
              <w:keepLines w:val="0"/>
              <w:suppressLineNumbers w:val="0"/>
              <w:autoSpaceDN w:val="0"/>
              <w:spacing w:before="0" w:beforeAutospacing="0" w:after="0" w:afterAutospacing="0"/>
              <w:ind w:left="0" w:right="0"/>
              <w:rPr>
                <w:rFonts w:hint="default" w:ascii="仿宋_GB2312" w:hAnsi="仿宋_GB2312" w:eastAsia="宋体" w:cs="仿宋_GB2312"/>
                <w:color w:val="auto"/>
                <w:szCs w:val="28"/>
                <w:highlight w:val="none"/>
              </w:rPr>
            </w:pPr>
            <w:r>
              <w:rPr>
                <w:rFonts w:hint="eastAsia" w:ascii="仿宋_GB2312" w:hAnsi="仿宋_GB2312" w:eastAsia="宋体" w:cs="仿宋_GB2312"/>
                <w:color w:val="auto"/>
                <w:szCs w:val="21"/>
                <w:highlight w:val="none"/>
                <w:lang w:bidi="ar"/>
              </w:rPr>
              <w:t>终验报告</w:t>
            </w:r>
          </w:p>
        </w:tc>
      </w:tr>
    </w:tbl>
    <w:p w14:paraId="70FFA6FF">
      <w:pPr>
        <w:spacing w:line="360" w:lineRule="auto"/>
        <w:ind w:firstLine="422" w:firstLineChars="200"/>
        <w:outlineLvl w:val="2"/>
        <w:rPr>
          <w:rFonts w:ascii="Times New Roman" w:hAnsi="Times New Roman" w:eastAsia="宋体" w:cs="Times New Roman"/>
          <w:b/>
          <w:bCs/>
          <w:color w:val="auto"/>
          <w:szCs w:val="24"/>
          <w:highlight w:val="none"/>
        </w:rPr>
      </w:pPr>
      <w:bookmarkStart w:id="645" w:name="_Toc195714350"/>
      <w:bookmarkStart w:id="646" w:name="_Toc23462"/>
      <w:r>
        <w:rPr>
          <w:rFonts w:hint="eastAsia" w:ascii="Times New Roman" w:hAnsi="Times New Roman" w:eastAsia="宋体" w:cs="Times New Roman"/>
          <w:b/>
          <w:bCs/>
          <w:color w:val="auto"/>
          <w:szCs w:val="24"/>
          <w:highlight w:val="none"/>
        </w:rPr>
        <w:t>2.项目验收前提条件</w:t>
      </w:r>
      <w:bookmarkEnd w:id="645"/>
      <w:bookmarkEnd w:id="646"/>
    </w:p>
    <w:p w14:paraId="15A8312F">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1</w:t>
      </w:r>
      <w:r>
        <w:rPr>
          <w:rFonts w:ascii="Times New Roman" w:hAnsi="Times New Roman" w:eastAsia="宋体" w:cs="Times New Roman"/>
          <w:color w:val="auto"/>
          <w:szCs w:val="24"/>
          <w:highlight w:val="none"/>
        </w:rPr>
        <w:t>）交接验收</w:t>
      </w:r>
      <w:r>
        <w:rPr>
          <w:rFonts w:hint="eastAsia" w:ascii="Times New Roman" w:hAnsi="Times New Roman" w:eastAsia="宋体" w:cs="Times New Roman"/>
          <w:color w:val="auto"/>
          <w:szCs w:val="24"/>
          <w:highlight w:val="none"/>
        </w:rPr>
        <w:t>条件</w:t>
      </w:r>
      <w:r>
        <w:rPr>
          <w:rFonts w:ascii="Times New Roman" w:hAnsi="Times New Roman" w:eastAsia="宋体" w:cs="Times New Roman"/>
          <w:color w:val="auto"/>
          <w:szCs w:val="24"/>
          <w:highlight w:val="none"/>
        </w:rPr>
        <w:t>：</w:t>
      </w:r>
    </w:p>
    <w:p w14:paraId="3B261B88">
      <w:pPr>
        <w:tabs>
          <w:tab w:val="left" w:pos="567"/>
        </w:tabs>
        <w:spacing w:line="360" w:lineRule="auto"/>
        <w:ind w:firstLine="424" w:firstLineChars="202"/>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1）货物运抵交货地点现场后 7 日内，</w:t>
      </w:r>
      <w:r>
        <w:rPr>
          <w:rFonts w:hint="eastAsia" w:ascii="Times New Roman" w:hAnsi="Times New Roman" w:eastAsia="宋体" w:cs="Times New Roman"/>
          <w:color w:val="auto"/>
          <w:szCs w:val="24"/>
          <w:highlight w:val="none"/>
        </w:rPr>
        <w:t>甲方</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或甲方</w:t>
      </w:r>
      <w:r>
        <w:rPr>
          <w:rFonts w:ascii="Times New Roman" w:hAnsi="Times New Roman" w:eastAsia="宋体" w:cs="Times New Roman"/>
          <w:color w:val="auto"/>
          <w:szCs w:val="24"/>
          <w:highlight w:val="none"/>
        </w:rPr>
        <w:t>委托的第三方）、</w:t>
      </w:r>
      <w:r>
        <w:rPr>
          <w:rFonts w:hint="eastAsia" w:ascii="Times New Roman" w:hAnsi="Times New Roman" w:eastAsia="宋体" w:cs="Times New Roman"/>
          <w:color w:val="auto"/>
          <w:szCs w:val="24"/>
          <w:highlight w:val="none"/>
        </w:rPr>
        <w:t>乙方</w:t>
      </w:r>
      <w:r>
        <w:rPr>
          <w:rFonts w:ascii="Times New Roman" w:hAnsi="Times New Roman" w:eastAsia="宋体" w:cs="Times New Roman"/>
          <w:color w:val="auto"/>
          <w:szCs w:val="24"/>
          <w:highlight w:val="none"/>
        </w:rPr>
        <w:t>代表共同开箱验货。</w:t>
      </w:r>
      <w:r>
        <w:rPr>
          <w:rFonts w:hint="eastAsia" w:ascii="Times New Roman" w:hAnsi="Times New Roman" w:eastAsia="宋体" w:cs="Times New Roman"/>
          <w:color w:val="auto"/>
          <w:szCs w:val="24"/>
          <w:highlight w:val="none"/>
        </w:rPr>
        <w:t>甲方</w:t>
      </w:r>
      <w:r>
        <w:rPr>
          <w:rFonts w:ascii="Times New Roman" w:hAnsi="Times New Roman" w:eastAsia="宋体" w:cs="Times New Roman"/>
          <w:color w:val="auto"/>
          <w:szCs w:val="24"/>
          <w:highlight w:val="none"/>
        </w:rPr>
        <w:t>按照本合同及招标文件、投标文件、制造图纸、国家相关法律法规以及规范的要求等相关的规定，对货物的品种、品牌、产地、型号规格、数量、外观质量、资料等进行清点和检查，并根据清点和检查情况作详细的记录。</w:t>
      </w:r>
    </w:p>
    <w:p w14:paraId="29AFD180">
      <w:pPr>
        <w:tabs>
          <w:tab w:val="left" w:pos="567"/>
        </w:tabs>
        <w:spacing w:line="360" w:lineRule="auto"/>
        <w:ind w:firstLine="424" w:firstLineChars="202"/>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2）若</w:t>
      </w:r>
      <w:r>
        <w:rPr>
          <w:rFonts w:hint="eastAsia" w:ascii="Times New Roman" w:hAnsi="Times New Roman" w:eastAsia="宋体" w:cs="Times New Roman"/>
          <w:color w:val="auto"/>
          <w:szCs w:val="24"/>
          <w:highlight w:val="none"/>
        </w:rPr>
        <w:t>乙方</w:t>
      </w:r>
      <w:r>
        <w:rPr>
          <w:rFonts w:ascii="Times New Roman" w:hAnsi="Times New Roman" w:eastAsia="宋体" w:cs="Times New Roman"/>
          <w:color w:val="auto"/>
          <w:szCs w:val="24"/>
          <w:highlight w:val="none"/>
        </w:rPr>
        <w:t>所提供的设备或部件为国外制造，除提供技术资料外，还应提供原产地证书、报关资料及检验检疫证明、完税证明。</w:t>
      </w:r>
    </w:p>
    <w:p w14:paraId="035003FC">
      <w:pPr>
        <w:tabs>
          <w:tab w:val="left" w:pos="567"/>
        </w:tabs>
        <w:spacing w:line="360" w:lineRule="auto"/>
        <w:ind w:firstLine="424" w:firstLineChars="202"/>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3）如发现货物的品种、品牌、产地、型号规格、数量、外观质量、资料与合同约定或招标文件规定不符，或货物短缺、质次、损坏等问题，</w:t>
      </w:r>
      <w:r>
        <w:rPr>
          <w:rFonts w:hint="eastAsia" w:ascii="Times New Roman" w:hAnsi="Times New Roman" w:eastAsia="宋体" w:cs="Times New Roman"/>
          <w:color w:val="auto"/>
          <w:szCs w:val="24"/>
          <w:highlight w:val="none"/>
        </w:rPr>
        <w:t>甲方</w:t>
      </w:r>
      <w:r>
        <w:rPr>
          <w:rFonts w:ascii="Times New Roman" w:hAnsi="Times New Roman" w:eastAsia="宋体" w:cs="Times New Roman"/>
          <w:color w:val="auto"/>
          <w:szCs w:val="24"/>
          <w:highlight w:val="none"/>
        </w:rPr>
        <w:t>应作</w:t>
      </w:r>
      <w:r>
        <w:rPr>
          <w:rFonts w:hint="eastAsia" w:ascii="Times New Roman" w:hAnsi="Times New Roman" w:eastAsia="宋体" w:cs="Times New Roman"/>
          <w:color w:val="auto"/>
          <w:szCs w:val="24"/>
          <w:highlight w:val="none"/>
        </w:rPr>
        <w:t>详细记录</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1"/>
          <w:highlight w:val="none"/>
        </w:rPr>
        <w:t>甲方</w:t>
      </w:r>
      <w:r>
        <w:rPr>
          <w:rFonts w:ascii="Times New Roman" w:hAnsi="Times New Roman" w:eastAsia="宋体" w:cs="Times New Roman"/>
          <w:color w:val="auto"/>
          <w:szCs w:val="24"/>
          <w:highlight w:val="none"/>
        </w:rPr>
        <w:t>有权拒绝收货，如</w:t>
      </w:r>
      <w:r>
        <w:rPr>
          <w:rFonts w:hint="eastAsia" w:ascii="Times New Roman" w:hAnsi="Times New Roman" w:eastAsia="宋体" w:cs="Times New Roman"/>
          <w:color w:val="auto"/>
          <w:szCs w:val="21"/>
          <w:highlight w:val="none"/>
        </w:rPr>
        <w:t>甲方</w:t>
      </w:r>
      <w:r>
        <w:rPr>
          <w:rFonts w:ascii="Times New Roman" w:hAnsi="Times New Roman" w:eastAsia="宋体" w:cs="Times New Roman"/>
          <w:color w:val="auto"/>
          <w:szCs w:val="24"/>
          <w:highlight w:val="none"/>
        </w:rPr>
        <w:t>同意收货的，</w:t>
      </w:r>
      <w:r>
        <w:rPr>
          <w:rFonts w:hint="eastAsia" w:ascii="Times New Roman" w:hAnsi="Times New Roman" w:eastAsia="宋体" w:cs="Times New Roman"/>
          <w:color w:val="auto"/>
          <w:szCs w:val="24"/>
          <w:highlight w:val="none"/>
        </w:rPr>
        <w:t>乙方</w:t>
      </w:r>
      <w:r>
        <w:rPr>
          <w:rFonts w:ascii="Times New Roman" w:hAnsi="Times New Roman" w:eastAsia="宋体" w:cs="Times New Roman"/>
          <w:color w:val="auto"/>
          <w:szCs w:val="24"/>
          <w:highlight w:val="none"/>
        </w:rPr>
        <w:t>在</w:t>
      </w:r>
      <w:r>
        <w:rPr>
          <w:rFonts w:hint="eastAsia" w:ascii="Times New Roman" w:hAnsi="Times New Roman" w:eastAsia="宋体" w:cs="Times New Roman"/>
          <w:color w:val="auto"/>
          <w:szCs w:val="24"/>
          <w:highlight w:val="none"/>
        </w:rPr>
        <w:t>甲方</w:t>
      </w:r>
      <w:r>
        <w:rPr>
          <w:rFonts w:ascii="Times New Roman" w:hAnsi="Times New Roman" w:eastAsia="宋体" w:cs="Times New Roman"/>
          <w:color w:val="auto"/>
          <w:szCs w:val="24"/>
          <w:highlight w:val="none"/>
        </w:rPr>
        <w:t>规定的时间内立即、无条件</w:t>
      </w:r>
      <w:r>
        <w:rPr>
          <w:rFonts w:hint="eastAsia" w:ascii="Times New Roman" w:hAnsi="Times New Roman" w:eastAsia="宋体" w:cs="Times New Roman"/>
          <w:color w:val="auto"/>
          <w:szCs w:val="24"/>
          <w:highlight w:val="none"/>
        </w:rPr>
        <w:t>进行</w:t>
      </w:r>
      <w:r>
        <w:rPr>
          <w:rFonts w:ascii="Times New Roman" w:hAnsi="Times New Roman" w:eastAsia="宋体" w:cs="Times New Roman"/>
          <w:color w:val="auto"/>
          <w:szCs w:val="24"/>
          <w:highlight w:val="none"/>
        </w:rPr>
        <w:t>调换或补齐。由此产生的制造、修理和运费及保险费均应由</w:t>
      </w:r>
      <w:r>
        <w:rPr>
          <w:rFonts w:hint="eastAsia" w:ascii="Times New Roman" w:hAnsi="Times New Roman" w:eastAsia="宋体" w:cs="Times New Roman"/>
          <w:color w:val="auto"/>
          <w:szCs w:val="24"/>
          <w:highlight w:val="none"/>
        </w:rPr>
        <w:t>乙方</w:t>
      </w:r>
      <w:r>
        <w:rPr>
          <w:rFonts w:ascii="Times New Roman" w:hAnsi="Times New Roman" w:eastAsia="宋体" w:cs="Times New Roman"/>
          <w:color w:val="auto"/>
          <w:szCs w:val="24"/>
          <w:highlight w:val="none"/>
        </w:rPr>
        <w:t>负担，与</w:t>
      </w:r>
      <w:r>
        <w:rPr>
          <w:rFonts w:hint="eastAsia" w:ascii="Times New Roman" w:hAnsi="Times New Roman" w:eastAsia="宋体" w:cs="Times New Roman"/>
          <w:color w:val="auto"/>
          <w:szCs w:val="21"/>
          <w:highlight w:val="none"/>
        </w:rPr>
        <w:t>甲方</w:t>
      </w:r>
      <w:r>
        <w:rPr>
          <w:rFonts w:ascii="Times New Roman" w:hAnsi="Times New Roman" w:eastAsia="宋体" w:cs="Times New Roman"/>
          <w:color w:val="auto"/>
          <w:szCs w:val="24"/>
          <w:highlight w:val="none"/>
        </w:rPr>
        <w:t>无关。以上调换、更换、补齐货物的时间包含在本合同约定的交货时间内。</w:t>
      </w:r>
    </w:p>
    <w:p w14:paraId="284666BA">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4</w:t>
      </w:r>
      <w:r>
        <w:rPr>
          <w:rFonts w:ascii="Times New Roman" w:hAnsi="Times New Roman" w:eastAsia="宋体" w:cs="Times New Roman"/>
          <w:color w:val="auto"/>
          <w:szCs w:val="24"/>
          <w:highlight w:val="none"/>
        </w:rPr>
        <w:t>）交接验收合格后，</w:t>
      </w:r>
      <w:r>
        <w:rPr>
          <w:rFonts w:hint="eastAsia" w:ascii="Times New Roman" w:hAnsi="Times New Roman" w:eastAsia="宋体" w:cs="Times New Roman"/>
          <w:color w:val="auto"/>
          <w:szCs w:val="24"/>
          <w:highlight w:val="none"/>
        </w:rPr>
        <w:t>甲乙双方共同出具验收报告并由双方书面确认交接验收结果</w:t>
      </w:r>
      <w:r>
        <w:rPr>
          <w:rFonts w:ascii="Times New Roman" w:hAnsi="Times New Roman" w:eastAsia="宋体" w:cs="Times New Roman"/>
          <w:color w:val="auto"/>
          <w:szCs w:val="24"/>
          <w:highlight w:val="none"/>
        </w:rPr>
        <w:t>。</w:t>
      </w:r>
    </w:p>
    <w:p w14:paraId="19AB4059">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2</w:t>
      </w:r>
      <w:r>
        <w:rPr>
          <w:rFonts w:ascii="Times New Roman" w:hAnsi="Times New Roman" w:eastAsia="宋体" w:cs="Times New Roman"/>
          <w:color w:val="auto"/>
          <w:szCs w:val="24"/>
          <w:highlight w:val="none"/>
        </w:rPr>
        <w:t>）初步验收</w:t>
      </w:r>
      <w:r>
        <w:rPr>
          <w:rFonts w:hint="eastAsia" w:ascii="Times New Roman" w:hAnsi="Times New Roman" w:eastAsia="宋体" w:cs="Times New Roman"/>
          <w:color w:val="auto"/>
          <w:szCs w:val="24"/>
          <w:highlight w:val="none"/>
        </w:rPr>
        <w:t>条件</w:t>
      </w:r>
      <w:r>
        <w:rPr>
          <w:rFonts w:ascii="Times New Roman" w:hAnsi="Times New Roman" w:eastAsia="宋体" w:cs="Times New Roman"/>
          <w:color w:val="auto"/>
          <w:szCs w:val="24"/>
          <w:highlight w:val="none"/>
        </w:rPr>
        <w:t>：</w:t>
      </w:r>
    </w:p>
    <w:p w14:paraId="09DD436E">
      <w:pPr>
        <w:tabs>
          <w:tab w:val="left" w:pos="567"/>
        </w:tabs>
        <w:spacing w:line="360" w:lineRule="auto"/>
        <w:ind w:firstLine="424" w:firstLineChars="202"/>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1）合同下货物在完成安装、单机试运转、性能测试合格后</w:t>
      </w:r>
      <w:r>
        <w:rPr>
          <w:rFonts w:hint="eastAsia" w:ascii="Times New Roman" w:hAnsi="Times New Roman" w:eastAsia="宋体" w:cs="Times New Roman"/>
          <w:color w:val="auto"/>
          <w:szCs w:val="24"/>
          <w:highlight w:val="none"/>
        </w:rPr>
        <w:t>，且软件类项目，系统功能完整实现，系统功能100%实现</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甲方</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或甲方</w:t>
      </w:r>
      <w:r>
        <w:rPr>
          <w:rFonts w:ascii="Times New Roman" w:hAnsi="Times New Roman" w:eastAsia="宋体" w:cs="Times New Roman"/>
          <w:color w:val="auto"/>
          <w:szCs w:val="24"/>
          <w:highlight w:val="none"/>
        </w:rPr>
        <w:t>委托的第三方）、</w:t>
      </w:r>
      <w:r>
        <w:rPr>
          <w:rFonts w:hint="eastAsia" w:ascii="Times New Roman" w:hAnsi="Times New Roman" w:eastAsia="宋体" w:cs="Times New Roman"/>
          <w:color w:val="auto"/>
          <w:szCs w:val="24"/>
          <w:highlight w:val="none"/>
        </w:rPr>
        <w:t>乙方</w:t>
      </w:r>
      <w:r>
        <w:rPr>
          <w:rFonts w:ascii="Times New Roman" w:hAnsi="Times New Roman" w:eastAsia="宋体" w:cs="Times New Roman"/>
          <w:color w:val="auto"/>
          <w:szCs w:val="24"/>
          <w:highlight w:val="none"/>
        </w:rPr>
        <w:t>一起对设备的完整性，安装与</w:t>
      </w:r>
      <w:r>
        <w:rPr>
          <w:rFonts w:hint="eastAsia" w:ascii="Times New Roman" w:hAnsi="Times New Roman" w:eastAsia="宋体" w:cs="Times New Roman"/>
          <w:color w:val="auto"/>
          <w:szCs w:val="24"/>
          <w:highlight w:val="none"/>
        </w:rPr>
        <w:t>技术方案</w:t>
      </w:r>
      <w:r>
        <w:rPr>
          <w:rFonts w:ascii="Times New Roman" w:hAnsi="Times New Roman" w:eastAsia="宋体" w:cs="Times New Roman"/>
          <w:color w:val="auto"/>
          <w:szCs w:val="24"/>
          <w:highlight w:val="none"/>
        </w:rPr>
        <w:t>符合性和合理性、单机试运转的测试结果</w:t>
      </w:r>
      <w:r>
        <w:rPr>
          <w:rFonts w:hint="eastAsia" w:ascii="Times New Roman" w:hAnsi="Times New Roman" w:eastAsia="宋体" w:cs="Times New Roman"/>
          <w:color w:val="auto"/>
          <w:szCs w:val="24"/>
          <w:highlight w:val="none"/>
        </w:rPr>
        <w:t>及软件类项目确认系统功能100%实现，对系统</w:t>
      </w:r>
      <w:r>
        <w:rPr>
          <w:rFonts w:ascii="Times New Roman" w:hAnsi="Times New Roman" w:eastAsia="宋体" w:cs="Times New Roman"/>
          <w:color w:val="auto"/>
          <w:szCs w:val="24"/>
          <w:highlight w:val="none"/>
        </w:rPr>
        <w:t>进行初步检验</w:t>
      </w:r>
      <w:r>
        <w:rPr>
          <w:rFonts w:hint="eastAsia" w:ascii="Times New Roman" w:hAnsi="Times New Roman" w:eastAsia="宋体" w:cs="Times New Roman"/>
          <w:color w:val="auto"/>
          <w:szCs w:val="24"/>
          <w:highlight w:val="none"/>
        </w:rPr>
        <w:t>并初步满足试运行条件</w:t>
      </w:r>
      <w:r>
        <w:rPr>
          <w:rFonts w:ascii="Times New Roman" w:hAnsi="Times New Roman" w:eastAsia="宋体" w:cs="Times New Roman"/>
          <w:color w:val="auto"/>
          <w:szCs w:val="24"/>
          <w:highlight w:val="none"/>
        </w:rPr>
        <w:t>。</w:t>
      </w:r>
    </w:p>
    <w:p w14:paraId="6F7F9028">
      <w:pPr>
        <w:tabs>
          <w:tab w:val="left" w:pos="567"/>
        </w:tabs>
        <w:spacing w:line="360" w:lineRule="auto"/>
        <w:ind w:firstLine="424" w:firstLineChars="202"/>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2）</w:t>
      </w:r>
      <w:r>
        <w:rPr>
          <w:rFonts w:hint="eastAsia" w:ascii="Times New Roman" w:hAnsi="Times New Roman" w:eastAsia="宋体" w:cs="Times New Roman"/>
          <w:color w:val="auto"/>
          <w:szCs w:val="24"/>
          <w:highlight w:val="none"/>
        </w:rPr>
        <w:t>乙方</w:t>
      </w:r>
      <w:r>
        <w:rPr>
          <w:rFonts w:ascii="Times New Roman" w:hAnsi="Times New Roman" w:eastAsia="宋体" w:cs="Times New Roman"/>
          <w:color w:val="auto"/>
          <w:szCs w:val="24"/>
          <w:highlight w:val="none"/>
        </w:rPr>
        <w:t xml:space="preserve">在货物安装、单机试运转过程中，应做好详细的检验、测试记录和试验结果，检验结果应符合本合同及招标文件、投标文件、制造图纸、国家相关法律法规以及规范的规定标准。（当多个标准不一致时，以最高标准作为验收标准）。 </w:t>
      </w:r>
    </w:p>
    <w:p w14:paraId="44D569F4">
      <w:pPr>
        <w:tabs>
          <w:tab w:val="left" w:pos="567"/>
        </w:tabs>
        <w:spacing w:line="360" w:lineRule="auto"/>
        <w:ind w:firstLine="424" w:firstLineChars="202"/>
        <w:rPr>
          <w:rFonts w:ascii="Times New Roman" w:hAnsi="Times New Roman" w:eastAsia="宋体" w:cs="Times New Roman"/>
          <w:color w:val="auto"/>
          <w:szCs w:val="21"/>
          <w:highlight w:val="none"/>
        </w:rPr>
      </w:pPr>
      <w:r>
        <w:rPr>
          <w:rFonts w:ascii="Times New Roman" w:hAnsi="Times New Roman" w:eastAsia="宋体" w:cs="Times New Roman"/>
          <w:color w:val="auto"/>
          <w:szCs w:val="24"/>
          <w:highlight w:val="none"/>
        </w:rPr>
        <w:t>3）达到验收标准，</w:t>
      </w:r>
      <w:r>
        <w:rPr>
          <w:rFonts w:hint="eastAsia" w:ascii="Times New Roman" w:hAnsi="Times New Roman" w:eastAsia="宋体" w:cs="Times New Roman"/>
          <w:color w:val="auto"/>
          <w:szCs w:val="21"/>
          <w:highlight w:val="none"/>
        </w:rPr>
        <w:t>甲乙双方共同出具验收报告并由双方书面确认初步验收结果。</w:t>
      </w:r>
    </w:p>
    <w:p w14:paraId="289967D6">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乙方</w:t>
      </w:r>
      <w:r>
        <w:rPr>
          <w:rFonts w:ascii="Times New Roman" w:hAnsi="Times New Roman" w:eastAsia="宋体" w:cs="Times New Roman"/>
          <w:color w:val="auto"/>
          <w:szCs w:val="24"/>
          <w:highlight w:val="none"/>
        </w:rPr>
        <w:t xml:space="preserve">同时提供单机试运转报告、测试报告等资料。 </w:t>
      </w:r>
    </w:p>
    <w:p w14:paraId="3804F7EE">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3</w:t>
      </w:r>
      <w:r>
        <w:rPr>
          <w:rFonts w:ascii="Times New Roman" w:hAnsi="Times New Roman" w:eastAsia="宋体" w:cs="Times New Roman"/>
          <w:color w:val="auto"/>
          <w:szCs w:val="24"/>
          <w:highlight w:val="none"/>
        </w:rPr>
        <w:t>）最终验收</w:t>
      </w:r>
      <w:r>
        <w:rPr>
          <w:rFonts w:hint="eastAsia" w:ascii="Times New Roman" w:hAnsi="Times New Roman" w:eastAsia="宋体" w:cs="Times New Roman"/>
          <w:color w:val="auto"/>
          <w:szCs w:val="24"/>
          <w:highlight w:val="none"/>
        </w:rPr>
        <w:t>条件</w:t>
      </w:r>
      <w:r>
        <w:rPr>
          <w:rFonts w:ascii="Times New Roman" w:hAnsi="Times New Roman" w:eastAsia="宋体" w:cs="Times New Roman"/>
          <w:color w:val="auto"/>
          <w:szCs w:val="24"/>
          <w:highlight w:val="none"/>
        </w:rPr>
        <w:t>：</w:t>
      </w:r>
    </w:p>
    <w:p w14:paraId="1B832522">
      <w:pPr>
        <w:tabs>
          <w:tab w:val="left" w:pos="567"/>
        </w:tabs>
        <w:spacing w:line="360" w:lineRule="auto"/>
        <w:ind w:firstLine="424" w:firstLineChars="202"/>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1）项目涉及的系统运行环境的保护、安全、消防等设施已按照设计与主体工程同时建成，系统完成上线试运行、初验以及</w:t>
      </w:r>
      <w:r>
        <w:rPr>
          <w:rFonts w:hint="eastAsia" w:ascii="Times New Roman" w:hAnsi="Times New Roman" w:eastAsia="宋体" w:cs="Times New Roman"/>
          <w:color w:val="auto"/>
          <w:szCs w:val="24"/>
          <w:highlight w:val="none"/>
        </w:rPr>
        <w:t>3</w:t>
      </w:r>
      <w:r>
        <w:rPr>
          <w:rFonts w:ascii="Times New Roman" w:hAnsi="Times New Roman" w:eastAsia="宋体" w:cs="Times New Roman"/>
          <w:color w:val="auto"/>
          <w:szCs w:val="24"/>
          <w:highlight w:val="none"/>
        </w:rPr>
        <w:t>个月以上的迭代优化并系统整体合格，试运行过程中发现的全部问题完成整改，问题整改完成率100%</w:t>
      </w:r>
      <w:r>
        <w:rPr>
          <w:rFonts w:hint="eastAsia" w:ascii="Times New Roman" w:hAnsi="Times New Roman" w:eastAsia="宋体" w:cs="Times New Roman"/>
          <w:color w:val="auto"/>
          <w:szCs w:val="24"/>
          <w:highlight w:val="none"/>
        </w:rPr>
        <w:t>。</w:t>
      </w:r>
    </w:p>
    <w:p w14:paraId="2392B8DF">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w:t>
      </w:r>
      <w:r>
        <w:rPr>
          <w:rFonts w:ascii="Times New Roman" w:hAnsi="Times New Roman" w:eastAsia="宋体" w:cs="Times New Roman"/>
          <w:color w:val="auto"/>
          <w:szCs w:val="24"/>
          <w:highlight w:val="none"/>
        </w:rPr>
        <w:t>等级保护单位出具了结论为合格的等级保护报告</w:t>
      </w:r>
      <w:r>
        <w:rPr>
          <w:rFonts w:hint="eastAsia" w:ascii="Times New Roman" w:hAnsi="Times New Roman" w:eastAsia="宋体" w:cs="Times New Roman"/>
          <w:color w:val="auto"/>
          <w:szCs w:val="24"/>
          <w:highlight w:val="none"/>
        </w:rPr>
        <w:t>。</w:t>
      </w:r>
    </w:p>
    <w:p w14:paraId="179A37BC">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3</w:t>
      </w:r>
      <w:r>
        <w:rPr>
          <w:rFonts w:ascii="Times New Roman" w:hAnsi="Times New Roman" w:eastAsia="宋体" w:cs="Times New Roman"/>
          <w:color w:val="auto"/>
          <w:szCs w:val="24"/>
          <w:highlight w:val="none"/>
        </w:rPr>
        <w:t>）货物按上述程序验收合格的，</w:t>
      </w:r>
      <w:r>
        <w:rPr>
          <w:rFonts w:hint="eastAsia" w:ascii="Times New Roman" w:hAnsi="Times New Roman" w:eastAsia="宋体" w:cs="Times New Roman"/>
          <w:color w:val="auto"/>
          <w:szCs w:val="24"/>
          <w:highlight w:val="none"/>
        </w:rPr>
        <w:t>乙方</w:t>
      </w:r>
      <w:r>
        <w:rPr>
          <w:rFonts w:ascii="Times New Roman" w:hAnsi="Times New Roman" w:eastAsia="宋体" w:cs="Times New Roman"/>
          <w:color w:val="auto"/>
          <w:szCs w:val="24"/>
          <w:highlight w:val="none"/>
        </w:rPr>
        <w:t>移交完所有资料文档后，</w:t>
      </w:r>
      <w:r>
        <w:rPr>
          <w:rFonts w:hint="eastAsia" w:ascii="Times New Roman" w:hAnsi="Times New Roman" w:eastAsia="宋体" w:cs="Times New Roman"/>
          <w:color w:val="auto"/>
          <w:szCs w:val="24"/>
          <w:highlight w:val="none"/>
        </w:rPr>
        <w:t>甲乙双方共同出具验收报告并由双方书面确认最终验收结果</w:t>
      </w:r>
      <w:r>
        <w:rPr>
          <w:rFonts w:ascii="Times New Roman" w:hAnsi="Times New Roman" w:eastAsia="宋体" w:cs="Times New Roman"/>
          <w:color w:val="auto"/>
          <w:szCs w:val="24"/>
          <w:highlight w:val="none"/>
        </w:rPr>
        <w:t>。</w:t>
      </w:r>
    </w:p>
    <w:p w14:paraId="6780AF4D">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4</w:t>
      </w:r>
      <w:r>
        <w:rPr>
          <w:rFonts w:ascii="Times New Roman" w:hAnsi="Times New Roman" w:eastAsia="宋体" w:cs="Times New Roman"/>
          <w:color w:val="auto"/>
          <w:szCs w:val="24"/>
          <w:highlight w:val="none"/>
        </w:rPr>
        <w:t>）当</w:t>
      </w:r>
      <w:r>
        <w:rPr>
          <w:rFonts w:hint="eastAsia" w:ascii="Times New Roman" w:hAnsi="Times New Roman" w:eastAsia="宋体" w:cs="Times New Roman"/>
          <w:color w:val="auto"/>
          <w:szCs w:val="24"/>
          <w:highlight w:val="none"/>
        </w:rPr>
        <w:t>试运行总结报告出具并双方书面确认后</w:t>
      </w:r>
      <w:r>
        <w:rPr>
          <w:rFonts w:ascii="Times New Roman" w:hAnsi="Times New Roman" w:eastAsia="宋体" w:cs="Times New Roman"/>
          <w:color w:val="auto"/>
          <w:szCs w:val="24"/>
          <w:highlight w:val="none"/>
        </w:rPr>
        <w:t>，或因非</w:t>
      </w:r>
      <w:r>
        <w:rPr>
          <w:rFonts w:hint="eastAsia" w:ascii="Times New Roman" w:hAnsi="Times New Roman" w:eastAsia="宋体" w:cs="Times New Roman"/>
          <w:color w:val="auto"/>
          <w:szCs w:val="24"/>
          <w:highlight w:val="none"/>
        </w:rPr>
        <w:t>乙方</w:t>
      </w:r>
      <w:r>
        <w:rPr>
          <w:rFonts w:ascii="Times New Roman" w:hAnsi="Times New Roman" w:eastAsia="宋体" w:cs="Times New Roman"/>
          <w:color w:val="auto"/>
          <w:szCs w:val="24"/>
          <w:highlight w:val="none"/>
        </w:rPr>
        <w:t>原因导致本合同项下货物不能进行最终验收的，自合同下全部货物初步验收合格满9个月后（以先到期为准）视为最终验收合格。</w:t>
      </w:r>
    </w:p>
    <w:p w14:paraId="3B59B208">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5</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1"/>
          <w:highlight w:val="none"/>
        </w:rPr>
        <w:t>甲方</w:t>
      </w:r>
      <w:r>
        <w:rPr>
          <w:rFonts w:ascii="Times New Roman" w:hAnsi="Times New Roman" w:eastAsia="宋体" w:cs="Times New Roman"/>
          <w:color w:val="auto"/>
          <w:szCs w:val="24"/>
          <w:highlight w:val="none"/>
        </w:rPr>
        <w:t>在进行任何一次验收时发现货物不符合相关要求的，可拒绝收货或要求</w:t>
      </w:r>
      <w:r>
        <w:rPr>
          <w:rFonts w:hint="eastAsia" w:ascii="Times New Roman" w:hAnsi="Times New Roman" w:eastAsia="宋体" w:cs="Times New Roman"/>
          <w:color w:val="auto"/>
          <w:szCs w:val="24"/>
          <w:highlight w:val="none"/>
        </w:rPr>
        <w:t>乙方</w:t>
      </w:r>
      <w:r>
        <w:rPr>
          <w:rFonts w:ascii="Times New Roman" w:hAnsi="Times New Roman" w:eastAsia="宋体" w:cs="Times New Roman"/>
          <w:color w:val="auto"/>
          <w:szCs w:val="24"/>
          <w:highlight w:val="none"/>
        </w:rPr>
        <w:t>承担免费更换或退货责任，</w:t>
      </w:r>
      <w:r>
        <w:rPr>
          <w:rFonts w:hint="eastAsia" w:ascii="Times New Roman" w:hAnsi="Times New Roman" w:eastAsia="宋体" w:cs="Times New Roman"/>
          <w:color w:val="auto"/>
          <w:szCs w:val="24"/>
          <w:highlight w:val="none"/>
        </w:rPr>
        <w:t>乙方</w:t>
      </w:r>
      <w:r>
        <w:rPr>
          <w:rFonts w:ascii="Times New Roman" w:hAnsi="Times New Roman" w:eastAsia="宋体" w:cs="Times New Roman"/>
          <w:color w:val="auto"/>
          <w:szCs w:val="24"/>
          <w:highlight w:val="none"/>
        </w:rPr>
        <w:t>应将该等产品在3日内自行拆除及运回，</w:t>
      </w:r>
      <w:r>
        <w:rPr>
          <w:rFonts w:hint="eastAsia" w:ascii="Times New Roman" w:hAnsi="Times New Roman" w:eastAsia="宋体" w:cs="Times New Roman"/>
          <w:color w:val="auto"/>
          <w:szCs w:val="21"/>
          <w:highlight w:val="none"/>
        </w:rPr>
        <w:t>甲方</w:t>
      </w:r>
      <w:r>
        <w:rPr>
          <w:rFonts w:ascii="Times New Roman" w:hAnsi="Times New Roman" w:eastAsia="宋体" w:cs="Times New Roman"/>
          <w:color w:val="auto"/>
          <w:szCs w:val="24"/>
          <w:highlight w:val="none"/>
        </w:rPr>
        <w:t>不承担因验收造成的产品损耗且不对产品承担保管责任，因此产生的一切费用及风险由</w:t>
      </w:r>
      <w:r>
        <w:rPr>
          <w:rFonts w:hint="eastAsia" w:ascii="Times New Roman" w:hAnsi="Times New Roman" w:eastAsia="宋体" w:cs="Times New Roman"/>
          <w:color w:val="auto"/>
          <w:szCs w:val="24"/>
          <w:highlight w:val="none"/>
        </w:rPr>
        <w:t>乙方</w:t>
      </w:r>
      <w:r>
        <w:rPr>
          <w:rFonts w:ascii="Times New Roman" w:hAnsi="Times New Roman" w:eastAsia="宋体" w:cs="Times New Roman"/>
          <w:color w:val="auto"/>
          <w:szCs w:val="24"/>
          <w:highlight w:val="none"/>
        </w:rPr>
        <w:t>承担。</w:t>
      </w:r>
    </w:p>
    <w:p w14:paraId="4DA84A53">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6</w:t>
      </w:r>
      <w:r>
        <w:rPr>
          <w:rFonts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rPr>
        <w:t>甲方</w:t>
      </w:r>
      <w:r>
        <w:rPr>
          <w:rFonts w:ascii="Times New Roman" w:hAnsi="Times New Roman" w:eastAsia="宋体" w:cs="Times New Roman"/>
          <w:color w:val="auto"/>
          <w:szCs w:val="24"/>
          <w:highlight w:val="none"/>
        </w:rPr>
        <w:t>根据本条规定对货物所做出的验收，仅作为起算付款及质保期之用，不视为双方对于货物质量的最终认可，</w:t>
      </w:r>
      <w:r>
        <w:rPr>
          <w:rFonts w:hint="eastAsia" w:ascii="Times New Roman" w:hAnsi="Times New Roman" w:eastAsia="宋体" w:cs="Times New Roman"/>
          <w:color w:val="auto"/>
          <w:szCs w:val="24"/>
          <w:highlight w:val="none"/>
        </w:rPr>
        <w:t>乙方</w:t>
      </w:r>
      <w:r>
        <w:rPr>
          <w:rFonts w:ascii="Times New Roman" w:hAnsi="Times New Roman" w:eastAsia="宋体" w:cs="Times New Roman"/>
          <w:color w:val="auto"/>
          <w:szCs w:val="24"/>
          <w:highlight w:val="none"/>
        </w:rPr>
        <w:t>仍应在质保期内对产品质量承担保证责任。</w:t>
      </w:r>
    </w:p>
    <w:p w14:paraId="45D0440B">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7</w:t>
      </w:r>
      <w:r>
        <w:rPr>
          <w:rFonts w:ascii="Times New Roman" w:hAnsi="Times New Roman" w:eastAsia="宋体" w:cs="Times New Roman"/>
          <w:color w:val="auto"/>
          <w:szCs w:val="24"/>
          <w:highlight w:val="none"/>
        </w:rPr>
        <w:t>）货物在最终验收合格前，其损耗、毁损、灭失等风险及责任由</w:t>
      </w:r>
      <w:r>
        <w:rPr>
          <w:rFonts w:hint="eastAsia" w:ascii="Times New Roman" w:hAnsi="Times New Roman" w:eastAsia="宋体" w:cs="Times New Roman"/>
          <w:color w:val="auto"/>
          <w:szCs w:val="24"/>
          <w:highlight w:val="none"/>
        </w:rPr>
        <w:t>乙方</w:t>
      </w:r>
      <w:r>
        <w:rPr>
          <w:rFonts w:ascii="Times New Roman" w:hAnsi="Times New Roman" w:eastAsia="宋体" w:cs="Times New Roman"/>
          <w:color w:val="auto"/>
          <w:szCs w:val="24"/>
          <w:highlight w:val="none"/>
        </w:rPr>
        <w:t>承担，如因发生前述情形，导致</w:t>
      </w:r>
      <w:r>
        <w:rPr>
          <w:rFonts w:hint="eastAsia" w:ascii="Times New Roman" w:hAnsi="Times New Roman" w:eastAsia="宋体" w:cs="Times New Roman"/>
          <w:color w:val="auto"/>
          <w:szCs w:val="24"/>
          <w:highlight w:val="none"/>
        </w:rPr>
        <w:t>乙方</w:t>
      </w:r>
      <w:r>
        <w:rPr>
          <w:rFonts w:ascii="Times New Roman" w:hAnsi="Times New Roman" w:eastAsia="宋体" w:cs="Times New Roman"/>
          <w:color w:val="auto"/>
          <w:szCs w:val="24"/>
          <w:highlight w:val="none"/>
        </w:rPr>
        <w:t>所供应的货物不能通过</w:t>
      </w:r>
      <w:r>
        <w:rPr>
          <w:rFonts w:hint="eastAsia" w:ascii="Times New Roman" w:hAnsi="Times New Roman" w:eastAsia="宋体" w:cs="Times New Roman"/>
          <w:color w:val="auto"/>
          <w:szCs w:val="21"/>
          <w:highlight w:val="none"/>
        </w:rPr>
        <w:t>甲方</w:t>
      </w:r>
      <w:r>
        <w:rPr>
          <w:rFonts w:ascii="Times New Roman" w:hAnsi="Times New Roman" w:eastAsia="宋体" w:cs="Times New Roman"/>
          <w:color w:val="auto"/>
          <w:szCs w:val="24"/>
          <w:highlight w:val="none"/>
        </w:rPr>
        <w:t>验收的，</w:t>
      </w:r>
      <w:r>
        <w:rPr>
          <w:rFonts w:hint="eastAsia" w:ascii="Times New Roman" w:hAnsi="Times New Roman" w:eastAsia="宋体" w:cs="Times New Roman"/>
          <w:color w:val="auto"/>
          <w:szCs w:val="24"/>
          <w:highlight w:val="none"/>
        </w:rPr>
        <w:t>乙方</w:t>
      </w:r>
      <w:r>
        <w:rPr>
          <w:rFonts w:ascii="Times New Roman" w:hAnsi="Times New Roman" w:eastAsia="宋体" w:cs="Times New Roman"/>
          <w:color w:val="auto"/>
          <w:szCs w:val="24"/>
          <w:highlight w:val="none"/>
        </w:rPr>
        <w:t>应按</w:t>
      </w:r>
      <w:r>
        <w:rPr>
          <w:rFonts w:hint="eastAsia" w:ascii="Times New Roman" w:hAnsi="Times New Roman" w:eastAsia="宋体" w:cs="Times New Roman"/>
          <w:color w:val="auto"/>
          <w:szCs w:val="21"/>
          <w:highlight w:val="none"/>
        </w:rPr>
        <w:t>甲方</w:t>
      </w:r>
      <w:r>
        <w:rPr>
          <w:rFonts w:ascii="Times New Roman" w:hAnsi="Times New Roman" w:eastAsia="宋体" w:cs="Times New Roman"/>
          <w:color w:val="auto"/>
          <w:szCs w:val="24"/>
          <w:highlight w:val="none"/>
        </w:rPr>
        <w:t>要求予以免费更换或退货。</w:t>
      </w:r>
    </w:p>
    <w:p w14:paraId="6861F13B">
      <w:pPr>
        <w:tabs>
          <w:tab w:val="left" w:pos="567"/>
        </w:tabs>
        <w:spacing w:line="360" w:lineRule="auto"/>
        <w:ind w:firstLine="424" w:firstLineChars="2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8</w:t>
      </w:r>
      <w:r>
        <w:rPr>
          <w:rFonts w:ascii="Times New Roman" w:hAnsi="Times New Roman" w:eastAsia="宋体" w:cs="Times New Roman"/>
          <w:color w:val="auto"/>
          <w:szCs w:val="24"/>
          <w:highlight w:val="none"/>
        </w:rPr>
        <w:t>）验收过程中，如对检验记录不能取得一致意见时，可委托工程所在地具有资质的权威的第三方检验机构联合进行检验。检验结果具有约束力，检验费用由责任方负担。</w:t>
      </w:r>
    </w:p>
    <w:p w14:paraId="0AD1C3FA">
      <w:pPr>
        <w:keepNext/>
        <w:keepLines/>
        <w:numPr>
          <w:ilvl w:val="255"/>
          <w:numId w:val="0"/>
        </w:numPr>
        <w:tabs>
          <w:tab w:val="left" w:pos="0"/>
        </w:tabs>
        <w:adjustRightInd w:val="0"/>
        <w:snapToGrid w:val="0"/>
        <w:spacing w:line="360" w:lineRule="auto"/>
        <w:ind w:firstLine="422" w:firstLineChars="200"/>
        <w:outlineLvl w:val="2"/>
        <w:rPr>
          <w:rFonts w:ascii="Times New Roman" w:hAnsi="Times New Roman" w:eastAsia="宋体" w:cs="Times New Roman"/>
          <w:b/>
          <w:bCs/>
          <w:color w:val="auto"/>
          <w:szCs w:val="32"/>
          <w:highlight w:val="none"/>
        </w:rPr>
      </w:pPr>
      <w:bookmarkStart w:id="647" w:name="_Toc25759"/>
      <w:bookmarkStart w:id="648" w:name="_Toc195714351"/>
      <w:r>
        <w:rPr>
          <w:rFonts w:hint="eastAsia" w:ascii="Times New Roman" w:hAnsi="Times New Roman" w:eastAsia="宋体" w:cs="Times New Roman"/>
          <w:b/>
          <w:bCs/>
          <w:color w:val="auto"/>
          <w:szCs w:val="32"/>
          <w:highlight w:val="none"/>
        </w:rPr>
        <w:t>3.项目验收的形式</w:t>
      </w:r>
      <w:bookmarkEnd w:id="647"/>
      <w:bookmarkEnd w:id="648"/>
    </w:p>
    <w:p w14:paraId="445458F2">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项目验收以会议形式为主进行开展，验收期间，可视情况增加现场实地检查环节。</w:t>
      </w:r>
    </w:p>
    <w:p w14:paraId="67BAD974">
      <w:pPr>
        <w:spacing w:line="360" w:lineRule="auto"/>
        <w:ind w:firstLine="422" w:firstLineChars="200"/>
        <w:rPr>
          <w:rFonts w:ascii="Times New Roman" w:hAnsi="Times New Roman" w:eastAsia="宋体" w:cs="Times New Roman"/>
          <w:b/>
          <w:color w:val="auto"/>
          <w:szCs w:val="24"/>
          <w:highlight w:val="none"/>
        </w:rPr>
      </w:pPr>
      <w:r>
        <w:rPr>
          <w:rFonts w:hint="eastAsia" w:ascii="Times New Roman" w:hAnsi="Times New Roman" w:eastAsia="宋体" w:cs="Times New Roman"/>
          <w:b/>
          <w:color w:val="auto"/>
          <w:szCs w:val="24"/>
          <w:highlight w:val="none"/>
        </w:rPr>
        <w:t>（1）</w:t>
      </w:r>
      <w:r>
        <w:rPr>
          <w:rFonts w:ascii="Times New Roman" w:hAnsi="Times New Roman" w:eastAsia="宋体" w:cs="Times New Roman"/>
          <w:b/>
          <w:color w:val="auto"/>
          <w:szCs w:val="24"/>
          <w:highlight w:val="none"/>
        </w:rPr>
        <w:t>会议验收要求</w:t>
      </w:r>
    </w:p>
    <w:p w14:paraId="209AD38B">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地点要求：会议地点由各方共同商定选择。</w:t>
      </w:r>
    </w:p>
    <w:p w14:paraId="6CEE9302">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出席人员要求：</w:t>
      </w:r>
      <w:r>
        <w:rPr>
          <w:rFonts w:hint="eastAsia" w:ascii="Times New Roman" w:hAnsi="Times New Roman" w:eastAsia="宋体" w:cs="Times New Roman"/>
          <w:color w:val="auto"/>
          <w:szCs w:val="24"/>
          <w:highlight w:val="none"/>
        </w:rPr>
        <w:t>甲方代表、乙方代表、监理单位代表和第三方测评单位代表</w:t>
      </w:r>
      <w:r>
        <w:rPr>
          <w:rFonts w:ascii="Times New Roman" w:hAnsi="Times New Roman" w:eastAsia="宋体" w:cs="Times New Roman"/>
          <w:color w:val="auto"/>
          <w:szCs w:val="24"/>
          <w:highlight w:val="none"/>
        </w:rPr>
        <w:t>。</w:t>
      </w:r>
    </w:p>
    <w:p w14:paraId="78516DC8">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汇报内容要求：参建各方均需准备汇报材料，</w:t>
      </w:r>
      <w:r>
        <w:rPr>
          <w:rFonts w:hint="eastAsia" w:ascii="Times New Roman" w:hAnsi="Times New Roman" w:eastAsia="宋体" w:cs="Times New Roman"/>
          <w:color w:val="auto"/>
          <w:szCs w:val="24"/>
          <w:highlight w:val="none"/>
        </w:rPr>
        <w:t>甲方</w:t>
      </w:r>
      <w:r>
        <w:rPr>
          <w:rFonts w:ascii="Times New Roman" w:hAnsi="Times New Roman" w:eastAsia="宋体" w:cs="Times New Roman"/>
          <w:color w:val="auto"/>
          <w:szCs w:val="24"/>
          <w:highlight w:val="none"/>
        </w:rPr>
        <w:t>以汇报项目的背景和建设目标为主，</w:t>
      </w:r>
      <w:r>
        <w:rPr>
          <w:rFonts w:hint="eastAsia" w:ascii="Times New Roman" w:hAnsi="Times New Roman" w:eastAsia="宋体" w:cs="Times New Roman"/>
          <w:color w:val="auto"/>
          <w:szCs w:val="24"/>
          <w:highlight w:val="none"/>
        </w:rPr>
        <w:t>乙方</w:t>
      </w:r>
      <w:r>
        <w:rPr>
          <w:rFonts w:ascii="Times New Roman" w:hAnsi="Times New Roman" w:eastAsia="宋体" w:cs="Times New Roman"/>
          <w:color w:val="auto"/>
          <w:szCs w:val="24"/>
          <w:highlight w:val="none"/>
        </w:rPr>
        <w:t>以汇报项目的建设历程和成果实现完成情况为主，监理单位以汇报监督管理情况为主，测评单位以汇报测评内容和测试结论为主。</w:t>
      </w:r>
    </w:p>
    <w:p w14:paraId="7957ACDF">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验收材料准备要求：份数和装订按规定要求准备。</w:t>
      </w:r>
    </w:p>
    <w:p w14:paraId="6C9C49B8">
      <w:pPr>
        <w:spacing w:line="360" w:lineRule="auto"/>
        <w:ind w:firstLine="422" w:firstLineChars="200"/>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w:t>
      </w:r>
      <w:r>
        <w:rPr>
          <w:rFonts w:hint="eastAsia" w:ascii="Times New Roman" w:hAnsi="Times New Roman" w:eastAsia="宋体" w:cs="Times New Roman"/>
          <w:b/>
          <w:color w:val="auto"/>
          <w:szCs w:val="24"/>
          <w:highlight w:val="none"/>
        </w:rPr>
        <w:t>2</w:t>
      </w:r>
      <w:r>
        <w:rPr>
          <w:rFonts w:ascii="Times New Roman" w:hAnsi="Times New Roman" w:eastAsia="宋体" w:cs="Times New Roman"/>
          <w:b/>
          <w:color w:val="auto"/>
          <w:szCs w:val="24"/>
          <w:highlight w:val="none"/>
        </w:rPr>
        <w:t>）现场验收要求</w:t>
      </w:r>
    </w:p>
    <w:p w14:paraId="27701BFB">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涉及硬件设备到货和安装调测需由监理单位协助</w:t>
      </w:r>
      <w:r>
        <w:rPr>
          <w:rFonts w:hint="eastAsia" w:ascii="Times New Roman" w:hAnsi="Times New Roman" w:eastAsia="宋体" w:cs="Times New Roman"/>
          <w:color w:val="auto"/>
          <w:szCs w:val="24"/>
          <w:highlight w:val="none"/>
        </w:rPr>
        <w:t>甲方</w:t>
      </w:r>
      <w:r>
        <w:rPr>
          <w:rFonts w:ascii="Times New Roman" w:hAnsi="Times New Roman" w:eastAsia="宋体" w:cs="Times New Roman"/>
          <w:color w:val="auto"/>
          <w:szCs w:val="24"/>
          <w:highlight w:val="none"/>
        </w:rPr>
        <w:t>完成验收前的检查工作并形成验收过程材料</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现场验收主要采取抽查验收为主，包括设备</w:t>
      </w:r>
      <w:r>
        <w:rPr>
          <w:rFonts w:hint="eastAsia" w:ascii="Times New Roman" w:hAnsi="Times New Roman" w:eastAsia="宋体" w:cs="Times New Roman"/>
          <w:color w:val="auto"/>
          <w:szCs w:val="24"/>
          <w:highlight w:val="none"/>
        </w:rPr>
        <w:t>型号参数、</w:t>
      </w:r>
      <w:r>
        <w:rPr>
          <w:rFonts w:ascii="Times New Roman" w:hAnsi="Times New Roman" w:eastAsia="宋体" w:cs="Times New Roman"/>
          <w:color w:val="auto"/>
          <w:szCs w:val="24"/>
          <w:highlight w:val="none"/>
        </w:rPr>
        <w:t>配置</w:t>
      </w:r>
      <w:r>
        <w:rPr>
          <w:rFonts w:hint="eastAsia" w:ascii="Times New Roman" w:hAnsi="Times New Roman" w:eastAsia="宋体" w:cs="Times New Roman"/>
          <w:color w:val="auto"/>
          <w:szCs w:val="24"/>
          <w:highlight w:val="none"/>
        </w:rPr>
        <w:t>和</w:t>
      </w:r>
      <w:r>
        <w:rPr>
          <w:rFonts w:ascii="Times New Roman" w:hAnsi="Times New Roman" w:eastAsia="宋体" w:cs="Times New Roman"/>
          <w:color w:val="auto"/>
          <w:szCs w:val="24"/>
          <w:highlight w:val="none"/>
        </w:rPr>
        <w:t>功能演示等。验收环节，</w:t>
      </w:r>
      <w:r>
        <w:rPr>
          <w:rFonts w:hint="eastAsia" w:ascii="Times New Roman" w:hAnsi="Times New Roman" w:eastAsia="宋体" w:cs="Times New Roman"/>
          <w:color w:val="auto"/>
          <w:szCs w:val="24"/>
          <w:highlight w:val="none"/>
        </w:rPr>
        <w:t>乙方</w:t>
      </w:r>
      <w:r>
        <w:rPr>
          <w:rFonts w:ascii="Times New Roman" w:hAnsi="Times New Roman" w:eastAsia="宋体" w:cs="Times New Roman"/>
          <w:color w:val="auto"/>
          <w:szCs w:val="24"/>
          <w:highlight w:val="none"/>
        </w:rPr>
        <w:t>均需做好各项准备工作，包括安排讲解人员、预先做好功能预演等。</w:t>
      </w:r>
    </w:p>
    <w:p w14:paraId="7B842F42">
      <w:pPr>
        <w:keepNext/>
        <w:keepLines/>
        <w:numPr>
          <w:ilvl w:val="255"/>
          <w:numId w:val="0"/>
        </w:numPr>
        <w:tabs>
          <w:tab w:val="left" w:pos="0"/>
        </w:tabs>
        <w:adjustRightInd w:val="0"/>
        <w:snapToGrid w:val="0"/>
        <w:spacing w:line="360" w:lineRule="auto"/>
        <w:ind w:firstLine="422" w:firstLineChars="200"/>
        <w:outlineLvl w:val="2"/>
        <w:rPr>
          <w:rFonts w:ascii="Times New Roman" w:hAnsi="Times New Roman" w:eastAsia="宋体" w:cs="Times New Roman"/>
          <w:b/>
          <w:bCs/>
          <w:color w:val="auto"/>
          <w:szCs w:val="32"/>
          <w:highlight w:val="none"/>
        </w:rPr>
      </w:pPr>
      <w:bookmarkStart w:id="649" w:name="_Toc9650"/>
      <w:bookmarkStart w:id="650" w:name="_Toc195714352"/>
      <w:r>
        <w:rPr>
          <w:rFonts w:hint="eastAsia" w:ascii="Times New Roman" w:hAnsi="Times New Roman" w:eastAsia="宋体" w:cs="Times New Roman"/>
          <w:b/>
          <w:bCs/>
          <w:color w:val="auto"/>
          <w:szCs w:val="32"/>
          <w:highlight w:val="none"/>
        </w:rPr>
        <w:t>4.项目验收要求</w:t>
      </w:r>
      <w:bookmarkEnd w:id="649"/>
      <w:bookmarkEnd w:id="650"/>
    </w:p>
    <w:p w14:paraId="303871D9">
      <w:pPr>
        <w:spacing w:line="360" w:lineRule="auto"/>
        <w:ind w:firstLine="422" w:firstLineChars="200"/>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w:t>
      </w:r>
      <w:r>
        <w:rPr>
          <w:rFonts w:hint="eastAsia" w:ascii="Times New Roman" w:hAnsi="Times New Roman" w:eastAsia="宋体" w:cs="Times New Roman"/>
          <w:b/>
          <w:color w:val="auto"/>
          <w:szCs w:val="24"/>
          <w:highlight w:val="none"/>
        </w:rPr>
        <w:t>1</w:t>
      </w:r>
      <w:r>
        <w:rPr>
          <w:rFonts w:ascii="Times New Roman" w:hAnsi="Times New Roman" w:eastAsia="宋体" w:cs="Times New Roman"/>
          <w:b/>
          <w:color w:val="auto"/>
          <w:szCs w:val="24"/>
          <w:highlight w:val="none"/>
        </w:rPr>
        <w:t>）验收方案（含计划）的制定与报审要求</w:t>
      </w:r>
    </w:p>
    <w:p w14:paraId="58E7E5C5">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乙方拟定验收方案，编制完成后呈报监理单位和甲方审批。</w:t>
      </w:r>
    </w:p>
    <w:p w14:paraId="65CA1DE4">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验收方案需包含时间安排、地点安排、参与人员安排、准备工作完成情况反馈等基本内容。</w:t>
      </w:r>
    </w:p>
    <w:p w14:paraId="222BDE74">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验收方案作为验收申请的附件文件随验收申请提交，经批准后，作为验收工作组织的依据性文件。</w:t>
      </w:r>
    </w:p>
    <w:p w14:paraId="45A457EA">
      <w:pPr>
        <w:spacing w:line="360" w:lineRule="auto"/>
        <w:ind w:firstLine="422" w:firstLineChars="200"/>
        <w:rPr>
          <w:rFonts w:ascii="Times New Roman" w:hAnsi="Times New Roman" w:eastAsia="宋体" w:cs="Times New Roman"/>
          <w:b/>
          <w:color w:val="auto"/>
          <w:szCs w:val="24"/>
          <w:highlight w:val="none"/>
        </w:rPr>
      </w:pPr>
      <w:r>
        <w:rPr>
          <w:rFonts w:ascii="Times New Roman" w:hAnsi="Times New Roman" w:eastAsia="宋体" w:cs="Times New Roman"/>
          <w:b/>
          <w:color w:val="auto"/>
          <w:szCs w:val="24"/>
          <w:highlight w:val="none"/>
        </w:rPr>
        <w:t>（</w:t>
      </w:r>
      <w:r>
        <w:rPr>
          <w:rFonts w:hint="eastAsia" w:ascii="Times New Roman" w:hAnsi="Times New Roman" w:eastAsia="宋体" w:cs="Times New Roman"/>
          <w:b/>
          <w:color w:val="auto"/>
          <w:szCs w:val="24"/>
          <w:highlight w:val="none"/>
        </w:rPr>
        <w:t>2</w:t>
      </w:r>
      <w:r>
        <w:rPr>
          <w:rFonts w:ascii="Times New Roman" w:hAnsi="Times New Roman" w:eastAsia="宋体" w:cs="Times New Roman"/>
          <w:b/>
          <w:color w:val="auto"/>
          <w:szCs w:val="24"/>
          <w:highlight w:val="none"/>
        </w:rPr>
        <w:t>）验收会议材料准备</w:t>
      </w:r>
    </w:p>
    <w:p w14:paraId="60C389D1">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甲方</w:t>
      </w:r>
      <w:r>
        <w:rPr>
          <w:rFonts w:ascii="Times New Roman" w:hAnsi="Times New Roman" w:eastAsia="宋体" w:cs="Times New Roman"/>
          <w:color w:val="auto"/>
          <w:szCs w:val="24"/>
          <w:highlight w:val="none"/>
        </w:rPr>
        <w:t>负责准备项目情况介绍报告；监理单位负责监理工作报告、监理成果文件、会议议程等材料准备；</w:t>
      </w:r>
      <w:r>
        <w:rPr>
          <w:rFonts w:hint="eastAsia" w:ascii="Times New Roman" w:hAnsi="Times New Roman" w:eastAsia="宋体" w:cs="Times New Roman"/>
          <w:color w:val="auto"/>
          <w:szCs w:val="24"/>
          <w:highlight w:val="none"/>
        </w:rPr>
        <w:t>乙方</w:t>
      </w:r>
      <w:r>
        <w:rPr>
          <w:rFonts w:ascii="Times New Roman" w:hAnsi="Times New Roman" w:eastAsia="宋体" w:cs="Times New Roman"/>
          <w:color w:val="auto"/>
          <w:szCs w:val="24"/>
          <w:highlight w:val="none"/>
        </w:rPr>
        <w:t>负责项目总结报告、项目验收材料、验收报告（初验、终验）。</w:t>
      </w:r>
    </w:p>
    <w:p w14:paraId="4AE9D647">
      <w:pPr>
        <w:keepNext/>
        <w:keepLines/>
        <w:numPr>
          <w:ilvl w:val="255"/>
          <w:numId w:val="0"/>
        </w:numPr>
        <w:tabs>
          <w:tab w:val="left" w:pos="0"/>
        </w:tabs>
        <w:adjustRightInd w:val="0"/>
        <w:snapToGrid w:val="0"/>
        <w:spacing w:line="360" w:lineRule="auto"/>
        <w:ind w:firstLine="422" w:firstLineChars="200"/>
        <w:outlineLvl w:val="2"/>
        <w:rPr>
          <w:rFonts w:ascii="Times New Roman" w:hAnsi="Times New Roman" w:eastAsia="宋体" w:cs="Times New Roman"/>
          <w:b/>
          <w:bCs/>
          <w:color w:val="auto"/>
          <w:szCs w:val="32"/>
          <w:highlight w:val="none"/>
        </w:rPr>
      </w:pPr>
      <w:bookmarkStart w:id="651" w:name="_Toc195714353"/>
      <w:bookmarkStart w:id="652" w:name="_Toc19377"/>
      <w:r>
        <w:rPr>
          <w:rFonts w:hint="eastAsia" w:ascii="Times New Roman" w:hAnsi="Times New Roman" w:eastAsia="宋体" w:cs="Times New Roman"/>
          <w:b/>
          <w:bCs/>
          <w:color w:val="auto"/>
          <w:szCs w:val="32"/>
          <w:highlight w:val="none"/>
        </w:rPr>
        <w:t>5.项目验收乙方应提交的资料</w:t>
      </w:r>
      <w:bookmarkEnd w:id="651"/>
      <w:bookmarkEnd w:id="652"/>
    </w:p>
    <w:p w14:paraId="41466A55">
      <w:pPr>
        <w:spacing w:line="360" w:lineRule="auto"/>
        <w:ind w:firstLine="420" w:firstLineChars="20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w:t>
      </w:r>
      <w:r>
        <w:rPr>
          <w:rFonts w:hint="eastAsia" w:ascii="Times New Roman" w:hAnsi="Times New Roman" w:eastAsia="宋体" w:cs="Times New Roman"/>
          <w:bCs/>
          <w:color w:val="auto"/>
          <w:szCs w:val="24"/>
          <w:highlight w:val="none"/>
        </w:rPr>
        <w:t>1</w:t>
      </w:r>
      <w:r>
        <w:rPr>
          <w:rFonts w:ascii="Times New Roman" w:hAnsi="Times New Roman" w:eastAsia="宋体" w:cs="Times New Roman"/>
          <w:bCs/>
          <w:color w:val="auto"/>
          <w:szCs w:val="24"/>
          <w:highlight w:val="none"/>
        </w:rPr>
        <w:t>）项目</w:t>
      </w:r>
      <w:r>
        <w:rPr>
          <w:rFonts w:hint="eastAsia" w:ascii="Times New Roman" w:hAnsi="Times New Roman" w:eastAsia="宋体" w:cs="Times New Roman"/>
          <w:color w:val="auto"/>
          <w:szCs w:val="24"/>
          <w:highlight w:val="none"/>
        </w:rPr>
        <w:t>乙方</w:t>
      </w:r>
      <w:r>
        <w:rPr>
          <w:rFonts w:ascii="Times New Roman" w:hAnsi="Times New Roman" w:eastAsia="宋体" w:cs="Times New Roman"/>
          <w:bCs/>
          <w:color w:val="auto"/>
          <w:szCs w:val="24"/>
          <w:highlight w:val="none"/>
        </w:rPr>
        <w:t>应提交的资料</w:t>
      </w:r>
    </w:p>
    <w:p w14:paraId="2053C867">
      <w:pPr>
        <w:spacing w:line="360" w:lineRule="auto"/>
        <w:ind w:firstLine="420" w:firstLineChars="200"/>
        <w:rPr>
          <w:rFonts w:ascii="Times New Roman" w:hAnsi="Times New Roman" w:eastAsia="宋体" w:cs="Times New Roman"/>
          <w:bCs/>
          <w:color w:val="auto"/>
          <w:szCs w:val="24"/>
          <w:highlight w:val="none"/>
        </w:rPr>
      </w:pPr>
      <w:r>
        <w:rPr>
          <w:rFonts w:ascii="Times New Roman" w:hAnsi="Times New Roman" w:eastAsia="宋体" w:cs="Times New Roman"/>
          <w:bCs/>
          <w:color w:val="auto"/>
          <w:szCs w:val="24"/>
          <w:highlight w:val="none"/>
        </w:rPr>
        <w:t>项目</w:t>
      </w:r>
      <w:r>
        <w:rPr>
          <w:rFonts w:hint="eastAsia" w:ascii="Times New Roman" w:hAnsi="Times New Roman" w:eastAsia="宋体" w:cs="Times New Roman"/>
          <w:color w:val="auto"/>
          <w:szCs w:val="24"/>
          <w:highlight w:val="none"/>
        </w:rPr>
        <w:t>乙方</w:t>
      </w:r>
      <w:r>
        <w:rPr>
          <w:rFonts w:ascii="Times New Roman" w:hAnsi="Times New Roman" w:eastAsia="宋体" w:cs="Times New Roman"/>
          <w:bCs/>
          <w:color w:val="auto"/>
          <w:szCs w:val="24"/>
          <w:highlight w:val="none"/>
        </w:rPr>
        <w:t>在提交项目验收申请表时，应提供项目验收所需的必要材料，</w:t>
      </w:r>
      <w:r>
        <w:rPr>
          <w:rFonts w:hint="eastAsia" w:ascii="Times New Roman" w:hAnsi="Times New Roman" w:eastAsia="宋体" w:cs="Times New Roman"/>
          <w:bCs/>
          <w:color w:val="auto"/>
          <w:szCs w:val="24"/>
          <w:highlight w:val="none"/>
        </w:rPr>
        <w:t>包括但不限于：</w:t>
      </w:r>
    </w:p>
    <w:tbl>
      <w:tblPr>
        <w:tblStyle w:val="44"/>
        <w:tblW w:w="499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90"/>
        <w:gridCol w:w="9363"/>
      </w:tblGrid>
      <w:tr w14:paraId="72DA8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tblHeader/>
        </w:trPr>
        <w:tc>
          <w:tcPr>
            <w:tcW w:w="478"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74E136E0">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
                <w:color w:val="auto"/>
                <w:szCs w:val="21"/>
                <w:highlight w:val="none"/>
              </w:rPr>
            </w:pPr>
            <w:r>
              <w:rPr>
                <w:rFonts w:hint="eastAsia" w:ascii="仿宋_GB2312" w:hAnsi="仿宋_GB2312" w:eastAsia="宋体" w:cs="仿宋_GB2312"/>
                <w:b/>
                <w:color w:val="auto"/>
                <w:szCs w:val="21"/>
                <w:highlight w:val="none"/>
                <w:lang w:bidi="ar"/>
              </w:rPr>
              <w:t>编号</w:t>
            </w:r>
          </w:p>
        </w:tc>
        <w:tc>
          <w:tcPr>
            <w:tcW w:w="4521"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73FA897C">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
                <w:color w:val="auto"/>
                <w:szCs w:val="21"/>
                <w:highlight w:val="none"/>
              </w:rPr>
            </w:pPr>
            <w:r>
              <w:rPr>
                <w:rFonts w:hint="eastAsia" w:ascii="仿宋_GB2312" w:hAnsi="仿宋_GB2312" w:eastAsia="宋体" w:cs="仿宋_GB2312"/>
                <w:b/>
                <w:color w:val="auto"/>
                <w:szCs w:val="21"/>
                <w:highlight w:val="none"/>
                <w:lang w:bidi="ar"/>
              </w:rPr>
              <w:t>文件名称</w:t>
            </w:r>
          </w:p>
        </w:tc>
      </w:tr>
      <w:tr w14:paraId="597D9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A536F">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43565">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项目实施方案（含项目计划）</w:t>
            </w:r>
          </w:p>
        </w:tc>
      </w:tr>
      <w:tr w14:paraId="47049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3A6A2">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2</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EB74A">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需求规格说明书</w:t>
            </w:r>
          </w:p>
        </w:tc>
      </w:tr>
      <w:tr w14:paraId="71C63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7875F">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3</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28BD2">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概要设计说明书</w:t>
            </w:r>
          </w:p>
        </w:tc>
      </w:tr>
      <w:tr w14:paraId="76555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883CB">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4</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F67C6">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详细设计说明书</w:t>
            </w:r>
          </w:p>
        </w:tc>
      </w:tr>
      <w:tr w14:paraId="154BE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617AE">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5</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24A9C">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数据库设计说明书</w:t>
            </w:r>
          </w:p>
        </w:tc>
      </w:tr>
      <w:tr w14:paraId="40BA0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35403">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6</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24784">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lang w:bidi="ar"/>
              </w:rPr>
            </w:pPr>
            <w:r>
              <w:rPr>
                <w:rFonts w:hint="eastAsia" w:ascii="仿宋_GB2312" w:hAnsi="仿宋_GB2312" w:eastAsia="宋体" w:cs="仿宋_GB2312"/>
                <w:color w:val="auto"/>
                <w:szCs w:val="21"/>
                <w:highlight w:val="none"/>
                <w:lang w:bidi="ar"/>
              </w:rPr>
              <w:t>设备到货记录表</w:t>
            </w:r>
          </w:p>
        </w:tc>
      </w:tr>
      <w:tr w14:paraId="775AF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223FA">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7</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83E76">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lang w:bidi="ar"/>
              </w:rPr>
            </w:pPr>
            <w:r>
              <w:rPr>
                <w:rFonts w:hint="eastAsia" w:ascii="仿宋_GB2312" w:hAnsi="仿宋_GB2312" w:eastAsia="宋体" w:cs="仿宋_GB2312"/>
                <w:color w:val="auto"/>
                <w:szCs w:val="21"/>
                <w:highlight w:val="none"/>
                <w:lang w:bidi="ar"/>
              </w:rPr>
              <w:t>设备安装记录表、安装图纸</w:t>
            </w:r>
          </w:p>
        </w:tc>
      </w:tr>
      <w:tr w14:paraId="3F23D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940E5">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8</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95839">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lang w:bidi="ar"/>
              </w:rPr>
            </w:pPr>
            <w:r>
              <w:rPr>
                <w:rFonts w:hint="eastAsia" w:ascii="仿宋_GB2312" w:hAnsi="仿宋_GB2312" w:eastAsia="宋体" w:cs="仿宋_GB2312"/>
                <w:color w:val="auto"/>
                <w:szCs w:val="21"/>
                <w:highlight w:val="none"/>
                <w:lang w:bidi="ar"/>
              </w:rPr>
              <w:t>设备功能自检报告</w:t>
            </w:r>
          </w:p>
        </w:tc>
      </w:tr>
      <w:tr w14:paraId="7D5E3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EC0B8">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9</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8BF5B">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项目阶段性测试方案项目阶段性测试记录</w:t>
            </w:r>
          </w:p>
        </w:tc>
      </w:tr>
      <w:tr w14:paraId="435C2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5D487">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10</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73A76">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项目阶段性测试报告</w:t>
            </w:r>
          </w:p>
        </w:tc>
      </w:tr>
      <w:tr w14:paraId="44EF2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B5911">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11</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08C02">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集成部署方案</w:t>
            </w:r>
          </w:p>
        </w:tc>
      </w:tr>
      <w:tr w14:paraId="51DFD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3A3A8">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12</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A0C03">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测试方案</w:t>
            </w:r>
          </w:p>
        </w:tc>
      </w:tr>
      <w:tr w14:paraId="0743A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D414B">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13</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D75FB">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自检测试报告</w:t>
            </w:r>
          </w:p>
        </w:tc>
      </w:tr>
      <w:tr w14:paraId="57C6D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36C18">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14</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13171">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维护手册</w:t>
            </w:r>
          </w:p>
        </w:tc>
      </w:tr>
      <w:tr w14:paraId="38216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04F6C">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15</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37CC3">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项目建设内容与完成情况对照表</w:t>
            </w:r>
          </w:p>
        </w:tc>
      </w:tr>
      <w:tr w14:paraId="74B3C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DD664">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16</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68A4D">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用户培训</w:t>
            </w:r>
          </w:p>
        </w:tc>
      </w:tr>
      <w:tr w14:paraId="0C2D7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69593">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17</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4D91F">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试运行方案</w:t>
            </w:r>
          </w:p>
        </w:tc>
      </w:tr>
      <w:tr w14:paraId="50F8F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5BD5D">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18</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DBA13">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初步验收方案</w:t>
            </w:r>
          </w:p>
        </w:tc>
      </w:tr>
      <w:tr w14:paraId="76D98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9F20C">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19</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B1978">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初验报告</w:t>
            </w:r>
          </w:p>
        </w:tc>
      </w:tr>
      <w:tr w14:paraId="4A856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927C6">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20</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A0ADC">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试运行总结报告</w:t>
            </w:r>
          </w:p>
        </w:tc>
      </w:tr>
      <w:tr w14:paraId="1AE13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44649">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21</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1085B">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工作联系单</w:t>
            </w:r>
          </w:p>
        </w:tc>
      </w:tr>
      <w:tr w14:paraId="49914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9D586">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22</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9F098">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售后服务方案</w:t>
            </w:r>
          </w:p>
        </w:tc>
      </w:tr>
      <w:tr w14:paraId="15FC5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C8118">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23</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EB943">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用户使用报告</w:t>
            </w:r>
          </w:p>
        </w:tc>
      </w:tr>
      <w:tr w14:paraId="58E93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AA6DE">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24</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D0C1A">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竣工总结报告</w:t>
            </w:r>
          </w:p>
        </w:tc>
      </w:tr>
      <w:tr w14:paraId="4ED07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A30CB">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25</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9A79A">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验收方案</w:t>
            </w:r>
          </w:p>
        </w:tc>
      </w:tr>
      <w:tr w14:paraId="2944C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3C467">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26</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E78BF">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项目终验报告</w:t>
            </w:r>
          </w:p>
        </w:tc>
      </w:tr>
      <w:tr w14:paraId="3A362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DFD9D">
            <w:pPr>
              <w:keepNext w:val="0"/>
              <w:keepLines w:val="0"/>
              <w:suppressLineNumbers w:val="0"/>
              <w:autoSpaceDN w:val="0"/>
              <w:spacing w:before="0" w:beforeAutospacing="0" w:after="0" w:afterAutospacing="0" w:line="360" w:lineRule="auto"/>
              <w:ind w:left="0" w:right="0"/>
              <w:jc w:val="center"/>
              <w:rPr>
                <w:rFonts w:hint="default" w:ascii="仿宋_GB2312" w:hAnsi="仿宋_GB2312" w:eastAsia="宋体" w:cs="仿宋_GB2312"/>
                <w:bCs/>
                <w:color w:val="auto"/>
                <w:szCs w:val="21"/>
                <w:highlight w:val="none"/>
              </w:rPr>
            </w:pPr>
            <w:r>
              <w:rPr>
                <w:rFonts w:hint="eastAsia" w:ascii="仿宋_GB2312" w:hAnsi="仿宋_GB2312" w:eastAsia="宋体" w:cs="仿宋_GB2312"/>
                <w:bCs/>
                <w:color w:val="auto"/>
                <w:szCs w:val="21"/>
                <w:highlight w:val="none"/>
              </w:rPr>
              <w:t>27</w:t>
            </w:r>
          </w:p>
        </w:tc>
        <w:tc>
          <w:tcPr>
            <w:tcW w:w="4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E5A93">
            <w:pPr>
              <w:keepNext w:val="0"/>
              <w:keepLines w:val="0"/>
              <w:suppressLineNumbers w:val="0"/>
              <w:autoSpaceDN w:val="0"/>
              <w:spacing w:before="0" w:beforeAutospacing="0" w:after="0" w:afterAutospacing="0" w:line="360" w:lineRule="auto"/>
              <w:ind w:left="0" w:right="0"/>
              <w:rPr>
                <w:rFonts w:hint="default" w:ascii="仿宋_GB2312" w:hAnsi="仿宋_GB2312" w:eastAsia="宋体" w:cs="仿宋_GB2312"/>
                <w:color w:val="auto"/>
                <w:szCs w:val="21"/>
                <w:highlight w:val="none"/>
              </w:rPr>
            </w:pPr>
            <w:r>
              <w:rPr>
                <w:rFonts w:hint="eastAsia" w:ascii="仿宋_GB2312" w:hAnsi="仿宋_GB2312" w:eastAsia="宋体" w:cs="仿宋_GB2312"/>
                <w:color w:val="auto"/>
                <w:szCs w:val="21"/>
                <w:highlight w:val="none"/>
                <w:lang w:bidi="ar"/>
              </w:rPr>
              <w:t>其他交付文档</w:t>
            </w:r>
          </w:p>
        </w:tc>
      </w:tr>
    </w:tbl>
    <w:p w14:paraId="2F820342">
      <w:pPr>
        <w:spacing w:line="360" w:lineRule="auto"/>
        <w:rPr>
          <w:rFonts w:ascii="Times New Roman" w:hAnsi="Times New Roman" w:eastAsia="宋体" w:cs="Times New Roman"/>
          <w:bCs/>
          <w:color w:val="auto"/>
          <w:szCs w:val="24"/>
          <w:highlight w:val="none"/>
        </w:rPr>
      </w:pPr>
    </w:p>
    <w:p w14:paraId="238C366F">
      <w:pPr>
        <w:keepNext/>
        <w:keepLines/>
        <w:numPr>
          <w:ilvl w:val="255"/>
          <w:numId w:val="0"/>
        </w:numPr>
        <w:tabs>
          <w:tab w:val="left" w:pos="0"/>
        </w:tabs>
        <w:adjustRightInd w:val="0"/>
        <w:snapToGrid w:val="0"/>
        <w:spacing w:line="360" w:lineRule="auto"/>
        <w:ind w:firstLine="422" w:firstLineChars="200"/>
        <w:outlineLvl w:val="2"/>
        <w:rPr>
          <w:rFonts w:ascii="Times New Roman" w:hAnsi="Times New Roman" w:eastAsia="宋体" w:cs="Times New Roman"/>
          <w:b/>
          <w:bCs/>
          <w:color w:val="auto"/>
          <w:szCs w:val="32"/>
          <w:highlight w:val="none"/>
        </w:rPr>
      </w:pPr>
      <w:bookmarkStart w:id="653" w:name="_Toc26238"/>
      <w:bookmarkStart w:id="654" w:name="_Toc195714354"/>
      <w:r>
        <w:rPr>
          <w:rFonts w:hint="eastAsia" w:ascii="Times New Roman" w:hAnsi="Times New Roman" w:eastAsia="宋体" w:cs="Times New Roman"/>
          <w:b/>
          <w:bCs/>
          <w:color w:val="auto"/>
          <w:szCs w:val="32"/>
          <w:highlight w:val="none"/>
        </w:rPr>
        <w:t>6.项目验收不能通过的情况</w:t>
      </w:r>
      <w:bookmarkEnd w:id="653"/>
      <w:bookmarkEnd w:id="654"/>
    </w:p>
    <w:p w14:paraId="21AE42D6">
      <w:pPr>
        <w:spacing w:line="360" w:lineRule="auto"/>
        <w:ind w:firstLine="420" w:firstLineChars="20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当存在以下任何情形之一时，项目验收应当不予通过：</w:t>
      </w:r>
    </w:p>
    <w:p w14:paraId="6629A780">
      <w:pPr>
        <w:spacing w:line="360" w:lineRule="auto"/>
        <w:ind w:firstLine="56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1</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验收文档、资料、数据不真实。</w:t>
      </w:r>
    </w:p>
    <w:p w14:paraId="5033A304">
      <w:pPr>
        <w:spacing w:line="360" w:lineRule="auto"/>
        <w:ind w:firstLine="56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2</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设计或施工不符合合同要求，或未达到国家及省市相关标准要求。</w:t>
      </w:r>
    </w:p>
    <w:p w14:paraId="1062E6ED">
      <w:pPr>
        <w:spacing w:line="360" w:lineRule="auto"/>
        <w:ind w:firstLine="56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3</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严重偏离项目目标或擅自修改项目主要建设内容。</w:t>
      </w:r>
    </w:p>
    <w:p w14:paraId="533A332A">
      <w:pPr>
        <w:spacing w:line="360" w:lineRule="auto"/>
        <w:ind w:firstLine="56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4</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监理单位出具不同意验收意见。</w:t>
      </w:r>
    </w:p>
    <w:p w14:paraId="0D8B987F">
      <w:pPr>
        <w:spacing w:line="360" w:lineRule="auto"/>
        <w:ind w:firstLine="56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5</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第三方测评或安全等级保护测评结论为不通过。</w:t>
      </w:r>
    </w:p>
    <w:p w14:paraId="5E1C8639">
      <w:pPr>
        <w:snapToGrid w:val="0"/>
        <w:spacing w:line="360" w:lineRule="auto"/>
        <w:ind w:firstLine="560"/>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6</w:t>
      </w:r>
      <w:r>
        <w:rPr>
          <w:rFonts w:hint="eastAsia" w:ascii="Times New Roman" w:hAnsi="Times New Roman" w:eastAsia="宋体" w:cs="Times New Roman"/>
          <w:color w:val="auto"/>
          <w:szCs w:val="24"/>
          <w:highlight w:val="none"/>
        </w:rPr>
        <w:t>）</w:t>
      </w:r>
      <w:r>
        <w:rPr>
          <w:rFonts w:ascii="Times New Roman" w:hAnsi="Times New Roman" w:eastAsia="宋体" w:cs="Times New Roman"/>
          <w:color w:val="auto"/>
          <w:szCs w:val="24"/>
          <w:highlight w:val="none"/>
        </w:rPr>
        <w:t>项目实施或试运行过程中出现重大问题，未能解决和</w:t>
      </w:r>
      <w:r>
        <w:rPr>
          <w:rFonts w:hint="eastAsia" w:ascii="Times New Roman" w:hAnsi="Times New Roman" w:eastAsia="宋体" w:cs="Times New Roman"/>
          <w:color w:val="auto"/>
          <w:szCs w:val="24"/>
          <w:highlight w:val="none"/>
        </w:rPr>
        <w:t>作出</w:t>
      </w:r>
      <w:r>
        <w:rPr>
          <w:rFonts w:ascii="Times New Roman" w:hAnsi="Times New Roman" w:eastAsia="宋体" w:cs="Times New Roman"/>
          <w:color w:val="auto"/>
          <w:szCs w:val="24"/>
          <w:highlight w:val="none"/>
        </w:rPr>
        <w:t>说明，或存在纠纷尚未解决的。</w:t>
      </w:r>
    </w:p>
    <w:p w14:paraId="773CDBDB">
      <w:pPr>
        <w:autoSpaceDE w:val="0"/>
        <w:autoSpaceDN w:val="0"/>
        <w:spacing w:line="360" w:lineRule="auto"/>
        <w:ind w:firstLine="422" w:firstLineChars="200"/>
        <w:jc w:val="left"/>
        <w:outlineLvl w:val="1"/>
        <w:rPr>
          <w:rFonts w:ascii="宋体" w:hAnsi="宋体" w:eastAsia="宋体"/>
          <w:b/>
          <w:bCs/>
          <w:color w:val="auto"/>
          <w:kern w:val="0"/>
          <w:szCs w:val="21"/>
          <w:highlight w:val="none"/>
        </w:rPr>
      </w:pPr>
      <w:bookmarkStart w:id="655" w:name="_Toc22121"/>
      <w:bookmarkStart w:id="656" w:name="_Toc195714355"/>
      <w:r>
        <w:rPr>
          <w:rFonts w:hint="eastAsia" w:ascii="宋体" w:hAnsi="宋体" w:eastAsia="宋体"/>
          <w:b/>
          <w:bCs/>
          <w:color w:val="auto"/>
          <w:kern w:val="0"/>
          <w:szCs w:val="21"/>
          <w:highlight w:val="none"/>
        </w:rPr>
        <w:t>（三）项目评估</w:t>
      </w:r>
      <w:bookmarkEnd w:id="655"/>
      <w:bookmarkEnd w:id="656"/>
    </w:p>
    <w:p w14:paraId="52BFE1CE">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在项目通过验收正式运行六个月后，乙方需进行项目评估，针对污水厂集中控制系统的应用状况进行深入分析。提交的评估报告应涵盖：系统运行状态、问题识别以及优化建议等关键内容。基于这份报告，乙方必须对污水厂集中控制系统进行相应的完善和优化。</w:t>
      </w:r>
    </w:p>
    <w:p w14:paraId="50E648D2">
      <w:pPr>
        <w:autoSpaceDE w:val="0"/>
        <w:autoSpaceDN w:val="0"/>
        <w:spacing w:line="360" w:lineRule="auto"/>
        <w:ind w:firstLine="422" w:firstLineChars="200"/>
        <w:jc w:val="left"/>
        <w:outlineLvl w:val="0"/>
        <w:rPr>
          <w:rFonts w:ascii="宋体" w:hAnsi="宋体" w:eastAsia="宋体" w:cs="Times New Roman"/>
          <w:b/>
          <w:bCs/>
          <w:color w:val="auto"/>
          <w:kern w:val="0"/>
          <w:szCs w:val="21"/>
          <w:highlight w:val="none"/>
          <w:lang w:bidi="zh-CN"/>
        </w:rPr>
      </w:pPr>
      <w:bookmarkStart w:id="657" w:name="_Toc134469733"/>
      <w:bookmarkStart w:id="658" w:name="_Toc20898"/>
      <w:bookmarkStart w:id="659" w:name="_Toc195714356"/>
      <w:r>
        <w:rPr>
          <w:rFonts w:hint="eastAsia" w:ascii="宋体" w:hAnsi="宋体" w:eastAsia="宋体" w:cs="Times New Roman"/>
          <w:b/>
          <w:bCs/>
          <w:color w:val="auto"/>
          <w:kern w:val="0"/>
          <w:szCs w:val="21"/>
          <w:highlight w:val="none"/>
          <w:lang w:bidi="zh-CN"/>
        </w:rPr>
        <w:t>九、项目保障</w:t>
      </w:r>
      <w:bookmarkEnd w:id="657"/>
      <w:bookmarkEnd w:id="658"/>
      <w:bookmarkEnd w:id="659"/>
    </w:p>
    <w:p w14:paraId="198BA489">
      <w:pPr>
        <w:autoSpaceDE w:val="0"/>
        <w:autoSpaceDN w:val="0"/>
        <w:spacing w:line="360" w:lineRule="auto"/>
        <w:ind w:firstLine="422" w:firstLineChars="200"/>
        <w:jc w:val="left"/>
        <w:outlineLvl w:val="1"/>
        <w:rPr>
          <w:rFonts w:ascii="宋体" w:hAnsi="宋体" w:eastAsia="宋体" w:cs="Times New Roman"/>
          <w:b/>
          <w:bCs/>
          <w:color w:val="auto"/>
          <w:kern w:val="0"/>
          <w:szCs w:val="21"/>
          <w:highlight w:val="none"/>
          <w:lang w:bidi="zh-CN"/>
        </w:rPr>
      </w:pPr>
      <w:bookmarkStart w:id="660" w:name="_Toc195714357"/>
      <w:bookmarkStart w:id="661" w:name="_Toc6972"/>
      <w:r>
        <w:rPr>
          <w:rFonts w:hint="eastAsia" w:ascii="宋体" w:hAnsi="宋体" w:eastAsia="宋体" w:cs="Times New Roman"/>
          <w:b/>
          <w:bCs/>
          <w:color w:val="auto"/>
          <w:kern w:val="0"/>
          <w:szCs w:val="21"/>
          <w:highlight w:val="none"/>
          <w:lang w:bidi="zh-CN"/>
        </w:rPr>
        <w:t>（一）项目参与人员要求</w:t>
      </w:r>
      <w:bookmarkEnd w:id="660"/>
      <w:bookmarkEnd w:id="661"/>
    </w:p>
    <w:p w14:paraId="5777D479">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1.为了确保项目的顺利实施，乙方需组建一个专业、高效的项目团队。本项目将要求配置以下人员（以下相关人员不可兼任）：</w:t>
      </w:r>
    </w:p>
    <w:p w14:paraId="74ED3639">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项目经理1人：负责整个项目的策划、组织协调和管理。</w:t>
      </w:r>
    </w:p>
    <w:p w14:paraId="370F4D17">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技术负责人1人：负责技术方案的制定、实施和监督。</w:t>
      </w:r>
    </w:p>
    <w:p w14:paraId="0C06FD02">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自动化工程师至少4人：负责自动化系统的设计开发和调试。</w:t>
      </w:r>
    </w:p>
    <w:p w14:paraId="32501D3A">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电气工程师至少1人：负责电气系统的设计、安装和调试。</w:t>
      </w:r>
    </w:p>
    <w:p w14:paraId="6F2DCC20">
      <w:pPr>
        <w:autoSpaceDE w:val="0"/>
        <w:autoSpaceDN w:val="0"/>
        <w:spacing w:line="360" w:lineRule="auto"/>
        <w:ind w:firstLine="420" w:firstLineChars="200"/>
        <w:jc w:val="left"/>
        <w:rPr>
          <w:rFonts w:hint="eastAsia"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上述人员中不少于</w:t>
      </w:r>
      <w:r>
        <w:rPr>
          <w:rFonts w:hint="default" w:ascii="宋体" w:hAnsi="宋体" w:eastAsia="宋体" w:cs="Times New Roman"/>
          <w:color w:val="auto"/>
          <w:kern w:val="0"/>
          <w:szCs w:val="21"/>
          <w:highlight w:val="none"/>
          <w:lang w:val="en-US" w:bidi="zh-CN"/>
        </w:rPr>
        <w:t>1人具有中级或以上工程师职称证书（自动化、机电、电气专业）及不少于1人具有计算机技术与软件专业技术资格（水平）考试中级或以上资格证书</w:t>
      </w:r>
      <w:r>
        <w:rPr>
          <w:rFonts w:hint="eastAsia" w:ascii="宋体" w:hAnsi="宋体" w:eastAsia="宋体" w:cs="Times New Roman"/>
          <w:color w:val="auto"/>
          <w:kern w:val="0"/>
          <w:szCs w:val="21"/>
          <w:highlight w:val="none"/>
          <w:lang w:bidi="zh-CN"/>
        </w:rPr>
        <w:t>，提供上述人员身份证复印件、相关有效证书复印件及人力资源和社会保障部门（或税务部门）出具的2024年</w:t>
      </w:r>
      <w:r>
        <w:rPr>
          <w:rFonts w:hint="eastAsia" w:ascii="宋体" w:hAnsi="宋体" w:eastAsia="宋体" w:cs="Times New Roman"/>
          <w:color w:val="auto"/>
          <w:kern w:val="0"/>
          <w:szCs w:val="21"/>
          <w:highlight w:val="none"/>
          <w:lang w:val="en-US" w:bidi="zh-CN"/>
        </w:rPr>
        <w:t>11</w:t>
      </w:r>
      <w:r>
        <w:rPr>
          <w:rFonts w:hint="eastAsia" w:ascii="宋体" w:hAnsi="宋体" w:eastAsia="宋体" w:cs="Times New Roman"/>
          <w:color w:val="auto"/>
          <w:kern w:val="0"/>
          <w:szCs w:val="21"/>
          <w:highlight w:val="none"/>
          <w:lang w:bidi="zh-CN"/>
        </w:rPr>
        <w:t>月至2025年</w:t>
      </w:r>
      <w:r>
        <w:rPr>
          <w:rFonts w:hint="eastAsia" w:ascii="宋体" w:hAnsi="宋体" w:eastAsia="宋体" w:cs="Times New Roman"/>
          <w:color w:val="auto"/>
          <w:kern w:val="0"/>
          <w:szCs w:val="21"/>
          <w:highlight w:val="none"/>
          <w:lang w:val="en-US" w:bidi="zh-CN"/>
        </w:rPr>
        <w:t>4</w:t>
      </w:r>
      <w:r>
        <w:rPr>
          <w:rFonts w:hint="eastAsia" w:ascii="宋体" w:hAnsi="宋体" w:eastAsia="宋体" w:cs="Times New Roman"/>
          <w:color w:val="auto"/>
          <w:kern w:val="0"/>
          <w:szCs w:val="21"/>
          <w:highlight w:val="none"/>
          <w:lang w:bidi="zh-CN"/>
        </w:rPr>
        <w:t>月连续六个月乙方为上述人员缴纳的社保证明材料。</w:t>
      </w:r>
    </w:p>
    <w:p w14:paraId="20595BEB">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项目经理和技术负责人根据甲方要求在项目最终验收前于甲方指定办公地点提供驻点服务。</w:t>
      </w:r>
    </w:p>
    <w:p w14:paraId="40585199">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2.甲方有权对乙方项目人员的资质及其配备进行监督检查。如乙方项目人员的资质及其配备不符合本合同或乙方投标文件响应条款及方案等相关文件约定的，甲方有权要求乙方立刻予以补充、更换且有权要求乙方承担违约责任。</w:t>
      </w:r>
    </w:p>
    <w:p w14:paraId="403FAE30">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3.在本合同履行过程中，乙方的项目人员应保持相对稳定，未经甲方书面同意不得随意更换，以保证服务工作正常进行。项目人员保持24小时通信畅通。乙方因特殊原因确需更换项目人员时，应提前7日向甲方提出书面报告，经甲方书面同意后方可更换；乙方更换项目人员应以相当资质与能力、在本单位购买连续不少于6个月社保的人员进行替换。</w:t>
      </w:r>
    </w:p>
    <w:p w14:paraId="24B9E719">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4.如乙方项目人员不符合工作要求，甲方有权要求更换，乙方在收到更换通知的3日内完成人员更换。</w:t>
      </w:r>
    </w:p>
    <w:p w14:paraId="4FF6A2B1">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5.乙方应建立完善的周例会、月例会和不定期会议制度就项目进度、质量、风险及协调等事宜确定解决，甲方项目组代表参会，乙方应在会议后形成会议纪要。</w:t>
      </w:r>
    </w:p>
    <w:p w14:paraId="74EE6490">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6.乙方应于每月结束后的3个工作日内，以书面形式向甲方提供项目阶段进度报告。如有重大问题，乙方应当在3个工作日内向甲方做出书面汇报。</w:t>
      </w:r>
    </w:p>
    <w:p w14:paraId="676A592D">
      <w:pPr>
        <w:autoSpaceDE w:val="0"/>
        <w:autoSpaceDN w:val="0"/>
        <w:spacing w:line="360" w:lineRule="auto"/>
        <w:ind w:firstLine="422" w:firstLineChars="200"/>
        <w:jc w:val="left"/>
        <w:outlineLvl w:val="1"/>
        <w:rPr>
          <w:rFonts w:ascii="宋体" w:hAnsi="宋体" w:eastAsia="宋体" w:cs="Times New Roman"/>
          <w:b/>
          <w:bCs/>
          <w:color w:val="auto"/>
          <w:kern w:val="0"/>
          <w:szCs w:val="21"/>
          <w:highlight w:val="none"/>
          <w:lang w:bidi="zh-CN"/>
        </w:rPr>
      </w:pPr>
      <w:bookmarkStart w:id="662" w:name="_Toc30735"/>
      <w:bookmarkStart w:id="663" w:name="_Toc195714358"/>
      <w:r>
        <w:rPr>
          <w:rFonts w:hint="eastAsia" w:ascii="宋体" w:hAnsi="宋体" w:eastAsia="宋体" w:cs="Times New Roman"/>
          <w:b/>
          <w:bCs/>
          <w:color w:val="auto"/>
          <w:kern w:val="0"/>
          <w:szCs w:val="21"/>
          <w:highlight w:val="none"/>
          <w:lang w:bidi="zh-CN"/>
        </w:rPr>
        <w:t>（二）质保及售后要求</w:t>
      </w:r>
      <w:bookmarkEnd w:id="662"/>
      <w:bookmarkEnd w:id="663"/>
    </w:p>
    <w:p w14:paraId="3DAA11BF">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 xml:space="preserve">（1）乙方应以书面形式提供货物原厂家的质量保障承诺，该等承诺不应低于本合同约定的标准。当由制造商直接负责售后服务时，不免除乙方对货物的质量及售后服务责任，乙方与制造商就货物质量及售后服务向甲方承担连带责任。 </w:t>
      </w:r>
    </w:p>
    <w:p w14:paraId="2ED6F40F">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（2）本合同项下货物的质保期为</w:t>
      </w:r>
      <w:r>
        <w:rPr>
          <w:rFonts w:hint="eastAsia" w:ascii="宋体" w:hAnsi="宋体" w:eastAsia="宋体" w:cs="Times New Roman"/>
          <w:color w:val="auto"/>
          <w:kern w:val="0"/>
          <w:szCs w:val="21"/>
          <w:highlight w:val="none"/>
          <w:u w:val="single"/>
          <w:lang w:bidi="zh-CN"/>
        </w:rPr>
        <w:t xml:space="preserve">    </w:t>
      </w:r>
      <w:r>
        <w:rPr>
          <w:rFonts w:hint="eastAsia" w:ascii="宋体" w:hAnsi="宋体" w:eastAsia="宋体" w:cs="Times New Roman"/>
          <w:color w:val="auto"/>
          <w:kern w:val="0"/>
          <w:szCs w:val="21"/>
          <w:highlight w:val="none"/>
          <w:lang w:bidi="zh-CN"/>
        </w:rPr>
        <w:t>个月，质保期自项目所有设备、软件、系统最终验收合格之日起计算（以项目整体验收报告日期为准）。质保期内，乙方对所投设备供货、安装质量进行免费硬件售后和系统运维服务，免费硬件售后和系统运维服务包括但不限于由乙方承担完成质保期的工作而产生的运费、购置费、测试费、人工费、维护费等各项费用。</w:t>
      </w:r>
    </w:p>
    <w:p w14:paraId="4CA6075D">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（3）运维服务内容</w:t>
      </w:r>
    </w:p>
    <w:p w14:paraId="164D1587">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1）系统监控：乙方需对项目所涉及的所有系统进行实时监控，确保系统稳定运行，及时发现并处理故障。</w:t>
      </w:r>
    </w:p>
    <w:p w14:paraId="2B715747">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2）故障处理：乙方应提供7x24小时的故障处理服务，服务方式电话咨询、远程协助和现场处理。当发生系统不能运行、应用不能正常使用等重大故障时，乙方确保30分钟内响应，2小时内派遣专业技术人员到达现场处理，4小时内排除故障恢复运行。</w:t>
      </w:r>
    </w:p>
    <w:p w14:paraId="2A35828F">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3）系统维护：乙方应定期对项目所涉及的系统进行维护，包括系统更新、补丁安装、性能优化等，确保系统持续稳定运行。</w:t>
      </w:r>
    </w:p>
    <w:p w14:paraId="2FF24F5B">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4）数据备份与恢复：乙方应定期对项目所涉及的数据进行备份，确保数据安全。同时，应提供数据恢复服务，确保在发生数据丢失时能够及时恢复。</w:t>
      </w:r>
    </w:p>
    <w:p w14:paraId="3E6C22B9">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5）安全防护：乙方应负责项目所涉及的系统安全防护，包括但不限于防火墙配置、病毒防护、入侵检测等，确保系统安全稳定运行。</w:t>
      </w:r>
    </w:p>
    <w:p w14:paraId="3447788A">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（4）运维服务质量要求</w:t>
      </w:r>
    </w:p>
    <w:p w14:paraId="7872FF72">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1）乙方应保证所提供的运维服务质量，确保项目所涉及的系统稳定、安全、高效运行。</w:t>
      </w:r>
    </w:p>
    <w:p w14:paraId="5BDB257C">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2）乙方应建立完善的运维服务体系，包括但不限于运维服务流程、故障处理机制、客户反馈渠道等，确保运维服务的顺利进行。</w:t>
      </w:r>
    </w:p>
    <w:p w14:paraId="55589821">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3）甲方有权对乙方的运维服务进行监督和评价，如发现乙方未按照约定提供服务或服务质量不达标，甲方有权要求乙方限期整改，逾期未整改的，甲方有权追究乙方的违约责任。</w:t>
      </w:r>
    </w:p>
    <w:p w14:paraId="149B9EA3">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（5）运维服务质量要求如下：</w:t>
      </w:r>
    </w:p>
    <w:p w14:paraId="7681D5AA">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1）乙方应保证所提供的运维服务质量，确保项目所涉及的系统稳定、安全、高效运行。</w:t>
      </w:r>
    </w:p>
    <w:p w14:paraId="1F258DB4">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2）乙方应建立完善的运维服务体系，包括但不限于运维服务流程、故障处理机制、客户反馈渠道等，确保运维服务的顺利进行。</w:t>
      </w:r>
    </w:p>
    <w:p w14:paraId="4FCAD263">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3）甲方有权对乙方的运维服务进行监督和评价，如发现乙方未按照约定提供服务或服务质量不达标，甲方有权要求乙方限期整改，逾期未整改的，甲方有权终止合同并追究乙方的违约责任。</w:t>
      </w:r>
    </w:p>
    <w:p w14:paraId="30B24400">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4）运维服务期服务评分要求：运维服务期服务将采用年度评分机制，评分与质保金挂钩，质保期内总分等于各年度评分表得分的平均值。评分满分100分，其中甲方的项目管理部门占50%，甲方的使用部门或厂区占50%。具体评分细则详见下表。</w:t>
      </w:r>
    </w:p>
    <w:p w14:paraId="13BDB99D">
      <w:pPr>
        <w:autoSpaceDE w:val="0"/>
        <w:autoSpaceDN w:val="0"/>
        <w:spacing w:line="360" w:lineRule="auto"/>
        <w:ind w:firstLine="422" w:firstLineChars="200"/>
        <w:jc w:val="center"/>
        <w:rPr>
          <w:rFonts w:ascii="宋体" w:hAnsi="宋体" w:eastAsia="宋体" w:cs="Times New Roman"/>
          <w:b/>
          <w:bCs/>
          <w:color w:val="auto"/>
          <w:kern w:val="0"/>
          <w:szCs w:val="21"/>
          <w:highlight w:val="none"/>
          <w:lang w:bidi="zh-CN"/>
        </w:rPr>
      </w:pPr>
      <w:r>
        <w:rPr>
          <w:rFonts w:hint="eastAsia" w:ascii="宋体" w:hAnsi="宋体" w:eastAsia="宋体" w:cs="Times New Roman"/>
          <w:b/>
          <w:bCs/>
          <w:color w:val="auto"/>
          <w:kern w:val="0"/>
          <w:szCs w:val="21"/>
          <w:highlight w:val="none"/>
          <w:lang w:bidi="zh-CN"/>
        </w:rPr>
        <w:t>运维服务期服务评分表</w:t>
      </w:r>
    </w:p>
    <w:p w14:paraId="7E98156A">
      <w:pPr>
        <w:tabs>
          <w:tab w:val="left" w:pos="567"/>
        </w:tabs>
        <w:spacing w:line="360" w:lineRule="auto"/>
        <w:jc w:val="left"/>
        <w:rPr>
          <w:rFonts w:ascii="Times New Roman" w:hAnsi="Times New Roman" w:eastAsia="宋体" w:cs="Times New Roman"/>
          <w:color w:val="auto"/>
          <w:szCs w:val="24"/>
          <w:highlight w:val="none"/>
        </w:rPr>
      </w:pPr>
      <w:r>
        <w:rPr>
          <w:rFonts w:ascii="Times New Roman" w:hAnsi="Times New Roman" w:eastAsia="宋体" w:cs="Times New Roman"/>
          <w:color w:val="auto"/>
          <w:szCs w:val="24"/>
          <w:highlight w:val="none"/>
        </w:rPr>
        <w:t>部室或厂区：</w:t>
      </w:r>
    </w:p>
    <w:tbl>
      <w:tblPr>
        <w:tblStyle w:val="45"/>
        <w:tblW w:w="10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132"/>
        <w:gridCol w:w="6716"/>
        <w:gridCol w:w="850"/>
        <w:gridCol w:w="851"/>
      </w:tblGrid>
      <w:tr w14:paraId="0FEC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0AEDB12E">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序号</w:t>
            </w:r>
          </w:p>
        </w:tc>
        <w:tc>
          <w:tcPr>
            <w:tcW w:w="1132" w:type="dxa"/>
            <w:vAlign w:val="center"/>
          </w:tcPr>
          <w:p w14:paraId="4E9FD7B5">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指标</w:t>
            </w:r>
          </w:p>
        </w:tc>
        <w:tc>
          <w:tcPr>
            <w:tcW w:w="6716" w:type="dxa"/>
            <w:vAlign w:val="center"/>
          </w:tcPr>
          <w:p w14:paraId="77739E5F">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说明</w:t>
            </w:r>
          </w:p>
        </w:tc>
        <w:tc>
          <w:tcPr>
            <w:tcW w:w="850" w:type="dxa"/>
            <w:vAlign w:val="center"/>
          </w:tcPr>
          <w:p w14:paraId="4B0A8891">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分值</w:t>
            </w:r>
          </w:p>
        </w:tc>
        <w:tc>
          <w:tcPr>
            <w:tcW w:w="851" w:type="dxa"/>
            <w:vAlign w:val="center"/>
          </w:tcPr>
          <w:p w14:paraId="7F2AEF84">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得分</w:t>
            </w:r>
          </w:p>
        </w:tc>
      </w:tr>
      <w:tr w14:paraId="7002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1F11D78E">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w:t>
            </w:r>
          </w:p>
        </w:tc>
        <w:tc>
          <w:tcPr>
            <w:tcW w:w="1132" w:type="dxa"/>
            <w:vAlign w:val="center"/>
          </w:tcPr>
          <w:p w14:paraId="38F18879">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服务热线</w:t>
            </w:r>
          </w:p>
        </w:tc>
        <w:tc>
          <w:tcPr>
            <w:tcW w:w="6716" w:type="dxa"/>
          </w:tcPr>
          <w:p w14:paraId="04FD55E4">
            <w:pPr>
              <w:keepNext w:val="0"/>
              <w:keepLines w:val="0"/>
              <w:suppressLineNumbers w:val="0"/>
              <w:tabs>
                <w:tab w:val="left" w:pos="567"/>
              </w:tabs>
              <w:spacing w:before="0" w:beforeAutospacing="0" w:after="0" w:afterAutospacing="0" w:line="360" w:lineRule="auto"/>
              <w:ind w:left="0" w:right="0" w:firstLine="424" w:firstLineChars="202"/>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乙方</w:t>
            </w:r>
            <w:r>
              <w:rPr>
                <w:rFonts w:hint="default" w:ascii="Times New Roman" w:hAnsi="Times New Roman" w:eastAsia="宋体" w:cs="Times New Roman"/>
                <w:color w:val="auto"/>
                <w:szCs w:val="24"/>
                <w:highlight w:val="none"/>
              </w:rPr>
              <w:t>应按合同规定设置服务热线，未设置热线扣10分。</w:t>
            </w:r>
          </w:p>
        </w:tc>
        <w:tc>
          <w:tcPr>
            <w:tcW w:w="850" w:type="dxa"/>
            <w:vAlign w:val="center"/>
          </w:tcPr>
          <w:p w14:paraId="6239002B">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10</w:t>
            </w:r>
          </w:p>
        </w:tc>
        <w:tc>
          <w:tcPr>
            <w:tcW w:w="851" w:type="dxa"/>
            <w:vAlign w:val="center"/>
          </w:tcPr>
          <w:p w14:paraId="6C1F6594">
            <w:pPr>
              <w:keepNext w:val="0"/>
              <w:keepLines w:val="0"/>
              <w:suppressLineNumbers w:val="0"/>
              <w:tabs>
                <w:tab w:val="left" w:pos="567"/>
              </w:tabs>
              <w:spacing w:before="0" w:beforeAutospacing="0" w:after="0" w:afterAutospacing="0" w:line="360" w:lineRule="auto"/>
              <w:ind w:left="0" w:right="0" w:firstLine="424" w:firstLineChars="202"/>
              <w:jc w:val="center"/>
              <w:rPr>
                <w:rFonts w:hint="default" w:ascii="Times New Roman" w:hAnsi="Times New Roman" w:eastAsia="宋体" w:cs="Times New Roman"/>
                <w:color w:val="auto"/>
                <w:szCs w:val="24"/>
                <w:highlight w:val="none"/>
              </w:rPr>
            </w:pPr>
          </w:p>
        </w:tc>
      </w:tr>
      <w:tr w14:paraId="4712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608D945C">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2</w:t>
            </w:r>
          </w:p>
        </w:tc>
        <w:tc>
          <w:tcPr>
            <w:tcW w:w="1132" w:type="dxa"/>
            <w:vAlign w:val="center"/>
          </w:tcPr>
          <w:p w14:paraId="7BDFA9A2">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服务响应</w:t>
            </w:r>
          </w:p>
        </w:tc>
        <w:tc>
          <w:tcPr>
            <w:tcW w:w="6716" w:type="dxa"/>
          </w:tcPr>
          <w:p w14:paraId="7A2E72C6">
            <w:pPr>
              <w:keepNext w:val="0"/>
              <w:keepLines w:val="0"/>
              <w:suppressLineNumbers w:val="0"/>
              <w:tabs>
                <w:tab w:val="left" w:pos="567"/>
              </w:tabs>
              <w:spacing w:before="0" w:beforeAutospacing="0" w:after="0" w:afterAutospacing="0" w:line="360" w:lineRule="auto"/>
              <w:ind w:left="0" w:right="0" w:firstLine="424" w:firstLineChars="202"/>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乙方</w:t>
            </w:r>
            <w:r>
              <w:rPr>
                <w:rFonts w:hint="default" w:ascii="Times New Roman" w:hAnsi="Times New Roman" w:eastAsia="宋体" w:cs="Times New Roman"/>
                <w:color w:val="auto"/>
                <w:szCs w:val="24"/>
                <w:highlight w:val="none"/>
              </w:rPr>
              <w:t>接到</w:t>
            </w:r>
            <w:r>
              <w:rPr>
                <w:rFonts w:hint="eastAsia" w:ascii="Times New Roman" w:hAnsi="Times New Roman" w:eastAsia="宋体" w:cs="Times New Roman"/>
                <w:color w:val="auto"/>
                <w:szCs w:val="24"/>
                <w:highlight w:val="none"/>
              </w:rPr>
              <w:t>甲方</w:t>
            </w:r>
            <w:r>
              <w:rPr>
                <w:rFonts w:hint="default" w:ascii="Times New Roman" w:hAnsi="Times New Roman" w:eastAsia="宋体" w:cs="Times New Roman"/>
                <w:color w:val="auto"/>
                <w:szCs w:val="24"/>
                <w:highlight w:val="none"/>
              </w:rPr>
              <w:t>报障后，工作日8小时到达现场，并于48小时内更换或修复缺陷，未按照要求修复缺陷的每次扣5分，直至扣完为止。</w:t>
            </w:r>
          </w:p>
        </w:tc>
        <w:tc>
          <w:tcPr>
            <w:tcW w:w="850" w:type="dxa"/>
            <w:vAlign w:val="center"/>
          </w:tcPr>
          <w:p w14:paraId="554DA460">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30</w:t>
            </w:r>
          </w:p>
        </w:tc>
        <w:tc>
          <w:tcPr>
            <w:tcW w:w="851" w:type="dxa"/>
            <w:vAlign w:val="center"/>
          </w:tcPr>
          <w:p w14:paraId="4600CD6C">
            <w:pPr>
              <w:keepNext w:val="0"/>
              <w:keepLines w:val="0"/>
              <w:suppressLineNumbers w:val="0"/>
              <w:tabs>
                <w:tab w:val="left" w:pos="567"/>
              </w:tabs>
              <w:spacing w:before="0" w:beforeAutospacing="0" w:after="0" w:afterAutospacing="0" w:line="360" w:lineRule="auto"/>
              <w:ind w:left="0" w:right="0" w:firstLine="424" w:firstLineChars="202"/>
              <w:jc w:val="center"/>
              <w:rPr>
                <w:rFonts w:hint="default" w:ascii="Times New Roman" w:hAnsi="Times New Roman" w:eastAsia="宋体" w:cs="Times New Roman"/>
                <w:color w:val="auto"/>
                <w:szCs w:val="24"/>
                <w:highlight w:val="none"/>
              </w:rPr>
            </w:pPr>
          </w:p>
        </w:tc>
      </w:tr>
      <w:tr w14:paraId="7BA0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51B9DA59">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3</w:t>
            </w:r>
          </w:p>
        </w:tc>
        <w:tc>
          <w:tcPr>
            <w:tcW w:w="1132" w:type="dxa"/>
            <w:vAlign w:val="center"/>
          </w:tcPr>
          <w:p w14:paraId="00BD1F64">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功能完善</w:t>
            </w:r>
          </w:p>
        </w:tc>
        <w:tc>
          <w:tcPr>
            <w:tcW w:w="6716" w:type="dxa"/>
          </w:tcPr>
          <w:p w14:paraId="7A6EFB66">
            <w:pPr>
              <w:keepNext w:val="0"/>
              <w:keepLines w:val="0"/>
              <w:suppressLineNumbers w:val="0"/>
              <w:tabs>
                <w:tab w:val="left" w:pos="567"/>
              </w:tabs>
              <w:spacing w:before="0" w:beforeAutospacing="0" w:after="0" w:afterAutospacing="0" w:line="360" w:lineRule="auto"/>
              <w:ind w:left="0" w:right="0" w:firstLine="424" w:firstLineChars="202"/>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质保期间协助提供对系统需求涉及的系统</w:t>
            </w:r>
            <w:r>
              <w:rPr>
                <w:rFonts w:hint="eastAsia" w:ascii="Times New Roman" w:hAnsi="Times New Roman" w:eastAsia="宋体" w:cs="Times New Roman"/>
                <w:color w:val="auto"/>
                <w:szCs w:val="24"/>
                <w:highlight w:val="none"/>
              </w:rPr>
              <w:t>画面、数据排布</w:t>
            </w:r>
            <w:r>
              <w:rPr>
                <w:rFonts w:hint="default" w:ascii="Times New Roman" w:hAnsi="Times New Roman" w:eastAsia="宋体" w:cs="Times New Roman"/>
                <w:color w:val="auto"/>
                <w:szCs w:val="24"/>
                <w:highlight w:val="none"/>
              </w:rPr>
              <w:t>、应用功能、报表</w:t>
            </w:r>
            <w:r>
              <w:rPr>
                <w:rFonts w:hint="eastAsia" w:ascii="Times New Roman" w:hAnsi="Times New Roman" w:eastAsia="宋体" w:cs="Times New Roman"/>
                <w:color w:val="auto"/>
                <w:szCs w:val="24"/>
                <w:highlight w:val="none"/>
              </w:rPr>
              <w:t>图标</w:t>
            </w:r>
            <w:r>
              <w:rPr>
                <w:rFonts w:hint="default" w:ascii="Times New Roman" w:hAnsi="Times New Roman" w:eastAsia="宋体" w:cs="Times New Roman"/>
                <w:color w:val="auto"/>
                <w:szCs w:val="24"/>
                <w:highlight w:val="none"/>
              </w:rPr>
              <w:t>功能完善服务，未能按照要求提供优化完善服务的，每次扣5分，直至扣完为止。</w:t>
            </w:r>
          </w:p>
        </w:tc>
        <w:tc>
          <w:tcPr>
            <w:tcW w:w="850" w:type="dxa"/>
            <w:vAlign w:val="center"/>
          </w:tcPr>
          <w:p w14:paraId="66ED23DB">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40</w:t>
            </w:r>
          </w:p>
        </w:tc>
        <w:tc>
          <w:tcPr>
            <w:tcW w:w="851" w:type="dxa"/>
            <w:vAlign w:val="center"/>
          </w:tcPr>
          <w:p w14:paraId="524F44B0">
            <w:pPr>
              <w:keepNext w:val="0"/>
              <w:keepLines w:val="0"/>
              <w:suppressLineNumbers w:val="0"/>
              <w:tabs>
                <w:tab w:val="left" w:pos="567"/>
              </w:tabs>
              <w:spacing w:before="0" w:beforeAutospacing="0" w:after="0" w:afterAutospacing="0" w:line="360" w:lineRule="auto"/>
              <w:ind w:left="0" w:right="0" w:firstLine="424" w:firstLineChars="202"/>
              <w:jc w:val="center"/>
              <w:rPr>
                <w:rFonts w:hint="default" w:ascii="Times New Roman" w:hAnsi="Times New Roman" w:eastAsia="宋体" w:cs="Times New Roman"/>
                <w:color w:val="auto"/>
                <w:szCs w:val="24"/>
                <w:highlight w:val="none"/>
              </w:rPr>
            </w:pPr>
          </w:p>
        </w:tc>
      </w:tr>
      <w:tr w14:paraId="7457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7A892F8E">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4</w:t>
            </w:r>
          </w:p>
        </w:tc>
        <w:tc>
          <w:tcPr>
            <w:tcW w:w="1132" w:type="dxa"/>
            <w:vAlign w:val="center"/>
          </w:tcPr>
          <w:p w14:paraId="6104BC1E">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对接服务</w:t>
            </w:r>
          </w:p>
        </w:tc>
        <w:tc>
          <w:tcPr>
            <w:tcW w:w="6716" w:type="dxa"/>
          </w:tcPr>
          <w:p w14:paraId="180DBBD2">
            <w:pPr>
              <w:keepNext w:val="0"/>
              <w:keepLines w:val="0"/>
              <w:suppressLineNumbers w:val="0"/>
              <w:tabs>
                <w:tab w:val="left" w:pos="567"/>
              </w:tabs>
              <w:spacing w:before="0" w:beforeAutospacing="0" w:after="0" w:afterAutospacing="0" w:line="360" w:lineRule="auto"/>
              <w:ind w:left="0" w:right="0" w:firstLine="424" w:firstLineChars="202"/>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质保期内协助提供对外部三方应用系统、数据库的对接服务，未能按照要求提供对接服务的每次扣5分，直至扣完为止。</w:t>
            </w:r>
          </w:p>
        </w:tc>
        <w:tc>
          <w:tcPr>
            <w:tcW w:w="850" w:type="dxa"/>
            <w:vAlign w:val="center"/>
          </w:tcPr>
          <w:p w14:paraId="1B200066">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20</w:t>
            </w:r>
          </w:p>
        </w:tc>
        <w:tc>
          <w:tcPr>
            <w:tcW w:w="851" w:type="dxa"/>
            <w:vAlign w:val="center"/>
          </w:tcPr>
          <w:p w14:paraId="4102AC6A">
            <w:pPr>
              <w:keepNext w:val="0"/>
              <w:keepLines w:val="0"/>
              <w:suppressLineNumbers w:val="0"/>
              <w:tabs>
                <w:tab w:val="left" w:pos="567"/>
              </w:tabs>
              <w:spacing w:before="0" w:beforeAutospacing="0" w:after="0" w:afterAutospacing="0" w:line="360" w:lineRule="auto"/>
              <w:ind w:left="0" w:right="0" w:firstLine="424" w:firstLineChars="202"/>
              <w:jc w:val="center"/>
              <w:rPr>
                <w:rFonts w:hint="default" w:ascii="Times New Roman" w:hAnsi="Times New Roman" w:eastAsia="宋体" w:cs="Times New Roman"/>
                <w:color w:val="auto"/>
                <w:szCs w:val="24"/>
                <w:highlight w:val="none"/>
              </w:rPr>
            </w:pPr>
          </w:p>
        </w:tc>
      </w:tr>
      <w:tr w14:paraId="3EAD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8" w:type="dxa"/>
            <w:gridSpan w:val="3"/>
            <w:vAlign w:val="center"/>
          </w:tcPr>
          <w:p w14:paraId="2D33840A">
            <w:pPr>
              <w:keepNext w:val="0"/>
              <w:keepLines w:val="0"/>
              <w:suppressLineNumbers w:val="0"/>
              <w:tabs>
                <w:tab w:val="left" w:pos="567"/>
              </w:tabs>
              <w:spacing w:before="0" w:beforeAutospacing="0" w:after="0" w:afterAutospacing="0" w:line="360" w:lineRule="auto"/>
              <w:ind w:left="0" w:right="0" w:firstLine="424" w:firstLineChars="202"/>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总分</w:t>
            </w:r>
          </w:p>
        </w:tc>
        <w:tc>
          <w:tcPr>
            <w:tcW w:w="850" w:type="dxa"/>
            <w:vAlign w:val="center"/>
          </w:tcPr>
          <w:p w14:paraId="03A7D5C4">
            <w:pPr>
              <w:keepNext w:val="0"/>
              <w:keepLines w:val="0"/>
              <w:suppressLineNumbers w:val="0"/>
              <w:tabs>
                <w:tab w:val="left" w:pos="567"/>
              </w:tabs>
              <w:spacing w:before="0" w:beforeAutospacing="0" w:after="0" w:afterAutospacing="0" w:line="360" w:lineRule="auto"/>
              <w:ind w:left="0" w:right="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100</w:t>
            </w:r>
          </w:p>
        </w:tc>
        <w:tc>
          <w:tcPr>
            <w:tcW w:w="851" w:type="dxa"/>
          </w:tcPr>
          <w:p w14:paraId="725A869A">
            <w:pPr>
              <w:keepNext w:val="0"/>
              <w:keepLines w:val="0"/>
              <w:suppressLineNumbers w:val="0"/>
              <w:tabs>
                <w:tab w:val="left" w:pos="567"/>
              </w:tabs>
              <w:spacing w:before="0" w:beforeAutospacing="0" w:after="0" w:afterAutospacing="0" w:line="360" w:lineRule="auto"/>
              <w:ind w:left="0" w:right="0" w:firstLine="424" w:firstLineChars="202"/>
              <w:rPr>
                <w:rFonts w:hint="default" w:ascii="Times New Roman" w:hAnsi="Times New Roman" w:eastAsia="宋体" w:cs="Times New Roman"/>
                <w:color w:val="auto"/>
                <w:szCs w:val="24"/>
                <w:highlight w:val="none"/>
              </w:rPr>
            </w:pPr>
          </w:p>
        </w:tc>
      </w:tr>
    </w:tbl>
    <w:p w14:paraId="40013FF0">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说明：</w:t>
      </w:r>
    </w:p>
    <w:p w14:paraId="57864C06">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1.总分=[项目管理部门评分（0-100）*50%]+[使用部门或厂区评分平均分（0-100）*50%]，总分满分为100分；</w:t>
      </w:r>
    </w:p>
    <w:p w14:paraId="2CEFEA81">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2.使用部门或厂区评分平均分=Σ使用部门或厂区评分/评分使用部门或厂区数。</w:t>
      </w:r>
    </w:p>
    <w:p w14:paraId="488587ED">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部室或厂区代表：                                      时间：</w:t>
      </w:r>
    </w:p>
    <w:p w14:paraId="33D0DB3E">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（6）货物质保要求</w:t>
      </w:r>
    </w:p>
    <w:p w14:paraId="222C723F">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1）质保期内乙方应提供免费上门维修、保养及其他售后服务，对设备出现的不符合合同要求的或有瑕疵之处提供免费维修或更换配件服务，经维修、更换配件后的设备质保期从维修或更换并经甲方验收合格后重新计算。</w:t>
      </w:r>
    </w:p>
    <w:p w14:paraId="5A962B7C">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2）在质保期内乙方应负责设备的保养，并实施每年至少两次（至少半年为一周期）的整体检查，并在每次检查后【15】日内向甲方提供书面的检查报告。质保期间如在正常操作情况下，任何机件因设计不当、材质缺陷或制造欠佳等因素而发生故障，乙方应在接到报修通知后4小时内予以响应，24小时内到场修复故障，24小时内不能维修的，应提供替代设备供甲方临时使用。如乙方未在规定的期限内修复，甲方有权采取必要措施如另行委托第三方对设备进行维护，由此产生的风险和费用由乙方承担，且甲方有权从质保金中直接予以扣除或甲方有权从质量保函中提取质保金予以支付维护、修复等费用，质保金不足以支付的，不足部分由乙方承担，如造成其他损失的，乙方还应承担赔偿责任。</w:t>
      </w:r>
    </w:p>
    <w:p w14:paraId="3431EE62">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3）在质保期内，甲方有权拒绝使用带有缺陷的或与合同要求不符的设备、软件、系统等等，这些设备、软件、系统等由乙方负责免费修好或更换，甲方不负担所增加费用。甲方如发现产品的质量、规格、性能、数量等与本招标文件规定不符，或发现产品无论由于任何原因存在隐藏缺陷、瑕疵、工艺问题或使用不良的材料的，或产品出现质量问题的，乙方应根据甲方指示承担免费更换或退货责任。</w:t>
      </w:r>
    </w:p>
    <w:p w14:paraId="4C3A233A">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4）在质保期内，如设备、软件、系统等出现故障（7日内）无法修复，或一个故障累计出现超过两次（含两次），或货物累计经三次维修后仍无法正常运行的，乙方应无条件根据甲方要求承担免费更换或退货责任，由此产生的费用由乙方承担，包括但不限于运输费用、搬运费用、采购费用等全部费用。</w:t>
      </w:r>
    </w:p>
    <w:p w14:paraId="23AF6B03">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5）乙方需提供本项目设备的运维说明书，指导甲方对设备的运维管理，尽可能减少设备的故障率。</w:t>
      </w:r>
    </w:p>
    <w:p w14:paraId="0F4D3B53">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（7）其他质保要求</w:t>
      </w:r>
    </w:p>
    <w:p w14:paraId="3E55FD22">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1）质保期内全部服务费（含更换零部件，达到招标文件及合同约定条件的更换货物或退货）和维修费用及乙方技术服务人员的一切费用由乙方全部自理，甲方保留索赔在质保期内设备缺陷导致的损失的权利。质保期满后的维修，乙方同意只收取合理的零件成本费用。</w:t>
      </w:r>
    </w:p>
    <w:p w14:paraId="5BBF96D4">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2）乙方应建立质量跟踪档案，对甲方进行每月一次的定期回访（电话或现场），以保证货物的正常运行。</w:t>
      </w:r>
    </w:p>
    <w:p w14:paraId="0206E462">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3）乙方未按要求提供售后服务的，甲方有权要求其他第三方提供相关服务，因此产生的费用（包括但不限于合同所约定的总价款、甲方为维护自身权益所支付的律师费、诉讼费、鉴定费、差旅费等）全部由乙方承担。</w:t>
      </w:r>
    </w:p>
    <w:p w14:paraId="54630BEB">
      <w:pPr>
        <w:autoSpaceDE w:val="0"/>
        <w:autoSpaceDN w:val="0"/>
        <w:spacing w:line="360" w:lineRule="auto"/>
        <w:ind w:firstLine="422" w:firstLineChars="200"/>
        <w:jc w:val="left"/>
        <w:outlineLvl w:val="1"/>
        <w:rPr>
          <w:rFonts w:ascii="宋体" w:hAnsi="宋体" w:eastAsia="宋体" w:cs="Times New Roman"/>
          <w:b/>
          <w:bCs/>
          <w:color w:val="auto"/>
          <w:kern w:val="0"/>
          <w:szCs w:val="21"/>
          <w:highlight w:val="none"/>
          <w:lang w:bidi="zh-CN"/>
        </w:rPr>
      </w:pPr>
      <w:bookmarkStart w:id="664" w:name="_Toc195714359"/>
      <w:bookmarkStart w:id="665" w:name="_Toc12891"/>
      <w:r>
        <w:rPr>
          <w:rFonts w:hint="eastAsia" w:ascii="宋体" w:hAnsi="宋体" w:eastAsia="宋体" w:cs="Times New Roman"/>
          <w:b/>
          <w:bCs/>
          <w:color w:val="auto"/>
          <w:kern w:val="0"/>
          <w:szCs w:val="21"/>
          <w:highlight w:val="none"/>
          <w:lang w:bidi="zh-CN"/>
        </w:rPr>
        <w:t>（三）培训要求</w:t>
      </w:r>
      <w:bookmarkEnd w:id="664"/>
      <w:bookmarkEnd w:id="665"/>
    </w:p>
    <w:p w14:paraId="33BA4B32">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提供培训方案：乙方提供的培训方案包括：培训方案的设计、培训制度的制定、培训开发、培训实施和培训效果评估，及时监控培训效果，保证培训课程符合甲方实际的需要。在系统运行（含试运行）的各个阶段相应的培训内容描述，培训阶段安排包括：项目管理培训、系统运行维护培训等。</w:t>
      </w:r>
    </w:p>
    <w:p w14:paraId="0EE66DAF">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培训内容要求：乙方需根据甲方实际情况安排培训，培训次数视甲方需求而定，具体培训内容及安排如下表所示：</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125"/>
        <w:gridCol w:w="1605"/>
        <w:gridCol w:w="5099"/>
        <w:gridCol w:w="1831"/>
      </w:tblGrid>
      <w:tr w14:paraId="56A0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7B3CB9CA">
            <w:pPr>
              <w:keepNext w:val="0"/>
              <w:keepLines w:val="0"/>
              <w:suppressLineNumbers w:val="0"/>
              <w:spacing w:before="12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编号</w:t>
            </w:r>
          </w:p>
        </w:tc>
        <w:tc>
          <w:tcPr>
            <w:tcW w:w="1125" w:type="dxa"/>
            <w:vAlign w:val="center"/>
          </w:tcPr>
          <w:p w14:paraId="1549669A">
            <w:pPr>
              <w:keepNext w:val="0"/>
              <w:keepLines w:val="0"/>
              <w:suppressLineNumbers w:val="0"/>
              <w:spacing w:before="12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培训方式</w:t>
            </w:r>
          </w:p>
        </w:tc>
        <w:tc>
          <w:tcPr>
            <w:tcW w:w="1605" w:type="dxa"/>
            <w:vAlign w:val="center"/>
          </w:tcPr>
          <w:p w14:paraId="7055566D">
            <w:pPr>
              <w:keepNext w:val="0"/>
              <w:keepLines w:val="0"/>
              <w:suppressLineNumbers w:val="0"/>
              <w:spacing w:before="12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对象及人数</w:t>
            </w:r>
          </w:p>
        </w:tc>
        <w:tc>
          <w:tcPr>
            <w:tcW w:w="5099" w:type="dxa"/>
            <w:vAlign w:val="center"/>
          </w:tcPr>
          <w:p w14:paraId="0D73D366">
            <w:pPr>
              <w:keepNext w:val="0"/>
              <w:keepLines w:val="0"/>
              <w:suppressLineNumbers w:val="0"/>
              <w:spacing w:before="12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内容</w:t>
            </w:r>
          </w:p>
        </w:tc>
        <w:tc>
          <w:tcPr>
            <w:tcW w:w="1831" w:type="dxa"/>
            <w:vAlign w:val="center"/>
          </w:tcPr>
          <w:p w14:paraId="44E2DA07">
            <w:pPr>
              <w:keepNext w:val="0"/>
              <w:keepLines w:val="0"/>
              <w:suppressLineNumbers w:val="0"/>
              <w:spacing w:before="12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时间</w:t>
            </w:r>
          </w:p>
        </w:tc>
      </w:tr>
      <w:tr w14:paraId="1E7C0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225ACF0B">
            <w:pPr>
              <w:keepNext w:val="0"/>
              <w:keepLines w:val="0"/>
              <w:suppressLineNumbers w:val="0"/>
              <w:spacing w:before="12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w:t>
            </w:r>
          </w:p>
        </w:tc>
        <w:tc>
          <w:tcPr>
            <w:tcW w:w="1125" w:type="dxa"/>
            <w:vAlign w:val="center"/>
          </w:tcPr>
          <w:p w14:paraId="2BF7E300">
            <w:pPr>
              <w:keepNext w:val="0"/>
              <w:keepLines w:val="0"/>
              <w:suppressLineNumbers w:val="0"/>
              <w:spacing w:before="12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现场培训</w:t>
            </w:r>
          </w:p>
        </w:tc>
        <w:tc>
          <w:tcPr>
            <w:tcW w:w="1605" w:type="dxa"/>
            <w:vAlign w:val="center"/>
          </w:tcPr>
          <w:p w14:paraId="3F723E32">
            <w:pPr>
              <w:keepNext w:val="0"/>
              <w:keepLines w:val="0"/>
              <w:suppressLineNumbers w:val="0"/>
              <w:spacing w:before="12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系统管理员，人数不限</w:t>
            </w:r>
          </w:p>
        </w:tc>
        <w:tc>
          <w:tcPr>
            <w:tcW w:w="5099" w:type="dxa"/>
            <w:vAlign w:val="center"/>
          </w:tcPr>
          <w:p w14:paraId="57D473A3">
            <w:pPr>
              <w:keepNext w:val="0"/>
              <w:keepLines w:val="0"/>
              <w:suppressLineNumbers w:val="0"/>
              <w:spacing w:before="120" w:beforeAutospacing="0" w:after="0" w:afterAutospacing="0"/>
              <w:ind w:left="0" w:right="0"/>
              <w:jc w:val="left"/>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系统软件环境、平台及应用软件的安装、调试培训，使管理员能熟练掌握系统安装、平台配置及常见故障处理。</w:t>
            </w:r>
          </w:p>
        </w:tc>
        <w:tc>
          <w:tcPr>
            <w:tcW w:w="1831" w:type="dxa"/>
            <w:vAlign w:val="center"/>
          </w:tcPr>
          <w:p w14:paraId="33AC22A2">
            <w:pPr>
              <w:keepNext w:val="0"/>
              <w:keepLines w:val="0"/>
              <w:suppressLineNumbers w:val="0"/>
              <w:spacing w:before="12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整个项目实施阶段</w:t>
            </w:r>
          </w:p>
        </w:tc>
      </w:tr>
      <w:tr w14:paraId="53AA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5137959F">
            <w:pPr>
              <w:keepNext w:val="0"/>
              <w:keepLines w:val="0"/>
              <w:suppressLineNumbers w:val="0"/>
              <w:spacing w:before="12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w:t>
            </w:r>
          </w:p>
        </w:tc>
        <w:tc>
          <w:tcPr>
            <w:tcW w:w="1125" w:type="dxa"/>
            <w:vAlign w:val="center"/>
          </w:tcPr>
          <w:p w14:paraId="148A00C9">
            <w:pPr>
              <w:keepNext w:val="0"/>
              <w:keepLines w:val="0"/>
              <w:suppressLineNumbers w:val="0"/>
              <w:spacing w:before="12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集中培训</w:t>
            </w:r>
          </w:p>
        </w:tc>
        <w:tc>
          <w:tcPr>
            <w:tcW w:w="1605" w:type="dxa"/>
            <w:vAlign w:val="center"/>
          </w:tcPr>
          <w:p w14:paraId="66911DA1">
            <w:pPr>
              <w:keepNext w:val="0"/>
              <w:keepLines w:val="0"/>
              <w:suppressLineNumbers w:val="0"/>
              <w:spacing w:before="12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人数不限</w:t>
            </w:r>
          </w:p>
        </w:tc>
        <w:tc>
          <w:tcPr>
            <w:tcW w:w="5099" w:type="dxa"/>
            <w:vAlign w:val="center"/>
          </w:tcPr>
          <w:p w14:paraId="5C297626">
            <w:pPr>
              <w:keepNext w:val="0"/>
              <w:keepLines w:val="0"/>
              <w:suppressLineNumbers w:val="0"/>
              <w:spacing w:before="120" w:beforeAutospacing="0" w:after="0" w:afterAutospacing="0"/>
              <w:ind w:left="0" w:right="0"/>
              <w:jc w:val="left"/>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1.系统应用软件的日常使用、配置、维护和注意事项培训，使管理员（含各单位系统管理员）能够快速熟悉系统功能和性能，完成日常维护工作。</w:t>
            </w:r>
          </w:p>
          <w:p w14:paraId="3ABD7A42">
            <w:pPr>
              <w:keepNext w:val="0"/>
              <w:keepLines w:val="0"/>
              <w:suppressLineNumbers w:val="0"/>
              <w:spacing w:before="120" w:beforeAutospacing="0" w:after="0" w:afterAutospacing="0"/>
              <w:ind w:left="0" w:right="0"/>
              <w:jc w:val="left"/>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2.使各类用户熟练相关应用系统的操作，能够处理日常业务</w:t>
            </w:r>
          </w:p>
        </w:tc>
        <w:tc>
          <w:tcPr>
            <w:tcW w:w="1831" w:type="dxa"/>
            <w:vAlign w:val="center"/>
          </w:tcPr>
          <w:p w14:paraId="5F70D88A">
            <w:pPr>
              <w:keepNext w:val="0"/>
              <w:keepLines w:val="0"/>
              <w:suppressLineNumbers w:val="0"/>
              <w:spacing w:before="12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系统试运行阶段</w:t>
            </w:r>
          </w:p>
        </w:tc>
      </w:tr>
      <w:tr w14:paraId="71B8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654FDF2F">
            <w:pPr>
              <w:keepNext w:val="0"/>
              <w:keepLines w:val="0"/>
              <w:suppressLineNumbers w:val="0"/>
              <w:spacing w:before="12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3</w:t>
            </w:r>
          </w:p>
        </w:tc>
        <w:tc>
          <w:tcPr>
            <w:tcW w:w="1125" w:type="dxa"/>
            <w:vAlign w:val="center"/>
          </w:tcPr>
          <w:p w14:paraId="17B00537">
            <w:pPr>
              <w:keepNext w:val="0"/>
              <w:keepLines w:val="0"/>
              <w:suppressLineNumbers w:val="0"/>
              <w:spacing w:before="12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网络培训</w:t>
            </w:r>
          </w:p>
        </w:tc>
        <w:tc>
          <w:tcPr>
            <w:tcW w:w="1605" w:type="dxa"/>
            <w:vAlign w:val="center"/>
          </w:tcPr>
          <w:p w14:paraId="0EB21597">
            <w:pPr>
              <w:keepNext w:val="0"/>
              <w:keepLines w:val="0"/>
              <w:suppressLineNumbers w:val="0"/>
              <w:spacing w:before="12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根据实际需要组织安排</w:t>
            </w:r>
          </w:p>
        </w:tc>
        <w:tc>
          <w:tcPr>
            <w:tcW w:w="5099" w:type="dxa"/>
            <w:vAlign w:val="center"/>
          </w:tcPr>
          <w:p w14:paraId="3B9363FD">
            <w:pPr>
              <w:keepNext w:val="0"/>
              <w:keepLines w:val="0"/>
              <w:suppressLineNumbers w:val="0"/>
              <w:spacing w:before="120" w:beforeAutospacing="0" w:after="0" w:afterAutospacing="0"/>
              <w:ind w:left="0" w:right="0"/>
              <w:jc w:val="left"/>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利用各种网络在线协同工具，针对不同的对象组织在线培训，进行在线演示、在线互动。</w:t>
            </w:r>
          </w:p>
        </w:tc>
        <w:tc>
          <w:tcPr>
            <w:tcW w:w="1831" w:type="dxa"/>
            <w:vAlign w:val="center"/>
          </w:tcPr>
          <w:p w14:paraId="29B8AFDA">
            <w:pPr>
              <w:keepNext w:val="0"/>
              <w:keepLines w:val="0"/>
              <w:suppressLineNumbers w:val="0"/>
              <w:spacing w:before="12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系统试运行阶段</w:t>
            </w:r>
          </w:p>
        </w:tc>
      </w:tr>
    </w:tbl>
    <w:p w14:paraId="4046BBA7">
      <w:pPr>
        <w:autoSpaceDE w:val="0"/>
        <w:autoSpaceDN w:val="0"/>
        <w:spacing w:line="360" w:lineRule="auto"/>
        <w:ind w:firstLine="420" w:firstLineChars="200"/>
        <w:jc w:val="left"/>
        <w:rPr>
          <w:rFonts w:ascii="宋体" w:hAnsi="宋体" w:eastAsia="宋体" w:cs="Times New Roman"/>
          <w:color w:val="auto"/>
          <w:kern w:val="0"/>
          <w:szCs w:val="21"/>
          <w:highlight w:val="none"/>
          <w:lang w:bidi="zh-CN"/>
        </w:rPr>
      </w:pPr>
      <w:r>
        <w:rPr>
          <w:rFonts w:hint="eastAsia" w:ascii="宋体" w:hAnsi="宋体" w:eastAsia="宋体" w:cs="Times New Roman"/>
          <w:color w:val="auto"/>
          <w:kern w:val="0"/>
          <w:szCs w:val="21"/>
          <w:highlight w:val="none"/>
          <w:lang w:bidi="zh-CN"/>
        </w:rPr>
        <w:t>培训方式要求：采用理论和实践相结合的培训方式。理论培训主要以授课方式进行，从专业技术理论的角度对系统进行深入浅出的讲解，提高学员的知识水平。实践操作培训主要以演示，使用操作指导为主，能够让学员独立使用相关软件系统，并掌握相关系统使用技巧，提高用户使用效率。</w:t>
      </w:r>
    </w:p>
    <w:p w14:paraId="12FA9463">
      <w:pPr>
        <w:autoSpaceDE w:val="0"/>
        <w:autoSpaceDN w:val="0"/>
        <w:spacing w:before="120" w:beforeLines="50" w:line="360" w:lineRule="auto"/>
        <w:ind w:firstLine="422" w:firstLineChars="200"/>
        <w:jc w:val="left"/>
        <w:outlineLvl w:val="0"/>
        <w:rPr>
          <w:rFonts w:ascii="宋体" w:hAnsi="宋体" w:eastAsia="宋体" w:cs="宋体"/>
          <w:b/>
          <w:color w:val="auto"/>
          <w:szCs w:val="21"/>
          <w:highlight w:val="none"/>
        </w:rPr>
      </w:pPr>
      <w:bookmarkStart w:id="666" w:name="_Toc22553"/>
      <w:bookmarkStart w:id="667" w:name="_Toc195714360"/>
      <w:bookmarkStart w:id="668" w:name="_Toc134469734"/>
      <w:r>
        <w:rPr>
          <w:rFonts w:hint="eastAsia" w:ascii="宋体" w:hAnsi="宋体" w:eastAsia="宋体" w:cs="宋体"/>
          <w:b/>
          <w:color w:val="auto"/>
          <w:szCs w:val="21"/>
          <w:highlight w:val="none"/>
        </w:rPr>
        <w:t>十、履约担保</w:t>
      </w:r>
      <w:bookmarkEnd w:id="666"/>
      <w:bookmarkEnd w:id="667"/>
    </w:p>
    <w:p w14:paraId="5F3923BA">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1、乙方应当根据招标文件的规定在签订本合同前向甲方提供履约担保，履约担保形式及金额由乙方从以下方式中任选一种：</w:t>
      </w:r>
    </w:p>
    <w:p w14:paraId="3DB838C6">
      <w:pPr>
        <w:spacing w:line="360" w:lineRule="auto"/>
        <w:ind w:firstLine="371" w:firstLineChars="177"/>
        <w:rPr>
          <w:rFonts w:ascii="宋体" w:hAnsi="宋体" w:eastAsia="宋体" w:cs="宋体"/>
          <w:color w:val="auto"/>
          <w:szCs w:val="21"/>
          <w:highlight w:val="none"/>
          <w:u w:val="singl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履约保证金（银行转账形式）金额为¥     元，大写人民币     ；</w:t>
      </w:r>
    </w:p>
    <w:p w14:paraId="6E4A0B6A">
      <w:pPr>
        <w:spacing w:line="360" w:lineRule="auto"/>
        <w:ind w:firstLine="371" w:firstLineChars="177"/>
        <w:rPr>
          <w:rFonts w:ascii="宋体" w:hAnsi="宋体" w:eastAsia="宋体" w:cs="宋体"/>
          <w:color w:val="auto"/>
          <w:szCs w:val="21"/>
          <w:highlight w:val="none"/>
          <w:u w:val="singl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不可撤销银行履约保函金额为</w:t>
      </w:r>
      <w:r>
        <w:rPr>
          <w:rFonts w:hint="eastAsia" w:ascii="宋体" w:hAnsi="宋体" w:eastAsia="宋体" w:cs="宋体"/>
          <w:color w:val="auto"/>
          <w:szCs w:val="21"/>
          <w:highlight w:val="none"/>
          <w:u w:val="single"/>
          <w:lang w:val="zh-CN"/>
        </w:rPr>
        <w:t xml:space="preserve">¥     元，大写人民币     </w:t>
      </w:r>
      <w:r>
        <w:rPr>
          <w:rFonts w:hint="eastAsia" w:ascii="宋体" w:hAnsi="宋体" w:eastAsia="宋体" w:cs="宋体"/>
          <w:color w:val="auto"/>
          <w:szCs w:val="21"/>
          <w:highlight w:val="none"/>
          <w:u w:val="single"/>
        </w:rPr>
        <w:t>；</w:t>
      </w:r>
    </w:p>
    <w:p w14:paraId="637DC74F">
      <w:pPr>
        <w:pStyle w:val="19"/>
        <w:spacing w:line="360" w:lineRule="auto"/>
        <w:ind w:firstLine="371" w:firstLineChars="177"/>
        <w:jc w:val="left"/>
        <w:rPr>
          <w:rFonts w:hAnsi="宋体" w:cs="宋体"/>
          <w:b w:val="0"/>
          <w:bCs w:val="0"/>
          <w:color w:val="auto"/>
          <w:sz w:val="21"/>
          <w:szCs w:val="21"/>
          <w:highlight w:val="none"/>
          <w:u w:val="single"/>
          <w:lang w:val="en-US"/>
        </w:rPr>
      </w:pPr>
      <w:r>
        <w:rPr>
          <w:rFonts w:hint="eastAsia" w:hAnsi="宋体" w:cs="宋体"/>
          <w:b w:val="0"/>
          <w:bCs w:val="0"/>
          <w:color w:val="auto"/>
          <w:sz w:val="21"/>
          <w:szCs w:val="21"/>
          <w:highlight w:val="none"/>
          <w:lang w:val="en-US"/>
        </w:rPr>
        <w:t>□</w:t>
      </w:r>
      <w:r>
        <w:rPr>
          <w:rFonts w:hint="eastAsia" w:hAnsi="宋体" w:cs="宋体"/>
          <w:b w:val="0"/>
          <w:bCs w:val="0"/>
          <w:color w:val="auto"/>
          <w:sz w:val="21"/>
          <w:szCs w:val="21"/>
          <w:highlight w:val="none"/>
          <w:u w:val="single"/>
          <w:lang w:val="en-US"/>
        </w:rPr>
        <w:t>履约保证保险凭证金额为¥     元，大写人民币     ；</w:t>
      </w:r>
    </w:p>
    <w:p w14:paraId="5594F9E6">
      <w:pPr>
        <w:pStyle w:val="19"/>
        <w:spacing w:line="360" w:lineRule="auto"/>
        <w:ind w:firstLine="371" w:firstLineChars="177"/>
        <w:jc w:val="left"/>
        <w:rPr>
          <w:rFonts w:hAnsi="宋体" w:cs="宋体"/>
          <w:color w:val="auto"/>
          <w:sz w:val="21"/>
          <w:szCs w:val="21"/>
          <w:highlight w:val="none"/>
        </w:rPr>
      </w:pPr>
      <w:r>
        <w:rPr>
          <w:rFonts w:hint="eastAsia" w:hAnsi="宋体" w:cs="宋体"/>
          <w:b w:val="0"/>
          <w:bCs w:val="0"/>
          <w:color w:val="auto"/>
          <w:sz w:val="21"/>
          <w:szCs w:val="21"/>
          <w:highlight w:val="none"/>
          <w:lang w:val="en-US"/>
        </w:rPr>
        <w:t>□</w:t>
      </w:r>
      <w:r>
        <w:rPr>
          <w:rFonts w:hint="eastAsia" w:hAnsi="宋体" w:cs="宋体"/>
          <w:b w:val="0"/>
          <w:bCs w:val="0"/>
          <w:color w:val="auto"/>
          <w:sz w:val="21"/>
          <w:szCs w:val="21"/>
          <w:highlight w:val="none"/>
          <w:u w:val="single"/>
          <w:lang w:val="en-US"/>
        </w:rPr>
        <w:t>担保公司履约担保书金额为¥     元，大写人民币     。</w:t>
      </w:r>
    </w:p>
    <w:p w14:paraId="7A8177B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合同履行过程中，乙方给甲方造成的损失超过履约担保数额的，乙方还应当对超过部分予以赔偿，甲方并依法追究乙方的相应责任。</w:t>
      </w:r>
    </w:p>
    <w:p w14:paraId="7E6ABAC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2、履约担保用于补偿甲方因乙方不能完全履行其合同义务而蒙受的损失或其他合同约定的事项，如发生下列任一情况时，甲方除有权依合同追究乙方违约责任外，还有权提取履约担保并进行相应处理：</w:t>
      </w:r>
    </w:p>
    <w:p w14:paraId="0708CAE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（1）乙方将合同项下乙方的权利义务全部转让给第三方，或未经甲方书面同意将部分权利义务转让给第三方的，甲方有权没收其履约担保。</w:t>
      </w:r>
    </w:p>
    <w:p w14:paraId="488F0A0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（2）在合同履行期间，乙方怠于履行合同义务，经甲方通知或要求承担违约金后乙方仍拒不改正的，甲方可依法没收或适当扣除其履约担保。</w:t>
      </w:r>
    </w:p>
    <w:p w14:paraId="26D25A9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在合同履行期间，因乙方货物、服务质量问题造成损害、侵权损失（包括但不限于甲方经济损失、第三人人身财产损失等）、乙方拖欠供应商货款或与其所雇用员工发生劳资纠纷、上访、闹事或其他影响甲方生产经营等情况而其未及时妥善处理的，甲方有权使用履约担保予以支付或作出相应处理，由此产生的一切法律后果由乙方承担。</w:t>
      </w:r>
    </w:p>
    <w:p w14:paraId="1C04ACC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（4）在合同履行期间，乙方违约产生的违约金、赔偿、罚款或其他应付费用等款项，甲方有权直接从未付款项中直接扣除或使用履约担保予以支付。</w:t>
      </w:r>
    </w:p>
    <w:p w14:paraId="4A4F892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（5）合同期内，乙方不能及时完成合同某项义务的，甲方有权提取履约担保用于处理该项工作。</w:t>
      </w:r>
    </w:p>
    <w:p w14:paraId="1BE5A87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（6）其他根据本合同约定或法律规定，甲方可使用履约担保的情形。</w:t>
      </w:r>
    </w:p>
    <w:p w14:paraId="4B42F49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乙方以履约保证金（银行转账形式）提供履约担保的，在合同期限届满并全部货物经最终验收合格、甲方向乙方支付全部货款（除质保金）后二十八（28）日后，经甲方确认，乙方可向甲方提交退回履约担保的申请。甲方审核无异议后，办理履约担保退还手续，退回时一律以银行转账的形式无息退回到乙方的账户。</w:t>
      </w:r>
    </w:p>
    <w:p w14:paraId="70381EB0">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如乙方提供不可撤销银行履约保函或履约保证保险或担保公司履约担保书作为履约担保的，不可撤销银行履约保函（或履约保证保险或担保公司履约担保书）应从合同签订之日起（或签订合同前）至合同期限届满并全部货物经最终验收合格、甲方向乙方支付全部货款（除质保金）后二十八(28)日内保持有效。如不可撤销银行履约保函（或履约保证保险或担保公司履约担保书）在规定有效期届满而货物尚未全部最终验收合格或甲方未支付完全部货款（除质保金）的，乙方必须在不可撤销银行履约保函（或履约保证保险或担保公司履约担保书）到期15日前无条件办理办妥符合甲方要求的延期手续或重新提供不可撤销银行履约保函（或履约保证保险或担保公司履约担保书）；否则视为乙方违约，甲方有权在不可撤销银行履约保函（或履约保证保险或担保公司履约担保书）到期前向出具履约担保的机构提取履约担保金。在不可撤销银行履约保函（或履约保证保险或担保公司履约担保书）到期后乙方未按甲方要求重新提供的，甲方有权要求乙方以履约担保金额为限承担违约金。</w:t>
      </w:r>
    </w:p>
    <w:p w14:paraId="6E1AD400">
      <w:pPr>
        <w:snapToGrid w:val="0"/>
        <w:spacing w:line="360" w:lineRule="auto"/>
        <w:ind w:firstLine="420" w:firstLineChars="200"/>
        <w:jc w:val="left"/>
        <w:rPr>
          <w:rFonts w:ascii="宋体" w:hAnsi="宋体" w:eastAsia="宋体" w:cs="Times New Roman"/>
          <w:b/>
          <w:bCs/>
          <w:color w:val="auto"/>
          <w:kern w:val="0"/>
          <w:szCs w:val="21"/>
          <w:highlight w:val="none"/>
          <w:lang w:bidi="zh-CN"/>
        </w:rPr>
      </w:pPr>
      <w:r>
        <w:rPr>
          <w:rFonts w:hint="eastAsia" w:ascii="宋体" w:hAnsi="宋体" w:eastAsia="宋体" w:cs="宋体"/>
          <w:color w:val="auto"/>
          <w:szCs w:val="21"/>
          <w:highlight w:val="none"/>
        </w:rPr>
        <w:t>5、在合同履行过程中，不论何种原因导致履约担保数额不符合招标文件要求的，乙方应当在5日内予以补足。逾期不予补足的，甲方有权按需补足的金额要求乙方承担违约金，并要求限期补足。如乙方仍不补足的，甲方有权单方解除合同。</w:t>
      </w:r>
    </w:p>
    <w:p w14:paraId="617B638C">
      <w:pPr>
        <w:autoSpaceDE w:val="0"/>
        <w:autoSpaceDN w:val="0"/>
        <w:spacing w:line="360" w:lineRule="auto"/>
        <w:ind w:firstLine="422" w:firstLineChars="200"/>
        <w:jc w:val="left"/>
        <w:outlineLvl w:val="0"/>
        <w:rPr>
          <w:rFonts w:ascii="宋体" w:hAnsi="宋体" w:eastAsia="宋体" w:cs="Times New Roman"/>
          <w:b/>
          <w:bCs/>
          <w:color w:val="auto"/>
          <w:kern w:val="0"/>
          <w:szCs w:val="21"/>
          <w:highlight w:val="none"/>
          <w:lang w:bidi="zh-CN"/>
        </w:rPr>
      </w:pPr>
      <w:bookmarkStart w:id="669" w:name="_Toc195714361"/>
      <w:bookmarkStart w:id="670" w:name="_Toc21548"/>
      <w:r>
        <w:rPr>
          <w:rFonts w:hint="eastAsia" w:ascii="宋体" w:hAnsi="宋体" w:eastAsia="宋体" w:cs="Times New Roman"/>
          <w:b/>
          <w:bCs/>
          <w:color w:val="auto"/>
          <w:kern w:val="0"/>
          <w:szCs w:val="21"/>
          <w:highlight w:val="none"/>
          <w:lang w:bidi="zh-CN"/>
        </w:rPr>
        <w:t>十一、违约责任</w:t>
      </w:r>
      <w:bookmarkEnd w:id="668"/>
      <w:bookmarkEnd w:id="669"/>
      <w:bookmarkEnd w:id="670"/>
    </w:p>
    <w:p w14:paraId="650252B9">
      <w:pPr>
        <w:autoSpaceDE w:val="0"/>
        <w:autoSpaceDN w:val="0"/>
        <w:spacing w:line="360" w:lineRule="auto"/>
        <w:ind w:firstLine="420" w:firstLineChars="200"/>
        <w:jc w:val="left"/>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一）乙方负责安装、调试，并及时解决调试、试运行中出现的由乙方供货设备导致的问题，相关问题的解决时长以不影响工期为原则；或由于非甲方原因而引起的设备或部件的修理或更换的时间，如不影响工程建设进度，则不视为逾期交货；否则将视为乙方逾期交货，且甲方有权追究乙方逾期交货的责任，即每逾期一日，乙方应按合同总价（含税）的5‰向甲方支付违约金。乙方逾期超过30日的，甲方可单方解除本合同，无论甲方是否解除本合同，乙方除支付前述逾期违约金外，还应按合同总价（含税）的5%向甲方支付赔偿金。该部分金额不足以弥补甲方损失的，甲方有权另行追偿。</w:t>
      </w:r>
    </w:p>
    <w:p w14:paraId="2B2A77B7">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（二）运维服务期内，乙方应按招标文件及本合同的约定提供运维服务。如乙方怠于履行（24小时内作出响应，超出该时间为怠于履行）或不履行的，每出现一次，乙方应向甲方支付</w:t>
      </w:r>
      <w:r>
        <w:rPr>
          <w:rFonts w:hint="eastAsia" w:ascii="宋体" w:hAnsi="宋体" w:eastAsia="宋体" w:cs="Times New Roman"/>
          <w:color w:val="auto"/>
          <w:kern w:val="0"/>
          <w:szCs w:val="21"/>
          <w:highlight w:val="none"/>
          <w:u w:val="single"/>
          <w:lang w:bidi="ar"/>
        </w:rPr>
        <w:t xml:space="preserve"> 5000元 </w:t>
      </w:r>
      <w:r>
        <w:rPr>
          <w:rFonts w:hint="eastAsia" w:ascii="宋体" w:hAnsi="宋体" w:eastAsia="宋体" w:cs="Times New Roman"/>
          <w:color w:val="auto"/>
          <w:kern w:val="0"/>
          <w:szCs w:val="21"/>
          <w:highlight w:val="none"/>
          <w:lang w:bidi="ar"/>
        </w:rPr>
        <w:t>的违约金，超过三次的，甲方有权没收全部质保金，并可聘请第三方处理，由此产生的费用由乙方承担。</w:t>
      </w:r>
    </w:p>
    <w:p w14:paraId="3C07F478">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（三）对于乙方违反本合同约定所发生的违约金、赔偿金等，甲方有权从未支付的款项中直接扣除，不足部分由乙方另行向甲方支付。</w:t>
      </w:r>
    </w:p>
    <w:p w14:paraId="48C00804">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四）如乙方提交的技术成果不能一次通过初验或终验的，乙方应在甲方指定时间内再次组织验收且交付期不予以延期。如再次验收仍不能通过，按不能按期完成开发成果交付处理，甲方有权终止合同并在甲方体系内部通报情况，乙方应退还所有费用并向甲方支付本</w:t>
      </w:r>
      <w:r>
        <w:rPr>
          <w:rFonts w:hint="eastAsia" w:ascii="宋体" w:hAnsi="宋体" w:eastAsia="宋体" w:cs="Times New Roman"/>
          <w:color w:val="auto"/>
          <w:kern w:val="0"/>
          <w:szCs w:val="21"/>
          <w:highlight w:val="none"/>
        </w:rPr>
        <w:t>项目合同总价（含税）</w:t>
      </w:r>
      <w:r>
        <w:rPr>
          <w:rFonts w:hint="eastAsia" w:ascii="宋体" w:hAnsi="宋体" w:eastAsia="宋体" w:cs="Times New Roman"/>
          <w:color w:val="auto"/>
          <w:kern w:val="0"/>
          <w:szCs w:val="21"/>
          <w:highlight w:val="none"/>
          <w:u w:val="single"/>
          <w:lang w:bidi="zh-CN"/>
        </w:rPr>
        <w:t xml:space="preserve"> 20% </w:t>
      </w:r>
      <w:r>
        <w:rPr>
          <w:rFonts w:hint="eastAsia" w:ascii="宋体" w:hAnsi="宋体" w:eastAsia="宋体" w:cs="Times New Roman"/>
          <w:color w:val="auto"/>
          <w:kern w:val="0"/>
          <w:szCs w:val="21"/>
          <w:highlight w:val="none"/>
          <w:lang w:bidi="ar"/>
        </w:rPr>
        <w:t>的违约金，乙方已交付的工作成果的知识产权及所有权等归属甲方。</w:t>
      </w:r>
    </w:p>
    <w:p w14:paraId="26BF0121">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（五）乙方提供的服务不符合招标文件、投标文件或本合同约定的，甲方有权拒收，并且乙方须向甲方支付本</w:t>
      </w:r>
      <w:r>
        <w:rPr>
          <w:rFonts w:hint="eastAsia" w:ascii="宋体" w:hAnsi="宋体" w:eastAsia="宋体" w:cs="Times New Roman"/>
          <w:color w:val="auto"/>
          <w:kern w:val="0"/>
          <w:szCs w:val="21"/>
          <w:highlight w:val="none"/>
        </w:rPr>
        <w:t>项目合同总价（含税）</w:t>
      </w:r>
      <w:r>
        <w:rPr>
          <w:rFonts w:hint="eastAsia" w:ascii="宋体" w:hAnsi="宋体" w:eastAsia="宋体" w:cs="Times New Roman"/>
          <w:color w:val="auto"/>
          <w:kern w:val="0"/>
          <w:szCs w:val="21"/>
          <w:highlight w:val="none"/>
          <w:u w:val="single"/>
          <w:lang w:bidi="zh-CN"/>
        </w:rPr>
        <w:t xml:space="preserve"> 20% </w:t>
      </w:r>
      <w:r>
        <w:rPr>
          <w:rFonts w:hint="eastAsia" w:ascii="宋体" w:hAnsi="宋体" w:eastAsia="宋体" w:cs="Times New Roman"/>
          <w:color w:val="auto"/>
          <w:kern w:val="0"/>
          <w:szCs w:val="21"/>
          <w:highlight w:val="none"/>
          <w:lang w:bidi="ar"/>
        </w:rPr>
        <w:t>的违约金，同时乙方应在甲方指定期限内改正或完善服务，乙方逾期或拒绝改正或完善服务的，甲方有权指定第三方继续提供服务，由此发生的费用由乙方承担，且甲方有权从未付款项中直接扣除。</w:t>
      </w:r>
    </w:p>
    <w:p w14:paraId="465F6198">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（六）乙方应当保证其交付给甲方的研究开发成果不侵犯任何第三人的合法权益。如发生第三人指控甲方实施的技术侵权的，乙方应当承担全部法律责任和由此给甲方造成的全部损失</w:t>
      </w:r>
      <w:r>
        <w:rPr>
          <w:rFonts w:hint="eastAsia" w:ascii="宋体" w:hAnsi="宋体" w:eastAsia="宋体" w:cs="Times New Roman"/>
          <w:color w:val="auto"/>
          <w:kern w:val="0"/>
          <w:szCs w:val="21"/>
          <w:highlight w:val="none"/>
          <w:lang w:eastAsia="zh-CN" w:bidi="ar"/>
        </w:rPr>
        <w:t>（包括但不限于甲方为维护自身权益所支付的律师费、诉讼费、鉴定费、差旅费等全部费用）</w:t>
      </w:r>
      <w:r>
        <w:rPr>
          <w:rFonts w:hint="eastAsia" w:ascii="宋体" w:hAnsi="宋体" w:eastAsia="宋体" w:cs="Times New Roman"/>
          <w:color w:val="auto"/>
          <w:kern w:val="0"/>
          <w:szCs w:val="21"/>
          <w:highlight w:val="none"/>
          <w:lang w:bidi="ar"/>
        </w:rPr>
        <w:t>。导致甲方不能使用成果的，乙方应退还全部项目费用，且甲方有权单方解除本合同并要求乙方支付本</w:t>
      </w:r>
      <w:r>
        <w:rPr>
          <w:rFonts w:hint="eastAsia" w:ascii="宋体" w:hAnsi="宋体" w:eastAsia="宋体" w:cs="Times New Roman"/>
          <w:color w:val="auto"/>
          <w:kern w:val="0"/>
          <w:szCs w:val="21"/>
          <w:highlight w:val="none"/>
        </w:rPr>
        <w:t>项目合同总价（含税）</w:t>
      </w:r>
      <w:r>
        <w:rPr>
          <w:rFonts w:hint="eastAsia" w:ascii="宋体" w:hAnsi="宋体" w:eastAsia="宋体" w:cs="Times New Roman"/>
          <w:color w:val="auto"/>
          <w:kern w:val="0"/>
          <w:szCs w:val="21"/>
          <w:highlight w:val="none"/>
          <w:u w:val="single"/>
          <w:lang w:bidi="ar"/>
        </w:rPr>
        <w:t xml:space="preserve"> 20% </w:t>
      </w:r>
      <w:r>
        <w:rPr>
          <w:rFonts w:hint="eastAsia" w:ascii="宋体" w:hAnsi="宋体" w:eastAsia="宋体" w:cs="Times New Roman"/>
          <w:color w:val="auto"/>
          <w:kern w:val="0"/>
          <w:szCs w:val="21"/>
          <w:highlight w:val="none"/>
          <w:lang w:bidi="ar"/>
        </w:rPr>
        <w:t>的违约金。</w:t>
      </w:r>
    </w:p>
    <w:p w14:paraId="59FB649A">
      <w:pPr>
        <w:autoSpaceDE w:val="0"/>
        <w:autoSpaceDN w:val="0"/>
        <w:spacing w:line="360" w:lineRule="auto"/>
        <w:ind w:firstLine="422" w:firstLineChars="200"/>
        <w:jc w:val="left"/>
        <w:outlineLvl w:val="0"/>
        <w:rPr>
          <w:rFonts w:ascii="宋体" w:hAnsi="宋体" w:eastAsia="宋体" w:cs="Times New Roman"/>
          <w:b/>
          <w:bCs/>
          <w:color w:val="auto"/>
          <w:kern w:val="0"/>
          <w:szCs w:val="21"/>
          <w:highlight w:val="none"/>
        </w:rPr>
      </w:pPr>
      <w:bookmarkStart w:id="671" w:name="_Toc195714362"/>
      <w:bookmarkStart w:id="672" w:name="_Toc5756"/>
      <w:bookmarkStart w:id="673" w:name="_Toc134469735"/>
      <w:r>
        <w:rPr>
          <w:rFonts w:hint="eastAsia" w:ascii="宋体" w:hAnsi="宋体" w:eastAsia="宋体" w:cs="Times New Roman"/>
          <w:b/>
          <w:bCs/>
          <w:color w:val="auto"/>
          <w:kern w:val="0"/>
          <w:szCs w:val="21"/>
          <w:highlight w:val="none"/>
          <w:lang w:bidi="ar"/>
        </w:rPr>
        <w:t>十二、合同的争议解决</w:t>
      </w:r>
      <w:bookmarkEnd w:id="671"/>
      <w:bookmarkEnd w:id="672"/>
      <w:bookmarkEnd w:id="673"/>
    </w:p>
    <w:p w14:paraId="540725F0">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（一）甲乙双方确定，在本合同有效期内，甲方指定</w:t>
      </w:r>
      <w:r>
        <w:rPr>
          <w:rFonts w:hint="eastAsia" w:ascii="宋体" w:hAnsi="宋体" w:eastAsia="宋体" w:cs="Times New Roman"/>
          <w:color w:val="auto"/>
          <w:kern w:val="0"/>
          <w:szCs w:val="21"/>
          <w:highlight w:val="none"/>
          <w:u w:val="single"/>
          <w:lang w:bidi="ar"/>
        </w:rPr>
        <w:t xml:space="preserve">        </w:t>
      </w:r>
      <w:r>
        <w:rPr>
          <w:rFonts w:hint="eastAsia" w:ascii="宋体" w:hAnsi="宋体" w:eastAsia="宋体" w:cs="Times New Roman"/>
          <w:color w:val="auto"/>
          <w:kern w:val="0"/>
          <w:szCs w:val="21"/>
          <w:highlight w:val="none"/>
          <w:lang w:bidi="ar"/>
        </w:rPr>
        <w:t>为甲方项目联系人，联系电话为</w:t>
      </w:r>
      <w:r>
        <w:rPr>
          <w:rFonts w:hint="eastAsia" w:ascii="宋体" w:hAnsi="宋体" w:eastAsia="宋体" w:cs="Times New Roman"/>
          <w:color w:val="auto"/>
          <w:kern w:val="0"/>
          <w:szCs w:val="21"/>
          <w:highlight w:val="none"/>
          <w:u w:val="single"/>
          <w:lang w:bidi="ar"/>
        </w:rPr>
        <w:t xml:space="preserve">        </w:t>
      </w:r>
      <w:r>
        <w:rPr>
          <w:rFonts w:hint="eastAsia" w:ascii="宋体" w:hAnsi="宋体" w:eastAsia="宋体" w:cs="Times New Roman"/>
          <w:color w:val="auto"/>
          <w:kern w:val="0"/>
          <w:szCs w:val="21"/>
          <w:highlight w:val="none"/>
          <w:lang w:bidi="ar"/>
        </w:rPr>
        <w:t>；乙方指定</w:t>
      </w:r>
      <w:r>
        <w:rPr>
          <w:rFonts w:hint="eastAsia" w:ascii="宋体" w:hAnsi="宋体" w:eastAsia="宋体" w:cs="Times New Roman"/>
          <w:color w:val="auto"/>
          <w:kern w:val="0"/>
          <w:szCs w:val="21"/>
          <w:highlight w:val="none"/>
          <w:u w:val="single"/>
          <w:lang w:bidi="ar"/>
        </w:rPr>
        <w:t xml:space="preserve">       </w:t>
      </w:r>
      <w:r>
        <w:rPr>
          <w:rFonts w:hint="eastAsia" w:ascii="宋体" w:hAnsi="宋体" w:eastAsia="宋体" w:cs="Times New Roman"/>
          <w:color w:val="auto"/>
          <w:kern w:val="0"/>
          <w:szCs w:val="21"/>
          <w:highlight w:val="none"/>
          <w:lang w:bidi="ar"/>
        </w:rPr>
        <w:t>为乙方项目联系人，联系电话为</w:t>
      </w:r>
      <w:r>
        <w:rPr>
          <w:rFonts w:hint="eastAsia" w:ascii="宋体" w:hAnsi="宋体" w:eastAsia="宋体" w:cs="Times New Roman"/>
          <w:color w:val="auto"/>
          <w:kern w:val="0"/>
          <w:szCs w:val="21"/>
          <w:highlight w:val="none"/>
          <w:u w:val="single"/>
          <w:lang w:bidi="ar"/>
        </w:rPr>
        <w:t xml:space="preserve">       </w:t>
      </w:r>
      <w:r>
        <w:rPr>
          <w:rFonts w:hint="eastAsia" w:ascii="宋体" w:hAnsi="宋体" w:eastAsia="宋体" w:cs="Times New Roman"/>
          <w:color w:val="auto"/>
          <w:kern w:val="0"/>
          <w:szCs w:val="21"/>
          <w:highlight w:val="none"/>
          <w:lang w:bidi="ar"/>
        </w:rPr>
        <w:t>。一方变更项目联系人的，应当在3个工作日内以书面形式通知另一方。未及时通知并影响本合同履行或造成损失的，应承担相应的责任。</w:t>
      </w:r>
    </w:p>
    <w:p w14:paraId="69F0B11C">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（二）甲乙双方确定，因发生不可抗力，致使本合同的履行成为不必要或不可能的，一方可以通知另一方协商解除本合同。</w:t>
      </w:r>
    </w:p>
    <w:p w14:paraId="52070668">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（三）甲乙双方因履行本合同而发生的争议，应协商、调解解决。协商、调解不成的，依法向甲方所在地有管辖权的人民法院起诉。</w:t>
      </w:r>
    </w:p>
    <w:p w14:paraId="34C5F362">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（四）在进行法院审理期间，除提交法院审理的事项外，合同其他部分仍继续履行。</w:t>
      </w:r>
    </w:p>
    <w:p w14:paraId="15761A53">
      <w:pPr>
        <w:autoSpaceDE w:val="0"/>
        <w:autoSpaceDN w:val="0"/>
        <w:spacing w:line="360" w:lineRule="auto"/>
        <w:ind w:firstLine="422" w:firstLineChars="200"/>
        <w:jc w:val="left"/>
        <w:outlineLvl w:val="0"/>
        <w:rPr>
          <w:rFonts w:ascii="宋体" w:hAnsi="宋体" w:eastAsia="宋体" w:cs="Times New Roman"/>
          <w:b/>
          <w:bCs/>
          <w:color w:val="auto"/>
          <w:kern w:val="0"/>
          <w:szCs w:val="21"/>
          <w:highlight w:val="none"/>
        </w:rPr>
      </w:pPr>
      <w:bookmarkStart w:id="674" w:name="_Toc195714363"/>
      <w:bookmarkStart w:id="675" w:name="_Toc134469736"/>
      <w:bookmarkStart w:id="676" w:name="_Toc28833"/>
      <w:r>
        <w:rPr>
          <w:rFonts w:hint="eastAsia" w:ascii="宋体" w:hAnsi="宋体" w:eastAsia="宋体" w:cs="Times New Roman"/>
          <w:b/>
          <w:bCs/>
          <w:color w:val="auto"/>
          <w:kern w:val="0"/>
          <w:szCs w:val="21"/>
          <w:highlight w:val="none"/>
          <w:lang w:bidi="ar"/>
        </w:rPr>
        <w:t>十三、相关名词定义解释</w:t>
      </w:r>
      <w:bookmarkEnd w:id="674"/>
      <w:bookmarkEnd w:id="675"/>
      <w:bookmarkEnd w:id="676"/>
    </w:p>
    <w:p w14:paraId="1FB43C77">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甲乙双方确定，本合同及相关附件中所涉及的有关名词和技术术语，其定义和解释如下：</w:t>
      </w:r>
    </w:p>
    <w:p w14:paraId="2A3E8C6C">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（一）“系统”、“软件系统”、“项目”等词除另有指明外，均指本合同项下由甲方投资，乙方开发承建的软件系统，包括乙方为履行本合同所开发和提供的软件版本和相关的文件。</w:t>
      </w:r>
    </w:p>
    <w:p w14:paraId="0A84D9BA">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（二）“交付”指乙方在甲乙双方规定的日期内交付约定的软件硬件的行为。但是乙方完成交付行为，并不意味着乙方已经完成了本合同项下所规定的所有义务。</w:t>
      </w:r>
    </w:p>
    <w:p w14:paraId="02E59181">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三）“商业秘密”指甲、乙方各自所拥有的，不为公众所知的管理信息、方式方法、顾客名单、商业数据、产品信息、销售渠道、技术诀窍、源代码、计算机文档等，或由甲、乙方在履行本合同过程中明确指明为商业秘密的、法律所认可的任何信息。</w:t>
      </w:r>
    </w:p>
    <w:p w14:paraId="7FB6BC52">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（四）“工作日”指国家所规定的节假日之外的所有工作日，未指明为工作日的日期指自然顺延的日期。</w:t>
      </w:r>
    </w:p>
    <w:p w14:paraId="4368CC63">
      <w:pPr>
        <w:autoSpaceDE w:val="0"/>
        <w:autoSpaceDN w:val="0"/>
        <w:spacing w:line="360" w:lineRule="auto"/>
        <w:ind w:firstLine="422" w:firstLineChars="200"/>
        <w:jc w:val="left"/>
        <w:outlineLvl w:val="0"/>
        <w:rPr>
          <w:rFonts w:ascii="宋体" w:hAnsi="宋体" w:eastAsia="宋体" w:cs="Times New Roman"/>
          <w:b/>
          <w:bCs/>
          <w:color w:val="auto"/>
          <w:kern w:val="0"/>
          <w:szCs w:val="21"/>
          <w:highlight w:val="none"/>
        </w:rPr>
      </w:pPr>
      <w:bookmarkStart w:id="677" w:name="_Toc28901"/>
      <w:bookmarkStart w:id="678" w:name="_Toc134469737"/>
      <w:bookmarkStart w:id="679" w:name="_Toc195714364"/>
      <w:r>
        <w:rPr>
          <w:rFonts w:hint="eastAsia" w:ascii="宋体" w:hAnsi="宋体" w:eastAsia="宋体" w:cs="Times New Roman"/>
          <w:b/>
          <w:bCs/>
          <w:color w:val="auto"/>
          <w:kern w:val="0"/>
          <w:szCs w:val="21"/>
          <w:highlight w:val="none"/>
          <w:lang w:bidi="ar"/>
        </w:rPr>
        <w:t>十四、保密要求</w:t>
      </w:r>
      <w:bookmarkEnd w:id="677"/>
      <w:bookmarkEnd w:id="678"/>
      <w:bookmarkEnd w:id="679"/>
    </w:p>
    <w:p w14:paraId="3C7DF574">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甲乙双方确定因履行本合同应遵守的商业秘密保密义务如下：</w:t>
      </w:r>
    </w:p>
    <w:p w14:paraId="7E6962DD">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（一）甲方</w:t>
      </w:r>
    </w:p>
    <w:p w14:paraId="349523FE">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1.保密内容（包括技术信息和经营信息）：乙方提供的各种说明文档，技术文件，程序文件等。</w:t>
      </w:r>
    </w:p>
    <w:p w14:paraId="187861F7">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2.人员范围：项目经理及项目密切相关人员。</w:t>
      </w:r>
    </w:p>
    <w:p w14:paraId="12F82DB0">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3.保密期限：长期。</w:t>
      </w:r>
    </w:p>
    <w:p w14:paraId="6CD8F312">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4.泄密责任：按相关法律法规承担相应责任。</w:t>
      </w:r>
    </w:p>
    <w:p w14:paraId="28CC6605">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（二）乙方</w:t>
      </w:r>
    </w:p>
    <w:p w14:paraId="05608671">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1.保密内容（包括技术信息和经营信息）：甲方提供的技术资料，业务数据，业务流程，调查表等所有与甲方有关的信息资料。</w:t>
      </w:r>
    </w:p>
    <w:p w14:paraId="2A87F2BE">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2.人员范围：开发人员、系统分析、文档管理、项目经理等与本项目有关的一切人员。</w:t>
      </w:r>
    </w:p>
    <w:p w14:paraId="7A8606A8">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3.保密期限：长期，不因本合同终止而终止，直至相关保密信息被合法公开之日止。</w:t>
      </w:r>
    </w:p>
    <w:p w14:paraId="2F0980DD">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4.泄密责任：乙方及乙方人员违反保密责任与义务的，乙方应向甲方支付本项目合同总价（含税）</w:t>
      </w:r>
      <w:r>
        <w:rPr>
          <w:rFonts w:hint="eastAsia" w:ascii="宋体" w:hAnsi="宋体" w:eastAsia="宋体" w:cs="Times New Roman"/>
          <w:color w:val="auto"/>
          <w:kern w:val="0"/>
          <w:szCs w:val="21"/>
          <w:highlight w:val="none"/>
          <w:u w:val="single"/>
          <w:lang w:bidi="ar"/>
        </w:rPr>
        <w:t xml:space="preserve"> 20% </w:t>
      </w:r>
      <w:r>
        <w:rPr>
          <w:rFonts w:hint="eastAsia" w:ascii="宋体" w:hAnsi="宋体" w:eastAsia="宋体" w:cs="Times New Roman"/>
          <w:color w:val="auto"/>
          <w:kern w:val="0"/>
          <w:szCs w:val="21"/>
          <w:highlight w:val="none"/>
          <w:lang w:bidi="ar"/>
        </w:rPr>
        <w:t>的违约金，给甲方造成损失或严重后果的，乙方除应按前述约定支付违约金外，还应赔偿甲方所有损失，并承担相应的法律责任。</w:t>
      </w:r>
    </w:p>
    <w:p w14:paraId="5F010C5E">
      <w:pPr>
        <w:autoSpaceDE w:val="0"/>
        <w:autoSpaceDN w:val="0"/>
        <w:spacing w:line="360" w:lineRule="auto"/>
        <w:ind w:firstLine="422" w:firstLineChars="200"/>
        <w:jc w:val="left"/>
        <w:outlineLvl w:val="0"/>
        <w:rPr>
          <w:rFonts w:ascii="宋体" w:hAnsi="宋体" w:eastAsia="宋体" w:cs="Times New Roman"/>
          <w:b/>
          <w:bCs/>
          <w:color w:val="auto"/>
          <w:kern w:val="0"/>
          <w:szCs w:val="21"/>
          <w:highlight w:val="none"/>
          <w:lang w:bidi="ar"/>
        </w:rPr>
      </w:pPr>
      <w:bookmarkStart w:id="680" w:name="_Toc11820"/>
      <w:bookmarkStart w:id="681" w:name="_Toc195714365"/>
      <w:bookmarkStart w:id="682" w:name="_Toc134469738"/>
      <w:r>
        <w:rPr>
          <w:rFonts w:hint="eastAsia" w:ascii="宋体" w:hAnsi="宋体" w:eastAsia="宋体" w:cs="Times New Roman"/>
          <w:b/>
          <w:bCs/>
          <w:color w:val="auto"/>
          <w:kern w:val="0"/>
          <w:szCs w:val="21"/>
          <w:highlight w:val="none"/>
          <w:lang w:bidi="ar"/>
        </w:rPr>
        <w:t>十五、第三方测评</w:t>
      </w:r>
      <w:bookmarkEnd w:id="680"/>
      <w:bookmarkEnd w:id="681"/>
    </w:p>
    <w:p w14:paraId="33236166">
      <w:pPr>
        <w:autoSpaceDE w:val="0"/>
        <w:autoSpaceDN w:val="0"/>
        <w:spacing w:line="360" w:lineRule="auto"/>
        <w:ind w:firstLine="420" w:firstLineChars="200"/>
        <w:jc w:val="left"/>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若甲方聘请了第三方验收测评单位对本项目系统进行系统验收测评工作，系统验收前则需通过相关第三方测评。由于乙方原因导致测试不通过的责任由乙方承担，乙方应充分考虑测试不通过所带来的风险。</w:t>
      </w:r>
    </w:p>
    <w:p w14:paraId="6EF9C2DC">
      <w:pPr>
        <w:autoSpaceDE w:val="0"/>
        <w:autoSpaceDN w:val="0"/>
        <w:spacing w:line="360" w:lineRule="auto"/>
        <w:ind w:firstLine="422" w:firstLineChars="200"/>
        <w:jc w:val="left"/>
        <w:outlineLvl w:val="0"/>
        <w:rPr>
          <w:rFonts w:ascii="宋体" w:hAnsi="宋体" w:eastAsia="宋体" w:cs="Times New Roman"/>
          <w:b/>
          <w:bCs/>
          <w:color w:val="auto"/>
          <w:kern w:val="0"/>
          <w:szCs w:val="21"/>
          <w:highlight w:val="none"/>
          <w:lang w:bidi="ar"/>
        </w:rPr>
      </w:pPr>
      <w:bookmarkStart w:id="683" w:name="_Toc15764"/>
      <w:bookmarkStart w:id="684" w:name="_Toc195714366"/>
      <w:r>
        <w:rPr>
          <w:rFonts w:hint="eastAsia" w:ascii="宋体" w:hAnsi="宋体" w:eastAsia="宋体" w:cs="Times New Roman"/>
          <w:b/>
          <w:bCs/>
          <w:color w:val="auto"/>
          <w:kern w:val="0"/>
          <w:szCs w:val="21"/>
          <w:highlight w:val="none"/>
          <w:lang w:bidi="ar"/>
        </w:rPr>
        <w:t>十六、知识产权</w:t>
      </w:r>
      <w:bookmarkEnd w:id="683"/>
      <w:bookmarkEnd w:id="684"/>
    </w:p>
    <w:p w14:paraId="23F8BF38">
      <w:pPr>
        <w:autoSpaceDE w:val="0"/>
        <w:autoSpaceDN w:val="0"/>
        <w:spacing w:line="360" w:lineRule="auto"/>
        <w:ind w:firstLine="420" w:firstLineChars="200"/>
        <w:jc w:val="left"/>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 xml:space="preserve">项目成果的所有权和知识产权由甲方单独享有，乙方必须按甲方的要求及时提供知识产权申请所需的相关技术文件并协助甲方完成申请工作。如项目成果中已包含乙方原有的知识产权，则该部分的知识产权不发生任何转移，但甲方有权自由使用，且该使用也无需支付项目约定之外的任何费用。 </w:t>
      </w:r>
    </w:p>
    <w:p w14:paraId="49FB4CE2">
      <w:pPr>
        <w:autoSpaceDE w:val="0"/>
        <w:autoSpaceDN w:val="0"/>
        <w:spacing w:line="360" w:lineRule="auto"/>
        <w:ind w:firstLine="420" w:firstLineChars="200"/>
        <w:jc w:val="left"/>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乙方保证项目成果不侵犯或不构成对任何第三方的知识产权的侵犯或不正当使用。如果任何第三方对成果产品的权利或利益提出主张，或声称成果产品侵犯或不正当使用其知识产权而起诉甲方，乙方应当就上述主张和诉讼对甲方进行赔偿、为甲方辩护并保证甲方不受损害。</w:t>
      </w:r>
    </w:p>
    <w:p w14:paraId="3DE1BBA4">
      <w:pPr>
        <w:autoSpaceDE w:val="0"/>
        <w:autoSpaceDN w:val="0"/>
        <w:spacing w:line="360" w:lineRule="auto"/>
        <w:ind w:firstLine="422" w:firstLineChars="200"/>
        <w:jc w:val="left"/>
        <w:outlineLvl w:val="0"/>
        <w:rPr>
          <w:rFonts w:ascii="宋体" w:hAnsi="宋体" w:eastAsia="宋体" w:cs="Times New Roman"/>
          <w:b/>
          <w:bCs/>
          <w:color w:val="auto"/>
          <w:kern w:val="0"/>
          <w:szCs w:val="21"/>
          <w:highlight w:val="none"/>
        </w:rPr>
      </w:pPr>
      <w:bookmarkStart w:id="685" w:name="_Toc30042"/>
      <w:bookmarkStart w:id="686" w:name="_Toc195714367"/>
      <w:r>
        <w:rPr>
          <w:rFonts w:hint="eastAsia" w:ascii="宋体" w:hAnsi="宋体" w:eastAsia="宋体" w:cs="Times New Roman"/>
          <w:b/>
          <w:bCs/>
          <w:color w:val="auto"/>
          <w:kern w:val="0"/>
          <w:szCs w:val="21"/>
          <w:highlight w:val="none"/>
          <w:lang w:bidi="ar"/>
        </w:rPr>
        <w:t>十七、合同生效和</w:t>
      </w:r>
      <w:bookmarkEnd w:id="682"/>
      <w:r>
        <w:rPr>
          <w:rFonts w:hint="eastAsia" w:ascii="宋体" w:hAnsi="宋体" w:eastAsia="宋体" w:cs="Times New Roman"/>
          <w:b/>
          <w:bCs/>
          <w:color w:val="auto"/>
          <w:kern w:val="0"/>
          <w:szCs w:val="21"/>
          <w:highlight w:val="none"/>
          <w:lang w:bidi="ar"/>
        </w:rPr>
        <w:t>其他</w:t>
      </w:r>
      <w:bookmarkEnd w:id="685"/>
      <w:bookmarkEnd w:id="686"/>
    </w:p>
    <w:p w14:paraId="393C84F2">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（一）下列文件为本合同的组成部分：</w:t>
      </w:r>
    </w:p>
    <w:p w14:paraId="1F10FE63">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1.中标通知书；</w:t>
      </w:r>
    </w:p>
    <w:p w14:paraId="417D5779">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2.招标文件；</w:t>
      </w:r>
    </w:p>
    <w:p w14:paraId="3894F904">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3.投标文件；</w:t>
      </w:r>
    </w:p>
    <w:p w14:paraId="20F0611B">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4.合同约定的其他文件。</w:t>
      </w:r>
    </w:p>
    <w:p w14:paraId="1BE77143">
      <w:pPr>
        <w:autoSpaceDE w:val="0"/>
        <w:autoSpaceDN w:val="0"/>
        <w:spacing w:line="360" w:lineRule="auto"/>
        <w:ind w:firstLine="420" w:firstLineChars="200"/>
        <w:jc w:val="left"/>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（二）本合同的变更必须由甲乙双方协商一致，并以书面形式确定，签署的书面变更协议将作为本合同不可分割的部分。</w:t>
      </w:r>
    </w:p>
    <w:p w14:paraId="05496F20">
      <w:pPr>
        <w:autoSpaceDE w:val="0"/>
        <w:autoSpaceDN w:val="0"/>
        <w:spacing w:line="360" w:lineRule="auto"/>
        <w:ind w:firstLine="420" w:firstLineChars="200"/>
        <w:jc w:val="left"/>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 xml:space="preserve">（三）合同履约过程中，若发现同一种货物或服务存在有选择性的报价或不是固定的报价的，或存在多种理解方式的情况发生时，按最有利甲方的方式解释。合同所有附件及本项目的招标文件、答疑文件、投标文件、补充通知及相关承诺、协议等均为本合同有效组成部分，与本合同同具法律效力，该等文件与本合同正文约定不一致的，以有利于甲方的约定为准。  </w:t>
      </w:r>
    </w:p>
    <w:p w14:paraId="769441EC">
      <w:pPr>
        <w:autoSpaceDE w:val="0"/>
        <w:autoSpaceDN w:val="0"/>
        <w:spacing w:line="360" w:lineRule="auto"/>
        <w:ind w:firstLine="420" w:firstLineChars="200"/>
        <w:jc w:val="left"/>
        <w:rPr>
          <w:rFonts w:ascii="宋体" w:hAnsi="宋体" w:eastAsia="宋体" w:cs="宋体"/>
          <w:color w:val="auto"/>
          <w:highlight w:val="none"/>
        </w:rPr>
      </w:pPr>
      <w:r>
        <w:rPr>
          <w:rFonts w:hint="eastAsia" w:ascii="宋体" w:hAnsi="宋体" w:eastAsia="宋体" w:cs="Times New Roman"/>
          <w:color w:val="auto"/>
          <w:kern w:val="0"/>
          <w:szCs w:val="21"/>
          <w:highlight w:val="none"/>
          <w:lang w:bidi="ar"/>
        </w:rPr>
        <w:t>（四）</w:t>
      </w:r>
      <w:r>
        <w:rPr>
          <w:rFonts w:hint="eastAsia" w:ascii="宋体" w:hAnsi="宋体" w:eastAsia="宋体" w:cs="宋体"/>
          <w:color w:val="auto"/>
          <w:kern w:val="0"/>
          <w:szCs w:val="21"/>
          <w:highlight w:val="none"/>
          <w:lang w:bidi="ar"/>
        </w:rPr>
        <w:t>由于地震、台风、水灾、战争以及其他不能预见并且对其发生和后果不能防止或避免的不可抗力事故，致使直接影响本合同的履行或不能按约定的条件履行时，遇有上述不可抗力事故的一方，应立即将事故情况以电话、传真或其他有效方式通知对方，并应在十五个工作日内，提供事故详情及合同不能履行、或者部分不能履行、或者需要延期履行的理由的有效证明文件。如因为遭受不可抗力一方迟延通知而给对方造成损失的，该方应当赔偿由于通知迟延而给对方造成的损失。同时，遭受不可抗力的一方应采取一切必要的措施减少损失，否则应就扩大的损失承担责任。按照事故对履行合同影响的程度，由各方协商决定是否解除合同，或者部分免除履行合同的责任，或者延期履行合同。</w:t>
      </w:r>
    </w:p>
    <w:p w14:paraId="15223770">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（五）本合同一式</w:t>
      </w:r>
      <w:r>
        <w:rPr>
          <w:rFonts w:hint="eastAsia" w:ascii="宋体" w:hAnsi="宋体" w:eastAsia="宋体" w:cs="Times New Roman"/>
          <w:color w:val="auto"/>
          <w:kern w:val="0"/>
          <w:szCs w:val="21"/>
          <w:highlight w:val="none"/>
          <w:u w:val="single"/>
          <w:lang w:bidi="ar"/>
        </w:rPr>
        <w:t xml:space="preserve"> 陆 </w:t>
      </w:r>
      <w:r>
        <w:rPr>
          <w:rFonts w:hint="eastAsia" w:ascii="宋体" w:hAnsi="宋体" w:eastAsia="宋体" w:cs="Times New Roman"/>
          <w:color w:val="auto"/>
          <w:kern w:val="0"/>
          <w:szCs w:val="21"/>
          <w:highlight w:val="none"/>
          <w:lang w:bidi="ar"/>
        </w:rPr>
        <w:t>份，甲方执</w:t>
      </w:r>
      <w:r>
        <w:rPr>
          <w:rFonts w:hint="eastAsia" w:ascii="宋体" w:hAnsi="宋体" w:eastAsia="宋体" w:cs="Times New Roman"/>
          <w:color w:val="auto"/>
          <w:kern w:val="0"/>
          <w:szCs w:val="21"/>
          <w:highlight w:val="none"/>
          <w:u w:val="single"/>
          <w:lang w:bidi="ar"/>
        </w:rPr>
        <w:t xml:space="preserve"> 叁 </w:t>
      </w:r>
      <w:r>
        <w:rPr>
          <w:rFonts w:hint="eastAsia" w:ascii="宋体" w:hAnsi="宋体" w:eastAsia="宋体" w:cs="Times New Roman"/>
          <w:color w:val="auto"/>
          <w:kern w:val="0"/>
          <w:szCs w:val="21"/>
          <w:highlight w:val="none"/>
          <w:lang w:bidi="ar"/>
        </w:rPr>
        <w:t xml:space="preserve">份，乙方执 </w:t>
      </w:r>
      <w:r>
        <w:rPr>
          <w:rFonts w:hint="eastAsia" w:ascii="宋体" w:hAnsi="宋体" w:eastAsia="宋体" w:cs="Times New Roman"/>
          <w:color w:val="auto"/>
          <w:kern w:val="0"/>
          <w:szCs w:val="21"/>
          <w:highlight w:val="none"/>
          <w:u w:val="single"/>
          <w:lang w:bidi="ar"/>
        </w:rPr>
        <w:t xml:space="preserve">贰 </w:t>
      </w:r>
      <w:r>
        <w:rPr>
          <w:rFonts w:hint="eastAsia" w:ascii="宋体" w:hAnsi="宋体" w:eastAsia="宋体" w:cs="Times New Roman"/>
          <w:color w:val="auto"/>
          <w:kern w:val="0"/>
          <w:szCs w:val="21"/>
          <w:highlight w:val="none"/>
          <w:lang w:bidi="ar"/>
        </w:rPr>
        <w:t>份，招标代理机构执 壹 份，具有同等法律效力。本项目招标过程中的招（投）标书、清单、乙方所作的承诺等均作为本合同的附件，同具法律效力。</w:t>
      </w:r>
    </w:p>
    <w:p w14:paraId="468F8A07">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（六）其它未尽事宜，由甲乙双方友好协商解决，并参照《中华人民共和国民法典》有关条款执行。</w:t>
      </w:r>
    </w:p>
    <w:p w14:paraId="037C1B6A">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（七）本合同经甲乙双方法定代表人或负责人签字并盖章后生效。</w:t>
      </w:r>
    </w:p>
    <w:p w14:paraId="32255E06">
      <w:pPr>
        <w:autoSpaceDE w:val="0"/>
        <w:autoSpaceDN w:val="0"/>
        <w:spacing w:line="360" w:lineRule="auto"/>
        <w:ind w:firstLine="420" w:firstLineChars="200"/>
        <w:jc w:val="left"/>
        <w:rPr>
          <w:rFonts w:ascii="宋体" w:hAnsi="宋体" w:eastAsia="宋体" w:cs="Times New Roman"/>
          <w:color w:val="auto"/>
          <w:kern w:val="0"/>
          <w:szCs w:val="21"/>
          <w:highlight w:val="none"/>
        </w:rPr>
      </w:pPr>
    </w:p>
    <w:p w14:paraId="342B7ED7">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附件：1.用户需求书</w:t>
      </w:r>
    </w:p>
    <w:p w14:paraId="35A53791">
      <w:pPr>
        <w:autoSpaceDE w:val="0"/>
        <w:autoSpaceDN w:val="0"/>
        <w:spacing w:line="360" w:lineRule="auto"/>
        <w:ind w:firstLine="1050" w:firstLineChars="500"/>
        <w:jc w:val="left"/>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2.廉洁协议书</w:t>
      </w:r>
    </w:p>
    <w:p w14:paraId="5A1628B3">
      <w:pPr>
        <w:autoSpaceDE w:val="0"/>
        <w:autoSpaceDN w:val="0"/>
        <w:spacing w:line="360" w:lineRule="auto"/>
        <w:ind w:firstLine="1050" w:firstLineChars="500"/>
        <w:jc w:val="left"/>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3.安全生产管理协议</w:t>
      </w:r>
    </w:p>
    <w:p w14:paraId="63E038FC">
      <w:pPr>
        <w:autoSpaceDE w:val="0"/>
        <w:autoSpaceDN w:val="0"/>
        <w:spacing w:line="360" w:lineRule="auto"/>
        <w:ind w:firstLine="1050" w:firstLineChars="500"/>
        <w:jc w:val="left"/>
        <w:rPr>
          <w:rFonts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4.分项报价表</w:t>
      </w:r>
    </w:p>
    <w:p w14:paraId="3AD03538">
      <w:pPr>
        <w:autoSpaceDE w:val="0"/>
        <w:autoSpaceDN w:val="0"/>
        <w:spacing w:line="360" w:lineRule="auto"/>
        <w:ind w:firstLine="420" w:firstLineChars="200"/>
        <w:jc w:val="left"/>
        <w:rPr>
          <w:rFonts w:ascii="宋体" w:hAnsi="宋体" w:eastAsia="宋体" w:cs="Times New Roman"/>
          <w:color w:val="auto"/>
          <w:kern w:val="0"/>
          <w:szCs w:val="21"/>
          <w:highlight w:val="none"/>
        </w:rPr>
      </w:pPr>
    </w:p>
    <w:p w14:paraId="1B3AA818">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（以下无正文内容为签字盖章页）</w:t>
      </w:r>
    </w:p>
    <w:p w14:paraId="24CEAE86">
      <w:pPr>
        <w:autoSpaceDE w:val="0"/>
        <w:autoSpaceDN w:val="0"/>
        <w:adjustRightInd w:val="0"/>
        <w:snapToGrid w:val="0"/>
        <w:spacing w:line="360" w:lineRule="auto"/>
        <w:jc w:val="left"/>
        <w:rPr>
          <w:rFonts w:ascii="宋体" w:hAnsi="宋体" w:eastAsia="宋体" w:cs="Times New Roman"/>
          <w:color w:val="auto"/>
          <w:kern w:val="0"/>
          <w:szCs w:val="21"/>
          <w:highlight w:val="none"/>
        </w:rPr>
      </w:pPr>
    </w:p>
    <w:p w14:paraId="63BB7CE6">
      <w:pPr>
        <w:autoSpaceDE w:val="0"/>
        <w:autoSpaceDN w:val="0"/>
        <w:adjustRightInd w:val="0"/>
        <w:snapToGrid w:val="0"/>
        <w:spacing w:line="360" w:lineRule="auto"/>
        <w:jc w:val="left"/>
        <w:rPr>
          <w:rFonts w:ascii="宋体" w:hAnsi="宋体" w:eastAsia="宋体" w:cs="Times New Roman"/>
          <w:color w:val="auto"/>
          <w:kern w:val="0"/>
          <w:szCs w:val="21"/>
          <w:highlight w:val="none"/>
        </w:rPr>
      </w:pPr>
    </w:p>
    <w:p w14:paraId="050C425F">
      <w:pPr>
        <w:autoSpaceDE w:val="0"/>
        <w:autoSpaceDN w:val="0"/>
        <w:adjustRightInd w:val="0"/>
        <w:snapToGrid w:val="0"/>
        <w:spacing w:line="360" w:lineRule="auto"/>
        <w:jc w:val="left"/>
        <w:rPr>
          <w:rFonts w:ascii="宋体" w:hAnsi="宋体" w:eastAsia="宋体" w:cs="Times New Roman"/>
          <w:color w:val="auto"/>
          <w:kern w:val="0"/>
          <w:szCs w:val="21"/>
          <w:highlight w:val="none"/>
        </w:rPr>
      </w:pPr>
    </w:p>
    <w:p w14:paraId="29B45CF7">
      <w:pPr>
        <w:autoSpaceDE w:val="0"/>
        <w:autoSpaceDN w:val="0"/>
        <w:adjustRightInd w:val="0"/>
        <w:snapToGrid w:val="0"/>
        <w:spacing w:line="360" w:lineRule="auto"/>
        <w:jc w:val="left"/>
        <w:rPr>
          <w:rFonts w:ascii="宋体" w:hAnsi="宋体" w:eastAsia="宋体" w:cs="Times New Roman"/>
          <w:color w:val="auto"/>
          <w:kern w:val="0"/>
          <w:szCs w:val="21"/>
          <w:highlight w:val="none"/>
        </w:rPr>
      </w:pPr>
    </w:p>
    <w:p w14:paraId="16449B04">
      <w:pPr>
        <w:autoSpaceDE w:val="0"/>
        <w:autoSpaceDN w:val="0"/>
        <w:spacing w:line="360" w:lineRule="auto"/>
        <w:ind w:firstLine="420" w:firstLineChars="200"/>
        <w:jc w:val="left"/>
        <w:rPr>
          <w:rFonts w:ascii="宋体" w:hAnsi="宋体" w:eastAsia="宋体" w:cs="Times New Roman"/>
          <w:color w:val="auto"/>
          <w:kern w:val="0"/>
          <w:szCs w:val="21"/>
          <w:highlight w:val="none"/>
        </w:rPr>
      </w:pPr>
    </w:p>
    <w:p w14:paraId="31306D7A">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委托方（甲方）：（盖章）</w:t>
      </w:r>
    </w:p>
    <w:p w14:paraId="1252994B">
      <w:pPr>
        <w:autoSpaceDE w:val="0"/>
        <w:autoSpaceDN w:val="0"/>
        <w:spacing w:line="360" w:lineRule="auto"/>
        <w:ind w:firstLine="420" w:firstLineChars="200"/>
        <w:jc w:val="left"/>
        <w:rPr>
          <w:rFonts w:ascii="宋体" w:hAnsi="宋体" w:eastAsia="宋体" w:cs="Times New Roman"/>
          <w:color w:val="auto"/>
          <w:kern w:val="0"/>
          <w:szCs w:val="21"/>
          <w:highlight w:val="none"/>
          <w:lang w:bidi="ar"/>
        </w:rPr>
      </w:pPr>
    </w:p>
    <w:p w14:paraId="58619087">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法定代表人/负责人：（签字或盖章）</w:t>
      </w:r>
    </w:p>
    <w:p w14:paraId="353865F0">
      <w:pPr>
        <w:autoSpaceDE w:val="0"/>
        <w:autoSpaceDN w:val="0"/>
        <w:spacing w:line="360" w:lineRule="auto"/>
        <w:ind w:firstLine="420" w:firstLineChars="200"/>
        <w:jc w:val="left"/>
        <w:rPr>
          <w:rFonts w:ascii="宋体" w:hAnsi="宋体" w:eastAsia="宋体" w:cs="Times New Roman"/>
          <w:color w:val="auto"/>
          <w:kern w:val="0"/>
          <w:szCs w:val="21"/>
          <w:highlight w:val="none"/>
        </w:rPr>
      </w:pPr>
    </w:p>
    <w:p w14:paraId="1B384883">
      <w:pPr>
        <w:autoSpaceDE w:val="0"/>
        <w:autoSpaceDN w:val="0"/>
        <w:spacing w:line="360" w:lineRule="auto"/>
        <w:ind w:firstLine="420" w:firstLineChars="200"/>
        <w:jc w:val="left"/>
        <w:rPr>
          <w:rFonts w:ascii="宋体" w:hAnsi="宋体" w:eastAsia="宋体" w:cs="Times New Roman"/>
          <w:color w:val="auto"/>
          <w:kern w:val="0"/>
          <w:szCs w:val="21"/>
          <w:highlight w:val="none"/>
        </w:rPr>
      </w:pPr>
    </w:p>
    <w:p w14:paraId="4EC328A3">
      <w:pPr>
        <w:autoSpaceDE w:val="0"/>
        <w:autoSpaceDN w:val="0"/>
        <w:spacing w:line="360" w:lineRule="auto"/>
        <w:ind w:firstLine="420" w:firstLineChars="200"/>
        <w:jc w:val="left"/>
        <w:rPr>
          <w:rFonts w:ascii="宋体" w:hAnsi="宋体" w:eastAsia="宋体" w:cs="Times New Roman"/>
          <w:color w:val="auto"/>
          <w:kern w:val="0"/>
          <w:szCs w:val="21"/>
          <w:highlight w:val="none"/>
          <w:lang w:bidi="ar"/>
        </w:rPr>
      </w:pPr>
    </w:p>
    <w:p w14:paraId="2CAFF4F9">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受托方（乙方）：（盖章）</w:t>
      </w:r>
    </w:p>
    <w:p w14:paraId="354513B5">
      <w:pPr>
        <w:autoSpaceDE w:val="0"/>
        <w:autoSpaceDN w:val="0"/>
        <w:spacing w:line="360" w:lineRule="auto"/>
        <w:ind w:firstLine="420" w:firstLineChars="200"/>
        <w:jc w:val="left"/>
        <w:rPr>
          <w:rFonts w:ascii="宋体" w:hAnsi="宋体" w:eastAsia="宋体" w:cs="Times New Roman"/>
          <w:color w:val="auto"/>
          <w:kern w:val="0"/>
          <w:szCs w:val="21"/>
          <w:highlight w:val="none"/>
          <w:lang w:bidi="ar"/>
        </w:rPr>
      </w:pPr>
    </w:p>
    <w:p w14:paraId="4290BA92">
      <w:pPr>
        <w:autoSpaceDE w:val="0"/>
        <w:autoSpaceDN w:val="0"/>
        <w:spacing w:line="360"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法定代表人/负责人：（签字或盖章）</w:t>
      </w:r>
    </w:p>
    <w:p w14:paraId="141F4F41">
      <w:pPr>
        <w:autoSpaceDE w:val="0"/>
        <w:autoSpaceDN w:val="0"/>
        <w:spacing w:line="360" w:lineRule="auto"/>
        <w:ind w:firstLine="420" w:firstLineChars="200"/>
        <w:jc w:val="left"/>
        <w:rPr>
          <w:rFonts w:ascii="宋体" w:hAnsi="宋体" w:eastAsia="宋体" w:cs="Times New Roman"/>
          <w:color w:val="auto"/>
          <w:kern w:val="0"/>
          <w:szCs w:val="21"/>
          <w:highlight w:val="none"/>
          <w:lang w:bidi="ar"/>
        </w:rPr>
      </w:pPr>
    </w:p>
    <w:p w14:paraId="5A441A57">
      <w:pPr>
        <w:autoSpaceDE w:val="0"/>
        <w:autoSpaceDN w:val="0"/>
        <w:spacing w:line="360" w:lineRule="auto"/>
        <w:ind w:firstLine="420" w:firstLineChars="200"/>
        <w:jc w:val="left"/>
        <w:rPr>
          <w:rFonts w:ascii="宋体" w:hAnsi="宋体" w:eastAsia="宋体" w:cs="Times New Roman"/>
          <w:color w:val="auto"/>
          <w:kern w:val="0"/>
          <w:szCs w:val="21"/>
          <w:highlight w:val="none"/>
          <w:lang w:bidi="ar"/>
        </w:rPr>
      </w:pPr>
    </w:p>
    <w:p w14:paraId="4548F54E">
      <w:pPr>
        <w:autoSpaceDE w:val="0"/>
        <w:autoSpaceDN w:val="0"/>
        <w:spacing w:line="360" w:lineRule="auto"/>
        <w:ind w:firstLine="420" w:firstLineChars="200"/>
        <w:jc w:val="left"/>
        <w:rPr>
          <w:rFonts w:ascii="宋体" w:hAnsi="宋体" w:eastAsia="宋体" w:cs="Times New Roman"/>
          <w:b/>
          <w:bCs/>
          <w:color w:val="auto"/>
          <w:kern w:val="0"/>
          <w:szCs w:val="21"/>
          <w:highlight w:val="none"/>
          <w:lang w:bidi="ar"/>
        </w:rPr>
      </w:pPr>
      <w:r>
        <w:rPr>
          <w:rFonts w:hint="eastAsia" w:ascii="宋体" w:hAnsi="宋体" w:eastAsia="宋体" w:cs="Times New Roman"/>
          <w:color w:val="auto"/>
          <w:kern w:val="0"/>
          <w:szCs w:val="21"/>
          <w:highlight w:val="none"/>
          <w:lang w:bidi="ar"/>
        </w:rPr>
        <w:t>签订日期：    年    月    日</w:t>
      </w:r>
      <w:r>
        <w:rPr>
          <w:rFonts w:hint="eastAsia" w:ascii="宋体" w:hAnsi="宋体" w:eastAsia="宋体" w:cs="Times New Roman"/>
          <w:b/>
          <w:bCs/>
          <w:color w:val="auto"/>
          <w:kern w:val="0"/>
          <w:szCs w:val="21"/>
          <w:highlight w:val="none"/>
          <w:lang w:bidi="ar"/>
        </w:rPr>
        <w:br w:type="page"/>
      </w:r>
    </w:p>
    <w:p w14:paraId="340A4111">
      <w:pPr>
        <w:autoSpaceDE w:val="0"/>
        <w:autoSpaceDN w:val="0"/>
        <w:spacing w:line="360" w:lineRule="auto"/>
        <w:jc w:val="left"/>
        <w:outlineLvl w:val="0"/>
        <w:rPr>
          <w:rFonts w:ascii="宋体" w:hAnsi="宋体" w:eastAsia="宋体" w:cs="Times New Roman"/>
          <w:b/>
          <w:bCs/>
          <w:color w:val="auto"/>
          <w:kern w:val="0"/>
          <w:szCs w:val="21"/>
          <w:highlight w:val="none"/>
          <w:lang w:bidi="ar"/>
        </w:rPr>
      </w:pPr>
      <w:bookmarkStart w:id="687" w:name="_Toc195714368"/>
      <w:bookmarkStart w:id="688" w:name="_Toc10492"/>
      <w:r>
        <w:rPr>
          <w:rFonts w:hint="eastAsia" w:ascii="宋体" w:hAnsi="宋体" w:eastAsia="宋体" w:cs="Times New Roman"/>
          <w:b/>
          <w:bCs/>
          <w:color w:val="auto"/>
          <w:kern w:val="0"/>
          <w:szCs w:val="21"/>
          <w:highlight w:val="none"/>
          <w:lang w:bidi="ar"/>
        </w:rPr>
        <w:t>附件2：廉洁协议书</w:t>
      </w:r>
      <w:bookmarkEnd w:id="687"/>
      <w:bookmarkEnd w:id="688"/>
    </w:p>
    <w:p w14:paraId="460ACEBC">
      <w:pPr>
        <w:spacing w:line="600" w:lineRule="exact"/>
        <w:ind w:right="31" w:rightChars="15"/>
        <w:jc w:val="center"/>
        <w:rPr>
          <w:rFonts w:ascii="宋体" w:hAnsi="宋体" w:eastAsia="宋体" w:cs="方正小标宋简体"/>
          <w:b/>
          <w:color w:val="auto"/>
          <w:sz w:val="32"/>
          <w:szCs w:val="32"/>
          <w:highlight w:val="none"/>
        </w:rPr>
      </w:pPr>
      <w:r>
        <w:rPr>
          <w:rFonts w:hint="eastAsia" w:ascii="宋体" w:hAnsi="宋体" w:eastAsia="宋体" w:cs="方正小标宋简体"/>
          <w:b/>
          <w:color w:val="auto"/>
          <w:sz w:val="32"/>
          <w:szCs w:val="32"/>
          <w:highlight w:val="none"/>
          <w:lang w:bidi="ar"/>
        </w:rPr>
        <w:t>廉洁协议书</w:t>
      </w:r>
    </w:p>
    <w:p w14:paraId="4282B07D">
      <w:pPr>
        <w:spacing w:line="600" w:lineRule="exact"/>
        <w:ind w:right="31" w:rightChars="15"/>
        <w:jc w:val="center"/>
        <w:rPr>
          <w:rFonts w:ascii="宋体" w:hAnsi="宋体" w:eastAsia="宋体" w:cs="宋体"/>
          <w:b/>
          <w:color w:val="auto"/>
          <w:szCs w:val="21"/>
          <w:highlight w:val="none"/>
        </w:rPr>
      </w:pPr>
    </w:p>
    <w:p w14:paraId="3FE81433">
      <w:pPr>
        <w:spacing w:line="560" w:lineRule="exact"/>
        <w:rPr>
          <w:rFonts w:ascii="宋体" w:hAnsi="宋体" w:eastAsia="宋体" w:cs="宋体"/>
          <w:color w:val="auto"/>
          <w:szCs w:val="21"/>
          <w:highlight w:val="none"/>
        </w:rPr>
      </w:pPr>
      <w:r>
        <w:rPr>
          <w:rFonts w:hint="eastAsia" w:ascii="宋体" w:hAnsi="宋体" w:eastAsia="宋体" w:cs="宋体"/>
          <w:b/>
          <w:bCs/>
          <w:color w:val="auto"/>
          <w:szCs w:val="21"/>
          <w:highlight w:val="none"/>
          <w:lang w:bidi="ar"/>
        </w:rPr>
        <w:t>项目名称：</w:t>
      </w:r>
      <w:r>
        <w:rPr>
          <w:rFonts w:hint="eastAsia" w:ascii="宋体" w:hAnsi="宋体" w:eastAsia="宋体" w:cs="宋体"/>
          <w:color w:val="auto"/>
          <w:szCs w:val="21"/>
          <w:highlight w:val="none"/>
          <w:lang w:bidi="ar"/>
        </w:rPr>
        <w:t xml:space="preserve">                 （招标编号：</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w:t>
      </w:r>
    </w:p>
    <w:p w14:paraId="65F0831B">
      <w:pPr>
        <w:spacing w:line="560" w:lineRule="exact"/>
        <w:rPr>
          <w:rFonts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甲方（业主单位）：</w:t>
      </w:r>
    </w:p>
    <w:p w14:paraId="1B4DDC7C">
      <w:pPr>
        <w:spacing w:line="560" w:lineRule="exact"/>
        <w:rPr>
          <w:rFonts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乙方：</w:t>
      </w:r>
    </w:p>
    <w:p w14:paraId="0751BCF8">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为规范甲乙双方在订立、履行合同及经济业务往来过程中的行为，保持廉洁自律的工作作风,防止各种违法及不正当行为的发生,确保甲乙双方及其工作人员自觉遵守国家法律、法规及廉洁从业各项规定，特订立本协议。</w:t>
      </w:r>
    </w:p>
    <w:p w14:paraId="531A1100">
      <w:pPr>
        <w:spacing w:line="560" w:lineRule="exact"/>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第一条  甲乙双方的权利和义务</w:t>
      </w:r>
    </w:p>
    <w:p w14:paraId="15A1AB29">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（一）严格遵守党和国家有关法律法规等有关廉洁从业规定。</w:t>
      </w:r>
    </w:p>
    <w:p w14:paraId="3620B5EE">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（二）严格执行本项目的合同文件，自觉按合同办事。</w:t>
      </w:r>
    </w:p>
    <w:p w14:paraId="0F9C05A0">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（三）双方的业务活动坚持公开、公正、诚信、透明的原则（除法律认定的商业秘密和合同文件另有规定之外）不得损害国家和集体利益，违反工程建设管理及其他法律法规规章制度。</w:t>
      </w:r>
    </w:p>
    <w:p w14:paraId="01EDCA02">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（四）建立健全廉洁制度，开展廉洁教育，设立廉洁监督公示牌，公布举报电话，监督并认真查处违法违纪行为。</w:t>
      </w:r>
    </w:p>
    <w:p w14:paraId="555998BB">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（五）发现对方在业务活动中有违反廉洁规定的行为，有及时提醒对方纠正的权利和义务。</w:t>
      </w:r>
    </w:p>
    <w:p w14:paraId="5B86C077">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（六）发现对方严重违反本协议义务条款的行为，有向其上级有关部门举报、建议给予处理并要求告知处理结果的权利。</w:t>
      </w:r>
    </w:p>
    <w:p w14:paraId="21A1209F">
      <w:pPr>
        <w:spacing w:line="560" w:lineRule="exact"/>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第二条  甲方的义务</w:t>
      </w:r>
    </w:p>
    <w:p w14:paraId="10AAE88A">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（一）甲方及其工作人员不得索要或接受乙方的礼金、有价证券和贵重物品，不得在乙方报销任何应由甲方或个人支付的费用。</w:t>
      </w:r>
    </w:p>
    <w:p w14:paraId="6CC9FD07">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（二）甲方工作人员不得参加乙方安排的高消费宴请和娱乐活动；不得接受乙方提供的通讯工具、交通工具和高档办公用品。</w:t>
      </w:r>
    </w:p>
    <w:p w14:paraId="6C8818E3">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（三）甲方及其工作人员不得要求或者接受乙方为其住房装修、婚丧嫁娶活动、家属或亲友的工作安排以及出国出境、旅游等提供方便。</w:t>
      </w:r>
    </w:p>
    <w:p w14:paraId="751FDC28">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（四）甲方工作人员不得向乙方介绍其家属或者亲友（包括家属或亲友开办的公司企业）从事于本项目涉及的经济业务活动。</w:t>
      </w:r>
    </w:p>
    <w:p w14:paraId="57749FE7">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（五）甲方及其工作人员不得以任何理由向乙方推荐分包单位，不得要求乙方购买合同规定外的材料和设备。</w:t>
      </w:r>
    </w:p>
    <w:p w14:paraId="2D098663">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（六）甲方及其工作人员不得进行违反廉洁规定的其他活动。</w:t>
      </w:r>
    </w:p>
    <w:p w14:paraId="0BB3CC15">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（七）甲方应对甲方工作人员进行廉洁监督管理，如甲方工作人员违反本协议第一、第二条，甲方应依据有关法律法规、党纪规定对其进行处理；涉嫌犯罪的，甲方应将其移交司法机关追究刑事责任。</w:t>
      </w:r>
    </w:p>
    <w:p w14:paraId="7A7C0186">
      <w:pPr>
        <w:spacing w:line="560" w:lineRule="exact"/>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第三条  乙方义务</w:t>
      </w:r>
    </w:p>
    <w:p w14:paraId="22F21001">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（一）乙方不得以任何理由向甲方及其工作人员馈赠礼金、有价证券、贵重礼品，或报销应由甲方单位或个人支付的任何费用。</w:t>
      </w:r>
    </w:p>
    <w:p w14:paraId="33102BA1">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（二）乙方及其工作人员不得以考察、参观、洽谈业务、签订合同等的借口邀请甲方及其工作人员参加高消费的宴请、娱乐和健身等活动。</w:t>
      </w:r>
    </w:p>
    <w:p w14:paraId="73EB8A33">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（三）乙方不得为甲方单位和个人购置或提供通讯工具、交通工具和高档办公用品等。</w:t>
      </w:r>
    </w:p>
    <w:p w14:paraId="2E5FE02B">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（四）乙方及其工作人员不得为甲方工作人员购买、装修、维修私人住房、汽车等。</w:t>
      </w:r>
    </w:p>
    <w:p w14:paraId="026D5A1D">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（五）乙方及其工作人员不得为甲方工作人员的婚丧嫁娶、家属或亲友的工作安排，及出国出境提供方便以及报销任何私人消费的费用。</w:t>
      </w:r>
    </w:p>
    <w:p w14:paraId="29D1E162">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（六）乙方及其工作人员不得进行影响甲方及其工作人员公正执行合同和履行职务的其他活动。</w:t>
      </w:r>
    </w:p>
    <w:p w14:paraId="5FD3EDB2">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七）乙方应对乙方工作人员进行廉洁监督管理，如乙方工作人员违反本协议第一、第三条，乙方应依据有关法律法规、党纪规定对其进行处理；乙方工作人员涉嫌犯罪的，乙方应将其移交司法机关追究刑事责任。</w:t>
      </w:r>
    </w:p>
    <w:p w14:paraId="1D1EB565">
      <w:pPr>
        <w:spacing w:line="560" w:lineRule="exact"/>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第四条  违约责任</w:t>
      </w:r>
    </w:p>
    <w:p w14:paraId="502B6FF7">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（一）甲方违反本协议第一、第二条给乙方单位造成经济损失的，应予以赔偿。</w:t>
      </w:r>
    </w:p>
    <w:p w14:paraId="2DEBBB42">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（二）乙方违反本协议第一、第三条给甲方单位造成经济损失的，应予以赔偿。</w:t>
      </w:r>
    </w:p>
    <w:p w14:paraId="40EA472E">
      <w:pPr>
        <w:spacing w:line="560" w:lineRule="exact"/>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第五条  监督检查</w:t>
      </w:r>
    </w:p>
    <w:p w14:paraId="188A57A0">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甲乙双方的廉洁从业行为由甲乙双方或甲乙双方上级单位的纪检、监察部门负责监督，对本协议履行情况进行检查。</w:t>
      </w:r>
    </w:p>
    <w:p w14:paraId="0E486542">
      <w:pPr>
        <w:spacing w:line="560" w:lineRule="exact"/>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第六条 举报信访受理</w:t>
      </w:r>
    </w:p>
    <w:p w14:paraId="77F86D95">
      <w:pPr>
        <w:spacing w:line="56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（一）举报受理部门：东莞市水务集团有限公司纪检监察部。</w:t>
      </w:r>
    </w:p>
    <w:p w14:paraId="3297D0EF">
      <w:pPr>
        <w:spacing w:line="56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（二）举报电话：（0769）23076092。</w:t>
      </w:r>
    </w:p>
    <w:p w14:paraId="535AA0E7">
      <w:pPr>
        <w:spacing w:line="56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（三）举报邮箱：</w:t>
      </w:r>
      <w:r>
        <w:rPr>
          <w:color w:val="auto"/>
          <w:highlight w:val="none"/>
        </w:rPr>
        <w:fldChar w:fldCharType="begin"/>
      </w:r>
      <w:r>
        <w:rPr>
          <w:color w:val="auto"/>
          <w:highlight w:val="none"/>
        </w:rPr>
        <w:instrText xml:space="preserve"> HYPERLINK "mailto:jcsj@dgswjt.cn。" </w:instrText>
      </w:r>
      <w:r>
        <w:rPr>
          <w:color w:val="auto"/>
          <w:highlight w:val="none"/>
        </w:rPr>
        <w:fldChar w:fldCharType="separate"/>
      </w:r>
      <w:r>
        <w:rPr>
          <w:rFonts w:hint="eastAsia" w:ascii="宋体" w:hAnsi="宋体" w:eastAsia="宋体" w:cs="宋体"/>
          <w:color w:val="auto"/>
          <w:szCs w:val="21"/>
          <w:highlight w:val="none"/>
          <w:lang w:bidi="ar"/>
        </w:rPr>
        <w:t>jcsj@dgswjt.cn。</w:t>
      </w:r>
      <w:r>
        <w:rPr>
          <w:rFonts w:hint="eastAsia" w:ascii="宋体" w:hAnsi="宋体" w:eastAsia="宋体" w:cs="宋体"/>
          <w:color w:val="auto"/>
          <w:szCs w:val="21"/>
          <w:highlight w:val="none"/>
          <w:lang w:bidi="ar"/>
        </w:rPr>
        <w:fldChar w:fldCharType="end"/>
      </w:r>
    </w:p>
    <w:p w14:paraId="41BA822B">
      <w:pPr>
        <w:spacing w:line="560" w:lineRule="exact"/>
        <w:ind w:firstLine="420" w:firstLineChars="200"/>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（四）信访地址：广东省东莞市东城街道育华路1号。</w:t>
      </w:r>
    </w:p>
    <w:p w14:paraId="64213A69">
      <w:pPr>
        <w:spacing w:line="560" w:lineRule="exact"/>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第七条 其他</w:t>
      </w:r>
    </w:p>
    <w:p w14:paraId="3288E638">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本协议有效期为甲乙双方法定代表人或负责人签字并加盖章之日起至该工程/采购项目竣工验收完毕，质保期/服务期满后止。本协议一式</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份，甲、乙双方各执</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份，甲、乙双方上级主管部门各执</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份。</w:t>
      </w:r>
    </w:p>
    <w:p w14:paraId="75CBB874">
      <w:pPr>
        <w:spacing w:line="560" w:lineRule="exact"/>
        <w:ind w:firstLine="420" w:firstLineChars="200"/>
        <w:rPr>
          <w:rFonts w:ascii="宋体" w:hAnsi="宋体" w:eastAsia="宋体" w:cs="宋体"/>
          <w:color w:val="auto"/>
          <w:szCs w:val="21"/>
          <w:highlight w:val="none"/>
        </w:rPr>
      </w:pPr>
    </w:p>
    <w:p w14:paraId="034A069E">
      <w:pPr>
        <w:spacing w:line="560" w:lineRule="exact"/>
        <w:rPr>
          <w:rFonts w:ascii="宋体" w:hAnsi="宋体" w:eastAsia="宋体" w:cs="宋体"/>
          <w:color w:val="auto"/>
          <w:szCs w:val="21"/>
          <w:highlight w:val="none"/>
        </w:rPr>
      </w:pPr>
    </w:p>
    <w:p w14:paraId="79EBFBA5">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 xml:space="preserve">甲方（盖章）：                乙方（盖章）： </w:t>
      </w:r>
    </w:p>
    <w:p w14:paraId="4E3BD465">
      <w:pPr>
        <w:spacing w:line="560" w:lineRule="exact"/>
        <w:ind w:firstLine="420" w:firstLineChars="200"/>
        <w:rPr>
          <w:rFonts w:ascii="宋体" w:hAnsi="宋体" w:eastAsia="宋体" w:cs="宋体"/>
          <w:color w:val="auto"/>
          <w:szCs w:val="21"/>
          <w:highlight w:val="none"/>
        </w:rPr>
      </w:pPr>
    </w:p>
    <w:p w14:paraId="2FE4B6CC">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法定代表（或负责）人：           法定代表（或负责）人：</w:t>
      </w:r>
    </w:p>
    <w:p w14:paraId="4D654CE4">
      <w:pPr>
        <w:spacing w:line="560" w:lineRule="exact"/>
        <w:rPr>
          <w:rFonts w:ascii="宋体" w:hAnsi="宋体" w:eastAsia="宋体" w:cs="宋体"/>
          <w:color w:val="auto"/>
          <w:szCs w:val="21"/>
          <w:highlight w:val="none"/>
        </w:rPr>
      </w:pPr>
    </w:p>
    <w:p w14:paraId="638EDE77">
      <w:pPr>
        <w:spacing w:line="56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签订日期：    年  月  日</w:t>
      </w:r>
    </w:p>
    <w:p w14:paraId="30F27FF1">
      <w:pPr>
        <w:autoSpaceDE w:val="0"/>
        <w:autoSpaceDN w:val="0"/>
        <w:spacing w:line="360" w:lineRule="auto"/>
        <w:jc w:val="left"/>
        <w:rPr>
          <w:rFonts w:ascii="宋体" w:hAnsi="宋体" w:eastAsia="宋体" w:cs="Times New Roman"/>
          <w:color w:val="auto"/>
          <w:kern w:val="0"/>
          <w:szCs w:val="21"/>
          <w:highlight w:val="none"/>
          <w:lang w:bidi="ar"/>
        </w:rPr>
      </w:pPr>
    </w:p>
    <w:p w14:paraId="60CE350F">
      <w:pPr>
        <w:autoSpaceDE w:val="0"/>
        <w:autoSpaceDN w:val="0"/>
        <w:adjustRightInd w:val="0"/>
        <w:snapToGrid w:val="0"/>
        <w:spacing w:line="360" w:lineRule="auto"/>
        <w:jc w:val="left"/>
        <w:rPr>
          <w:rFonts w:ascii="宋体" w:hAnsi="宋体" w:eastAsia="宋体" w:cs="Times New Roman"/>
          <w:color w:val="auto"/>
          <w:kern w:val="0"/>
          <w:szCs w:val="21"/>
          <w:highlight w:val="none"/>
        </w:rPr>
      </w:pPr>
    </w:p>
    <w:p w14:paraId="13668F6A">
      <w:pPr>
        <w:autoSpaceDE/>
        <w:autoSpaceDN/>
        <w:adjustRightInd/>
        <w:snapToGrid/>
        <w:spacing w:line="240" w:lineRule="auto"/>
        <w:jc w:val="left"/>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br w:type="page"/>
      </w:r>
    </w:p>
    <w:p w14:paraId="0B7AC3F7">
      <w:pPr>
        <w:autoSpaceDE w:val="0"/>
        <w:autoSpaceDN w:val="0"/>
        <w:spacing w:line="360" w:lineRule="auto"/>
        <w:jc w:val="left"/>
        <w:outlineLvl w:val="0"/>
        <w:rPr>
          <w:rFonts w:ascii="宋体" w:hAnsi="宋体" w:eastAsia="宋体" w:cs="Times New Roman"/>
          <w:b/>
          <w:bCs/>
          <w:color w:val="auto"/>
          <w:kern w:val="0"/>
          <w:szCs w:val="21"/>
          <w:highlight w:val="none"/>
          <w:lang w:bidi="ar"/>
        </w:rPr>
      </w:pPr>
      <w:bookmarkStart w:id="689" w:name="_Toc195714369"/>
      <w:bookmarkStart w:id="690" w:name="_Toc5737"/>
      <w:r>
        <w:rPr>
          <w:rFonts w:hint="eastAsia" w:ascii="宋体" w:hAnsi="宋体" w:eastAsia="宋体" w:cs="Times New Roman"/>
          <w:b/>
          <w:bCs/>
          <w:color w:val="auto"/>
          <w:kern w:val="0"/>
          <w:szCs w:val="21"/>
          <w:highlight w:val="none"/>
          <w:lang w:bidi="ar"/>
        </w:rPr>
        <w:t>附件3：安全生产管理协议</w:t>
      </w:r>
      <w:bookmarkEnd w:id="689"/>
      <w:bookmarkEnd w:id="690"/>
    </w:p>
    <w:p w14:paraId="21D66464">
      <w:pPr>
        <w:ind w:firstLine="602"/>
        <w:jc w:val="center"/>
        <w:rPr>
          <w:rFonts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安全生产管理协议</w:t>
      </w:r>
    </w:p>
    <w:p w14:paraId="6AA0F29A">
      <w:pPr>
        <w:rPr>
          <w:rFonts w:ascii="宋体" w:hAnsi="宋体" w:eastAsia="宋体" w:cs="宋体"/>
          <w:bCs/>
          <w:color w:val="auto"/>
          <w:sz w:val="28"/>
          <w:szCs w:val="28"/>
          <w:highlight w:val="none"/>
        </w:rPr>
      </w:pPr>
    </w:p>
    <w:p w14:paraId="26506AD4">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甲方：</w:t>
      </w:r>
    </w:p>
    <w:p w14:paraId="1A92EE1D">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地址：</w:t>
      </w:r>
    </w:p>
    <w:p w14:paraId="56681C12">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电话：</w:t>
      </w:r>
    </w:p>
    <w:p w14:paraId="6EF43F62">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传真：</w:t>
      </w:r>
    </w:p>
    <w:p w14:paraId="0AA37D48">
      <w:pPr>
        <w:spacing w:line="360" w:lineRule="auto"/>
        <w:rPr>
          <w:rFonts w:ascii="宋体" w:hAnsi="宋体" w:eastAsia="宋体" w:cs="宋体"/>
          <w:color w:val="auto"/>
          <w:szCs w:val="21"/>
          <w:highlight w:val="none"/>
        </w:rPr>
      </w:pPr>
    </w:p>
    <w:p w14:paraId="76CA0712">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乙方：</w:t>
      </w:r>
    </w:p>
    <w:p w14:paraId="23CE17B0">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地址：</w:t>
      </w:r>
    </w:p>
    <w:p w14:paraId="78D0F548">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电话：</w:t>
      </w:r>
    </w:p>
    <w:p w14:paraId="1F10506C">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传真：</w:t>
      </w:r>
    </w:p>
    <w:p w14:paraId="46F41756">
      <w:pPr>
        <w:spacing w:line="360" w:lineRule="auto"/>
        <w:rPr>
          <w:rFonts w:ascii="宋体" w:hAnsi="宋体" w:eastAsia="宋体" w:cs="宋体"/>
          <w:color w:val="auto"/>
          <w:szCs w:val="21"/>
          <w:highlight w:val="none"/>
        </w:rPr>
      </w:pPr>
    </w:p>
    <w:p w14:paraId="030BD99C">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根据《中华人民共和国安全生产法》和《建设工程安全生产管理条例》的要求，为加强施工现场的安全管理，落实各自的安全生产职责，进一步加强施工单位和施工（维修）人员的安全管理，杜绝施工单位和施工（维修）人员因安全管理不善而引发的各类安全事故，保证甲、乙双方的财产和员工的人身安全不受侵害，经甲乙双方协商一致，签订协议如下：</w:t>
      </w:r>
    </w:p>
    <w:p w14:paraId="5904CCF7">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1、进场前乙方应将本企业的营业执照、企业资质等级证书、安全生产许可证、进场人员花名册、进场人员身体检查表、携带进场的机具一览表、特种作业人员及特种作业操作证的复印件报甲方。进场职工必须办好施工所在地所需办理的各种证件，不得使用未成年工、童工、超龄工和安排女工从事禁忌劳动，进场前，乙方必须严格遵守甲方及项目所在地的相关防疫要求。</w:t>
      </w:r>
    </w:p>
    <w:p w14:paraId="3C5D0B9A">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2、乙方应设置专职或兼职安全员，对施工进行安全管理，并在施工作业前对所属员工进行安全教育培训，并且进行经常性的安全教育，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14:paraId="702B9696">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3、乙方使用被派遣劳动者的，应当将被派遣劳动者纳入本单位从业人员统一管理，对被派遣劳动者进行岗位安全操作规程和安全操作技能的教育和培训。</w:t>
      </w:r>
    </w:p>
    <w:p w14:paraId="5004F8FE">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4、乙方应当在有较大危险因素的施工场所和有关设施、设备上，设置明显的安全警示标志。乙方应当对安全设备进行经常性维护、保养，并定期检测，保证正常运转。维护、保养、检测应当做好记录，并由乙方安全员或代表签字。</w:t>
      </w:r>
    </w:p>
    <w:p w14:paraId="47B88196">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5、乙方应当教育和督促从业人员严格执行本单位的安全生产规章制度和安全操作规程；并向从业人员如实告知作业场所和工作岗位存在的危险因素、防范措施以及事故应急措施。</w:t>
      </w:r>
    </w:p>
    <w:p w14:paraId="3EB60D7E">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6、乙方应严格遵守国家、地方政府有关安全生产及劳动保护的法律法规、标准、规定，贯彻执行甲方的各项安全管理规章制度。</w:t>
      </w:r>
    </w:p>
    <w:p w14:paraId="4AFC80E7">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7、乙方依法参加工伤保险，为从业人员缴纳保险费，并应当为从事危险作业的人员办理意外伤害保险。</w:t>
      </w:r>
    </w:p>
    <w:p w14:paraId="2F928640">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8、乙方应当服从甲方的安全管理，保证施工区域的现场文明安全管理达标，现场临时用电、机器设备、安全防护齐全、完好。接受和配合甲方的安全监督检查，乙方现场的所有安全装置、防护设施必须依据经甲方审批后的安全技术施工方案进行搭设、安装，乙方必须无条件保证安全防护设施使用的搭设材料的质量，在用于安全防护的物资进场前将有关物资的材质证明报甲方，经甲方确认后方可使用。</w:t>
      </w:r>
    </w:p>
    <w:p w14:paraId="49704FBD">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9、乙方携带进场的机器设备、机具必须是合格产品，乙方须对携带进场的机器设备、机具安全负责管理、维护及检查，对甲方和自查发现的安全隐患落实整改措施。对由于乙方使用不合格机器设备、机具造成事故的，由乙方自行承担责任。</w:t>
      </w:r>
    </w:p>
    <w:p w14:paraId="51E69F89">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10、甲方有权对整个施工现场的安全管理工作进行协调和监督管理。指导、监督、检查乙方的执业健康安全管理工作，对乙方施工中的违章指挥、违章作业和安全隐患提出整改意见，督促、检查乙方的隐患整改落实情况。</w:t>
      </w:r>
    </w:p>
    <w:p w14:paraId="392C2A08">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11、乙方在施工过程中违反有关安全管理规定、有违章现象发生、安全问题整改不到位或拒不接受甲方的正常安全管理的，依据有关法律法规规定进行处理。乙方施工中存在重大隐患或险情时，甲方有权要求乙方立即整改直至隐患消除，若乙方整改后仍达不到甲方要求的，甲方有权要求与乙方单方解除合同，并要求乙方清退出场。</w:t>
      </w:r>
    </w:p>
    <w:p w14:paraId="3E4461D5">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12、乙方施工人员未经许可不得随意到施工区域以外的其它工作场所活动，乙方施工人员擅自到施工区域以外的其它工作场所活动，出现人身损伤或伤亡的，由乙方自行负责一切责任。乙方施工人员需动用或施工涉及到甲方所属设备、电器、管线及其他设施等，必须事先征得甲方代表的同意，并采取安全防护措施。</w:t>
      </w:r>
    </w:p>
    <w:p w14:paraId="36FDAF59">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13、在施工过程中，需要进行动土、动火、登高、吊装、断路、进入限制性空间等危险性较高的作业时，乙方的施工负责人、专职或兼职安全员必须现场确认，确保安全后，方可开始施工。</w:t>
      </w:r>
    </w:p>
    <w:p w14:paraId="0DCB1AF0">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14、因乙方原因，造成乙方损失，由乙方自负，给甲方造成财产损失和人员伤害，乙方要负全部责任，并全额赔偿甲方。</w:t>
      </w:r>
    </w:p>
    <w:p w14:paraId="45505500">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15、非因甲方原因，造成乙方损失的，甲方不承担任何责任，由乙方自行承担全部责任。</w:t>
      </w:r>
    </w:p>
    <w:p w14:paraId="35BB12AE">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16、乙方应严格遵守法律法规以及甲方的安全管理要求，并接受甲方的安全生产工作协调和监督，积极消除安全隐患。安全管理的基本要求包括但不限于以下条款：</w:t>
      </w:r>
    </w:p>
    <w:p w14:paraId="03CB508E">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①禁火区内严禁吸烟、动火。有火灾危险的作业区域，乙方必须配置足够的灭火设施。</w:t>
      </w:r>
    </w:p>
    <w:p w14:paraId="6CBF5319">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②焊接、气割作业时两瓶距离必须达到5M及以上，气瓶距可能产生火花的电器、设备和其它火源的间距必须达到10M及以上。</w:t>
      </w:r>
    </w:p>
    <w:p w14:paraId="0064B8C4">
      <w:pPr>
        <w:spacing w:line="360" w:lineRule="auto"/>
        <w:ind w:firstLine="424" w:firstLineChars="202"/>
        <w:rPr>
          <w:rFonts w:ascii="宋体" w:hAnsi="宋体" w:eastAsia="宋体" w:cs="宋体"/>
          <w:color w:val="auto"/>
          <w:szCs w:val="21"/>
          <w:highlight w:val="none"/>
        </w:rPr>
      </w:pPr>
      <w:bookmarkStart w:id="691" w:name="_Toc16324"/>
      <w:r>
        <w:rPr>
          <w:rFonts w:hint="eastAsia" w:ascii="宋体" w:hAnsi="宋体" w:eastAsia="宋体" w:cs="宋体"/>
          <w:color w:val="auto"/>
          <w:szCs w:val="21"/>
          <w:highlight w:val="none"/>
        </w:rPr>
        <w:t>③严禁在厂内道路、消防通道内搭建临时建筑或堆放物资。</w:t>
      </w:r>
      <w:bookmarkEnd w:id="691"/>
    </w:p>
    <w:p w14:paraId="033860C4">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④施工场所的电动工具、电焊机等须有漏电保护器和相应的安全防护装置。</w:t>
      </w:r>
    </w:p>
    <w:p w14:paraId="55F62258">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⑤施工现场及居住室、办公室内的用电设施必须符合要求，严禁电线乱接、乱拉，刀闸和开关无盖，在电器设施上堆放物品。</w:t>
      </w:r>
    </w:p>
    <w:p w14:paraId="68A15F12">
      <w:pPr>
        <w:spacing w:line="360" w:lineRule="auto"/>
        <w:ind w:firstLine="424" w:firstLineChars="202"/>
        <w:rPr>
          <w:rFonts w:ascii="宋体" w:hAnsi="宋体" w:eastAsia="宋体" w:cs="宋体"/>
          <w:color w:val="auto"/>
          <w:szCs w:val="21"/>
          <w:highlight w:val="none"/>
        </w:rPr>
      </w:pPr>
      <w:bookmarkStart w:id="692" w:name="_Toc4938"/>
      <w:r>
        <w:rPr>
          <w:rFonts w:hint="eastAsia" w:ascii="宋体" w:hAnsi="宋体" w:eastAsia="宋体" w:cs="宋体"/>
          <w:color w:val="auto"/>
          <w:szCs w:val="21"/>
          <w:highlight w:val="none"/>
        </w:rPr>
        <w:t>⑥防雷、防静电设施及用电设施要有良好接地。</w:t>
      </w:r>
      <w:bookmarkEnd w:id="692"/>
    </w:p>
    <w:p w14:paraId="4F941138">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⑦施工现场的危险区域，如临边、深坑、土方堆填区等，必须设置围栏和危险标志，夜间要设信号灯。</w:t>
      </w:r>
    </w:p>
    <w:p w14:paraId="336E5063">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⑧乙方应当为从业人员提供符合国家标准或者行业标准的劳动防护用品，并监督、教育从业人员按照使用规则佩戴、使用，防止工伤事故的发生。乙方发生各类工伤事故，严禁隐瞒不报。发生重伤及重伤以上事故，应及时组织抢救、保护好现场，并立即报告甲方主管领导。</w:t>
      </w:r>
    </w:p>
    <w:p w14:paraId="3397D4E1">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⑨登高架子、安全防护设施、脚手架搭设完毕必须经乙方安全员或代表验收合格后方可使用，对从甲方接手及自行搭设的安全防护设施、脚手架做好日常维护与管理。安全防护设施、脚手架的拆除必须在接到专业工程师的施工指令后方可拆除，不得私自拆改任何安全防护设施，若因施工必须拆改，须向甲方主管领导报告，经批准后方可拆改，并做好临时防护设施和警戒，在施工完成后须立即恢复该处的安全防护设施。进行受限空间作业前，必须检测氧气、有毒有害气体，确保符合作业条件，做好个人防护和专人监护后，方可进入。</w:t>
      </w:r>
    </w:p>
    <w:p w14:paraId="31701FBF">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⑩乙方采用新工艺、新技术、新材料或者使用新设备，必须了解、掌握其安全技术特性，采取有效的安全防护措施，并对从业人员进行专门的安全生产教育和培训。乙方的电工、焊工、起重工、高处作业等特种作业人员必须按照国家有关规定经专门的安全作业培训，取得相应资格，方可上岗作业。</w:t>
      </w:r>
    </w:p>
    <w:p w14:paraId="481E831F">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17、乙方必须接受甲方的检查与监督，并应主动配合，做好安全工作，凡有违反上述协议的即视为乙方违约，甲方有权视情况从工程结算款/服务价款中扣除（1000-2000）元/次作为违约金。</w:t>
      </w:r>
    </w:p>
    <w:p w14:paraId="7C00F958">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18、如乙方因违反本条款规定，造成甲方损失或被第三方追偿的，甲方有权向乙方追偿，甲方可直接从应付款项中扣除。同时，乙方应按照合同价的30%向甲方支付违约金，如违约金不足以弥补损失的，甲方可要求乙方继续赔偿损失，并承担由此引起的一切法律责任和费用，包括但不限于甲方为处理纠纷所产生的诉讼仲裁费、鉴定费、担保费、赔偿金、律师费、行政部门的罚款等。乙方仍必须继续履行或采取补救措施，并不得因承担了违约责任，而减少改进及免除继续承担责任的义务。</w:t>
      </w:r>
    </w:p>
    <w:p w14:paraId="042A1364">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19、乙方对施工过程中潜在的安全风险不明确的，不可盲目施工，否则，造成的不良后果由乙方独自承担。</w:t>
      </w:r>
    </w:p>
    <w:p w14:paraId="72FD5B4A">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20、本协议自双方法定代表人或负责人签字并盖章后生效。</w:t>
      </w:r>
    </w:p>
    <w:p w14:paraId="1A4E823D">
      <w:pPr>
        <w:spacing w:line="360" w:lineRule="auto"/>
        <w:rPr>
          <w:rFonts w:ascii="宋体" w:hAnsi="宋体" w:eastAsia="宋体" w:cs="宋体"/>
          <w:color w:val="auto"/>
          <w:szCs w:val="21"/>
          <w:highlight w:val="none"/>
        </w:rPr>
      </w:pPr>
    </w:p>
    <w:p w14:paraId="4BE543EE">
      <w:pPr>
        <w:spacing w:line="360" w:lineRule="auto"/>
        <w:ind w:firstLine="422"/>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乙方声明：</w:t>
      </w:r>
    </w:p>
    <w:p w14:paraId="405EC0F2">
      <w:pPr>
        <w:spacing w:line="360" w:lineRule="auto"/>
        <w:ind w:firstLine="481" w:firstLineChars="228"/>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乙方已认真阅读协议内容，对协议条款、</w:t>
      </w:r>
      <w:r>
        <w:rPr>
          <w:rFonts w:hint="eastAsia" w:ascii="宋体" w:hAnsi="宋体" w:eastAsia="宋体" w:cs="宋体"/>
          <w:b/>
          <w:bCs/>
          <w:color w:val="auto"/>
          <w:szCs w:val="21"/>
          <w:highlight w:val="none"/>
          <w:u w:val="single"/>
        </w:rPr>
        <w:t>东莞市石鼓净水有限公司污水处理厂及提标项目中控系统集约化升级改造项目</w:t>
      </w:r>
      <w:r>
        <w:rPr>
          <w:rFonts w:hint="eastAsia" w:ascii="宋体" w:hAnsi="宋体" w:eastAsia="宋体" w:cs="宋体"/>
          <w:b/>
          <w:bCs/>
          <w:color w:val="auto"/>
          <w:szCs w:val="21"/>
          <w:highlight w:val="none"/>
        </w:rPr>
        <w:t>的安全管理要求、安全风险充分理解，并自愿承担因违约造成的一切后果。</w:t>
      </w:r>
    </w:p>
    <w:p w14:paraId="72D2D48F">
      <w:pPr>
        <w:spacing w:line="360" w:lineRule="auto"/>
        <w:ind w:firstLine="420" w:firstLineChars="200"/>
        <w:rPr>
          <w:rFonts w:ascii="宋体" w:hAnsi="宋体" w:eastAsia="宋体" w:cs="宋体"/>
          <w:color w:val="auto"/>
          <w:szCs w:val="21"/>
          <w:highlight w:val="none"/>
        </w:rPr>
      </w:pPr>
    </w:p>
    <w:p w14:paraId="249B91F7">
      <w:pPr>
        <w:spacing w:line="360" w:lineRule="auto"/>
        <w:ind w:firstLine="420" w:firstLineChars="200"/>
        <w:rPr>
          <w:rFonts w:ascii="宋体" w:hAnsi="宋体" w:eastAsia="宋体" w:cs="宋体"/>
          <w:color w:val="auto"/>
          <w:szCs w:val="21"/>
          <w:highlight w:val="none"/>
        </w:rPr>
      </w:pPr>
    </w:p>
    <w:p w14:paraId="062DC847">
      <w:pPr>
        <w:spacing w:line="360" w:lineRule="auto"/>
        <w:ind w:firstLine="478" w:firstLineChars="228"/>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甲方（盖章）：                      乙方（盖章）： </w:t>
      </w:r>
    </w:p>
    <w:p w14:paraId="6F9ACC62">
      <w:pPr>
        <w:spacing w:line="360" w:lineRule="auto"/>
        <w:ind w:firstLine="478" w:firstLineChars="228"/>
        <w:rPr>
          <w:rFonts w:ascii="宋体" w:hAnsi="宋体" w:eastAsia="宋体" w:cs="宋体"/>
          <w:color w:val="auto"/>
          <w:szCs w:val="21"/>
          <w:highlight w:val="none"/>
        </w:rPr>
      </w:pPr>
      <w:r>
        <w:rPr>
          <w:rFonts w:hint="eastAsia" w:ascii="宋体" w:hAnsi="宋体" w:eastAsia="宋体" w:cs="宋体"/>
          <w:color w:val="auto"/>
          <w:szCs w:val="21"/>
          <w:highlight w:val="none"/>
        </w:rPr>
        <w:t>法定代表人或负责人：               法定代表人或负责人：</w:t>
      </w:r>
    </w:p>
    <w:p w14:paraId="74AA6E47">
      <w:pPr>
        <w:spacing w:line="360" w:lineRule="auto"/>
        <w:rPr>
          <w:rFonts w:ascii="宋体" w:hAnsi="宋体" w:eastAsia="宋体" w:cs="宋体"/>
          <w:color w:val="auto"/>
          <w:szCs w:val="21"/>
          <w:highlight w:val="none"/>
        </w:rPr>
      </w:pPr>
    </w:p>
    <w:p w14:paraId="18AF7068">
      <w:pPr>
        <w:spacing w:line="360" w:lineRule="auto"/>
        <w:rPr>
          <w:rFonts w:ascii="宋体" w:hAnsi="宋体" w:eastAsia="宋体" w:cs="宋体"/>
          <w:color w:val="auto"/>
          <w:szCs w:val="21"/>
          <w:highlight w:val="none"/>
        </w:rPr>
      </w:pPr>
      <w:bookmarkStart w:id="693" w:name="_Toc11495"/>
      <w:r>
        <w:rPr>
          <w:rFonts w:hint="eastAsia" w:ascii="宋体" w:hAnsi="宋体" w:eastAsia="宋体" w:cs="宋体"/>
          <w:color w:val="auto"/>
          <w:szCs w:val="21"/>
          <w:highlight w:val="none"/>
        </w:rPr>
        <w:t>签订日期：</w:t>
      </w:r>
    </w:p>
    <w:p w14:paraId="22D880FD">
      <w:pPr>
        <w:autoSpaceDE w:val="0"/>
        <w:autoSpaceDN w:val="0"/>
        <w:adjustRightInd w:val="0"/>
        <w:snapToGrid/>
        <w:spacing w:line="360" w:lineRule="auto"/>
        <w:jc w:val="left"/>
        <w:outlineLvl w:val="2"/>
        <w:rPr>
          <w:rFonts w:ascii="宋体" w:hAnsi="宋体" w:eastAsia="宋体" w:cs="Times New Roman"/>
          <w:color w:val="auto"/>
          <w:kern w:val="0"/>
          <w:szCs w:val="21"/>
          <w:highlight w:val="none"/>
        </w:rPr>
      </w:pPr>
      <w:bookmarkStart w:id="694" w:name="_Toc195714370"/>
      <w:bookmarkStart w:id="695" w:name="_Toc10651"/>
      <w:r>
        <w:rPr>
          <w:rFonts w:hint="eastAsia" w:ascii="宋体" w:hAnsi="宋体" w:eastAsia="宋体" w:cs="宋体"/>
          <w:color w:val="auto"/>
          <w:kern w:val="0"/>
          <w:sz w:val="24"/>
          <w:szCs w:val="21"/>
          <w:highlight w:val="none"/>
        </w:rPr>
        <w:t>签订地点：广东省东莞市</w:t>
      </w:r>
      <w:bookmarkEnd w:id="694"/>
      <w:r>
        <w:rPr>
          <w:rFonts w:hint="eastAsia" w:ascii="宋体" w:hAnsi="宋体" w:eastAsia="宋体" w:cs="宋体"/>
          <w:color w:val="auto"/>
          <w:kern w:val="0"/>
          <w:sz w:val="24"/>
          <w:szCs w:val="21"/>
          <w:highlight w:val="none"/>
        </w:rPr>
        <w:br w:type="page"/>
      </w:r>
      <w:bookmarkEnd w:id="693"/>
      <w:bookmarkEnd w:id="695"/>
    </w:p>
    <w:p w14:paraId="1F00CE7B">
      <w:pPr>
        <w:pageBreakBefore/>
        <w:spacing w:before="120" w:beforeLines="50" w:after="120" w:afterLines="50" w:line="360" w:lineRule="auto"/>
        <w:ind w:firstLine="640"/>
        <w:jc w:val="center"/>
        <w:outlineLvl w:val="0"/>
        <w:rPr>
          <w:rFonts w:ascii="宋体" w:hAnsi="宋体" w:eastAsia="宋体" w:cs="Times New Roman"/>
          <w:b/>
          <w:bCs/>
          <w:color w:val="auto"/>
          <w:sz w:val="32"/>
          <w:szCs w:val="32"/>
          <w:highlight w:val="none"/>
          <w:lang w:val="zh-CN"/>
        </w:rPr>
      </w:pPr>
      <w:bookmarkStart w:id="696" w:name="_Toc195714371"/>
      <w:bookmarkStart w:id="697" w:name="_Toc24427_WPSOffice_Level1"/>
      <w:bookmarkStart w:id="698" w:name="_Toc16457"/>
      <w:bookmarkStart w:id="699" w:name="_Toc447044603"/>
      <w:bookmarkStart w:id="700" w:name="_Toc142508360"/>
      <w:bookmarkStart w:id="701" w:name="_Toc512353083"/>
      <w:bookmarkStart w:id="702" w:name="_Toc447044479"/>
      <w:bookmarkStart w:id="703" w:name="_Toc447045090"/>
      <w:bookmarkStart w:id="704" w:name="_Toc25564"/>
      <w:bookmarkStart w:id="705" w:name="_Toc30025"/>
      <w:r>
        <w:rPr>
          <w:rFonts w:hint="eastAsia" w:ascii="宋体" w:hAnsi="宋体" w:eastAsia="宋体" w:cs="Times New Roman"/>
          <w:b/>
          <w:bCs/>
          <w:color w:val="auto"/>
          <w:sz w:val="32"/>
          <w:szCs w:val="32"/>
          <w:highlight w:val="none"/>
          <w:lang w:val="zh-CN"/>
        </w:rPr>
        <w:t>第五篇</w:t>
      </w:r>
      <w:r>
        <w:rPr>
          <w:rFonts w:ascii="宋体" w:hAnsi="宋体" w:eastAsia="宋体" w:cs="Times New Roman"/>
          <w:b/>
          <w:bCs/>
          <w:color w:val="auto"/>
          <w:sz w:val="32"/>
          <w:szCs w:val="32"/>
          <w:highlight w:val="none"/>
          <w:lang w:val="zh-CN"/>
        </w:rPr>
        <w:t xml:space="preserve"> </w:t>
      </w:r>
      <w:r>
        <w:rPr>
          <w:rFonts w:hint="eastAsia" w:ascii="宋体" w:hAnsi="宋体" w:eastAsia="宋体" w:cs="Times New Roman"/>
          <w:b/>
          <w:bCs/>
          <w:color w:val="auto"/>
          <w:sz w:val="32"/>
          <w:szCs w:val="32"/>
          <w:highlight w:val="none"/>
          <w:lang w:val="zh-CN"/>
        </w:rPr>
        <w:t>相关保函格式</w:t>
      </w:r>
      <w:bookmarkEnd w:id="696"/>
      <w:bookmarkEnd w:id="697"/>
      <w:bookmarkEnd w:id="698"/>
      <w:bookmarkEnd w:id="699"/>
      <w:bookmarkEnd w:id="700"/>
      <w:bookmarkEnd w:id="701"/>
      <w:bookmarkEnd w:id="702"/>
      <w:bookmarkEnd w:id="703"/>
      <w:bookmarkEnd w:id="704"/>
      <w:bookmarkEnd w:id="705"/>
      <w:bookmarkStart w:id="706" w:name="_Toc447045091"/>
      <w:bookmarkStart w:id="707" w:name="_Toc447044604"/>
      <w:bookmarkStart w:id="708" w:name="_Toc447044480"/>
    </w:p>
    <w:p w14:paraId="127DBCA0">
      <w:pPr>
        <w:autoSpaceDE w:val="0"/>
        <w:autoSpaceDN w:val="0"/>
        <w:adjustRightInd w:val="0"/>
        <w:spacing w:after="120" w:afterLines="50" w:line="360" w:lineRule="auto"/>
        <w:jc w:val="left"/>
        <w:rPr>
          <w:rFonts w:ascii="宋体" w:hAnsi="宋体" w:eastAsia="宋体" w:cs="Times New Roman"/>
          <w:b/>
          <w:color w:val="auto"/>
          <w:kern w:val="0"/>
          <w:sz w:val="28"/>
          <w:szCs w:val="28"/>
          <w:highlight w:val="none"/>
        </w:rPr>
      </w:pPr>
      <w:bookmarkStart w:id="709" w:name="_Toc26521_WPSOffice_Level2"/>
      <w:r>
        <w:rPr>
          <w:rFonts w:hint="eastAsia" w:ascii="宋体" w:hAnsi="宋体" w:eastAsia="宋体" w:cs="Times New Roman"/>
          <w:b/>
          <w:color w:val="auto"/>
          <w:kern w:val="0"/>
          <w:sz w:val="28"/>
          <w:szCs w:val="28"/>
          <w:highlight w:val="none"/>
        </w:rPr>
        <w:t>一、不可撤销银行履约保函格式</w:t>
      </w:r>
      <w:bookmarkEnd w:id="706"/>
      <w:bookmarkEnd w:id="707"/>
      <w:bookmarkEnd w:id="708"/>
      <w:bookmarkEnd w:id="709"/>
    </w:p>
    <w:p w14:paraId="20DE8202">
      <w:pPr>
        <w:autoSpaceDE w:val="0"/>
        <w:autoSpaceDN w:val="0"/>
        <w:adjustRightInd w:val="0"/>
        <w:jc w:val="center"/>
        <w:rPr>
          <w:rFonts w:ascii="宋体" w:hAnsi="宋体" w:eastAsia="宋体" w:cs="Times New Roman"/>
          <w:b/>
          <w:color w:val="auto"/>
          <w:kern w:val="0"/>
          <w:sz w:val="30"/>
          <w:szCs w:val="30"/>
          <w:highlight w:val="none"/>
        </w:rPr>
      </w:pPr>
      <w:r>
        <w:rPr>
          <w:rFonts w:hint="eastAsia" w:ascii="宋体" w:hAnsi="宋体" w:eastAsia="宋体" w:cs="Times New Roman"/>
          <w:b/>
          <w:color w:val="auto"/>
          <w:kern w:val="0"/>
          <w:sz w:val="30"/>
          <w:szCs w:val="30"/>
          <w:highlight w:val="none"/>
        </w:rPr>
        <w:t>不可撤销银行履约保函</w:t>
      </w:r>
    </w:p>
    <w:p w14:paraId="3DD23314">
      <w:pPr>
        <w:widowControl/>
        <w:autoSpaceDE w:val="0"/>
        <w:autoSpaceDN w:val="0"/>
        <w:adjustRightInd w:val="0"/>
        <w:spacing w:line="360" w:lineRule="auto"/>
        <w:jc w:val="left"/>
        <w:rPr>
          <w:rFonts w:ascii="宋体" w:hAnsi="宋体" w:eastAsia="宋体" w:cs="宋体"/>
          <w:color w:val="auto"/>
          <w:kern w:val="0"/>
          <w:szCs w:val="21"/>
          <w:highlight w:val="none"/>
        </w:rPr>
      </w:pPr>
    </w:p>
    <w:p w14:paraId="6CBCCD87">
      <w:pPr>
        <w:autoSpaceDE w:val="0"/>
        <w:autoSpaceDN w:val="0"/>
        <w:adjustRightInd w:val="0"/>
        <w:spacing w:line="360" w:lineRule="auto"/>
        <w:ind w:firstLine="6300"/>
        <w:jc w:val="left"/>
        <w:rPr>
          <w:rFonts w:ascii="宋体" w:hAnsi="宋体" w:eastAsia="宋体" w:cs="Times New Roman"/>
          <w:color w:val="auto"/>
          <w:kern w:val="0"/>
          <w:szCs w:val="21"/>
          <w:highlight w:val="none"/>
          <w:u w:val="single"/>
        </w:rPr>
      </w:pPr>
      <w:r>
        <w:rPr>
          <w:rFonts w:ascii="宋体" w:hAnsi="宋体" w:eastAsia="宋体" w:cs="Times New Roman"/>
          <w:color w:val="auto"/>
          <w:kern w:val="0"/>
          <w:szCs w:val="21"/>
          <w:highlight w:val="none"/>
        </w:rPr>
        <w:t>银行编号：</w:t>
      </w:r>
    </w:p>
    <w:p w14:paraId="7F88BEA9">
      <w:pPr>
        <w:widowControl/>
        <w:autoSpaceDE w:val="0"/>
        <w:autoSpaceDN w:val="0"/>
        <w:adjustRightInd w:val="0"/>
        <w:spacing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致：</w:t>
      </w:r>
      <w:r>
        <w:rPr>
          <w:rFonts w:ascii="宋体" w:hAnsi="宋体" w:eastAsia="宋体" w:cs="宋体"/>
          <w:b/>
          <w:color w:val="auto"/>
          <w:kern w:val="0"/>
          <w:szCs w:val="21"/>
          <w:highlight w:val="none"/>
          <w:u w:val="single"/>
        </w:rPr>
        <w:t xml:space="preserve">                    </w:t>
      </w:r>
      <w:r>
        <w:rPr>
          <w:rFonts w:hint="eastAsia" w:ascii="宋体" w:hAnsi="宋体" w:eastAsia="宋体" w:cs="宋体"/>
          <w:color w:val="auto"/>
          <w:kern w:val="0"/>
          <w:szCs w:val="21"/>
          <w:highlight w:val="none"/>
        </w:rPr>
        <w:t>（下称“受益人”）</w:t>
      </w:r>
    </w:p>
    <w:p w14:paraId="4C5BBB92">
      <w:pPr>
        <w:widowControl/>
        <w:autoSpaceDE w:val="0"/>
        <w:autoSpaceDN w:val="0"/>
        <w:adjustRightInd w:val="0"/>
        <w:spacing w:line="360" w:lineRule="auto"/>
        <w:ind w:firstLine="567" w:firstLineChars="27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鉴于</w:t>
      </w:r>
      <w:r>
        <w:rPr>
          <w:rFonts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rPr>
        <w:t>申请人</w:t>
      </w:r>
      <w:r>
        <w:rPr>
          <w:rFonts w:ascii="宋体" w:hAnsi="宋体" w:eastAsia="宋体" w:cs="宋体"/>
          <w:color w:val="auto"/>
          <w:kern w:val="0"/>
          <w:szCs w:val="21"/>
          <w:highlight w:val="none"/>
          <w:u w:val="single"/>
        </w:rPr>
        <w:t xml:space="preserve">的名称与地址）  </w:t>
      </w:r>
      <w:r>
        <w:rPr>
          <w:rFonts w:hint="eastAsia" w:ascii="宋体" w:hAnsi="宋体" w:eastAsia="宋体" w:cs="宋体"/>
          <w:color w:val="auto"/>
          <w:kern w:val="0"/>
          <w:szCs w:val="21"/>
          <w:highlight w:val="none"/>
        </w:rPr>
        <w:t>（下称“申请人”），已保证按拟签订的</w:t>
      </w:r>
      <w:r>
        <w:rPr>
          <w:rFonts w:ascii="宋体" w:hAnsi="宋体" w:eastAsia="宋体" w:cs="宋体"/>
          <w:color w:val="auto"/>
          <w:kern w:val="0"/>
          <w:szCs w:val="21"/>
          <w:highlight w:val="none"/>
          <w:u w:val="single"/>
        </w:rPr>
        <w:t xml:space="preserve"> 项目名称       （招标编号：         ）</w:t>
      </w:r>
      <w:r>
        <w:rPr>
          <w:rFonts w:hint="eastAsia" w:ascii="宋体" w:hAnsi="宋体" w:eastAsia="宋体" w:cs="宋体"/>
          <w:color w:val="auto"/>
          <w:kern w:val="0"/>
          <w:szCs w:val="21"/>
          <w:highlight w:val="none"/>
        </w:rPr>
        <w:t>合同（招标文件）中规定的义务履行合同。</w:t>
      </w:r>
    </w:p>
    <w:p w14:paraId="41C7F402">
      <w:pPr>
        <w:widowControl/>
        <w:autoSpaceDE w:val="0"/>
        <w:autoSpaceDN w:val="0"/>
        <w:adjustRightInd w:val="0"/>
        <w:spacing w:line="360" w:lineRule="auto"/>
        <w:ind w:firstLine="567" w:firstLineChars="27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根据上述合同（招标文件）规定，申请人应向受益人提供一份金额为人民币（大写）</w:t>
      </w:r>
      <w:r>
        <w:rPr>
          <w:rFonts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rPr>
        <w:t>RMB</w:t>
      </w:r>
      <w:r>
        <w:rPr>
          <w:rFonts w:ascii="宋体" w:hAnsi="宋体" w:eastAsia="宋体" w:cs="宋体"/>
          <w:color w:val="auto"/>
          <w:kern w:val="0"/>
          <w:szCs w:val="21"/>
          <w:highlight w:val="none"/>
          <w:u w:val="single"/>
        </w:rPr>
        <w:t>元）</w:t>
      </w:r>
      <w:r>
        <w:rPr>
          <w:rFonts w:hint="eastAsia" w:ascii="宋体" w:hAnsi="宋体" w:eastAsia="宋体" w:cs="宋体"/>
          <w:color w:val="auto"/>
          <w:kern w:val="0"/>
          <w:szCs w:val="21"/>
          <w:highlight w:val="none"/>
        </w:rPr>
        <w:t>的无条件、不可撤销银行履约保函，作为申请人履行上述合同的担保。</w:t>
      </w:r>
    </w:p>
    <w:p w14:paraId="1F21FD8E">
      <w:pPr>
        <w:widowControl/>
        <w:autoSpaceDE w:val="0"/>
        <w:autoSpaceDN w:val="0"/>
        <w:adjustRightInd w:val="0"/>
        <w:spacing w:line="360" w:lineRule="auto"/>
        <w:ind w:firstLine="567" w:firstLineChars="27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我方</w:t>
      </w:r>
      <w:r>
        <w:rPr>
          <w:rFonts w:ascii="宋体" w:hAnsi="宋体" w:eastAsia="宋体" w:cs="宋体"/>
          <w:color w:val="auto"/>
          <w:kern w:val="0"/>
          <w:szCs w:val="21"/>
          <w:highlight w:val="none"/>
          <w:u w:val="single"/>
        </w:rPr>
        <w:t xml:space="preserve">     （银行名称）</w:t>
      </w:r>
      <w:r>
        <w:rPr>
          <w:rFonts w:hint="eastAsia" w:ascii="宋体" w:hAnsi="宋体" w:eastAsia="宋体" w:cs="宋体"/>
          <w:color w:val="auto"/>
          <w:kern w:val="0"/>
          <w:szCs w:val="21"/>
          <w:highlight w:val="none"/>
        </w:rPr>
        <w:t>，受申请人的委托，无条件和不可撤销地在受益人出具本保函原件且提出因申请人没有履行上述合同规定，而要求我方承担保证责任后，在保函限额内向受益人支付不超过人民币（大写）_________（¥_______元）的款项。</w:t>
      </w:r>
    </w:p>
    <w:p w14:paraId="23494678">
      <w:pPr>
        <w:widowControl/>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在向我行提出要求前，我行将不坚持要求受益人首先向申请人提出上述款项的索赔。</w:t>
      </w:r>
    </w:p>
    <w:p w14:paraId="189B611E">
      <w:pPr>
        <w:widowControl/>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我方还同意，任何受益人与申请人之间可能对合同条款的修改、规范或其他合同文件的变动补充，都不能免除我方按本保函所承担的责任。因此，有关上述变动、补充和修改无须通知或征得我方同意。</w:t>
      </w:r>
    </w:p>
    <w:p w14:paraId="0FA144A3">
      <w:pPr>
        <w:widowControl/>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本保函应从合同签订之日起至合同期限届满并全部货物经最终验收合格，受益人向申请人支付全部款项（除质保金）后二十八（28）日内保持有效。</w:t>
      </w:r>
    </w:p>
    <w:p w14:paraId="3B599960">
      <w:pPr>
        <w:widowControl/>
        <w:autoSpaceDE w:val="0"/>
        <w:autoSpaceDN w:val="0"/>
        <w:adjustRightInd w:val="0"/>
        <w:spacing w:line="360" w:lineRule="auto"/>
        <w:ind w:firstLine="437"/>
        <w:jc w:val="left"/>
        <w:rPr>
          <w:rFonts w:ascii="宋体" w:hAnsi="宋体" w:eastAsia="宋体" w:cs="宋体"/>
          <w:color w:val="auto"/>
          <w:kern w:val="0"/>
          <w:szCs w:val="21"/>
          <w:highlight w:val="none"/>
        </w:rPr>
      </w:pPr>
    </w:p>
    <w:p w14:paraId="51199D73">
      <w:pPr>
        <w:widowControl/>
        <w:autoSpaceDE w:val="0"/>
        <w:autoSpaceDN w:val="0"/>
        <w:adjustRightInd w:val="0"/>
        <w:spacing w:line="360" w:lineRule="auto"/>
        <w:ind w:firstLine="2520" w:firstLineChars="1200"/>
        <w:jc w:val="left"/>
        <w:rPr>
          <w:rFonts w:ascii="宋体" w:hAnsi="宋体" w:eastAsia="宋体" w:cs="宋体"/>
          <w:color w:val="auto"/>
          <w:kern w:val="0"/>
          <w:szCs w:val="21"/>
          <w:highlight w:val="none"/>
          <w:u w:val="single"/>
        </w:rPr>
      </w:pPr>
      <w:r>
        <w:rPr>
          <w:rFonts w:hint="eastAsia" w:ascii="宋体" w:hAnsi="宋体" w:eastAsia="宋体" w:cs="宋体"/>
          <w:color w:val="auto"/>
          <w:kern w:val="0"/>
          <w:szCs w:val="21"/>
          <w:highlight w:val="none"/>
        </w:rPr>
        <w:t>担</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保</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银</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行：</w:t>
      </w:r>
      <w:r>
        <w:rPr>
          <w:rFonts w:ascii="宋体" w:hAnsi="宋体" w:eastAsia="宋体" w:cs="宋体"/>
          <w:color w:val="auto"/>
          <w:kern w:val="0"/>
          <w:szCs w:val="21"/>
          <w:highlight w:val="none"/>
          <w:u w:val="single"/>
        </w:rPr>
        <w:t xml:space="preserve">          银行全称          (盖章)   </w:t>
      </w:r>
    </w:p>
    <w:p w14:paraId="2C6CBD0F">
      <w:pPr>
        <w:widowControl/>
        <w:autoSpaceDE w:val="0"/>
        <w:autoSpaceDN w:val="0"/>
        <w:adjustRightInd w:val="0"/>
        <w:spacing w:line="360" w:lineRule="auto"/>
        <w:ind w:firstLine="2520" w:firstLineChars="1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法定代表人或其授权的代表人：</w:t>
      </w:r>
      <w:r>
        <w:rPr>
          <w:rFonts w:ascii="宋体" w:hAnsi="宋体" w:eastAsia="宋体" w:cs="宋体"/>
          <w:color w:val="auto"/>
          <w:kern w:val="0"/>
          <w:szCs w:val="21"/>
          <w:highlight w:val="none"/>
          <w:u w:val="single"/>
        </w:rPr>
        <w:t xml:space="preserve">       (职务)         </w:t>
      </w:r>
    </w:p>
    <w:p w14:paraId="67EFD1BD">
      <w:pPr>
        <w:widowControl/>
        <w:autoSpaceDE w:val="0"/>
        <w:autoSpaceDN w:val="0"/>
        <w:adjustRightInd w:val="0"/>
        <w:spacing w:line="360" w:lineRule="auto"/>
        <w:ind w:firstLine="5502" w:firstLineChars="2620"/>
        <w:jc w:val="left"/>
        <w:rPr>
          <w:rFonts w:ascii="宋体" w:hAnsi="宋体" w:eastAsia="宋体" w:cs="宋体"/>
          <w:color w:val="auto"/>
          <w:kern w:val="0"/>
          <w:szCs w:val="21"/>
          <w:highlight w:val="none"/>
          <w:u w:val="single"/>
        </w:rPr>
      </w:pPr>
      <w:r>
        <w:rPr>
          <w:rFonts w:ascii="宋体" w:hAnsi="宋体" w:eastAsia="宋体" w:cs="宋体"/>
          <w:color w:val="auto"/>
          <w:kern w:val="0"/>
          <w:szCs w:val="21"/>
          <w:highlight w:val="none"/>
          <w:u w:val="single"/>
        </w:rPr>
        <w:t xml:space="preserve">       (姓名)         </w:t>
      </w:r>
    </w:p>
    <w:p w14:paraId="79166DB8">
      <w:pPr>
        <w:widowControl/>
        <w:autoSpaceDE w:val="0"/>
        <w:autoSpaceDN w:val="0"/>
        <w:adjustRightInd w:val="0"/>
        <w:spacing w:line="360" w:lineRule="auto"/>
        <w:ind w:firstLine="5502" w:firstLineChars="2620"/>
        <w:jc w:val="left"/>
        <w:rPr>
          <w:rFonts w:ascii="宋体" w:hAnsi="宋体" w:eastAsia="宋体" w:cs="宋体"/>
          <w:color w:val="auto"/>
          <w:kern w:val="0"/>
          <w:szCs w:val="21"/>
          <w:highlight w:val="none"/>
          <w:u w:val="single"/>
        </w:rPr>
      </w:pPr>
      <w:r>
        <w:rPr>
          <w:rFonts w:ascii="宋体" w:hAnsi="宋体" w:eastAsia="宋体" w:cs="宋体"/>
          <w:color w:val="auto"/>
          <w:kern w:val="0"/>
          <w:szCs w:val="21"/>
          <w:highlight w:val="none"/>
          <w:u w:val="single"/>
        </w:rPr>
        <w:t xml:space="preserve">       (签章)         </w:t>
      </w:r>
    </w:p>
    <w:p w14:paraId="7BD68C58">
      <w:pPr>
        <w:autoSpaceDE w:val="0"/>
        <w:autoSpaceDN w:val="0"/>
        <w:adjustRightInd w:val="0"/>
        <w:spacing w:line="360" w:lineRule="auto"/>
        <w:ind w:left="840" w:firstLine="420" w:firstLineChars="200"/>
        <w:jc w:val="left"/>
        <w:rPr>
          <w:rFonts w:ascii="宋体" w:hAnsi="宋体" w:eastAsia="宋体" w:cs="宋体"/>
          <w:color w:val="auto"/>
          <w:kern w:val="0"/>
          <w:szCs w:val="21"/>
          <w:highlight w:val="none"/>
        </w:rPr>
      </w:pPr>
      <w:r>
        <w:rPr>
          <w:rFonts w:ascii="宋体" w:hAnsi="宋体" w:eastAsia="宋体" w:cs="宋体"/>
          <w:color w:val="auto"/>
          <w:kern w:val="0"/>
          <w:szCs w:val="21"/>
          <w:highlight w:val="none"/>
        </w:rPr>
        <w:t xml:space="preserve">                                        </w:t>
      </w:r>
      <w:r>
        <w:rPr>
          <w:rFonts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年</w:t>
      </w:r>
      <w:r>
        <w:rPr>
          <w:rFonts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月</w:t>
      </w:r>
      <w:r>
        <w:rPr>
          <w:rFonts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日</w:t>
      </w:r>
    </w:p>
    <w:p w14:paraId="4D9D8C81">
      <w:pPr>
        <w:widowControl/>
        <w:autoSpaceDE w:val="0"/>
        <w:autoSpaceDN w:val="0"/>
        <w:adjustRightInd w:val="0"/>
        <w:spacing w:line="360" w:lineRule="auto"/>
        <w:jc w:val="left"/>
        <w:rPr>
          <w:rFonts w:ascii="宋体" w:hAnsi="宋体" w:eastAsia="宋体" w:cs="宋体"/>
          <w:color w:val="auto"/>
          <w:kern w:val="0"/>
          <w:szCs w:val="21"/>
          <w:highlight w:val="none"/>
        </w:rPr>
      </w:pPr>
    </w:p>
    <w:p w14:paraId="35D3A2EA">
      <w:pPr>
        <w:widowControl/>
        <w:autoSpaceDE w:val="0"/>
        <w:autoSpaceDN w:val="0"/>
        <w:adjustRightInd w:val="0"/>
        <w:spacing w:line="360" w:lineRule="auto"/>
        <w:jc w:val="left"/>
        <w:rPr>
          <w:rFonts w:ascii="宋体" w:hAnsi="宋体" w:eastAsia="宋体" w:cs="宋体"/>
          <w:color w:val="auto"/>
          <w:kern w:val="0"/>
          <w:szCs w:val="21"/>
          <w:highlight w:val="none"/>
        </w:rPr>
      </w:pPr>
    </w:p>
    <w:p w14:paraId="69D0415A">
      <w:pPr>
        <w:autoSpaceDE w:val="0"/>
        <w:autoSpaceDN w:val="0"/>
        <w:adjustRightInd w:val="0"/>
        <w:spacing w:line="360" w:lineRule="auto"/>
        <w:ind w:right="368" w:rightChars="175"/>
        <w:jc w:val="left"/>
        <w:rPr>
          <w:rFonts w:ascii="宋体" w:hAnsi="宋体" w:eastAsia="宋体" w:cs="Times New Roman"/>
          <w:color w:val="auto"/>
          <w:kern w:val="0"/>
          <w:szCs w:val="21"/>
          <w:highlight w:val="none"/>
        </w:rPr>
        <w:sectPr>
          <w:footerReference r:id="rId6" w:type="first"/>
          <w:footerReference r:id="rId5" w:type="default"/>
          <w:pgSz w:w="12240" w:h="15840"/>
          <w:pgMar w:top="1191" w:right="1043" w:bottom="1191" w:left="1043" w:header="720" w:footer="720" w:gutter="0"/>
          <w:cols w:space="720" w:num="1"/>
          <w:titlePg/>
          <w:docGrid w:linePitch="326" w:charSpace="0"/>
        </w:sectPr>
      </w:pPr>
    </w:p>
    <w:p w14:paraId="73C1331E">
      <w:pPr>
        <w:rPr>
          <w:rFonts w:ascii="宋体" w:hAnsi="宋体" w:eastAsia="宋体" w:cs="Times New Roman"/>
          <w:b/>
          <w:color w:val="auto"/>
          <w:kern w:val="0"/>
          <w:sz w:val="28"/>
          <w:szCs w:val="28"/>
          <w:highlight w:val="none"/>
        </w:rPr>
      </w:pPr>
      <w:r>
        <w:rPr>
          <w:rFonts w:hint="eastAsia" w:ascii="宋体" w:hAnsi="宋体" w:eastAsia="宋体" w:cs="Times New Roman"/>
          <w:b/>
          <w:color w:val="auto"/>
          <w:kern w:val="0"/>
          <w:sz w:val="28"/>
          <w:szCs w:val="28"/>
          <w:highlight w:val="none"/>
        </w:rPr>
        <w:t>二、履约保证保险凭证格式</w:t>
      </w:r>
    </w:p>
    <w:p w14:paraId="6B5C4F49">
      <w:pPr>
        <w:autoSpaceDE w:val="0"/>
        <w:autoSpaceDN w:val="0"/>
        <w:adjustRightInd w:val="0"/>
        <w:jc w:val="center"/>
        <w:rPr>
          <w:rFonts w:ascii="宋体" w:hAnsi="宋体" w:eastAsia="宋体" w:cs="Times New Roman"/>
          <w:b/>
          <w:color w:val="auto"/>
          <w:kern w:val="0"/>
          <w:sz w:val="30"/>
          <w:szCs w:val="30"/>
          <w:highlight w:val="none"/>
        </w:rPr>
      </w:pPr>
    </w:p>
    <w:p w14:paraId="4CE6E39C">
      <w:pPr>
        <w:autoSpaceDE w:val="0"/>
        <w:autoSpaceDN w:val="0"/>
        <w:adjustRightInd w:val="0"/>
        <w:jc w:val="center"/>
        <w:rPr>
          <w:rFonts w:ascii="宋体" w:hAnsi="宋体" w:eastAsia="宋体" w:cs="Times New Roman"/>
          <w:b/>
          <w:color w:val="auto"/>
          <w:kern w:val="0"/>
          <w:sz w:val="30"/>
          <w:szCs w:val="30"/>
          <w:highlight w:val="none"/>
        </w:rPr>
      </w:pPr>
      <w:r>
        <w:rPr>
          <w:rFonts w:hint="eastAsia" w:ascii="宋体" w:hAnsi="宋体" w:eastAsia="宋体" w:cs="Times New Roman"/>
          <w:b/>
          <w:color w:val="auto"/>
          <w:kern w:val="0"/>
          <w:sz w:val="30"/>
          <w:szCs w:val="30"/>
          <w:highlight w:val="none"/>
        </w:rPr>
        <w:t>履约保证保险凭证</w:t>
      </w:r>
    </w:p>
    <w:p w14:paraId="34A5F517">
      <w:pPr>
        <w:autoSpaceDE w:val="0"/>
        <w:autoSpaceDN w:val="0"/>
        <w:adjustRightInd w:val="0"/>
        <w:spacing w:line="360" w:lineRule="auto"/>
        <w:ind w:firstLine="437"/>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w:t>
      </w:r>
    </w:p>
    <w:p w14:paraId="30D223DF">
      <w:pPr>
        <w:autoSpaceDE w:val="0"/>
        <w:autoSpaceDN w:val="0"/>
        <w:adjustRightInd w:val="0"/>
        <w:spacing w:line="360" w:lineRule="auto"/>
        <w:ind w:firstLine="437"/>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编号：</w:t>
      </w:r>
    </w:p>
    <w:p w14:paraId="4D5C58A8">
      <w:pPr>
        <w:autoSpaceDE w:val="0"/>
        <w:autoSpaceDN w:val="0"/>
        <w:adjustRightInd w:val="0"/>
        <w:spacing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致：</w:t>
      </w:r>
      <w:r>
        <w:rPr>
          <w:rFonts w:hint="eastAsia" w:ascii="宋体" w:hAnsi="宋体" w:eastAsia="宋体" w:cs="宋体"/>
          <w:b/>
          <w:color w:val="auto"/>
          <w:kern w:val="0"/>
          <w:szCs w:val="21"/>
          <w:highlight w:val="none"/>
          <w:u w:val="single"/>
        </w:rPr>
        <w:t xml:space="preserve">                    </w:t>
      </w:r>
      <w:r>
        <w:rPr>
          <w:rFonts w:hint="eastAsia" w:ascii="宋体" w:hAnsi="宋体" w:eastAsia="宋体" w:cs="宋体"/>
          <w:color w:val="auto"/>
          <w:kern w:val="0"/>
          <w:szCs w:val="21"/>
          <w:highlight w:val="none"/>
        </w:rPr>
        <w:t xml:space="preserve">（下称“受益人”）： </w:t>
      </w:r>
    </w:p>
    <w:p w14:paraId="734FD3D6">
      <w:pPr>
        <w:autoSpaceDE w:val="0"/>
        <w:autoSpaceDN w:val="0"/>
        <w:adjustRightInd w:val="0"/>
        <w:spacing w:line="360" w:lineRule="auto"/>
        <w:ind w:firstLine="437"/>
        <w:jc w:val="left"/>
        <w:rPr>
          <w:rFonts w:ascii="宋体" w:hAnsi="宋体" w:eastAsia="宋体" w:cs="宋体"/>
          <w:color w:val="auto"/>
          <w:kern w:val="0"/>
          <w:szCs w:val="21"/>
          <w:highlight w:val="none"/>
        </w:rPr>
      </w:pPr>
    </w:p>
    <w:p w14:paraId="0C219190">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鉴于</w:t>
      </w:r>
      <w:r>
        <w:rPr>
          <w:rFonts w:hint="eastAsia" w:ascii="宋体" w:hAnsi="宋体" w:eastAsia="宋体" w:cs="宋体"/>
          <w:b/>
          <w:color w:val="auto"/>
          <w:kern w:val="0"/>
          <w:szCs w:val="21"/>
          <w:highlight w:val="none"/>
          <w:u w:val="single"/>
        </w:rPr>
        <w:t xml:space="preserve">                    </w:t>
      </w:r>
      <w:r>
        <w:rPr>
          <w:rFonts w:hint="eastAsia" w:ascii="宋体" w:hAnsi="宋体" w:eastAsia="宋体" w:cs="宋体"/>
          <w:color w:val="auto"/>
          <w:kern w:val="0"/>
          <w:szCs w:val="21"/>
          <w:highlight w:val="none"/>
        </w:rPr>
        <w:t>（下称“申请人”）已与贵方签订了</w:t>
      </w:r>
      <w:r>
        <w:rPr>
          <w:rFonts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1"/>
          <w:highlight w:val="none"/>
          <w:u w:val="single"/>
        </w:rPr>
        <w:t xml:space="preserve"> </w:t>
      </w:r>
      <w:r>
        <w:rPr>
          <w:rFonts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1"/>
          <w:highlight w:val="none"/>
          <w:u w:val="single"/>
        </w:rPr>
        <w:t>项目</w:t>
      </w:r>
      <w:r>
        <w:rPr>
          <w:rFonts w:ascii="宋体" w:hAnsi="宋体" w:eastAsia="宋体" w:cs="Times New Roman"/>
          <w:color w:val="auto"/>
          <w:kern w:val="0"/>
          <w:szCs w:val="21"/>
          <w:highlight w:val="none"/>
          <w:u w:val="single"/>
        </w:rPr>
        <w:t>（招标编号：        ）</w:t>
      </w:r>
      <w:r>
        <w:rPr>
          <w:rFonts w:hint="eastAsia" w:ascii="宋体" w:hAnsi="宋体" w:eastAsia="宋体" w:cs="Times New Roman"/>
          <w:color w:val="auto"/>
          <w:kern w:val="0"/>
          <w:szCs w:val="21"/>
          <w:highlight w:val="none"/>
        </w:rPr>
        <w:t>合同</w:t>
      </w:r>
      <w:r>
        <w:rPr>
          <w:rFonts w:hint="eastAsia" w:ascii="宋体" w:hAnsi="宋体" w:eastAsia="宋体" w:cs="宋体"/>
          <w:color w:val="auto"/>
          <w:kern w:val="0"/>
          <w:szCs w:val="21"/>
          <w:highlight w:val="none"/>
        </w:rPr>
        <w:t>。我方已接受申请人的请求，并出具《履约保证保险》保险单。</w:t>
      </w:r>
      <w:r>
        <w:rPr>
          <w:rFonts w:ascii="宋体" w:hAnsi="宋体" w:eastAsia="宋体" w:cs="宋体"/>
          <w:color w:val="auto"/>
          <w:kern w:val="0"/>
          <w:szCs w:val="21"/>
          <w:highlight w:val="none"/>
        </w:rPr>
        <w:t xml:space="preserve"> </w:t>
      </w:r>
    </w:p>
    <w:p w14:paraId="7380A1C2">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一、保证保险金额 </w:t>
      </w:r>
    </w:p>
    <w:p w14:paraId="374A626D">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我方承担的履约保证保险的保险金额（最高限额）为人民币（大写）</w:t>
      </w:r>
      <w:r>
        <w:rPr>
          <w:rFonts w:hint="eastAsia" w:ascii="宋体" w:hAnsi="宋体" w:eastAsia="宋体" w:cs="宋体"/>
          <w:b/>
          <w:color w:val="auto"/>
          <w:kern w:val="0"/>
          <w:szCs w:val="21"/>
          <w:highlight w:val="none"/>
          <w:u w:val="single"/>
        </w:rPr>
        <w:t xml:space="preserve">                </w:t>
      </w:r>
      <w:r>
        <w:rPr>
          <w:rFonts w:hint="eastAsia" w:ascii="宋体" w:hAnsi="宋体" w:eastAsia="宋体" w:cs="宋体"/>
          <w:color w:val="auto"/>
          <w:kern w:val="0"/>
          <w:szCs w:val="21"/>
          <w:highlight w:val="none"/>
        </w:rPr>
        <w:t>元 （</w:t>
      </w:r>
      <w:r>
        <w:rPr>
          <w:rFonts w:ascii="宋体" w:hAnsi="宋体" w:eastAsia="宋体" w:cs="宋体"/>
          <w:color w:val="auto"/>
          <w:kern w:val="0"/>
          <w:szCs w:val="21"/>
          <w:highlight w:val="none"/>
        </w:rPr>
        <w:t>¥</w:t>
      </w:r>
      <w:r>
        <w:rPr>
          <w:rFonts w:hint="eastAsia" w:ascii="宋体" w:hAnsi="宋体" w:eastAsia="宋体" w:cs="宋体"/>
          <w:b/>
          <w:color w:val="auto"/>
          <w:kern w:val="0"/>
          <w:szCs w:val="21"/>
          <w:highlight w:val="none"/>
          <w:u w:val="single"/>
        </w:rPr>
        <w:t xml:space="preserve">               </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 xml:space="preserve">）。 </w:t>
      </w:r>
    </w:p>
    <w:p w14:paraId="5F427030">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二、保证保险的责任范围 </w:t>
      </w:r>
    </w:p>
    <w:p w14:paraId="4AC0604B">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在保险期间内，申请人因自身原因未按照与贵方签订的</w:t>
      </w:r>
      <w:r>
        <w:rPr>
          <w:rFonts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1"/>
          <w:highlight w:val="none"/>
          <w:u w:val="single"/>
        </w:rPr>
        <w:t xml:space="preserve"> </w:t>
      </w:r>
      <w:r>
        <w:rPr>
          <w:rFonts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1"/>
          <w:highlight w:val="none"/>
          <w:u w:val="single"/>
        </w:rPr>
        <w:t>项目</w:t>
      </w:r>
      <w:r>
        <w:rPr>
          <w:rFonts w:ascii="宋体" w:hAnsi="宋体" w:eastAsia="宋体" w:cs="Times New Roman"/>
          <w:color w:val="auto"/>
          <w:kern w:val="0"/>
          <w:szCs w:val="21"/>
          <w:highlight w:val="none"/>
          <w:u w:val="single"/>
        </w:rPr>
        <w:t>（招标编号：        ）</w:t>
      </w:r>
      <w:r>
        <w:rPr>
          <w:rFonts w:hint="eastAsia" w:ascii="宋体" w:hAnsi="宋体" w:eastAsia="宋体" w:cs="Times New Roman"/>
          <w:color w:val="auto"/>
          <w:kern w:val="0"/>
          <w:szCs w:val="21"/>
          <w:highlight w:val="none"/>
        </w:rPr>
        <w:t>合同</w:t>
      </w:r>
      <w:r>
        <w:rPr>
          <w:rFonts w:hint="eastAsia" w:ascii="宋体" w:hAnsi="宋体" w:eastAsia="宋体" w:cs="宋体"/>
          <w:color w:val="auto"/>
          <w:kern w:val="0"/>
          <w:szCs w:val="21"/>
          <w:highlight w:val="none"/>
        </w:rPr>
        <w:t xml:space="preserve">履行相关义务，给贵方造成损失的，贵方可向我方提出索赔，我方按照保险合同的约定承担损失赔偿责任。 </w:t>
      </w:r>
    </w:p>
    <w:p w14:paraId="4001A3A6">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三、代偿的安排 </w:t>
      </w:r>
    </w:p>
    <w:p w14:paraId="3D93757A">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贵方要求我方承担保证保险责任的，我方无条件和不可撤销地在贵方出具本履约保证保险原件且提出因申请人没有履行上述合同规定，而要求我方承担保证责任后，在保险限额内向贵方支付不超过人民币（大写）_________（¥_______元）的款项。</w:t>
      </w:r>
    </w:p>
    <w:p w14:paraId="4EF67346">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四、生效时间 </w:t>
      </w:r>
    </w:p>
    <w:p w14:paraId="0E2138BB">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本保险凭证自我方法定代表人（或其授权代理人）签字并加盖保险承保章之日起生效。 </w:t>
      </w:r>
    </w:p>
    <w:p w14:paraId="0266B841">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五、其他</w:t>
      </w:r>
    </w:p>
    <w:p w14:paraId="74297BE4">
      <w:pPr>
        <w:autoSpaceDE w:val="0"/>
        <w:autoSpaceDN w:val="0"/>
        <w:adjustRightInd w:val="0"/>
        <w:spacing w:line="360" w:lineRule="auto"/>
        <w:ind w:firstLine="437"/>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本履约保证保险应从合同签订之日起至合同期限届满并全部货物经最终验收合格，受益人向申请人支付全部款项（除质保金）后二十八（28）日内保持有效</w:t>
      </w:r>
      <w:r>
        <w:rPr>
          <w:rFonts w:hint="eastAsia" w:ascii="宋体" w:hAnsi="宋体" w:eastAsia="宋体" w:cs="宋体"/>
          <w:color w:val="auto"/>
          <w:kern w:val="0"/>
          <w:szCs w:val="21"/>
          <w:highlight w:val="none"/>
        </w:rPr>
        <w:t>。</w:t>
      </w:r>
    </w:p>
    <w:p w14:paraId="5206AE5E">
      <w:pPr>
        <w:autoSpaceDE w:val="0"/>
        <w:autoSpaceDN w:val="0"/>
        <w:adjustRightInd w:val="0"/>
        <w:spacing w:line="360" w:lineRule="auto"/>
        <w:ind w:firstLine="437"/>
        <w:jc w:val="left"/>
        <w:rPr>
          <w:color w:val="auto"/>
          <w:highlight w:val="none"/>
        </w:rPr>
      </w:pPr>
    </w:p>
    <w:p w14:paraId="5617306D">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附：《XXX</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保险有限公司履约保证保险（</w:t>
      </w:r>
      <w:r>
        <w:rPr>
          <w:rFonts w:ascii="宋体" w:hAnsi="宋体" w:eastAsia="宋体" w:cs="宋体"/>
          <w:color w:val="auto"/>
          <w:kern w:val="0"/>
          <w:szCs w:val="21"/>
          <w:highlight w:val="none"/>
        </w:rPr>
        <w:t xml:space="preserve">X </w:t>
      </w:r>
      <w:r>
        <w:rPr>
          <w:rFonts w:hint="eastAsia" w:ascii="宋体" w:hAnsi="宋体" w:eastAsia="宋体" w:cs="宋体"/>
          <w:color w:val="auto"/>
          <w:kern w:val="0"/>
          <w:szCs w:val="21"/>
          <w:highlight w:val="none"/>
        </w:rPr>
        <w:t xml:space="preserve">款）条款》及保单 </w:t>
      </w:r>
    </w:p>
    <w:p w14:paraId="509D134F">
      <w:pPr>
        <w:autoSpaceDE w:val="0"/>
        <w:autoSpaceDN w:val="0"/>
        <w:adjustRightInd w:val="0"/>
        <w:spacing w:line="360" w:lineRule="auto"/>
        <w:ind w:firstLine="437"/>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w:t>
      </w:r>
    </w:p>
    <w:p w14:paraId="1F7EBD23">
      <w:pPr>
        <w:autoSpaceDE w:val="0"/>
        <w:autoSpaceDN w:val="0"/>
        <w:adjustRightInd w:val="0"/>
        <w:spacing w:line="360" w:lineRule="auto"/>
        <w:ind w:firstLine="437"/>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保险人：（盖章）</w:t>
      </w:r>
    </w:p>
    <w:p w14:paraId="5D99AA12">
      <w:pPr>
        <w:autoSpaceDE w:val="0"/>
        <w:autoSpaceDN w:val="0"/>
        <w:adjustRightInd w:val="0"/>
        <w:spacing w:line="360" w:lineRule="auto"/>
        <w:ind w:firstLine="437"/>
        <w:jc w:val="righ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法定代表人或授权代理人：</w:t>
      </w:r>
      <w:r>
        <w:rPr>
          <w:rFonts w:ascii="宋体" w:hAnsi="宋体" w:eastAsia="宋体" w:cs="宋体"/>
          <w:color w:val="auto"/>
          <w:kern w:val="0"/>
          <w:szCs w:val="21"/>
          <w:highlight w:val="none"/>
        </w:rPr>
        <w:t xml:space="preserve">________ </w:t>
      </w:r>
    </w:p>
    <w:p w14:paraId="18E23411">
      <w:pPr>
        <w:autoSpaceDE w:val="0"/>
        <w:autoSpaceDN w:val="0"/>
        <w:adjustRightInd w:val="0"/>
        <w:spacing w:line="360" w:lineRule="auto"/>
        <w:ind w:firstLine="437"/>
        <w:jc w:val="righ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年</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月</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日</w:t>
      </w:r>
    </w:p>
    <w:p w14:paraId="5E300F2E">
      <w:pPr>
        <w:widowControl/>
        <w:autoSpaceDE w:val="0"/>
        <w:autoSpaceDN w:val="0"/>
        <w:adjustRightInd w:val="0"/>
        <w:spacing w:before="100" w:beforeAutospacing="1" w:after="100" w:afterAutospacing="1"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br w:type="page"/>
      </w:r>
    </w:p>
    <w:p w14:paraId="787A1869">
      <w:pPr>
        <w:autoSpaceDE w:val="0"/>
        <w:autoSpaceDN w:val="0"/>
        <w:adjustRightInd w:val="0"/>
        <w:spacing w:after="120" w:afterLines="50" w:line="360" w:lineRule="auto"/>
        <w:jc w:val="left"/>
        <w:rPr>
          <w:rFonts w:ascii="宋体" w:hAnsi="宋体" w:eastAsia="宋体" w:cs="Times New Roman"/>
          <w:b/>
          <w:color w:val="auto"/>
          <w:kern w:val="0"/>
          <w:sz w:val="28"/>
          <w:szCs w:val="28"/>
          <w:highlight w:val="none"/>
        </w:rPr>
      </w:pPr>
      <w:r>
        <w:rPr>
          <w:rFonts w:hint="eastAsia" w:ascii="宋体" w:hAnsi="宋体" w:eastAsia="宋体" w:cs="Times New Roman"/>
          <w:b/>
          <w:color w:val="auto"/>
          <w:kern w:val="0"/>
          <w:sz w:val="28"/>
          <w:szCs w:val="28"/>
          <w:highlight w:val="none"/>
        </w:rPr>
        <w:t>三、担保公司履约担保书格式</w:t>
      </w:r>
    </w:p>
    <w:p w14:paraId="2A6D9508">
      <w:pPr>
        <w:autoSpaceDE w:val="0"/>
        <w:autoSpaceDN w:val="0"/>
        <w:adjustRightInd w:val="0"/>
        <w:jc w:val="center"/>
        <w:rPr>
          <w:rFonts w:ascii="宋体" w:hAnsi="宋体" w:eastAsia="宋体" w:cs="Times New Roman"/>
          <w:b/>
          <w:color w:val="auto"/>
          <w:kern w:val="0"/>
          <w:sz w:val="30"/>
          <w:szCs w:val="30"/>
          <w:highlight w:val="none"/>
        </w:rPr>
      </w:pPr>
      <w:r>
        <w:rPr>
          <w:rFonts w:hint="eastAsia" w:ascii="宋体" w:hAnsi="宋体" w:eastAsia="宋体" w:cs="Times New Roman"/>
          <w:b/>
          <w:color w:val="auto"/>
          <w:kern w:val="0"/>
          <w:sz w:val="30"/>
          <w:szCs w:val="30"/>
          <w:highlight w:val="none"/>
        </w:rPr>
        <w:t>担保公司履约担保书</w:t>
      </w:r>
    </w:p>
    <w:p w14:paraId="079ABCD8">
      <w:pPr>
        <w:widowControl/>
        <w:autoSpaceDE w:val="0"/>
        <w:autoSpaceDN w:val="0"/>
        <w:adjustRightInd w:val="0"/>
        <w:spacing w:before="100" w:beforeAutospacing="1" w:after="100" w:afterAutospacing="1"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致：</w:t>
      </w:r>
      <w:r>
        <w:rPr>
          <w:rFonts w:hint="eastAsia" w:ascii="宋体" w:hAnsi="宋体" w:eastAsia="宋体" w:cs="宋体"/>
          <w:b/>
          <w:color w:val="auto"/>
          <w:kern w:val="0"/>
          <w:szCs w:val="21"/>
          <w:highlight w:val="none"/>
          <w:u w:val="single"/>
        </w:rPr>
        <w:t xml:space="preserve">                    </w:t>
      </w:r>
      <w:r>
        <w:rPr>
          <w:rFonts w:hint="eastAsia" w:ascii="宋体" w:hAnsi="宋体" w:eastAsia="宋体" w:cs="宋体"/>
          <w:color w:val="auto"/>
          <w:kern w:val="0"/>
          <w:szCs w:val="21"/>
          <w:highlight w:val="none"/>
        </w:rPr>
        <w:t>（下称“受益人”）</w:t>
      </w:r>
    </w:p>
    <w:p w14:paraId="326A7EF6">
      <w:pPr>
        <w:autoSpaceDE w:val="0"/>
        <w:autoSpaceDN w:val="0"/>
        <w:adjustRightInd w:val="0"/>
        <w:spacing w:line="360" w:lineRule="auto"/>
        <w:ind w:firstLine="437"/>
        <w:jc w:val="left"/>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鉴于</w:t>
      </w:r>
      <w:r>
        <w:rPr>
          <w:rFonts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1"/>
          <w:highlight w:val="none"/>
          <w:u w:val="single"/>
        </w:rPr>
        <w:t>申请人</w:t>
      </w:r>
      <w:r>
        <w:rPr>
          <w:rFonts w:ascii="宋体" w:hAnsi="宋体" w:eastAsia="宋体" w:cs="Times New Roman"/>
          <w:color w:val="auto"/>
          <w:kern w:val="0"/>
          <w:szCs w:val="21"/>
          <w:highlight w:val="none"/>
          <w:u w:val="single"/>
        </w:rPr>
        <w:t xml:space="preserve">的名称与地址）  </w:t>
      </w:r>
      <w:r>
        <w:rPr>
          <w:rFonts w:ascii="宋体" w:hAnsi="宋体" w:eastAsia="宋体" w:cs="Times New Roman"/>
          <w:color w:val="auto"/>
          <w:kern w:val="0"/>
          <w:szCs w:val="21"/>
          <w:highlight w:val="none"/>
        </w:rPr>
        <w:t>（下称“</w:t>
      </w:r>
      <w:r>
        <w:rPr>
          <w:rFonts w:hint="eastAsia" w:ascii="宋体" w:hAnsi="宋体" w:eastAsia="宋体" w:cs="Times New Roman"/>
          <w:color w:val="auto"/>
          <w:kern w:val="0"/>
          <w:szCs w:val="21"/>
          <w:highlight w:val="none"/>
        </w:rPr>
        <w:t>申请人</w:t>
      </w:r>
      <w:r>
        <w:rPr>
          <w:rFonts w:ascii="宋体" w:hAnsi="宋体" w:eastAsia="宋体" w:cs="Times New Roman"/>
          <w:color w:val="auto"/>
          <w:kern w:val="0"/>
          <w:szCs w:val="21"/>
          <w:highlight w:val="none"/>
        </w:rPr>
        <w:t>”），已保证按</w:t>
      </w:r>
      <w:r>
        <w:rPr>
          <w:rFonts w:hint="eastAsia" w:ascii="宋体" w:hAnsi="宋体" w:eastAsia="宋体" w:cs="宋体"/>
          <w:color w:val="auto"/>
          <w:kern w:val="0"/>
          <w:szCs w:val="21"/>
          <w:highlight w:val="none"/>
        </w:rPr>
        <w:t>拟签订的</w:t>
      </w:r>
      <w:r>
        <w:rPr>
          <w:rFonts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1"/>
          <w:highlight w:val="none"/>
          <w:u w:val="single"/>
        </w:rPr>
        <w:t xml:space="preserve"> </w:t>
      </w:r>
      <w:r>
        <w:rPr>
          <w:rFonts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1"/>
          <w:highlight w:val="none"/>
          <w:u w:val="single"/>
        </w:rPr>
        <w:t>项目</w:t>
      </w:r>
      <w:r>
        <w:rPr>
          <w:rFonts w:ascii="宋体" w:hAnsi="宋体" w:eastAsia="宋体" w:cs="Times New Roman"/>
          <w:color w:val="auto"/>
          <w:kern w:val="0"/>
          <w:szCs w:val="21"/>
          <w:highlight w:val="none"/>
          <w:u w:val="single"/>
        </w:rPr>
        <w:t>（招标编号：        ）</w:t>
      </w:r>
      <w:r>
        <w:rPr>
          <w:rFonts w:hint="eastAsia" w:ascii="宋体" w:hAnsi="宋体" w:eastAsia="宋体" w:cs="Times New Roman"/>
          <w:color w:val="auto"/>
          <w:kern w:val="0"/>
          <w:szCs w:val="21"/>
          <w:highlight w:val="none"/>
        </w:rPr>
        <w:t>合同（招标文件）</w:t>
      </w:r>
      <w:r>
        <w:rPr>
          <w:rFonts w:ascii="宋体" w:hAnsi="宋体" w:eastAsia="宋体" w:cs="Times New Roman"/>
          <w:color w:val="auto"/>
          <w:kern w:val="0"/>
          <w:szCs w:val="21"/>
          <w:highlight w:val="none"/>
        </w:rPr>
        <w:t>中规定的义务履行合同。</w:t>
      </w:r>
    </w:p>
    <w:p w14:paraId="4BBB7EAD">
      <w:pPr>
        <w:widowControl/>
        <w:autoSpaceDE w:val="0"/>
        <w:autoSpaceDN w:val="0"/>
        <w:adjustRightInd w:val="0"/>
        <w:spacing w:line="360" w:lineRule="auto"/>
        <w:ind w:firstLine="567" w:firstLineChars="270"/>
        <w:jc w:val="left"/>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根据上述合同（招标文件）规定，</w:t>
      </w:r>
      <w:r>
        <w:rPr>
          <w:rFonts w:hint="eastAsia" w:ascii="宋体" w:hAnsi="宋体" w:eastAsia="宋体" w:cs="Times New Roman"/>
          <w:color w:val="auto"/>
          <w:kern w:val="0"/>
          <w:szCs w:val="21"/>
          <w:highlight w:val="none"/>
        </w:rPr>
        <w:t>申请人</w:t>
      </w:r>
      <w:r>
        <w:rPr>
          <w:rFonts w:ascii="宋体" w:hAnsi="宋体" w:eastAsia="宋体" w:cs="Times New Roman"/>
          <w:color w:val="auto"/>
          <w:kern w:val="0"/>
          <w:szCs w:val="21"/>
          <w:highlight w:val="none"/>
        </w:rPr>
        <w:t>应向受益人提供一份金额为人民币</w:t>
      </w:r>
      <w:r>
        <w:rPr>
          <w:rFonts w:hint="eastAsia" w:ascii="宋体" w:hAnsi="宋体" w:eastAsia="宋体" w:cs="宋体"/>
          <w:color w:val="auto"/>
          <w:kern w:val="0"/>
          <w:szCs w:val="21"/>
          <w:highlight w:val="none"/>
        </w:rPr>
        <w:t>（大写）</w:t>
      </w:r>
      <w:r>
        <w:rPr>
          <w:rFonts w:ascii="宋体" w:hAnsi="宋体" w:eastAsia="宋体" w:cs="Times New Roman"/>
          <w:color w:val="auto"/>
          <w:kern w:val="0"/>
          <w:szCs w:val="21"/>
          <w:highlight w:val="none"/>
          <w:u w:val="single"/>
        </w:rPr>
        <w:t xml:space="preserve">     （RMB元）</w:t>
      </w:r>
      <w:r>
        <w:rPr>
          <w:rFonts w:ascii="宋体" w:hAnsi="宋体" w:eastAsia="宋体" w:cs="Times New Roman"/>
          <w:color w:val="auto"/>
          <w:kern w:val="0"/>
          <w:szCs w:val="21"/>
          <w:highlight w:val="none"/>
        </w:rPr>
        <w:t>的</w:t>
      </w:r>
      <w:r>
        <w:rPr>
          <w:rFonts w:hint="eastAsia" w:ascii="宋体" w:hAnsi="宋体" w:eastAsia="宋体" w:cs="Times New Roman"/>
          <w:color w:val="auto"/>
          <w:kern w:val="0"/>
          <w:szCs w:val="21"/>
          <w:highlight w:val="none"/>
        </w:rPr>
        <w:t>无条件、</w:t>
      </w:r>
      <w:r>
        <w:rPr>
          <w:rFonts w:ascii="宋体" w:hAnsi="宋体" w:eastAsia="宋体" w:cs="Times New Roman"/>
          <w:bCs/>
          <w:color w:val="auto"/>
          <w:kern w:val="0"/>
          <w:szCs w:val="21"/>
          <w:highlight w:val="none"/>
        </w:rPr>
        <w:t>不可撤销</w:t>
      </w:r>
      <w:r>
        <w:rPr>
          <w:rFonts w:ascii="宋体" w:hAnsi="宋体" w:eastAsia="宋体" w:cs="Times New Roman"/>
          <w:color w:val="auto"/>
          <w:kern w:val="0"/>
          <w:szCs w:val="21"/>
          <w:highlight w:val="none"/>
        </w:rPr>
        <w:t>履约</w:t>
      </w:r>
      <w:r>
        <w:rPr>
          <w:rFonts w:hint="eastAsia" w:ascii="宋体" w:hAnsi="宋体" w:eastAsia="宋体" w:cs="Times New Roman"/>
          <w:color w:val="auto"/>
          <w:kern w:val="0"/>
          <w:szCs w:val="21"/>
          <w:highlight w:val="none"/>
        </w:rPr>
        <w:t>担保</w:t>
      </w:r>
      <w:r>
        <w:rPr>
          <w:rFonts w:ascii="宋体" w:hAnsi="宋体" w:eastAsia="宋体" w:cs="Times New Roman"/>
          <w:color w:val="auto"/>
          <w:kern w:val="0"/>
          <w:szCs w:val="21"/>
          <w:highlight w:val="none"/>
        </w:rPr>
        <w:t>，作为</w:t>
      </w:r>
      <w:r>
        <w:rPr>
          <w:rFonts w:hint="eastAsia" w:ascii="宋体" w:hAnsi="宋体" w:eastAsia="宋体" w:cs="Times New Roman"/>
          <w:color w:val="auto"/>
          <w:kern w:val="0"/>
          <w:szCs w:val="21"/>
          <w:highlight w:val="none"/>
        </w:rPr>
        <w:t>申请人</w:t>
      </w:r>
      <w:r>
        <w:rPr>
          <w:rFonts w:ascii="宋体" w:hAnsi="宋体" w:eastAsia="宋体" w:cs="Times New Roman"/>
          <w:color w:val="auto"/>
          <w:kern w:val="0"/>
          <w:szCs w:val="21"/>
          <w:highlight w:val="none"/>
        </w:rPr>
        <w:t>履行上述合同的担保</w:t>
      </w:r>
      <w:r>
        <w:rPr>
          <w:rFonts w:ascii="宋体" w:hAnsi="宋体" w:eastAsia="宋体" w:cs="宋体"/>
          <w:color w:val="auto"/>
          <w:kern w:val="0"/>
          <w:szCs w:val="21"/>
          <w:highlight w:val="none"/>
        </w:rPr>
        <w:t>，</w:t>
      </w:r>
      <w:r>
        <w:rPr>
          <w:rFonts w:hint="eastAsia" w:ascii="宋体" w:hAnsi="宋体" w:eastAsia="宋体" w:cs="宋体"/>
          <w:color w:val="auto"/>
          <w:kern w:val="0"/>
          <w:szCs w:val="21"/>
          <w:highlight w:val="none"/>
          <w:lang w:eastAsia="zh-Hans"/>
        </w:rPr>
        <w:t>我方</w:t>
      </w:r>
      <w:r>
        <w:rPr>
          <w:rFonts w:ascii="宋体" w:hAnsi="宋体" w:eastAsia="宋体" w:cs="宋体"/>
          <w:color w:val="auto"/>
          <w:kern w:val="0"/>
          <w:szCs w:val="21"/>
          <w:highlight w:val="none"/>
          <w:u w:val="single"/>
        </w:rPr>
        <w:t xml:space="preserve">  </w:t>
      </w:r>
      <w:r>
        <w:rPr>
          <w:rFonts w:ascii="宋体" w:hAnsi="宋体" w:eastAsia="宋体" w:cs="Times New Roman"/>
          <w:color w:val="auto"/>
          <w:kern w:val="0"/>
          <w:szCs w:val="21"/>
          <w:highlight w:val="none"/>
          <w:u w:val="single"/>
        </w:rPr>
        <w:t>（</w:t>
      </w:r>
      <w:r>
        <w:rPr>
          <w:rFonts w:hint="eastAsia" w:ascii="宋体" w:hAnsi="宋体" w:eastAsia="宋体" w:cs="Times New Roman"/>
          <w:color w:val="auto"/>
          <w:kern w:val="0"/>
          <w:szCs w:val="21"/>
          <w:highlight w:val="none"/>
          <w:u w:val="single"/>
        </w:rPr>
        <w:t>担保公司</w:t>
      </w:r>
      <w:r>
        <w:rPr>
          <w:rFonts w:ascii="宋体" w:hAnsi="宋体" w:eastAsia="宋体" w:cs="Times New Roman"/>
          <w:color w:val="auto"/>
          <w:kern w:val="0"/>
          <w:szCs w:val="21"/>
          <w:highlight w:val="none"/>
          <w:u w:val="single"/>
        </w:rPr>
        <w:t>名称）</w:t>
      </w:r>
      <w:r>
        <w:rPr>
          <w:rFonts w:hint="eastAsia" w:ascii="宋体" w:hAnsi="宋体" w:eastAsia="宋体" w:cs="Times New Roman"/>
          <w:color w:val="auto"/>
          <w:kern w:val="0"/>
          <w:szCs w:val="21"/>
          <w:highlight w:val="none"/>
          <w:u w:val="single"/>
        </w:rPr>
        <w:t xml:space="preserve">  </w:t>
      </w:r>
      <w:r>
        <w:rPr>
          <w:rFonts w:hint="eastAsia" w:ascii="宋体" w:hAnsi="宋体" w:eastAsia="宋体" w:cs="宋体"/>
          <w:color w:val="auto"/>
          <w:kern w:val="0"/>
          <w:szCs w:val="21"/>
          <w:highlight w:val="none"/>
        </w:rPr>
        <w:t>在</w:t>
      </w:r>
      <w:r>
        <w:rPr>
          <w:rFonts w:hint="eastAsia" w:ascii="宋体" w:hAnsi="宋体" w:eastAsia="宋体" w:cs="宋体"/>
          <w:color w:val="auto"/>
          <w:kern w:val="0"/>
          <w:szCs w:val="21"/>
          <w:highlight w:val="none"/>
          <w:lang w:eastAsia="zh-Hans"/>
        </w:rPr>
        <w:t>本合同项下的保证责任为连带责任保证</w:t>
      </w:r>
      <w:r>
        <w:rPr>
          <w:rFonts w:hint="eastAsia" w:ascii="宋体" w:hAnsi="宋体" w:eastAsia="宋体" w:cs="宋体"/>
          <w:color w:val="auto"/>
          <w:kern w:val="0"/>
          <w:szCs w:val="21"/>
          <w:highlight w:val="none"/>
        </w:rPr>
        <w:t>。</w:t>
      </w:r>
    </w:p>
    <w:p w14:paraId="45973926">
      <w:pPr>
        <w:autoSpaceDE w:val="0"/>
        <w:autoSpaceDN w:val="0"/>
        <w:adjustRightInd w:val="0"/>
        <w:spacing w:line="360" w:lineRule="auto"/>
        <w:ind w:firstLine="437"/>
        <w:jc w:val="left"/>
        <w:rPr>
          <w:rFonts w:ascii="宋体" w:hAnsi="宋体" w:eastAsia="宋体" w:cs="宋体"/>
          <w:color w:val="auto"/>
          <w:kern w:val="0"/>
          <w:szCs w:val="21"/>
          <w:highlight w:val="none"/>
        </w:rPr>
      </w:pPr>
      <w:r>
        <w:rPr>
          <w:rFonts w:ascii="宋体" w:hAnsi="宋体" w:eastAsia="宋体" w:cs="Times New Roman"/>
          <w:color w:val="auto"/>
          <w:kern w:val="0"/>
          <w:szCs w:val="21"/>
          <w:highlight w:val="none"/>
        </w:rPr>
        <w:t>我方</w:t>
      </w:r>
      <w:r>
        <w:rPr>
          <w:rFonts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1"/>
          <w:highlight w:val="none"/>
          <w:u w:val="single"/>
        </w:rPr>
        <w:t>担保公司</w:t>
      </w:r>
      <w:r>
        <w:rPr>
          <w:rFonts w:ascii="宋体" w:hAnsi="宋体" w:eastAsia="宋体" w:cs="Times New Roman"/>
          <w:color w:val="auto"/>
          <w:kern w:val="0"/>
          <w:szCs w:val="21"/>
          <w:highlight w:val="none"/>
          <w:u w:val="single"/>
        </w:rPr>
        <w:t xml:space="preserve">名称）  </w:t>
      </w:r>
      <w:r>
        <w:rPr>
          <w:rFonts w:ascii="宋体" w:hAnsi="宋体" w:eastAsia="宋体" w:cs="Times New Roman"/>
          <w:color w:val="auto"/>
          <w:kern w:val="0"/>
          <w:szCs w:val="21"/>
          <w:highlight w:val="none"/>
        </w:rPr>
        <w:t>，受</w:t>
      </w:r>
      <w:r>
        <w:rPr>
          <w:rFonts w:hint="eastAsia" w:ascii="宋体" w:hAnsi="宋体" w:eastAsia="宋体" w:cs="Times New Roman"/>
          <w:color w:val="auto"/>
          <w:kern w:val="0"/>
          <w:szCs w:val="21"/>
          <w:highlight w:val="none"/>
        </w:rPr>
        <w:t>申请人</w:t>
      </w:r>
      <w:r>
        <w:rPr>
          <w:rFonts w:ascii="宋体" w:hAnsi="宋体" w:eastAsia="宋体" w:cs="Times New Roman"/>
          <w:color w:val="auto"/>
          <w:kern w:val="0"/>
          <w:szCs w:val="21"/>
          <w:highlight w:val="none"/>
        </w:rPr>
        <w:t>的委托，</w:t>
      </w:r>
      <w:r>
        <w:rPr>
          <w:rFonts w:hint="eastAsia" w:ascii="宋体" w:hAnsi="宋体" w:eastAsia="宋体" w:cs="宋体"/>
          <w:color w:val="auto"/>
          <w:kern w:val="0"/>
          <w:szCs w:val="21"/>
          <w:highlight w:val="none"/>
        </w:rPr>
        <w:t>无条件和不可撤销地在受益人出具本担保书原件且提出因申请人没有履行上述合同规定，在担保书限额内向受益人支付不超过人民币（大写）_________（¥</w:t>
      </w:r>
      <w:r>
        <w:rPr>
          <w:rFonts w:ascii="宋体" w:hAnsi="宋体" w:eastAsia="宋体" w:cs="宋体"/>
          <w:color w:val="auto"/>
          <w:kern w:val="0"/>
          <w:szCs w:val="21"/>
          <w:highlight w:val="none"/>
        </w:rPr>
        <w:t>_______元）</w:t>
      </w:r>
      <w:r>
        <w:rPr>
          <w:rFonts w:hint="eastAsia" w:ascii="宋体" w:hAnsi="宋体" w:eastAsia="宋体" w:cs="宋体"/>
          <w:color w:val="auto"/>
          <w:kern w:val="0"/>
          <w:szCs w:val="21"/>
          <w:highlight w:val="none"/>
        </w:rPr>
        <w:t>的款项。</w:t>
      </w:r>
    </w:p>
    <w:p w14:paraId="2D3B002B">
      <w:pPr>
        <w:autoSpaceDE w:val="0"/>
        <w:autoSpaceDN w:val="0"/>
        <w:adjustRightInd w:val="0"/>
        <w:spacing w:line="360" w:lineRule="auto"/>
        <w:ind w:firstLine="437"/>
        <w:jc w:val="left"/>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我方还同意，任何受益人与</w:t>
      </w:r>
      <w:r>
        <w:rPr>
          <w:rFonts w:hint="eastAsia" w:ascii="宋体" w:hAnsi="宋体" w:eastAsia="宋体" w:cs="Times New Roman"/>
          <w:color w:val="auto"/>
          <w:kern w:val="0"/>
          <w:szCs w:val="21"/>
          <w:highlight w:val="none"/>
        </w:rPr>
        <w:t>申请人</w:t>
      </w:r>
      <w:r>
        <w:rPr>
          <w:rFonts w:ascii="宋体" w:hAnsi="宋体" w:eastAsia="宋体" w:cs="Times New Roman"/>
          <w:color w:val="auto"/>
          <w:kern w:val="0"/>
          <w:szCs w:val="21"/>
          <w:highlight w:val="none"/>
        </w:rPr>
        <w:t>之间可能对合同条款的修改、规范或其他合同文件的变动补充，都不能免除我方按本</w:t>
      </w:r>
      <w:r>
        <w:rPr>
          <w:rFonts w:hint="eastAsia" w:ascii="宋体" w:hAnsi="宋体" w:eastAsia="宋体" w:cs="Times New Roman"/>
          <w:color w:val="auto"/>
          <w:kern w:val="0"/>
          <w:szCs w:val="21"/>
          <w:highlight w:val="none"/>
        </w:rPr>
        <w:t>担保</w:t>
      </w:r>
      <w:r>
        <w:rPr>
          <w:rFonts w:ascii="宋体" w:hAnsi="宋体" w:eastAsia="宋体" w:cs="Times New Roman"/>
          <w:color w:val="auto"/>
          <w:kern w:val="0"/>
          <w:szCs w:val="21"/>
          <w:highlight w:val="none"/>
        </w:rPr>
        <w:t>函所承担的责任。因此，有关上述变动、补充和修改无须通知</w:t>
      </w:r>
      <w:r>
        <w:rPr>
          <w:rFonts w:hint="eastAsia" w:ascii="宋体" w:hAnsi="宋体" w:eastAsia="宋体" w:cs="Times New Roman"/>
          <w:color w:val="auto"/>
          <w:kern w:val="0"/>
          <w:szCs w:val="21"/>
          <w:highlight w:val="none"/>
        </w:rPr>
        <w:t>或征得</w:t>
      </w:r>
      <w:r>
        <w:rPr>
          <w:rFonts w:ascii="宋体" w:hAnsi="宋体" w:eastAsia="宋体" w:cs="Times New Roman"/>
          <w:color w:val="auto"/>
          <w:kern w:val="0"/>
          <w:szCs w:val="21"/>
          <w:highlight w:val="none"/>
        </w:rPr>
        <w:t>我方</w:t>
      </w:r>
      <w:r>
        <w:rPr>
          <w:rFonts w:hint="eastAsia" w:ascii="宋体" w:hAnsi="宋体" w:eastAsia="宋体" w:cs="Times New Roman"/>
          <w:color w:val="auto"/>
          <w:kern w:val="0"/>
          <w:szCs w:val="21"/>
          <w:highlight w:val="none"/>
        </w:rPr>
        <w:t>同意</w:t>
      </w:r>
      <w:r>
        <w:rPr>
          <w:rFonts w:ascii="宋体" w:hAnsi="宋体" w:eastAsia="宋体" w:cs="Times New Roman"/>
          <w:color w:val="auto"/>
          <w:kern w:val="0"/>
          <w:szCs w:val="21"/>
          <w:highlight w:val="none"/>
        </w:rPr>
        <w:t>。</w:t>
      </w:r>
    </w:p>
    <w:p w14:paraId="3C0DCD39">
      <w:pPr>
        <w:autoSpaceDE w:val="0"/>
        <w:autoSpaceDN w:val="0"/>
        <w:adjustRightInd w:val="0"/>
        <w:spacing w:line="360" w:lineRule="auto"/>
        <w:ind w:firstLine="437"/>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本保函应从合同签订之日起至合同期限届满并全部货物经最终验收合格，受益人向申请人支付全部款项（除质保金）后二十八（28）日内保持有效</w:t>
      </w:r>
      <w:r>
        <w:rPr>
          <w:rFonts w:hint="eastAsia" w:ascii="宋体" w:hAnsi="宋体" w:eastAsia="宋体" w:cs="宋体"/>
          <w:color w:val="auto"/>
          <w:kern w:val="0"/>
          <w:szCs w:val="21"/>
          <w:highlight w:val="none"/>
        </w:rPr>
        <w:t>。</w:t>
      </w:r>
    </w:p>
    <w:p w14:paraId="0ACFBF62">
      <w:pPr>
        <w:autoSpaceDE w:val="0"/>
        <w:autoSpaceDN w:val="0"/>
        <w:adjustRightInd w:val="0"/>
        <w:spacing w:line="360" w:lineRule="auto"/>
        <w:jc w:val="left"/>
        <w:rPr>
          <w:rFonts w:ascii="宋体" w:hAnsi="宋体" w:eastAsia="宋体" w:cs="Times New Roman"/>
          <w:color w:val="auto"/>
          <w:kern w:val="0"/>
          <w:szCs w:val="21"/>
          <w:highlight w:val="none"/>
        </w:rPr>
      </w:pPr>
    </w:p>
    <w:p w14:paraId="6A0FD612">
      <w:pPr>
        <w:autoSpaceDE w:val="0"/>
        <w:autoSpaceDN w:val="0"/>
        <w:adjustRightInd w:val="0"/>
        <w:spacing w:line="360" w:lineRule="auto"/>
        <w:ind w:firstLine="3990" w:firstLineChars="19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法定代表人或其授权的代理人：（签字或盖私章）</w:t>
      </w:r>
    </w:p>
    <w:p w14:paraId="2F3EA1B6">
      <w:pPr>
        <w:autoSpaceDE w:val="0"/>
        <w:autoSpaceDN w:val="0"/>
        <w:adjustRightInd w:val="0"/>
        <w:spacing w:line="360" w:lineRule="auto"/>
        <w:ind w:firstLine="3990" w:firstLineChars="19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担保公司盖章：</w:t>
      </w:r>
    </w:p>
    <w:p w14:paraId="75BA17A8">
      <w:pPr>
        <w:autoSpaceDE w:val="0"/>
        <w:autoSpaceDN w:val="0"/>
        <w:adjustRightInd w:val="0"/>
        <w:spacing w:line="360" w:lineRule="auto"/>
        <w:ind w:firstLine="3990" w:firstLineChars="19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联系电话：</w:t>
      </w:r>
    </w:p>
    <w:p w14:paraId="524102D4">
      <w:pPr>
        <w:autoSpaceDE w:val="0"/>
        <w:autoSpaceDN w:val="0"/>
        <w:adjustRightInd w:val="0"/>
        <w:spacing w:line="360" w:lineRule="auto"/>
        <w:ind w:firstLine="3990" w:firstLineChars="19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地址：</w:t>
      </w:r>
    </w:p>
    <w:p w14:paraId="4059D7B8">
      <w:pPr>
        <w:autoSpaceDE w:val="0"/>
        <w:autoSpaceDN w:val="0"/>
        <w:adjustRightInd w:val="0"/>
        <w:spacing w:line="360" w:lineRule="auto"/>
        <w:ind w:firstLine="3990" w:firstLineChars="19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日期：    年   月   日</w:t>
      </w:r>
    </w:p>
    <w:p w14:paraId="152F5626">
      <w:pPr>
        <w:autoSpaceDE w:val="0"/>
        <w:autoSpaceDN w:val="0"/>
        <w:adjustRightInd w:val="0"/>
        <w:spacing w:line="360" w:lineRule="auto"/>
        <w:ind w:right="368" w:rightChars="175"/>
        <w:jc w:val="left"/>
        <w:rPr>
          <w:rFonts w:ascii="宋体" w:hAnsi="宋体" w:eastAsia="宋体" w:cs="Times New Roman"/>
          <w:color w:val="auto"/>
          <w:kern w:val="0"/>
          <w:szCs w:val="21"/>
          <w:highlight w:val="none"/>
        </w:rPr>
      </w:pPr>
    </w:p>
    <w:p w14:paraId="73847672">
      <w:pPr>
        <w:autoSpaceDE w:val="0"/>
        <w:autoSpaceDN w:val="0"/>
        <w:adjustRightInd w:val="0"/>
        <w:spacing w:line="360" w:lineRule="auto"/>
        <w:jc w:val="left"/>
        <w:rPr>
          <w:rFonts w:ascii="宋体" w:hAnsi="宋体" w:eastAsia="宋体" w:cs="Times New Roman"/>
          <w:color w:val="auto"/>
          <w:kern w:val="0"/>
          <w:szCs w:val="21"/>
          <w:highlight w:val="none"/>
        </w:rPr>
      </w:pPr>
    </w:p>
    <w:p w14:paraId="365ED515">
      <w:pPr>
        <w:autoSpaceDE w:val="0"/>
        <w:autoSpaceDN w:val="0"/>
        <w:adjustRightInd w:val="0"/>
        <w:spacing w:line="360" w:lineRule="auto"/>
        <w:ind w:firstLine="5775" w:firstLineChars="2750"/>
        <w:jc w:val="left"/>
        <w:rPr>
          <w:rFonts w:ascii="宋体" w:hAnsi="宋体" w:eastAsia="宋体" w:cs="Times New Roman"/>
          <w:color w:val="auto"/>
          <w:kern w:val="0"/>
          <w:szCs w:val="21"/>
          <w:highlight w:val="none"/>
        </w:rPr>
      </w:pPr>
    </w:p>
    <w:p w14:paraId="48BF3977">
      <w:pPr>
        <w:autoSpaceDE w:val="0"/>
        <w:autoSpaceDN w:val="0"/>
        <w:adjustRightInd w:val="0"/>
        <w:spacing w:line="360" w:lineRule="auto"/>
        <w:ind w:firstLine="5775" w:firstLineChars="2750"/>
        <w:jc w:val="left"/>
        <w:rPr>
          <w:rFonts w:ascii="宋体" w:hAnsi="宋体" w:eastAsia="宋体" w:cs="Times New Roman"/>
          <w:color w:val="auto"/>
          <w:kern w:val="0"/>
          <w:szCs w:val="21"/>
          <w:highlight w:val="none"/>
        </w:rPr>
      </w:pPr>
    </w:p>
    <w:p w14:paraId="5233525D">
      <w:pPr>
        <w:jc w:val="left"/>
        <w:rPr>
          <w:rFonts w:ascii="宋体" w:hAnsi="宋体" w:eastAsia="宋体"/>
          <w:b/>
          <w:color w:val="auto"/>
          <w:kern w:val="0"/>
          <w:sz w:val="28"/>
          <w:szCs w:val="28"/>
          <w:highlight w:val="none"/>
        </w:rPr>
      </w:pPr>
      <w:bookmarkStart w:id="710" w:name="_Toc89552416"/>
      <w:bookmarkStart w:id="711" w:name="_Toc9085"/>
      <w:r>
        <w:rPr>
          <w:rFonts w:ascii="宋体" w:hAnsi="宋体" w:eastAsia="宋体"/>
          <w:b/>
          <w:color w:val="auto"/>
          <w:kern w:val="0"/>
          <w:sz w:val="28"/>
          <w:szCs w:val="28"/>
          <w:highlight w:val="none"/>
        </w:rPr>
        <w:br w:type="page"/>
      </w:r>
    </w:p>
    <w:bookmarkEnd w:id="710"/>
    <w:bookmarkEnd w:id="711"/>
    <w:p w14:paraId="35C688F8">
      <w:pPr>
        <w:pageBreakBefore/>
        <w:tabs>
          <w:tab w:val="left" w:pos="1080"/>
        </w:tabs>
        <w:autoSpaceDE w:val="0"/>
        <w:autoSpaceDN w:val="0"/>
        <w:adjustRightInd w:val="0"/>
        <w:spacing w:line="360" w:lineRule="auto"/>
        <w:ind w:left="357" w:leftChars="-100" w:hanging="567"/>
        <w:jc w:val="center"/>
        <w:outlineLvl w:val="0"/>
        <w:rPr>
          <w:rFonts w:ascii="宋体" w:hAnsi="宋体" w:eastAsia="宋体" w:cs="宋体"/>
          <w:b/>
          <w:bCs/>
          <w:color w:val="auto"/>
          <w:kern w:val="44"/>
          <w:sz w:val="32"/>
          <w:szCs w:val="32"/>
          <w:highlight w:val="none"/>
        </w:rPr>
      </w:pPr>
      <w:bookmarkStart w:id="712" w:name="_Toc450662895"/>
      <w:bookmarkStart w:id="713" w:name="_Toc142508361"/>
      <w:bookmarkStart w:id="714" w:name="_Toc9056"/>
      <w:bookmarkStart w:id="715" w:name="_Toc195714372"/>
      <w:bookmarkStart w:id="716" w:name="_Toc486167708"/>
      <w:bookmarkStart w:id="717" w:name="_Toc9840"/>
      <w:bookmarkStart w:id="718" w:name="_Toc32761_WPSOffice_Level1"/>
      <w:bookmarkStart w:id="719" w:name="_Toc15817"/>
      <w:r>
        <w:rPr>
          <w:rFonts w:hint="eastAsia" w:ascii="宋体" w:hAnsi="宋体" w:eastAsia="宋体" w:cs="宋体"/>
          <w:b/>
          <w:bCs/>
          <w:color w:val="auto"/>
          <w:kern w:val="44"/>
          <w:sz w:val="32"/>
          <w:szCs w:val="32"/>
          <w:highlight w:val="none"/>
          <w:lang w:val="zh-CN"/>
        </w:rPr>
        <w:t>第六篇 投标文件格式</w:t>
      </w:r>
      <w:bookmarkEnd w:id="712"/>
      <w:bookmarkEnd w:id="713"/>
      <w:bookmarkEnd w:id="714"/>
      <w:bookmarkEnd w:id="715"/>
      <w:bookmarkEnd w:id="716"/>
      <w:bookmarkEnd w:id="717"/>
      <w:bookmarkEnd w:id="718"/>
      <w:bookmarkEnd w:id="719"/>
    </w:p>
    <w:p w14:paraId="2EE93482">
      <w:pPr>
        <w:jc w:val="center"/>
        <w:outlineLvl w:val="1"/>
        <w:rPr>
          <w:rFonts w:ascii="宋体" w:hAnsi="宋体" w:eastAsia="宋体" w:cs="宋体"/>
          <w:b/>
          <w:color w:val="auto"/>
          <w:kern w:val="0"/>
          <w:sz w:val="32"/>
          <w:szCs w:val="32"/>
          <w:highlight w:val="none"/>
        </w:rPr>
      </w:pPr>
      <w:bookmarkStart w:id="720" w:name="_Toc195714373"/>
      <w:bookmarkStart w:id="721" w:name="_Toc31978"/>
      <w:bookmarkStart w:id="722" w:name="_Toc104991868"/>
      <w:bookmarkStart w:id="723" w:name="_Toc486167709"/>
      <w:bookmarkStart w:id="724" w:name="_Toc533708121"/>
      <w:bookmarkStart w:id="725" w:name="_Toc21133_WPSOffice_Level2"/>
      <w:bookmarkStart w:id="726" w:name="_Toc142508362"/>
      <w:bookmarkStart w:id="727" w:name="_Toc102860411"/>
      <w:bookmarkStart w:id="728" w:name="_Toc1977721"/>
      <w:bookmarkStart w:id="729" w:name="_Toc102860067"/>
      <w:bookmarkStart w:id="730" w:name="_Toc94107202"/>
      <w:bookmarkStart w:id="731" w:name="_Toc140596921"/>
      <w:r>
        <w:rPr>
          <w:rFonts w:hint="eastAsia" w:ascii="宋体" w:hAnsi="宋体" w:eastAsia="宋体" w:cs="宋体"/>
          <w:b/>
          <w:color w:val="auto"/>
          <w:kern w:val="0"/>
          <w:sz w:val="32"/>
          <w:szCs w:val="32"/>
          <w:highlight w:val="none"/>
        </w:rPr>
        <w:t>一  商务标格式</w:t>
      </w:r>
      <w:bookmarkEnd w:id="720"/>
      <w:bookmarkEnd w:id="721"/>
    </w:p>
    <w:p w14:paraId="17A77AB9">
      <w:pPr>
        <w:rPr>
          <w:rFonts w:ascii="宋体" w:hAnsi="宋体" w:eastAsia="宋体" w:cs="宋体"/>
          <w:color w:val="auto"/>
          <w:sz w:val="84"/>
          <w:highlight w:val="none"/>
        </w:rPr>
      </w:pPr>
      <w:r>
        <w:rPr>
          <w:rFonts w:hint="eastAsia" w:ascii="宋体" w:hAnsi="宋体" w:eastAsia="宋体" w:cs="宋体"/>
          <w:b/>
          <w:color w:val="auto"/>
          <w:kern w:val="0"/>
          <w:sz w:val="32"/>
          <w:szCs w:val="32"/>
          <w:highlight w:val="none"/>
        </w:rPr>
        <w:br w:type="page"/>
      </w:r>
    </w:p>
    <w:p w14:paraId="1D514003">
      <w:pPr>
        <w:pStyle w:val="20"/>
        <w:spacing w:line="360" w:lineRule="auto"/>
        <w:jc w:val="center"/>
        <w:rPr>
          <w:rFonts w:ascii="宋体" w:hAnsi="宋体" w:cs="宋体"/>
          <w:color w:val="auto"/>
          <w:sz w:val="84"/>
          <w:highlight w:val="none"/>
        </w:rPr>
      </w:pPr>
    </w:p>
    <w:p w14:paraId="63A9F1C5">
      <w:pPr>
        <w:pStyle w:val="20"/>
        <w:spacing w:line="360" w:lineRule="auto"/>
        <w:jc w:val="center"/>
        <w:rPr>
          <w:rFonts w:ascii="宋体" w:hAnsi="宋体" w:cs="宋体"/>
          <w:color w:val="auto"/>
          <w:sz w:val="84"/>
          <w:highlight w:val="none"/>
        </w:rPr>
      </w:pPr>
    </w:p>
    <w:p w14:paraId="78A1AF9E">
      <w:pPr>
        <w:pStyle w:val="20"/>
        <w:spacing w:line="360" w:lineRule="auto"/>
        <w:jc w:val="center"/>
        <w:rPr>
          <w:rFonts w:ascii="宋体" w:hAnsi="宋体" w:cs="宋体"/>
          <w:color w:val="auto"/>
          <w:sz w:val="84"/>
          <w:highlight w:val="none"/>
        </w:rPr>
      </w:pPr>
      <w:r>
        <w:rPr>
          <w:rFonts w:hint="eastAsia" w:ascii="宋体" w:hAnsi="宋体" w:cs="宋体"/>
          <w:color w:val="auto"/>
          <w:sz w:val="84"/>
          <w:highlight w:val="none"/>
        </w:rPr>
        <w:t>投 标 文 件</w:t>
      </w:r>
    </w:p>
    <w:p w14:paraId="5AC96F87">
      <w:pPr>
        <w:pStyle w:val="20"/>
        <w:spacing w:line="360" w:lineRule="auto"/>
        <w:rPr>
          <w:rFonts w:ascii="宋体" w:hAnsi="宋体" w:cs="宋体"/>
          <w:color w:val="auto"/>
          <w:highlight w:val="none"/>
        </w:rPr>
      </w:pPr>
    </w:p>
    <w:p w14:paraId="0F56A711">
      <w:pPr>
        <w:pStyle w:val="20"/>
        <w:spacing w:line="360" w:lineRule="auto"/>
        <w:rPr>
          <w:rFonts w:ascii="宋体" w:hAnsi="宋体" w:cs="宋体"/>
          <w:color w:val="auto"/>
          <w:highlight w:val="none"/>
        </w:rPr>
      </w:pPr>
    </w:p>
    <w:p w14:paraId="1C529DA3">
      <w:pPr>
        <w:pStyle w:val="20"/>
        <w:spacing w:line="360" w:lineRule="auto"/>
        <w:rPr>
          <w:rFonts w:ascii="宋体" w:hAnsi="宋体" w:cs="宋体"/>
          <w:color w:val="auto"/>
          <w:highlight w:val="none"/>
        </w:rPr>
      </w:pPr>
    </w:p>
    <w:p w14:paraId="2DB7CE67">
      <w:pPr>
        <w:pStyle w:val="20"/>
        <w:spacing w:line="360" w:lineRule="auto"/>
        <w:rPr>
          <w:rFonts w:ascii="宋体" w:hAnsi="宋体" w:cs="宋体"/>
          <w:color w:val="auto"/>
          <w:highlight w:val="none"/>
        </w:rPr>
      </w:pPr>
    </w:p>
    <w:p w14:paraId="7590885A">
      <w:pPr>
        <w:pStyle w:val="20"/>
        <w:spacing w:line="360" w:lineRule="auto"/>
        <w:rPr>
          <w:rFonts w:ascii="宋体" w:hAnsi="宋体" w:cs="宋体"/>
          <w:color w:val="auto"/>
          <w:highlight w:val="none"/>
        </w:rPr>
      </w:pPr>
    </w:p>
    <w:p w14:paraId="54AD9EDD">
      <w:pPr>
        <w:pStyle w:val="20"/>
        <w:spacing w:line="360" w:lineRule="auto"/>
        <w:rPr>
          <w:rFonts w:ascii="宋体" w:hAnsi="宋体" w:cs="宋体"/>
          <w:color w:val="auto"/>
          <w:highlight w:val="none"/>
        </w:rPr>
      </w:pPr>
    </w:p>
    <w:p w14:paraId="03B87A83">
      <w:pPr>
        <w:pStyle w:val="20"/>
        <w:spacing w:line="360" w:lineRule="auto"/>
        <w:ind w:firstLine="1875" w:firstLineChars="625"/>
        <w:rPr>
          <w:rFonts w:ascii="宋体" w:hAnsi="宋体" w:cs="宋体"/>
          <w:color w:val="auto"/>
          <w:sz w:val="30"/>
          <w:highlight w:val="none"/>
        </w:rPr>
      </w:pPr>
      <w:r>
        <w:rPr>
          <w:rFonts w:hint="eastAsia" w:ascii="宋体" w:hAnsi="宋体" w:cs="宋体"/>
          <w:color w:val="auto"/>
          <w:sz w:val="30"/>
          <w:highlight w:val="none"/>
        </w:rPr>
        <w:t>招标编号：</w:t>
      </w:r>
      <w:r>
        <w:rPr>
          <w:rFonts w:hint="eastAsia" w:ascii="宋体" w:hAnsi="宋体" w:cs="宋体"/>
          <w:color w:val="auto"/>
          <w:sz w:val="30"/>
          <w:highlight w:val="none"/>
          <w:u w:val="single"/>
        </w:rPr>
        <w:t xml:space="preserve">                      </w:t>
      </w:r>
    </w:p>
    <w:p w14:paraId="751FB803">
      <w:pPr>
        <w:pStyle w:val="20"/>
        <w:spacing w:line="360" w:lineRule="auto"/>
        <w:ind w:firstLine="1875" w:firstLineChars="625"/>
        <w:rPr>
          <w:rFonts w:ascii="宋体" w:hAnsi="宋体" w:cs="宋体"/>
          <w:color w:val="auto"/>
          <w:sz w:val="30"/>
          <w:highlight w:val="none"/>
          <w:u w:val="single"/>
        </w:rPr>
      </w:pPr>
      <w:r>
        <w:rPr>
          <w:rFonts w:hint="eastAsia" w:ascii="宋体" w:hAnsi="宋体" w:cs="宋体"/>
          <w:color w:val="auto"/>
          <w:sz w:val="30"/>
          <w:highlight w:val="none"/>
        </w:rPr>
        <w:t>项目名称：</w:t>
      </w:r>
      <w:r>
        <w:rPr>
          <w:rFonts w:hint="eastAsia" w:ascii="宋体" w:hAnsi="宋体" w:cs="宋体"/>
          <w:color w:val="auto"/>
          <w:sz w:val="30"/>
          <w:highlight w:val="none"/>
          <w:u w:val="single"/>
        </w:rPr>
        <w:t xml:space="preserve">                      </w:t>
      </w:r>
    </w:p>
    <w:p w14:paraId="405416C6">
      <w:pPr>
        <w:pStyle w:val="20"/>
        <w:spacing w:line="360" w:lineRule="auto"/>
        <w:ind w:firstLine="1875" w:firstLineChars="625"/>
        <w:rPr>
          <w:rFonts w:ascii="宋体" w:hAnsi="宋体" w:cs="宋体"/>
          <w:color w:val="auto"/>
          <w:sz w:val="30"/>
          <w:highlight w:val="none"/>
          <w:u w:val="single"/>
        </w:rPr>
      </w:pPr>
      <w:r>
        <w:rPr>
          <w:rFonts w:hint="eastAsia" w:ascii="宋体" w:hAnsi="宋体" w:cs="宋体"/>
          <w:color w:val="auto"/>
          <w:sz w:val="30"/>
          <w:highlight w:val="none"/>
        </w:rPr>
        <w:t>投标文件内容：</w:t>
      </w:r>
      <w:r>
        <w:rPr>
          <w:rFonts w:hint="eastAsia" w:ascii="宋体" w:hAnsi="宋体" w:cs="宋体"/>
          <w:color w:val="auto"/>
          <w:sz w:val="30"/>
          <w:highlight w:val="none"/>
          <w:u w:val="single"/>
        </w:rPr>
        <w:t xml:space="preserve"> 投标文件商务标 </w:t>
      </w:r>
    </w:p>
    <w:p w14:paraId="1D83FB94">
      <w:pPr>
        <w:pStyle w:val="20"/>
        <w:spacing w:line="360" w:lineRule="auto"/>
        <w:ind w:firstLine="1875" w:firstLineChars="625"/>
        <w:rPr>
          <w:rFonts w:ascii="宋体" w:hAnsi="宋体" w:cs="宋体"/>
          <w:color w:val="auto"/>
          <w:sz w:val="30"/>
          <w:highlight w:val="none"/>
        </w:rPr>
      </w:pPr>
      <w:r>
        <w:rPr>
          <w:rFonts w:hint="eastAsia" w:ascii="宋体" w:hAnsi="宋体" w:cs="宋体"/>
          <w:color w:val="auto"/>
          <w:sz w:val="30"/>
          <w:highlight w:val="none"/>
        </w:rPr>
        <w:t>招标人：</w:t>
      </w:r>
      <w:r>
        <w:rPr>
          <w:rFonts w:hint="eastAsia" w:ascii="宋体" w:hAnsi="宋体" w:cs="宋体"/>
          <w:color w:val="auto"/>
          <w:sz w:val="30"/>
          <w:highlight w:val="none"/>
          <w:u w:val="single"/>
        </w:rPr>
        <w:t xml:space="preserve">                        </w:t>
      </w:r>
    </w:p>
    <w:p w14:paraId="10938850">
      <w:pPr>
        <w:pStyle w:val="20"/>
        <w:spacing w:line="360" w:lineRule="auto"/>
        <w:ind w:firstLine="1875" w:firstLineChars="625"/>
        <w:rPr>
          <w:rFonts w:ascii="宋体" w:hAnsi="宋体" w:cs="宋体"/>
          <w:color w:val="auto"/>
          <w:sz w:val="30"/>
          <w:highlight w:val="none"/>
          <w:u w:val="single"/>
        </w:rPr>
      </w:pPr>
      <w:r>
        <w:rPr>
          <w:rFonts w:hint="eastAsia" w:ascii="宋体" w:hAnsi="宋体" w:cs="宋体"/>
          <w:color w:val="auto"/>
          <w:sz w:val="30"/>
          <w:highlight w:val="none"/>
        </w:rPr>
        <w:t>投标人：</w:t>
      </w:r>
      <w:r>
        <w:rPr>
          <w:rFonts w:hint="eastAsia" w:ascii="宋体" w:hAnsi="宋体" w:cs="宋体"/>
          <w:color w:val="auto"/>
          <w:sz w:val="30"/>
          <w:highlight w:val="none"/>
          <w:u w:val="single"/>
        </w:rPr>
        <w:t xml:space="preserve">    （企业数字证书电子签名）   </w:t>
      </w:r>
    </w:p>
    <w:p w14:paraId="4C24FB8E">
      <w:pPr>
        <w:pStyle w:val="20"/>
        <w:spacing w:line="360" w:lineRule="auto"/>
        <w:ind w:firstLine="1875" w:firstLineChars="625"/>
        <w:rPr>
          <w:rFonts w:ascii="宋体" w:hAnsi="宋体" w:cs="宋体"/>
          <w:color w:val="auto"/>
          <w:sz w:val="30"/>
          <w:highlight w:val="none"/>
        </w:rPr>
      </w:pPr>
      <w:r>
        <w:rPr>
          <w:rFonts w:hint="eastAsia" w:ascii="宋体" w:hAnsi="宋体" w:cs="宋体"/>
          <w:color w:val="auto"/>
          <w:sz w:val="30"/>
          <w:highlight w:val="none"/>
        </w:rPr>
        <w:t>日  期：</w:t>
      </w:r>
      <w:r>
        <w:rPr>
          <w:rFonts w:hint="eastAsia" w:ascii="宋体" w:hAnsi="宋体" w:cs="宋体"/>
          <w:color w:val="auto"/>
          <w:sz w:val="30"/>
          <w:highlight w:val="none"/>
          <w:u w:val="single"/>
        </w:rPr>
        <w:t xml:space="preserve">     </w:t>
      </w:r>
      <w:r>
        <w:rPr>
          <w:rFonts w:hint="eastAsia" w:ascii="宋体" w:hAnsi="宋体" w:cs="宋体"/>
          <w:color w:val="auto"/>
          <w:sz w:val="30"/>
          <w:highlight w:val="none"/>
        </w:rPr>
        <w:t>年</w:t>
      </w:r>
      <w:r>
        <w:rPr>
          <w:rFonts w:hint="eastAsia" w:ascii="宋体" w:hAnsi="宋体" w:cs="宋体"/>
          <w:color w:val="auto"/>
          <w:sz w:val="30"/>
          <w:highlight w:val="none"/>
          <w:u w:val="single"/>
        </w:rPr>
        <w:t xml:space="preserve">    </w:t>
      </w:r>
      <w:r>
        <w:rPr>
          <w:rFonts w:hint="eastAsia" w:ascii="宋体" w:hAnsi="宋体" w:cs="宋体"/>
          <w:color w:val="auto"/>
          <w:sz w:val="30"/>
          <w:highlight w:val="none"/>
        </w:rPr>
        <w:t>月</w:t>
      </w:r>
      <w:r>
        <w:rPr>
          <w:rFonts w:hint="eastAsia" w:ascii="宋体" w:hAnsi="宋体" w:cs="宋体"/>
          <w:color w:val="auto"/>
          <w:sz w:val="30"/>
          <w:highlight w:val="none"/>
          <w:u w:val="single"/>
        </w:rPr>
        <w:t xml:space="preserve">    </w:t>
      </w:r>
      <w:r>
        <w:rPr>
          <w:rFonts w:hint="eastAsia" w:ascii="宋体" w:hAnsi="宋体" w:cs="宋体"/>
          <w:color w:val="auto"/>
          <w:sz w:val="30"/>
          <w:highlight w:val="none"/>
        </w:rPr>
        <w:t>日</w:t>
      </w:r>
    </w:p>
    <w:p w14:paraId="3A85D0F6">
      <w:pPr>
        <w:pStyle w:val="20"/>
        <w:spacing w:line="360" w:lineRule="auto"/>
        <w:rPr>
          <w:rFonts w:ascii="宋体" w:hAnsi="宋体" w:cs="宋体"/>
          <w:color w:val="auto"/>
          <w:highlight w:val="none"/>
        </w:rPr>
      </w:pPr>
    </w:p>
    <w:p w14:paraId="20924647">
      <w:pPr>
        <w:pStyle w:val="20"/>
        <w:spacing w:line="360" w:lineRule="auto"/>
        <w:rPr>
          <w:rFonts w:ascii="宋体" w:hAnsi="宋体" w:cs="宋体"/>
          <w:color w:val="auto"/>
          <w:highlight w:val="none"/>
        </w:rPr>
      </w:pPr>
      <w:r>
        <w:rPr>
          <w:rFonts w:hint="eastAsia" w:ascii="宋体" w:hAnsi="宋体" w:cs="宋体"/>
          <w:color w:val="auto"/>
          <w:highlight w:val="none"/>
        </w:rPr>
        <w:br w:type="page"/>
      </w:r>
    </w:p>
    <w:p w14:paraId="19A37520">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ascii="宋体" w:hAnsi="宋体" w:cs="宋体"/>
          <w:b/>
          <w:bCs/>
          <w:color w:val="auto"/>
          <w:sz w:val="24"/>
          <w:szCs w:val="24"/>
          <w:highlight w:val="none"/>
        </w:rPr>
      </w:pPr>
      <w:bookmarkStart w:id="732" w:name="_Toc16205"/>
      <w:bookmarkStart w:id="733" w:name="_Toc195714374"/>
      <w:r>
        <w:rPr>
          <w:rFonts w:hint="eastAsia" w:ascii="宋体" w:hAnsi="宋体" w:cs="宋体"/>
          <w:b/>
          <w:bCs/>
          <w:color w:val="auto"/>
          <w:sz w:val="24"/>
          <w:szCs w:val="24"/>
          <w:highlight w:val="none"/>
        </w:rPr>
        <w:t>目录</w:t>
      </w:r>
      <w:bookmarkEnd w:id="732"/>
      <w:bookmarkEnd w:id="733"/>
    </w:p>
    <w:p w14:paraId="555D70C3">
      <w:pPr>
        <w:keepNext w:val="0"/>
        <w:keepLines w:val="0"/>
        <w:pageBreakBefore w:val="0"/>
        <w:widowControl w:val="0"/>
        <w:pBdr>
          <w:bottom w:val="single" w:color="auto" w:sz="6" w:space="0"/>
        </w:pBdr>
        <w:kinsoku/>
        <w:wordWrap/>
        <w:overflowPunct/>
        <w:topLinePunct w:val="0"/>
        <w:autoSpaceDE/>
        <w:autoSpaceDN/>
        <w:bidi w:val="0"/>
        <w:adjustRightInd/>
        <w:snapToGrid/>
        <w:spacing w:line="360" w:lineRule="auto"/>
        <w:ind w:firstLine="472" w:firstLineChars="224"/>
        <w:jc w:val="left"/>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一、投标函；</w:t>
      </w:r>
    </w:p>
    <w:p w14:paraId="3EE48DBA">
      <w:pPr>
        <w:keepNext w:val="0"/>
        <w:keepLines w:val="0"/>
        <w:pageBreakBefore w:val="0"/>
        <w:widowControl w:val="0"/>
        <w:pBdr>
          <w:bottom w:val="single" w:color="auto" w:sz="6" w:space="0"/>
        </w:pBdr>
        <w:kinsoku/>
        <w:wordWrap/>
        <w:overflowPunct/>
        <w:topLinePunct w:val="0"/>
        <w:autoSpaceDE/>
        <w:autoSpaceDN/>
        <w:bidi w:val="0"/>
        <w:adjustRightInd/>
        <w:snapToGrid/>
        <w:spacing w:line="360" w:lineRule="auto"/>
        <w:ind w:firstLine="472" w:firstLineChars="224"/>
        <w:jc w:val="left"/>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二、投标承诺书；</w:t>
      </w:r>
    </w:p>
    <w:p w14:paraId="04D24290">
      <w:pPr>
        <w:keepNext w:val="0"/>
        <w:keepLines w:val="0"/>
        <w:pageBreakBefore w:val="0"/>
        <w:widowControl w:val="0"/>
        <w:pBdr>
          <w:bottom w:val="single" w:color="auto" w:sz="6" w:space="0"/>
        </w:pBdr>
        <w:kinsoku/>
        <w:wordWrap/>
        <w:overflowPunct/>
        <w:topLinePunct w:val="0"/>
        <w:autoSpaceDE/>
        <w:autoSpaceDN/>
        <w:bidi w:val="0"/>
        <w:adjustRightInd/>
        <w:snapToGrid/>
        <w:spacing w:line="360" w:lineRule="auto"/>
        <w:ind w:firstLine="472" w:firstLineChars="224"/>
        <w:jc w:val="left"/>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三、供货及/或提供服务过程承诺函；</w:t>
      </w:r>
    </w:p>
    <w:p w14:paraId="59C6A6E0">
      <w:pPr>
        <w:keepNext w:val="0"/>
        <w:keepLines w:val="0"/>
        <w:pageBreakBefore w:val="0"/>
        <w:widowControl w:val="0"/>
        <w:pBdr>
          <w:bottom w:val="single" w:color="auto" w:sz="6" w:space="0"/>
        </w:pBdr>
        <w:kinsoku/>
        <w:wordWrap/>
        <w:overflowPunct/>
        <w:topLinePunct w:val="0"/>
        <w:autoSpaceDE/>
        <w:autoSpaceDN/>
        <w:bidi w:val="0"/>
        <w:adjustRightInd/>
        <w:snapToGrid/>
        <w:spacing w:line="360" w:lineRule="auto"/>
        <w:ind w:firstLine="472" w:firstLineChars="224"/>
        <w:jc w:val="left"/>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四、分项报价表；</w:t>
      </w:r>
    </w:p>
    <w:p w14:paraId="74FF4CC3">
      <w:pPr>
        <w:keepNext w:val="0"/>
        <w:keepLines w:val="0"/>
        <w:pageBreakBefore w:val="0"/>
        <w:widowControl w:val="0"/>
        <w:pBdr>
          <w:bottom w:val="single" w:color="auto" w:sz="6" w:space="0"/>
        </w:pBdr>
        <w:kinsoku/>
        <w:wordWrap/>
        <w:overflowPunct/>
        <w:topLinePunct w:val="0"/>
        <w:autoSpaceDE/>
        <w:autoSpaceDN/>
        <w:bidi w:val="0"/>
        <w:adjustRightInd/>
        <w:snapToGrid/>
        <w:spacing w:line="360" w:lineRule="auto"/>
        <w:ind w:firstLine="472" w:firstLineChars="224"/>
        <w:jc w:val="left"/>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五、投标人资格证明文件：</w:t>
      </w:r>
    </w:p>
    <w:p w14:paraId="15A4557D">
      <w:pPr>
        <w:keepNext w:val="0"/>
        <w:keepLines w:val="0"/>
        <w:pageBreakBefore w:val="0"/>
        <w:widowControl w:val="0"/>
        <w:pBdr>
          <w:bottom w:val="single" w:color="auto" w:sz="6" w:space="0"/>
        </w:pBdr>
        <w:kinsoku/>
        <w:wordWrap/>
        <w:overflowPunct/>
        <w:topLinePunct w:val="0"/>
        <w:autoSpaceDE/>
        <w:autoSpaceDN/>
        <w:bidi w:val="0"/>
        <w:adjustRightInd/>
        <w:snapToGrid/>
        <w:spacing w:line="360" w:lineRule="auto"/>
        <w:ind w:firstLine="472" w:firstLineChars="224"/>
        <w:jc w:val="left"/>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5.1 多证合一营业执照（或事业单位法人证书）原件扫描件；</w:t>
      </w:r>
    </w:p>
    <w:p w14:paraId="336365FA">
      <w:pPr>
        <w:keepNext w:val="0"/>
        <w:keepLines w:val="0"/>
        <w:pageBreakBefore w:val="0"/>
        <w:widowControl w:val="0"/>
        <w:pBdr>
          <w:bottom w:val="single" w:color="auto" w:sz="6" w:space="0"/>
        </w:pBdr>
        <w:kinsoku/>
        <w:wordWrap/>
        <w:overflowPunct/>
        <w:topLinePunct w:val="0"/>
        <w:autoSpaceDE/>
        <w:autoSpaceDN/>
        <w:bidi w:val="0"/>
        <w:adjustRightInd/>
        <w:snapToGrid/>
        <w:spacing w:line="360" w:lineRule="auto"/>
        <w:ind w:firstLine="472" w:firstLineChars="224"/>
        <w:jc w:val="left"/>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5.2 开户许可证原件扫描件（基本存款账户），如投标人企业银行账户开户所在地区已取消企业银行账户许可，投标人应提供基本存款账户开户名称、开户银行、账号、编号等信息及相关备案证明（如有）或其他能证明其为基本存款账户的资料原件扫描件；</w:t>
      </w:r>
    </w:p>
    <w:p w14:paraId="77D70F2C">
      <w:pPr>
        <w:keepNext w:val="0"/>
        <w:keepLines w:val="0"/>
        <w:pageBreakBefore w:val="0"/>
        <w:widowControl w:val="0"/>
        <w:pBdr>
          <w:bottom w:val="single" w:color="auto" w:sz="6" w:space="0"/>
        </w:pBdr>
        <w:kinsoku/>
        <w:wordWrap/>
        <w:overflowPunct/>
        <w:topLinePunct w:val="0"/>
        <w:autoSpaceDE/>
        <w:autoSpaceDN/>
        <w:bidi w:val="0"/>
        <w:adjustRightInd/>
        <w:snapToGrid/>
        <w:spacing w:line="360" w:lineRule="auto"/>
        <w:ind w:firstLine="472" w:firstLineChars="224"/>
        <w:jc w:val="left"/>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5.3 法定代表人身份证明书原件扫描件和法定代表人授权书原件扫描件（法定代表人投标时只提供法定代表人身份证明书，委托他人为投标代表或签署投标文件时需同时提供法定代表人授权书）；</w:t>
      </w:r>
    </w:p>
    <w:p w14:paraId="0377996B">
      <w:pPr>
        <w:keepNext w:val="0"/>
        <w:keepLines w:val="0"/>
        <w:pageBreakBefore w:val="0"/>
        <w:widowControl w:val="0"/>
        <w:pBdr>
          <w:bottom w:val="single" w:color="auto" w:sz="6" w:space="0"/>
        </w:pBdr>
        <w:kinsoku/>
        <w:wordWrap/>
        <w:overflowPunct/>
        <w:topLinePunct w:val="0"/>
        <w:autoSpaceDE/>
        <w:autoSpaceDN/>
        <w:bidi w:val="0"/>
        <w:adjustRightInd/>
        <w:snapToGrid/>
        <w:spacing w:line="360" w:lineRule="auto"/>
        <w:ind w:firstLine="472" w:firstLineChars="224"/>
        <w:jc w:val="left"/>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w:t>
      </w:r>
      <w:r>
        <w:rPr>
          <w:rFonts w:hint="eastAsia" w:ascii="宋体" w:hAnsi="宋体" w:eastAsia="宋体" w:cs="宋体"/>
          <w:b/>
          <w:bCs/>
          <w:color w:val="auto"/>
          <w:szCs w:val="21"/>
          <w:highlight w:val="none"/>
          <w:lang w:val="en-US" w:eastAsia="zh-CN"/>
        </w:rPr>
        <w:t>4</w:t>
      </w:r>
      <w:r>
        <w:rPr>
          <w:rFonts w:hint="eastAsia" w:ascii="宋体" w:hAnsi="宋体" w:eastAsia="宋体" w:cs="宋体"/>
          <w:b/>
          <w:bCs/>
          <w:color w:val="auto"/>
          <w:szCs w:val="21"/>
          <w:highlight w:val="none"/>
        </w:rPr>
        <w:t xml:space="preserve"> 有效期内的电子与智能化工程专业承包二级（或以上）资质原件扫描件；</w:t>
      </w:r>
    </w:p>
    <w:p w14:paraId="439AE415">
      <w:pPr>
        <w:keepNext w:val="0"/>
        <w:keepLines w:val="0"/>
        <w:pageBreakBefore w:val="0"/>
        <w:widowControl w:val="0"/>
        <w:pBdr>
          <w:bottom w:val="single" w:color="auto" w:sz="6" w:space="0"/>
        </w:pBdr>
        <w:kinsoku/>
        <w:wordWrap/>
        <w:overflowPunct/>
        <w:topLinePunct w:val="0"/>
        <w:autoSpaceDE/>
        <w:autoSpaceDN/>
        <w:bidi w:val="0"/>
        <w:adjustRightInd/>
        <w:snapToGrid/>
        <w:spacing w:line="360" w:lineRule="auto"/>
        <w:ind w:firstLine="472" w:firstLineChars="224"/>
        <w:jc w:val="left"/>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w:t>
      </w:r>
      <w:r>
        <w:rPr>
          <w:rFonts w:hint="eastAsia" w:ascii="宋体" w:hAnsi="宋体" w:eastAsia="宋体" w:cs="宋体"/>
          <w:b/>
          <w:bCs/>
          <w:color w:val="auto"/>
          <w:szCs w:val="21"/>
          <w:highlight w:val="none"/>
          <w:lang w:val="en-US" w:eastAsia="zh-CN"/>
        </w:rPr>
        <w:t>5</w:t>
      </w:r>
      <w:r>
        <w:rPr>
          <w:rFonts w:hint="eastAsia" w:ascii="宋体" w:hAnsi="宋体" w:eastAsia="宋体" w:cs="宋体"/>
          <w:b/>
          <w:bCs/>
          <w:color w:val="auto"/>
          <w:szCs w:val="21"/>
          <w:highlight w:val="none"/>
        </w:rPr>
        <w:t xml:space="preserve"> 资格业绩【投标人2020年1月1日以来具有一份水务、电力、能源相关的集中控制系统或水务、电力、能源相关的自动化控制系统建设项目业绩（合同签订日期为2020年1月1日或以后，资格业绩证明材料提交要求详见招标文件第六篇投标文件格式5.4】；</w:t>
      </w:r>
    </w:p>
    <w:p w14:paraId="530B6111">
      <w:pPr>
        <w:keepNext w:val="0"/>
        <w:keepLines w:val="0"/>
        <w:pageBreakBefore w:val="0"/>
        <w:widowControl w:val="0"/>
        <w:pBdr>
          <w:bottom w:val="single" w:color="auto" w:sz="6" w:space="0"/>
        </w:pBdr>
        <w:kinsoku/>
        <w:wordWrap/>
        <w:overflowPunct/>
        <w:topLinePunct w:val="0"/>
        <w:autoSpaceDE/>
        <w:autoSpaceDN/>
        <w:bidi w:val="0"/>
        <w:adjustRightInd/>
        <w:snapToGrid/>
        <w:spacing w:line="360" w:lineRule="auto"/>
        <w:ind w:firstLine="472" w:firstLineChars="224"/>
        <w:jc w:val="left"/>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w:t>
      </w:r>
      <w:r>
        <w:rPr>
          <w:rFonts w:hint="eastAsia" w:ascii="宋体" w:hAnsi="宋体" w:eastAsia="宋体" w:cs="宋体"/>
          <w:b/>
          <w:bCs/>
          <w:color w:val="auto"/>
          <w:szCs w:val="21"/>
          <w:highlight w:val="none"/>
          <w:lang w:val="en-US" w:eastAsia="zh-CN"/>
        </w:rPr>
        <w:t>6</w:t>
      </w:r>
      <w:r>
        <w:rPr>
          <w:rFonts w:hint="eastAsia" w:ascii="宋体" w:hAnsi="宋体" w:eastAsia="宋体" w:cs="宋体"/>
          <w:b/>
          <w:bCs/>
          <w:color w:val="auto"/>
          <w:szCs w:val="21"/>
          <w:highlight w:val="none"/>
        </w:rPr>
        <w:t xml:space="preserve"> 最近3年投标人牵涉的其他（失信和违法）处罚说明；</w:t>
      </w:r>
    </w:p>
    <w:p w14:paraId="497D06BB">
      <w:pPr>
        <w:keepNext w:val="0"/>
        <w:keepLines w:val="0"/>
        <w:pageBreakBefore w:val="0"/>
        <w:widowControl w:val="0"/>
        <w:pBdr>
          <w:bottom w:val="single" w:color="auto" w:sz="6" w:space="0"/>
        </w:pBdr>
        <w:kinsoku/>
        <w:wordWrap/>
        <w:overflowPunct/>
        <w:topLinePunct w:val="0"/>
        <w:autoSpaceDE/>
        <w:autoSpaceDN/>
        <w:bidi w:val="0"/>
        <w:adjustRightInd/>
        <w:snapToGrid/>
        <w:spacing w:line="360" w:lineRule="auto"/>
        <w:ind w:firstLine="472" w:firstLineChars="224"/>
        <w:jc w:val="left"/>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六、投标人基本情况一览表；</w:t>
      </w:r>
    </w:p>
    <w:p w14:paraId="1D8E09E1">
      <w:pPr>
        <w:keepNext w:val="0"/>
        <w:keepLines w:val="0"/>
        <w:pageBreakBefore w:val="0"/>
        <w:widowControl w:val="0"/>
        <w:pBdr>
          <w:bottom w:val="single" w:color="auto" w:sz="6" w:space="0"/>
        </w:pBdr>
        <w:kinsoku/>
        <w:wordWrap/>
        <w:overflowPunct/>
        <w:topLinePunct w:val="0"/>
        <w:autoSpaceDE/>
        <w:autoSpaceDN/>
        <w:bidi w:val="0"/>
        <w:adjustRightInd/>
        <w:snapToGrid/>
        <w:spacing w:line="360" w:lineRule="auto"/>
        <w:ind w:firstLine="472" w:firstLineChars="224"/>
        <w:jc w:val="left"/>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七、投标人财务状况表；</w:t>
      </w:r>
    </w:p>
    <w:p w14:paraId="0746C7AA">
      <w:pPr>
        <w:keepNext w:val="0"/>
        <w:keepLines w:val="0"/>
        <w:pageBreakBefore w:val="0"/>
        <w:widowControl w:val="0"/>
        <w:pBdr>
          <w:bottom w:val="single" w:color="auto" w:sz="6" w:space="0"/>
        </w:pBdr>
        <w:kinsoku/>
        <w:wordWrap/>
        <w:overflowPunct/>
        <w:topLinePunct w:val="0"/>
        <w:autoSpaceDE/>
        <w:autoSpaceDN/>
        <w:bidi w:val="0"/>
        <w:adjustRightInd/>
        <w:snapToGrid/>
        <w:spacing w:line="360" w:lineRule="auto"/>
        <w:ind w:firstLine="472" w:firstLineChars="224"/>
        <w:jc w:val="left"/>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八、合同条款响应程度（合同条款偏离表）；</w:t>
      </w:r>
    </w:p>
    <w:p w14:paraId="3058D6AC">
      <w:pPr>
        <w:keepNext w:val="0"/>
        <w:keepLines w:val="0"/>
        <w:pageBreakBefore w:val="0"/>
        <w:widowControl w:val="0"/>
        <w:pBdr>
          <w:bottom w:val="single" w:color="auto" w:sz="6" w:space="0"/>
        </w:pBdr>
        <w:kinsoku/>
        <w:wordWrap/>
        <w:overflowPunct/>
        <w:topLinePunct w:val="0"/>
        <w:autoSpaceDE/>
        <w:autoSpaceDN/>
        <w:bidi w:val="0"/>
        <w:adjustRightInd/>
        <w:snapToGrid/>
        <w:spacing w:line="360" w:lineRule="auto"/>
        <w:ind w:firstLine="472" w:firstLineChars="224"/>
        <w:jc w:val="left"/>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九、业绩表；</w:t>
      </w:r>
    </w:p>
    <w:p w14:paraId="3109BF93">
      <w:pPr>
        <w:keepNext w:val="0"/>
        <w:keepLines w:val="0"/>
        <w:pageBreakBefore w:val="0"/>
        <w:widowControl w:val="0"/>
        <w:pBdr>
          <w:bottom w:val="single" w:color="auto" w:sz="6" w:space="0"/>
        </w:pBdr>
        <w:kinsoku/>
        <w:wordWrap/>
        <w:overflowPunct/>
        <w:topLinePunct w:val="0"/>
        <w:autoSpaceDE/>
        <w:autoSpaceDN/>
        <w:bidi w:val="0"/>
        <w:adjustRightInd/>
        <w:snapToGrid/>
        <w:spacing w:line="360" w:lineRule="auto"/>
        <w:ind w:firstLine="472" w:firstLineChars="224"/>
        <w:jc w:val="left"/>
        <w:textAlignment w:val="auto"/>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rPr>
        <w:t>十、项目人员配备表</w:t>
      </w:r>
      <w:r>
        <w:rPr>
          <w:rFonts w:hint="eastAsia" w:ascii="宋体" w:hAnsi="宋体" w:eastAsia="宋体" w:cs="宋体"/>
          <w:b/>
          <w:bCs/>
          <w:color w:val="auto"/>
          <w:szCs w:val="21"/>
          <w:highlight w:val="none"/>
          <w:lang w:eastAsia="zh-CN"/>
        </w:rPr>
        <w:t>；</w:t>
      </w:r>
    </w:p>
    <w:p w14:paraId="309506DB">
      <w:pPr>
        <w:keepNext w:val="0"/>
        <w:keepLines w:val="0"/>
        <w:pageBreakBefore w:val="0"/>
        <w:widowControl w:val="0"/>
        <w:pBdr>
          <w:bottom w:val="single" w:color="auto" w:sz="6" w:space="0"/>
        </w:pBdr>
        <w:kinsoku/>
        <w:wordWrap/>
        <w:overflowPunct/>
        <w:topLinePunct w:val="0"/>
        <w:autoSpaceDE/>
        <w:autoSpaceDN/>
        <w:bidi w:val="0"/>
        <w:adjustRightInd/>
        <w:snapToGrid/>
        <w:spacing w:line="360" w:lineRule="auto"/>
        <w:ind w:firstLine="472" w:firstLineChars="224"/>
        <w:jc w:val="left"/>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lang w:eastAsia="zh-CN"/>
        </w:rPr>
        <w:t>十一、投标人资格证明文件以外的其他资质证书、知识产权证书及获得的相关获奖、认证证书、社会评价资料证明文件扫描件等投标人认为有需要证明其具备为本次招标项目提供货物及有关服务能力的有关其它商务文件（不做强制要求）。</w:t>
      </w:r>
    </w:p>
    <w:p w14:paraId="62601A5A">
      <w:pPr>
        <w:pBdr>
          <w:bottom w:val="single" w:color="auto" w:sz="6" w:space="0"/>
        </w:pBdr>
        <w:spacing w:line="480" w:lineRule="auto"/>
        <w:ind w:firstLine="720" w:firstLineChars="224"/>
        <w:jc w:val="left"/>
        <w:rPr>
          <w:rFonts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0F4B42C4">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auto"/>
          <w:kern w:val="0"/>
          <w:sz w:val="32"/>
          <w:szCs w:val="32"/>
          <w:highlight w:val="none"/>
        </w:rPr>
      </w:pPr>
      <w:bookmarkStart w:id="734" w:name="_Toc23782"/>
      <w:bookmarkStart w:id="735" w:name="_Toc27679"/>
      <w:bookmarkStart w:id="736" w:name="_Toc17613"/>
      <w:bookmarkStart w:id="737" w:name="_Toc195714375"/>
      <w:bookmarkStart w:id="738" w:name="_Toc13281"/>
      <w:r>
        <w:rPr>
          <w:rFonts w:hint="eastAsia" w:ascii="宋体" w:hAnsi="宋体" w:eastAsia="宋体" w:cs="宋体"/>
          <w:b/>
          <w:color w:val="auto"/>
          <w:kern w:val="0"/>
          <w:sz w:val="32"/>
          <w:szCs w:val="32"/>
          <w:highlight w:val="none"/>
        </w:rPr>
        <w:t>一、投标函格式</w:t>
      </w:r>
      <w:bookmarkEnd w:id="722"/>
      <w:bookmarkEnd w:id="723"/>
      <w:bookmarkEnd w:id="724"/>
      <w:bookmarkEnd w:id="725"/>
      <w:bookmarkEnd w:id="726"/>
      <w:bookmarkEnd w:id="727"/>
      <w:bookmarkEnd w:id="728"/>
      <w:bookmarkEnd w:id="729"/>
      <w:bookmarkEnd w:id="730"/>
      <w:bookmarkEnd w:id="731"/>
      <w:bookmarkEnd w:id="734"/>
      <w:bookmarkEnd w:id="735"/>
      <w:bookmarkEnd w:id="736"/>
      <w:bookmarkEnd w:id="737"/>
      <w:bookmarkEnd w:id="738"/>
    </w:p>
    <w:p w14:paraId="7E4652CC">
      <w:pPr>
        <w:autoSpaceDE w:val="0"/>
        <w:autoSpaceDN w:val="0"/>
        <w:adjustRightInd w:val="0"/>
        <w:spacing w:line="360" w:lineRule="auto"/>
        <w:jc w:val="center"/>
        <w:rPr>
          <w:rFonts w:ascii="宋体" w:hAnsi="宋体" w:eastAsia="宋体" w:cs="宋体"/>
          <w:b/>
          <w:bCs/>
          <w:color w:val="auto"/>
          <w:sz w:val="30"/>
          <w:szCs w:val="30"/>
          <w:highlight w:val="none"/>
        </w:rPr>
      </w:pPr>
      <w:bookmarkStart w:id="739" w:name="_Toc16695_WPSOffice_Level3"/>
      <w:r>
        <w:rPr>
          <w:rFonts w:hint="eastAsia" w:ascii="宋体" w:hAnsi="宋体" w:eastAsia="宋体" w:cs="宋体"/>
          <w:b/>
          <w:bCs/>
          <w:color w:val="auto"/>
          <w:sz w:val="30"/>
          <w:szCs w:val="30"/>
          <w:highlight w:val="none"/>
          <w:lang w:val="zh-CN"/>
        </w:rPr>
        <w:t>投 标 函</w:t>
      </w:r>
      <w:bookmarkEnd w:id="739"/>
    </w:p>
    <w:p w14:paraId="6507997C">
      <w:pPr>
        <w:autoSpaceDE w:val="0"/>
        <w:autoSpaceDN w:val="0"/>
        <w:adjustRightInd w:val="0"/>
        <w:spacing w:line="360" w:lineRule="auto"/>
        <w:rPr>
          <w:rFonts w:ascii="宋体" w:hAnsi="宋体" w:eastAsia="宋体" w:cs="宋体"/>
          <w:color w:val="auto"/>
          <w:szCs w:val="21"/>
          <w:highlight w:val="none"/>
          <w:lang w:val="zh-CN"/>
        </w:rPr>
      </w:pPr>
    </w:p>
    <w:p w14:paraId="425F9F74">
      <w:pPr>
        <w:autoSpaceDE w:val="0"/>
        <w:autoSpaceDN w:val="0"/>
        <w:adjustRightInd w:val="0"/>
        <w:spacing w:line="360" w:lineRule="auto"/>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致：</w:t>
      </w:r>
      <w:r>
        <w:rPr>
          <w:rFonts w:hint="eastAsia" w:ascii="宋体" w:hAnsi="宋体" w:eastAsia="宋体" w:cs="宋体"/>
          <w:color w:val="auto"/>
          <w:kern w:val="0"/>
          <w:szCs w:val="21"/>
          <w:highlight w:val="none"/>
          <w:u w:val="single"/>
        </w:rPr>
        <w:t>东莞市石鼓净水有限公司</w:t>
      </w:r>
    </w:p>
    <w:p w14:paraId="43E88361">
      <w:pPr>
        <w:autoSpaceDE w:val="0"/>
        <w:autoSpaceDN w:val="0"/>
        <w:adjustRightInd w:val="0"/>
        <w:spacing w:line="360" w:lineRule="auto"/>
        <w:rPr>
          <w:rFonts w:ascii="宋体" w:hAnsi="宋体" w:eastAsia="宋体" w:cs="宋体"/>
          <w:color w:val="auto"/>
          <w:szCs w:val="21"/>
          <w:highlight w:val="none"/>
        </w:rPr>
      </w:pPr>
    </w:p>
    <w:p w14:paraId="325DBB41">
      <w:pPr>
        <w:wordWrap w:val="0"/>
        <w:autoSpaceDE w:val="0"/>
        <w:autoSpaceDN w:val="0"/>
        <w:adjustRightInd w:val="0"/>
        <w:spacing w:line="360" w:lineRule="auto"/>
        <w:ind w:firstLine="42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根据贵方为</w:t>
      </w:r>
      <w:r>
        <w:rPr>
          <w:rFonts w:hint="eastAsia" w:ascii="宋体" w:hAnsi="宋体" w:eastAsia="宋体" w:cs="宋体"/>
          <w:color w:val="auto"/>
          <w:kern w:val="0"/>
          <w:szCs w:val="21"/>
          <w:highlight w:val="none"/>
          <w:u w:val="single"/>
        </w:rPr>
        <w:t>东莞市石鼓净水有限公司污水处理厂及提标项目中控系统集约化升级改造项目</w:t>
      </w:r>
      <w:r>
        <w:rPr>
          <w:rFonts w:hint="eastAsia" w:ascii="宋体" w:hAnsi="宋体" w:eastAsia="宋体" w:cs="宋体"/>
          <w:color w:val="auto"/>
          <w:szCs w:val="21"/>
          <w:highlight w:val="none"/>
          <w:lang w:val="zh-CN"/>
        </w:rPr>
        <w:t>(招标编号：</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)的投标邀请，我方（投标人名称）作为投标人正式授权</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授权代表全名，职务）代表我方进行有关本次投标的一切事宜。</w:t>
      </w:r>
    </w:p>
    <w:p w14:paraId="0A3FFDF9">
      <w:pPr>
        <w:autoSpaceDE w:val="0"/>
        <w:autoSpaceDN w:val="0"/>
        <w:adjustRightInd w:val="0"/>
        <w:spacing w:line="360" w:lineRule="auto"/>
        <w:ind w:firstLine="42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我方已完全明白招标文件的所有条款要求，并重申以下几点：</w:t>
      </w:r>
    </w:p>
    <w:p w14:paraId="00F037E3">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（—）我方</w:t>
      </w:r>
      <w:r>
        <w:rPr>
          <w:rFonts w:hint="eastAsia" w:ascii="宋体" w:hAnsi="宋体" w:eastAsia="宋体" w:cs="Times New Roman"/>
          <w:color w:val="auto"/>
          <w:szCs w:val="21"/>
          <w:highlight w:val="none"/>
          <w:lang w:val="zh-CN"/>
        </w:rPr>
        <w:t>决定</w:t>
      </w:r>
      <w:r>
        <w:rPr>
          <w:rFonts w:hint="eastAsia" w:ascii="宋体" w:hAnsi="宋体" w:eastAsia="宋体" w:cs="宋体"/>
          <w:color w:val="auto"/>
          <w:szCs w:val="21"/>
          <w:highlight w:val="none"/>
          <w:lang w:val="zh-CN"/>
        </w:rPr>
        <w:t>参加招标编号为</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的投标；</w:t>
      </w:r>
    </w:p>
    <w:p w14:paraId="6FF7E813">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（二）本投标文件的有效期自递交投标文件截止时间届满后90日有效，如中标，有效期将延至合同终止日为止；</w:t>
      </w:r>
    </w:p>
    <w:p w14:paraId="0AF1ABDE">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（三）我方已详细研究了招标文件的所有内容包括修正文（如有）和所有已提供的参考资料以及有关附件并完全明白，我方放弃在此方面提出含糊意见或误解的一切权力；</w:t>
      </w:r>
    </w:p>
    <w:p w14:paraId="7EC3D85C">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（四）我方明白并愿意在规定的递交投标文件截止时间和日期之后，投标有效期之内撤销投标，则不予退还我方投标保证金；</w:t>
      </w:r>
    </w:p>
    <w:p w14:paraId="30E1178B">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（五）我方同意按照贵方可能提出的要求而提供与投标有关的任何其它数据或信息；</w:t>
      </w:r>
    </w:p>
    <w:p w14:paraId="1E76F74D">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（六）我方理解贵方不一定接受最低报价或任何贵方可能收到的报价；</w:t>
      </w:r>
    </w:p>
    <w:p w14:paraId="7C6478C6">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（七）我方如果中标，将保证履行招标文件以及招标文件修改书（如有）中的全部责任和义务，按质、按量、按期完成《合同书》中的全部任务；</w:t>
      </w:r>
    </w:p>
    <w:p w14:paraId="1B287A92">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（八）保证投标文件中所有资料均真实有效，否则按无效投标处理或可取消中标资格，并愿意接受按弄虚作假骗取中标的有关规定进行处理，并不予退还我方投标保证金；</w:t>
      </w:r>
    </w:p>
    <w:p w14:paraId="2A4D37F9">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（九）若我方中标后，我方一定按照招标文件的要求和投标文件的承诺签订和履行合同，否则贵方可取消我方中标资格，并依法不予退还我方投标保证金或履约担保，我方愿意接受违约处罚；</w:t>
      </w:r>
    </w:p>
    <w:p w14:paraId="02B424AC">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（十）若我方中标后，核查出投标文件内容前后不一致，我方愿按最高标准的承诺履约义务；</w:t>
      </w:r>
    </w:p>
    <w:p w14:paraId="21F6E953">
      <w:pPr>
        <w:autoSpaceDE w:val="0"/>
        <w:autoSpaceDN w:val="0"/>
        <w:adjustRightInd w:val="0"/>
        <w:spacing w:line="360" w:lineRule="auto"/>
        <w:ind w:firstLine="315" w:firstLineChars="15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（十一）所有与本投标有关的函件请发往下列地址：</w:t>
      </w:r>
    </w:p>
    <w:p w14:paraId="2A46E45A">
      <w:pPr>
        <w:autoSpaceDE w:val="0"/>
        <w:autoSpaceDN w:val="0"/>
        <w:adjustRightInd w:val="0"/>
        <w:spacing w:line="360" w:lineRule="auto"/>
        <w:ind w:left="395" w:leftChars="-12" w:hanging="420" w:hangingChars="200"/>
        <w:rPr>
          <w:rFonts w:ascii="宋体" w:hAnsi="宋体" w:eastAsia="宋体" w:cs="宋体"/>
          <w:color w:val="auto"/>
          <w:szCs w:val="21"/>
          <w:highlight w:val="none"/>
          <w:u w:val="single"/>
          <w:lang w:val="zh-CN"/>
        </w:rPr>
      </w:pPr>
    </w:p>
    <w:p w14:paraId="65623D36">
      <w:pPr>
        <w:autoSpaceDE w:val="0"/>
        <w:autoSpaceDN w:val="0"/>
        <w:adjustRightInd w:val="0"/>
        <w:spacing w:line="360" w:lineRule="auto"/>
        <w:ind w:firstLine="420" w:firstLineChars="200"/>
        <w:rPr>
          <w:rFonts w:ascii="宋体" w:hAnsi="宋体" w:eastAsia="宋体" w:cs="宋体"/>
          <w:color w:val="auto"/>
          <w:szCs w:val="21"/>
          <w:highlight w:val="none"/>
          <w:u w:val="single"/>
          <w:lang w:val="zh-CN"/>
        </w:rPr>
      </w:pPr>
      <w:r>
        <w:rPr>
          <w:rFonts w:hint="eastAsia" w:ascii="宋体" w:hAnsi="宋体" w:eastAsia="宋体" w:cs="宋体"/>
          <w:color w:val="auto"/>
          <w:szCs w:val="21"/>
          <w:highlight w:val="none"/>
          <w:lang w:val="zh-CN"/>
        </w:rPr>
        <w:t>地  　址：</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邮政编码：</w:t>
      </w:r>
      <w:r>
        <w:rPr>
          <w:rFonts w:hint="eastAsia" w:ascii="宋体" w:hAnsi="宋体" w:eastAsia="宋体" w:cs="宋体"/>
          <w:color w:val="auto"/>
          <w:szCs w:val="21"/>
          <w:highlight w:val="none"/>
          <w:u w:val="single"/>
          <w:lang w:val="zh-CN"/>
        </w:rPr>
        <w:t xml:space="preserve">　　　　　　　　　　 </w:t>
      </w:r>
    </w:p>
    <w:p w14:paraId="7445811E">
      <w:pPr>
        <w:autoSpaceDE w:val="0"/>
        <w:autoSpaceDN w:val="0"/>
        <w:adjustRightInd w:val="0"/>
        <w:spacing w:line="360" w:lineRule="auto"/>
        <w:ind w:firstLine="420" w:firstLineChars="20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电　　话：</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代表姓名：</w:t>
      </w:r>
      <w:r>
        <w:rPr>
          <w:rFonts w:hint="eastAsia" w:ascii="宋体" w:hAnsi="宋体" w:eastAsia="宋体" w:cs="宋体"/>
          <w:color w:val="auto"/>
          <w:szCs w:val="21"/>
          <w:highlight w:val="none"/>
          <w:u w:val="single"/>
          <w:lang w:val="zh-CN"/>
        </w:rPr>
        <w:t>　　　　　　　　　　　</w:t>
      </w:r>
    </w:p>
    <w:p w14:paraId="35149ABD">
      <w:pPr>
        <w:autoSpaceDE w:val="0"/>
        <w:autoSpaceDN w:val="0"/>
        <w:adjustRightInd w:val="0"/>
        <w:spacing w:line="360" w:lineRule="auto"/>
        <w:ind w:firstLine="420" w:firstLineChars="20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传　　真：</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 xml:space="preserve">        职　　务：</w:t>
      </w:r>
      <w:r>
        <w:rPr>
          <w:rFonts w:hint="eastAsia" w:ascii="宋体" w:hAnsi="宋体" w:eastAsia="宋体" w:cs="宋体"/>
          <w:color w:val="auto"/>
          <w:szCs w:val="21"/>
          <w:highlight w:val="none"/>
          <w:u w:val="single"/>
          <w:lang w:val="zh-CN"/>
        </w:rPr>
        <w:t xml:space="preserve">　　　　　　　　　　 </w:t>
      </w:r>
    </w:p>
    <w:p w14:paraId="7AC8C458">
      <w:pPr>
        <w:autoSpaceDE w:val="0"/>
        <w:autoSpaceDN w:val="0"/>
        <w:adjustRightInd w:val="0"/>
        <w:spacing w:line="360" w:lineRule="auto"/>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rPr>
        <w:t>电子邮箱：</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ab/>
      </w:r>
    </w:p>
    <w:p w14:paraId="132A5B55">
      <w:pPr>
        <w:autoSpaceDE w:val="0"/>
        <w:autoSpaceDN w:val="0"/>
        <w:adjustRightInd w:val="0"/>
        <w:spacing w:line="360" w:lineRule="auto"/>
        <w:ind w:firstLine="4960" w:firstLineChars="2362"/>
        <w:rPr>
          <w:rFonts w:ascii="宋体" w:hAnsi="宋体" w:eastAsia="宋体" w:cs="宋体"/>
          <w:color w:val="auto"/>
          <w:szCs w:val="21"/>
          <w:highlight w:val="none"/>
          <w:lang w:val="zh-CN"/>
        </w:rPr>
      </w:pPr>
    </w:p>
    <w:p w14:paraId="340A7CE4">
      <w:pPr>
        <w:autoSpaceDE w:val="0"/>
        <w:autoSpaceDN w:val="0"/>
        <w:adjustRightInd w:val="0"/>
        <w:spacing w:line="360" w:lineRule="auto"/>
        <w:ind w:firstLine="4960" w:firstLineChars="2362"/>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12B21AEE">
      <w:pPr>
        <w:autoSpaceDE w:val="0"/>
        <w:autoSpaceDN w:val="0"/>
        <w:adjustRightInd w:val="0"/>
        <w:spacing w:line="360" w:lineRule="auto"/>
        <w:ind w:firstLine="4960" w:firstLineChars="2362"/>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法定代表人或其授权代表签名：</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（电子签名）</w:t>
      </w:r>
    </w:p>
    <w:p w14:paraId="26C0A6F0">
      <w:pPr>
        <w:autoSpaceDE w:val="0"/>
        <w:autoSpaceDN w:val="0"/>
        <w:adjustRightInd w:val="0"/>
        <w:spacing w:line="360" w:lineRule="auto"/>
        <w:ind w:firstLine="4960" w:firstLineChars="2362"/>
        <w:rPr>
          <w:rFonts w:ascii="宋体" w:hAnsi="宋体" w:eastAsia="宋体" w:cs="Times New Roman"/>
          <w:color w:val="auto"/>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s="Times New Roman"/>
          <w:color w:val="auto"/>
          <w:szCs w:val="24"/>
          <w:highlight w:val="none"/>
          <w:lang w:val="zh-CN"/>
        </w:rPr>
        <w:t>期：   年   月   日</w:t>
      </w:r>
    </w:p>
    <w:p w14:paraId="78EE1DC0">
      <w:pPr>
        <w:autoSpaceDE w:val="0"/>
        <w:autoSpaceDN w:val="0"/>
        <w:adjustRightInd w:val="0"/>
        <w:spacing w:line="360" w:lineRule="auto"/>
        <w:jc w:val="center"/>
        <w:rPr>
          <w:rFonts w:ascii="宋体" w:hAnsi="宋体" w:eastAsia="宋体" w:cs="Times New Roman"/>
          <w:b/>
          <w:bCs/>
          <w:color w:val="auto"/>
          <w:szCs w:val="24"/>
          <w:highlight w:val="none"/>
          <w:lang w:val="zh-CN"/>
        </w:rPr>
      </w:pPr>
      <w:r>
        <w:rPr>
          <w:rFonts w:hint="eastAsia" w:ascii="宋体" w:hAnsi="宋体" w:eastAsia="宋体" w:cs="Times New Roman"/>
          <w:b/>
          <w:bCs/>
          <w:color w:val="auto"/>
          <w:szCs w:val="24"/>
          <w:highlight w:val="none"/>
          <w:lang w:val="zh-CN"/>
        </w:rPr>
        <w:t>说明：由投标人使用投标人的企业数字证书，法定代表人或其授权代表数字证书电子签名。</w:t>
      </w:r>
    </w:p>
    <w:p w14:paraId="0CADEE7D">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auto"/>
          <w:kern w:val="0"/>
          <w:sz w:val="32"/>
          <w:szCs w:val="32"/>
          <w:highlight w:val="none"/>
        </w:rPr>
      </w:pPr>
      <w:r>
        <w:rPr>
          <w:rFonts w:hint="eastAsia" w:ascii="宋体" w:hAnsi="宋体" w:eastAsia="宋体" w:cs="宋体"/>
          <w:color w:val="auto"/>
          <w:kern w:val="0"/>
          <w:sz w:val="24"/>
          <w:szCs w:val="24"/>
          <w:highlight w:val="none"/>
        </w:rPr>
        <w:br w:type="page"/>
      </w:r>
      <w:bookmarkStart w:id="740" w:name="_Toc142508363"/>
      <w:bookmarkStart w:id="741" w:name="_Toc24901"/>
      <w:bookmarkStart w:id="742" w:name="_Toc102860412"/>
      <w:bookmarkStart w:id="743" w:name="_Toc1977722"/>
      <w:bookmarkStart w:id="744" w:name="_Toc28613_WPSOffice_Level2"/>
      <w:bookmarkStart w:id="745" w:name="_Toc102860068"/>
      <w:bookmarkStart w:id="746" w:name="_Toc533708122"/>
      <w:bookmarkStart w:id="747" w:name="_Toc94107203"/>
      <w:bookmarkStart w:id="748" w:name="_Toc140596922"/>
      <w:bookmarkStart w:id="749" w:name="_Toc486167710"/>
      <w:bookmarkStart w:id="750" w:name="_Toc30995"/>
      <w:bookmarkStart w:id="751" w:name="_Toc3104"/>
      <w:bookmarkStart w:id="752" w:name="_Toc104991869"/>
      <w:bookmarkStart w:id="753" w:name="_Toc195714376"/>
      <w:bookmarkStart w:id="754" w:name="_Toc12417"/>
      <w:r>
        <w:rPr>
          <w:rFonts w:hint="eastAsia" w:ascii="宋体" w:hAnsi="宋体" w:eastAsia="宋体" w:cs="宋体"/>
          <w:b/>
          <w:color w:val="auto"/>
          <w:kern w:val="0"/>
          <w:sz w:val="32"/>
          <w:szCs w:val="32"/>
          <w:highlight w:val="none"/>
        </w:rPr>
        <w:t>二、投标承诺书格式</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14:paraId="63B62D88">
      <w:pPr>
        <w:autoSpaceDE w:val="0"/>
        <w:autoSpaceDN w:val="0"/>
        <w:adjustRightInd w:val="0"/>
        <w:spacing w:line="360" w:lineRule="auto"/>
        <w:jc w:val="center"/>
        <w:rPr>
          <w:rFonts w:ascii="宋体" w:hAnsi="宋体" w:eastAsia="宋体" w:cs="Times New Roman"/>
          <w:b/>
          <w:bCs/>
          <w:color w:val="auto"/>
          <w:sz w:val="30"/>
          <w:szCs w:val="30"/>
          <w:highlight w:val="none"/>
          <w:lang w:val="zh-CN"/>
        </w:rPr>
      </w:pPr>
      <w:r>
        <w:rPr>
          <w:rFonts w:hint="eastAsia" w:ascii="宋体" w:hAnsi="宋体" w:eastAsia="宋体" w:cs="Times New Roman"/>
          <w:b/>
          <w:bCs/>
          <w:color w:val="auto"/>
          <w:sz w:val="30"/>
          <w:szCs w:val="30"/>
          <w:highlight w:val="none"/>
          <w:lang w:val="zh-CN"/>
        </w:rPr>
        <w:t>投标承诺书</w:t>
      </w:r>
    </w:p>
    <w:p w14:paraId="3043FE21">
      <w:pPr>
        <w:widowControl/>
        <w:autoSpaceDE w:val="0"/>
        <w:autoSpaceDN w:val="0"/>
        <w:adjustRightInd w:val="0"/>
        <w:spacing w:line="360" w:lineRule="auto"/>
        <w:ind w:firstLine="420" w:firstLineChars="200"/>
        <w:jc w:val="left"/>
        <w:rPr>
          <w:rFonts w:ascii="宋体" w:hAnsi="宋体" w:eastAsia="宋体" w:cs="Times New Roman"/>
          <w:color w:val="auto"/>
          <w:kern w:val="0"/>
          <w:szCs w:val="21"/>
          <w:highlight w:val="none"/>
        </w:rPr>
      </w:pPr>
    </w:p>
    <w:p w14:paraId="6B6291FC">
      <w:pPr>
        <w:widowControl/>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Times New Roman"/>
          <w:color w:val="auto"/>
          <w:kern w:val="0"/>
          <w:szCs w:val="21"/>
          <w:highlight w:val="none"/>
        </w:rPr>
        <w:t>我方</w:t>
      </w:r>
      <w:r>
        <w:rPr>
          <w:rFonts w:hint="eastAsia"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1"/>
          <w:highlight w:val="none"/>
        </w:rPr>
        <w:t>（投标人名称）已完整阅读了</w:t>
      </w:r>
      <w:r>
        <w:rPr>
          <w:rFonts w:hint="eastAsia" w:ascii="宋体" w:hAnsi="宋体" w:eastAsia="宋体" w:cs="Times New Roman"/>
          <w:color w:val="auto"/>
          <w:kern w:val="0"/>
          <w:szCs w:val="21"/>
          <w:highlight w:val="none"/>
          <w:u w:val="single"/>
        </w:rPr>
        <w:t>东莞市石鼓净水有限公司污水处理厂及提标项目中控系统集约化升级改造项目</w:t>
      </w:r>
      <w:r>
        <w:rPr>
          <w:rFonts w:hint="eastAsia" w:ascii="宋体" w:hAnsi="宋体" w:eastAsia="宋体" w:cs="Times New Roman"/>
          <w:color w:val="auto"/>
          <w:kern w:val="0"/>
          <w:szCs w:val="21"/>
          <w:highlight w:val="none"/>
        </w:rPr>
        <w:t>（招标编号：</w:t>
      </w:r>
      <w:r>
        <w:rPr>
          <w:rFonts w:hint="eastAsia" w:ascii="宋体" w:hAnsi="宋体" w:eastAsia="宋体" w:cs="Times New Roman"/>
          <w:color w:val="auto"/>
          <w:kern w:val="0"/>
          <w:szCs w:val="21"/>
          <w:highlight w:val="none"/>
          <w:lang w:eastAsia="zh-CN"/>
        </w:rPr>
        <w:t xml:space="preserve">                </w:t>
      </w:r>
      <w:r>
        <w:rPr>
          <w:rFonts w:hint="eastAsia" w:ascii="宋体" w:hAnsi="宋体" w:eastAsia="宋体" w:cs="Times New Roman"/>
          <w:color w:val="auto"/>
          <w:kern w:val="0"/>
          <w:szCs w:val="21"/>
          <w:highlight w:val="none"/>
        </w:rPr>
        <w:t>）招标文件的所有内容（包括澄清，以及所有已提供的参考资料和有关附件），并完全理解上述文件所表达的意思，该项目递交投标文件时间截止后，我方承诺不再对上述文件内容进行询问或异议。</w:t>
      </w:r>
      <w:r>
        <w:rPr>
          <w:rFonts w:hint="eastAsia" w:ascii="宋体" w:hAnsi="宋体" w:eastAsia="宋体" w:cs="Times New Roman"/>
          <w:color w:val="auto"/>
          <w:kern w:val="0"/>
          <w:szCs w:val="21"/>
          <w:highlight w:val="none"/>
        </w:rPr>
        <w:cr/>
      </w:r>
      <w:r>
        <w:rPr>
          <w:rFonts w:ascii="宋体" w:hAnsi="宋体" w:eastAsia="宋体" w:cs="Times New Roman"/>
          <w:color w:val="auto"/>
          <w:kern w:val="0"/>
          <w:szCs w:val="21"/>
          <w:highlight w:val="none"/>
        </w:rPr>
        <w:t xml:space="preserve">    </w:t>
      </w:r>
      <w:r>
        <w:rPr>
          <w:rFonts w:hint="eastAsia" w:ascii="宋体" w:hAnsi="宋体" w:eastAsia="宋体" w:cs="Times New Roman"/>
          <w:color w:val="auto"/>
          <w:kern w:val="0"/>
          <w:szCs w:val="21"/>
          <w:highlight w:val="none"/>
        </w:rPr>
        <w:t>我方</w:t>
      </w:r>
      <w:r>
        <w:rPr>
          <w:rFonts w:hint="eastAsia" w:ascii="宋体" w:hAnsi="宋体" w:eastAsia="宋体" w:cs="宋体"/>
          <w:color w:val="auto"/>
          <w:kern w:val="0"/>
          <w:szCs w:val="21"/>
          <w:highlight w:val="none"/>
        </w:rPr>
        <w:t>承诺，若我方存在通过弄虚作假、虚假响应招标文件要求等手段骗取中标的，招标人有权或协助主管部门认定我方严重失信的不良行为，纳入相关</w:t>
      </w:r>
      <w:r>
        <w:rPr>
          <w:rFonts w:ascii="宋体" w:hAnsi="宋体" w:eastAsia="宋体" w:cs="宋体"/>
          <w:color w:val="auto"/>
          <w:kern w:val="0"/>
          <w:szCs w:val="21"/>
          <w:highlight w:val="none"/>
        </w:rPr>
        <w:t>企业信用“黑名单”</w:t>
      </w:r>
      <w:r>
        <w:rPr>
          <w:rFonts w:hint="eastAsia" w:ascii="宋体" w:hAnsi="宋体" w:eastAsia="宋体" w:cs="宋体"/>
          <w:color w:val="auto"/>
          <w:kern w:val="0"/>
          <w:szCs w:val="21"/>
          <w:highlight w:val="none"/>
        </w:rPr>
        <w:t>，限制我方参与依法必须招标项目的投标，并</w:t>
      </w:r>
      <w:r>
        <w:rPr>
          <w:rFonts w:ascii="宋体" w:hAnsi="宋体" w:eastAsia="宋体" w:cs="宋体"/>
          <w:color w:val="auto"/>
          <w:kern w:val="0"/>
          <w:szCs w:val="21"/>
          <w:highlight w:val="none"/>
        </w:rPr>
        <w:t>向</w:t>
      </w:r>
      <w:r>
        <w:rPr>
          <w:rFonts w:hint="eastAsia" w:ascii="宋体" w:hAnsi="宋体" w:eastAsia="宋体" w:cs="宋体"/>
          <w:color w:val="auto"/>
          <w:kern w:val="0"/>
          <w:szCs w:val="21"/>
          <w:highlight w:val="none"/>
        </w:rPr>
        <w:t>行政主管部门报送</w:t>
      </w:r>
      <w:r>
        <w:rPr>
          <w:rFonts w:ascii="宋体" w:hAnsi="宋体" w:eastAsia="宋体" w:cs="宋体"/>
          <w:color w:val="auto"/>
          <w:kern w:val="0"/>
          <w:szCs w:val="21"/>
          <w:highlight w:val="none"/>
        </w:rPr>
        <w:t>结果。</w:t>
      </w:r>
      <w:r>
        <w:rPr>
          <w:rFonts w:hint="eastAsia" w:ascii="宋体" w:hAnsi="宋体" w:eastAsia="宋体" w:cs="宋体"/>
          <w:color w:val="auto"/>
          <w:kern w:val="0"/>
          <w:szCs w:val="21"/>
          <w:highlight w:val="none"/>
        </w:rPr>
        <w:t>同时，招标人有权根据《关于对环境保护领域失信生产经营单位及其有关人员开展联合惩戒的合作备忘录》等规定，通过“信用中国”网站向社会公示我方的失信行为，实现“一处失信、处处受限”。</w:t>
      </w:r>
    </w:p>
    <w:p w14:paraId="59062BE7">
      <w:pPr>
        <w:widowControl/>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若我方在投标或履行本合同过程中存在提供虚假材料、虚假响应招标文件要求等弄虚作假行为，或未能根据招标文件投标人须知第31</w:t>
      </w:r>
      <w:r>
        <w:rPr>
          <w:rFonts w:ascii="宋体" w:hAnsi="宋体" w:eastAsia="宋体" w:cs="宋体"/>
          <w:color w:val="auto"/>
          <w:kern w:val="0"/>
          <w:szCs w:val="21"/>
          <w:highlight w:val="none"/>
        </w:rPr>
        <w:t>.2</w:t>
      </w:r>
      <w:r>
        <w:rPr>
          <w:rFonts w:hint="eastAsia" w:ascii="宋体" w:hAnsi="宋体" w:eastAsia="宋体" w:cs="宋体"/>
          <w:color w:val="auto"/>
          <w:kern w:val="0"/>
          <w:szCs w:val="21"/>
          <w:highlight w:val="none"/>
        </w:rPr>
        <w:t>款约定按时提供原件核查的，因此导致我方无法参与东莞市水务集团有限公司相关招标采购活动的，由我方自行承担全部后果。</w:t>
      </w:r>
    </w:p>
    <w:p w14:paraId="45A31DC0">
      <w:pPr>
        <w:autoSpaceDE w:val="0"/>
        <w:autoSpaceDN w:val="0"/>
        <w:adjustRightInd w:val="0"/>
        <w:spacing w:line="360" w:lineRule="auto"/>
        <w:ind w:firstLine="420" w:firstLineChars="200"/>
        <w:jc w:val="left"/>
        <w:rPr>
          <w:rFonts w:ascii="宋体" w:hAnsi="宋体" w:eastAsia="宋体" w:cs="Times New Roman"/>
          <w:color w:val="auto"/>
          <w:kern w:val="0"/>
          <w:szCs w:val="21"/>
          <w:highlight w:val="none"/>
        </w:rPr>
      </w:pPr>
    </w:p>
    <w:p w14:paraId="72A5C6B9">
      <w:pPr>
        <w:autoSpaceDE w:val="0"/>
        <w:autoSpaceDN w:val="0"/>
        <w:adjustRightInd w:val="0"/>
        <w:spacing w:line="360" w:lineRule="auto"/>
        <w:jc w:val="left"/>
        <w:rPr>
          <w:rFonts w:ascii="宋体" w:hAnsi="宋体" w:eastAsia="宋体" w:cs="Times New Roman"/>
          <w:color w:val="auto"/>
          <w:kern w:val="0"/>
          <w:sz w:val="24"/>
          <w:szCs w:val="24"/>
          <w:highlight w:val="none"/>
        </w:rPr>
      </w:pPr>
    </w:p>
    <w:p w14:paraId="5E169835">
      <w:pPr>
        <w:autoSpaceDE w:val="0"/>
        <w:autoSpaceDN w:val="0"/>
        <w:adjustRightInd w:val="0"/>
        <w:spacing w:line="360" w:lineRule="auto"/>
        <w:jc w:val="left"/>
        <w:rPr>
          <w:rFonts w:ascii="宋体" w:hAnsi="宋体" w:eastAsia="宋体" w:cs="Times New Roman"/>
          <w:color w:val="auto"/>
          <w:kern w:val="0"/>
          <w:sz w:val="24"/>
          <w:szCs w:val="24"/>
          <w:highlight w:val="none"/>
        </w:rPr>
      </w:pPr>
    </w:p>
    <w:p w14:paraId="28796238">
      <w:pPr>
        <w:autoSpaceDE w:val="0"/>
        <w:autoSpaceDN w:val="0"/>
        <w:adjustRightInd w:val="0"/>
        <w:spacing w:line="360" w:lineRule="auto"/>
        <w:ind w:firstLine="4960" w:firstLineChars="2362"/>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04E47BA7">
      <w:pPr>
        <w:autoSpaceDE w:val="0"/>
        <w:autoSpaceDN w:val="0"/>
        <w:adjustRightInd w:val="0"/>
        <w:spacing w:line="360" w:lineRule="auto"/>
        <w:ind w:firstLine="4960" w:firstLineChars="2362"/>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法定代表人或其授权代表签名：</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（电子签名）</w:t>
      </w:r>
    </w:p>
    <w:p w14:paraId="1CB112FC">
      <w:pPr>
        <w:autoSpaceDE w:val="0"/>
        <w:autoSpaceDN w:val="0"/>
        <w:adjustRightInd w:val="0"/>
        <w:spacing w:line="360" w:lineRule="auto"/>
        <w:ind w:firstLine="4960" w:firstLineChars="2362"/>
        <w:rPr>
          <w:rFonts w:ascii="宋体" w:hAnsi="宋体" w:eastAsia="宋体" w:cs="Times New Roman"/>
          <w:color w:val="auto"/>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s="Times New Roman"/>
          <w:color w:val="auto"/>
          <w:szCs w:val="24"/>
          <w:highlight w:val="none"/>
          <w:lang w:val="zh-CN"/>
        </w:rPr>
        <w:t>期：   年   月   日</w:t>
      </w:r>
    </w:p>
    <w:p w14:paraId="13CCA06A">
      <w:pPr>
        <w:autoSpaceDE w:val="0"/>
        <w:autoSpaceDN w:val="0"/>
        <w:adjustRightInd w:val="0"/>
        <w:spacing w:line="360" w:lineRule="auto"/>
        <w:jc w:val="center"/>
        <w:rPr>
          <w:rFonts w:ascii="宋体" w:hAnsi="宋体" w:eastAsia="宋体" w:cs="Times New Roman"/>
          <w:b/>
          <w:bCs/>
          <w:color w:val="auto"/>
          <w:szCs w:val="24"/>
          <w:highlight w:val="none"/>
          <w:lang w:val="zh-CN"/>
        </w:rPr>
      </w:pPr>
      <w:r>
        <w:rPr>
          <w:rFonts w:hint="eastAsia" w:ascii="宋体" w:hAnsi="宋体" w:eastAsia="宋体" w:cs="Times New Roman"/>
          <w:b/>
          <w:bCs/>
          <w:color w:val="auto"/>
          <w:szCs w:val="24"/>
          <w:highlight w:val="none"/>
          <w:lang w:val="zh-CN"/>
        </w:rPr>
        <w:t>说明：由投标人使用投标人的企业数字证书，法定代表人或其授权代表数字证书电子签名。</w:t>
      </w:r>
    </w:p>
    <w:p w14:paraId="01D82847">
      <w:pPr>
        <w:autoSpaceDE w:val="0"/>
        <w:autoSpaceDN w:val="0"/>
        <w:adjustRightInd w:val="0"/>
        <w:spacing w:line="360" w:lineRule="auto"/>
        <w:jc w:val="left"/>
        <w:rPr>
          <w:rFonts w:ascii="宋体" w:hAnsi="宋体" w:eastAsia="宋体" w:cs="宋体"/>
          <w:color w:val="auto"/>
          <w:kern w:val="0"/>
          <w:sz w:val="24"/>
          <w:szCs w:val="24"/>
          <w:highlight w:val="none"/>
        </w:rPr>
      </w:pPr>
      <w:bookmarkStart w:id="755" w:name="_Toc326768876"/>
      <w:bookmarkStart w:id="756" w:name="_Toc311032584"/>
      <w:bookmarkStart w:id="757" w:name="_Toc316896755"/>
    </w:p>
    <w:p w14:paraId="6A0A04C4">
      <w:pPr>
        <w:pageBreakBefore/>
        <w:autoSpaceDE w:val="0"/>
        <w:autoSpaceDN w:val="0"/>
        <w:adjustRightInd w:val="0"/>
        <w:spacing w:line="360" w:lineRule="auto"/>
        <w:jc w:val="left"/>
        <w:outlineLvl w:val="2"/>
        <w:rPr>
          <w:rFonts w:ascii="宋体" w:hAnsi="宋体" w:eastAsia="宋体" w:cs="宋体"/>
          <w:b/>
          <w:color w:val="auto"/>
          <w:kern w:val="44"/>
          <w:sz w:val="32"/>
          <w:szCs w:val="32"/>
          <w:highlight w:val="none"/>
        </w:rPr>
      </w:pPr>
      <w:bookmarkStart w:id="758" w:name="_Toc94107204"/>
      <w:bookmarkStart w:id="759" w:name="_Toc24336"/>
      <w:bookmarkStart w:id="760" w:name="_Toc140596923"/>
      <w:bookmarkStart w:id="761" w:name="_Toc86764083"/>
      <w:bookmarkStart w:id="762" w:name="_Toc104991870"/>
      <w:bookmarkStart w:id="763" w:name="_Toc5075"/>
      <w:bookmarkStart w:id="764" w:name="_Toc195714377"/>
      <w:bookmarkStart w:id="765" w:name="_Toc102860413"/>
      <w:bookmarkStart w:id="766" w:name="_Toc29910"/>
      <w:bookmarkStart w:id="767" w:name="_Toc82182546"/>
      <w:bookmarkStart w:id="768" w:name="_Toc3108"/>
      <w:bookmarkStart w:id="769" w:name="_Toc142508364"/>
      <w:bookmarkStart w:id="770" w:name="_Toc102860069"/>
      <w:bookmarkStart w:id="771" w:name="_Toc7024_WPSOffice_Level2"/>
      <w:bookmarkStart w:id="772" w:name="_Toc486167711"/>
      <w:bookmarkStart w:id="773" w:name="_Toc1977723"/>
      <w:bookmarkStart w:id="774" w:name="_Toc533708123"/>
      <w:r>
        <w:rPr>
          <w:rFonts w:hint="eastAsia" w:ascii="宋体" w:hAnsi="宋体" w:eastAsia="宋体" w:cs="宋体"/>
          <w:b/>
          <w:color w:val="auto"/>
          <w:kern w:val="44"/>
          <w:sz w:val="32"/>
          <w:szCs w:val="32"/>
          <w:highlight w:val="none"/>
        </w:rPr>
        <w:t>三、供货及/或提供服务过程承诺函格式</w:t>
      </w:r>
      <w:bookmarkEnd w:id="758"/>
      <w:bookmarkEnd w:id="759"/>
      <w:bookmarkEnd w:id="760"/>
      <w:bookmarkEnd w:id="761"/>
      <w:bookmarkEnd w:id="762"/>
      <w:bookmarkEnd w:id="763"/>
      <w:bookmarkEnd w:id="764"/>
      <w:bookmarkEnd w:id="765"/>
      <w:bookmarkEnd w:id="766"/>
      <w:bookmarkEnd w:id="767"/>
      <w:bookmarkEnd w:id="768"/>
      <w:bookmarkEnd w:id="769"/>
      <w:bookmarkEnd w:id="770"/>
    </w:p>
    <w:p w14:paraId="4018A7F7">
      <w:pPr>
        <w:autoSpaceDE w:val="0"/>
        <w:autoSpaceDN w:val="0"/>
        <w:adjustRightInd w:val="0"/>
        <w:spacing w:line="360" w:lineRule="auto"/>
        <w:jc w:val="center"/>
        <w:rPr>
          <w:rFonts w:ascii="宋体" w:hAnsi="宋体" w:eastAsia="宋体" w:cs="宋体"/>
          <w:b/>
          <w:color w:val="auto"/>
          <w:kern w:val="44"/>
          <w:sz w:val="30"/>
          <w:szCs w:val="30"/>
          <w:highlight w:val="none"/>
        </w:rPr>
      </w:pPr>
      <w:r>
        <w:rPr>
          <w:rFonts w:hint="eastAsia" w:ascii="宋体" w:hAnsi="宋体" w:eastAsia="宋体" w:cs="宋体"/>
          <w:b/>
          <w:color w:val="auto"/>
          <w:kern w:val="44"/>
          <w:sz w:val="30"/>
          <w:szCs w:val="30"/>
          <w:highlight w:val="none"/>
        </w:rPr>
        <w:t>供货及/或提供服务过程承诺函</w:t>
      </w:r>
    </w:p>
    <w:p w14:paraId="039AC516">
      <w:pPr>
        <w:autoSpaceDE w:val="0"/>
        <w:autoSpaceDN w:val="0"/>
        <w:adjustRightInd w:val="0"/>
        <w:spacing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致东莞市石鼓净水有限公司：</w:t>
      </w:r>
    </w:p>
    <w:p w14:paraId="75CC0D00">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我方</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（投标人名称）为招标人公开招标的</w:t>
      </w:r>
      <w:r>
        <w:rPr>
          <w:rFonts w:hint="eastAsia" w:ascii="宋体" w:hAnsi="宋体" w:eastAsia="宋体" w:cs="Times New Roman"/>
          <w:color w:val="auto"/>
          <w:kern w:val="0"/>
          <w:szCs w:val="21"/>
          <w:highlight w:val="none"/>
        </w:rPr>
        <w:t>东莞市石鼓净水有限公司污水处理厂及提标项目中控系统集约化升级改造项目</w:t>
      </w:r>
      <w:r>
        <w:rPr>
          <w:rFonts w:hint="eastAsia" w:ascii="宋体" w:hAnsi="宋体" w:eastAsia="宋体" w:cs="宋体"/>
          <w:color w:val="auto"/>
          <w:kern w:val="0"/>
          <w:szCs w:val="21"/>
          <w:highlight w:val="none"/>
        </w:rPr>
        <w:t>(招标编号：</w:t>
      </w:r>
      <w:r>
        <w:rPr>
          <w:rFonts w:hint="eastAsia" w:ascii="宋体" w:hAnsi="宋体" w:eastAsia="宋体" w:cs="Times New Roman"/>
          <w:color w:val="auto"/>
          <w:szCs w:val="21"/>
          <w:highlight w:val="none"/>
          <w:lang w:val="zh-CN"/>
        </w:rPr>
        <w:t xml:space="preserve">                </w:t>
      </w:r>
      <w:r>
        <w:rPr>
          <w:rFonts w:hint="eastAsia" w:ascii="宋体" w:hAnsi="宋体" w:eastAsia="宋体" w:cs="宋体"/>
          <w:color w:val="auto"/>
          <w:kern w:val="0"/>
          <w:szCs w:val="21"/>
          <w:highlight w:val="none"/>
        </w:rPr>
        <w:t>)的投标单位，为确保供货及/或提供服务过程中的人身、财产安全，我方承诺，如我方获得中标资格，将严格按照下列要求开展工作。</w:t>
      </w:r>
    </w:p>
    <w:p w14:paraId="449C23F5">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1、我方承诺将严格遵守国家、地方政府有关安全生产及劳动保护的法律法规、标准、规定，贯彻执行招标人的各项安全管理规章制度。</w:t>
      </w:r>
    </w:p>
    <w:p w14:paraId="680D84F8">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2、我方承诺将依法参加工伤保险，为安排至招标人从事本项目的工作人员缴纳保险费，并为从事危险作业的人员办理意外伤害保险。</w:t>
      </w:r>
    </w:p>
    <w:p w14:paraId="4E276154">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我方承诺服从招标人的安全管理，保证作业区域的现场文明安全管理达标，现场临时用电、机器设备、安全防护齐全、完好，并接受和配合招标人的安全监督检查，我方提供到招标人现场作业的所有安全装置、防护设施必须依据经招标人审批后的安全技术方案进行搭设、安装，同时我方无条件保证安全防护设施使用的搭设材料的质量安全，在用于安全防护的物资进场前将有关物资的材质证明报招标人，经招标人确认后方可使用。</w:t>
      </w:r>
    </w:p>
    <w:p w14:paraId="71ED57A2">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我方承诺携带进场的机器设备、机具必须是合格产品，并对携带进场的机器设备、机具安全负责管理、维护及检查，对招标人和自查发现的安全隐患落实整改措施。如我方使用不合格机器设备、机具造成事故的，由我方自行承担责任。</w:t>
      </w:r>
    </w:p>
    <w:p w14:paraId="150C6C2D">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我方人员未经许可不随意到作业区域以外的其它工作场所活动，我方作业人员擅自到作业区域以外的其它工作场所活动，出现人身损害或财产损失的，由我方自行负责一切责任。我方作业人员如需动用或作业涉及到招标人所属设备、电器、管线及其他设施等，承诺事先征得招标人代表的同意，并采取安全防护措施。</w:t>
      </w:r>
    </w:p>
    <w:p w14:paraId="64FE3DCC">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我方承诺在进行卸货等工作时，严格遵守相关劳动安全规定，并按要求佩戴相关安全劳动防护用具。我方承诺做好安全防护措施，在工作过程中出现的安全事故由我方自行处理并承担全部责任。我方承诺我方人员在招标人场所遵守招标人的一切规章制度和安全条例，服从招标人的监督。我方在提供服务过程中，如因违反招标人相关规章制度、安全条例，或因不服从招标人监督而发生安全事故的，其结果与责任均由我方负责，招标人无须承担任何结果与责任。</w:t>
      </w:r>
    </w:p>
    <w:p w14:paraId="4E80933B">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7、我方承诺协助和指导招标人进行货物的储存，对招标人的储存方式、方法、储存数量、仓库的安全设施设备、安全生产规章制度等是否符合国家标准或者国家有关规定提出合理的建议，并进行技术指导。</w:t>
      </w:r>
    </w:p>
    <w:p w14:paraId="686FAD04">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8、我方车辆在招标人场所行驶时，将严格遵守厂区道路限行，限速和限重要求，如因我方未遵守前述要求，对厂区/招标人（含其人员）、我方人员、第三方造成损失的，由我方承担赔偿责任。</w:t>
      </w:r>
    </w:p>
    <w:p w14:paraId="60D36AB5">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9、如我方开展服务项目需进行外出调研或现场作业的，由我方派人负责安全保卫工作，按国家有关规定，对作业的现场人员进行安全防护、劳动保护等，并承担相应的费用。若发生工作人员或第三人人身伤害等事故的，由我方全部承担责任。</w:t>
      </w:r>
    </w:p>
    <w:p w14:paraId="4DC5D3BD">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10、因我方原因，造成我方损失，由我方自负，给招标人造成财产损失和人员伤害，我方承担全部责任，并全额赔偿招标人。</w:t>
      </w:r>
    </w:p>
    <w:p w14:paraId="1DA16154">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11、非因招标人原因，造成我方损失的，招标人无需承担任何责任，由我方自行承担全部责任。</w:t>
      </w:r>
    </w:p>
    <w:p w14:paraId="5B5B80F6">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12、我方承诺严格遵守法律法规以及招标人的安全管理要求，并接受招标人的安全生产工作协调和监督，积极消除安全隐患。安全管理的基本要求包括但不限于以下条款：</w:t>
      </w:r>
    </w:p>
    <w:p w14:paraId="573DF934">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①禁火区内严禁吸烟、动火。有火灾危险的作业区域，我方承诺配置足够的灭火设施。</w:t>
      </w:r>
    </w:p>
    <w:p w14:paraId="60DCD7AD">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②我方承诺焊接、气割作业时两瓶距离必须达到5M及以上，气瓶距可能产生火花的电器、设备和其它火源的间距必须达到10M及以上。</w:t>
      </w:r>
    </w:p>
    <w:p w14:paraId="0D66E421">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③我方承诺不在厂内道路、消防通道内搭建临时建筑或堆放物资。</w:t>
      </w:r>
    </w:p>
    <w:p w14:paraId="6A9D9D1A">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④我方承诺电动工具、电焊机等均具有漏电保护器和相应的安全防护装置。</w:t>
      </w:r>
    </w:p>
    <w:p w14:paraId="1E841C2F">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⑤我方承诺用电设施符合要求，杜绝电线乱接、乱拉，刀闸和开关无盖，在电器设施上堆放物品等行为。</w:t>
      </w:r>
    </w:p>
    <w:p w14:paraId="44222A0A">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⑥我方承诺防雷、防静电设施及用电设施有良好接地。</w:t>
      </w:r>
    </w:p>
    <w:p w14:paraId="5BF05695">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⑦我方承诺为从业人员提供符合国家标准或者行业标准的劳动防护用品，并监督、教育从业人员按照使用规则佩戴、使用，防止工伤事故的发生。我方承诺，如发生各类工伤事故，绝不隐瞒不报。发生重伤及重伤以上事故，应及时组织抢救、保护好现场，并立即报告招标人主管领导。</w:t>
      </w:r>
    </w:p>
    <w:p w14:paraId="3B9E34D5">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13、我方承诺接受招标人的检查与监督，并主动配合，做好安全工作，凡有违反上述条款的即视为我方违约，招标人有权视情况从货物/服务价款中扣除2000元/次作为违约金。</w:t>
      </w:r>
    </w:p>
    <w:p w14:paraId="403B0D54">
      <w:pPr>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如因我方违反上述条款造成安全生产事故的，我方将承担由此引发的一切责任与后果，如造成招标人损失的，我方将予以足额赔偿，同时，招标人有权没收我方提交的履约担保。</w:t>
      </w:r>
    </w:p>
    <w:p w14:paraId="323FF2AD">
      <w:pPr>
        <w:autoSpaceDE w:val="0"/>
        <w:autoSpaceDN w:val="0"/>
        <w:adjustRightInd w:val="0"/>
        <w:spacing w:line="360" w:lineRule="auto"/>
        <w:ind w:firstLine="504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w:t>
      </w:r>
    </w:p>
    <w:p w14:paraId="3C931C63">
      <w:pPr>
        <w:autoSpaceDE w:val="0"/>
        <w:autoSpaceDN w:val="0"/>
        <w:adjustRightInd w:val="0"/>
        <w:spacing w:line="360" w:lineRule="auto"/>
        <w:ind w:firstLine="4960" w:firstLineChars="2362"/>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3A2ED37B">
      <w:pPr>
        <w:autoSpaceDE w:val="0"/>
        <w:autoSpaceDN w:val="0"/>
        <w:adjustRightInd w:val="0"/>
        <w:spacing w:line="360" w:lineRule="auto"/>
        <w:ind w:firstLine="4960" w:firstLineChars="2362"/>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法定代表人或其授权代表签名：</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（电子签名）</w:t>
      </w:r>
    </w:p>
    <w:p w14:paraId="30E741AB">
      <w:pPr>
        <w:autoSpaceDE w:val="0"/>
        <w:autoSpaceDN w:val="0"/>
        <w:adjustRightInd w:val="0"/>
        <w:spacing w:line="360" w:lineRule="auto"/>
        <w:ind w:firstLine="4960" w:firstLineChars="2362"/>
        <w:rPr>
          <w:rFonts w:ascii="宋体" w:hAnsi="宋体" w:eastAsia="宋体" w:cs="Times New Roman"/>
          <w:color w:val="auto"/>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s="Times New Roman"/>
          <w:color w:val="auto"/>
          <w:szCs w:val="24"/>
          <w:highlight w:val="none"/>
          <w:lang w:val="zh-CN"/>
        </w:rPr>
        <w:t>期：   年   月   日</w:t>
      </w:r>
    </w:p>
    <w:p w14:paraId="618C2971">
      <w:pPr>
        <w:autoSpaceDE w:val="0"/>
        <w:autoSpaceDN w:val="0"/>
        <w:adjustRightInd w:val="0"/>
        <w:spacing w:line="360" w:lineRule="auto"/>
        <w:jc w:val="center"/>
        <w:rPr>
          <w:rFonts w:ascii="宋体" w:hAnsi="宋体" w:eastAsia="宋体" w:cs="Times New Roman"/>
          <w:b/>
          <w:bCs/>
          <w:color w:val="auto"/>
          <w:szCs w:val="24"/>
          <w:highlight w:val="none"/>
          <w:lang w:val="zh-CN"/>
        </w:rPr>
      </w:pPr>
      <w:r>
        <w:rPr>
          <w:rFonts w:hint="eastAsia" w:ascii="宋体" w:hAnsi="宋体" w:eastAsia="宋体" w:cs="Times New Roman"/>
          <w:b/>
          <w:bCs/>
          <w:color w:val="auto"/>
          <w:szCs w:val="24"/>
          <w:highlight w:val="none"/>
          <w:lang w:val="zh-CN"/>
        </w:rPr>
        <w:t>说明：由投标人使用投标人的企业数字证书，法定代表人或其授权代表数字证书电子签名。</w:t>
      </w:r>
    </w:p>
    <w:p w14:paraId="1AAE14B9">
      <w:pPr>
        <w:autoSpaceDE w:val="0"/>
        <w:autoSpaceDN w:val="0"/>
        <w:adjustRightInd w:val="0"/>
        <w:spacing w:line="360" w:lineRule="auto"/>
        <w:ind w:right="420" w:firstLine="5760" w:firstLineChars="2400"/>
        <w:jc w:val="left"/>
        <w:rPr>
          <w:rFonts w:ascii="宋体" w:hAnsi="宋体" w:eastAsia="宋体" w:cs="宋体"/>
          <w:color w:val="auto"/>
          <w:kern w:val="0"/>
          <w:sz w:val="24"/>
          <w:szCs w:val="24"/>
          <w:highlight w:val="none"/>
        </w:rPr>
      </w:pPr>
    </w:p>
    <w:p w14:paraId="2C786E4B">
      <w:pPr>
        <w:pageBreakBefore/>
        <w:autoSpaceDE w:val="0"/>
        <w:autoSpaceDN w:val="0"/>
        <w:adjustRightInd w:val="0"/>
        <w:spacing w:line="360" w:lineRule="auto"/>
        <w:jc w:val="left"/>
        <w:outlineLvl w:val="2"/>
        <w:rPr>
          <w:rFonts w:ascii="宋体" w:hAnsi="宋体" w:eastAsia="宋体" w:cs="宋体"/>
          <w:b/>
          <w:color w:val="auto"/>
          <w:kern w:val="0"/>
          <w:sz w:val="32"/>
          <w:szCs w:val="32"/>
          <w:highlight w:val="none"/>
        </w:rPr>
      </w:pPr>
      <w:bookmarkStart w:id="775" w:name="_Toc102860415"/>
      <w:bookmarkStart w:id="776" w:name="_Toc102860071"/>
      <w:bookmarkStart w:id="777" w:name="_Toc13600"/>
      <w:bookmarkStart w:id="778" w:name="_Toc13416"/>
      <w:bookmarkStart w:id="779" w:name="_Toc104991872"/>
      <w:bookmarkStart w:id="780" w:name="_Toc195714378"/>
      <w:bookmarkStart w:id="781" w:name="_Toc94107206"/>
      <w:bookmarkStart w:id="782" w:name="_Toc18346"/>
      <w:bookmarkStart w:id="783" w:name="_Toc1140"/>
      <w:bookmarkStart w:id="784" w:name="_Toc142508366"/>
      <w:bookmarkStart w:id="785" w:name="_Toc140596925"/>
      <w:r>
        <w:rPr>
          <w:rFonts w:hint="eastAsia" w:ascii="宋体" w:hAnsi="宋体" w:eastAsia="宋体" w:cs="宋体"/>
          <w:b/>
          <w:color w:val="auto"/>
          <w:kern w:val="0"/>
          <w:sz w:val="32"/>
          <w:szCs w:val="32"/>
          <w:highlight w:val="none"/>
        </w:rPr>
        <w:t>四、分项报价表格式</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7F03049D">
      <w:pPr>
        <w:tabs>
          <w:tab w:val="left" w:pos="567"/>
        </w:tabs>
        <w:autoSpaceDE w:val="0"/>
        <w:autoSpaceDN w:val="0"/>
        <w:adjustRightInd w:val="0"/>
        <w:spacing w:line="360" w:lineRule="auto"/>
        <w:ind w:left="711" w:hanging="711" w:hangingChars="236"/>
        <w:jc w:val="left"/>
        <w:outlineLvl w:val="2"/>
        <w:rPr>
          <w:rFonts w:ascii="宋体" w:hAnsi="宋体" w:eastAsia="宋体" w:cs="宋体"/>
          <w:b/>
          <w:color w:val="auto"/>
          <w:kern w:val="0"/>
          <w:sz w:val="30"/>
          <w:szCs w:val="30"/>
          <w:highlight w:val="none"/>
        </w:rPr>
      </w:pPr>
      <w:bookmarkStart w:id="786" w:name="_Toc102860416"/>
      <w:bookmarkStart w:id="787" w:name="_Toc104991873"/>
      <w:bookmarkStart w:id="788" w:name="_Toc32275"/>
      <w:bookmarkStart w:id="789" w:name="_Toc24175"/>
      <w:bookmarkStart w:id="790" w:name="_Toc94107207"/>
      <w:bookmarkStart w:id="791" w:name="_Toc15425"/>
      <w:bookmarkStart w:id="792" w:name="_Toc195714379"/>
      <w:bookmarkStart w:id="793" w:name="_Toc140596926"/>
      <w:bookmarkStart w:id="794" w:name="_Toc142508367"/>
      <w:bookmarkStart w:id="795" w:name="_Toc102860072"/>
      <w:bookmarkStart w:id="796" w:name="_Toc2395_WPSOffice_Level3"/>
      <w:bookmarkStart w:id="797" w:name="_Toc1294"/>
      <w:r>
        <w:rPr>
          <w:rFonts w:hint="eastAsia" w:ascii="宋体" w:hAnsi="宋体" w:eastAsia="宋体" w:cs="宋体"/>
          <w:b/>
          <w:color w:val="auto"/>
          <w:kern w:val="0"/>
          <w:sz w:val="30"/>
          <w:szCs w:val="30"/>
          <w:highlight w:val="none"/>
        </w:rPr>
        <w:t>4</w:t>
      </w:r>
      <w:r>
        <w:rPr>
          <w:rFonts w:ascii="宋体" w:hAnsi="宋体" w:eastAsia="宋体" w:cs="宋体"/>
          <w:b/>
          <w:color w:val="auto"/>
          <w:kern w:val="0"/>
          <w:sz w:val="30"/>
          <w:szCs w:val="30"/>
          <w:highlight w:val="none"/>
        </w:rPr>
        <w:t xml:space="preserve">.1 </w:t>
      </w:r>
      <w:r>
        <w:rPr>
          <w:rFonts w:hint="eastAsia" w:ascii="宋体" w:hAnsi="宋体" w:eastAsia="宋体" w:cs="宋体"/>
          <w:b/>
          <w:color w:val="auto"/>
          <w:kern w:val="0"/>
          <w:sz w:val="30"/>
          <w:szCs w:val="30"/>
          <w:highlight w:val="none"/>
        </w:rPr>
        <w:t>分项报价表</w:t>
      </w:r>
      <w:bookmarkEnd w:id="786"/>
      <w:bookmarkEnd w:id="787"/>
      <w:bookmarkEnd w:id="788"/>
      <w:bookmarkEnd w:id="789"/>
      <w:bookmarkEnd w:id="790"/>
      <w:bookmarkEnd w:id="791"/>
      <w:bookmarkEnd w:id="792"/>
      <w:bookmarkEnd w:id="793"/>
      <w:bookmarkEnd w:id="794"/>
      <w:bookmarkEnd w:id="795"/>
      <w:bookmarkEnd w:id="796"/>
      <w:bookmarkEnd w:id="797"/>
    </w:p>
    <w:p w14:paraId="4A308A0B">
      <w:pPr>
        <w:spacing w:line="360" w:lineRule="auto"/>
        <w:jc w:val="center"/>
        <w:rPr>
          <w:rFonts w:ascii="宋体" w:hAnsi="宋体" w:eastAsia="宋体" w:cs="宋体"/>
          <w:b/>
          <w:bCs/>
          <w:color w:val="auto"/>
          <w:kern w:val="0"/>
          <w:szCs w:val="21"/>
          <w:highlight w:val="none"/>
        </w:rPr>
      </w:pPr>
      <w:r>
        <w:rPr>
          <w:rFonts w:hint="eastAsia" w:ascii="宋体" w:hAnsi="宋体" w:eastAsia="宋体" w:cs="宋体"/>
          <w:b/>
          <w:bCs/>
          <w:color w:val="auto"/>
          <w:sz w:val="30"/>
          <w:szCs w:val="30"/>
          <w:highlight w:val="none"/>
          <w:lang w:val="zh-CN"/>
        </w:rPr>
        <w:t>分项报价表</w:t>
      </w:r>
    </w:p>
    <w:p w14:paraId="7A0A46D5">
      <w:pPr>
        <w:spacing w:line="360" w:lineRule="auto"/>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项目名称：</w:t>
      </w:r>
      <w:r>
        <w:rPr>
          <w:rFonts w:hint="eastAsia" w:ascii="宋体" w:hAnsi="宋体" w:eastAsia="宋体" w:cs="宋体"/>
          <w:color w:val="auto"/>
          <w:kern w:val="0"/>
          <w:szCs w:val="21"/>
          <w:highlight w:val="none"/>
          <w:u w:val="single"/>
        </w:rPr>
        <w:t>东莞市石鼓净水有限公司污水处理厂及提标项目中控系统集约化升级改造项目</w:t>
      </w:r>
    </w:p>
    <w:p w14:paraId="481C34E8">
      <w:pPr>
        <w:spacing w:line="360" w:lineRule="auto"/>
        <w:rPr>
          <w:rFonts w:hint="eastAsia" w:ascii="宋体" w:hAnsi="宋体" w:eastAsia="宋体" w:cs="宋体"/>
          <w:color w:val="auto"/>
          <w:kern w:val="0"/>
          <w:szCs w:val="21"/>
          <w:highlight w:val="none"/>
          <w:u w:val="single"/>
          <w:lang w:eastAsia="zh-CN"/>
        </w:rPr>
      </w:pPr>
      <w:r>
        <w:rPr>
          <w:rFonts w:hint="eastAsia" w:ascii="宋体" w:hAnsi="宋体" w:eastAsia="宋体" w:cs="宋体"/>
          <w:b/>
          <w:color w:val="auto"/>
          <w:kern w:val="0"/>
          <w:szCs w:val="21"/>
          <w:highlight w:val="none"/>
        </w:rPr>
        <w:t>招标编号：</w:t>
      </w:r>
      <w:r>
        <w:rPr>
          <w:rFonts w:hint="eastAsia" w:ascii="宋体" w:hAnsi="宋体" w:eastAsia="宋体" w:cs="宋体"/>
          <w:color w:val="auto"/>
          <w:kern w:val="0"/>
          <w:szCs w:val="21"/>
          <w:highlight w:val="none"/>
          <w:u w:val="single"/>
          <w:lang w:eastAsia="zh-CN"/>
        </w:rPr>
        <w:t xml:space="preserve"> SSWSSZ12501186 </w:t>
      </w:r>
    </w:p>
    <w:tbl>
      <w:tblPr>
        <w:tblStyle w:val="44"/>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6"/>
        <w:gridCol w:w="2094"/>
        <w:gridCol w:w="2038"/>
        <w:gridCol w:w="2101"/>
        <w:gridCol w:w="2117"/>
        <w:gridCol w:w="1280"/>
      </w:tblGrid>
      <w:tr w14:paraId="5A19B1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2" w:hRule="atLeast"/>
        </w:trPr>
        <w:tc>
          <w:tcPr>
            <w:tcW w:w="355" w:type="pct"/>
            <w:tcBorders>
              <w:top w:val="single" w:color="auto" w:sz="4" w:space="0"/>
              <w:left w:val="single" w:color="auto" w:sz="4" w:space="0"/>
              <w:bottom w:val="single" w:color="auto" w:sz="4" w:space="0"/>
              <w:right w:val="single" w:color="auto" w:sz="4" w:space="0"/>
            </w:tcBorders>
            <w:vAlign w:val="center"/>
          </w:tcPr>
          <w:p w14:paraId="20A20F43">
            <w:pPr>
              <w:keepNext w:val="0"/>
              <w:keepLines w:val="0"/>
              <w:suppressLineNumbers w:val="0"/>
              <w:autoSpaceDE w:val="0"/>
              <w:autoSpaceDN w:val="0"/>
              <w:spacing w:before="0" w:beforeAutospacing="0" w:after="0" w:afterAutospacing="0" w:line="240" w:lineRule="auto"/>
              <w:ind w:left="0" w:right="0"/>
              <w:jc w:val="center"/>
              <w:rPr>
                <w:rFonts w:hint="default"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序号</w:t>
            </w:r>
          </w:p>
        </w:tc>
        <w:tc>
          <w:tcPr>
            <w:tcW w:w="1010" w:type="pct"/>
            <w:tcBorders>
              <w:top w:val="single" w:color="auto" w:sz="4" w:space="0"/>
              <w:left w:val="single" w:color="auto" w:sz="4" w:space="0"/>
              <w:bottom w:val="single" w:color="auto" w:sz="4" w:space="0"/>
              <w:right w:val="single" w:color="auto" w:sz="4" w:space="0"/>
            </w:tcBorders>
            <w:vAlign w:val="center"/>
          </w:tcPr>
          <w:p w14:paraId="6D6F4728">
            <w:pPr>
              <w:keepNext w:val="0"/>
              <w:keepLines w:val="0"/>
              <w:suppressLineNumbers w:val="0"/>
              <w:autoSpaceDE w:val="0"/>
              <w:autoSpaceDN w:val="0"/>
              <w:spacing w:before="0" w:beforeAutospacing="0" w:after="0" w:afterAutospacing="0" w:line="240" w:lineRule="auto"/>
              <w:ind w:left="0" w:right="0"/>
              <w:jc w:val="center"/>
              <w:rPr>
                <w:rFonts w:hint="default"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名称</w:t>
            </w:r>
          </w:p>
        </w:tc>
        <w:tc>
          <w:tcPr>
            <w:tcW w:w="983" w:type="pct"/>
            <w:tcBorders>
              <w:top w:val="single" w:color="auto" w:sz="4" w:space="0"/>
              <w:left w:val="single" w:color="auto" w:sz="4" w:space="0"/>
              <w:bottom w:val="single" w:color="auto" w:sz="4" w:space="0"/>
              <w:right w:val="single" w:color="auto" w:sz="4" w:space="0"/>
            </w:tcBorders>
            <w:vAlign w:val="center"/>
          </w:tcPr>
          <w:p w14:paraId="6A7A79FD">
            <w:pPr>
              <w:keepNext w:val="0"/>
              <w:keepLines w:val="0"/>
              <w:suppressLineNumbers w:val="0"/>
              <w:autoSpaceDE w:val="0"/>
              <w:autoSpaceDN w:val="0"/>
              <w:spacing w:before="0" w:beforeAutospacing="0" w:after="0" w:afterAutospacing="0" w:line="240" w:lineRule="auto"/>
              <w:ind w:left="0" w:right="0"/>
              <w:jc w:val="center"/>
              <w:rPr>
                <w:rFonts w:hint="default"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子项目（组态开发及安装调试费）（不含销项税，元）</w:t>
            </w:r>
          </w:p>
        </w:tc>
        <w:tc>
          <w:tcPr>
            <w:tcW w:w="1013" w:type="pct"/>
            <w:tcBorders>
              <w:top w:val="single" w:color="auto" w:sz="4" w:space="0"/>
              <w:left w:val="single" w:color="auto" w:sz="4" w:space="0"/>
              <w:bottom w:val="single" w:color="auto" w:sz="4" w:space="0"/>
              <w:right w:val="single" w:color="auto" w:sz="4" w:space="0"/>
            </w:tcBorders>
            <w:vAlign w:val="center"/>
          </w:tcPr>
          <w:p w14:paraId="5BC61A5B">
            <w:pPr>
              <w:keepNext w:val="0"/>
              <w:keepLines w:val="0"/>
              <w:suppressLineNumbers w:val="0"/>
              <w:autoSpaceDE w:val="0"/>
              <w:autoSpaceDN w:val="0"/>
              <w:spacing w:before="0" w:beforeAutospacing="0" w:after="0" w:afterAutospacing="0" w:line="240" w:lineRule="auto"/>
              <w:ind w:left="0" w:right="0"/>
              <w:jc w:val="center"/>
              <w:rPr>
                <w:rFonts w:hint="default" w:ascii="宋体" w:hAnsi="宋体" w:eastAsia="宋体" w:cs="Times New Roman"/>
                <w:b/>
                <w:color w:val="auto"/>
                <w:kern w:val="0"/>
                <w:szCs w:val="21"/>
                <w:highlight w:val="none"/>
              </w:rPr>
            </w:pPr>
            <w:r>
              <w:rPr>
                <w:rFonts w:hint="eastAsia" w:ascii="宋体" w:hAnsi="宋体" w:eastAsia="宋体" w:cs="Times New Roman"/>
                <w:b/>
                <w:color w:val="auto"/>
                <w:szCs w:val="21"/>
                <w:highlight w:val="none"/>
                <w:lang w:val="zh-CN"/>
              </w:rPr>
              <w:t>子项目（软件、硬件设备购置费）</w:t>
            </w:r>
            <w:r>
              <w:rPr>
                <w:rFonts w:hint="eastAsia" w:ascii="宋体" w:hAnsi="宋体" w:eastAsia="宋体" w:cs="Times New Roman"/>
                <w:b/>
                <w:color w:val="auto"/>
                <w:kern w:val="0"/>
                <w:szCs w:val="21"/>
                <w:highlight w:val="none"/>
              </w:rPr>
              <w:t>（不含销项税，元）</w:t>
            </w:r>
          </w:p>
        </w:tc>
        <w:tc>
          <w:tcPr>
            <w:tcW w:w="1021" w:type="pct"/>
            <w:tcBorders>
              <w:top w:val="single" w:color="auto" w:sz="4" w:space="0"/>
              <w:left w:val="single" w:color="auto" w:sz="4" w:space="0"/>
              <w:bottom w:val="single" w:color="auto" w:sz="4" w:space="0"/>
              <w:right w:val="single" w:color="auto" w:sz="4" w:space="0"/>
            </w:tcBorders>
            <w:vAlign w:val="center"/>
          </w:tcPr>
          <w:p w14:paraId="35F4C9DD">
            <w:pPr>
              <w:keepNext w:val="0"/>
              <w:keepLines w:val="0"/>
              <w:suppressLineNumbers w:val="0"/>
              <w:spacing w:before="0" w:beforeAutospacing="0" w:after="0" w:afterAutospacing="0" w:line="240" w:lineRule="auto"/>
              <w:ind w:left="0" w:right="0"/>
              <w:jc w:val="left"/>
              <w:rPr>
                <w:rFonts w:hint="default"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投标报价（投标值）（组态开发及安装调试费+软件、</w:t>
            </w:r>
            <w:r>
              <w:rPr>
                <w:rFonts w:hint="eastAsia" w:ascii="宋体" w:hAnsi="宋体" w:eastAsia="宋体" w:cs="Times New Roman"/>
                <w:b/>
                <w:color w:val="auto"/>
                <w:szCs w:val="21"/>
                <w:highlight w:val="none"/>
                <w:lang w:val="zh-CN"/>
              </w:rPr>
              <w:t>硬件设备购置费</w:t>
            </w:r>
            <w:r>
              <w:rPr>
                <w:rFonts w:hint="eastAsia" w:ascii="宋体" w:hAnsi="宋体" w:eastAsia="宋体" w:cs="Times New Roman"/>
                <w:b/>
                <w:color w:val="auto"/>
                <w:kern w:val="0"/>
                <w:szCs w:val="21"/>
                <w:highlight w:val="none"/>
              </w:rPr>
              <w:t>）（不含销项税，元）</w:t>
            </w:r>
          </w:p>
        </w:tc>
        <w:tc>
          <w:tcPr>
            <w:tcW w:w="617" w:type="pct"/>
            <w:tcBorders>
              <w:top w:val="single" w:color="auto" w:sz="4" w:space="0"/>
              <w:left w:val="single" w:color="auto" w:sz="4" w:space="0"/>
              <w:bottom w:val="single" w:color="auto" w:sz="4" w:space="0"/>
              <w:right w:val="single" w:color="auto" w:sz="4" w:space="0"/>
            </w:tcBorders>
            <w:vAlign w:val="center"/>
          </w:tcPr>
          <w:p w14:paraId="5A898DD3">
            <w:pPr>
              <w:keepNext w:val="0"/>
              <w:keepLines w:val="0"/>
              <w:suppressLineNumbers w:val="0"/>
              <w:autoSpaceDE w:val="0"/>
              <w:autoSpaceDN w:val="0"/>
              <w:spacing w:before="0" w:beforeAutospacing="0" w:after="0" w:afterAutospacing="0" w:line="240" w:lineRule="auto"/>
              <w:ind w:left="0" w:right="0"/>
              <w:jc w:val="center"/>
              <w:rPr>
                <w:rFonts w:hint="default"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备注</w:t>
            </w:r>
          </w:p>
        </w:tc>
      </w:tr>
      <w:tr w14:paraId="1799CE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10" w:hRule="atLeast"/>
        </w:trPr>
        <w:tc>
          <w:tcPr>
            <w:tcW w:w="355" w:type="pct"/>
            <w:tcBorders>
              <w:top w:val="single" w:color="auto" w:sz="4" w:space="0"/>
              <w:left w:val="single" w:color="auto" w:sz="4" w:space="0"/>
              <w:bottom w:val="single" w:color="auto" w:sz="4" w:space="0"/>
              <w:right w:val="single" w:color="auto" w:sz="4" w:space="0"/>
            </w:tcBorders>
            <w:vAlign w:val="center"/>
          </w:tcPr>
          <w:p w14:paraId="328C1899">
            <w:pPr>
              <w:keepNext w:val="0"/>
              <w:keepLines w:val="0"/>
              <w:suppressLineNumbers w:val="0"/>
              <w:autoSpaceDE w:val="0"/>
              <w:autoSpaceDN w:val="0"/>
              <w:spacing w:before="0" w:beforeAutospacing="0" w:after="0" w:afterAutospacing="0" w:line="240" w:lineRule="auto"/>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p>
        </w:tc>
        <w:tc>
          <w:tcPr>
            <w:tcW w:w="1010" w:type="pct"/>
            <w:tcBorders>
              <w:top w:val="single" w:color="auto" w:sz="4" w:space="0"/>
              <w:left w:val="single" w:color="auto" w:sz="4" w:space="0"/>
              <w:bottom w:val="single" w:color="auto" w:sz="4" w:space="0"/>
              <w:right w:val="single" w:color="auto" w:sz="4" w:space="0"/>
            </w:tcBorders>
            <w:vAlign w:val="center"/>
          </w:tcPr>
          <w:p w14:paraId="0EDA83BB">
            <w:pPr>
              <w:keepNext w:val="0"/>
              <w:keepLines w:val="0"/>
              <w:suppressLineNumbers w:val="0"/>
              <w:autoSpaceDE w:val="0"/>
              <w:autoSpaceDN w:val="0"/>
              <w:spacing w:before="0" w:beforeAutospacing="0" w:after="0" w:afterAutospacing="0" w:line="240" w:lineRule="auto"/>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szCs w:val="21"/>
                <w:highlight w:val="none"/>
                <w:lang w:val="zh-CN"/>
              </w:rPr>
              <w:t>东莞市石鼓净水有限公司污水处理厂及提标项目中控系统集约化升级改造项目</w:t>
            </w:r>
          </w:p>
        </w:tc>
        <w:tc>
          <w:tcPr>
            <w:tcW w:w="983" w:type="pct"/>
            <w:tcBorders>
              <w:top w:val="single" w:color="auto" w:sz="4" w:space="0"/>
              <w:left w:val="single" w:color="auto" w:sz="4" w:space="0"/>
              <w:bottom w:val="single" w:color="auto" w:sz="4" w:space="0"/>
              <w:right w:val="single" w:color="auto" w:sz="4" w:space="0"/>
            </w:tcBorders>
            <w:vAlign w:val="center"/>
          </w:tcPr>
          <w:p w14:paraId="72E61FB5">
            <w:pPr>
              <w:keepNext w:val="0"/>
              <w:keepLines w:val="0"/>
              <w:suppressLineNumbers w:val="0"/>
              <w:tabs>
                <w:tab w:val="left" w:pos="8610"/>
              </w:tabs>
              <w:spacing w:before="0" w:beforeAutospacing="0" w:after="0" w:afterAutospacing="0" w:line="240" w:lineRule="auto"/>
              <w:ind w:left="0" w:right="0"/>
              <w:jc w:val="left"/>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小写（人民币）：</w:t>
            </w:r>
          </w:p>
          <w:p w14:paraId="15FC984B">
            <w:pPr>
              <w:keepNext w:val="0"/>
              <w:keepLines w:val="0"/>
              <w:suppressLineNumbers w:val="0"/>
              <w:tabs>
                <w:tab w:val="left" w:pos="8610"/>
              </w:tabs>
              <w:spacing w:before="0" w:beforeAutospacing="0" w:after="0" w:afterAutospacing="0" w:line="240" w:lineRule="auto"/>
              <w:ind w:left="0" w:right="0"/>
              <w:jc w:val="left"/>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u w:val="single"/>
              </w:rPr>
              <w:t xml:space="preserve">                </w:t>
            </w:r>
          </w:p>
        </w:tc>
        <w:tc>
          <w:tcPr>
            <w:tcW w:w="1013" w:type="pct"/>
            <w:tcBorders>
              <w:top w:val="single" w:color="auto" w:sz="4" w:space="0"/>
              <w:left w:val="single" w:color="auto" w:sz="4" w:space="0"/>
              <w:bottom w:val="single" w:color="auto" w:sz="4" w:space="0"/>
              <w:right w:val="single" w:color="auto" w:sz="4" w:space="0"/>
            </w:tcBorders>
            <w:vAlign w:val="center"/>
          </w:tcPr>
          <w:p w14:paraId="210A4BF5">
            <w:pPr>
              <w:keepNext w:val="0"/>
              <w:keepLines w:val="0"/>
              <w:suppressLineNumbers w:val="0"/>
              <w:tabs>
                <w:tab w:val="left" w:pos="8610"/>
              </w:tabs>
              <w:spacing w:before="0" w:beforeAutospacing="0" w:after="0" w:afterAutospacing="0" w:line="240" w:lineRule="auto"/>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小写（人民币）：</w:t>
            </w:r>
          </w:p>
          <w:p w14:paraId="4C959146">
            <w:pPr>
              <w:keepNext w:val="0"/>
              <w:keepLines w:val="0"/>
              <w:suppressLineNumbers w:val="0"/>
              <w:tabs>
                <w:tab w:val="left" w:pos="8610"/>
              </w:tabs>
              <w:spacing w:before="0" w:beforeAutospacing="0" w:after="0" w:afterAutospacing="0" w:line="240" w:lineRule="auto"/>
              <w:ind w:left="0" w:right="0"/>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u w:val="single"/>
              </w:rPr>
              <w:t xml:space="preserve">              </w:t>
            </w:r>
          </w:p>
        </w:tc>
        <w:tc>
          <w:tcPr>
            <w:tcW w:w="1021" w:type="pct"/>
            <w:tcBorders>
              <w:top w:val="single" w:color="auto" w:sz="4" w:space="0"/>
              <w:left w:val="single" w:color="auto" w:sz="4" w:space="0"/>
              <w:bottom w:val="single" w:color="auto" w:sz="4" w:space="0"/>
              <w:right w:val="single" w:color="auto" w:sz="4" w:space="0"/>
            </w:tcBorders>
            <w:vAlign w:val="center"/>
          </w:tcPr>
          <w:p w14:paraId="56775443">
            <w:pPr>
              <w:keepNext w:val="0"/>
              <w:keepLines w:val="0"/>
              <w:suppressLineNumbers w:val="0"/>
              <w:tabs>
                <w:tab w:val="left" w:pos="8610"/>
              </w:tabs>
              <w:spacing w:before="0" w:beforeAutospacing="0" w:after="0" w:afterAutospacing="0" w:line="240" w:lineRule="auto"/>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小写（人民币）：</w:t>
            </w:r>
          </w:p>
          <w:p w14:paraId="607F2F12">
            <w:pPr>
              <w:keepNext w:val="0"/>
              <w:keepLines w:val="0"/>
              <w:suppressLineNumbers w:val="0"/>
              <w:tabs>
                <w:tab w:val="left" w:pos="8610"/>
              </w:tabs>
              <w:spacing w:before="0" w:beforeAutospacing="0" w:after="0" w:afterAutospacing="0" w:line="240" w:lineRule="auto"/>
              <w:ind w:left="0" w:right="0"/>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1"/>
                <w:highlight w:val="none"/>
              </w:rPr>
              <w:t xml:space="preserve">  </w:t>
            </w:r>
          </w:p>
        </w:tc>
        <w:tc>
          <w:tcPr>
            <w:tcW w:w="617" w:type="pct"/>
            <w:tcBorders>
              <w:top w:val="single" w:color="auto" w:sz="4" w:space="0"/>
              <w:left w:val="single" w:color="auto" w:sz="4" w:space="0"/>
              <w:bottom w:val="single" w:color="auto" w:sz="4" w:space="0"/>
              <w:right w:val="single" w:color="auto" w:sz="4" w:space="0"/>
            </w:tcBorders>
            <w:vAlign w:val="center"/>
          </w:tcPr>
          <w:p w14:paraId="6D17D6B4">
            <w:pPr>
              <w:keepNext w:val="0"/>
              <w:keepLines w:val="0"/>
              <w:suppressLineNumbers w:val="0"/>
              <w:tabs>
                <w:tab w:val="left" w:pos="8610"/>
              </w:tabs>
              <w:spacing w:before="0" w:beforeAutospacing="0" w:after="0" w:afterAutospacing="0" w:line="240" w:lineRule="auto"/>
              <w:ind w:left="0" w:right="0"/>
              <w:jc w:val="center"/>
              <w:rPr>
                <w:rFonts w:hint="default" w:ascii="宋体" w:hAnsi="宋体" w:eastAsia="宋体" w:cs="Times New Roman"/>
                <w:color w:val="auto"/>
                <w:kern w:val="0"/>
                <w:szCs w:val="21"/>
                <w:highlight w:val="none"/>
              </w:rPr>
            </w:pPr>
          </w:p>
        </w:tc>
      </w:tr>
      <w:tr w14:paraId="198FB4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10" w:hRule="atLeast"/>
        </w:trPr>
        <w:tc>
          <w:tcPr>
            <w:tcW w:w="355" w:type="pct"/>
            <w:tcBorders>
              <w:top w:val="single" w:color="auto" w:sz="4" w:space="0"/>
              <w:left w:val="single" w:color="auto" w:sz="4" w:space="0"/>
              <w:right w:val="single" w:color="auto" w:sz="4" w:space="0"/>
            </w:tcBorders>
            <w:vAlign w:val="center"/>
          </w:tcPr>
          <w:p w14:paraId="4EBF94A5">
            <w:pPr>
              <w:keepNext w:val="0"/>
              <w:keepLines w:val="0"/>
              <w:suppressLineNumbers w:val="0"/>
              <w:autoSpaceDE w:val="0"/>
              <w:autoSpaceDN w:val="0"/>
              <w:spacing w:before="0" w:beforeAutospacing="0" w:after="0" w:afterAutospacing="0" w:line="240" w:lineRule="auto"/>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w:t>
            </w:r>
          </w:p>
        </w:tc>
        <w:tc>
          <w:tcPr>
            <w:tcW w:w="1010" w:type="pct"/>
            <w:tcBorders>
              <w:top w:val="single" w:color="auto" w:sz="4" w:space="0"/>
              <w:left w:val="single" w:color="auto" w:sz="4" w:space="0"/>
              <w:right w:val="single" w:color="auto" w:sz="4" w:space="0"/>
            </w:tcBorders>
            <w:vAlign w:val="center"/>
          </w:tcPr>
          <w:p w14:paraId="546066AC">
            <w:pPr>
              <w:keepNext w:val="0"/>
              <w:keepLines w:val="0"/>
              <w:suppressLineNumbers w:val="0"/>
              <w:autoSpaceDE w:val="0"/>
              <w:autoSpaceDN w:val="0"/>
              <w:spacing w:before="0" w:beforeAutospacing="0" w:after="0" w:afterAutospacing="0" w:line="240" w:lineRule="auto"/>
              <w:ind w:left="0" w:right="0"/>
              <w:jc w:val="center"/>
              <w:rPr>
                <w:rFonts w:hint="default"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免费质保期后的每年运维费用</w:t>
            </w:r>
          </w:p>
          <w:p w14:paraId="65E68DBC">
            <w:pPr>
              <w:keepNext w:val="0"/>
              <w:keepLines w:val="0"/>
              <w:suppressLineNumbers w:val="0"/>
              <w:autoSpaceDE w:val="0"/>
              <w:autoSpaceDN w:val="0"/>
              <w:spacing w:before="0" w:beforeAutospacing="0" w:after="0" w:afterAutospacing="0" w:line="240" w:lineRule="auto"/>
              <w:ind w:left="0" w:right="0"/>
              <w:jc w:val="center"/>
              <w:rPr>
                <w:rFonts w:hint="default"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（不含销项税，元）</w:t>
            </w:r>
          </w:p>
        </w:tc>
        <w:tc>
          <w:tcPr>
            <w:tcW w:w="3017" w:type="pct"/>
            <w:gridSpan w:val="3"/>
            <w:tcBorders>
              <w:top w:val="single" w:color="auto" w:sz="4" w:space="0"/>
              <w:left w:val="single" w:color="auto" w:sz="4" w:space="0"/>
              <w:right w:val="single" w:color="auto" w:sz="4" w:space="0"/>
            </w:tcBorders>
            <w:vAlign w:val="center"/>
          </w:tcPr>
          <w:p w14:paraId="3657C9FB">
            <w:pPr>
              <w:keepNext w:val="0"/>
              <w:keepLines w:val="0"/>
              <w:suppressLineNumbers w:val="0"/>
              <w:tabs>
                <w:tab w:val="left" w:pos="8610"/>
              </w:tabs>
              <w:spacing w:before="0" w:beforeAutospacing="0" w:after="0" w:afterAutospacing="0" w:line="240" w:lineRule="auto"/>
              <w:ind w:left="0" w:right="0"/>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小写（人民币）：</w:t>
            </w:r>
          </w:p>
          <w:p w14:paraId="6F06C842">
            <w:pPr>
              <w:keepNext w:val="0"/>
              <w:keepLines w:val="0"/>
              <w:suppressLineNumbers w:val="0"/>
              <w:tabs>
                <w:tab w:val="left" w:pos="8610"/>
              </w:tabs>
              <w:spacing w:before="0" w:beforeAutospacing="0" w:after="0" w:afterAutospacing="0" w:line="240" w:lineRule="auto"/>
              <w:ind w:left="0" w:right="0"/>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u w:val="single"/>
              </w:rPr>
              <w:t xml:space="preserve">                                                </w:t>
            </w:r>
          </w:p>
        </w:tc>
        <w:tc>
          <w:tcPr>
            <w:tcW w:w="617" w:type="pct"/>
            <w:tcBorders>
              <w:top w:val="single" w:color="auto" w:sz="4" w:space="0"/>
              <w:left w:val="single" w:color="auto" w:sz="4" w:space="0"/>
              <w:right w:val="single" w:color="auto" w:sz="4" w:space="0"/>
            </w:tcBorders>
            <w:vAlign w:val="center"/>
          </w:tcPr>
          <w:p w14:paraId="71DA9437">
            <w:pPr>
              <w:keepNext w:val="0"/>
              <w:keepLines w:val="0"/>
              <w:suppressLineNumbers w:val="0"/>
              <w:tabs>
                <w:tab w:val="left" w:pos="8610"/>
              </w:tabs>
              <w:spacing w:before="0" w:beforeAutospacing="0" w:after="0" w:afterAutospacing="0" w:line="240" w:lineRule="auto"/>
              <w:ind w:left="0" w:right="0"/>
              <w:jc w:val="center"/>
              <w:rPr>
                <w:rFonts w:hint="default" w:ascii="宋体" w:hAnsi="宋体" w:eastAsia="宋体" w:cs="宋体"/>
                <w:color w:val="auto"/>
                <w:kern w:val="0"/>
                <w:szCs w:val="21"/>
                <w:highlight w:val="none"/>
              </w:rPr>
            </w:pPr>
            <w:r>
              <w:rPr>
                <w:rFonts w:hint="eastAsia" w:ascii="宋体" w:hAnsi="宋体" w:eastAsia="宋体" w:cs="宋体"/>
                <w:b/>
                <w:bCs/>
                <w:color w:val="auto"/>
                <w:szCs w:val="21"/>
                <w:highlight w:val="none"/>
                <w:u w:val="single"/>
                <w:lang w:val="zh-CN"/>
              </w:rPr>
              <w:t>不计入在本项目投标报价（投标值）中</w:t>
            </w:r>
          </w:p>
        </w:tc>
      </w:tr>
    </w:tbl>
    <w:p w14:paraId="3AFE7ED0">
      <w:pPr>
        <w:rPr>
          <w:rFonts w:ascii="宋体" w:hAnsi="宋体" w:eastAsia="宋体" w:cs="宋体"/>
          <w:color w:val="auto"/>
          <w:kern w:val="0"/>
          <w:sz w:val="20"/>
          <w:szCs w:val="21"/>
          <w:highlight w:val="none"/>
        </w:rPr>
      </w:pPr>
    </w:p>
    <w:p w14:paraId="6D996DB8">
      <w:pPr>
        <w:keepNext w:val="0"/>
        <w:keepLines w:val="0"/>
        <w:pageBreakBefore w:val="0"/>
        <w:widowControl w:val="0"/>
        <w:kinsoku/>
        <w:wordWrap/>
        <w:overflowPunct/>
        <w:topLinePunct w:val="0"/>
        <w:autoSpaceDE w:val="0"/>
        <w:autoSpaceDN w:val="0"/>
        <w:bidi w:val="0"/>
        <w:adjustRightInd w:val="0"/>
        <w:spacing w:line="360" w:lineRule="exact"/>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p w14:paraId="06184B80">
      <w:pPr>
        <w:keepNext w:val="0"/>
        <w:keepLines w:val="0"/>
        <w:pageBreakBefore w:val="0"/>
        <w:widowControl w:val="0"/>
        <w:kinsoku/>
        <w:wordWrap/>
        <w:overflowPunct/>
        <w:topLinePunct w:val="0"/>
        <w:autoSpaceDE w:val="0"/>
        <w:autoSpaceDN w:val="0"/>
        <w:bidi w:val="0"/>
        <w:adjustRightInd w:val="0"/>
        <w:snapToGrid w:val="0"/>
        <w:spacing w:line="360" w:lineRule="exact"/>
        <w:ind w:left="605" w:leftChars="18" w:hanging="567" w:hangingChars="270"/>
        <w:jc w:val="left"/>
        <w:textAlignment w:val="auto"/>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r>
        <w:rPr>
          <w:rFonts w:hint="eastAsia" w:ascii="宋体" w:hAnsi="宋体" w:eastAsia="宋体" w:cs="Times New Roman"/>
          <w:b/>
          <w:color w:val="auto"/>
          <w:kern w:val="0"/>
          <w:szCs w:val="21"/>
          <w:highlight w:val="none"/>
          <w:u w:val="single"/>
        </w:rPr>
        <w:t>本项目投标报价（投标值）为不含税价，即为《中华人民共和国增值税暂行条例》（国务院令第6</w:t>
      </w:r>
      <w:r>
        <w:rPr>
          <w:rFonts w:ascii="宋体" w:hAnsi="宋体" w:eastAsia="宋体" w:cs="Times New Roman"/>
          <w:b/>
          <w:color w:val="auto"/>
          <w:kern w:val="0"/>
          <w:szCs w:val="21"/>
          <w:highlight w:val="none"/>
          <w:u w:val="single"/>
        </w:rPr>
        <w:t>91</w:t>
      </w:r>
      <w:r>
        <w:rPr>
          <w:rFonts w:hint="eastAsia" w:ascii="宋体" w:hAnsi="宋体" w:eastAsia="宋体" w:cs="Times New Roman"/>
          <w:b/>
          <w:color w:val="auto"/>
          <w:kern w:val="0"/>
          <w:szCs w:val="21"/>
          <w:highlight w:val="none"/>
          <w:u w:val="single"/>
        </w:rPr>
        <w:t>号修订版）规定的销售额</w:t>
      </w:r>
      <w:r>
        <w:rPr>
          <w:rFonts w:hint="eastAsia" w:ascii="宋体" w:hAnsi="宋体" w:eastAsia="宋体" w:cs="Times New Roman"/>
          <w:color w:val="auto"/>
          <w:kern w:val="0"/>
          <w:szCs w:val="21"/>
          <w:highlight w:val="none"/>
        </w:rPr>
        <w:t>。本招标文件所称的不含税价是指不含本采购项目的投标人销项税额，包含了投标人完成合同义务（含投标人代缴代扣、分包及委外服务、施工、采购货物等所产生的价税）的其他全部费用。</w:t>
      </w:r>
      <w:r>
        <w:rPr>
          <w:rFonts w:hint="eastAsia" w:ascii="宋体" w:hAnsi="宋体" w:eastAsia="宋体" w:cs="Times New Roman"/>
          <w:color w:val="auto"/>
          <w:szCs w:val="21"/>
          <w:highlight w:val="none"/>
          <w:lang w:val="zh-CN"/>
        </w:rPr>
        <w:t>本采购项目的销项税额由招标人承担</w:t>
      </w:r>
      <w:r>
        <w:rPr>
          <w:rFonts w:hint="eastAsia" w:ascii="宋体" w:hAnsi="宋体" w:eastAsia="宋体" w:cs="Times New Roman"/>
          <w:color w:val="auto"/>
          <w:kern w:val="0"/>
          <w:szCs w:val="21"/>
          <w:highlight w:val="none"/>
        </w:rPr>
        <w:t>，不计入投标报价。</w:t>
      </w:r>
    </w:p>
    <w:p w14:paraId="0D1F9CEF">
      <w:pPr>
        <w:keepNext w:val="0"/>
        <w:keepLines w:val="0"/>
        <w:pageBreakBefore w:val="0"/>
        <w:widowControl w:val="0"/>
        <w:kinsoku/>
        <w:wordWrap/>
        <w:overflowPunct/>
        <w:topLinePunct w:val="0"/>
        <w:autoSpaceDE w:val="0"/>
        <w:autoSpaceDN w:val="0"/>
        <w:bidi w:val="0"/>
        <w:adjustRightInd w:val="0"/>
        <w:snapToGrid w:val="0"/>
        <w:spacing w:line="360" w:lineRule="exact"/>
        <w:ind w:left="605" w:leftChars="18" w:hanging="567" w:hangingChars="270"/>
        <w:jc w:val="left"/>
        <w:textAlignment w:val="auto"/>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（2）此表的投标报价（投标值）指所有需招标人支付的本次招标范围内所有内容的金额总数即报价信封中的投标值。</w:t>
      </w:r>
    </w:p>
    <w:p w14:paraId="270E68E0">
      <w:pPr>
        <w:keepNext w:val="0"/>
        <w:keepLines w:val="0"/>
        <w:pageBreakBefore w:val="0"/>
        <w:widowControl w:val="0"/>
        <w:kinsoku/>
        <w:wordWrap/>
        <w:overflowPunct/>
        <w:topLinePunct w:val="0"/>
        <w:autoSpaceDE w:val="0"/>
        <w:autoSpaceDN w:val="0"/>
        <w:bidi w:val="0"/>
        <w:adjustRightInd w:val="0"/>
        <w:snapToGrid w:val="0"/>
        <w:spacing w:line="360" w:lineRule="exact"/>
        <w:ind w:left="605" w:leftChars="18" w:hanging="567" w:hangingChars="270"/>
        <w:jc w:val="left"/>
        <w:textAlignment w:val="auto"/>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3</w:t>
      </w:r>
      <w:r>
        <w:rPr>
          <w:rFonts w:hint="eastAsia" w:ascii="宋体" w:hAnsi="宋体" w:eastAsia="宋体" w:cs="Times New Roman"/>
          <w:color w:val="auto"/>
          <w:kern w:val="0"/>
          <w:szCs w:val="21"/>
          <w:highlight w:val="none"/>
        </w:rPr>
        <w:t>）</w:t>
      </w:r>
      <w:r>
        <w:rPr>
          <w:rFonts w:hint="eastAsia" w:ascii="宋体" w:hAnsi="宋体" w:eastAsia="宋体" w:cs="Times New Roman"/>
          <w:b/>
          <w:bCs/>
          <w:color w:val="auto"/>
          <w:kern w:val="0"/>
          <w:szCs w:val="21"/>
          <w:highlight w:val="none"/>
        </w:rPr>
        <w:t>本项目投标报价（投标值）由组态开发及安装调试费和软件、硬件设备购置费两个子项目组成。</w:t>
      </w:r>
    </w:p>
    <w:p w14:paraId="2B771933">
      <w:pPr>
        <w:keepNext w:val="0"/>
        <w:keepLines w:val="0"/>
        <w:pageBreakBefore w:val="0"/>
        <w:widowControl w:val="0"/>
        <w:kinsoku/>
        <w:wordWrap/>
        <w:overflowPunct/>
        <w:topLinePunct w:val="0"/>
        <w:autoSpaceDE w:val="0"/>
        <w:autoSpaceDN w:val="0"/>
        <w:bidi w:val="0"/>
        <w:adjustRightInd w:val="0"/>
        <w:snapToGrid w:val="0"/>
        <w:spacing w:line="360" w:lineRule="exact"/>
        <w:ind w:left="605" w:leftChars="18" w:hanging="567" w:hangingChars="270"/>
        <w:jc w:val="left"/>
        <w:textAlignment w:val="auto"/>
        <w:rPr>
          <w:rFonts w:ascii="宋体" w:hAnsi="宋体" w:eastAsia="宋体" w:cs="Times New Roman"/>
          <w:b/>
          <w:bCs/>
          <w:color w:val="auto"/>
          <w:kern w:val="0"/>
          <w:szCs w:val="21"/>
          <w:highlight w:val="none"/>
          <w:lang w:val="zh-CN"/>
        </w:rPr>
      </w:pPr>
      <w:r>
        <w:rPr>
          <w:rFonts w:hint="eastAsia" w:ascii="宋体" w:hAnsi="宋体" w:eastAsia="宋体" w:cs="Times New Roman"/>
          <w:color w:val="auto"/>
          <w:kern w:val="0"/>
          <w:szCs w:val="21"/>
          <w:highlight w:val="none"/>
        </w:rPr>
        <w:t>（4）</w:t>
      </w:r>
      <w:r>
        <w:rPr>
          <w:rFonts w:hint="eastAsia" w:ascii="宋体" w:hAnsi="宋体" w:eastAsia="宋体" w:cs="Times New Roman"/>
          <w:b/>
          <w:bCs/>
          <w:color w:val="auto"/>
          <w:kern w:val="0"/>
          <w:szCs w:val="21"/>
          <w:highlight w:val="none"/>
          <w:u w:val="single"/>
          <w:lang w:val="zh-CN"/>
        </w:rPr>
        <w:t>本表内各子项目的报价之和应等于报价信封中的投标值。若本表内各子项目的报价之和不等于报价信封中的投标值时，以报价信封中的投标值为准，同比例修正表内各子项目的报价。</w:t>
      </w:r>
    </w:p>
    <w:p w14:paraId="3A931F3C">
      <w:pPr>
        <w:keepNext w:val="0"/>
        <w:keepLines w:val="0"/>
        <w:pageBreakBefore w:val="0"/>
        <w:widowControl w:val="0"/>
        <w:kinsoku/>
        <w:wordWrap/>
        <w:overflowPunct/>
        <w:topLinePunct w:val="0"/>
        <w:autoSpaceDE w:val="0"/>
        <w:autoSpaceDN w:val="0"/>
        <w:bidi w:val="0"/>
        <w:adjustRightInd w:val="0"/>
        <w:snapToGrid w:val="0"/>
        <w:spacing w:line="360" w:lineRule="exact"/>
        <w:ind w:left="605" w:leftChars="18" w:hanging="567" w:hangingChars="270"/>
        <w:jc w:val="left"/>
        <w:textAlignment w:val="auto"/>
        <w:rPr>
          <w:rFonts w:ascii="宋体" w:hAnsi="宋体" w:eastAsia="宋体" w:cs="宋体"/>
          <w:color w:val="auto"/>
          <w:kern w:val="0"/>
          <w:szCs w:val="21"/>
          <w:highlight w:val="none"/>
        </w:rPr>
      </w:pPr>
      <w:r>
        <w:rPr>
          <w:rFonts w:hint="eastAsia" w:ascii="宋体" w:hAnsi="宋体" w:eastAsia="宋体" w:cs="Times New Roman"/>
          <w:color w:val="auto"/>
          <w:kern w:val="0"/>
          <w:szCs w:val="21"/>
          <w:highlight w:val="none"/>
        </w:rPr>
        <w:t>（5）</w:t>
      </w:r>
      <w:r>
        <w:rPr>
          <w:rFonts w:hint="eastAsia" w:ascii="宋体" w:hAnsi="宋体" w:eastAsia="宋体" w:cs="宋体"/>
          <w:b/>
          <w:bCs/>
          <w:color w:val="auto"/>
          <w:szCs w:val="21"/>
          <w:highlight w:val="none"/>
          <w:u w:val="single"/>
          <w:lang w:val="zh-CN"/>
        </w:rPr>
        <w:t>免费质保期后的每年运维费用不计入在本项目投标报价中，</w:t>
      </w:r>
      <w:r>
        <w:rPr>
          <w:rFonts w:hint="eastAsia" w:ascii="宋体" w:hAnsi="宋体" w:eastAsia="宋体" w:cs="宋体"/>
          <w:color w:val="auto"/>
          <w:kern w:val="0"/>
          <w:szCs w:val="21"/>
          <w:highlight w:val="none"/>
        </w:rPr>
        <w:t>投标人需对用户需求书2.9“质保及售后要求”的“运维服务内容”报价，免费质保期后的每年运维费用不得超过本项目投标人投标报价的8%。</w:t>
      </w:r>
    </w:p>
    <w:p w14:paraId="67430C76">
      <w:pPr>
        <w:keepNext w:val="0"/>
        <w:keepLines w:val="0"/>
        <w:pageBreakBefore w:val="0"/>
        <w:widowControl w:val="0"/>
        <w:kinsoku/>
        <w:wordWrap/>
        <w:overflowPunct/>
        <w:topLinePunct w:val="0"/>
        <w:autoSpaceDE w:val="0"/>
        <w:autoSpaceDN w:val="0"/>
        <w:bidi w:val="0"/>
        <w:adjustRightInd w:val="0"/>
        <w:snapToGrid w:val="0"/>
        <w:spacing w:line="360" w:lineRule="exact"/>
        <w:ind w:left="605" w:leftChars="18" w:hanging="567" w:hangingChars="270"/>
        <w:jc w:val="left"/>
        <w:textAlignment w:val="auto"/>
        <w:rPr>
          <w:rFonts w:ascii="宋体" w:hAnsi="宋体" w:eastAsia="宋体" w:cs="Times New Roman"/>
          <w:b/>
          <w:bCs/>
          <w:color w:val="auto"/>
          <w:kern w:val="0"/>
          <w:szCs w:val="21"/>
          <w:highlight w:val="none"/>
        </w:rPr>
      </w:pPr>
      <w:r>
        <w:rPr>
          <w:rFonts w:hint="eastAsia" w:ascii="宋体" w:hAnsi="宋体" w:eastAsia="宋体" w:cs="宋体"/>
          <w:color w:val="auto"/>
          <w:kern w:val="0"/>
          <w:szCs w:val="21"/>
          <w:highlight w:val="none"/>
        </w:rPr>
        <w:t>（6）</w:t>
      </w:r>
      <w:r>
        <w:rPr>
          <w:rFonts w:hint="eastAsia" w:ascii="宋体" w:hAnsi="宋体" w:eastAsia="宋体" w:cs="宋体"/>
          <w:b/>
          <w:bCs/>
          <w:color w:val="auto"/>
          <w:kern w:val="0"/>
          <w:szCs w:val="21"/>
          <w:highlight w:val="none"/>
        </w:rPr>
        <w:t>由投标人使用投标人的企业数字证书，法定代表人或其授权代表数字证书电子签名。</w:t>
      </w:r>
    </w:p>
    <w:p w14:paraId="0E8A663C">
      <w:pPr>
        <w:keepNext w:val="0"/>
        <w:keepLines w:val="0"/>
        <w:pageBreakBefore w:val="0"/>
        <w:widowControl w:val="0"/>
        <w:kinsoku/>
        <w:wordWrap/>
        <w:overflowPunct/>
        <w:topLinePunct w:val="0"/>
        <w:autoSpaceDE w:val="0"/>
        <w:autoSpaceDN w:val="0"/>
        <w:bidi w:val="0"/>
        <w:adjustRightInd w:val="0"/>
        <w:spacing w:line="360" w:lineRule="exact"/>
        <w:ind w:firstLine="4960" w:firstLineChars="2362"/>
        <w:textAlignment w:val="auto"/>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59137C9D">
      <w:pPr>
        <w:keepNext w:val="0"/>
        <w:keepLines w:val="0"/>
        <w:pageBreakBefore w:val="0"/>
        <w:widowControl w:val="0"/>
        <w:kinsoku/>
        <w:wordWrap/>
        <w:overflowPunct/>
        <w:topLinePunct w:val="0"/>
        <w:autoSpaceDE w:val="0"/>
        <w:autoSpaceDN w:val="0"/>
        <w:bidi w:val="0"/>
        <w:adjustRightInd w:val="0"/>
        <w:spacing w:line="360" w:lineRule="exact"/>
        <w:ind w:firstLine="4960" w:firstLineChars="2362"/>
        <w:textAlignment w:val="auto"/>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法定代表人或其授权代表签名：</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（电子签名）</w:t>
      </w:r>
    </w:p>
    <w:p w14:paraId="2735A6C3">
      <w:pPr>
        <w:keepNext w:val="0"/>
        <w:keepLines w:val="0"/>
        <w:pageBreakBefore w:val="0"/>
        <w:widowControl w:val="0"/>
        <w:kinsoku/>
        <w:wordWrap/>
        <w:overflowPunct/>
        <w:topLinePunct w:val="0"/>
        <w:autoSpaceDE w:val="0"/>
        <w:autoSpaceDN w:val="0"/>
        <w:bidi w:val="0"/>
        <w:adjustRightInd w:val="0"/>
        <w:spacing w:line="360" w:lineRule="exact"/>
        <w:ind w:firstLine="4960" w:firstLineChars="2362"/>
        <w:textAlignment w:val="auto"/>
        <w:rPr>
          <w:rFonts w:ascii="宋体" w:hAnsi="宋体" w:eastAsia="宋体" w:cs="Times New Roman"/>
          <w:color w:val="auto"/>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s="Times New Roman"/>
          <w:color w:val="auto"/>
          <w:szCs w:val="24"/>
          <w:highlight w:val="none"/>
          <w:lang w:val="zh-CN"/>
        </w:rPr>
        <w:t>期：   年   月   日</w:t>
      </w:r>
    </w:p>
    <w:p w14:paraId="6FCB39C2">
      <w:pPr>
        <w:autoSpaceDE w:val="0"/>
        <w:autoSpaceDN w:val="0"/>
        <w:adjustRightInd w:val="0"/>
        <w:spacing w:line="360" w:lineRule="auto"/>
        <w:ind w:firstLine="4960" w:firstLineChars="2362"/>
        <w:rPr>
          <w:rFonts w:ascii="宋体" w:hAnsi="宋体" w:eastAsia="宋体" w:cs="Times New Roman"/>
          <w:color w:val="auto"/>
          <w:szCs w:val="24"/>
          <w:highlight w:val="none"/>
          <w:lang w:val="zh-CN"/>
        </w:rPr>
      </w:pPr>
    </w:p>
    <w:p w14:paraId="36E98A71">
      <w:pPr>
        <w:autoSpaceDE/>
        <w:autoSpaceDN/>
        <w:adjustRightInd/>
        <w:spacing w:line="240" w:lineRule="auto"/>
        <w:ind w:left="0" w:firstLine="0" w:firstLineChars="0"/>
        <w:jc w:val="left"/>
        <w:outlineLvl w:val="9"/>
        <w:rPr>
          <w:rFonts w:ascii="宋体" w:hAnsi="宋体" w:eastAsia="宋体" w:cs="宋体"/>
          <w:b/>
          <w:color w:val="auto"/>
          <w:kern w:val="0"/>
          <w:sz w:val="30"/>
          <w:szCs w:val="30"/>
          <w:highlight w:val="none"/>
        </w:rPr>
      </w:pPr>
      <w:bookmarkStart w:id="798" w:name="_Toc27734"/>
      <w:bookmarkStart w:id="799" w:name="_Toc142508368"/>
      <w:bookmarkStart w:id="800" w:name="_Toc30859"/>
      <w:bookmarkStart w:id="801" w:name="_Toc140596927"/>
      <w:bookmarkStart w:id="802" w:name="_Toc102860417"/>
      <w:bookmarkStart w:id="803" w:name="_Toc94107208"/>
      <w:bookmarkStart w:id="804" w:name="_Toc104991874"/>
      <w:bookmarkStart w:id="805" w:name="_Toc102860073"/>
      <w:r>
        <w:rPr>
          <w:rFonts w:hint="eastAsia" w:ascii="宋体" w:hAnsi="宋体" w:eastAsia="宋体" w:cs="宋体"/>
          <w:b/>
          <w:color w:val="auto"/>
          <w:kern w:val="0"/>
          <w:sz w:val="30"/>
          <w:szCs w:val="30"/>
          <w:highlight w:val="none"/>
        </w:rPr>
        <w:br w:type="page"/>
      </w:r>
    </w:p>
    <w:p w14:paraId="29638838">
      <w:pPr>
        <w:tabs>
          <w:tab w:val="left" w:pos="567"/>
        </w:tabs>
        <w:autoSpaceDE w:val="0"/>
        <w:autoSpaceDN w:val="0"/>
        <w:adjustRightInd w:val="0"/>
        <w:spacing w:line="360" w:lineRule="auto"/>
        <w:ind w:left="711" w:hanging="711" w:hangingChars="236"/>
        <w:jc w:val="left"/>
        <w:outlineLvl w:val="2"/>
        <w:rPr>
          <w:rFonts w:ascii="宋体" w:hAnsi="宋体" w:eastAsia="宋体" w:cs="宋体"/>
          <w:b/>
          <w:color w:val="auto"/>
          <w:sz w:val="30"/>
          <w:szCs w:val="30"/>
          <w:highlight w:val="none"/>
          <w:lang w:val="zh-CN"/>
        </w:rPr>
      </w:pPr>
      <w:bookmarkStart w:id="806" w:name="_Toc195714380"/>
      <w:bookmarkStart w:id="807" w:name="_Toc21878"/>
      <w:r>
        <w:rPr>
          <w:rFonts w:hint="eastAsia" w:ascii="宋体" w:hAnsi="宋体" w:eastAsia="宋体" w:cs="宋体"/>
          <w:b/>
          <w:color w:val="auto"/>
          <w:kern w:val="0"/>
          <w:sz w:val="30"/>
          <w:szCs w:val="30"/>
          <w:highlight w:val="none"/>
        </w:rPr>
        <w:t>4</w:t>
      </w:r>
      <w:r>
        <w:rPr>
          <w:rFonts w:ascii="宋体" w:hAnsi="宋体" w:eastAsia="宋体" w:cs="宋体"/>
          <w:b/>
          <w:color w:val="auto"/>
          <w:kern w:val="0"/>
          <w:sz w:val="30"/>
          <w:szCs w:val="30"/>
          <w:highlight w:val="none"/>
        </w:rPr>
        <w:t xml:space="preserve">.2 </w:t>
      </w:r>
      <w:r>
        <w:rPr>
          <w:rFonts w:hint="eastAsia" w:ascii="宋体" w:hAnsi="宋体" w:eastAsia="宋体" w:cs="宋体"/>
          <w:b/>
          <w:color w:val="auto"/>
          <w:kern w:val="0"/>
          <w:sz w:val="30"/>
          <w:szCs w:val="30"/>
          <w:highlight w:val="none"/>
        </w:rPr>
        <w:t>分项</w:t>
      </w:r>
      <w:r>
        <w:rPr>
          <w:rFonts w:ascii="宋体" w:hAnsi="宋体" w:eastAsia="宋体" w:cs="宋体"/>
          <w:b/>
          <w:color w:val="auto"/>
          <w:kern w:val="0"/>
          <w:sz w:val="30"/>
          <w:szCs w:val="30"/>
          <w:highlight w:val="none"/>
        </w:rPr>
        <w:t>报价</w:t>
      </w:r>
      <w:r>
        <w:rPr>
          <w:rFonts w:hint="eastAsia" w:ascii="宋体" w:hAnsi="宋体" w:eastAsia="宋体" w:cs="宋体"/>
          <w:b/>
          <w:color w:val="auto"/>
          <w:kern w:val="0"/>
          <w:sz w:val="30"/>
          <w:szCs w:val="30"/>
          <w:highlight w:val="none"/>
        </w:rPr>
        <w:t>明细</w:t>
      </w:r>
      <w:r>
        <w:rPr>
          <w:rFonts w:ascii="宋体" w:hAnsi="宋体" w:eastAsia="宋体" w:cs="宋体"/>
          <w:b/>
          <w:color w:val="auto"/>
          <w:kern w:val="0"/>
          <w:sz w:val="30"/>
          <w:szCs w:val="30"/>
          <w:highlight w:val="none"/>
        </w:rPr>
        <w:t>表</w:t>
      </w:r>
      <w:bookmarkEnd w:id="798"/>
      <w:bookmarkEnd w:id="799"/>
      <w:bookmarkEnd w:id="800"/>
      <w:bookmarkEnd w:id="801"/>
      <w:bookmarkEnd w:id="802"/>
      <w:bookmarkEnd w:id="803"/>
      <w:bookmarkEnd w:id="804"/>
      <w:bookmarkEnd w:id="805"/>
      <w:bookmarkEnd w:id="806"/>
      <w:bookmarkEnd w:id="807"/>
    </w:p>
    <w:p w14:paraId="6FCE3B5B">
      <w:pPr>
        <w:autoSpaceDE w:val="0"/>
        <w:autoSpaceDN w:val="0"/>
        <w:adjustRightInd w:val="0"/>
        <w:spacing w:line="360" w:lineRule="auto"/>
        <w:jc w:val="center"/>
        <w:rPr>
          <w:rFonts w:ascii="宋体" w:hAnsi="宋体" w:eastAsia="宋体" w:cs="宋体"/>
          <w:b/>
          <w:bCs/>
          <w:color w:val="auto"/>
          <w:sz w:val="30"/>
          <w:szCs w:val="30"/>
          <w:highlight w:val="none"/>
          <w:lang w:val="zh-CN"/>
        </w:rPr>
      </w:pPr>
      <w:r>
        <w:rPr>
          <w:rFonts w:hint="eastAsia" w:ascii="宋体" w:hAnsi="宋体" w:eastAsia="宋体" w:cs="宋体"/>
          <w:b/>
          <w:bCs/>
          <w:color w:val="auto"/>
          <w:sz w:val="30"/>
          <w:szCs w:val="30"/>
          <w:highlight w:val="none"/>
          <w:lang w:val="zh-CN"/>
        </w:rPr>
        <w:t>分项</w:t>
      </w:r>
      <w:r>
        <w:rPr>
          <w:rFonts w:ascii="宋体" w:hAnsi="宋体" w:eastAsia="宋体" w:cs="宋体"/>
          <w:b/>
          <w:bCs/>
          <w:color w:val="auto"/>
          <w:sz w:val="30"/>
          <w:szCs w:val="30"/>
          <w:highlight w:val="none"/>
          <w:lang w:val="zh-CN"/>
        </w:rPr>
        <w:t>报价</w:t>
      </w:r>
      <w:r>
        <w:rPr>
          <w:rFonts w:hint="eastAsia" w:ascii="宋体" w:hAnsi="宋体" w:eastAsia="宋体" w:cs="宋体"/>
          <w:b/>
          <w:bCs/>
          <w:color w:val="auto"/>
          <w:sz w:val="30"/>
          <w:szCs w:val="30"/>
          <w:highlight w:val="none"/>
          <w:lang w:val="zh-CN"/>
        </w:rPr>
        <w:t>明细</w:t>
      </w:r>
      <w:r>
        <w:rPr>
          <w:rFonts w:ascii="宋体" w:hAnsi="宋体" w:eastAsia="宋体" w:cs="宋体"/>
          <w:b/>
          <w:bCs/>
          <w:color w:val="auto"/>
          <w:sz w:val="30"/>
          <w:szCs w:val="30"/>
          <w:highlight w:val="none"/>
          <w:lang w:val="zh-CN"/>
        </w:rPr>
        <w:t>表</w:t>
      </w:r>
    </w:p>
    <w:p w14:paraId="3009DDE2">
      <w:pPr>
        <w:spacing w:line="360" w:lineRule="auto"/>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项目名称：</w:t>
      </w:r>
      <w:r>
        <w:rPr>
          <w:rFonts w:hint="eastAsia" w:ascii="宋体" w:hAnsi="宋体" w:eastAsia="宋体" w:cs="宋体"/>
          <w:color w:val="auto"/>
          <w:kern w:val="0"/>
          <w:szCs w:val="21"/>
          <w:highlight w:val="none"/>
          <w:u w:val="single"/>
        </w:rPr>
        <w:t>东莞市石鼓净水有限公司污水处理厂及提标项目中控系统集约化升级改造项目</w:t>
      </w:r>
    </w:p>
    <w:p w14:paraId="69A68325">
      <w:pPr>
        <w:spacing w:line="360" w:lineRule="auto"/>
        <w:rPr>
          <w:rFonts w:hint="eastAsia" w:ascii="宋体" w:hAnsi="宋体" w:eastAsia="宋体" w:cs="宋体"/>
          <w:color w:val="auto"/>
          <w:kern w:val="0"/>
          <w:szCs w:val="21"/>
          <w:highlight w:val="none"/>
          <w:u w:val="single"/>
          <w:lang w:eastAsia="zh-CN"/>
        </w:rPr>
      </w:pPr>
      <w:r>
        <w:rPr>
          <w:rFonts w:hint="eastAsia" w:ascii="宋体" w:hAnsi="宋体" w:eastAsia="宋体" w:cs="宋体"/>
          <w:b/>
          <w:color w:val="auto"/>
          <w:kern w:val="0"/>
          <w:szCs w:val="21"/>
          <w:highlight w:val="none"/>
        </w:rPr>
        <w:t>招标编号：</w:t>
      </w:r>
      <w:r>
        <w:rPr>
          <w:rFonts w:hint="eastAsia" w:ascii="宋体" w:hAnsi="宋体" w:eastAsia="宋体" w:cs="宋体"/>
          <w:color w:val="auto"/>
          <w:kern w:val="0"/>
          <w:szCs w:val="21"/>
          <w:highlight w:val="none"/>
          <w:u w:val="single"/>
          <w:lang w:eastAsia="zh-CN"/>
        </w:rPr>
        <w:t xml:space="preserve">                </w:t>
      </w:r>
    </w:p>
    <w:tbl>
      <w:tblPr>
        <w:tblStyle w:val="44"/>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927"/>
        <w:gridCol w:w="656"/>
        <w:gridCol w:w="1084"/>
        <w:gridCol w:w="1337"/>
        <w:gridCol w:w="726"/>
        <w:gridCol w:w="671"/>
        <w:gridCol w:w="1462"/>
        <w:gridCol w:w="1448"/>
        <w:gridCol w:w="685"/>
      </w:tblGrid>
      <w:tr w14:paraId="0D161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14:paraId="1EE7214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bCs/>
                <w:color w:val="auto"/>
                <w:kern w:val="0"/>
                <w:szCs w:val="21"/>
                <w:highlight w:val="none"/>
                <w:lang w:bidi="ar"/>
              </w:rPr>
              <w:t>货物明细表</w:t>
            </w:r>
          </w:p>
        </w:tc>
      </w:tr>
      <w:tr w14:paraId="540D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600FF3DE">
            <w:pPr>
              <w:keepNext w:val="0"/>
              <w:keepLines w:val="0"/>
              <w:suppressLineNumbers w:val="0"/>
              <w:spacing w:before="0" w:beforeAutospacing="0" w:after="0" w:afterAutospacing="0"/>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序号</w:t>
            </w:r>
          </w:p>
        </w:tc>
        <w:tc>
          <w:tcPr>
            <w:tcW w:w="905" w:type="pct"/>
            <w:tcBorders>
              <w:top w:val="single" w:color="auto" w:sz="4" w:space="0"/>
              <w:left w:val="nil"/>
              <w:bottom w:val="single" w:color="auto" w:sz="4" w:space="0"/>
              <w:right w:val="single" w:color="auto" w:sz="4" w:space="0"/>
            </w:tcBorders>
            <w:shd w:val="clear" w:color="auto" w:fill="auto"/>
            <w:vAlign w:val="center"/>
          </w:tcPr>
          <w:p w14:paraId="67C95555">
            <w:pPr>
              <w:keepNext w:val="0"/>
              <w:keepLines w:val="0"/>
              <w:suppressLineNumbers w:val="0"/>
              <w:spacing w:before="0" w:beforeAutospacing="0" w:after="0" w:afterAutospacing="0"/>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货物名称</w:t>
            </w:r>
          </w:p>
        </w:tc>
        <w:tc>
          <w:tcPr>
            <w:tcW w:w="308" w:type="pct"/>
            <w:tcBorders>
              <w:top w:val="single" w:color="auto" w:sz="4" w:space="0"/>
              <w:left w:val="nil"/>
              <w:bottom w:val="single" w:color="auto" w:sz="4" w:space="0"/>
              <w:right w:val="single" w:color="auto" w:sz="4" w:space="0"/>
            </w:tcBorders>
            <w:shd w:val="clear" w:color="auto" w:fill="auto"/>
            <w:vAlign w:val="center"/>
          </w:tcPr>
          <w:p w14:paraId="36294D81">
            <w:pPr>
              <w:keepNext w:val="0"/>
              <w:keepLines w:val="0"/>
              <w:suppressLineNumbers w:val="0"/>
              <w:spacing w:before="0" w:beforeAutospacing="0" w:after="0" w:afterAutospacing="0"/>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品牌</w:t>
            </w:r>
          </w:p>
        </w:tc>
        <w:tc>
          <w:tcPr>
            <w:tcW w:w="509" w:type="pct"/>
            <w:tcBorders>
              <w:top w:val="single" w:color="auto" w:sz="4" w:space="0"/>
              <w:left w:val="nil"/>
              <w:bottom w:val="single" w:color="auto" w:sz="4" w:space="0"/>
              <w:right w:val="single" w:color="auto" w:sz="4" w:space="0"/>
            </w:tcBorders>
            <w:shd w:val="clear" w:color="auto" w:fill="auto"/>
            <w:vAlign w:val="center"/>
          </w:tcPr>
          <w:p w14:paraId="07E2F534">
            <w:pPr>
              <w:keepNext w:val="0"/>
              <w:keepLines w:val="0"/>
              <w:suppressLineNumbers w:val="0"/>
              <w:spacing w:before="0" w:beforeAutospacing="0" w:after="0" w:afterAutospacing="0"/>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产地</w:t>
            </w:r>
          </w:p>
        </w:tc>
        <w:tc>
          <w:tcPr>
            <w:tcW w:w="628" w:type="pct"/>
            <w:tcBorders>
              <w:top w:val="single" w:color="auto" w:sz="4" w:space="0"/>
              <w:left w:val="nil"/>
              <w:bottom w:val="single" w:color="auto" w:sz="4" w:space="0"/>
              <w:right w:val="single" w:color="auto" w:sz="4" w:space="0"/>
            </w:tcBorders>
            <w:shd w:val="clear" w:color="auto" w:fill="auto"/>
            <w:vAlign w:val="center"/>
          </w:tcPr>
          <w:p w14:paraId="5844D133">
            <w:pPr>
              <w:keepNext w:val="0"/>
              <w:keepLines w:val="0"/>
              <w:suppressLineNumbers w:val="0"/>
              <w:spacing w:before="0" w:beforeAutospacing="0" w:after="0" w:afterAutospacing="0"/>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规格、型号</w:t>
            </w:r>
          </w:p>
        </w:tc>
        <w:tc>
          <w:tcPr>
            <w:tcW w:w="341" w:type="pct"/>
            <w:tcBorders>
              <w:top w:val="single" w:color="auto" w:sz="4" w:space="0"/>
              <w:left w:val="nil"/>
              <w:bottom w:val="single" w:color="auto" w:sz="4" w:space="0"/>
              <w:right w:val="single" w:color="auto" w:sz="4" w:space="0"/>
            </w:tcBorders>
            <w:shd w:val="clear" w:color="auto" w:fill="auto"/>
            <w:vAlign w:val="center"/>
          </w:tcPr>
          <w:p w14:paraId="255978F5">
            <w:pPr>
              <w:keepNext w:val="0"/>
              <w:keepLines w:val="0"/>
              <w:suppressLineNumbers w:val="0"/>
              <w:spacing w:before="0" w:beforeAutospacing="0" w:after="0" w:afterAutospacing="0"/>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单位</w:t>
            </w:r>
          </w:p>
        </w:tc>
        <w:tc>
          <w:tcPr>
            <w:tcW w:w="315" w:type="pct"/>
            <w:tcBorders>
              <w:top w:val="single" w:color="auto" w:sz="4" w:space="0"/>
              <w:left w:val="nil"/>
              <w:bottom w:val="single" w:color="auto" w:sz="4" w:space="0"/>
              <w:right w:val="single" w:color="auto" w:sz="4" w:space="0"/>
            </w:tcBorders>
            <w:shd w:val="clear" w:color="auto" w:fill="auto"/>
            <w:vAlign w:val="center"/>
          </w:tcPr>
          <w:p w14:paraId="7E8F145C">
            <w:pPr>
              <w:keepNext w:val="0"/>
              <w:keepLines w:val="0"/>
              <w:suppressLineNumbers w:val="0"/>
              <w:spacing w:before="0" w:beforeAutospacing="0" w:after="0" w:afterAutospacing="0"/>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数量</w:t>
            </w:r>
          </w:p>
        </w:tc>
        <w:tc>
          <w:tcPr>
            <w:tcW w:w="685" w:type="pct"/>
            <w:tcBorders>
              <w:top w:val="single" w:color="auto" w:sz="4" w:space="0"/>
              <w:left w:val="nil"/>
              <w:bottom w:val="single" w:color="auto" w:sz="4" w:space="0"/>
              <w:right w:val="single" w:color="auto" w:sz="4" w:space="0"/>
            </w:tcBorders>
            <w:shd w:val="clear" w:color="auto" w:fill="auto"/>
            <w:vAlign w:val="center"/>
          </w:tcPr>
          <w:p w14:paraId="1A74F529">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不含税综合单价</w:t>
            </w:r>
          </w:p>
          <w:p w14:paraId="65034905">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（元）</w:t>
            </w:r>
          </w:p>
        </w:tc>
        <w:tc>
          <w:tcPr>
            <w:tcW w:w="680" w:type="pct"/>
            <w:tcBorders>
              <w:top w:val="single" w:color="auto" w:sz="4" w:space="0"/>
              <w:left w:val="nil"/>
              <w:bottom w:val="single" w:color="auto" w:sz="4" w:space="0"/>
              <w:right w:val="single" w:color="auto" w:sz="4" w:space="0"/>
            </w:tcBorders>
            <w:shd w:val="clear" w:color="auto" w:fill="auto"/>
            <w:vAlign w:val="center"/>
          </w:tcPr>
          <w:p w14:paraId="6635305E">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不含税小计（元）</w:t>
            </w:r>
          </w:p>
        </w:tc>
        <w:tc>
          <w:tcPr>
            <w:tcW w:w="321" w:type="pct"/>
            <w:tcBorders>
              <w:top w:val="single" w:color="auto" w:sz="4" w:space="0"/>
              <w:left w:val="nil"/>
              <w:bottom w:val="single" w:color="auto" w:sz="4" w:space="0"/>
              <w:right w:val="single" w:color="auto" w:sz="4" w:space="0"/>
            </w:tcBorders>
            <w:shd w:val="clear" w:color="auto" w:fill="auto"/>
            <w:vAlign w:val="center"/>
          </w:tcPr>
          <w:p w14:paraId="4617609A">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备注</w:t>
            </w:r>
          </w:p>
        </w:tc>
      </w:tr>
      <w:tr w14:paraId="14ED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5000"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14:paraId="740F7C9F">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宋体"/>
                <w:b/>
                <w:color w:val="auto"/>
                <w:kern w:val="0"/>
                <w:szCs w:val="21"/>
                <w:highlight w:val="none"/>
                <w:lang w:eastAsia="zh-CN" w:bidi="ar"/>
              </w:rPr>
            </w:pPr>
            <w:r>
              <w:rPr>
                <w:rFonts w:hint="eastAsia" w:ascii="宋体" w:hAnsi="宋体" w:eastAsia="宋体" w:cs="宋体"/>
                <w:b/>
                <w:color w:val="auto"/>
                <w:kern w:val="0"/>
                <w:szCs w:val="21"/>
                <w:highlight w:val="none"/>
                <w:lang w:eastAsia="zh-CN" w:bidi="ar"/>
              </w:rPr>
              <w:t>一、软件、硬件设备购置费</w:t>
            </w:r>
          </w:p>
        </w:tc>
      </w:tr>
      <w:tr w14:paraId="1985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589C5A3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1</w:t>
            </w:r>
          </w:p>
        </w:tc>
        <w:tc>
          <w:tcPr>
            <w:tcW w:w="905" w:type="pct"/>
            <w:tcBorders>
              <w:top w:val="single" w:color="auto" w:sz="4" w:space="0"/>
              <w:left w:val="nil"/>
              <w:bottom w:val="single" w:color="auto" w:sz="4" w:space="0"/>
              <w:right w:val="single" w:color="auto" w:sz="4" w:space="0"/>
            </w:tcBorders>
            <w:shd w:val="clear" w:color="auto" w:fill="auto"/>
            <w:vAlign w:val="center"/>
          </w:tcPr>
          <w:p w14:paraId="312934D7">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数据服务器</w:t>
            </w:r>
          </w:p>
        </w:tc>
        <w:tc>
          <w:tcPr>
            <w:tcW w:w="308" w:type="pct"/>
            <w:tcBorders>
              <w:top w:val="single" w:color="auto" w:sz="4" w:space="0"/>
              <w:left w:val="nil"/>
              <w:bottom w:val="single" w:color="auto" w:sz="4" w:space="0"/>
              <w:right w:val="single" w:color="auto" w:sz="4" w:space="0"/>
            </w:tcBorders>
            <w:shd w:val="clear" w:color="auto" w:fill="auto"/>
            <w:vAlign w:val="center"/>
          </w:tcPr>
          <w:p w14:paraId="4F8BF0A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48D4F34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71D475B1">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6A098C2A">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0CB6E58E">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w:t>
            </w:r>
          </w:p>
        </w:tc>
        <w:tc>
          <w:tcPr>
            <w:tcW w:w="685" w:type="pct"/>
            <w:tcBorders>
              <w:top w:val="single" w:color="auto" w:sz="4" w:space="0"/>
              <w:left w:val="nil"/>
              <w:bottom w:val="single" w:color="auto" w:sz="4" w:space="0"/>
              <w:right w:val="single" w:color="auto" w:sz="4" w:space="0"/>
            </w:tcBorders>
            <w:shd w:val="clear" w:color="auto" w:fill="auto"/>
            <w:vAlign w:val="center"/>
          </w:tcPr>
          <w:p w14:paraId="1AE5CD1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4F15450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5F2E434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1E62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55C2EE8A">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2</w:t>
            </w:r>
          </w:p>
        </w:tc>
        <w:tc>
          <w:tcPr>
            <w:tcW w:w="905" w:type="pct"/>
            <w:tcBorders>
              <w:top w:val="single" w:color="auto" w:sz="4" w:space="0"/>
              <w:left w:val="nil"/>
              <w:bottom w:val="single" w:color="auto" w:sz="4" w:space="0"/>
              <w:right w:val="single" w:color="auto" w:sz="4" w:space="0"/>
            </w:tcBorders>
            <w:shd w:val="clear" w:color="auto" w:fill="auto"/>
            <w:vAlign w:val="center"/>
          </w:tcPr>
          <w:p w14:paraId="264F3E6C">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SCADA服务器</w:t>
            </w:r>
          </w:p>
        </w:tc>
        <w:tc>
          <w:tcPr>
            <w:tcW w:w="308" w:type="pct"/>
            <w:tcBorders>
              <w:top w:val="single" w:color="auto" w:sz="4" w:space="0"/>
              <w:left w:val="nil"/>
              <w:bottom w:val="single" w:color="auto" w:sz="4" w:space="0"/>
              <w:right w:val="single" w:color="auto" w:sz="4" w:space="0"/>
            </w:tcBorders>
            <w:shd w:val="clear" w:color="auto" w:fill="auto"/>
            <w:vAlign w:val="center"/>
          </w:tcPr>
          <w:p w14:paraId="4BE3668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38DD64F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02F77AD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381309EB">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7E200FF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10</w:t>
            </w:r>
          </w:p>
        </w:tc>
        <w:tc>
          <w:tcPr>
            <w:tcW w:w="685" w:type="pct"/>
            <w:tcBorders>
              <w:top w:val="single" w:color="auto" w:sz="4" w:space="0"/>
              <w:left w:val="nil"/>
              <w:bottom w:val="single" w:color="auto" w:sz="4" w:space="0"/>
              <w:right w:val="single" w:color="auto" w:sz="4" w:space="0"/>
            </w:tcBorders>
            <w:shd w:val="clear" w:color="auto" w:fill="auto"/>
            <w:vAlign w:val="center"/>
          </w:tcPr>
          <w:p w14:paraId="29FEA68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0977333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64D6BBD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7D6E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19A731A6">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3</w:t>
            </w:r>
          </w:p>
        </w:tc>
        <w:tc>
          <w:tcPr>
            <w:tcW w:w="905" w:type="pct"/>
            <w:tcBorders>
              <w:top w:val="single" w:color="auto" w:sz="4" w:space="0"/>
              <w:left w:val="nil"/>
              <w:bottom w:val="single" w:color="auto" w:sz="4" w:space="0"/>
              <w:right w:val="single" w:color="auto" w:sz="4" w:space="0"/>
            </w:tcBorders>
            <w:shd w:val="clear" w:color="auto" w:fill="auto"/>
            <w:vAlign w:val="center"/>
          </w:tcPr>
          <w:p w14:paraId="3F51535B">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磁盘阵列</w:t>
            </w:r>
          </w:p>
        </w:tc>
        <w:tc>
          <w:tcPr>
            <w:tcW w:w="308" w:type="pct"/>
            <w:tcBorders>
              <w:top w:val="single" w:color="auto" w:sz="4" w:space="0"/>
              <w:left w:val="nil"/>
              <w:bottom w:val="single" w:color="auto" w:sz="4" w:space="0"/>
              <w:right w:val="single" w:color="auto" w:sz="4" w:space="0"/>
            </w:tcBorders>
            <w:shd w:val="clear" w:color="auto" w:fill="auto"/>
            <w:vAlign w:val="center"/>
          </w:tcPr>
          <w:p w14:paraId="32D7D4E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4C14E6F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4A38DE0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1B8094EC">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2E25D1DC">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w:t>
            </w:r>
          </w:p>
        </w:tc>
        <w:tc>
          <w:tcPr>
            <w:tcW w:w="685" w:type="pct"/>
            <w:tcBorders>
              <w:top w:val="single" w:color="auto" w:sz="4" w:space="0"/>
              <w:left w:val="nil"/>
              <w:bottom w:val="single" w:color="auto" w:sz="4" w:space="0"/>
              <w:right w:val="single" w:color="auto" w:sz="4" w:space="0"/>
            </w:tcBorders>
            <w:shd w:val="clear" w:color="auto" w:fill="auto"/>
            <w:vAlign w:val="center"/>
          </w:tcPr>
          <w:p w14:paraId="3D7D4B9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2F27830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53EBECF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0FE7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5ED156FB">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4</w:t>
            </w:r>
          </w:p>
        </w:tc>
        <w:tc>
          <w:tcPr>
            <w:tcW w:w="905" w:type="pct"/>
            <w:tcBorders>
              <w:top w:val="single" w:color="auto" w:sz="4" w:space="0"/>
              <w:left w:val="nil"/>
              <w:bottom w:val="single" w:color="auto" w:sz="4" w:space="0"/>
              <w:right w:val="single" w:color="auto" w:sz="4" w:space="0"/>
            </w:tcBorders>
            <w:shd w:val="clear" w:color="auto" w:fill="auto"/>
            <w:vAlign w:val="center"/>
          </w:tcPr>
          <w:p w14:paraId="1776CB7E">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GPS卫星同步时钟</w:t>
            </w:r>
          </w:p>
        </w:tc>
        <w:tc>
          <w:tcPr>
            <w:tcW w:w="308" w:type="pct"/>
            <w:tcBorders>
              <w:top w:val="single" w:color="auto" w:sz="4" w:space="0"/>
              <w:left w:val="nil"/>
              <w:bottom w:val="single" w:color="auto" w:sz="4" w:space="0"/>
              <w:right w:val="single" w:color="auto" w:sz="4" w:space="0"/>
            </w:tcBorders>
            <w:shd w:val="clear" w:color="auto" w:fill="auto"/>
            <w:vAlign w:val="center"/>
          </w:tcPr>
          <w:p w14:paraId="39EFA2E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4B15AFA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5D2A503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086CE469">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712ABB97">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p>
        </w:tc>
        <w:tc>
          <w:tcPr>
            <w:tcW w:w="685" w:type="pct"/>
            <w:tcBorders>
              <w:top w:val="single" w:color="auto" w:sz="4" w:space="0"/>
              <w:left w:val="nil"/>
              <w:bottom w:val="single" w:color="auto" w:sz="4" w:space="0"/>
              <w:right w:val="single" w:color="auto" w:sz="4" w:space="0"/>
            </w:tcBorders>
            <w:shd w:val="clear" w:color="auto" w:fill="auto"/>
            <w:vAlign w:val="center"/>
          </w:tcPr>
          <w:p w14:paraId="3DB94E8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5F7F773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40CEE0A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45A4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79845BD9">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5</w:t>
            </w:r>
          </w:p>
        </w:tc>
        <w:tc>
          <w:tcPr>
            <w:tcW w:w="905" w:type="pct"/>
            <w:tcBorders>
              <w:top w:val="single" w:color="auto" w:sz="4" w:space="0"/>
              <w:left w:val="nil"/>
              <w:bottom w:val="single" w:color="auto" w:sz="4" w:space="0"/>
              <w:right w:val="single" w:color="auto" w:sz="4" w:space="0"/>
            </w:tcBorders>
            <w:shd w:val="clear" w:color="auto" w:fill="auto"/>
            <w:vAlign w:val="center"/>
          </w:tcPr>
          <w:p w14:paraId="025E3636">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服务器交换机</w:t>
            </w:r>
          </w:p>
        </w:tc>
        <w:tc>
          <w:tcPr>
            <w:tcW w:w="308" w:type="pct"/>
            <w:tcBorders>
              <w:top w:val="single" w:color="auto" w:sz="4" w:space="0"/>
              <w:left w:val="nil"/>
              <w:bottom w:val="single" w:color="auto" w:sz="4" w:space="0"/>
              <w:right w:val="single" w:color="auto" w:sz="4" w:space="0"/>
            </w:tcBorders>
            <w:shd w:val="clear" w:color="auto" w:fill="auto"/>
            <w:vAlign w:val="center"/>
          </w:tcPr>
          <w:p w14:paraId="489569F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35DBD7F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6AE0B2D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43D0A7C2">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台</w:t>
            </w:r>
          </w:p>
        </w:tc>
        <w:tc>
          <w:tcPr>
            <w:tcW w:w="315" w:type="pct"/>
            <w:tcBorders>
              <w:top w:val="single" w:color="auto" w:sz="4" w:space="0"/>
              <w:left w:val="nil"/>
              <w:bottom w:val="single" w:color="auto" w:sz="4" w:space="0"/>
              <w:right w:val="single" w:color="auto" w:sz="4" w:space="0"/>
            </w:tcBorders>
            <w:shd w:val="clear" w:color="auto" w:fill="auto"/>
            <w:vAlign w:val="center"/>
          </w:tcPr>
          <w:p w14:paraId="442D398F">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p>
        </w:tc>
        <w:tc>
          <w:tcPr>
            <w:tcW w:w="685" w:type="pct"/>
            <w:tcBorders>
              <w:top w:val="single" w:color="auto" w:sz="4" w:space="0"/>
              <w:left w:val="nil"/>
              <w:bottom w:val="single" w:color="auto" w:sz="4" w:space="0"/>
              <w:right w:val="single" w:color="auto" w:sz="4" w:space="0"/>
            </w:tcBorders>
            <w:shd w:val="clear" w:color="auto" w:fill="auto"/>
            <w:vAlign w:val="center"/>
          </w:tcPr>
          <w:p w14:paraId="2C3954D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15BEFAA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73F9F76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302C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040829C8">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6</w:t>
            </w:r>
          </w:p>
        </w:tc>
        <w:tc>
          <w:tcPr>
            <w:tcW w:w="905" w:type="pct"/>
            <w:tcBorders>
              <w:top w:val="single" w:color="auto" w:sz="4" w:space="0"/>
              <w:left w:val="nil"/>
              <w:bottom w:val="single" w:color="auto" w:sz="4" w:space="0"/>
              <w:right w:val="single" w:color="auto" w:sz="4" w:space="0"/>
            </w:tcBorders>
            <w:shd w:val="clear" w:color="auto" w:fill="auto"/>
            <w:vAlign w:val="center"/>
          </w:tcPr>
          <w:p w14:paraId="341232EE">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中心交换机</w:t>
            </w:r>
          </w:p>
        </w:tc>
        <w:tc>
          <w:tcPr>
            <w:tcW w:w="308" w:type="pct"/>
            <w:tcBorders>
              <w:top w:val="single" w:color="auto" w:sz="4" w:space="0"/>
              <w:left w:val="nil"/>
              <w:bottom w:val="single" w:color="auto" w:sz="4" w:space="0"/>
              <w:right w:val="single" w:color="auto" w:sz="4" w:space="0"/>
            </w:tcBorders>
            <w:shd w:val="clear" w:color="auto" w:fill="auto"/>
            <w:vAlign w:val="center"/>
          </w:tcPr>
          <w:p w14:paraId="2CDA5CA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52A8284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69CAC79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656E7468">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台</w:t>
            </w:r>
          </w:p>
        </w:tc>
        <w:tc>
          <w:tcPr>
            <w:tcW w:w="315" w:type="pct"/>
            <w:tcBorders>
              <w:top w:val="single" w:color="auto" w:sz="4" w:space="0"/>
              <w:left w:val="nil"/>
              <w:bottom w:val="single" w:color="auto" w:sz="4" w:space="0"/>
              <w:right w:val="single" w:color="auto" w:sz="4" w:space="0"/>
            </w:tcBorders>
            <w:shd w:val="clear" w:color="auto" w:fill="auto"/>
            <w:vAlign w:val="center"/>
          </w:tcPr>
          <w:p w14:paraId="782391E7">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w:t>
            </w:r>
          </w:p>
        </w:tc>
        <w:tc>
          <w:tcPr>
            <w:tcW w:w="685" w:type="pct"/>
            <w:tcBorders>
              <w:top w:val="single" w:color="auto" w:sz="4" w:space="0"/>
              <w:left w:val="nil"/>
              <w:bottom w:val="single" w:color="auto" w:sz="4" w:space="0"/>
              <w:right w:val="single" w:color="auto" w:sz="4" w:space="0"/>
            </w:tcBorders>
            <w:shd w:val="clear" w:color="auto" w:fill="auto"/>
            <w:vAlign w:val="center"/>
          </w:tcPr>
          <w:p w14:paraId="09E8348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39035A5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06CA119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0D99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732AD403">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7</w:t>
            </w:r>
          </w:p>
        </w:tc>
        <w:tc>
          <w:tcPr>
            <w:tcW w:w="905" w:type="pct"/>
            <w:tcBorders>
              <w:top w:val="single" w:color="auto" w:sz="4" w:space="0"/>
              <w:left w:val="nil"/>
              <w:bottom w:val="single" w:color="auto" w:sz="4" w:space="0"/>
              <w:right w:val="single" w:color="auto" w:sz="4" w:space="0"/>
            </w:tcBorders>
            <w:shd w:val="clear" w:color="auto" w:fill="auto"/>
            <w:vAlign w:val="center"/>
          </w:tcPr>
          <w:p w14:paraId="5A193A3E">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服务器机柜</w:t>
            </w:r>
          </w:p>
        </w:tc>
        <w:tc>
          <w:tcPr>
            <w:tcW w:w="308" w:type="pct"/>
            <w:tcBorders>
              <w:top w:val="single" w:color="auto" w:sz="4" w:space="0"/>
              <w:left w:val="nil"/>
              <w:bottom w:val="single" w:color="auto" w:sz="4" w:space="0"/>
              <w:right w:val="single" w:color="auto" w:sz="4" w:space="0"/>
            </w:tcBorders>
            <w:shd w:val="clear" w:color="auto" w:fill="auto"/>
            <w:vAlign w:val="center"/>
          </w:tcPr>
          <w:p w14:paraId="74C41D1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1E69254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0710166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039EE9BC">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个</w:t>
            </w:r>
          </w:p>
        </w:tc>
        <w:tc>
          <w:tcPr>
            <w:tcW w:w="315" w:type="pct"/>
            <w:tcBorders>
              <w:top w:val="single" w:color="auto" w:sz="4" w:space="0"/>
              <w:left w:val="nil"/>
              <w:bottom w:val="single" w:color="auto" w:sz="4" w:space="0"/>
              <w:right w:val="single" w:color="auto" w:sz="4" w:space="0"/>
            </w:tcBorders>
            <w:shd w:val="clear" w:color="auto" w:fill="auto"/>
            <w:vAlign w:val="center"/>
          </w:tcPr>
          <w:p w14:paraId="58D1F4EE">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5</w:t>
            </w:r>
          </w:p>
        </w:tc>
        <w:tc>
          <w:tcPr>
            <w:tcW w:w="685" w:type="pct"/>
            <w:tcBorders>
              <w:top w:val="single" w:color="auto" w:sz="4" w:space="0"/>
              <w:left w:val="nil"/>
              <w:bottom w:val="single" w:color="auto" w:sz="4" w:space="0"/>
              <w:right w:val="single" w:color="auto" w:sz="4" w:space="0"/>
            </w:tcBorders>
            <w:shd w:val="clear" w:color="auto" w:fill="auto"/>
            <w:vAlign w:val="center"/>
          </w:tcPr>
          <w:p w14:paraId="687CC30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508C345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2D4D0E1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02192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12B09E29">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8</w:t>
            </w:r>
          </w:p>
        </w:tc>
        <w:tc>
          <w:tcPr>
            <w:tcW w:w="905" w:type="pct"/>
            <w:tcBorders>
              <w:top w:val="single" w:color="auto" w:sz="4" w:space="0"/>
              <w:left w:val="nil"/>
              <w:bottom w:val="single" w:color="auto" w:sz="4" w:space="0"/>
              <w:right w:val="single" w:color="auto" w:sz="4" w:space="0"/>
            </w:tcBorders>
            <w:shd w:val="clear" w:color="auto" w:fill="auto"/>
            <w:vAlign w:val="center"/>
          </w:tcPr>
          <w:p w14:paraId="76921058">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KVM</w:t>
            </w:r>
          </w:p>
        </w:tc>
        <w:tc>
          <w:tcPr>
            <w:tcW w:w="308" w:type="pct"/>
            <w:tcBorders>
              <w:top w:val="single" w:color="auto" w:sz="4" w:space="0"/>
              <w:left w:val="nil"/>
              <w:bottom w:val="single" w:color="auto" w:sz="4" w:space="0"/>
              <w:right w:val="single" w:color="auto" w:sz="4" w:space="0"/>
            </w:tcBorders>
            <w:shd w:val="clear" w:color="auto" w:fill="auto"/>
            <w:vAlign w:val="center"/>
          </w:tcPr>
          <w:p w14:paraId="67F1E67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7D6A0BC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7C1A319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0235401A">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台</w:t>
            </w:r>
          </w:p>
        </w:tc>
        <w:tc>
          <w:tcPr>
            <w:tcW w:w="315" w:type="pct"/>
            <w:tcBorders>
              <w:top w:val="single" w:color="auto" w:sz="4" w:space="0"/>
              <w:left w:val="nil"/>
              <w:bottom w:val="single" w:color="auto" w:sz="4" w:space="0"/>
              <w:right w:val="single" w:color="auto" w:sz="4" w:space="0"/>
            </w:tcBorders>
            <w:shd w:val="clear" w:color="auto" w:fill="auto"/>
            <w:vAlign w:val="center"/>
          </w:tcPr>
          <w:p w14:paraId="14603103">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p>
        </w:tc>
        <w:tc>
          <w:tcPr>
            <w:tcW w:w="685" w:type="pct"/>
            <w:tcBorders>
              <w:top w:val="single" w:color="auto" w:sz="4" w:space="0"/>
              <w:left w:val="nil"/>
              <w:bottom w:val="single" w:color="auto" w:sz="4" w:space="0"/>
              <w:right w:val="single" w:color="auto" w:sz="4" w:space="0"/>
            </w:tcBorders>
            <w:shd w:val="clear" w:color="auto" w:fill="auto"/>
            <w:vAlign w:val="center"/>
          </w:tcPr>
          <w:p w14:paraId="11F4D54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71CC6BB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1C3BEB3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0A4C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7415F2E5">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9</w:t>
            </w:r>
          </w:p>
        </w:tc>
        <w:tc>
          <w:tcPr>
            <w:tcW w:w="905" w:type="pct"/>
            <w:tcBorders>
              <w:top w:val="single" w:color="auto" w:sz="4" w:space="0"/>
              <w:left w:val="nil"/>
              <w:bottom w:val="single" w:color="auto" w:sz="4" w:space="0"/>
              <w:right w:val="single" w:color="auto" w:sz="4" w:space="0"/>
            </w:tcBorders>
            <w:shd w:val="clear" w:color="auto" w:fill="auto"/>
            <w:vAlign w:val="center"/>
          </w:tcPr>
          <w:p w14:paraId="42603779">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电源控制机柜</w:t>
            </w:r>
          </w:p>
        </w:tc>
        <w:tc>
          <w:tcPr>
            <w:tcW w:w="308" w:type="pct"/>
            <w:tcBorders>
              <w:top w:val="single" w:color="auto" w:sz="4" w:space="0"/>
              <w:left w:val="nil"/>
              <w:bottom w:val="single" w:color="auto" w:sz="4" w:space="0"/>
              <w:right w:val="single" w:color="auto" w:sz="4" w:space="0"/>
            </w:tcBorders>
            <w:shd w:val="clear" w:color="auto" w:fill="auto"/>
            <w:vAlign w:val="center"/>
          </w:tcPr>
          <w:p w14:paraId="76DB2AF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5792AEC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7ECAD67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356B671F">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7E21B0B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p>
        </w:tc>
        <w:tc>
          <w:tcPr>
            <w:tcW w:w="685" w:type="pct"/>
            <w:tcBorders>
              <w:top w:val="single" w:color="auto" w:sz="4" w:space="0"/>
              <w:left w:val="nil"/>
              <w:bottom w:val="single" w:color="auto" w:sz="4" w:space="0"/>
              <w:right w:val="single" w:color="auto" w:sz="4" w:space="0"/>
            </w:tcBorders>
            <w:shd w:val="clear" w:color="auto" w:fill="auto"/>
            <w:vAlign w:val="center"/>
          </w:tcPr>
          <w:p w14:paraId="6CC0A74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677069B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4C098C5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0E6E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25AE0D42">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10</w:t>
            </w:r>
          </w:p>
        </w:tc>
        <w:tc>
          <w:tcPr>
            <w:tcW w:w="905" w:type="pct"/>
            <w:tcBorders>
              <w:top w:val="single" w:color="auto" w:sz="4" w:space="0"/>
              <w:left w:val="nil"/>
              <w:bottom w:val="single" w:color="auto" w:sz="4" w:space="0"/>
              <w:right w:val="single" w:color="auto" w:sz="4" w:space="0"/>
            </w:tcBorders>
            <w:shd w:val="clear" w:color="auto" w:fill="auto"/>
            <w:vAlign w:val="center"/>
          </w:tcPr>
          <w:p w14:paraId="28142C6F">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UPS不间断电源</w:t>
            </w:r>
          </w:p>
        </w:tc>
        <w:tc>
          <w:tcPr>
            <w:tcW w:w="308" w:type="pct"/>
            <w:tcBorders>
              <w:top w:val="single" w:color="auto" w:sz="4" w:space="0"/>
              <w:left w:val="nil"/>
              <w:bottom w:val="single" w:color="auto" w:sz="4" w:space="0"/>
              <w:right w:val="single" w:color="auto" w:sz="4" w:space="0"/>
            </w:tcBorders>
            <w:shd w:val="clear" w:color="auto" w:fill="auto"/>
            <w:vAlign w:val="center"/>
          </w:tcPr>
          <w:p w14:paraId="2AF692C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011FC13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01D9922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314C5E46">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台</w:t>
            </w:r>
          </w:p>
        </w:tc>
        <w:tc>
          <w:tcPr>
            <w:tcW w:w="315" w:type="pct"/>
            <w:tcBorders>
              <w:top w:val="single" w:color="auto" w:sz="4" w:space="0"/>
              <w:left w:val="nil"/>
              <w:bottom w:val="single" w:color="auto" w:sz="4" w:space="0"/>
              <w:right w:val="single" w:color="auto" w:sz="4" w:space="0"/>
            </w:tcBorders>
            <w:shd w:val="clear" w:color="auto" w:fill="auto"/>
            <w:vAlign w:val="center"/>
          </w:tcPr>
          <w:p w14:paraId="450E6C72">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p>
        </w:tc>
        <w:tc>
          <w:tcPr>
            <w:tcW w:w="685" w:type="pct"/>
            <w:tcBorders>
              <w:top w:val="single" w:color="auto" w:sz="4" w:space="0"/>
              <w:left w:val="nil"/>
              <w:bottom w:val="single" w:color="auto" w:sz="4" w:space="0"/>
              <w:right w:val="single" w:color="auto" w:sz="4" w:space="0"/>
            </w:tcBorders>
            <w:shd w:val="clear" w:color="auto" w:fill="auto"/>
            <w:vAlign w:val="center"/>
          </w:tcPr>
          <w:p w14:paraId="0881792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6503C4A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69F2E4D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5D17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5977DDEE">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11</w:t>
            </w:r>
          </w:p>
        </w:tc>
        <w:tc>
          <w:tcPr>
            <w:tcW w:w="905" w:type="pct"/>
            <w:tcBorders>
              <w:top w:val="single" w:color="auto" w:sz="4" w:space="0"/>
              <w:left w:val="nil"/>
              <w:bottom w:val="single" w:color="auto" w:sz="4" w:space="0"/>
              <w:right w:val="single" w:color="auto" w:sz="4" w:space="0"/>
            </w:tcBorders>
            <w:shd w:val="clear" w:color="auto" w:fill="auto"/>
            <w:vAlign w:val="center"/>
          </w:tcPr>
          <w:p w14:paraId="6D34DB0D">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数据库软件</w:t>
            </w:r>
          </w:p>
        </w:tc>
        <w:tc>
          <w:tcPr>
            <w:tcW w:w="308" w:type="pct"/>
            <w:tcBorders>
              <w:top w:val="single" w:color="auto" w:sz="4" w:space="0"/>
              <w:left w:val="nil"/>
              <w:bottom w:val="single" w:color="auto" w:sz="4" w:space="0"/>
              <w:right w:val="single" w:color="auto" w:sz="4" w:space="0"/>
            </w:tcBorders>
            <w:shd w:val="clear" w:color="auto" w:fill="auto"/>
            <w:vAlign w:val="center"/>
          </w:tcPr>
          <w:p w14:paraId="7B8A861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2473D94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708C32E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12786E1B">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1B2BBFA9">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w:t>
            </w:r>
          </w:p>
        </w:tc>
        <w:tc>
          <w:tcPr>
            <w:tcW w:w="685" w:type="pct"/>
            <w:tcBorders>
              <w:top w:val="single" w:color="auto" w:sz="4" w:space="0"/>
              <w:left w:val="nil"/>
              <w:bottom w:val="single" w:color="auto" w:sz="4" w:space="0"/>
              <w:right w:val="single" w:color="auto" w:sz="4" w:space="0"/>
            </w:tcBorders>
            <w:shd w:val="clear" w:color="auto" w:fill="auto"/>
            <w:vAlign w:val="center"/>
          </w:tcPr>
          <w:p w14:paraId="14EA9B7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5F384B2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357B53E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02BF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44C5B1E2">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12</w:t>
            </w:r>
          </w:p>
        </w:tc>
        <w:tc>
          <w:tcPr>
            <w:tcW w:w="905" w:type="pct"/>
            <w:tcBorders>
              <w:top w:val="single" w:color="auto" w:sz="4" w:space="0"/>
              <w:left w:val="nil"/>
              <w:bottom w:val="single" w:color="auto" w:sz="4" w:space="0"/>
              <w:right w:val="single" w:color="auto" w:sz="4" w:space="0"/>
            </w:tcBorders>
            <w:shd w:val="clear" w:color="auto" w:fill="auto"/>
            <w:vAlign w:val="center"/>
          </w:tcPr>
          <w:p w14:paraId="51508DE3">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服务器操作系统</w:t>
            </w:r>
          </w:p>
        </w:tc>
        <w:tc>
          <w:tcPr>
            <w:tcW w:w="308" w:type="pct"/>
            <w:tcBorders>
              <w:top w:val="single" w:color="auto" w:sz="4" w:space="0"/>
              <w:left w:val="nil"/>
              <w:bottom w:val="single" w:color="auto" w:sz="4" w:space="0"/>
              <w:right w:val="single" w:color="auto" w:sz="4" w:space="0"/>
            </w:tcBorders>
            <w:shd w:val="clear" w:color="auto" w:fill="auto"/>
            <w:vAlign w:val="center"/>
          </w:tcPr>
          <w:p w14:paraId="25F1974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718B9FE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3935D06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6E599C8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415A4764">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12</w:t>
            </w:r>
          </w:p>
        </w:tc>
        <w:tc>
          <w:tcPr>
            <w:tcW w:w="685" w:type="pct"/>
            <w:tcBorders>
              <w:top w:val="single" w:color="auto" w:sz="4" w:space="0"/>
              <w:left w:val="nil"/>
              <w:bottom w:val="single" w:color="auto" w:sz="4" w:space="0"/>
              <w:right w:val="single" w:color="auto" w:sz="4" w:space="0"/>
            </w:tcBorders>
            <w:shd w:val="clear" w:color="auto" w:fill="auto"/>
            <w:vAlign w:val="center"/>
          </w:tcPr>
          <w:p w14:paraId="216FBE6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29034AF1">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64E6B20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72A1E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206151A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13</w:t>
            </w:r>
          </w:p>
        </w:tc>
        <w:tc>
          <w:tcPr>
            <w:tcW w:w="905" w:type="pct"/>
            <w:tcBorders>
              <w:top w:val="single" w:color="auto" w:sz="4" w:space="0"/>
              <w:left w:val="nil"/>
              <w:bottom w:val="single" w:color="auto" w:sz="4" w:space="0"/>
              <w:right w:val="single" w:color="auto" w:sz="4" w:space="0"/>
            </w:tcBorders>
            <w:shd w:val="clear" w:color="auto" w:fill="auto"/>
            <w:vAlign w:val="center"/>
          </w:tcPr>
          <w:p w14:paraId="79170347">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SCADA组态开发软件</w:t>
            </w:r>
          </w:p>
        </w:tc>
        <w:tc>
          <w:tcPr>
            <w:tcW w:w="308" w:type="pct"/>
            <w:tcBorders>
              <w:top w:val="single" w:color="auto" w:sz="4" w:space="0"/>
              <w:left w:val="nil"/>
              <w:bottom w:val="single" w:color="auto" w:sz="4" w:space="0"/>
              <w:right w:val="single" w:color="auto" w:sz="4" w:space="0"/>
            </w:tcBorders>
            <w:shd w:val="clear" w:color="auto" w:fill="auto"/>
            <w:vAlign w:val="center"/>
          </w:tcPr>
          <w:p w14:paraId="2A0B45F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0AFA0D6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278D83C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0BFD463B">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0061F13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10</w:t>
            </w:r>
          </w:p>
        </w:tc>
        <w:tc>
          <w:tcPr>
            <w:tcW w:w="685" w:type="pct"/>
            <w:tcBorders>
              <w:top w:val="single" w:color="auto" w:sz="4" w:space="0"/>
              <w:left w:val="nil"/>
              <w:bottom w:val="single" w:color="auto" w:sz="4" w:space="0"/>
              <w:right w:val="single" w:color="auto" w:sz="4" w:space="0"/>
            </w:tcBorders>
            <w:shd w:val="clear" w:color="auto" w:fill="auto"/>
            <w:vAlign w:val="center"/>
          </w:tcPr>
          <w:p w14:paraId="01EE89A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7053FC8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6F8EE4A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3DBA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7927AB24">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14</w:t>
            </w:r>
          </w:p>
        </w:tc>
        <w:tc>
          <w:tcPr>
            <w:tcW w:w="905" w:type="pct"/>
            <w:tcBorders>
              <w:top w:val="single" w:color="auto" w:sz="4" w:space="0"/>
              <w:left w:val="nil"/>
              <w:bottom w:val="single" w:color="auto" w:sz="4" w:space="0"/>
              <w:right w:val="single" w:color="auto" w:sz="4" w:space="0"/>
            </w:tcBorders>
            <w:shd w:val="clear" w:color="auto" w:fill="auto"/>
            <w:vAlign w:val="center"/>
          </w:tcPr>
          <w:p w14:paraId="22DA65D1">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监控工作站</w:t>
            </w:r>
          </w:p>
        </w:tc>
        <w:tc>
          <w:tcPr>
            <w:tcW w:w="308" w:type="pct"/>
            <w:tcBorders>
              <w:top w:val="single" w:color="auto" w:sz="4" w:space="0"/>
              <w:left w:val="nil"/>
              <w:bottom w:val="single" w:color="auto" w:sz="4" w:space="0"/>
              <w:right w:val="single" w:color="auto" w:sz="4" w:space="0"/>
            </w:tcBorders>
            <w:shd w:val="clear" w:color="auto" w:fill="auto"/>
            <w:vAlign w:val="center"/>
          </w:tcPr>
          <w:p w14:paraId="57EDD60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2DEA384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1C5A8C1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027A1B73">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246EBC43">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22</w:t>
            </w:r>
          </w:p>
        </w:tc>
        <w:tc>
          <w:tcPr>
            <w:tcW w:w="685" w:type="pct"/>
            <w:tcBorders>
              <w:top w:val="single" w:color="auto" w:sz="4" w:space="0"/>
              <w:left w:val="nil"/>
              <w:bottom w:val="single" w:color="auto" w:sz="4" w:space="0"/>
              <w:right w:val="single" w:color="auto" w:sz="4" w:space="0"/>
            </w:tcBorders>
            <w:shd w:val="clear" w:color="auto" w:fill="auto"/>
            <w:vAlign w:val="center"/>
          </w:tcPr>
          <w:p w14:paraId="1519B381">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679F716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250F43F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102E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132304CC">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15</w:t>
            </w:r>
          </w:p>
        </w:tc>
        <w:tc>
          <w:tcPr>
            <w:tcW w:w="905" w:type="pct"/>
            <w:tcBorders>
              <w:top w:val="single" w:color="auto" w:sz="4" w:space="0"/>
              <w:left w:val="nil"/>
              <w:bottom w:val="single" w:color="auto" w:sz="4" w:space="0"/>
              <w:right w:val="single" w:color="auto" w:sz="4" w:space="0"/>
            </w:tcBorders>
            <w:shd w:val="clear" w:color="auto" w:fill="auto"/>
            <w:vAlign w:val="center"/>
          </w:tcPr>
          <w:p w14:paraId="7F160D6E">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工作站操作系统</w:t>
            </w:r>
          </w:p>
        </w:tc>
        <w:tc>
          <w:tcPr>
            <w:tcW w:w="308" w:type="pct"/>
            <w:tcBorders>
              <w:top w:val="single" w:color="auto" w:sz="4" w:space="0"/>
              <w:left w:val="nil"/>
              <w:bottom w:val="single" w:color="auto" w:sz="4" w:space="0"/>
              <w:right w:val="single" w:color="auto" w:sz="4" w:space="0"/>
            </w:tcBorders>
            <w:shd w:val="clear" w:color="auto" w:fill="auto"/>
            <w:vAlign w:val="center"/>
          </w:tcPr>
          <w:p w14:paraId="3D5582D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21F9B61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2CA3976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50E7BD23">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2CE86B29">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22</w:t>
            </w:r>
          </w:p>
        </w:tc>
        <w:tc>
          <w:tcPr>
            <w:tcW w:w="685" w:type="pct"/>
            <w:tcBorders>
              <w:top w:val="single" w:color="auto" w:sz="4" w:space="0"/>
              <w:left w:val="nil"/>
              <w:bottom w:val="single" w:color="auto" w:sz="4" w:space="0"/>
              <w:right w:val="single" w:color="auto" w:sz="4" w:space="0"/>
            </w:tcBorders>
            <w:shd w:val="clear" w:color="auto" w:fill="auto"/>
            <w:vAlign w:val="center"/>
          </w:tcPr>
          <w:p w14:paraId="070012A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77ED762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75C2F49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0235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0DCB86A5">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16</w:t>
            </w:r>
          </w:p>
        </w:tc>
        <w:tc>
          <w:tcPr>
            <w:tcW w:w="905" w:type="pct"/>
            <w:tcBorders>
              <w:top w:val="single" w:color="auto" w:sz="4" w:space="0"/>
              <w:left w:val="nil"/>
              <w:bottom w:val="single" w:color="auto" w:sz="4" w:space="0"/>
              <w:right w:val="single" w:color="auto" w:sz="4" w:space="0"/>
            </w:tcBorders>
            <w:shd w:val="clear" w:color="auto" w:fill="auto"/>
            <w:vAlign w:val="center"/>
          </w:tcPr>
          <w:p w14:paraId="29453C01">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SCADA组态运行软件</w:t>
            </w:r>
          </w:p>
        </w:tc>
        <w:tc>
          <w:tcPr>
            <w:tcW w:w="308" w:type="pct"/>
            <w:tcBorders>
              <w:top w:val="single" w:color="auto" w:sz="4" w:space="0"/>
              <w:left w:val="nil"/>
              <w:bottom w:val="single" w:color="auto" w:sz="4" w:space="0"/>
              <w:right w:val="single" w:color="auto" w:sz="4" w:space="0"/>
            </w:tcBorders>
            <w:shd w:val="clear" w:color="auto" w:fill="auto"/>
            <w:vAlign w:val="center"/>
          </w:tcPr>
          <w:p w14:paraId="3C2622B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4BAB8D6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360B90A1">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16348613">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086E5D68">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22</w:t>
            </w:r>
          </w:p>
        </w:tc>
        <w:tc>
          <w:tcPr>
            <w:tcW w:w="685" w:type="pct"/>
            <w:tcBorders>
              <w:top w:val="single" w:color="auto" w:sz="4" w:space="0"/>
              <w:left w:val="nil"/>
              <w:bottom w:val="single" w:color="auto" w:sz="4" w:space="0"/>
              <w:right w:val="single" w:color="auto" w:sz="4" w:space="0"/>
            </w:tcBorders>
            <w:shd w:val="clear" w:color="auto" w:fill="auto"/>
            <w:vAlign w:val="center"/>
          </w:tcPr>
          <w:p w14:paraId="5BD59E71">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4415F61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6D99C18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1E23E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0403A0D7">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17</w:t>
            </w:r>
          </w:p>
        </w:tc>
        <w:tc>
          <w:tcPr>
            <w:tcW w:w="905" w:type="pct"/>
            <w:tcBorders>
              <w:top w:val="single" w:color="auto" w:sz="4" w:space="0"/>
              <w:left w:val="nil"/>
              <w:bottom w:val="single" w:color="auto" w:sz="4" w:space="0"/>
              <w:right w:val="single" w:color="auto" w:sz="4" w:space="0"/>
            </w:tcBorders>
            <w:shd w:val="clear" w:color="auto" w:fill="auto"/>
            <w:vAlign w:val="center"/>
          </w:tcPr>
          <w:p w14:paraId="4407DC0D">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集控中心辅材</w:t>
            </w:r>
          </w:p>
        </w:tc>
        <w:tc>
          <w:tcPr>
            <w:tcW w:w="308" w:type="pct"/>
            <w:tcBorders>
              <w:top w:val="single" w:color="auto" w:sz="4" w:space="0"/>
              <w:left w:val="nil"/>
              <w:bottom w:val="single" w:color="auto" w:sz="4" w:space="0"/>
              <w:right w:val="single" w:color="auto" w:sz="4" w:space="0"/>
            </w:tcBorders>
            <w:shd w:val="clear" w:color="auto" w:fill="auto"/>
            <w:vAlign w:val="center"/>
          </w:tcPr>
          <w:p w14:paraId="008A6C51">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7A579E7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4D31BFC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491AF8D7">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2197D17D">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p>
        </w:tc>
        <w:tc>
          <w:tcPr>
            <w:tcW w:w="685" w:type="pct"/>
            <w:tcBorders>
              <w:top w:val="single" w:color="auto" w:sz="4" w:space="0"/>
              <w:left w:val="nil"/>
              <w:bottom w:val="single" w:color="auto" w:sz="4" w:space="0"/>
              <w:right w:val="single" w:color="auto" w:sz="4" w:space="0"/>
            </w:tcBorders>
            <w:shd w:val="clear" w:color="auto" w:fill="auto"/>
            <w:vAlign w:val="center"/>
          </w:tcPr>
          <w:p w14:paraId="77B0D1D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67EE082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64FE1E9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6D16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0C0281AB">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18</w:t>
            </w:r>
          </w:p>
        </w:tc>
        <w:tc>
          <w:tcPr>
            <w:tcW w:w="905" w:type="pct"/>
            <w:tcBorders>
              <w:top w:val="single" w:color="auto" w:sz="4" w:space="0"/>
              <w:left w:val="nil"/>
              <w:bottom w:val="single" w:color="auto" w:sz="4" w:space="0"/>
              <w:right w:val="single" w:color="auto" w:sz="4" w:space="0"/>
            </w:tcBorders>
            <w:shd w:val="clear" w:color="auto" w:fill="auto"/>
            <w:vAlign w:val="center"/>
          </w:tcPr>
          <w:p w14:paraId="5C4304C3">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数据采集服务器</w:t>
            </w:r>
          </w:p>
        </w:tc>
        <w:tc>
          <w:tcPr>
            <w:tcW w:w="308" w:type="pct"/>
            <w:tcBorders>
              <w:top w:val="single" w:color="auto" w:sz="4" w:space="0"/>
              <w:left w:val="nil"/>
              <w:bottom w:val="single" w:color="auto" w:sz="4" w:space="0"/>
              <w:right w:val="single" w:color="auto" w:sz="4" w:space="0"/>
            </w:tcBorders>
            <w:shd w:val="clear" w:color="auto" w:fill="auto"/>
            <w:vAlign w:val="center"/>
          </w:tcPr>
          <w:p w14:paraId="0E55AF4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567E910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0E760BC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43FC6E4D">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70A65007">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37</w:t>
            </w:r>
          </w:p>
        </w:tc>
        <w:tc>
          <w:tcPr>
            <w:tcW w:w="685" w:type="pct"/>
            <w:tcBorders>
              <w:top w:val="single" w:color="auto" w:sz="4" w:space="0"/>
              <w:left w:val="nil"/>
              <w:bottom w:val="single" w:color="auto" w:sz="4" w:space="0"/>
              <w:right w:val="single" w:color="auto" w:sz="4" w:space="0"/>
            </w:tcBorders>
            <w:shd w:val="clear" w:color="auto" w:fill="auto"/>
            <w:vAlign w:val="center"/>
          </w:tcPr>
          <w:p w14:paraId="4C7257A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5F899E1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0FEBF581">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13D77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2ADD3B7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19</w:t>
            </w:r>
          </w:p>
        </w:tc>
        <w:tc>
          <w:tcPr>
            <w:tcW w:w="905" w:type="pct"/>
            <w:tcBorders>
              <w:top w:val="single" w:color="auto" w:sz="4" w:space="0"/>
              <w:left w:val="nil"/>
              <w:bottom w:val="single" w:color="auto" w:sz="4" w:space="0"/>
              <w:right w:val="single" w:color="auto" w:sz="4" w:space="0"/>
            </w:tcBorders>
            <w:shd w:val="clear" w:color="auto" w:fill="auto"/>
            <w:vAlign w:val="center"/>
          </w:tcPr>
          <w:p w14:paraId="2A4012D9">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数据采集软件1万点</w:t>
            </w:r>
          </w:p>
        </w:tc>
        <w:tc>
          <w:tcPr>
            <w:tcW w:w="308" w:type="pct"/>
            <w:tcBorders>
              <w:top w:val="single" w:color="auto" w:sz="4" w:space="0"/>
              <w:left w:val="nil"/>
              <w:bottom w:val="single" w:color="auto" w:sz="4" w:space="0"/>
              <w:right w:val="single" w:color="auto" w:sz="4" w:space="0"/>
            </w:tcBorders>
            <w:shd w:val="clear" w:color="auto" w:fill="auto"/>
            <w:vAlign w:val="center"/>
          </w:tcPr>
          <w:p w14:paraId="74221A2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4A0B98A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2F2ADF7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1A3F0715">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160ADD07">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8</w:t>
            </w:r>
          </w:p>
        </w:tc>
        <w:tc>
          <w:tcPr>
            <w:tcW w:w="685" w:type="pct"/>
            <w:tcBorders>
              <w:top w:val="single" w:color="auto" w:sz="4" w:space="0"/>
              <w:left w:val="nil"/>
              <w:bottom w:val="single" w:color="auto" w:sz="4" w:space="0"/>
              <w:right w:val="single" w:color="auto" w:sz="4" w:space="0"/>
            </w:tcBorders>
            <w:shd w:val="clear" w:color="auto" w:fill="auto"/>
            <w:vAlign w:val="center"/>
          </w:tcPr>
          <w:p w14:paraId="05C4610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38C6F56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1F1CCDA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4024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1BBCB773">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20</w:t>
            </w:r>
          </w:p>
        </w:tc>
        <w:tc>
          <w:tcPr>
            <w:tcW w:w="905" w:type="pct"/>
            <w:tcBorders>
              <w:top w:val="single" w:color="auto" w:sz="4" w:space="0"/>
              <w:left w:val="nil"/>
              <w:bottom w:val="single" w:color="auto" w:sz="4" w:space="0"/>
              <w:right w:val="single" w:color="auto" w:sz="4" w:space="0"/>
            </w:tcBorders>
            <w:shd w:val="clear" w:color="auto" w:fill="auto"/>
            <w:vAlign w:val="center"/>
          </w:tcPr>
          <w:p w14:paraId="47F17B38">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数据采集软件2万点</w:t>
            </w:r>
          </w:p>
        </w:tc>
        <w:tc>
          <w:tcPr>
            <w:tcW w:w="308" w:type="pct"/>
            <w:tcBorders>
              <w:top w:val="single" w:color="auto" w:sz="4" w:space="0"/>
              <w:left w:val="nil"/>
              <w:bottom w:val="single" w:color="auto" w:sz="4" w:space="0"/>
              <w:right w:val="single" w:color="auto" w:sz="4" w:space="0"/>
            </w:tcBorders>
            <w:shd w:val="clear" w:color="auto" w:fill="auto"/>
            <w:vAlign w:val="center"/>
          </w:tcPr>
          <w:p w14:paraId="66FAF58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11F2CBB1">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4502390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7FD9426D">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1F078FDA">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18</w:t>
            </w:r>
          </w:p>
        </w:tc>
        <w:tc>
          <w:tcPr>
            <w:tcW w:w="685" w:type="pct"/>
            <w:tcBorders>
              <w:top w:val="single" w:color="auto" w:sz="4" w:space="0"/>
              <w:left w:val="nil"/>
              <w:bottom w:val="single" w:color="auto" w:sz="4" w:space="0"/>
              <w:right w:val="single" w:color="auto" w:sz="4" w:space="0"/>
            </w:tcBorders>
            <w:shd w:val="clear" w:color="auto" w:fill="auto"/>
            <w:vAlign w:val="center"/>
          </w:tcPr>
          <w:p w14:paraId="761FC93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7727A60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339090D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339C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6E23489B">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21</w:t>
            </w:r>
          </w:p>
        </w:tc>
        <w:tc>
          <w:tcPr>
            <w:tcW w:w="905" w:type="pct"/>
            <w:tcBorders>
              <w:top w:val="single" w:color="auto" w:sz="4" w:space="0"/>
              <w:left w:val="nil"/>
              <w:bottom w:val="single" w:color="auto" w:sz="4" w:space="0"/>
              <w:right w:val="single" w:color="auto" w:sz="4" w:space="0"/>
            </w:tcBorders>
            <w:shd w:val="clear" w:color="auto" w:fill="auto"/>
            <w:vAlign w:val="center"/>
          </w:tcPr>
          <w:p w14:paraId="0196400D">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数据采集软件3万点</w:t>
            </w:r>
          </w:p>
        </w:tc>
        <w:tc>
          <w:tcPr>
            <w:tcW w:w="308" w:type="pct"/>
            <w:tcBorders>
              <w:top w:val="single" w:color="auto" w:sz="4" w:space="0"/>
              <w:left w:val="nil"/>
              <w:bottom w:val="single" w:color="auto" w:sz="4" w:space="0"/>
              <w:right w:val="single" w:color="auto" w:sz="4" w:space="0"/>
            </w:tcBorders>
            <w:shd w:val="clear" w:color="auto" w:fill="auto"/>
            <w:vAlign w:val="center"/>
          </w:tcPr>
          <w:p w14:paraId="040581D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18A91FA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5557602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4CD893E3">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73AC660D">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10</w:t>
            </w:r>
          </w:p>
        </w:tc>
        <w:tc>
          <w:tcPr>
            <w:tcW w:w="685" w:type="pct"/>
            <w:tcBorders>
              <w:top w:val="single" w:color="auto" w:sz="4" w:space="0"/>
              <w:left w:val="nil"/>
              <w:bottom w:val="single" w:color="auto" w:sz="4" w:space="0"/>
              <w:right w:val="single" w:color="auto" w:sz="4" w:space="0"/>
            </w:tcBorders>
            <w:shd w:val="clear" w:color="auto" w:fill="auto"/>
            <w:vAlign w:val="center"/>
          </w:tcPr>
          <w:p w14:paraId="412A883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62627D1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4212A21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627B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12B1DDAF">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22</w:t>
            </w:r>
          </w:p>
        </w:tc>
        <w:tc>
          <w:tcPr>
            <w:tcW w:w="905" w:type="pct"/>
            <w:tcBorders>
              <w:top w:val="single" w:color="auto" w:sz="4" w:space="0"/>
              <w:left w:val="nil"/>
              <w:bottom w:val="single" w:color="auto" w:sz="4" w:space="0"/>
              <w:right w:val="single" w:color="auto" w:sz="4" w:space="0"/>
            </w:tcBorders>
            <w:shd w:val="clear" w:color="auto" w:fill="auto"/>
            <w:vAlign w:val="center"/>
          </w:tcPr>
          <w:p w14:paraId="1C88BF42">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数据采集软件6万点</w:t>
            </w:r>
          </w:p>
        </w:tc>
        <w:tc>
          <w:tcPr>
            <w:tcW w:w="308" w:type="pct"/>
            <w:tcBorders>
              <w:top w:val="single" w:color="auto" w:sz="4" w:space="0"/>
              <w:left w:val="nil"/>
              <w:bottom w:val="single" w:color="auto" w:sz="4" w:space="0"/>
              <w:right w:val="single" w:color="auto" w:sz="4" w:space="0"/>
            </w:tcBorders>
            <w:shd w:val="clear" w:color="auto" w:fill="auto"/>
            <w:vAlign w:val="center"/>
          </w:tcPr>
          <w:p w14:paraId="7FEEE55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2752C9A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1B29F6D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536F6154">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383689C2">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p>
        </w:tc>
        <w:tc>
          <w:tcPr>
            <w:tcW w:w="685" w:type="pct"/>
            <w:tcBorders>
              <w:top w:val="single" w:color="auto" w:sz="4" w:space="0"/>
              <w:left w:val="nil"/>
              <w:bottom w:val="single" w:color="auto" w:sz="4" w:space="0"/>
              <w:right w:val="single" w:color="auto" w:sz="4" w:space="0"/>
            </w:tcBorders>
            <w:shd w:val="clear" w:color="auto" w:fill="auto"/>
            <w:vAlign w:val="center"/>
          </w:tcPr>
          <w:p w14:paraId="029669D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739F51D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0BF3012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5466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79E5113B">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23</w:t>
            </w:r>
          </w:p>
        </w:tc>
        <w:tc>
          <w:tcPr>
            <w:tcW w:w="905" w:type="pct"/>
            <w:tcBorders>
              <w:top w:val="single" w:color="auto" w:sz="4" w:space="0"/>
              <w:left w:val="nil"/>
              <w:bottom w:val="single" w:color="auto" w:sz="4" w:space="0"/>
              <w:right w:val="single" w:color="auto" w:sz="4" w:space="0"/>
            </w:tcBorders>
            <w:shd w:val="clear" w:color="auto" w:fill="auto"/>
            <w:vAlign w:val="center"/>
          </w:tcPr>
          <w:p w14:paraId="58BDCF74">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中心工业安全防火墙</w:t>
            </w:r>
          </w:p>
        </w:tc>
        <w:tc>
          <w:tcPr>
            <w:tcW w:w="308" w:type="pct"/>
            <w:tcBorders>
              <w:top w:val="single" w:color="auto" w:sz="4" w:space="0"/>
              <w:left w:val="nil"/>
              <w:bottom w:val="single" w:color="auto" w:sz="4" w:space="0"/>
              <w:right w:val="single" w:color="auto" w:sz="4" w:space="0"/>
            </w:tcBorders>
            <w:shd w:val="clear" w:color="auto" w:fill="auto"/>
            <w:vAlign w:val="center"/>
          </w:tcPr>
          <w:p w14:paraId="479424B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525F8541">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17086E9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5BA34DFF">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台</w:t>
            </w:r>
          </w:p>
        </w:tc>
        <w:tc>
          <w:tcPr>
            <w:tcW w:w="315" w:type="pct"/>
            <w:tcBorders>
              <w:top w:val="single" w:color="auto" w:sz="4" w:space="0"/>
              <w:left w:val="nil"/>
              <w:bottom w:val="single" w:color="auto" w:sz="4" w:space="0"/>
              <w:right w:val="single" w:color="auto" w:sz="4" w:space="0"/>
            </w:tcBorders>
            <w:shd w:val="clear" w:color="auto" w:fill="auto"/>
            <w:vAlign w:val="center"/>
          </w:tcPr>
          <w:p w14:paraId="10EF3066">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p>
        </w:tc>
        <w:tc>
          <w:tcPr>
            <w:tcW w:w="685" w:type="pct"/>
            <w:tcBorders>
              <w:top w:val="single" w:color="auto" w:sz="4" w:space="0"/>
              <w:left w:val="nil"/>
              <w:bottom w:val="single" w:color="auto" w:sz="4" w:space="0"/>
              <w:right w:val="single" w:color="auto" w:sz="4" w:space="0"/>
            </w:tcBorders>
            <w:shd w:val="clear" w:color="auto" w:fill="auto"/>
            <w:vAlign w:val="center"/>
          </w:tcPr>
          <w:p w14:paraId="45B1A56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234AE48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7EA3381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604E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20D7C0B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24</w:t>
            </w:r>
          </w:p>
        </w:tc>
        <w:tc>
          <w:tcPr>
            <w:tcW w:w="905" w:type="pct"/>
            <w:tcBorders>
              <w:top w:val="single" w:color="auto" w:sz="4" w:space="0"/>
              <w:left w:val="nil"/>
              <w:bottom w:val="single" w:color="auto" w:sz="4" w:space="0"/>
              <w:right w:val="single" w:color="auto" w:sz="4" w:space="0"/>
            </w:tcBorders>
            <w:shd w:val="clear" w:color="auto" w:fill="auto"/>
            <w:vAlign w:val="center"/>
          </w:tcPr>
          <w:p w14:paraId="04872449">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厂级工业安全防火墙</w:t>
            </w:r>
          </w:p>
        </w:tc>
        <w:tc>
          <w:tcPr>
            <w:tcW w:w="308" w:type="pct"/>
            <w:tcBorders>
              <w:top w:val="single" w:color="auto" w:sz="4" w:space="0"/>
              <w:left w:val="nil"/>
              <w:bottom w:val="single" w:color="auto" w:sz="4" w:space="0"/>
              <w:right w:val="single" w:color="auto" w:sz="4" w:space="0"/>
            </w:tcBorders>
            <w:shd w:val="clear" w:color="auto" w:fill="auto"/>
            <w:vAlign w:val="center"/>
          </w:tcPr>
          <w:p w14:paraId="07A151A1">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71866681">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3136C0E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4F8B7A0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0A494E4A">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37</w:t>
            </w:r>
          </w:p>
        </w:tc>
        <w:tc>
          <w:tcPr>
            <w:tcW w:w="685" w:type="pct"/>
            <w:tcBorders>
              <w:top w:val="single" w:color="auto" w:sz="4" w:space="0"/>
              <w:left w:val="nil"/>
              <w:bottom w:val="single" w:color="auto" w:sz="4" w:space="0"/>
              <w:right w:val="single" w:color="auto" w:sz="4" w:space="0"/>
            </w:tcBorders>
            <w:shd w:val="clear" w:color="auto" w:fill="auto"/>
            <w:vAlign w:val="center"/>
          </w:tcPr>
          <w:p w14:paraId="47B6CA8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7C3D3FD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79B0F58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3227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50C2D034">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25</w:t>
            </w:r>
          </w:p>
        </w:tc>
        <w:tc>
          <w:tcPr>
            <w:tcW w:w="905" w:type="pct"/>
            <w:tcBorders>
              <w:top w:val="single" w:color="auto" w:sz="4" w:space="0"/>
              <w:left w:val="nil"/>
              <w:bottom w:val="single" w:color="auto" w:sz="4" w:space="0"/>
              <w:right w:val="single" w:color="auto" w:sz="4" w:space="0"/>
            </w:tcBorders>
            <w:shd w:val="clear" w:color="auto" w:fill="auto"/>
            <w:vAlign w:val="center"/>
          </w:tcPr>
          <w:p w14:paraId="5071DA33">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数据库审计系统</w:t>
            </w:r>
          </w:p>
        </w:tc>
        <w:tc>
          <w:tcPr>
            <w:tcW w:w="308" w:type="pct"/>
            <w:tcBorders>
              <w:top w:val="single" w:color="auto" w:sz="4" w:space="0"/>
              <w:left w:val="nil"/>
              <w:bottom w:val="single" w:color="auto" w:sz="4" w:space="0"/>
              <w:right w:val="single" w:color="auto" w:sz="4" w:space="0"/>
            </w:tcBorders>
            <w:shd w:val="clear" w:color="auto" w:fill="auto"/>
            <w:vAlign w:val="center"/>
          </w:tcPr>
          <w:p w14:paraId="0B33CC6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67C149D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0D7406A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5CE4D944">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台</w:t>
            </w:r>
          </w:p>
        </w:tc>
        <w:tc>
          <w:tcPr>
            <w:tcW w:w="315" w:type="pct"/>
            <w:tcBorders>
              <w:top w:val="single" w:color="auto" w:sz="4" w:space="0"/>
              <w:left w:val="nil"/>
              <w:bottom w:val="single" w:color="auto" w:sz="4" w:space="0"/>
              <w:right w:val="single" w:color="auto" w:sz="4" w:space="0"/>
            </w:tcBorders>
            <w:shd w:val="clear" w:color="auto" w:fill="auto"/>
            <w:vAlign w:val="center"/>
          </w:tcPr>
          <w:p w14:paraId="35788B05">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p>
        </w:tc>
        <w:tc>
          <w:tcPr>
            <w:tcW w:w="685" w:type="pct"/>
            <w:tcBorders>
              <w:top w:val="single" w:color="auto" w:sz="4" w:space="0"/>
              <w:left w:val="nil"/>
              <w:bottom w:val="single" w:color="auto" w:sz="4" w:space="0"/>
              <w:right w:val="single" w:color="auto" w:sz="4" w:space="0"/>
            </w:tcBorders>
            <w:shd w:val="clear" w:color="auto" w:fill="auto"/>
            <w:vAlign w:val="center"/>
          </w:tcPr>
          <w:p w14:paraId="4BD0427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13629EF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4DD5FF3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7043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4FFBF4A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26</w:t>
            </w:r>
          </w:p>
        </w:tc>
        <w:tc>
          <w:tcPr>
            <w:tcW w:w="905" w:type="pct"/>
            <w:tcBorders>
              <w:top w:val="single" w:color="auto" w:sz="4" w:space="0"/>
              <w:left w:val="nil"/>
              <w:bottom w:val="single" w:color="auto" w:sz="4" w:space="0"/>
              <w:right w:val="single" w:color="auto" w:sz="4" w:space="0"/>
            </w:tcBorders>
            <w:shd w:val="clear" w:color="auto" w:fill="auto"/>
            <w:vAlign w:val="center"/>
          </w:tcPr>
          <w:p w14:paraId="5F052E67">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工业态势感知</w:t>
            </w:r>
          </w:p>
        </w:tc>
        <w:tc>
          <w:tcPr>
            <w:tcW w:w="308" w:type="pct"/>
            <w:tcBorders>
              <w:top w:val="single" w:color="auto" w:sz="4" w:space="0"/>
              <w:left w:val="nil"/>
              <w:bottom w:val="single" w:color="auto" w:sz="4" w:space="0"/>
              <w:right w:val="single" w:color="auto" w:sz="4" w:space="0"/>
            </w:tcBorders>
            <w:shd w:val="clear" w:color="auto" w:fill="auto"/>
            <w:vAlign w:val="center"/>
          </w:tcPr>
          <w:p w14:paraId="24E93A01">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72245B7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38F1798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5FEB708A">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3E6D665C">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p>
        </w:tc>
        <w:tc>
          <w:tcPr>
            <w:tcW w:w="685" w:type="pct"/>
            <w:tcBorders>
              <w:top w:val="single" w:color="auto" w:sz="4" w:space="0"/>
              <w:left w:val="nil"/>
              <w:bottom w:val="single" w:color="auto" w:sz="4" w:space="0"/>
              <w:right w:val="single" w:color="auto" w:sz="4" w:space="0"/>
            </w:tcBorders>
            <w:shd w:val="clear" w:color="auto" w:fill="auto"/>
            <w:vAlign w:val="center"/>
          </w:tcPr>
          <w:p w14:paraId="3A02395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61D6F7B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0D4776B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0FDD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2637316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27</w:t>
            </w:r>
          </w:p>
        </w:tc>
        <w:tc>
          <w:tcPr>
            <w:tcW w:w="905" w:type="pct"/>
            <w:tcBorders>
              <w:top w:val="single" w:color="auto" w:sz="4" w:space="0"/>
              <w:left w:val="nil"/>
              <w:bottom w:val="single" w:color="auto" w:sz="4" w:space="0"/>
              <w:right w:val="single" w:color="auto" w:sz="4" w:space="0"/>
            </w:tcBorders>
            <w:shd w:val="clear" w:color="auto" w:fill="auto"/>
            <w:vAlign w:val="center"/>
          </w:tcPr>
          <w:p w14:paraId="44D9C0A9">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入侵检测系统</w:t>
            </w:r>
          </w:p>
        </w:tc>
        <w:tc>
          <w:tcPr>
            <w:tcW w:w="308" w:type="pct"/>
            <w:tcBorders>
              <w:top w:val="single" w:color="auto" w:sz="4" w:space="0"/>
              <w:left w:val="nil"/>
              <w:bottom w:val="single" w:color="auto" w:sz="4" w:space="0"/>
              <w:right w:val="single" w:color="auto" w:sz="4" w:space="0"/>
            </w:tcBorders>
            <w:shd w:val="clear" w:color="auto" w:fill="auto"/>
            <w:vAlign w:val="center"/>
          </w:tcPr>
          <w:p w14:paraId="2D9B632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03878B3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0467B4C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2E971131">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台</w:t>
            </w:r>
          </w:p>
        </w:tc>
        <w:tc>
          <w:tcPr>
            <w:tcW w:w="315" w:type="pct"/>
            <w:tcBorders>
              <w:top w:val="single" w:color="auto" w:sz="4" w:space="0"/>
              <w:left w:val="nil"/>
              <w:bottom w:val="single" w:color="auto" w:sz="4" w:space="0"/>
              <w:right w:val="single" w:color="auto" w:sz="4" w:space="0"/>
            </w:tcBorders>
            <w:shd w:val="clear" w:color="auto" w:fill="auto"/>
            <w:vAlign w:val="center"/>
          </w:tcPr>
          <w:p w14:paraId="1C17E297">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p>
        </w:tc>
        <w:tc>
          <w:tcPr>
            <w:tcW w:w="685" w:type="pct"/>
            <w:tcBorders>
              <w:top w:val="single" w:color="auto" w:sz="4" w:space="0"/>
              <w:left w:val="nil"/>
              <w:bottom w:val="single" w:color="auto" w:sz="4" w:space="0"/>
              <w:right w:val="single" w:color="auto" w:sz="4" w:space="0"/>
            </w:tcBorders>
            <w:shd w:val="clear" w:color="auto" w:fill="auto"/>
            <w:vAlign w:val="center"/>
          </w:tcPr>
          <w:p w14:paraId="4FC2FAE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3C1EAE7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01A6CC8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203F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543BC4A3">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28</w:t>
            </w:r>
          </w:p>
        </w:tc>
        <w:tc>
          <w:tcPr>
            <w:tcW w:w="905" w:type="pct"/>
            <w:tcBorders>
              <w:top w:val="single" w:color="auto" w:sz="4" w:space="0"/>
              <w:left w:val="nil"/>
              <w:bottom w:val="single" w:color="auto" w:sz="4" w:space="0"/>
              <w:right w:val="single" w:color="auto" w:sz="4" w:space="0"/>
            </w:tcBorders>
            <w:shd w:val="clear" w:color="auto" w:fill="auto"/>
            <w:vAlign w:val="center"/>
          </w:tcPr>
          <w:p w14:paraId="24356FAF">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安全运维管理系统</w:t>
            </w:r>
          </w:p>
        </w:tc>
        <w:tc>
          <w:tcPr>
            <w:tcW w:w="308" w:type="pct"/>
            <w:tcBorders>
              <w:top w:val="single" w:color="auto" w:sz="4" w:space="0"/>
              <w:left w:val="nil"/>
              <w:bottom w:val="single" w:color="auto" w:sz="4" w:space="0"/>
              <w:right w:val="single" w:color="auto" w:sz="4" w:space="0"/>
            </w:tcBorders>
            <w:shd w:val="clear" w:color="auto" w:fill="auto"/>
            <w:vAlign w:val="center"/>
          </w:tcPr>
          <w:p w14:paraId="3D26CEB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4CA0C401">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05E6644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0D0E1EC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台</w:t>
            </w:r>
          </w:p>
        </w:tc>
        <w:tc>
          <w:tcPr>
            <w:tcW w:w="315" w:type="pct"/>
            <w:tcBorders>
              <w:top w:val="single" w:color="auto" w:sz="4" w:space="0"/>
              <w:left w:val="nil"/>
              <w:bottom w:val="single" w:color="auto" w:sz="4" w:space="0"/>
              <w:right w:val="single" w:color="auto" w:sz="4" w:space="0"/>
            </w:tcBorders>
            <w:shd w:val="clear" w:color="auto" w:fill="auto"/>
            <w:vAlign w:val="center"/>
          </w:tcPr>
          <w:p w14:paraId="382F736B">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p>
        </w:tc>
        <w:tc>
          <w:tcPr>
            <w:tcW w:w="685" w:type="pct"/>
            <w:tcBorders>
              <w:top w:val="single" w:color="auto" w:sz="4" w:space="0"/>
              <w:left w:val="nil"/>
              <w:bottom w:val="single" w:color="auto" w:sz="4" w:space="0"/>
              <w:right w:val="single" w:color="auto" w:sz="4" w:space="0"/>
            </w:tcBorders>
            <w:shd w:val="clear" w:color="auto" w:fill="auto"/>
            <w:vAlign w:val="center"/>
          </w:tcPr>
          <w:p w14:paraId="7EAEE1D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1D083D9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4D7F507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10C3D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254AA625">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29</w:t>
            </w:r>
          </w:p>
        </w:tc>
        <w:tc>
          <w:tcPr>
            <w:tcW w:w="905" w:type="pct"/>
            <w:tcBorders>
              <w:top w:val="single" w:color="auto" w:sz="4" w:space="0"/>
              <w:left w:val="nil"/>
              <w:bottom w:val="single" w:color="auto" w:sz="4" w:space="0"/>
              <w:right w:val="single" w:color="auto" w:sz="4" w:space="0"/>
            </w:tcBorders>
            <w:shd w:val="clear" w:color="auto" w:fill="auto"/>
            <w:vAlign w:val="center"/>
          </w:tcPr>
          <w:p w14:paraId="1BF8B0D2">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日志审计与分析系统</w:t>
            </w:r>
          </w:p>
        </w:tc>
        <w:tc>
          <w:tcPr>
            <w:tcW w:w="308" w:type="pct"/>
            <w:tcBorders>
              <w:top w:val="single" w:color="auto" w:sz="4" w:space="0"/>
              <w:left w:val="nil"/>
              <w:bottom w:val="single" w:color="auto" w:sz="4" w:space="0"/>
              <w:right w:val="single" w:color="auto" w:sz="4" w:space="0"/>
            </w:tcBorders>
            <w:shd w:val="clear" w:color="auto" w:fill="auto"/>
            <w:vAlign w:val="center"/>
          </w:tcPr>
          <w:p w14:paraId="711C6C7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1E0642E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315DA41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68884336">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台</w:t>
            </w:r>
          </w:p>
        </w:tc>
        <w:tc>
          <w:tcPr>
            <w:tcW w:w="315" w:type="pct"/>
            <w:tcBorders>
              <w:top w:val="single" w:color="auto" w:sz="4" w:space="0"/>
              <w:left w:val="nil"/>
              <w:bottom w:val="single" w:color="auto" w:sz="4" w:space="0"/>
              <w:right w:val="single" w:color="auto" w:sz="4" w:space="0"/>
            </w:tcBorders>
            <w:shd w:val="clear" w:color="auto" w:fill="auto"/>
            <w:vAlign w:val="center"/>
          </w:tcPr>
          <w:p w14:paraId="0C410158">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p>
        </w:tc>
        <w:tc>
          <w:tcPr>
            <w:tcW w:w="685" w:type="pct"/>
            <w:tcBorders>
              <w:top w:val="single" w:color="auto" w:sz="4" w:space="0"/>
              <w:left w:val="nil"/>
              <w:bottom w:val="single" w:color="auto" w:sz="4" w:space="0"/>
              <w:right w:val="single" w:color="auto" w:sz="4" w:space="0"/>
            </w:tcBorders>
            <w:shd w:val="clear" w:color="auto" w:fill="auto"/>
            <w:vAlign w:val="center"/>
          </w:tcPr>
          <w:p w14:paraId="40F72BB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7859D4B1">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567D435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2697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5FC40EA2">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30</w:t>
            </w:r>
          </w:p>
        </w:tc>
        <w:tc>
          <w:tcPr>
            <w:tcW w:w="905" w:type="pct"/>
            <w:tcBorders>
              <w:top w:val="single" w:color="auto" w:sz="4" w:space="0"/>
              <w:left w:val="nil"/>
              <w:bottom w:val="single" w:color="auto" w:sz="4" w:space="0"/>
              <w:right w:val="single" w:color="auto" w:sz="4" w:space="0"/>
            </w:tcBorders>
            <w:shd w:val="clear" w:color="auto" w:fill="auto"/>
            <w:vAlign w:val="center"/>
          </w:tcPr>
          <w:p w14:paraId="4714BADD">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统一安全管理平台</w:t>
            </w:r>
          </w:p>
        </w:tc>
        <w:tc>
          <w:tcPr>
            <w:tcW w:w="308" w:type="pct"/>
            <w:tcBorders>
              <w:top w:val="single" w:color="auto" w:sz="4" w:space="0"/>
              <w:left w:val="nil"/>
              <w:bottom w:val="single" w:color="auto" w:sz="4" w:space="0"/>
              <w:right w:val="single" w:color="auto" w:sz="4" w:space="0"/>
            </w:tcBorders>
            <w:shd w:val="clear" w:color="auto" w:fill="auto"/>
            <w:vAlign w:val="center"/>
          </w:tcPr>
          <w:p w14:paraId="1D15A67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3BFB350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7503292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135E0ED4">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台</w:t>
            </w:r>
          </w:p>
        </w:tc>
        <w:tc>
          <w:tcPr>
            <w:tcW w:w="315" w:type="pct"/>
            <w:tcBorders>
              <w:top w:val="single" w:color="auto" w:sz="4" w:space="0"/>
              <w:left w:val="nil"/>
              <w:bottom w:val="single" w:color="auto" w:sz="4" w:space="0"/>
              <w:right w:val="single" w:color="auto" w:sz="4" w:space="0"/>
            </w:tcBorders>
            <w:shd w:val="clear" w:color="auto" w:fill="auto"/>
            <w:vAlign w:val="center"/>
          </w:tcPr>
          <w:p w14:paraId="4B62FA91">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p>
        </w:tc>
        <w:tc>
          <w:tcPr>
            <w:tcW w:w="685" w:type="pct"/>
            <w:tcBorders>
              <w:top w:val="single" w:color="auto" w:sz="4" w:space="0"/>
              <w:left w:val="nil"/>
              <w:bottom w:val="single" w:color="auto" w:sz="4" w:space="0"/>
              <w:right w:val="single" w:color="auto" w:sz="4" w:space="0"/>
            </w:tcBorders>
            <w:shd w:val="clear" w:color="auto" w:fill="auto"/>
            <w:vAlign w:val="center"/>
          </w:tcPr>
          <w:p w14:paraId="0F82592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4FACAAA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30ED0EC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4838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79DA64CE">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31</w:t>
            </w:r>
          </w:p>
        </w:tc>
        <w:tc>
          <w:tcPr>
            <w:tcW w:w="905" w:type="pct"/>
            <w:tcBorders>
              <w:top w:val="single" w:color="auto" w:sz="4" w:space="0"/>
              <w:left w:val="nil"/>
              <w:bottom w:val="single" w:color="auto" w:sz="4" w:space="0"/>
              <w:right w:val="single" w:color="auto" w:sz="4" w:space="0"/>
            </w:tcBorders>
            <w:shd w:val="clear" w:color="auto" w:fill="auto"/>
            <w:vAlign w:val="center"/>
          </w:tcPr>
          <w:p w14:paraId="1B14C72A">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工控主机卫士软件</w:t>
            </w:r>
          </w:p>
        </w:tc>
        <w:tc>
          <w:tcPr>
            <w:tcW w:w="308" w:type="pct"/>
            <w:tcBorders>
              <w:top w:val="single" w:color="auto" w:sz="4" w:space="0"/>
              <w:left w:val="nil"/>
              <w:bottom w:val="single" w:color="auto" w:sz="4" w:space="0"/>
              <w:right w:val="single" w:color="auto" w:sz="4" w:space="0"/>
            </w:tcBorders>
            <w:shd w:val="clear" w:color="auto" w:fill="auto"/>
            <w:vAlign w:val="center"/>
          </w:tcPr>
          <w:p w14:paraId="1462D4D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0611603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63B0008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64259865">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7BB59312">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71</w:t>
            </w:r>
          </w:p>
        </w:tc>
        <w:tc>
          <w:tcPr>
            <w:tcW w:w="685" w:type="pct"/>
            <w:tcBorders>
              <w:top w:val="single" w:color="auto" w:sz="4" w:space="0"/>
              <w:left w:val="nil"/>
              <w:bottom w:val="single" w:color="auto" w:sz="4" w:space="0"/>
              <w:right w:val="single" w:color="auto" w:sz="4" w:space="0"/>
            </w:tcBorders>
            <w:shd w:val="clear" w:color="auto" w:fill="auto"/>
            <w:vAlign w:val="center"/>
          </w:tcPr>
          <w:p w14:paraId="4BE64AC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2E9795E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737B737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6BD5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998"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6BC4273B">
            <w:pPr>
              <w:keepNext w:val="0"/>
              <w:keepLines w:val="0"/>
              <w:suppressLineNumbers w:val="0"/>
              <w:spacing w:before="0" w:beforeAutospacing="0" w:after="0" w:afterAutospacing="0"/>
              <w:ind w:left="0" w:right="0"/>
              <w:jc w:val="right"/>
              <w:rPr>
                <w:rFonts w:hint="default" w:ascii="宋体" w:hAnsi="宋体" w:eastAsia="宋体" w:cs="Times New Roman"/>
                <w:color w:val="auto"/>
                <w:kern w:val="0"/>
                <w:szCs w:val="21"/>
                <w:highlight w:val="none"/>
              </w:rPr>
            </w:pPr>
            <w:r>
              <w:rPr>
                <w:rFonts w:hint="eastAsia" w:ascii="宋体" w:hAnsi="宋体" w:eastAsia="宋体" w:cs="Times New Roman"/>
                <w:b/>
                <w:bCs/>
                <w:color w:val="auto"/>
                <w:kern w:val="0"/>
                <w:szCs w:val="21"/>
                <w:highlight w:val="none"/>
              </w:rPr>
              <w:t>合计（不含销项税，元）</w:t>
            </w:r>
          </w:p>
        </w:tc>
        <w:tc>
          <w:tcPr>
            <w:tcW w:w="1001" w:type="pct"/>
            <w:gridSpan w:val="2"/>
            <w:tcBorders>
              <w:top w:val="single" w:color="auto" w:sz="4" w:space="0"/>
              <w:left w:val="nil"/>
              <w:bottom w:val="single" w:color="auto" w:sz="4" w:space="0"/>
              <w:right w:val="single" w:color="auto" w:sz="4" w:space="0"/>
            </w:tcBorders>
            <w:shd w:val="clear" w:color="auto" w:fill="auto"/>
            <w:vAlign w:val="center"/>
          </w:tcPr>
          <w:p w14:paraId="491E6B9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5BC5C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5000"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14:paraId="62192038">
            <w:pPr>
              <w:keepNext w:val="0"/>
              <w:keepLines w:val="0"/>
              <w:suppressLineNumbers w:val="0"/>
              <w:spacing w:before="0" w:beforeAutospacing="0" w:after="0" w:afterAutospacing="0"/>
              <w:ind w:left="0" w:right="0"/>
              <w:jc w:val="center"/>
              <w:rPr>
                <w:rFonts w:hint="eastAsia" w:ascii="宋体" w:hAnsi="宋体" w:eastAsia="宋体" w:cs="Times New Roman"/>
                <w:color w:val="auto"/>
                <w:kern w:val="0"/>
                <w:szCs w:val="21"/>
                <w:highlight w:val="none"/>
                <w:lang w:eastAsia="zh-CN"/>
              </w:rPr>
            </w:pPr>
            <w:r>
              <w:rPr>
                <w:rFonts w:hint="eastAsia" w:ascii="宋体" w:hAnsi="宋体" w:eastAsia="宋体" w:cs="Times New Roman"/>
                <w:b/>
                <w:bCs/>
                <w:color w:val="auto"/>
                <w:kern w:val="0"/>
                <w:szCs w:val="21"/>
                <w:highlight w:val="none"/>
              </w:rPr>
              <w:t>二、组态开发及安装调试</w:t>
            </w:r>
            <w:r>
              <w:rPr>
                <w:rFonts w:hint="eastAsia" w:ascii="宋体" w:hAnsi="宋体" w:eastAsia="宋体" w:cs="Times New Roman"/>
                <w:b/>
                <w:bCs/>
                <w:color w:val="auto"/>
                <w:kern w:val="0"/>
                <w:szCs w:val="21"/>
                <w:highlight w:val="none"/>
                <w:lang w:eastAsia="zh-CN"/>
              </w:rPr>
              <w:t>费</w:t>
            </w:r>
          </w:p>
        </w:tc>
      </w:tr>
      <w:tr w14:paraId="0188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61D2BB8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32</w:t>
            </w:r>
          </w:p>
        </w:tc>
        <w:tc>
          <w:tcPr>
            <w:tcW w:w="905" w:type="pct"/>
            <w:tcBorders>
              <w:top w:val="single" w:color="auto" w:sz="4" w:space="0"/>
              <w:left w:val="nil"/>
              <w:bottom w:val="single" w:color="auto" w:sz="4" w:space="0"/>
              <w:right w:val="single" w:color="auto" w:sz="4" w:space="0"/>
            </w:tcBorders>
            <w:shd w:val="clear" w:color="auto" w:fill="auto"/>
            <w:vAlign w:val="center"/>
          </w:tcPr>
          <w:p w14:paraId="03A24CF3">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集控中心数据采集及报表</w:t>
            </w:r>
          </w:p>
        </w:tc>
        <w:tc>
          <w:tcPr>
            <w:tcW w:w="308" w:type="pct"/>
            <w:tcBorders>
              <w:top w:val="single" w:color="auto" w:sz="4" w:space="0"/>
              <w:left w:val="nil"/>
              <w:bottom w:val="single" w:color="auto" w:sz="4" w:space="0"/>
              <w:right w:val="single" w:color="auto" w:sz="4" w:space="0"/>
            </w:tcBorders>
            <w:shd w:val="clear" w:color="auto" w:fill="auto"/>
            <w:vAlign w:val="center"/>
          </w:tcPr>
          <w:p w14:paraId="7F6146B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20D3E49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2E349D8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61BA858D">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23E72468">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p>
        </w:tc>
        <w:tc>
          <w:tcPr>
            <w:tcW w:w="685" w:type="pct"/>
            <w:tcBorders>
              <w:top w:val="single" w:color="auto" w:sz="4" w:space="0"/>
              <w:left w:val="nil"/>
              <w:bottom w:val="single" w:color="auto" w:sz="4" w:space="0"/>
              <w:right w:val="single" w:color="auto" w:sz="4" w:space="0"/>
            </w:tcBorders>
            <w:shd w:val="clear" w:color="auto" w:fill="auto"/>
            <w:vAlign w:val="center"/>
          </w:tcPr>
          <w:p w14:paraId="1EBD5EA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663E00E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066AA2E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1EEB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3B8DFF69">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33</w:t>
            </w:r>
          </w:p>
        </w:tc>
        <w:tc>
          <w:tcPr>
            <w:tcW w:w="905" w:type="pct"/>
            <w:tcBorders>
              <w:top w:val="single" w:color="auto" w:sz="4" w:space="0"/>
              <w:left w:val="nil"/>
              <w:bottom w:val="single" w:color="auto" w:sz="4" w:space="0"/>
              <w:right w:val="single" w:color="auto" w:sz="4" w:space="0"/>
            </w:tcBorders>
            <w:shd w:val="clear" w:color="auto" w:fill="auto"/>
            <w:vAlign w:val="center"/>
          </w:tcPr>
          <w:p w14:paraId="2C6B541C">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集控中心总画面</w:t>
            </w:r>
          </w:p>
        </w:tc>
        <w:tc>
          <w:tcPr>
            <w:tcW w:w="308" w:type="pct"/>
            <w:tcBorders>
              <w:top w:val="single" w:color="auto" w:sz="4" w:space="0"/>
              <w:left w:val="nil"/>
              <w:bottom w:val="single" w:color="auto" w:sz="4" w:space="0"/>
              <w:right w:val="single" w:color="auto" w:sz="4" w:space="0"/>
            </w:tcBorders>
            <w:shd w:val="clear" w:color="auto" w:fill="auto"/>
            <w:vAlign w:val="center"/>
          </w:tcPr>
          <w:p w14:paraId="41F25B6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6AAA46A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6A29203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76FA60C2">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58F9C8C4">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p>
        </w:tc>
        <w:tc>
          <w:tcPr>
            <w:tcW w:w="685" w:type="pct"/>
            <w:tcBorders>
              <w:top w:val="single" w:color="auto" w:sz="4" w:space="0"/>
              <w:left w:val="nil"/>
              <w:bottom w:val="single" w:color="auto" w:sz="4" w:space="0"/>
              <w:right w:val="single" w:color="auto" w:sz="4" w:space="0"/>
            </w:tcBorders>
            <w:shd w:val="clear" w:color="auto" w:fill="auto"/>
            <w:vAlign w:val="center"/>
          </w:tcPr>
          <w:p w14:paraId="35534B8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43B9E0B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1C7E474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53F5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00D97724">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34</w:t>
            </w:r>
          </w:p>
        </w:tc>
        <w:tc>
          <w:tcPr>
            <w:tcW w:w="905" w:type="pct"/>
            <w:tcBorders>
              <w:top w:val="single" w:color="auto" w:sz="4" w:space="0"/>
              <w:left w:val="nil"/>
              <w:bottom w:val="single" w:color="auto" w:sz="4" w:space="0"/>
              <w:right w:val="single" w:color="auto" w:sz="4" w:space="0"/>
            </w:tcBorders>
            <w:shd w:val="clear" w:color="auto" w:fill="auto"/>
            <w:vAlign w:val="center"/>
          </w:tcPr>
          <w:p w14:paraId="32708FC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各厂站画面</w:t>
            </w:r>
          </w:p>
        </w:tc>
        <w:tc>
          <w:tcPr>
            <w:tcW w:w="308" w:type="pct"/>
            <w:tcBorders>
              <w:top w:val="single" w:color="auto" w:sz="4" w:space="0"/>
              <w:left w:val="nil"/>
              <w:bottom w:val="single" w:color="auto" w:sz="4" w:space="0"/>
              <w:right w:val="single" w:color="auto" w:sz="4" w:space="0"/>
            </w:tcBorders>
            <w:shd w:val="clear" w:color="auto" w:fill="auto"/>
            <w:vAlign w:val="center"/>
          </w:tcPr>
          <w:p w14:paraId="4ECC1D5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2C1D76B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3A51AAA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497FE11B">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2109B0BC">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45</w:t>
            </w:r>
          </w:p>
        </w:tc>
        <w:tc>
          <w:tcPr>
            <w:tcW w:w="685" w:type="pct"/>
            <w:tcBorders>
              <w:top w:val="single" w:color="auto" w:sz="4" w:space="0"/>
              <w:left w:val="nil"/>
              <w:bottom w:val="single" w:color="auto" w:sz="4" w:space="0"/>
              <w:right w:val="single" w:color="auto" w:sz="4" w:space="0"/>
            </w:tcBorders>
            <w:shd w:val="clear" w:color="auto" w:fill="auto"/>
            <w:vAlign w:val="center"/>
          </w:tcPr>
          <w:p w14:paraId="72CE05F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4D96337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453EFC5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3281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502293A7">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35</w:t>
            </w:r>
          </w:p>
        </w:tc>
        <w:tc>
          <w:tcPr>
            <w:tcW w:w="905" w:type="pct"/>
            <w:tcBorders>
              <w:top w:val="single" w:color="auto" w:sz="4" w:space="0"/>
              <w:left w:val="nil"/>
              <w:bottom w:val="single" w:color="auto" w:sz="4" w:space="0"/>
              <w:right w:val="single" w:color="auto" w:sz="4" w:space="0"/>
            </w:tcBorders>
            <w:shd w:val="clear" w:color="auto" w:fill="auto"/>
            <w:vAlign w:val="center"/>
          </w:tcPr>
          <w:p w14:paraId="14B20666">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现场数据采集服务</w:t>
            </w:r>
          </w:p>
        </w:tc>
        <w:tc>
          <w:tcPr>
            <w:tcW w:w="308" w:type="pct"/>
            <w:tcBorders>
              <w:top w:val="single" w:color="auto" w:sz="4" w:space="0"/>
              <w:left w:val="nil"/>
              <w:bottom w:val="single" w:color="auto" w:sz="4" w:space="0"/>
              <w:right w:val="single" w:color="auto" w:sz="4" w:space="0"/>
            </w:tcBorders>
            <w:shd w:val="clear" w:color="auto" w:fill="auto"/>
            <w:vAlign w:val="center"/>
          </w:tcPr>
          <w:p w14:paraId="6BABADF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77F5F45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5CBF54D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2A1B671C">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套</w:t>
            </w:r>
          </w:p>
        </w:tc>
        <w:tc>
          <w:tcPr>
            <w:tcW w:w="315" w:type="pct"/>
            <w:tcBorders>
              <w:top w:val="single" w:color="auto" w:sz="4" w:space="0"/>
              <w:left w:val="nil"/>
              <w:bottom w:val="single" w:color="auto" w:sz="4" w:space="0"/>
              <w:right w:val="single" w:color="auto" w:sz="4" w:space="0"/>
            </w:tcBorders>
            <w:shd w:val="clear" w:color="auto" w:fill="auto"/>
            <w:vAlign w:val="center"/>
          </w:tcPr>
          <w:p w14:paraId="53A5CC3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37</w:t>
            </w:r>
          </w:p>
        </w:tc>
        <w:tc>
          <w:tcPr>
            <w:tcW w:w="685" w:type="pct"/>
            <w:tcBorders>
              <w:top w:val="single" w:color="auto" w:sz="4" w:space="0"/>
              <w:left w:val="nil"/>
              <w:bottom w:val="single" w:color="auto" w:sz="4" w:space="0"/>
              <w:right w:val="single" w:color="auto" w:sz="4" w:space="0"/>
            </w:tcBorders>
            <w:shd w:val="clear" w:color="auto" w:fill="auto"/>
            <w:vAlign w:val="center"/>
          </w:tcPr>
          <w:p w14:paraId="4C97346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7B5D735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72F97D31">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7CA2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5E05A80E">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36</w:t>
            </w:r>
          </w:p>
        </w:tc>
        <w:tc>
          <w:tcPr>
            <w:tcW w:w="905" w:type="pct"/>
            <w:tcBorders>
              <w:top w:val="single" w:color="auto" w:sz="4" w:space="0"/>
              <w:left w:val="nil"/>
              <w:bottom w:val="single" w:color="auto" w:sz="4" w:space="0"/>
              <w:right w:val="single" w:color="auto" w:sz="4" w:space="0"/>
            </w:tcBorders>
            <w:shd w:val="clear" w:color="auto" w:fill="auto"/>
            <w:vAlign w:val="center"/>
          </w:tcPr>
          <w:p w14:paraId="3AA5818A">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技术服务</w:t>
            </w:r>
          </w:p>
        </w:tc>
        <w:tc>
          <w:tcPr>
            <w:tcW w:w="308" w:type="pct"/>
            <w:tcBorders>
              <w:top w:val="single" w:color="auto" w:sz="4" w:space="0"/>
              <w:left w:val="nil"/>
              <w:bottom w:val="single" w:color="auto" w:sz="4" w:space="0"/>
              <w:right w:val="single" w:color="auto" w:sz="4" w:space="0"/>
            </w:tcBorders>
            <w:shd w:val="clear" w:color="auto" w:fill="auto"/>
            <w:vAlign w:val="center"/>
          </w:tcPr>
          <w:p w14:paraId="1B67E75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3D234A1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546A5FF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016DBA81">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项</w:t>
            </w:r>
          </w:p>
        </w:tc>
        <w:tc>
          <w:tcPr>
            <w:tcW w:w="315" w:type="pct"/>
            <w:tcBorders>
              <w:top w:val="single" w:color="auto" w:sz="4" w:space="0"/>
              <w:left w:val="nil"/>
              <w:bottom w:val="single" w:color="auto" w:sz="4" w:space="0"/>
              <w:right w:val="single" w:color="auto" w:sz="4" w:space="0"/>
            </w:tcBorders>
            <w:shd w:val="clear" w:color="auto" w:fill="auto"/>
            <w:vAlign w:val="center"/>
          </w:tcPr>
          <w:p w14:paraId="6DFCF87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p>
        </w:tc>
        <w:tc>
          <w:tcPr>
            <w:tcW w:w="685" w:type="pct"/>
            <w:tcBorders>
              <w:top w:val="single" w:color="auto" w:sz="4" w:space="0"/>
              <w:left w:val="nil"/>
              <w:bottom w:val="single" w:color="auto" w:sz="4" w:space="0"/>
              <w:right w:val="single" w:color="auto" w:sz="4" w:space="0"/>
            </w:tcBorders>
            <w:shd w:val="clear" w:color="auto" w:fill="auto"/>
            <w:vAlign w:val="center"/>
          </w:tcPr>
          <w:p w14:paraId="640156F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35B00CA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5D338EB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6685A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14:paraId="2588BDC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lang w:bidi="ar"/>
              </w:rPr>
            </w:pPr>
            <w:r>
              <w:rPr>
                <w:rFonts w:hint="eastAsia" w:ascii="宋体" w:hAnsi="宋体" w:eastAsia="宋体" w:cs="Times New Roman"/>
                <w:color w:val="auto"/>
                <w:kern w:val="0"/>
                <w:szCs w:val="21"/>
                <w:highlight w:val="none"/>
                <w:lang w:bidi="ar"/>
              </w:rPr>
              <w:t>37</w:t>
            </w:r>
          </w:p>
        </w:tc>
        <w:tc>
          <w:tcPr>
            <w:tcW w:w="905" w:type="pct"/>
            <w:tcBorders>
              <w:top w:val="single" w:color="auto" w:sz="4" w:space="0"/>
              <w:left w:val="nil"/>
              <w:bottom w:val="single" w:color="auto" w:sz="4" w:space="0"/>
              <w:right w:val="single" w:color="auto" w:sz="4" w:space="0"/>
            </w:tcBorders>
            <w:shd w:val="clear" w:color="auto" w:fill="auto"/>
            <w:vAlign w:val="center"/>
          </w:tcPr>
          <w:p w14:paraId="3189BD5E">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安装、调试服务</w:t>
            </w:r>
          </w:p>
        </w:tc>
        <w:tc>
          <w:tcPr>
            <w:tcW w:w="308" w:type="pct"/>
            <w:tcBorders>
              <w:top w:val="single" w:color="auto" w:sz="4" w:space="0"/>
              <w:left w:val="nil"/>
              <w:bottom w:val="single" w:color="auto" w:sz="4" w:space="0"/>
              <w:right w:val="single" w:color="auto" w:sz="4" w:space="0"/>
            </w:tcBorders>
            <w:shd w:val="clear" w:color="auto" w:fill="auto"/>
            <w:vAlign w:val="center"/>
          </w:tcPr>
          <w:p w14:paraId="46F7120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52317B2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5335AC9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3ED1B417">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项</w:t>
            </w:r>
          </w:p>
        </w:tc>
        <w:tc>
          <w:tcPr>
            <w:tcW w:w="315" w:type="pct"/>
            <w:tcBorders>
              <w:top w:val="single" w:color="auto" w:sz="4" w:space="0"/>
              <w:left w:val="nil"/>
              <w:bottom w:val="single" w:color="auto" w:sz="4" w:space="0"/>
              <w:right w:val="single" w:color="auto" w:sz="4" w:space="0"/>
            </w:tcBorders>
            <w:shd w:val="clear" w:color="auto" w:fill="auto"/>
            <w:vAlign w:val="center"/>
          </w:tcPr>
          <w:p w14:paraId="20FA44C4">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p>
        </w:tc>
        <w:tc>
          <w:tcPr>
            <w:tcW w:w="685" w:type="pct"/>
            <w:tcBorders>
              <w:top w:val="single" w:color="auto" w:sz="4" w:space="0"/>
              <w:left w:val="nil"/>
              <w:bottom w:val="single" w:color="auto" w:sz="4" w:space="0"/>
              <w:right w:val="single" w:color="auto" w:sz="4" w:space="0"/>
            </w:tcBorders>
            <w:shd w:val="clear" w:color="auto" w:fill="auto"/>
            <w:vAlign w:val="center"/>
          </w:tcPr>
          <w:p w14:paraId="2C42320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735F002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427F97E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5980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998"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0B1585A0">
            <w:pPr>
              <w:keepNext w:val="0"/>
              <w:keepLines w:val="0"/>
              <w:suppressLineNumbers w:val="0"/>
              <w:spacing w:before="0" w:beforeAutospacing="0" w:after="0" w:afterAutospacing="0"/>
              <w:ind w:left="0" w:right="0"/>
              <w:jc w:val="right"/>
              <w:rPr>
                <w:rFonts w:hint="default" w:ascii="宋体" w:hAnsi="宋体" w:eastAsia="宋体" w:cs="Times New Roman"/>
                <w:color w:val="auto"/>
                <w:kern w:val="0"/>
                <w:szCs w:val="21"/>
                <w:highlight w:val="none"/>
              </w:rPr>
            </w:pPr>
            <w:r>
              <w:rPr>
                <w:rFonts w:hint="eastAsia" w:ascii="宋体" w:hAnsi="宋体" w:eastAsia="宋体" w:cs="宋体"/>
                <w:b/>
                <w:bCs/>
                <w:color w:val="auto"/>
                <w:kern w:val="0"/>
                <w:szCs w:val="21"/>
                <w:highlight w:val="none"/>
                <w:lang w:bidi="ar"/>
              </w:rPr>
              <w:t>合计（不含销项税，元）</w:t>
            </w:r>
          </w:p>
        </w:tc>
        <w:tc>
          <w:tcPr>
            <w:tcW w:w="1001" w:type="pct"/>
            <w:gridSpan w:val="2"/>
            <w:tcBorders>
              <w:top w:val="single" w:color="auto" w:sz="4" w:space="0"/>
              <w:left w:val="nil"/>
              <w:bottom w:val="single" w:color="auto" w:sz="4" w:space="0"/>
              <w:right w:val="single" w:color="auto" w:sz="4" w:space="0"/>
            </w:tcBorders>
            <w:shd w:val="clear" w:color="auto" w:fill="auto"/>
            <w:vAlign w:val="center"/>
          </w:tcPr>
          <w:p w14:paraId="36E1637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Cs w:val="21"/>
                <w:highlight w:val="none"/>
              </w:rPr>
            </w:pPr>
          </w:p>
        </w:tc>
      </w:tr>
      <w:tr w14:paraId="3B6D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3998"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0E28CB8E">
            <w:pPr>
              <w:keepNext w:val="0"/>
              <w:keepLines w:val="0"/>
              <w:suppressLineNumbers w:val="0"/>
              <w:spacing w:before="0" w:beforeAutospacing="0" w:after="0" w:afterAutospacing="0"/>
              <w:ind w:left="0" w:right="0"/>
              <w:jc w:val="right"/>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投标报价（不含销项税，元）</w:t>
            </w:r>
          </w:p>
        </w:tc>
        <w:tc>
          <w:tcPr>
            <w:tcW w:w="1001" w:type="pct"/>
            <w:gridSpan w:val="2"/>
            <w:tcBorders>
              <w:top w:val="single" w:color="auto" w:sz="4" w:space="0"/>
              <w:left w:val="nil"/>
              <w:bottom w:val="single" w:color="auto" w:sz="4" w:space="0"/>
              <w:right w:val="single" w:color="auto" w:sz="4" w:space="0"/>
            </w:tcBorders>
            <w:shd w:val="clear" w:color="auto" w:fill="auto"/>
            <w:vAlign w:val="center"/>
          </w:tcPr>
          <w:p w14:paraId="3076833B">
            <w:pPr>
              <w:keepNext w:val="0"/>
              <w:keepLines w:val="0"/>
              <w:suppressLineNumbers w:val="0"/>
              <w:spacing w:before="0" w:beforeAutospacing="0" w:after="0" w:afterAutospacing="0"/>
              <w:ind w:left="0" w:right="0"/>
              <w:rPr>
                <w:rFonts w:hint="default" w:ascii="宋体" w:hAnsi="宋体" w:eastAsia="宋体" w:cs="Times New Roman"/>
                <w:color w:val="auto"/>
                <w:kern w:val="0"/>
                <w:szCs w:val="21"/>
                <w:highlight w:val="none"/>
              </w:rPr>
            </w:pPr>
          </w:p>
        </w:tc>
      </w:tr>
    </w:tbl>
    <w:p w14:paraId="2C8E7B97">
      <w:pPr>
        <w:autoSpaceDE w:val="0"/>
        <w:autoSpaceDN w:val="0"/>
        <w:adjustRightInd w:val="0"/>
        <w:spacing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p w14:paraId="44D8E0DF">
      <w:pPr>
        <w:autoSpaceDE w:val="0"/>
        <w:autoSpaceDN w:val="0"/>
        <w:adjustRightInd w:val="0"/>
        <w:spacing w:line="360" w:lineRule="auto"/>
        <w:ind w:left="462" w:leftChars="18" w:hanging="424" w:hangingChars="202"/>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（1）此表为分项报价表的明细，投标人应根据项目招标范围内分项实际内容的数量填写和扩展本报价表。</w:t>
      </w:r>
    </w:p>
    <w:p w14:paraId="6182EFAB">
      <w:pPr>
        <w:autoSpaceDE w:val="0"/>
        <w:autoSpaceDN w:val="0"/>
        <w:adjustRightInd w:val="0"/>
        <w:spacing w:line="360" w:lineRule="auto"/>
        <w:ind w:left="462" w:leftChars="18" w:hanging="424" w:hangingChars="202"/>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投标人应列明按《用户需求书》所要求的该项目招标范围内全部货物及其服务的价格明细。投标人未填单价或合价或漏量或漏项的项目，在实施后，招标人将不予以支付，并视为该费用已包括在其他有价款的单价或合价内。</w:t>
      </w:r>
    </w:p>
    <w:p w14:paraId="23490672">
      <w:pPr>
        <w:autoSpaceDE w:val="0"/>
        <w:autoSpaceDN w:val="0"/>
        <w:adjustRightInd w:val="0"/>
        <w:spacing w:line="360" w:lineRule="auto"/>
        <w:ind w:left="462" w:leftChars="18" w:hanging="424" w:hangingChars="202"/>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分项报价明细表内投标报价金额应等于报价信封中的投标值。若分项报价明细表内投标报价金额不等于报价信封中的投标值时，以报价信封中的投标值为准，并修正分项报价明细表内投标报价；分项报价明细表内合计之和应等于投标报价，若分项报价明细表内合计之和不等于投标报价时，以分项报价明细表内投标报价为准，同比例修正分项报价明细表内合计报价；分项报价明细表内各小项之和应等于合计报价，若分项报价明细表内各小项之和不等于合计报价时，以分项报价明细表内合计报价为准，并同比例修正分项报价明细表内各小项报价及单价。</w:t>
      </w:r>
    </w:p>
    <w:p w14:paraId="66D53F94">
      <w:pPr>
        <w:autoSpaceDE w:val="0"/>
        <w:autoSpaceDN w:val="0"/>
        <w:adjustRightInd w:val="0"/>
        <w:spacing w:line="360" w:lineRule="auto"/>
        <w:ind w:left="462" w:leftChars="18" w:hanging="424" w:hangingChars="202"/>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lang w:val="en-US" w:eastAsia="zh-CN"/>
        </w:rPr>
        <w:t>4</w:t>
      </w:r>
      <w:r>
        <w:rPr>
          <w:rFonts w:hint="eastAsia" w:ascii="宋体" w:hAnsi="宋体" w:eastAsia="宋体" w:cs="Times New Roman"/>
          <w:color w:val="auto"/>
          <w:kern w:val="0"/>
          <w:szCs w:val="21"/>
          <w:highlight w:val="none"/>
        </w:rPr>
        <w:t>）报价保留小数点后两位。</w:t>
      </w:r>
    </w:p>
    <w:p w14:paraId="0851BCB2">
      <w:pPr>
        <w:autoSpaceDE w:val="0"/>
        <w:autoSpaceDN w:val="0"/>
        <w:adjustRightInd w:val="0"/>
        <w:snapToGrid w:val="0"/>
        <w:spacing w:line="360" w:lineRule="auto"/>
        <w:ind w:left="605" w:leftChars="18" w:hanging="567" w:hangingChars="270"/>
        <w:jc w:val="left"/>
        <w:rPr>
          <w:rFonts w:ascii="宋体" w:hAnsi="宋体" w:eastAsia="宋体" w:cs="Times New Roman"/>
          <w:b/>
          <w:bCs/>
          <w:color w:val="auto"/>
          <w:kern w:val="0"/>
          <w:szCs w:val="21"/>
          <w:highlight w:val="none"/>
        </w:rPr>
      </w:pPr>
      <w:r>
        <w:rPr>
          <w:rFonts w:hint="eastAsia" w:ascii="宋体" w:hAnsi="宋体" w:eastAsia="宋体" w:cs="宋体"/>
          <w:color w:val="auto"/>
          <w:kern w:val="0"/>
          <w:szCs w:val="21"/>
          <w:highlight w:val="none"/>
          <w:lang w:bidi="ar"/>
        </w:rPr>
        <w:t>（</w:t>
      </w:r>
      <w:r>
        <w:rPr>
          <w:rFonts w:hint="eastAsia" w:ascii="宋体" w:hAnsi="宋体" w:eastAsia="宋体" w:cs="宋体"/>
          <w:color w:val="auto"/>
          <w:kern w:val="0"/>
          <w:szCs w:val="21"/>
          <w:highlight w:val="none"/>
          <w:lang w:val="en-US" w:eastAsia="zh-CN" w:bidi="ar"/>
        </w:rPr>
        <w:t>5</w:t>
      </w:r>
      <w:r>
        <w:rPr>
          <w:rFonts w:hint="eastAsia" w:ascii="宋体" w:hAnsi="宋体" w:eastAsia="宋体" w:cs="宋体"/>
          <w:color w:val="auto"/>
          <w:kern w:val="0"/>
          <w:szCs w:val="21"/>
          <w:highlight w:val="none"/>
          <w:lang w:bidi="ar"/>
        </w:rPr>
        <w:t>）</w:t>
      </w:r>
      <w:r>
        <w:rPr>
          <w:rFonts w:hint="eastAsia" w:ascii="宋体" w:hAnsi="宋体" w:eastAsia="宋体" w:cs="宋体"/>
          <w:b/>
          <w:bCs/>
          <w:color w:val="auto"/>
          <w:kern w:val="0"/>
          <w:szCs w:val="21"/>
          <w:highlight w:val="none"/>
          <w:lang w:bidi="ar"/>
        </w:rPr>
        <w:t>由投标人使用投标人的企业数字证书，法定代表人或其授权代表数字证书电子签名。</w:t>
      </w:r>
    </w:p>
    <w:p w14:paraId="4DE2DE44">
      <w:pPr>
        <w:autoSpaceDE w:val="0"/>
        <w:autoSpaceDN w:val="0"/>
        <w:adjustRightInd w:val="0"/>
        <w:spacing w:line="360" w:lineRule="auto"/>
        <w:ind w:firstLine="4960" w:firstLineChars="2362"/>
        <w:rPr>
          <w:rFonts w:ascii="宋体" w:hAnsi="宋体" w:eastAsia="宋体" w:cs="宋体"/>
          <w:color w:val="auto"/>
          <w:szCs w:val="21"/>
          <w:highlight w:val="none"/>
          <w:lang w:bidi="ar"/>
        </w:rPr>
      </w:pPr>
    </w:p>
    <w:p w14:paraId="29222BEA">
      <w:pPr>
        <w:autoSpaceDE w:val="0"/>
        <w:autoSpaceDN w:val="0"/>
        <w:adjustRightInd w:val="0"/>
        <w:spacing w:line="360" w:lineRule="auto"/>
        <w:ind w:firstLine="4960" w:firstLineChars="2362"/>
        <w:rPr>
          <w:rFonts w:ascii="宋体" w:hAnsi="宋体" w:eastAsia="宋体" w:cs="宋体"/>
          <w:color w:val="auto"/>
          <w:szCs w:val="21"/>
          <w:highlight w:val="none"/>
        </w:rPr>
      </w:pPr>
      <w:r>
        <w:rPr>
          <w:rFonts w:hint="eastAsia" w:ascii="宋体" w:hAnsi="宋体" w:eastAsia="宋体" w:cs="宋体"/>
          <w:color w:val="auto"/>
          <w:szCs w:val="21"/>
          <w:highlight w:val="none"/>
          <w:lang w:bidi="ar"/>
        </w:rPr>
        <w:t>投标人：</w:t>
      </w:r>
      <w:r>
        <w:rPr>
          <w:rFonts w:hint="eastAsia" w:ascii="宋体" w:hAnsi="宋体" w:eastAsia="宋体" w:cs="宋体"/>
          <w:color w:val="auto"/>
          <w:szCs w:val="21"/>
          <w:highlight w:val="none"/>
          <w:u w:val="single"/>
          <w:lang w:bidi="ar"/>
        </w:rPr>
        <w:t xml:space="preserve">             （企业数字证书电子签名）</w:t>
      </w:r>
    </w:p>
    <w:p w14:paraId="35F2CBAE">
      <w:pPr>
        <w:autoSpaceDE w:val="0"/>
        <w:autoSpaceDN w:val="0"/>
        <w:adjustRightInd w:val="0"/>
        <w:spacing w:line="360" w:lineRule="auto"/>
        <w:ind w:firstLine="4960" w:firstLineChars="2362"/>
        <w:rPr>
          <w:rFonts w:ascii="宋体" w:hAnsi="宋体" w:eastAsia="宋体" w:cs="宋体"/>
          <w:color w:val="auto"/>
          <w:szCs w:val="21"/>
          <w:highlight w:val="none"/>
        </w:rPr>
      </w:pPr>
      <w:r>
        <w:rPr>
          <w:rFonts w:hint="eastAsia" w:ascii="宋体" w:hAnsi="宋体" w:eastAsia="宋体" w:cs="宋体"/>
          <w:color w:val="auto"/>
          <w:szCs w:val="21"/>
          <w:highlight w:val="none"/>
          <w:lang w:bidi="ar"/>
        </w:rPr>
        <w:t>法定代表人或其授权代表签名：</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（电子签名）</w:t>
      </w:r>
    </w:p>
    <w:p w14:paraId="3EC3CCBB">
      <w:pPr>
        <w:autoSpaceDE w:val="0"/>
        <w:autoSpaceDN w:val="0"/>
        <w:adjustRightInd w:val="0"/>
        <w:spacing w:line="360" w:lineRule="auto"/>
        <w:ind w:firstLine="4960" w:firstLineChars="2362"/>
        <w:rPr>
          <w:rFonts w:ascii="宋体" w:hAnsi="宋体" w:eastAsia="宋体" w:cs="Times New Roman"/>
          <w:color w:val="auto"/>
          <w:szCs w:val="21"/>
          <w:highlight w:val="none"/>
        </w:rPr>
      </w:pPr>
      <w:r>
        <w:rPr>
          <w:rFonts w:hint="eastAsia" w:ascii="宋体" w:hAnsi="宋体" w:eastAsia="宋体" w:cs="宋体"/>
          <w:color w:val="auto"/>
          <w:szCs w:val="21"/>
          <w:highlight w:val="none"/>
          <w:lang w:bidi="ar"/>
        </w:rPr>
        <w:t>日期：</w:t>
      </w:r>
      <w:r>
        <w:rPr>
          <w:rFonts w:hint="eastAsia" w:ascii="宋体" w:hAnsi="宋体" w:eastAsia="宋体" w:cs="Times New Roman"/>
          <w:color w:val="auto"/>
          <w:szCs w:val="21"/>
          <w:highlight w:val="none"/>
          <w:lang w:bidi="ar"/>
        </w:rPr>
        <w:t xml:space="preserve">   </w:t>
      </w:r>
      <w:r>
        <w:rPr>
          <w:rFonts w:hint="eastAsia" w:ascii="宋体" w:hAnsi="宋体" w:eastAsia="宋体" w:cs="宋体"/>
          <w:color w:val="auto"/>
          <w:szCs w:val="21"/>
          <w:highlight w:val="none"/>
          <w:lang w:bidi="ar"/>
        </w:rPr>
        <w:t>年</w:t>
      </w:r>
      <w:r>
        <w:rPr>
          <w:rFonts w:hint="eastAsia" w:ascii="宋体" w:hAnsi="宋体" w:eastAsia="宋体" w:cs="Times New Roman"/>
          <w:color w:val="auto"/>
          <w:szCs w:val="21"/>
          <w:highlight w:val="none"/>
          <w:lang w:bidi="ar"/>
        </w:rPr>
        <w:t xml:space="preserve">   </w:t>
      </w:r>
      <w:r>
        <w:rPr>
          <w:rFonts w:hint="eastAsia" w:ascii="宋体" w:hAnsi="宋体" w:eastAsia="宋体" w:cs="宋体"/>
          <w:color w:val="auto"/>
          <w:szCs w:val="21"/>
          <w:highlight w:val="none"/>
          <w:lang w:bidi="ar"/>
        </w:rPr>
        <w:t>月</w:t>
      </w:r>
      <w:r>
        <w:rPr>
          <w:rFonts w:hint="eastAsia" w:ascii="宋体" w:hAnsi="宋体" w:eastAsia="宋体" w:cs="Times New Roman"/>
          <w:color w:val="auto"/>
          <w:szCs w:val="21"/>
          <w:highlight w:val="none"/>
          <w:lang w:bidi="ar"/>
        </w:rPr>
        <w:t xml:space="preserve">   </w:t>
      </w:r>
      <w:r>
        <w:rPr>
          <w:rFonts w:hint="eastAsia" w:ascii="宋体" w:hAnsi="宋体" w:eastAsia="宋体" w:cs="宋体"/>
          <w:color w:val="auto"/>
          <w:szCs w:val="21"/>
          <w:highlight w:val="none"/>
          <w:lang w:bidi="ar"/>
        </w:rPr>
        <w:t>日</w:t>
      </w:r>
    </w:p>
    <w:p w14:paraId="6AF609EB">
      <w:pPr>
        <w:autoSpaceDE w:val="0"/>
        <w:autoSpaceDN w:val="0"/>
        <w:adjustRightInd w:val="0"/>
        <w:spacing w:line="360" w:lineRule="auto"/>
        <w:ind w:firstLine="4960" w:firstLineChars="2362"/>
        <w:rPr>
          <w:rFonts w:ascii="宋体" w:hAnsi="宋体" w:eastAsia="宋体" w:cs="Times New Roman"/>
          <w:color w:val="auto"/>
          <w:szCs w:val="21"/>
          <w:highlight w:val="none"/>
        </w:rPr>
      </w:pPr>
    </w:p>
    <w:p w14:paraId="18943A16">
      <w:pPr>
        <w:autoSpaceDE w:val="0"/>
        <w:autoSpaceDN w:val="0"/>
        <w:adjustRightInd w:val="0"/>
        <w:spacing w:line="360" w:lineRule="auto"/>
        <w:ind w:firstLine="4960" w:firstLineChars="2362"/>
        <w:rPr>
          <w:rFonts w:ascii="宋体" w:hAnsi="宋体" w:eastAsia="宋体" w:cs="宋体"/>
          <w:color w:val="auto"/>
          <w:szCs w:val="21"/>
          <w:highlight w:val="none"/>
          <w:lang w:bidi="ar"/>
        </w:rPr>
      </w:pPr>
    </w:p>
    <w:p w14:paraId="1134DE66">
      <w:pPr>
        <w:widowControl/>
        <w:jc w:val="left"/>
        <w:rPr>
          <w:rFonts w:hint="eastAsia" w:ascii="宋体" w:hAnsi="宋体" w:eastAsia="宋体" w:cs="宋体"/>
          <w:b/>
          <w:color w:val="auto"/>
          <w:kern w:val="0"/>
          <w:sz w:val="30"/>
          <w:szCs w:val="30"/>
          <w:highlight w:val="none"/>
          <w:lang w:bidi="ar"/>
        </w:rPr>
      </w:pPr>
      <w:r>
        <w:rPr>
          <w:rFonts w:hint="eastAsia" w:ascii="宋体" w:hAnsi="宋体" w:eastAsia="宋体" w:cs="宋体"/>
          <w:b/>
          <w:color w:val="auto"/>
          <w:kern w:val="0"/>
          <w:sz w:val="30"/>
          <w:szCs w:val="30"/>
          <w:highlight w:val="none"/>
          <w:lang w:bidi="ar"/>
        </w:rPr>
        <w:br w:type="page"/>
      </w:r>
    </w:p>
    <w:p w14:paraId="1206C87F">
      <w:pPr>
        <w:widowControl/>
        <w:tabs>
          <w:tab w:val="left" w:pos="567"/>
        </w:tabs>
        <w:autoSpaceDE w:val="0"/>
        <w:autoSpaceDN w:val="0"/>
        <w:adjustRightInd w:val="0"/>
        <w:spacing w:line="360" w:lineRule="auto"/>
        <w:ind w:left="711" w:hanging="711" w:hangingChars="236"/>
        <w:jc w:val="both"/>
        <w:outlineLvl w:val="2"/>
        <w:rPr>
          <w:rFonts w:hint="eastAsia" w:ascii="宋体" w:hAnsi="宋体" w:eastAsia="宋体" w:cs="宋体"/>
          <w:b/>
          <w:color w:val="auto"/>
          <w:kern w:val="0"/>
          <w:sz w:val="30"/>
          <w:szCs w:val="30"/>
          <w:highlight w:val="none"/>
          <w:lang w:val="en-US" w:eastAsia="zh-CN" w:bidi="ar"/>
        </w:rPr>
      </w:pPr>
      <w:r>
        <w:rPr>
          <w:rFonts w:hint="eastAsia" w:ascii="宋体" w:hAnsi="宋体" w:eastAsia="宋体" w:cs="宋体"/>
          <w:b/>
          <w:color w:val="auto"/>
          <w:kern w:val="0"/>
          <w:sz w:val="30"/>
          <w:szCs w:val="30"/>
          <w:highlight w:val="none"/>
          <w:lang w:val="en-US" w:eastAsia="zh-CN" w:bidi="ar"/>
        </w:rPr>
        <w:t>4.3 质保期内正常运行的设备安装、操作维护所需的备品备件、所供设备拆装维修需有特殊专用工具清单及报价</w:t>
      </w:r>
    </w:p>
    <w:p w14:paraId="0BDA57B9">
      <w:pPr>
        <w:widowControl/>
        <w:tabs>
          <w:tab w:val="left" w:pos="567"/>
        </w:tabs>
        <w:autoSpaceDE w:val="0"/>
        <w:autoSpaceDN w:val="0"/>
        <w:adjustRightInd w:val="0"/>
        <w:spacing w:line="360" w:lineRule="auto"/>
        <w:ind w:left="711" w:hanging="711" w:hangingChars="236"/>
        <w:jc w:val="center"/>
        <w:rPr>
          <w:rFonts w:hint="eastAsia" w:ascii="宋体" w:hAnsi="宋体" w:eastAsia="宋体" w:cs="宋体"/>
          <w:b/>
          <w:color w:val="auto"/>
          <w:kern w:val="0"/>
          <w:sz w:val="30"/>
          <w:szCs w:val="30"/>
          <w:highlight w:val="none"/>
          <w:lang w:val="en-US" w:eastAsia="zh-CN" w:bidi="ar"/>
        </w:rPr>
      </w:pPr>
      <w:r>
        <w:rPr>
          <w:rFonts w:hint="eastAsia" w:ascii="宋体" w:hAnsi="宋体" w:eastAsia="宋体" w:cs="宋体"/>
          <w:b/>
          <w:color w:val="auto"/>
          <w:kern w:val="0"/>
          <w:sz w:val="30"/>
          <w:szCs w:val="30"/>
          <w:highlight w:val="none"/>
          <w:lang w:val="en-US" w:eastAsia="zh-CN" w:bidi="ar"/>
        </w:rPr>
        <w:t>质保期内正常运行的设备安装、操作维护所需的备品备件、所供设备拆装维修需有特殊专用工具清单及报价</w:t>
      </w:r>
    </w:p>
    <w:tbl>
      <w:tblPr>
        <w:tblStyle w:val="44"/>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55"/>
        <w:gridCol w:w="1930"/>
        <w:gridCol w:w="655"/>
        <w:gridCol w:w="1084"/>
        <w:gridCol w:w="1337"/>
        <w:gridCol w:w="726"/>
        <w:gridCol w:w="671"/>
        <w:gridCol w:w="1448"/>
        <w:gridCol w:w="1448"/>
        <w:gridCol w:w="690"/>
      </w:tblGrid>
      <w:tr w14:paraId="6E10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jc w:val="center"/>
        </w:trPr>
        <w:tc>
          <w:tcPr>
            <w:tcW w:w="5000"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14:paraId="112C00A8">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bookmarkStart w:id="808" w:name="_Toc195714381"/>
            <w:bookmarkStart w:id="809" w:name="_Toc32457"/>
            <w:r>
              <w:rPr>
                <w:rFonts w:hint="eastAsia" w:ascii="宋体" w:hAnsi="宋体" w:eastAsia="宋体" w:cs="宋体"/>
                <w:b/>
                <w:bCs/>
                <w:color w:val="auto"/>
                <w:kern w:val="0"/>
                <w:sz w:val="21"/>
                <w:szCs w:val="21"/>
                <w:highlight w:val="none"/>
                <w:lang w:val="en-US" w:eastAsia="zh-CN" w:bidi="ar"/>
              </w:rPr>
              <w:t>质保期内正常运行的设备安装、操作维护所需的备品备件</w:t>
            </w:r>
          </w:p>
        </w:tc>
      </w:tr>
      <w:tr w14:paraId="57BD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08" w:type="pct"/>
            <w:tcBorders>
              <w:top w:val="single" w:color="auto" w:sz="4" w:space="0"/>
              <w:left w:val="single" w:color="auto" w:sz="4" w:space="0"/>
              <w:bottom w:val="single" w:color="auto" w:sz="4" w:space="0"/>
              <w:right w:val="single" w:color="auto" w:sz="4" w:space="0"/>
            </w:tcBorders>
            <w:shd w:val="clear" w:color="auto" w:fill="auto"/>
            <w:vAlign w:val="center"/>
          </w:tcPr>
          <w:p w14:paraId="20216B41">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序号</w:t>
            </w:r>
          </w:p>
        </w:tc>
        <w:tc>
          <w:tcPr>
            <w:tcW w:w="907" w:type="pct"/>
            <w:tcBorders>
              <w:top w:val="single" w:color="auto" w:sz="4" w:space="0"/>
              <w:left w:val="nil"/>
              <w:bottom w:val="single" w:color="auto" w:sz="4" w:space="0"/>
              <w:right w:val="single" w:color="auto" w:sz="4" w:space="0"/>
            </w:tcBorders>
            <w:shd w:val="clear" w:color="auto" w:fill="auto"/>
            <w:vAlign w:val="center"/>
          </w:tcPr>
          <w:p w14:paraId="3A06D012">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b/>
                <w:bCs w:val="0"/>
                <w:color w:val="auto"/>
                <w:kern w:val="0"/>
                <w:sz w:val="21"/>
                <w:szCs w:val="21"/>
                <w:highlight w:val="none"/>
                <w:lang w:val="en-US" w:eastAsia="zh-CN" w:bidi="ar"/>
              </w:rPr>
              <w:t>货物名称</w:t>
            </w:r>
          </w:p>
        </w:tc>
        <w:tc>
          <w:tcPr>
            <w:tcW w:w="308" w:type="pct"/>
            <w:tcBorders>
              <w:top w:val="single" w:color="auto" w:sz="4" w:space="0"/>
              <w:left w:val="nil"/>
              <w:bottom w:val="single" w:color="auto" w:sz="4" w:space="0"/>
              <w:right w:val="single" w:color="auto" w:sz="4" w:space="0"/>
            </w:tcBorders>
            <w:shd w:val="clear" w:color="auto" w:fill="auto"/>
            <w:vAlign w:val="center"/>
          </w:tcPr>
          <w:p w14:paraId="372602BF">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品牌</w:t>
            </w:r>
          </w:p>
        </w:tc>
        <w:tc>
          <w:tcPr>
            <w:tcW w:w="509" w:type="pct"/>
            <w:tcBorders>
              <w:top w:val="single" w:color="auto" w:sz="4" w:space="0"/>
              <w:left w:val="nil"/>
              <w:bottom w:val="single" w:color="auto" w:sz="4" w:space="0"/>
              <w:right w:val="single" w:color="auto" w:sz="4" w:space="0"/>
            </w:tcBorders>
            <w:shd w:val="clear" w:color="auto" w:fill="auto"/>
            <w:vAlign w:val="center"/>
          </w:tcPr>
          <w:p w14:paraId="41CBD2CF">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产地</w:t>
            </w:r>
          </w:p>
        </w:tc>
        <w:tc>
          <w:tcPr>
            <w:tcW w:w="628" w:type="pct"/>
            <w:tcBorders>
              <w:top w:val="single" w:color="auto" w:sz="4" w:space="0"/>
              <w:left w:val="nil"/>
              <w:bottom w:val="single" w:color="auto" w:sz="4" w:space="0"/>
              <w:right w:val="single" w:color="auto" w:sz="4" w:space="0"/>
            </w:tcBorders>
            <w:shd w:val="clear" w:color="auto" w:fill="auto"/>
            <w:vAlign w:val="center"/>
          </w:tcPr>
          <w:p w14:paraId="4B798D52">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规格、型号</w:t>
            </w:r>
          </w:p>
        </w:tc>
        <w:tc>
          <w:tcPr>
            <w:tcW w:w="341" w:type="pct"/>
            <w:tcBorders>
              <w:top w:val="single" w:color="auto" w:sz="4" w:space="0"/>
              <w:left w:val="nil"/>
              <w:bottom w:val="single" w:color="auto" w:sz="4" w:space="0"/>
              <w:right w:val="single" w:color="auto" w:sz="4" w:space="0"/>
            </w:tcBorders>
            <w:shd w:val="clear" w:color="auto" w:fill="auto"/>
            <w:vAlign w:val="center"/>
          </w:tcPr>
          <w:p w14:paraId="2F021397">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b/>
                <w:bCs w:val="0"/>
                <w:color w:val="auto"/>
                <w:kern w:val="0"/>
                <w:sz w:val="21"/>
                <w:szCs w:val="21"/>
                <w:highlight w:val="none"/>
                <w:lang w:val="en-US" w:eastAsia="zh-CN" w:bidi="ar"/>
              </w:rPr>
              <w:t>单位</w:t>
            </w:r>
          </w:p>
        </w:tc>
        <w:tc>
          <w:tcPr>
            <w:tcW w:w="315" w:type="pct"/>
            <w:tcBorders>
              <w:top w:val="single" w:color="auto" w:sz="4" w:space="0"/>
              <w:left w:val="nil"/>
              <w:bottom w:val="single" w:color="auto" w:sz="4" w:space="0"/>
              <w:right w:val="single" w:color="auto" w:sz="4" w:space="0"/>
            </w:tcBorders>
            <w:shd w:val="clear" w:color="auto" w:fill="auto"/>
            <w:vAlign w:val="center"/>
          </w:tcPr>
          <w:p w14:paraId="44822D1E">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数量</w:t>
            </w:r>
          </w:p>
        </w:tc>
        <w:tc>
          <w:tcPr>
            <w:tcW w:w="680" w:type="pct"/>
            <w:tcBorders>
              <w:top w:val="single" w:color="auto" w:sz="4" w:space="0"/>
              <w:left w:val="nil"/>
              <w:bottom w:val="single" w:color="auto" w:sz="4" w:space="0"/>
              <w:right w:val="single" w:color="auto" w:sz="4" w:space="0"/>
            </w:tcBorders>
            <w:shd w:val="clear" w:color="auto" w:fill="auto"/>
            <w:vAlign w:val="center"/>
          </w:tcPr>
          <w:p w14:paraId="791F2AF2">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不含税综合单价</w:t>
            </w:r>
          </w:p>
          <w:p w14:paraId="55FCB892">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（元）</w:t>
            </w:r>
          </w:p>
        </w:tc>
        <w:tc>
          <w:tcPr>
            <w:tcW w:w="680" w:type="pct"/>
            <w:tcBorders>
              <w:top w:val="single" w:color="auto" w:sz="4" w:space="0"/>
              <w:left w:val="nil"/>
              <w:bottom w:val="single" w:color="auto" w:sz="4" w:space="0"/>
              <w:right w:val="single" w:color="auto" w:sz="4" w:space="0"/>
            </w:tcBorders>
            <w:shd w:val="clear" w:color="auto" w:fill="auto"/>
            <w:vAlign w:val="center"/>
          </w:tcPr>
          <w:p w14:paraId="2DB6A910">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不含税小计（元）</w:t>
            </w:r>
          </w:p>
        </w:tc>
        <w:tc>
          <w:tcPr>
            <w:tcW w:w="321" w:type="pct"/>
            <w:tcBorders>
              <w:top w:val="single" w:color="auto" w:sz="4" w:space="0"/>
              <w:left w:val="nil"/>
              <w:bottom w:val="single" w:color="auto" w:sz="4" w:space="0"/>
              <w:right w:val="single" w:color="auto" w:sz="4" w:space="0"/>
            </w:tcBorders>
            <w:shd w:val="clear" w:color="auto" w:fill="auto"/>
            <w:vAlign w:val="center"/>
          </w:tcPr>
          <w:p w14:paraId="0870D628">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备注</w:t>
            </w:r>
          </w:p>
        </w:tc>
      </w:tr>
      <w:tr w14:paraId="14E7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08" w:type="pct"/>
            <w:tcBorders>
              <w:top w:val="single" w:color="auto" w:sz="4" w:space="0"/>
              <w:left w:val="single" w:color="auto" w:sz="4" w:space="0"/>
              <w:bottom w:val="single" w:color="auto" w:sz="4" w:space="0"/>
              <w:right w:val="single" w:color="auto" w:sz="4" w:space="0"/>
            </w:tcBorders>
            <w:shd w:val="clear" w:color="auto" w:fill="auto"/>
            <w:vAlign w:val="center"/>
          </w:tcPr>
          <w:p w14:paraId="5E312122">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w:t>
            </w:r>
          </w:p>
        </w:tc>
        <w:tc>
          <w:tcPr>
            <w:tcW w:w="907" w:type="pct"/>
            <w:tcBorders>
              <w:top w:val="single" w:color="auto" w:sz="4" w:space="0"/>
              <w:left w:val="nil"/>
              <w:bottom w:val="single" w:color="auto" w:sz="4" w:space="0"/>
              <w:right w:val="single" w:color="auto" w:sz="4" w:space="0"/>
            </w:tcBorders>
            <w:shd w:val="clear" w:color="auto" w:fill="auto"/>
            <w:vAlign w:val="center"/>
          </w:tcPr>
          <w:p w14:paraId="2CA4509E">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2"/>
                <w:sz w:val="21"/>
                <w:szCs w:val="21"/>
                <w:highlight w:val="none"/>
              </w:rPr>
            </w:pPr>
          </w:p>
        </w:tc>
        <w:tc>
          <w:tcPr>
            <w:tcW w:w="308" w:type="pct"/>
            <w:tcBorders>
              <w:top w:val="single" w:color="auto" w:sz="4" w:space="0"/>
              <w:left w:val="nil"/>
              <w:bottom w:val="single" w:color="auto" w:sz="4" w:space="0"/>
              <w:right w:val="single" w:color="auto" w:sz="4" w:space="0"/>
            </w:tcBorders>
            <w:shd w:val="clear" w:color="auto" w:fill="auto"/>
            <w:vAlign w:val="center"/>
          </w:tcPr>
          <w:p w14:paraId="50DA4CAB">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57403816">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3044C746">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224B9318">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1"/>
                <w:szCs w:val="21"/>
                <w:highlight w:val="none"/>
              </w:rPr>
            </w:pPr>
          </w:p>
        </w:tc>
        <w:tc>
          <w:tcPr>
            <w:tcW w:w="315" w:type="pct"/>
            <w:tcBorders>
              <w:top w:val="single" w:color="auto" w:sz="4" w:space="0"/>
              <w:left w:val="nil"/>
              <w:bottom w:val="single" w:color="auto" w:sz="4" w:space="0"/>
              <w:right w:val="single" w:color="auto" w:sz="4" w:space="0"/>
            </w:tcBorders>
            <w:shd w:val="clear" w:color="auto" w:fill="auto"/>
            <w:vAlign w:val="center"/>
          </w:tcPr>
          <w:p w14:paraId="78ED37C7">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241BD864">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25C23780">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010EAB9D">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r>
      <w:tr w14:paraId="5613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08" w:type="pct"/>
            <w:tcBorders>
              <w:top w:val="single" w:color="auto" w:sz="4" w:space="0"/>
              <w:left w:val="single" w:color="auto" w:sz="4" w:space="0"/>
              <w:bottom w:val="single" w:color="auto" w:sz="4" w:space="0"/>
              <w:right w:val="single" w:color="auto" w:sz="4" w:space="0"/>
            </w:tcBorders>
            <w:shd w:val="clear" w:color="auto" w:fill="auto"/>
            <w:vAlign w:val="center"/>
          </w:tcPr>
          <w:p w14:paraId="2543A3E0">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w:t>
            </w:r>
          </w:p>
        </w:tc>
        <w:tc>
          <w:tcPr>
            <w:tcW w:w="907" w:type="pct"/>
            <w:tcBorders>
              <w:top w:val="single" w:color="auto" w:sz="4" w:space="0"/>
              <w:left w:val="nil"/>
              <w:bottom w:val="single" w:color="auto" w:sz="4" w:space="0"/>
              <w:right w:val="single" w:color="auto" w:sz="4" w:space="0"/>
            </w:tcBorders>
            <w:shd w:val="clear" w:color="auto" w:fill="auto"/>
            <w:vAlign w:val="center"/>
          </w:tcPr>
          <w:p w14:paraId="2D6848FD">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2"/>
                <w:sz w:val="21"/>
                <w:szCs w:val="21"/>
                <w:highlight w:val="none"/>
              </w:rPr>
            </w:pPr>
          </w:p>
        </w:tc>
        <w:tc>
          <w:tcPr>
            <w:tcW w:w="308" w:type="pct"/>
            <w:tcBorders>
              <w:top w:val="single" w:color="auto" w:sz="4" w:space="0"/>
              <w:left w:val="nil"/>
              <w:bottom w:val="single" w:color="auto" w:sz="4" w:space="0"/>
              <w:right w:val="single" w:color="auto" w:sz="4" w:space="0"/>
            </w:tcBorders>
            <w:shd w:val="clear" w:color="auto" w:fill="auto"/>
            <w:vAlign w:val="center"/>
          </w:tcPr>
          <w:p w14:paraId="2EAB23DB">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5592F95A">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32EC3691">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6C21C1E0">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1"/>
                <w:szCs w:val="21"/>
                <w:highlight w:val="none"/>
              </w:rPr>
            </w:pPr>
          </w:p>
        </w:tc>
        <w:tc>
          <w:tcPr>
            <w:tcW w:w="315" w:type="pct"/>
            <w:tcBorders>
              <w:top w:val="single" w:color="auto" w:sz="4" w:space="0"/>
              <w:left w:val="nil"/>
              <w:bottom w:val="single" w:color="auto" w:sz="4" w:space="0"/>
              <w:right w:val="single" w:color="auto" w:sz="4" w:space="0"/>
            </w:tcBorders>
            <w:shd w:val="clear" w:color="auto" w:fill="auto"/>
            <w:vAlign w:val="center"/>
          </w:tcPr>
          <w:p w14:paraId="70FEB227">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369D04E1">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37C798B1">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5DC541F7">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r>
      <w:tr w14:paraId="238F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08" w:type="pct"/>
            <w:tcBorders>
              <w:top w:val="single" w:color="auto" w:sz="4" w:space="0"/>
              <w:left w:val="single" w:color="auto" w:sz="4" w:space="0"/>
              <w:bottom w:val="single" w:color="auto" w:sz="4" w:space="0"/>
              <w:right w:val="single" w:color="auto" w:sz="4" w:space="0"/>
            </w:tcBorders>
            <w:shd w:val="clear" w:color="auto" w:fill="auto"/>
            <w:vAlign w:val="center"/>
          </w:tcPr>
          <w:p w14:paraId="5606C41C">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w:t>
            </w:r>
          </w:p>
        </w:tc>
        <w:tc>
          <w:tcPr>
            <w:tcW w:w="907" w:type="pct"/>
            <w:tcBorders>
              <w:top w:val="single" w:color="auto" w:sz="4" w:space="0"/>
              <w:left w:val="nil"/>
              <w:bottom w:val="single" w:color="auto" w:sz="4" w:space="0"/>
              <w:right w:val="single" w:color="auto" w:sz="4" w:space="0"/>
            </w:tcBorders>
            <w:shd w:val="clear" w:color="auto" w:fill="auto"/>
            <w:vAlign w:val="center"/>
          </w:tcPr>
          <w:p w14:paraId="025DE28E">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2"/>
                <w:sz w:val="21"/>
                <w:szCs w:val="21"/>
                <w:highlight w:val="none"/>
              </w:rPr>
            </w:pPr>
          </w:p>
        </w:tc>
        <w:tc>
          <w:tcPr>
            <w:tcW w:w="308" w:type="pct"/>
            <w:tcBorders>
              <w:top w:val="single" w:color="auto" w:sz="4" w:space="0"/>
              <w:left w:val="nil"/>
              <w:bottom w:val="single" w:color="auto" w:sz="4" w:space="0"/>
              <w:right w:val="single" w:color="auto" w:sz="4" w:space="0"/>
            </w:tcBorders>
            <w:shd w:val="clear" w:color="auto" w:fill="auto"/>
            <w:vAlign w:val="center"/>
          </w:tcPr>
          <w:p w14:paraId="09A57E90">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5B53DF0F">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57A4F0DC">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547873CE">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1"/>
                <w:szCs w:val="21"/>
                <w:highlight w:val="none"/>
              </w:rPr>
            </w:pPr>
          </w:p>
        </w:tc>
        <w:tc>
          <w:tcPr>
            <w:tcW w:w="315" w:type="pct"/>
            <w:tcBorders>
              <w:top w:val="single" w:color="auto" w:sz="4" w:space="0"/>
              <w:left w:val="nil"/>
              <w:bottom w:val="single" w:color="auto" w:sz="4" w:space="0"/>
              <w:right w:val="single" w:color="auto" w:sz="4" w:space="0"/>
            </w:tcBorders>
            <w:shd w:val="clear" w:color="auto" w:fill="auto"/>
            <w:vAlign w:val="center"/>
          </w:tcPr>
          <w:p w14:paraId="5AAB1B86">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711704FD">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5C1B803A">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055D1E5D">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r>
      <w:tr w14:paraId="6CA5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08" w:type="pct"/>
            <w:tcBorders>
              <w:top w:val="single" w:color="auto" w:sz="4" w:space="0"/>
              <w:left w:val="single" w:color="auto" w:sz="4" w:space="0"/>
              <w:bottom w:val="single" w:color="auto" w:sz="4" w:space="0"/>
              <w:right w:val="single" w:color="auto" w:sz="4" w:space="0"/>
            </w:tcBorders>
            <w:shd w:val="clear" w:color="auto" w:fill="auto"/>
            <w:vAlign w:val="center"/>
          </w:tcPr>
          <w:p w14:paraId="0682806C">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c>
          <w:tcPr>
            <w:tcW w:w="907" w:type="pct"/>
            <w:tcBorders>
              <w:top w:val="single" w:color="auto" w:sz="4" w:space="0"/>
              <w:left w:val="nil"/>
              <w:bottom w:val="single" w:color="auto" w:sz="4" w:space="0"/>
              <w:right w:val="single" w:color="auto" w:sz="4" w:space="0"/>
            </w:tcBorders>
            <w:shd w:val="clear" w:color="auto" w:fill="auto"/>
            <w:vAlign w:val="center"/>
          </w:tcPr>
          <w:p w14:paraId="1232593E">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2"/>
                <w:sz w:val="21"/>
                <w:szCs w:val="21"/>
                <w:highlight w:val="none"/>
              </w:rPr>
            </w:pPr>
          </w:p>
        </w:tc>
        <w:tc>
          <w:tcPr>
            <w:tcW w:w="308" w:type="pct"/>
            <w:tcBorders>
              <w:top w:val="single" w:color="auto" w:sz="4" w:space="0"/>
              <w:left w:val="nil"/>
              <w:bottom w:val="single" w:color="auto" w:sz="4" w:space="0"/>
              <w:right w:val="single" w:color="auto" w:sz="4" w:space="0"/>
            </w:tcBorders>
            <w:shd w:val="clear" w:color="auto" w:fill="auto"/>
            <w:vAlign w:val="center"/>
          </w:tcPr>
          <w:p w14:paraId="05D9190E">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1C072DA6">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0DB4118D">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614663FD">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1"/>
                <w:szCs w:val="21"/>
                <w:highlight w:val="none"/>
              </w:rPr>
            </w:pPr>
          </w:p>
        </w:tc>
        <w:tc>
          <w:tcPr>
            <w:tcW w:w="315" w:type="pct"/>
            <w:tcBorders>
              <w:top w:val="single" w:color="auto" w:sz="4" w:space="0"/>
              <w:left w:val="nil"/>
              <w:bottom w:val="single" w:color="auto" w:sz="4" w:space="0"/>
              <w:right w:val="single" w:color="auto" w:sz="4" w:space="0"/>
            </w:tcBorders>
            <w:shd w:val="clear" w:color="auto" w:fill="auto"/>
            <w:vAlign w:val="center"/>
          </w:tcPr>
          <w:p w14:paraId="64A7A5E9">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27A15708">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714B9220">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6B163A0B">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r>
      <w:tr w14:paraId="4ABE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000"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14:paraId="6A703ED8">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所供设备拆装维修需有特殊专用工具</w:t>
            </w:r>
          </w:p>
        </w:tc>
      </w:tr>
      <w:tr w14:paraId="185C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08" w:type="pct"/>
            <w:tcBorders>
              <w:top w:val="single" w:color="auto" w:sz="4" w:space="0"/>
              <w:left w:val="single" w:color="auto" w:sz="4" w:space="0"/>
              <w:bottom w:val="single" w:color="auto" w:sz="4" w:space="0"/>
              <w:right w:val="single" w:color="auto" w:sz="4" w:space="0"/>
            </w:tcBorders>
            <w:shd w:val="clear" w:color="auto" w:fill="auto"/>
            <w:vAlign w:val="center"/>
          </w:tcPr>
          <w:p w14:paraId="22AE459C">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序号</w:t>
            </w:r>
          </w:p>
        </w:tc>
        <w:tc>
          <w:tcPr>
            <w:tcW w:w="907" w:type="pct"/>
            <w:tcBorders>
              <w:top w:val="single" w:color="auto" w:sz="4" w:space="0"/>
              <w:left w:val="nil"/>
              <w:bottom w:val="single" w:color="auto" w:sz="4" w:space="0"/>
              <w:right w:val="single" w:color="auto" w:sz="4" w:space="0"/>
            </w:tcBorders>
            <w:shd w:val="clear" w:color="auto" w:fill="auto"/>
            <w:vAlign w:val="center"/>
          </w:tcPr>
          <w:p w14:paraId="15263E60">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b/>
                <w:bCs w:val="0"/>
                <w:color w:val="auto"/>
                <w:kern w:val="0"/>
                <w:sz w:val="21"/>
                <w:szCs w:val="21"/>
                <w:highlight w:val="none"/>
                <w:lang w:val="en-US" w:eastAsia="zh-CN" w:bidi="ar"/>
              </w:rPr>
              <w:t>货物名称</w:t>
            </w:r>
          </w:p>
        </w:tc>
        <w:tc>
          <w:tcPr>
            <w:tcW w:w="308" w:type="pct"/>
            <w:tcBorders>
              <w:top w:val="single" w:color="auto" w:sz="4" w:space="0"/>
              <w:left w:val="nil"/>
              <w:bottom w:val="single" w:color="auto" w:sz="4" w:space="0"/>
              <w:right w:val="single" w:color="auto" w:sz="4" w:space="0"/>
            </w:tcBorders>
            <w:shd w:val="clear" w:color="auto" w:fill="auto"/>
            <w:vAlign w:val="center"/>
          </w:tcPr>
          <w:p w14:paraId="0C443B74">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品牌</w:t>
            </w:r>
          </w:p>
        </w:tc>
        <w:tc>
          <w:tcPr>
            <w:tcW w:w="509" w:type="pct"/>
            <w:tcBorders>
              <w:top w:val="single" w:color="auto" w:sz="4" w:space="0"/>
              <w:left w:val="nil"/>
              <w:bottom w:val="single" w:color="auto" w:sz="4" w:space="0"/>
              <w:right w:val="single" w:color="auto" w:sz="4" w:space="0"/>
            </w:tcBorders>
            <w:shd w:val="clear" w:color="auto" w:fill="auto"/>
            <w:vAlign w:val="center"/>
          </w:tcPr>
          <w:p w14:paraId="75909975">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产地</w:t>
            </w:r>
          </w:p>
        </w:tc>
        <w:tc>
          <w:tcPr>
            <w:tcW w:w="628" w:type="pct"/>
            <w:tcBorders>
              <w:top w:val="single" w:color="auto" w:sz="4" w:space="0"/>
              <w:left w:val="nil"/>
              <w:bottom w:val="single" w:color="auto" w:sz="4" w:space="0"/>
              <w:right w:val="single" w:color="auto" w:sz="4" w:space="0"/>
            </w:tcBorders>
            <w:shd w:val="clear" w:color="auto" w:fill="auto"/>
            <w:vAlign w:val="center"/>
          </w:tcPr>
          <w:p w14:paraId="324BFF7C">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规格、型号</w:t>
            </w:r>
          </w:p>
        </w:tc>
        <w:tc>
          <w:tcPr>
            <w:tcW w:w="341" w:type="pct"/>
            <w:tcBorders>
              <w:top w:val="single" w:color="auto" w:sz="4" w:space="0"/>
              <w:left w:val="nil"/>
              <w:bottom w:val="single" w:color="auto" w:sz="4" w:space="0"/>
              <w:right w:val="single" w:color="auto" w:sz="4" w:space="0"/>
            </w:tcBorders>
            <w:shd w:val="clear" w:color="auto" w:fill="auto"/>
            <w:vAlign w:val="center"/>
          </w:tcPr>
          <w:p w14:paraId="1599C475">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b/>
                <w:bCs w:val="0"/>
                <w:color w:val="auto"/>
                <w:kern w:val="0"/>
                <w:sz w:val="21"/>
                <w:szCs w:val="21"/>
                <w:highlight w:val="none"/>
                <w:lang w:val="en-US" w:eastAsia="zh-CN" w:bidi="ar"/>
              </w:rPr>
              <w:t>单位</w:t>
            </w:r>
          </w:p>
        </w:tc>
        <w:tc>
          <w:tcPr>
            <w:tcW w:w="315" w:type="pct"/>
            <w:tcBorders>
              <w:top w:val="single" w:color="auto" w:sz="4" w:space="0"/>
              <w:left w:val="nil"/>
              <w:bottom w:val="single" w:color="auto" w:sz="4" w:space="0"/>
              <w:right w:val="single" w:color="auto" w:sz="4" w:space="0"/>
            </w:tcBorders>
            <w:shd w:val="clear" w:color="auto" w:fill="auto"/>
            <w:vAlign w:val="center"/>
          </w:tcPr>
          <w:p w14:paraId="5F8B2304">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数量</w:t>
            </w:r>
          </w:p>
        </w:tc>
        <w:tc>
          <w:tcPr>
            <w:tcW w:w="680" w:type="pct"/>
            <w:tcBorders>
              <w:top w:val="single" w:color="auto" w:sz="4" w:space="0"/>
              <w:left w:val="nil"/>
              <w:bottom w:val="single" w:color="auto" w:sz="4" w:space="0"/>
              <w:right w:val="single" w:color="auto" w:sz="4" w:space="0"/>
            </w:tcBorders>
            <w:shd w:val="clear" w:color="auto" w:fill="auto"/>
            <w:vAlign w:val="center"/>
          </w:tcPr>
          <w:p w14:paraId="7F83ED84">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不含税综合单价</w:t>
            </w:r>
          </w:p>
          <w:p w14:paraId="0092F4EC">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（元）</w:t>
            </w:r>
          </w:p>
        </w:tc>
        <w:tc>
          <w:tcPr>
            <w:tcW w:w="680" w:type="pct"/>
            <w:tcBorders>
              <w:top w:val="single" w:color="auto" w:sz="4" w:space="0"/>
              <w:left w:val="nil"/>
              <w:bottom w:val="single" w:color="auto" w:sz="4" w:space="0"/>
              <w:right w:val="single" w:color="auto" w:sz="4" w:space="0"/>
            </w:tcBorders>
            <w:shd w:val="clear" w:color="auto" w:fill="auto"/>
            <w:vAlign w:val="center"/>
          </w:tcPr>
          <w:p w14:paraId="0B22F8FB">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不含税小计（元）</w:t>
            </w:r>
          </w:p>
        </w:tc>
        <w:tc>
          <w:tcPr>
            <w:tcW w:w="321" w:type="pct"/>
            <w:tcBorders>
              <w:top w:val="single" w:color="auto" w:sz="4" w:space="0"/>
              <w:left w:val="nil"/>
              <w:bottom w:val="single" w:color="auto" w:sz="4" w:space="0"/>
              <w:right w:val="single" w:color="auto" w:sz="4" w:space="0"/>
            </w:tcBorders>
            <w:shd w:val="clear" w:color="auto" w:fill="auto"/>
            <w:vAlign w:val="center"/>
          </w:tcPr>
          <w:p w14:paraId="574D9547">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备注</w:t>
            </w:r>
          </w:p>
        </w:tc>
      </w:tr>
      <w:tr w14:paraId="7D91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08" w:type="pct"/>
            <w:tcBorders>
              <w:top w:val="single" w:color="auto" w:sz="4" w:space="0"/>
              <w:left w:val="single" w:color="auto" w:sz="4" w:space="0"/>
              <w:bottom w:val="single" w:color="auto" w:sz="4" w:space="0"/>
              <w:right w:val="single" w:color="auto" w:sz="4" w:space="0"/>
            </w:tcBorders>
            <w:shd w:val="clear" w:color="auto" w:fill="auto"/>
            <w:vAlign w:val="center"/>
          </w:tcPr>
          <w:p w14:paraId="2C8CF078">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w:t>
            </w:r>
          </w:p>
        </w:tc>
        <w:tc>
          <w:tcPr>
            <w:tcW w:w="907" w:type="pct"/>
            <w:tcBorders>
              <w:top w:val="single" w:color="auto" w:sz="4" w:space="0"/>
              <w:left w:val="nil"/>
              <w:bottom w:val="single" w:color="auto" w:sz="4" w:space="0"/>
              <w:right w:val="single" w:color="auto" w:sz="4" w:space="0"/>
            </w:tcBorders>
            <w:shd w:val="clear" w:color="auto" w:fill="auto"/>
            <w:vAlign w:val="center"/>
          </w:tcPr>
          <w:p w14:paraId="52318D5F">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2"/>
                <w:sz w:val="21"/>
                <w:szCs w:val="21"/>
                <w:highlight w:val="none"/>
              </w:rPr>
            </w:pPr>
          </w:p>
        </w:tc>
        <w:tc>
          <w:tcPr>
            <w:tcW w:w="308" w:type="pct"/>
            <w:tcBorders>
              <w:top w:val="single" w:color="auto" w:sz="4" w:space="0"/>
              <w:left w:val="nil"/>
              <w:bottom w:val="single" w:color="auto" w:sz="4" w:space="0"/>
              <w:right w:val="single" w:color="auto" w:sz="4" w:space="0"/>
            </w:tcBorders>
            <w:shd w:val="clear" w:color="auto" w:fill="auto"/>
            <w:vAlign w:val="center"/>
          </w:tcPr>
          <w:p w14:paraId="7A02FDC1">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639947EC">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589A6AD7">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5BE39DEA">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1"/>
                <w:szCs w:val="21"/>
                <w:highlight w:val="none"/>
              </w:rPr>
            </w:pPr>
          </w:p>
        </w:tc>
        <w:tc>
          <w:tcPr>
            <w:tcW w:w="315" w:type="pct"/>
            <w:tcBorders>
              <w:top w:val="single" w:color="auto" w:sz="4" w:space="0"/>
              <w:left w:val="nil"/>
              <w:bottom w:val="single" w:color="auto" w:sz="4" w:space="0"/>
              <w:right w:val="single" w:color="auto" w:sz="4" w:space="0"/>
            </w:tcBorders>
            <w:shd w:val="clear" w:color="auto" w:fill="auto"/>
            <w:vAlign w:val="center"/>
          </w:tcPr>
          <w:p w14:paraId="44C2D213">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11AD358D">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272D3575">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39B2C32F">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r>
      <w:tr w14:paraId="7796A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08" w:type="pct"/>
            <w:tcBorders>
              <w:top w:val="single" w:color="auto" w:sz="4" w:space="0"/>
              <w:left w:val="single" w:color="auto" w:sz="4" w:space="0"/>
              <w:bottom w:val="single" w:color="auto" w:sz="4" w:space="0"/>
              <w:right w:val="single" w:color="auto" w:sz="4" w:space="0"/>
            </w:tcBorders>
            <w:shd w:val="clear" w:color="auto" w:fill="auto"/>
            <w:vAlign w:val="center"/>
          </w:tcPr>
          <w:p w14:paraId="6A57CE80">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w:t>
            </w:r>
          </w:p>
        </w:tc>
        <w:tc>
          <w:tcPr>
            <w:tcW w:w="907" w:type="pct"/>
            <w:tcBorders>
              <w:top w:val="single" w:color="auto" w:sz="4" w:space="0"/>
              <w:left w:val="nil"/>
              <w:bottom w:val="single" w:color="auto" w:sz="4" w:space="0"/>
              <w:right w:val="single" w:color="auto" w:sz="4" w:space="0"/>
            </w:tcBorders>
            <w:shd w:val="clear" w:color="auto" w:fill="auto"/>
            <w:vAlign w:val="center"/>
          </w:tcPr>
          <w:p w14:paraId="494B893E">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2"/>
                <w:sz w:val="21"/>
                <w:szCs w:val="21"/>
                <w:highlight w:val="none"/>
              </w:rPr>
            </w:pPr>
          </w:p>
        </w:tc>
        <w:tc>
          <w:tcPr>
            <w:tcW w:w="308" w:type="pct"/>
            <w:tcBorders>
              <w:top w:val="single" w:color="auto" w:sz="4" w:space="0"/>
              <w:left w:val="nil"/>
              <w:bottom w:val="single" w:color="auto" w:sz="4" w:space="0"/>
              <w:right w:val="single" w:color="auto" w:sz="4" w:space="0"/>
            </w:tcBorders>
            <w:shd w:val="clear" w:color="auto" w:fill="auto"/>
            <w:vAlign w:val="center"/>
          </w:tcPr>
          <w:p w14:paraId="489F9386">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2C0BF97E">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42FF9D40">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023D721D">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1"/>
                <w:szCs w:val="21"/>
                <w:highlight w:val="none"/>
              </w:rPr>
            </w:pPr>
          </w:p>
        </w:tc>
        <w:tc>
          <w:tcPr>
            <w:tcW w:w="315" w:type="pct"/>
            <w:tcBorders>
              <w:top w:val="single" w:color="auto" w:sz="4" w:space="0"/>
              <w:left w:val="nil"/>
              <w:bottom w:val="single" w:color="auto" w:sz="4" w:space="0"/>
              <w:right w:val="single" w:color="auto" w:sz="4" w:space="0"/>
            </w:tcBorders>
            <w:shd w:val="clear" w:color="auto" w:fill="auto"/>
            <w:vAlign w:val="center"/>
          </w:tcPr>
          <w:p w14:paraId="292C8EC4">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6780973F">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209CF746">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7A9A0DD2">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r>
      <w:tr w14:paraId="7916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08" w:type="pct"/>
            <w:tcBorders>
              <w:top w:val="single" w:color="auto" w:sz="4" w:space="0"/>
              <w:left w:val="single" w:color="auto" w:sz="4" w:space="0"/>
              <w:bottom w:val="single" w:color="auto" w:sz="4" w:space="0"/>
              <w:right w:val="single" w:color="auto" w:sz="4" w:space="0"/>
            </w:tcBorders>
            <w:shd w:val="clear" w:color="auto" w:fill="auto"/>
            <w:vAlign w:val="center"/>
          </w:tcPr>
          <w:p w14:paraId="37CD2718">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w:t>
            </w:r>
          </w:p>
        </w:tc>
        <w:tc>
          <w:tcPr>
            <w:tcW w:w="907" w:type="pct"/>
            <w:tcBorders>
              <w:top w:val="single" w:color="auto" w:sz="4" w:space="0"/>
              <w:left w:val="nil"/>
              <w:bottom w:val="single" w:color="auto" w:sz="4" w:space="0"/>
              <w:right w:val="single" w:color="auto" w:sz="4" w:space="0"/>
            </w:tcBorders>
            <w:shd w:val="clear" w:color="auto" w:fill="auto"/>
            <w:vAlign w:val="center"/>
          </w:tcPr>
          <w:p w14:paraId="3525A2BD">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2"/>
                <w:sz w:val="21"/>
                <w:szCs w:val="21"/>
                <w:highlight w:val="none"/>
              </w:rPr>
            </w:pPr>
          </w:p>
        </w:tc>
        <w:tc>
          <w:tcPr>
            <w:tcW w:w="308" w:type="pct"/>
            <w:tcBorders>
              <w:top w:val="single" w:color="auto" w:sz="4" w:space="0"/>
              <w:left w:val="nil"/>
              <w:bottom w:val="single" w:color="auto" w:sz="4" w:space="0"/>
              <w:right w:val="single" w:color="auto" w:sz="4" w:space="0"/>
            </w:tcBorders>
            <w:shd w:val="clear" w:color="auto" w:fill="auto"/>
            <w:vAlign w:val="center"/>
          </w:tcPr>
          <w:p w14:paraId="1AC0E1FB">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342588E9">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3BE8D995">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2F94E4E4">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1"/>
                <w:szCs w:val="21"/>
                <w:highlight w:val="none"/>
              </w:rPr>
            </w:pPr>
          </w:p>
        </w:tc>
        <w:tc>
          <w:tcPr>
            <w:tcW w:w="315" w:type="pct"/>
            <w:tcBorders>
              <w:top w:val="single" w:color="auto" w:sz="4" w:space="0"/>
              <w:left w:val="nil"/>
              <w:bottom w:val="single" w:color="auto" w:sz="4" w:space="0"/>
              <w:right w:val="single" w:color="auto" w:sz="4" w:space="0"/>
            </w:tcBorders>
            <w:shd w:val="clear" w:color="auto" w:fill="auto"/>
            <w:vAlign w:val="center"/>
          </w:tcPr>
          <w:p w14:paraId="270C86B3">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262DC67A">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4A33684F">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25B057C2">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r>
      <w:tr w14:paraId="4653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08" w:type="pct"/>
            <w:tcBorders>
              <w:top w:val="single" w:color="auto" w:sz="4" w:space="0"/>
              <w:left w:val="single" w:color="auto" w:sz="4" w:space="0"/>
              <w:bottom w:val="single" w:color="auto" w:sz="4" w:space="0"/>
              <w:right w:val="single" w:color="auto" w:sz="4" w:space="0"/>
            </w:tcBorders>
            <w:shd w:val="clear" w:color="auto" w:fill="auto"/>
            <w:vAlign w:val="center"/>
          </w:tcPr>
          <w:p w14:paraId="2F25BFCE">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c>
          <w:tcPr>
            <w:tcW w:w="907" w:type="pct"/>
            <w:tcBorders>
              <w:top w:val="single" w:color="auto" w:sz="4" w:space="0"/>
              <w:left w:val="nil"/>
              <w:bottom w:val="single" w:color="auto" w:sz="4" w:space="0"/>
              <w:right w:val="single" w:color="auto" w:sz="4" w:space="0"/>
            </w:tcBorders>
            <w:shd w:val="clear" w:color="auto" w:fill="auto"/>
            <w:vAlign w:val="center"/>
          </w:tcPr>
          <w:p w14:paraId="6F421C79">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color w:val="auto"/>
                <w:kern w:val="2"/>
                <w:sz w:val="21"/>
                <w:szCs w:val="21"/>
                <w:highlight w:val="none"/>
              </w:rPr>
            </w:pPr>
          </w:p>
        </w:tc>
        <w:tc>
          <w:tcPr>
            <w:tcW w:w="308" w:type="pct"/>
            <w:tcBorders>
              <w:top w:val="single" w:color="auto" w:sz="4" w:space="0"/>
              <w:left w:val="nil"/>
              <w:bottom w:val="single" w:color="auto" w:sz="4" w:space="0"/>
              <w:right w:val="single" w:color="auto" w:sz="4" w:space="0"/>
            </w:tcBorders>
            <w:shd w:val="clear" w:color="auto" w:fill="auto"/>
            <w:vAlign w:val="center"/>
          </w:tcPr>
          <w:p w14:paraId="67A2AB26">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509" w:type="pct"/>
            <w:tcBorders>
              <w:top w:val="single" w:color="auto" w:sz="4" w:space="0"/>
              <w:left w:val="nil"/>
              <w:bottom w:val="single" w:color="auto" w:sz="4" w:space="0"/>
              <w:right w:val="single" w:color="auto" w:sz="4" w:space="0"/>
            </w:tcBorders>
            <w:shd w:val="clear" w:color="auto" w:fill="auto"/>
            <w:vAlign w:val="center"/>
          </w:tcPr>
          <w:p w14:paraId="540700DC">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28" w:type="pct"/>
            <w:tcBorders>
              <w:top w:val="single" w:color="auto" w:sz="4" w:space="0"/>
              <w:left w:val="nil"/>
              <w:bottom w:val="single" w:color="auto" w:sz="4" w:space="0"/>
              <w:right w:val="single" w:color="auto" w:sz="4" w:space="0"/>
            </w:tcBorders>
            <w:shd w:val="clear" w:color="auto" w:fill="auto"/>
            <w:vAlign w:val="center"/>
          </w:tcPr>
          <w:p w14:paraId="240C52B1">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341" w:type="pct"/>
            <w:tcBorders>
              <w:top w:val="single" w:color="auto" w:sz="4" w:space="0"/>
              <w:left w:val="nil"/>
              <w:bottom w:val="single" w:color="auto" w:sz="4" w:space="0"/>
              <w:right w:val="single" w:color="auto" w:sz="4" w:space="0"/>
            </w:tcBorders>
            <w:shd w:val="clear" w:color="auto" w:fill="auto"/>
            <w:vAlign w:val="center"/>
          </w:tcPr>
          <w:p w14:paraId="5C3F6600">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1"/>
                <w:szCs w:val="21"/>
                <w:highlight w:val="none"/>
              </w:rPr>
            </w:pPr>
          </w:p>
        </w:tc>
        <w:tc>
          <w:tcPr>
            <w:tcW w:w="315" w:type="pct"/>
            <w:tcBorders>
              <w:top w:val="single" w:color="auto" w:sz="4" w:space="0"/>
              <w:left w:val="nil"/>
              <w:bottom w:val="single" w:color="auto" w:sz="4" w:space="0"/>
              <w:right w:val="single" w:color="auto" w:sz="4" w:space="0"/>
            </w:tcBorders>
            <w:shd w:val="clear" w:color="auto" w:fill="auto"/>
            <w:vAlign w:val="center"/>
          </w:tcPr>
          <w:p w14:paraId="2DAC82CB">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2427DFE2">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680" w:type="pct"/>
            <w:tcBorders>
              <w:top w:val="single" w:color="auto" w:sz="4" w:space="0"/>
              <w:left w:val="nil"/>
              <w:bottom w:val="single" w:color="auto" w:sz="4" w:space="0"/>
              <w:right w:val="single" w:color="auto" w:sz="4" w:space="0"/>
            </w:tcBorders>
            <w:shd w:val="clear" w:color="auto" w:fill="auto"/>
            <w:vAlign w:val="center"/>
          </w:tcPr>
          <w:p w14:paraId="05CB77BC">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c>
          <w:tcPr>
            <w:tcW w:w="321" w:type="pct"/>
            <w:tcBorders>
              <w:top w:val="single" w:color="auto" w:sz="4" w:space="0"/>
              <w:left w:val="nil"/>
              <w:bottom w:val="single" w:color="auto" w:sz="4" w:space="0"/>
              <w:right w:val="single" w:color="auto" w:sz="4" w:space="0"/>
            </w:tcBorders>
            <w:shd w:val="clear" w:color="auto" w:fill="auto"/>
            <w:vAlign w:val="center"/>
          </w:tcPr>
          <w:p w14:paraId="027A97B9">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0"/>
                <w:sz w:val="21"/>
                <w:szCs w:val="21"/>
                <w:highlight w:val="none"/>
              </w:rPr>
            </w:pPr>
          </w:p>
        </w:tc>
      </w:tr>
    </w:tbl>
    <w:p w14:paraId="64E43941">
      <w:pPr>
        <w:autoSpaceDE w:val="0"/>
        <w:autoSpaceDN w:val="0"/>
        <w:adjustRightInd w:val="0"/>
        <w:spacing w:line="360" w:lineRule="auto"/>
        <w:ind w:left="0" w:firstLine="0" w:firstLineChars="0"/>
        <w:jc w:val="left"/>
        <w:outlineLvl w:val="9"/>
        <w:rPr>
          <w:rFonts w:hint="eastAsia" w:ascii="宋体" w:hAnsi="宋体" w:eastAsia="宋体" w:cs="宋体"/>
          <w:b w:val="0"/>
          <w:color w:val="auto"/>
          <w:kern w:val="0"/>
          <w:sz w:val="21"/>
          <w:szCs w:val="21"/>
          <w:highlight w:val="none"/>
          <w:lang w:bidi="ar"/>
        </w:rPr>
      </w:pPr>
      <w:r>
        <w:rPr>
          <w:rFonts w:hint="eastAsia" w:ascii="宋体" w:hAnsi="宋体" w:eastAsia="宋体" w:cs="宋体"/>
          <w:b w:val="0"/>
          <w:color w:val="auto"/>
          <w:kern w:val="0"/>
          <w:sz w:val="21"/>
          <w:szCs w:val="21"/>
          <w:highlight w:val="none"/>
          <w:lang w:bidi="ar"/>
        </w:rPr>
        <w:t>（1）投标人应提供整套用于保证本合同所属设备系统在质保期内正常运行的设备安装、操作维护所需的备品备件并列出清单，招标人将审核清单并着重考虑是否满足质保期需要。备品备件价格应在投标报价表中单独列出并报价，且所有配套备品备件报价包括在投标总报价中。</w:t>
      </w:r>
    </w:p>
    <w:p w14:paraId="40B94231">
      <w:pPr>
        <w:autoSpaceDE w:val="0"/>
        <w:autoSpaceDN w:val="0"/>
        <w:adjustRightInd w:val="0"/>
        <w:spacing w:line="360" w:lineRule="auto"/>
        <w:ind w:left="0" w:firstLine="0" w:firstLineChars="0"/>
        <w:jc w:val="left"/>
        <w:outlineLvl w:val="9"/>
        <w:rPr>
          <w:rFonts w:hint="eastAsia" w:ascii="宋体" w:hAnsi="宋体" w:eastAsia="宋体" w:cs="宋体"/>
          <w:b w:val="0"/>
          <w:color w:val="auto"/>
          <w:kern w:val="0"/>
          <w:sz w:val="21"/>
          <w:szCs w:val="21"/>
          <w:highlight w:val="none"/>
          <w:lang w:bidi="ar"/>
        </w:rPr>
      </w:pPr>
      <w:r>
        <w:rPr>
          <w:rFonts w:hint="eastAsia" w:ascii="宋体" w:hAnsi="宋体" w:eastAsia="宋体" w:cs="宋体"/>
          <w:b w:val="0"/>
          <w:color w:val="auto"/>
          <w:kern w:val="0"/>
          <w:sz w:val="21"/>
          <w:szCs w:val="21"/>
          <w:highlight w:val="none"/>
          <w:lang w:bidi="ar"/>
        </w:rPr>
        <w:t>（2）如所供设备拆装维修需有特殊专用工具，投标人应予以说明，并提供专用维修工具，投标人应提供设备拆装维修所需特殊工具清单，报价包括在投标总报价中。</w:t>
      </w:r>
    </w:p>
    <w:p w14:paraId="48624C25">
      <w:pPr>
        <w:keepNext w:val="0"/>
        <w:keepLines w:val="0"/>
        <w:widowControl w:val="0"/>
        <w:suppressLineNumbers w:val="0"/>
        <w:autoSpaceDE w:val="0"/>
        <w:autoSpaceDN w:val="0"/>
        <w:adjustRightInd w:val="0"/>
        <w:snapToGrid w:val="0"/>
        <w:spacing w:before="0" w:beforeAutospacing="0" w:after="0" w:afterAutospacing="0" w:line="360" w:lineRule="auto"/>
        <w:ind w:left="605" w:leftChars="18" w:right="0" w:hanging="567" w:hangingChars="27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（3）报价保留小数点后两位。</w:t>
      </w:r>
    </w:p>
    <w:p w14:paraId="7CF2C896">
      <w:pPr>
        <w:keepNext w:val="0"/>
        <w:keepLines w:val="0"/>
        <w:widowControl w:val="0"/>
        <w:suppressLineNumbers w:val="0"/>
        <w:autoSpaceDE w:val="0"/>
        <w:autoSpaceDN w:val="0"/>
        <w:adjustRightInd w:val="0"/>
        <w:snapToGrid w:val="0"/>
        <w:spacing w:before="0" w:beforeAutospacing="0" w:after="0" w:afterAutospacing="0" w:line="360" w:lineRule="auto"/>
        <w:ind w:left="605" w:leftChars="18" w:right="0" w:hanging="567" w:hangingChars="270"/>
        <w:jc w:val="left"/>
        <w:rPr>
          <w:rFonts w:hint="eastAsia" w:ascii="宋体" w:hAnsi="宋体" w:eastAsia="宋体" w:cs="Times New Roman"/>
          <w:b/>
          <w:bCs/>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w:t>
      </w:r>
      <w:r>
        <w:rPr>
          <w:rFonts w:hint="eastAsia" w:ascii="宋体" w:hAnsi="宋体" w:eastAsia="宋体" w:cs="宋体"/>
          <w:b/>
          <w:bCs/>
          <w:color w:val="auto"/>
          <w:kern w:val="0"/>
          <w:sz w:val="21"/>
          <w:szCs w:val="21"/>
          <w:highlight w:val="none"/>
          <w:lang w:val="en-US" w:eastAsia="zh-CN" w:bidi="ar"/>
        </w:rPr>
        <w:t>由投标人使用投标人的企业数字证书，法定代表人或其授权代表数字证书电子签名。</w:t>
      </w:r>
    </w:p>
    <w:p w14:paraId="1B9432C1">
      <w:pPr>
        <w:keepNext w:val="0"/>
        <w:keepLines w:val="0"/>
        <w:widowControl w:val="0"/>
        <w:suppressLineNumbers w:val="0"/>
        <w:autoSpaceDE w:val="0"/>
        <w:autoSpaceDN w:val="0"/>
        <w:adjustRightInd w:val="0"/>
        <w:spacing w:before="0" w:beforeAutospacing="0" w:after="0" w:afterAutospacing="0" w:line="360" w:lineRule="auto"/>
        <w:ind w:left="0" w:right="0" w:firstLine="0" w:firstLineChars="0"/>
        <w:jc w:val="both"/>
        <w:rPr>
          <w:rFonts w:hint="eastAsia" w:ascii="宋体" w:hAnsi="宋体" w:eastAsia="宋体" w:cs="宋体"/>
          <w:color w:val="auto"/>
          <w:kern w:val="2"/>
          <w:sz w:val="21"/>
          <w:szCs w:val="21"/>
          <w:highlight w:val="none"/>
        </w:rPr>
      </w:pPr>
    </w:p>
    <w:p w14:paraId="45EC6611">
      <w:pPr>
        <w:keepNext w:val="0"/>
        <w:keepLines w:val="0"/>
        <w:widowControl w:val="0"/>
        <w:suppressLineNumbers w:val="0"/>
        <w:autoSpaceDE w:val="0"/>
        <w:autoSpaceDN w:val="0"/>
        <w:adjustRightInd w:val="0"/>
        <w:spacing w:before="0" w:beforeAutospacing="0" w:after="0" w:afterAutospacing="0" w:line="360" w:lineRule="auto"/>
        <w:ind w:left="0" w:right="0" w:firstLine="4960" w:firstLineChars="2362"/>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w:t>
      </w:r>
      <w:r>
        <w:rPr>
          <w:rFonts w:hint="eastAsia" w:ascii="宋体" w:hAnsi="宋体" w:eastAsia="宋体" w:cs="宋体"/>
          <w:color w:val="auto"/>
          <w:kern w:val="2"/>
          <w:sz w:val="21"/>
          <w:szCs w:val="21"/>
          <w:highlight w:val="none"/>
          <w:u w:val="single"/>
          <w:lang w:val="en-US" w:eastAsia="zh-CN" w:bidi="ar"/>
        </w:rPr>
        <w:t xml:space="preserve">             （企业数字证书电子签名）</w:t>
      </w:r>
    </w:p>
    <w:p w14:paraId="18776397">
      <w:pPr>
        <w:keepNext w:val="0"/>
        <w:keepLines w:val="0"/>
        <w:widowControl w:val="0"/>
        <w:suppressLineNumbers w:val="0"/>
        <w:autoSpaceDE w:val="0"/>
        <w:autoSpaceDN w:val="0"/>
        <w:adjustRightInd w:val="0"/>
        <w:spacing w:before="0" w:beforeAutospacing="0" w:after="0" w:afterAutospacing="0" w:line="360" w:lineRule="auto"/>
        <w:ind w:left="0" w:right="0" w:firstLine="4960" w:firstLineChars="2362"/>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法定代表人或其授权代表签名：</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（电子签名）</w:t>
      </w:r>
    </w:p>
    <w:p w14:paraId="37C31120">
      <w:pPr>
        <w:autoSpaceDE w:val="0"/>
        <w:autoSpaceDN w:val="0"/>
        <w:adjustRightInd w:val="0"/>
        <w:spacing w:line="360" w:lineRule="auto"/>
        <w:ind w:left="0" w:firstLine="4960" w:firstLineChars="2362"/>
        <w:jc w:val="both"/>
        <w:outlineLvl w:val="9"/>
        <w:rPr>
          <w:rFonts w:hint="eastAsia" w:ascii="宋体" w:hAnsi="宋体" w:eastAsia="宋体" w:cs="宋体"/>
          <w:b w:val="0"/>
          <w:color w:val="auto"/>
          <w:kern w:val="0"/>
          <w:sz w:val="21"/>
          <w:szCs w:val="21"/>
          <w:highlight w:val="none"/>
          <w:lang w:bidi="ar"/>
        </w:rPr>
      </w:pPr>
      <w:r>
        <w:rPr>
          <w:rFonts w:hint="eastAsia" w:ascii="宋体" w:hAnsi="宋体" w:eastAsia="宋体" w:cs="宋体"/>
          <w:color w:val="auto"/>
          <w:kern w:val="2"/>
          <w:sz w:val="21"/>
          <w:szCs w:val="21"/>
          <w:highlight w:val="none"/>
          <w:lang w:val="en-US" w:eastAsia="zh-CN" w:bidi="ar"/>
        </w:rPr>
        <w:t>日期：</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年</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月</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日</w:t>
      </w:r>
    </w:p>
    <w:p w14:paraId="6E925B43">
      <w:pPr>
        <w:autoSpaceDE/>
        <w:autoSpaceDN/>
        <w:adjustRightInd/>
        <w:spacing w:line="240" w:lineRule="auto"/>
        <w:ind w:left="0" w:firstLine="0" w:firstLineChars="0"/>
        <w:jc w:val="left"/>
        <w:outlineLvl w:val="9"/>
        <w:rPr>
          <w:rFonts w:hint="eastAsia" w:ascii="宋体" w:hAnsi="宋体" w:eastAsia="宋体" w:cs="宋体"/>
          <w:b/>
          <w:color w:val="auto"/>
          <w:kern w:val="0"/>
          <w:sz w:val="30"/>
          <w:szCs w:val="30"/>
          <w:highlight w:val="none"/>
          <w:lang w:bidi="ar"/>
        </w:rPr>
      </w:pPr>
      <w:r>
        <w:rPr>
          <w:rFonts w:hint="eastAsia" w:ascii="宋体" w:hAnsi="宋体" w:eastAsia="宋体" w:cs="宋体"/>
          <w:b/>
          <w:color w:val="auto"/>
          <w:kern w:val="0"/>
          <w:sz w:val="30"/>
          <w:szCs w:val="30"/>
          <w:highlight w:val="none"/>
          <w:lang w:bidi="ar"/>
        </w:rPr>
        <w:br w:type="page"/>
      </w:r>
    </w:p>
    <w:p w14:paraId="208E13D4">
      <w:pPr>
        <w:tabs>
          <w:tab w:val="left" w:pos="567"/>
        </w:tabs>
        <w:autoSpaceDE w:val="0"/>
        <w:autoSpaceDN w:val="0"/>
        <w:adjustRightInd w:val="0"/>
        <w:spacing w:line="360" w:lineRule="auto"/>
        <w:ind w:left="711" w:hanging="711" w:hangingChars="236"/>
        <w:jc w:val="both"/>
        <w:outlineLvl w:val="2"/>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lang w:bidi="ar"/>
        </w:rPr>
        <w:t>4</w:t>
      </w:r>
      <w:r>
        <w:rPr>
          <w:rFonts w:hint="eastAsia" w:ascii="宋体" w:hAnsi="宋体" w:eastAsia="宋体" w:cs="宋体"/>
          <w:b/>
          <w:color w:val="auto"/>
          <w:kern w:val="0"/>
          <w:sz w:val="30"/>
          <w:szCs w:val="30"/>
          <w:highlight w:val="none"/>
          <w:lang w:val="en-US" w:eastAsia="zh-CN" w:bidi="ar"/>
        </w:rPr>
        <w:t>.4</w:t>
      </w:r>
      <w:r>
        <w:rPr>
          <w:rFonts w:hint="eastAsia" w:ascii="宋体" w:hAnsi="宋体" w:eastAsia="宋体" w:cs="宋体"/>
          <w:b/>
          <w:color w:val="auto"/>
          <w:kern w:val="0"/>
          <w:sz w:val="30"/>
          <w:szCs w:val="30"/>
          <w:highlight w:val="none"/>
          <w:lang w:bidi="ar"/>
        </w:rPr>
        <w:t xml:space="preserve"> 质保期满后3年（进口设备要求5年）所需备品备件报价及设备检测所需仪器仪表清单及报价表</w:t>
      </w:r>
      <w:bookmarkEnd w:id="808"/>
      <w:bookmarkEnd w:id="809"/>
    </w:p>
    <w:p w14:paraId="5B0EB0CE">
      <w:pPr>
        <w:tabs>
          <w:tab w:val="left" w:pos="567"/>
        </w:tabs>
        <w:autoSpaceDE w:val="0"/>
        <w:autoSpaceDN w:val="0"/>
        <w:adjustRightInd w:val="0"/>
        <w:spacing w:line="360" w:lineRule="auto"/>
        <w:ind w:left="711" w:hanging="711" w:hangingChars="236"/>
        <w:jc w:val="center"/>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lang w:bidi="ar"/>
        </w:rPr>
        <w:t>质保期满后3年（进口设备要求5年）所需备品备件报价及设备检测所需仪器仪表清单及报价表</w:t>
      </w:r>
    </w:p>
    <w:p w14:paraId="6491664B">
      <w:pPr>
        <w:spacing w:line="360" w:lineRule="auto"/>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lang w:bidi="ar"/>
        </w:rPr>
        <w:t>项目名称：</w:t>
      </w:r>
      <w:r>
        <w:rPr>
          <w:rFonts w:hint="eastAsia" w:ascii="宋体" w:hAnsi="宋体" w:eastAsia="宋体" w:cs="宋体"/>
          <w:color w:val="auto"/>
          <w:kern w:val="0"/>
          <w:szCs w:val="21"/>
          <w:highlight w:val="none"/>
          <w:u w:val="single"/>
          <w:lang w:bidi="ar"/>
        </w:rPr>
        <w:t>东莞市石鼓净水有限公司污水处理厂及提标项目中控系统集约化升级改造项目</w:t>
      </w:r>
    </w:p>
    <w:p w14:paraId="671C6EC1">
      <w:pPr>
        <w:spacing w:line="360" w:lineRule="auto"/>
        <w:rPr>
          <w:rFonts w:hint="eastAsia" w:ascii="宋体" w:hAnsi="宋体" w:eastAsia="宋体" w:cs="宋体"/>
          <w:color w:val="auto"/>
          <w:kern w:val="0"/>
          <w:szCs w:val="21"/>
          <w:highlight w:val="none"/>
          <w:u w:val="single"/>
          <w:lang w:eastAsia="zh-CN"/>
        </w:rPr>
      </w:pPr>
      <w:r>
        <w:rPr>
          <w:rFonts w:hint="eastAsia" w:ascii="宋体" w:hAnsi="宋体" w:eastAsia="宋体" w:cs="宋体"/>
          <w:b/>
          <w:color w:val="auto"/>
          <w:kern w:val="0"/>
          <w:szCs w:val="21"/>
          <w:highlight w:val="none"/>
          <w:lang w:bidi="ar"/>
        </w:rPr>
        <w:t>招标编号：</w:t>
      </w:r>
      <w:r>
        <w:rPr>
          <w:rFonts w:hint="eastAsia" w:ascii="宋体" w:hAnsi="宋体" w:eastAsia="宋体" w:cs="宋体"/>
          <w:color w:val="auto"/>
          <w:kern w:val="0"/>
          <w:szCs w:val="21"/>
          <w:highlight w:val="none"/>
          <w:u w:val="single"/>
          <w:lang w:eastAsia="zh-CN" w:bidi="ar"/>
        </w:rPr>
        <w:t xml:space="preserve">                </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1958"/>
        <w:gridCol w:w="660"/>
        <w:gridCol w:w="1093"/>
        <w:gridCol w:w="1344"/>
        <w:gridCol w:w="981"/>
        <w:gridCol w:w="952"/>
        <w:gridCol w:w="1116"/>
        <w:gridCol w:w="865"/>
        <w:gridCol w:w="707"/>
      </w:tblGrid>
      <w:tr w14:paraId="35C1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14:paraId="22DD39DE">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bCs/>
                <w:color w:val="auto"/>
                <w:kern w:val="0"/>
                <w:szCs w:val="21"/>
                <w:highlight w:val="none"/>
                <w:lang w:bidi="ar"/>
              </w:rPr>
              <w:t>质保期满后3年（进口设备要求5年）所需备品备件</w:t>
            </w:r>
          </w:p>
        </w:tc>
      </w:tr>
      <w:tr w14:paraId="1920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166BDA8F">
            <w:pPr>
              <w:keepNext w:val="0"/>
              <w:keepLines w:val="0"/>
              <w:suppressLineNumbers w:val="0"/>
              <w:spacing w:before="0" w:beforeAutospacing="0" w:after="0" w:afterAutospacing="0" w:line="400" w:lineRule="exact"/>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序号</w:t>
            </w:r>
          </w:p>
        </w:tc>
        <w:tc>
          <w:tcPr>
            <w:tcW w:w="944" w:type="pct"/>
            <w:tcBorders>
              <w:top w:val="single" w:color="auto" w:sz="4" w:space="0"/>
              <w:left w:val="nil"/>
              <w:bottom w:val="single" w:color="auto" w:sz="4" w:space="0"/>
              <w:right w:val="single" w:color="auto" w:sz="4" w:space="0"/>
            </w:tcBorders>
            <w:shd w:val="clear" w:color="auto" w:fill="auto"/>
            <w:vAlign w:val="center"/>
          </w:tcPr>
          <w:p w14:paraId="66AEAEB8">
            <w:pPr>
              <w:keepNext w:val="0"/>
              <w:keepLines w:val="0"/>
              <w:suppressLineNumbers w:val="0"/>
              <w:spacing w:before="0" w:beforeAutospacing="0" w:after="0" w:afterAutospacing="0" w:line="400" w:lineRule="exact"/>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货物名称</w:t>
            </w:r>
          </w:p>
        </w:tc>
        <w:tc>
          <w:tcPr>
            <w:tcW w:w="318" w:type="pct"/>
            <w:tcBorders>
              <w:top w:val="single" w:color="auto" w:sz="4" w:space="0"/>
              <w:left w:val="nil"/>
              <w:bottom w:val="single" w:color="auto" w:sz="4" w:space="0"/>
              <w:right w:val="single" w:color="auto" w:sz="4" w:space="0"/>
            </w:tcBorders>
            <w:shd w:val="clear" w:color="auto" w:fill="auto"/>
            <w:vAlign w:val="center"/>
          </w:tcPr>
          <w:p w14:paraId="5FF08E42">
            <w:pPr>
              <w:keepNext w:val="0"/>
              <w:keepLines w:val="0"/>
              <w:suppressLineNumbers w:val="0"/>
              <w:spacing w:before="0" w:beforeAutospacing="0" w:after="0" w:afterAutospacing="0" w:line="400" w:lineRule="exact"/>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品牌</w:t>
            </w:r>
          </w:p>
        </w:tc>
        <w:tc>
          <w:tcPr>
            <w:tcW w:w="527" w:type="pct"/>
            <w:tcBorders>
              <w:top w:val="single" w:color="auto" w:sz="4" w:space="0"/>
              <w:left w:val="nil"/>
              <w:bottom w:val="single" w:color="auto" w:sz="4" w:space="0"/>
              <w:right w:val="single" w:color="auto" w:sz="4" w:space="0"/>
            </w:tcBorders>
            <w:shd w:val="clear" w:color="auto" w:fill="auto"/>
            <w:vAlign w:val="center"/>
          </w:tcPr>
          <w:p w14:paraId="713A6752">
            <w:pPr>
              <w:keepNext w:val="0"/>
              <w:keepLines w:val="0"/>
              <w:suppressLineNumbers w:val="0"/>
              <w:spacing w:before="0" w:beforeAutospacing="0" w:after="0" w:afterAutospacing="0" w:line="400" w:lineRule="exact"/>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产地</w:t>
            </w:r>
          </w:p>
        </w:tc>
        <w:tc>
          <w:tcPr>
            <w:tcW w:w="648" w:type="pct"/>
            <w:tcBorders>
              <w:top w:val="single" w:color="auto" w:sz="4" w:space="0"/>
              <w:left w:val="nil"/>
              <w:bottom w:val="single" w:color="auto" w:sz="4" w:space="0"/>
              <w:right w:val="single" w:color="auto" w:sz="4" w:space="0"/>
            </w:tcBorders>
            <w:shd w:val="clear" w:color="auto" w:fill="auto"/>
            <w:vAlign w:val="center"/>
          </w:tcPr>
          <w:p w14:paraId="1E59D700">
            <w:pPr>
              <w:keepNext w:val="0"/>
              <w:keepLines w:val="0"/>
              <w:suppressLineNumbers w:val="0"/>
              <w:spacing w:before="0" w:beforeAutospacing="0" w:after="0" w:afterAutospacing="0" w:line="400" w:lineRule="exact"/>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规格、型号</w:t>
            </w:r>
          </w:p>
        </w:tc>
        <w:tc>
          <w:tcPr>
            <w:tcW w:w="473" w:type="pct"/>
            <w:tcBorders>
              <w:top w:val="single" w:color="auto" w:sz="4" w:space="0"/>
              <w:left w:val="nil"/>
              <w:bottom w:val="single" w:color="auto" w:sz="4" w:space="0"/>
              <w:right w:val="single" w:color="auto" w:sz="4" w:space="0"/>
            </w:tcBorders>
            <w:shd w:val="clear" w:color="auto" w:fill="auto"/>
            <w:vAlign w:val="center"/>
          </w:tcPr>
          <w:p w14:paraId="79F4A844">
            <w:pPr>
              <w:keepNext w:val="0"/>
              <w:keepLines w:val="0"/>
              <w:suppressLineNumbers w:val="0"/>
              <w:spacing w:before="0" w:beforeAutospacing="0" w:after="0" w:afterAutospacing="0" w:line="400" w:lineRule="exact"/>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单位</w:t>
            </w:r>
          </w:p>
        </w:tc>
        <w:tc>
          <w:tcPr>
            <w:tcW w:w="459" w:type="pct"/>
            <w:tcBorders>
              <w:top w:val="single" w:color="auto" w:sz="4" w:space="0"/>
              <w:left w:val="nil"/>
              <w:bottom w:val="single" w:color="auto" w:sz="4" w:space="0"/>
              <w:right w:val="single" w:color="auto" w:sz="4" w:space="0"/>
            </w:tcBorders>
            <w:shd w:val="clear" w:color="auto" w:fill="auto"/>
            <w:vAlign w:val="center"/>
          </w:tcPr>
          <w:p w14:paraId="482140F2">
            <w:pPr>
              <w:keepNext w:val="0"/>
              <w:keepLines w:val="0"/>
              <w:suppressLineNumbers w:val="0"/>
              <w:spacing w:before="0" w:beforeAutospacing="0" w:after="0" w:afterAutospacing="0" w:line="400" w:lineRule="exact"/>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数量</w:t>
            </w:r>
          </w:p>
        </w:tc>
        <w:tc>
          <w:tcPr>
            <w:tcW w:w="538" w:type="pct"/>
            <w:tcBorders>
              <w:top w:val="single" w:color="auto" w:sz="4" w:space="0"/>
              <w:left w:val="nil"/>
              <w:bottom w:val="single" w:color="auto" w:sz="4" w:space="0"/>
              <w:right w:val="single" w:color="auto" w:sz="4" w:space="0"/>
            </w:tcBorders>
            <w:shd w:val="clear" w:color="auto" w:fill="auto"/>
            <w:vAlign w:val="center"/>
          </w:tcPr>
          <w:p w14:paraId="788EDF08">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不含税综合单价</w:t>
            </w:r>
          </w:p>
          <w:p w14:paraId="6AE971B1">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（元）</w:t>
            </w:r>
          </w:p>
        </w:tc>
        <w:tc>
          <w:tcPr>
            <w:tcW w:w="417" w:type="pct"/>
            <w:tcBorders>
              <w:top w:val="single" w:color="auto" w:sz="4" w:space="0"/>
              <w:left w:val="nil"/>
              <w:bottom w:val="single" w:color="auto" w:sz="4" w:space="0"/>
              <w:right w:val="single" w:color="auto" w:sz="4" w:space="0"/>
            </w:tcBorders>
            <w:shd w:val="clear" w:color="auto" w:fill="auto"/>
            <w:vAlign w:val="center"/>
          </w:tcPr>
          <w:p w14:paraId="3B90A583">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不含税小计（元）</w:t>
            </w:r>
          </w:p>
        </w:tc>
        <w:tc>
          <w:tcPr>
            <w:tcW w:w="337" w:type="pct"/>
            <w:tcBorders>
              <w:top w:val="single" w:color="auto" w:sz="4" w:space="0"/>
              <w:left w:val="nil"/>
              <w:bottom w:val="single" w:color="auto" w:sz="4" w:space="0"/>
              <w:right w:val="single" w:color="auto" w:sz="4" w:space="0"/>
            </w:tcBorders>
            <w:shd w:val="clear" w:color="auto" w:fill="auto"/>
            <w:vAlign w:val="center"/>
          </w:tcPr>
          <w:p w14:paraId="235ACFF7">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b/>
                <w:color w:val="auto"/>
                <w:kern w:val="0"/>
                <w:szCs w:val="21"/>
                <w:highlight w:val="none"/>
              </w:rPr>
            </w:pPr>
            <w:r>
              <w:rPr>
                <w:rFonts w:hint="eastAsia" w:ascii="宋体" w:hAnsi="宋体" w:eastAsia="宋体" w:cs="宋体"/>
                <w:b/>
                <w:color w:val="auto"/>
                <w:kern w:val="0"/>
                <w:szCs w:val="21"/>
                <w:highlight w:val="none"/>
                <w:lang w:bidi="ar"/>
              </w:rPr>
              <w:t>备注</w:t>
            </w:r>
          </w:p>
        </w:tc>
      </w:tr>
      <w:tr w14:paraId="0945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0BD0363E">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1</w:t>
            </w:r>
          </w:p>
        </w:tc>
        <w:tc>
          <w:tcPr>
            <w:tcW w:w="944" w:type="pct"/>
            <w:tcBorders>
              <w:top w:val="single" w:color="auto" w:sz="4" w:space="0"/>
              <w:left w:val="nil"/>
              <w:bottom w:val="single" w:color="auto" w:sz="4" w:space="0"/>
              <w:right w:val="single" w:color="auto" w:sz="4" w:space="0"/>
            </w:tcBorders>
            <w:shd w:val="clear" w:color="auto" w:fill="auto"/>
          </w:tcPr>
          <w:p w14:paraId="61FC34AA">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318" w:type="pct"/>
            <w:tcBorders>
              <w:top w:val="single" w:color="auto" w:sz="4" w:space="0"/>
              <w:left w:val="nil"/>
              <w:bottom w:val="single" w:color="auto" w:sz="4" w:space="0"/>
              <w:right w:val="single" w:color="auto" w:sz="4" w:space="0"/>
            </w:tcBorders>
            <w:shd w:val="clear" w:color="auto" w:fill="auto"/>
            <w:vAlign w:val="center"/>
          </w:tcPr>
          <w:p w14:paraId="5B20E0AD">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527" w:type="pct"/>
            <w:tcBorders>
              <w:top w:val="single" w:color="auto" w:sz="4" w:space="0"/>
              <w:left w:val="nil"/>
              <w:bottom w:val="single" w:color="auto" w:sz="4" w:space="0"/>
              <w:right w:val="single" w:color="auto" w:sz="4" w:space="0"/>
            </w:tcBorders>
            <w:shd w:val="clear" w:color="auto" w:fill="auto"/>
            <w:vAlign w:val="center"/>
          </w:tcPr>
          <w:p w14:paraId="579E7059">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648" w:type="pct"/>
            <w:tcBorders>
              <w:top w:val="single" w:color="auto" w:sz="4" w:space="0"/>
              <w:left w:val="nil"/>
              <w:bottom w:val="single" w:color="auto" w:sz="4" w:space="0"/>
              <w:right w:val="single" w:color="auto" w:sz="4" w:space="0"/>
            </w:tcBorders>
            <w:shd w:val="clear" w:color="auto" w:fill="auto"/>
            <w:vAlign w:val="center"/>
          </w:tcPr>
          <w:p w14:paraId="18B96AC1">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73" w:type="pct"/>
            <w:tcBorders>
              <w:top w:val="single" w:color="auto" w:sz="4" w:space="0"/>
              <w:left w:val="nil"/>
              <w:bottom w:val="single" w:color="auto" w:sz="4" w:space="0"/>
              <w:right w:val="single" w:color="auto" w:sz="4" w:space="0"/>
            </w:tcBorders>
            <w:shd w:val="clear" w:color="auto" w:fill="auto"/>
            <w:vAlign w:val="center"/>
          </w:tcPr>
          <w:p w14:paraId="1A3EA69E">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59" w:type="pct"/>
            <w:tcBorders>
              <w:top w:val="single" w:color="auto" w:sz="4" w:space="0"/>
              <w:left w:val="nil"/>
              <w:bottom w:val="single" w:color="auto" w:sz="4" w:space="0"/>
              <w:right w:val="single" w:color="auto" w:sz="4" w:space="0"/>
            </w:tcBorders>
            <w:shd w:val="clear" w:color="auto" w:fill="auto"/>
            <w:vAlign w:val="center"/>
          </w:tcPr>
          <w:p w14:paraId="3BA61724">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538" w:type="pct"/>
            <w:tcBorders>
              <w:top w:val="single" w:color="auto" w:sz="4" w:space="0"/>
              <w:left w:val="nil"/>
              <w:bottom w:val="single" w:color="auto" w:sz="4" w:space="0"/>
              <w:right w:val="single" w:color="auto" w:sz="4" w:space="0"/>
            </w:tcBorders>
            <w:shd w:val="clear" w:color="auto" w:fill="auto"/>
            <w:vAlign w:val="center"/>
          </w:tcPr>
          <w:p w14:paraId="34127A48">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07DBF17E">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337" w:type="pct"/>
            <w:tcBorders>
              <w:top w:val="single" w:color="auto" w:sz="4" w:space="0"/>
              <w:left w:val="nil"/>
              <w:bottom w:val="single" w:color="auto" w:sz="4" w:space="0"/>
              <w:right w:val="single" w:color="auto" w:sz="4" w:space="0"/>
            </w:tcBorders>
            <w:shd w:val="clear" w:color="auto" w:fill="auto"/>
            <w:vAlign w:val="center"/>
          </w:tcPr>
          <w:p w14:paraId="4F51E074">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r>
      <w:tr w14:paraId="6117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5130B8EF">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bidi="ar"/>
              </w:rPr>
              <w:t>2</w:t>
            </w:r>
          </w:p>
        </w:tc>
        <w:tc>
          <w:tcPr>
            <w:tcW w:w="944" w:type="pct"/>
            <w:tcBorders>
              <w:top w:val="single" w:color="auto" w:sz="4" w:space="0"/>
              <w:left w:val="nil"/>
              <w:bottom w:val="single" w:color="auto" w:sz="4" w:space="0"/>
              <w:right w:val="single" w:color="auto" w:sz="4" w:space="0"/>
            </w:tcBorders>
            <w:shd w:val="clear" w:color="auto" w:fill="auto"/>
          </w:tcPr>
          <w:p w14:paraId="798E5C5D">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318" w:type="pct"/>
            <w:tcBorders>
              <w:top w:val="single" w:color="auto" w:sz="4" w:space="0"/>
              <w:left w:val="nil"/>
              <w:bottom w:val="single" w:color="auto" w:sz="4" w:space="0"/>
              <w:right w:val="single" w:color="auto" w:sz="4" w:space="0"/>
            </w:tcBorders>
            <w:shd w:val="clear" w:color="auto" w:fill="auto"/>
            <w:vAlign w:val="center"/>
          </w:tcPr>
          <w:p w14:paraId="228047FE">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527" w:type="pct"/>
            <w:tcBorders>
              <w:top w:val="single" w:color="auto" w:sz="4" w:space="0"/>
              <w:left w:val="nil"/>
              <w:bottom w:val="single" w:color="auto" w:sz="4" w:space="0"/>
              <w:right w:val="single" w:color="auto" w:sz="4" w:space="0"/>
            </w:tcBorders>
            <w:shd w:val="clear" w:color="auto" w:fill="auto"/>
            <w:vAlign w:val="center"/>
          </w:tcPr>
          <w:p w14:paraId="29ED7B2E">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648" w:type="pct"/>
            <w:tcBorders>
              <w:top w:val="single" w:color="auto" w:sz="4" w:space="0"/>
              <w:left w:val="nil"/>
              <w:bottom w:val="single" w:color="auto" w:sz="4" w:space="0"/>
              <w:right w:val="single" w:color="auto" w:sz="4" w:space="0"/>
            </w:tcBorders>
            <w:shd w:val="clear" w:color="auto" w:fill="auto"/>
            <w:vAlign w:val="center"/>
          </w:tcPr>
          <w:p w14:paraId="71F079BE">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73" w:type="pct"/>
            <w:tcBorders>
              <w:top w:val="single" w:color="auto" w:sz="4" w:space="0"/>
              <w:left w:val="nil"/>
              <w:bottom w:val="single" w:color="auto" w:sz="4" w:space="0"/>
              <w:right w:val="single" w:color="auto" w:sz="4" w:space="0"/>
            </w:tcBorders>
            <w:shd w:val="clear" w:color="auto" w:fill="auto"/>
            <w:vAlign w:val="center"/>
          </w:tcPr>
          <w:p w14:paraId="0717069F">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59" w:type="pct"/>
            <w:tcBorders>
              <w:top w:val="single" w:color="auto" w:sz="4" w:space="0"/>
              <w:left w:val="nil"/>
              <w:bottom w:val="single" w:color="auto" w:sz="4" w:space="0"/>
              <w:right w:val="single" w:color="auto" w:sz="4" w:space="0"/>
            </w:tcBorders>
            <w:shd w:val="clear" w:color="auto" w:fill="auto"/>
            <w:vAlign w:val="center"/>
          </w:tcPr>
          <w:p w14:paraId="53951174">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538" w:type="pct"/>
            <w:tcBorders>
              <w:top w:val="single" w:color="auto" w:sz="4" w:space="0"/>
              <w:left w:val="nil"/>
              <w:bottom w:val="single" w:color="auto" w:sz="4" w:space="0"/>
              <w:right w:val="single" w:color="auto" w:sz="4" w:space="0"/>
            </w:tcBorders>
            <w:shd w:val="clear" w:color="auto" w:fill="auto"/>
            <w:vAlign w:val="center"/>
          </w:tcPr>
          <w:p w14:paraId="30249D6E">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710BAF44">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337" w:type="pct"/>
            <w:tcBorders>
              <w:top w:val="single" w:color="auto" w:sz="4" w:space="0"/>
              <w:left w:val="nil"/>
              <w:bottom w:val="single" w:color="auto" w:sz="4" w:space="0"/>
              <w:right w:val="single" w:color="auto" w:sz="4" w:space="0"/>
            </w:tcBorders>
            <w:shd w:val="clear" w:color="auto" w:fill="auto"/>
            <w:vAlign w:val="center"/>
          </w:tcPr>
          <w:p w14:paraId="1A0D8D60">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r>
      <w:tr w14:paraId="4A64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1373BC4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3</w:t>
            </w:r>
          </w:p>
        </w:tc>
        <w:tc>
          <w:tcPr>
            <w:tcW w:w="944" w:type="pct"/>
            <w:tcBorders>
              <w:top w:val="single" w:color="auto" w:sz="4" w:space="0"/>
              <w:left w:val="nil"/>
              <w:bottom w:val="single" w:color="auto" w:sz="4" w:space="0"/>
              <w:right w:val="single" w:color="auto" w:sz="4" w:space="0"/>
            </w:tcBorders>
            <w:shd w:val="clear" w:color="auto" w:fill="auto"/>
          </w:tcPr>
          <w:p w14:paraId="1C965D4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318" w:type="pct"/>
            <w:tcBorders>
              <w:top w:val="single" w:color="auto" w:sz="4" w:space="0"/>
              <w:left w:val="nil"/>
              <w:bottom w:val="single" w:color="auto" w:sz="4" w:space="0"/>
              <w:right w:val="single" w:color="auto" w:sz="4" w:space="0"/>
            </w:tcBorders>
            <w:shd w:val="clear" w:color="auto" w:fill="auto"/>
            <w:vAlign w:val="center"/>
          </w:tcPr>
          <w:p w14:paraId="32A22491">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527" w:type="pct"/>
            <w:tcBorders>
              <w:top w:val="single" w:color="auto" w:sz="4" w:space="0"/>
              <w:left w:val="nil"/>
              <w:bottom w:val="single" w:color="auto" w:sz="4" w:space="0"/>
              <w:right w:val="single" w:color="auto" w:sz="4" w:space="0"/>
            </w:tcBorders>
            <w:shd w:val="clear" w:color="auto" w:fill="auto"/>
            <w:vAlign w:val="center"/>
          </w:tcPr>
          <w:p w14:paraId="3C5CC0B5">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648" w:type="pct"/>
            <w:tcBorders>
              <w:top w:val="single" w:color="auto" w:sz="4" w:space="0"/>
              <w:left w:val="nil"/>
              <w:bottom w:val="single" w:color="auto" w:sz="4" w:space="0"/>
              <w:right w:val="single" w:color="auto" w:sz="4" w:space="0"/>
            </w:tcBorders>
            <w:shd w:val="clear" w:color="auto" w:fill="auto"/>
            <w:vAlign w:val="center"/>
          </w:tcPr>
          <w:p w14:paraId="1A6211D5">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73" w:type="pct"/>
            <w:tcBorders>
              <w:top w:val="single" w:color="auto" w:sz="4" w:space="0"/>
              <w:left w:val="nil"/>
              <w:bottom w:val="single" w:color="auto" w:sz="4" w:space="0"/>
              <w:right w:val="single" w:color="auto" w:sz="4" w:space="0"/>
            </w:tcBorders>
            <w:shd w:val="clear" w:color="auto" w:fill="auto"/>
            <w:vAlign w:val="center"/>
          </w:tcPr>
          <w:p w14:paraId="3B043F0E">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59" w:type="pct"/>
            <w:tcBorders>
              <w:top w:val="single" w:color="auto" w:sz="4" w:space="0"/>
              <w:left w:val="nil"/>
              <w:bottom w:val="single" w:color="auto" w:sz="4" w:space="0"/>
              <w:right w:val="single" w:color="auto" w:sz="4" w:space="0"/>
            </w:tcBorders>
            <w:shd w:val="clear" w:color="auto" w:fill="auto"/>
            <w:vAlign w:val="center"/>
          </w:tcPr>
          <w:p w14:paraId="3BABC56C">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538" w:type="pct"/>
            <w:tcBorders>
              <w:top w:val="single" w:color="auto" w:sz="4" w:space="0"/>
              <w:left w:val="nil"/>
              <w:bottom w:val="single" w:color="auto" w:sz="4" w:space="0"/>
              <w:right w:val="single" w:color="auto" w:sz="4" w:space="0"/>
            </w:tcBorders>
            <w:shd w:val="clear" w:color="auto" w:fill="auto"/>
            <w:vAlign w:val="center"/>
          </w:tcPr>
          <w:p w14:paraId="0AD51035">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1F46D4C6">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337" w:type="pct"/>
            <w:tcBorders>
              <w:top w:val="single" w:color="auto" w:sz="4" w:space="0"/>
              <w:left w:val="nil"/>
              <w:bottom w:val="single" w:color="auto" w:sz="4" w:space="0"/>
              <w:right w:val="single" w:color="auto" w:sz="4" w:space="0"/>
            </w:tcBorders>
            <w:shd w:val="clear" w:color="auto" w:fill="auto"/>
            <w:vAlign w:val="center"/>
          </w:tcPr>
          <w:p w14:paraId="25326069">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r>
      <w:tr w14:paraId="2C15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6CBFA380">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default" w:ascii="宋体" w:hAnsi="宋体" w:eastAsia="宋体" w:cs="Times New Roman"/>
                <w:color w:val="auto"/>
                <w:kern w:val="0"/>
                <w:szCs w:val="21"/>
                <w:highlight w:val="none"/>
              </w:rPr>
              <w:t>…</w:t>
            </w:r>
          </w:p>
        </w:tc>
        <w:tc>
          <w:tcPr>
            <w:tcW w:w="944" w:type="pct"/>
            <w:tcBorders>
              <w:top w:val="single" w:color="auto" w:sz="4" w:space="0"/>
              <w:left w:val="nil"/>
              <w:bottom w:val="single" w:color="auto" w:sz="4" w:space="0"/>
              <w:right w:val="single" w:color="auto" w:sz="4" w:space="0"/>
            </w:tcBorders>
            <w:shd w:val="clear" w:color="auto" w:fill="auto"/>
          </w:tcPr>
          <w:p w14:paraId="139C15D0">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szCs w:val="21"/>
                <w:highlight w:val="none"/>
              </w:rPr>
            </w:pPr>
          </w:p>
        </w:tc>
        <w:tc>
          <w:tcPr>
            <w:tcW w:w="318" w:type="pct"/>
            <w:tcBorders>
              <w:top w:val="single" w:color="auto" w:sz="4" w:space="0"/>
              <w:left w:val="nil"/>
              <w:bottom w:val="single" w:color="auto" w:sz="4" w:space="0"/>
              <w:right w:val="single" w:color="auto" w:sz="4" w:space="0"/>
            </w:tcBorders>
            <w:shd w:val="clear" w:color="auto" w:fill="auto"/>
            <w:vAlign w:val="center"/>
          </w:tcPr>
          <w:p w14:paraId="739D7880">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527" w:type="pct"/>
            <w:tcBorders>
              <w:top w:val="single" w:color="auto" w:sz="4" w:space="0"/>
              <w:left w:val="nil"/>
              <w:bottom w:val="single" w:color="auto" w:sz="4" w:space="0"/>
              <w:right w:val="single" w:color="auto" w:sz="4" w:space="0"/>
            </w:tcBorders>
            <w:shd w:val="clear" w:color="auto" w:fill="auto"/>
            <w:vAlign w:val="center"/>
          </w:tcPr>
          <w:p w14:paraId="648A8575">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648" w:type="pct"/>
            <w:tcBorders>
              <w:top w:val="single" w:color="auto" w:sz="4" w:space="0"/>
              <w:left w:val="nil"/>
              <w:bottom w:val="single" w:color="auto" w:sz="4" w:space="0"/>
              <w:right w:val="single" w:color="auto" w:sz="4" w:space="0"/>
            </w:tcBorders>
            <w:shd w:val="clear" w:color="auto" w:fill="auto"/>
            <w:vAlign w:val="center"/>
          </w:tcPr>
          <w:p w14:paraId="3C0A0462">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73" w:type="pct"/>
            <w:tcBorders>
              <w:top w:val="single" w:color="auto" w:sz="4" w:space="0"/>
              <w:left w:val="nil"/>
              <w:bottom w:val="single" w:color="auto" w:sz="4" w:space="0"/>
              <w:right w:val="single" w:color="auto" w:sz="4" w:space="0"/>
            </w:tcBorders>
            <w:shd w:val="clear" w:color="auto" w:fill="auto"/>
            <w:vAlign w:val="center"/>
          </w:tcPr>
          <w:p w14:paraId="5CF6433B">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59" w:type="pct"/>
            <w:tcBorders>
              <w:top w:val="single" w:color="auto" w:sz="4" w:space="0"/>
              <w:left w:val="nil"/>
              <w:bottom w:val="single" w:color="auto" w:sz="4" w:space="0"/>
              <w:right w:val="single" w:color="auto" w:sz="4" w:space="0"/>
            </w:tcBorders>
            <w:shd w:val="clear" w:color="auto" w:fill="auto"/>
            <w:vAlign w:val="center"/>
          </w:tcPr>
          <w:p w14:paraId="37481D30">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538" w:type="pct"/>
            <w:tcBorders>
              <w:top w:val="single" w:color="auto" w:sz="4" w:space="0"/>
              <w:left w:val="nil"/>
              <w:bottom w:val="single" w:color="auto" w:sz="4" w:space="0"/>
              <w:right w:val="single" w:color="auto" w:sz="4" w:space="0"/>
            </w:tcBorders>
            <w:shd w:val="clear" w:color="auto" w:fill="auto"/>
            <w:vAlign w:val="center"/>
          </w:tcPr>
          <w:p w14:paraId="5B7360FE">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40638060">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337" w:type="pct"/>
            <w:tcBorders>
              <w:top w:val="single" w:color="auto" w:sz="4" w:space="0"/>
              <w:left w:val="nil"/>
              <w:bottom w:val="single" w:color="auto" w:sz="4" w:space="0"/>
              <w:right w:val="single" w:color="auto" w:sz="4" w:space="0"/>
            </w:tcBorders>
            <w:shd w:val="clear" w:color="auto" w:fill="auto"/>
            <w:vAlign w:val="center"/>
          </w:tcPr>
          <w:p w14:paraId="455C9021">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r>
      <w:tr w14:paraId="5235A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14:paraId="2E56E53A">
            <w:pPr>
              <w:keepNext w:val="0"/>
              <w:keepLines w:val="0"/>
              <w:suppressLineNumbers w:val="0"/>
              <w:spacing w:before="0" w:beforeAutospacing="0" w:after="0" w:afterAutospacing="0" w:line="400" w:lineRule="exact"/>
              <w:ind w:left="0" w:right="0"/>
              <w:jc w:val="center"/>
              <w:rPr>
                <w:rFonts w:hint="default" w:ascii="宋体" w:hAnsi="宋体" w:eastAsia="宋体" w:cs="Times New Roman"/>
                <w:b/>
                <w:bCs/>
                <w:color w:val="auto"/>
                <w:kern w:val="0"/>
                <w:szCs w:val="21"/>
                <w:highlight w:val="none"/>
              </w:rPr>
            </w:pPr>
            <w:r>
              <w:rPr>
                <w:rFonts w:hint="default" w:ascii="宋体" w:hAnsi="宋体" w:eastAsia="宋体" w:cs="Times New Roman"/>
                <w:b/>
                <w:bCs/>
                <w:color w:val="auto"/>
                <w:kern w:val="0"/>
                <w:szCs w:val="21"/>
                <w:highlight w:val="none"/>
              </w:rPr>
              <w:t>设备检测所需仪器仪表</w:t>
            </w:r>
          </w:p>
        </w:tc>
      </w:tr>
      <w:tr w14:paraId="3894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4ADF7678">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p>
        </w:tc>
        <w:tc>
          <w:tcPr>
            <w:tcW w:w="944" w:type="pct"/>
            <w:tcBorders>
              <w:top w:val="single" w:color="auto" w:sz="4" w:space="0"/>
              <w:left w:val="nil"/>
              <w:bottom w:val="single" w:color="auto" w:sz="4" w:space="0"/>
              <w:right w:val="single" w:color="auto" w:sz="4" w:space="0"/>
            </w:tcBorders>
            <w:shd w:val="clear" w:color="auto" w:fill="auto"/>
          </w:tcPr>
          <w:p w14:paraId="218C4FA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szCs w:val="21"/>
                <w:highlight w:val="none"/>
              </w:rPr>
            </w:pPr>
          </w:p>
        </w:tc>
        <w:tc>
          <w:tcPr>
            <w:tcW w:w="318" w:type="pct"/>
            <w:tcBorders>
              <w:top w:val="single" w:color="auto" w:sz="4" w:space="0"/>
              <w:left w:val="nil"/>
              <w:bottom w:val="single" w:color="auto" w:sz="4" w:space="0"/>
              <w:right w:val="single" w:color="auto" w:sz="4" w:space="0"/>
            </w:tcBorders>
            <w:shd w:val="clear" w:color="auto" w:fill="auto"/>
            <w:vAlign w:val="center"/>
          </w:tcPr>
          <w:p w14:paraId="28DE1E31">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527" w:type="pct"/>
            <w:tcBorders>
              <w:top w:val="single" w:color="auto" w:sz="4" w:space="0"/>
              <w:left w:val="nil"/>
              <w:bottom w:val="single" w:color="auto" w:sz="4" w:space="0"/>
              <w:right w:val="single" w:color="auto" w:sz="4" w:space="0"/>
            </w:tcBorders>
            <w:shd w:val="clear" w:color="auto" w:fill="auto"/>
            <w:vAlign w:val="center"/>
          </w:tcPr>
          <w:p w14:paraId="7A6B0CB9">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648" w:type="pct"/>
            <w:tcBorders>
              <w:top w:val="single" w:color="auto" w:sz="4" w:space="0"/>
              <w:left w:val="nil"/>
              <w:bottom w:val="single" w:color="auto" w:sz="4" w:space="0"/>
              <w:right w:val="single" w:color="auto" w:sz="4" w:space="0"/>
            </w:tcBorders>
            <w:shd w:val="clear" w:color="auto" w:fill="auto"/>
            <w:vAlign w:val="center"/>
          </w:tcPr>
          <w:p w14:paraId="743D0C94">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73" w:type="pct"/>
            <w:tcBorders>
              <w:top w:val="single" w:color="auto" w:sz="4" w:space="0"/>
              <w:left w:val="nil"/>
              <w:bottom w:val="single" w:color="auto" w:sz="4" w:space="0"/>
              <w:right w:val="single" w:color="auto" w:sz="4" w:space="0"/>
            </w:tcBorders>
            <w:shd w:val="clear" w:color="auto" w:fill="auto"/>
            <w:vAlign w:val="center"/>
          </w:tcPr>
          <w:p w14:paraId="09BD3680">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59" w:type="pct"/>
            <w:tcBorders>
              <w:top w:val="single" w:color="auto" w:sz="4" w:space="0"/>
              <w:left w:val="nil"/>
              <w:bottom w:val="single" w:color="auto" w:sz="4" w:space="0"/>
              <w:right w:val="single" w:color="auto" w:sz="4" w:space="0"/>
            </w:tcBorders>
            <w:shd w:val="clear" w:color="auto" w:fill="auto"/>
            <w:vAlign w:val="center"/>
          </w:tcPr>
          <w:p w14:paraId="5C6D15E3">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538" w:type="pct"/>
            <w:tcBorders>
              <w:top w:val="single" w:color="auto" w:sz="4" w:space="0"/>
              <w:left w:val="nil"/>
              <w:bottom w:val="single" w:color="auto" w:sz="4" w:space="0"/>
              <w:right w:val="single" w:color="auto" w:sz="4" w:space="0"/>
            </w:tcBorders>
            <w:shd w:val="clear" w:color="auto" w:fill="auto"/>
            <w:vAlign w:val="center"/>
          </w:tcPr>
          <w:p w14:paraId="096C8020">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611744CE">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337" w:type="pct"/>
            <w:tcBorders>
              <w:top w:val="single" w:color="auto" w:sz="4" w:space="0"/>
              <w:left w:val="nil"/>
              <w:bottom w:val="single" w:color="auto" w:sz="4" w:space="0"/>
              <w:right w:val="single" w:color="auto" w:sz="4" w:space="0"/>
            </w:tcBorders>
            <w:shd w:val="clear" w:color="auto" w:fill="auto"/>
            <w:vAlign w:val="center"/>
          </w:tcPr>
          <w:p w14:paraId="6DBFBE17">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r>
      <w:tr w14:paraId="21D8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2B6F6A97">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w:t>
            </w:r>
          </w:p>
        </w:tc>
        <w:tc>
          <w:tcPr>
            <w:tcW w:w="944" w:type="pct"/>
            <w:tcBorders>
              <w:top w:val="single" w:color="auto" w:sz="4" w:space="0"/>
              <w:left w:val="nil"/>
              <w:bottom w:val="single" w:color="auto" w:sz="4" w:space="0"/>
              <w:right w:val="single" w:color="auto" w:sz="4" w:space="0"/>
            </w:tcBorders>
            <w:shd w:val="clear" w:color="auto" w:fill="auto"/>
          </w:tcPr>
          <w:p w14:paraId="60C1C4E2">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szCs w:val="21"/>
                <w:highlight w:val="none"/>
              </w:rPr>
            </w:pPr>
          </w:p>
        </w:tc>
        <w:tc>
          <w:tcPr>
            <w:tcW w:w="318" w:type="pct"/>
            <w:tcBorders>
              <w:top w:val="single" w:color="auto" w:sz="4" w:space="0"/>
              <w:left w:val="nil"/>
              <w:bottom w:val="single" w:color="auto" w:sz="4" w:space="0"/>
              <w:right w:val="single" w:color="auto" w:sz="4" w:space="0"/>
            </w:tcBorders>
            <w:shd w:val="clear" w:color="auto" w:fill="auto"/>
            <w:vAlign w:val="center"/>
          </w:tcPr>
          <w:p w14:paraId="175801A5">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527" w:type="pct"/>
            <w:tcBorders>
              <w:top w:val="single" w:color="auto" w:sz="4" w:space="0"/>
              <w:left w:val="nil"/>
              <w:bottom w:val="single" w:color="auto" w:sz="4" w:space="0"/>
              <w:right w:val="single" w:color="auto" w:sz="4" w:space="0"/>
            </w:tcBorders>
            <w:shd w:val="clear" w:color="auto" w:fill="auto"/>
            <w:vAlign w:val="center"/>
          </w:tcPr>
          <w:p w14:paraId="0FCDF768">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648" w:type="pct"/>
            <w:tcBorders>
              <w:top w:val="single" w:color="auto" w:sz="4" w:space="0"/>
              <w:left w:val="nil"/>
              <w:bottom w:val="single" w:color="auto" w:sz="4" w:space="0"/>
              <w:right w:val="single" w:color="auto" w:sz="4" w:space="0"/>
            </w:tcBorders>
            <w:shd w:val="clear" w:color="auto" w:fill="auto"/>
            <w:vAlign w:val="center"/>
          </w:tcPr>
          <w:p w14:paraId="03F72C97">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73" w:type="pct"/>
            <w:tcBorders>
              <w:top w:val="single" w:color="auto" w:sz="4" w:space="0"/>
              <w:left w:val="nil"/>
              <w:bottom w:val="single" w:color="auto" w:sz="4" w:space="0"/>
              <w:right w:val="single" w:color="auto" w:sz="4" w:space="0"/>
            </w:tcBorders>
            <w:shd w:val="clear" w:color="auto" w:fill="auto"/>
            <w:vAlign w:val="center"/>
          </w:tcPr>
          <w:p w14:paraId="793DF491">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59" w:type="pct"/>
            <w:tcBorders>
              <w:top w:val="single" w:color="auto" w:sz="4" w:space="0"/>
              <w:left w:val="nil"/>
              <w:bottom w:val="single" w:color="auto" w:sz="4" w:space="0"/>
              <w:right w:val="single" w:color="auto" w:sz="4" w:space="0"/>
            </w:tcBorders>
            <w:shd w:val="clear" w:color="auto" w:fill="auto"/>
            <w:vAlign w:val="center"/>
          </w:tcPr>
          <w:p w14:paraId="54771CBF">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538" w:type="pct"/>
            <w:tcBorders>
              <w:top w:val="single" w:color="auto" w:sz="4" w:space="0"/>
              <w:left w:val="nil"/>
              <w:bottom w:val="single" w:color="auto" w:sz="4" w:space="0"/>
              <w:right w:val="single" w:color="auto" w:sz="4" w:space="0"/>
            </w:tcBorders>
            <w:shd w:val="clear" w:color="auto" w:fill="auto"/>
            <w:vAlign w:val="center"/>
          </w:tcPr>
          <w:p w14:paraId="12C82842">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0B573A97">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337" w:type="pct"/>
            <w:tcBorders>
              <w:top w:val="single" w:color="auto" w:sz="4" w:space="0"/>
              <w:left w:val="nil"/>
              <w:bottom w:val="single" w:color="auto" w:sz="4" w:space="0"/>
              <w:right w:val="single" w:color="auto" w:sz="4" w:space="0"/>
            </w:tcBorders>
            <w:shd w:val="clear" w:color="auto" w:fill="auto"/>
            <w:vAlign w:val="center"/>
          </w:tcPr>
          <w:p w14:paraId="74AA0C43">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r>
      <w:tr w14:paraId="50767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45793B9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3</w:t>
            </w:r>
          </w:p>
        </w:tc>
        <w:tc>
          <w:tcPr>
            <w:tcW w:w="944" w:type="pct"/>
            <w:tcBorders>
              <w:top w:val="single" w:color="auto" w:sz="4" w:space="0"/>
              <w:left w:val="nil"/>
              <w:bottom w:val="single" w:color="auto" w:sz="4" w:space="0"/>
              <w:right w:val="single" w:color="auto" w:sz="4" w:space="0"/>
            </w:tcBorders>
            <w:shd w:val="clear" w:color="auto" w:fill="auto"/>
          </w:tcPr>
          <w:p w14:paraId="54EE6AA8">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szCs w:val="21"/>
                <w:highlight w:val="none"/>
              </w:rPr>
            </w:pPr>
          </w:p>
        </w:tc>
        <w:tc>
          <w:tcPr>
            <w:tcW w:w="318" w:type="pct"/>
            <w:tcBorders>
              <w:top w:val="single" w:color="auto" w:sz="4" w:space="0"/>
              <w:left w:val="nil"/>
              <w:bottom w:val="single" w:color="auto" w:sz="4" w:space="0"/>
              <w:right w:val="single" w:color="auto" w:sz="4" w:space="0"/>
            </w:tcBorders>
            <w:shd w:val="clear" w:color="auto" w:fill="auto"/>
            <w:vAlign w:val="center"/>
          </w:tcPr>
          <w:p w14:paraId="770D57F6">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527" w:type="pct"/>
            <w:tcBorders>
              <w:top w:val="single" w:color="auto" w:sz="4" w:space="0"/>
              <w:left w:val="nil"/>
              <w:bottom w:val="single" w:color="auto" w:sz="4" w:space="0"/>
              <w:right w:val="single" w:color="auto" w:sz="4" w:space="0"/>
            </w:tcBorders>
            <w:shd w:val="clear" w:color="auto" w:fill="auto"/>
            <w:vAlign w:val="center"/>
          </w:tcPr>
          <w:p w14:paraId="15CED999">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648" w:type="pct"/>
            <w:tcBorders>
              <w:top w:val="single" w:color="auto" w:sz="4" w:space="0"/>
              <w:left w:val="nil"/>
              <w:bottom w:val="single" w:color="auto" w:sz="4" w:space="0"/>
              <w:right w:val="single" w:color="auto" w:sz="4" w:space="0"/>
            </w:tcBorders>
            <w:shd w:val="clear" w:color="auto" w:fill="auto"/>
            <w:vAlign w:val="center"/>
          </w:tcPr>
          <w:p w14:paraId="56997962">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73" w:type="pct"/>
            <w:tcBorders>
              <w:top w:val="single" w:color="auto" w:sz="4" w:space="0"/>
              <w:left w:val="nil"/>
              <w:bottom w:val="single" w:color="auto" w:sz="4" w:space="0"/>
              <w:right w:val="single" w:color="auto" w:sz="4" w:space="0"/>
            </w:tcBorders>
            <w:shd w:val="clear" w:color="auto" w:fill="auto"/>
            <w:vAlign w:val="center"/>
          </w:tcPr>
          <w:p w14:paraId="6C9A0BAC">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59" w:type="pct"/>
            <w:tcBorders>
              <w:top w:val="single" w:color="auto" w:sz="4" w:space="0"/>
              <w:left w:val="nil"/>
              <w:bottom w:val="single" w:color="auto" w:sz="4" w:space="0"/>
              <w:right w:val="single" w:color="auto" w:sz="4" w:space="0"/>
            </w:tcBorders>
            <w:shd w:val="clear" w:color="auto" w:fill="auto"/>
            <w:vAlign w:val="center"/>
          </w:tcPr>
          <w:p w14:paraId="38B6517B">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538" w:type="pct"/>
            <w:tcBorders>
              <w:top w:val="single" w:color="auto" w:sz="4" w:space="0"/>
              <w:left w:val="nil"/>
              <w:bottom w:val="single" w:color="auto" w:sz="4" w:space="0"/>
              <w:right w:val="single" w:color="auto" w:sz="4" w:space="0"/>
            </w:tcBorders>
            <w:shd w:val="clear" w:color="auto" w:fill="auto"/>
            <w:vAlign w:val="center"/>
          </w:tcPr>
          <w:p w14:paraId="48BE6651">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3B85BB25">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337" w:type="pct"/>
            <w:tcBorders>
              <w:top w:val="single" w:color="auto" w:sz="4" w:space="0"/>
              <w:left w:val="nil"/>
              <w:bottom w:val="single" w:color="auto" w:sz="4" w:space="0"/>
              <w:right w:val="single" w:color="auto" w:sz="4" w:space="0"/>
            </w:tcBorders>
            <w:shd w:val="clear" w:color="auto" w:fill="auto"/>
            <w:vAlign w:val="center"/>
          </w:tcPr>
          <w:p w14:paraId="1F02E6ED">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r>
      <w:tr w14:paraId="1CFB1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7D4D9AB3">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w:t>
            </w:r>
          </w:p>
        </w:tc>
        <w:tc>
          <w:tcPr>
            <w:tcW w:w="944" w:type="pct"/>
            <w:tcBorders>
              <w:top w:val="single" w:color="auto" w:sz="4" w:space="0"/>
              <w:left w:val="nil"/>
              <w:bottom w:val="single" w:color="auto" w:sz="4" w:space="0"/>
              <w:right w:val="single" w:color="auto" w:sz="4" w:space="0"/>
            </w:tcBorders>
            <w:shd w:val="clear" w:color="auto" w:fill="auto"/>
            <w:vAlign w:val="center"/>
          </w:tcPr>
          <w:p w14:paraId="1351DE3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szCs w:val="21"/>
                <w:highlight w:val="none"/>
              </w:rPr>
            </w:pPr>
          </w:p>
        </w:tc>
        <w:tc>
          <w:tcPr>
            <w:tcW w:w="318" w:type="pct"/>
            <w:tcBorders>
              <w:top w:val="single" w:color="auto" w:sz="4" w:space="0"/>
              <w:left w:val="nil"/>
              <w:bottom w:val="single" w:color="auto" w:sz="4" w:space="0"/>
              <w:right w:val="single" w:color="auto" w:sz="4" w:space="0"/>
            </w:tcBorders>
            <w:shd w:val="clear" w:color="auto" w:fill="auto"/>
            <w:vAlign w:val="center"/>
          </w:tcPr>
          <w:p w14:paraId="4261C13D">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527" w:type="pct"/>
            <w:tcBorders>
              <w:top w:val="single" w:color="auto" w:sz="4" w:space="0"/>
              <w:left w:val="nil"/>
              <w:bottom w:val="single" w:color="auto" w:sz="4" w:space="0"/>
              <w:right w:val="single" w:color="auto" w:sz="4" w:space="0"/>
            </w:tcBorders>
            <w:shd w:val="clear" w:color="auto" w:fill="auto"/>
            <w:vAlign w:val="center"/>
          </w:tcPr>
          <w:p w14:paraId="623340B1">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648" w:type="pct"/>
            <w:tcBorders>
              <w:top w:val="single" w:color="auto" w:sz="4" w:space="0"/>
              <w:left w:val="nil"/>
              <w:bottom w:val="single" w:color="auto" w:sz="4" w:space="0"/>
              <w:right w:val="single" w:color="auto" w:sz="4" w:space="0"/>
            </w:tcBorders>
            <w:shd w:val="clear" w:color="auto" w:fill="auto"/>
            <w:vAlign w:val="center"/>
          </w:tcPr>
          <w:p w14:paraId="6565BE4A">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73" w:type="pct"/>
            <w:tcBorders>
              <w:top w:val="single" w:color="auto" w:sz="4" w:space="0"/>
              <w:left w:val="nil"/>
              <w:bottom w:val="single" w:color="auto" w:sz="4" w:space="0"/>
              <w:right w:val="single" w:color="auto" w:sz="4" w:space="0"/>
            </w:tcBorders>
            <w:shd w:val="clear" w:color="auto" w:fill="auto"/>
            <w:vAlign w:val="center"/>
          </w:tcPr>
          <w:p w14:paraId="739ED055">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szCs w:val="21"/>
                <w:highlight w:val="none"/>
              </w:rPr>
            </w:pPr>
          </w:p>
        </w:tc>
        <w:tc>
          <w:tcPr>
            <w:tcW w:w="459" w:type="pct"/>
            <w:tcBorders>
              <w:top w:val="single" w:color="auto" w:sz="4" w:space="0"/>
              <w:left w:val="nil"/>
              <w:bottom w:val="single" w:color="auto" w:sz="4" w:space="0"/>
              <w:right w:val="single" w:color="auto" w:sz="4" w:space="0"/>
            </w:tcBorders>
            <w:shd w:val="clear" w:color="auto" w:fill="auto"/>
            <w:vAlign w:val="center"/>
          </w:tcPr>
          <w:p w14:paraId="532447AA">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538" w:type="pct"/>
            <w:tcBorders>
              <w:top w:val="single" w:color="auto" w:sz="4" w:space="0"/>
              <w:left w:val="nil"/>
              <w:bottom w:val="single" w:color="auto" w:sz="4" w:space="0"/>
              <w:right w:val="single" w:color="auto" w:sz="4" w:space="0"/>
            </w:tcBorders>
            <w:shd w:val="clear" w:color="auto" w:fill="auto"/>
            <w:vAlign w:val="center"/>
          </w:tcPr>
          <w:p w14:paraId="4DB4ED18">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5FCBB75E">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c>
          <w:tcPr>
            <w:tcW w:w="337" w:type="pct"/>
            <w:tcBorders>
              <w:top w:val="single" w:color="auto" w:sz="4" w:space="0"/>
              <w:left w:val="nil"/>
              <w:bottom w:val="single" w:color="auto" w:sz="4" w:space="0"/>
              <w:right w:val="single" w:color="auto" w:sz="4" w:space="0"/>
            </w:tcBorders>
            <w:shd w:val="clear" w:color="auto" w:fill="auto"/>
            <w:vAlign w:val="center"/>
          </w:tcPr>
          <w:p w14:paraId="18479200">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p>
        </w:tc>
      </w:tr>
    </w:tbl>
    <w:p w14:paraId="70DCC849">
      <w:pPr>
        <w:autoSpaceDE w:val="0"/>
        <w:autoSpaceDN w:val="0"/>
        <w:adjustRightInd w:val="0"/>
        <w:spacing w:line="36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bidi="ar"/>
        </w:rPr>
        <w:t>备注：</w:t>
      </w:r>
    </w:p>
    <w:p w14:paraId="013671A9">
      <w:pPr>
        <w:autoSpaceDE w:val="0"/>
        <w:autoSpaceDN w:val="0"/>
        <w:adjustRightInd w:val="0"/>
        <w:snapToGrid w:val="0"/>
        <w:spacing w:line="360" w:lineRule="auto"/>
        <w:ind w:left="605" w:leftChars="18" w:hanging="567" w:hangingChars="270"/>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（1）该明细表不参与价格评审，不计入投标报价。</w:t>
      </w:r>
    </w:p>
    <w:p w14:paraId="43FD2C0A">
      <w:pPr>
        <w:tabs>
          <w:tab w:val="left" w:pos="567"/>
        </w:tabs>
        <w:autoSpaceDE w:val="0"/>
        <w:autoSpaceDN w:val="0"/>
        <w:adjustRightInd w:val="0"/>
        <w:spacing w:line="360" w:lineRule="auto"/>
        <w:ind w:left="496" w:hanging="495" w:hangingChars="236"/>
        <w:jc w:val="left"/>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（2）投标人应根据招标范围内分项内容的数量扩展报价表；如内容较多，投标人可将每一分项内容单独列表，未提供附表的部分格式不限。</w:t>
      </w:r>
    </w:p>
    <w:p w14:paraId="0A840C2C">
      <w:pPr>
        <w:autoSpaceDE w:val="0"/>
        <w:autoSpaceDN w:val="0"/>
        <w:adjustRightInd w:val="0"/>
        <w:snapToGrid w:val="0"/>
        <w:spacing w:line="360" w:lineRule="auto"/>
        <w:ind w:left="605" w:leftChars="18" w:hanging="567" w:hangingChars="270"/>
        <w:jc w:val="left"/>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w:t>
      </w:r>
      <w:r>
        <w:rPr>
          <w:rFonts w:hint="eastAsia" w:ascii="宋体" w:hAnsi="宋体" w:eastAsia="宋体" w:cs="宋体"/>
          <w:color w:val="auto"/>
          <w:kern w:val="0"/>
          <w:szCs w:val="21"/>
          <w:highlight w:val="none"/>
          <w:lang w:val="en-US" w:eastAsia="zh-CN" w:bidi="ar"/>
        </w:rPr>
        <w:t>3</w:t>
      </w:r>
      <w:r>
        <w:rPr>
          <w:rFonts w:hint="eastAsia" w:ascii="宋体" w:hAnsi="宋体" w:eastAsia="宋体" w:cs="宋体"/>
          <w:color w:val="auto"/>
          <w:kern w:val="0"/>
          <w:szCs w:val="21"/>
          <w:highlight w:val="none"/>
          <w:lang w:bidi="ar"/>
        </w:rPr>
        <w:t>）报价保留小数点后两位。</w:t>
      </w:r>
    </w:p>
    <w:p w14:paraId="6D70BD49">
      <w:pPr>
        <w:autoSpaceDE w:val="0"/>
        <w:autoSpaceDN w:val="0"/>
        <w:adjustRightInd w:val="0"/>
        <w:snapToGrid w:val="0"/>
        <w:spacing w:line="360" w:lineRule="auto"/>
        <w:ind w:left="605" w:leftChars="18" w:hanging="567" w:hangingChars="270"/>
        <w:jc w:val="left"/>
        <w:rPr>
          <w:rFonts w:ascii="宋体" w:hAnsi="宋体" w:eastAsia="宋体" w:cs="Times New Roman"/>
          <w:b/>
          <w:bCs/>
          <w:color w:val="auto"/>
          <w:kern w:val="0"/>
          <w:szCs w:val="21"/>
          <w:highlight w:val="none"/>
        </w:rPr>
      </w:pPr>
      <w:r>
        <w:rPr>
          <w:rFonts w:hint="eastAsia" w:ascii="宋体" w:hAnsi="宋体" w:eastAsia="宋体" w:cs="宋体"/>
          <w:color w:val="auto"/>
          <w:kern w:val="0"/>
          <w:szCs w:val="21"/>
          <w:highlight w:val="none"/>
          <w:lang w:bidi="ar"/>
        </w:rPr>
        <w:t>（</w:t>
      </w:r>
      <w:r>
        <w:rPr>
          <w:rFonts w:hint="eastAsia" w:ascii="宋体" w:hAnsi="宋体" w:eastAsia="宋体" w:cs="宋体"/>
          <w:color w:val="auto"/>
          <w:kern w:val="0"/>
          <w:szCs w:val="21"/>
          <w:highlight w:val="none"/>
          <w:lang w:val="en-US" w:eastAsia="zh-CN" w:bidi="ar"/>
        </w:rPr>
        <w:t>4</w:t>
      </w:r>
      <w:r>
        <w:rPr>
          <w:rFonts w:hint="eastAsia" w:ascii="宋体" w:hAnsi="宋体" w:eastAsia="宋体" w:cs="宋体"/>
          <w:color w:val="auto"/>
          <w:kern w:val="0"/>
          <w:szCs w:val="21"/>
          <w:highlight w:val="none"/>
          <w:lang w:bidi="ar"/>
        </w:rPr>
        <w:t>）</w:t>
      </w:r>
      <w:r>
        <w:rPr>
          <w:rFonts w:hint="eastAsia" w:ascii="宋体" w:hAnsi="宋体" w:eastAsia="宋体" w:cs="宋体"/>
          <w:b/>
          <w:bCs/>
          <w:color w:val="auto"/>
          <w:kern w:val="0"/>
          <w:szCs w:val="21"/>
          <w:highlight w:val="none"/>
          <w:lang w:bidi="ar"/>
        </w:rPr>
        <w:t>由投标人使用投标人的企业数字证书，法定代表人或其授权代表数字证书电子签名。</w:t>
      </w:r>
    </w:p>
    <w:p w14:paraId="07BC0642">
      <w:pPr>
        <w:autoSpaceDE w:val="0"/>
        <w:autoSpaceDN w:val="0"/>
        <w:adjustRightInd w:val="0"/>
        <w:spacing w:line="360" w:lineRule="auto"/>
        <w:ind w:firstLine="4960" w:firstLineChars="2362"/>
        <w:rPr>
          <w:rFonts w:ascii="宋体" w:hAnsi="宋体" w:eastAsia="宋体" w:cs="宋体"/>
          <w:color w:val="auto"/>
          <w:szCs w:val="21"/>
          <w:highlight w:val="none"/>
          <w:lang w:bidi="ar"/>
        </w:rPr>
      </w:pPr>
    </w:p>
    <w:p w14:paraId="2F946758">
      <w:pPr>
        <w:autoSpaceDE w:val="0"/>
        <w:autoSpaceDN w:val="0"/>
        <w:adjustRightInd w:val="0"/>
        <w:spacing w:line="360" w:lineRule="auto"/>
        <w:ind w:firstLine="4960" w:firstLineChars="2362"/>
        <w:rPr>
          <w:rFonts w:ascii="宋体" w:hAnsi="宋体" w:eastAsia="宋体" w:cs="宋体"/>
          <w:color w:val="auto"/>
          <w:szCs w:val="21"/>
          <w:highlight w:val="none"/>
        </w:rPr>
      </w:pPr>
      <w:r>
        <w:rPr>
          <w:rFonts w:hint="eastAsia" w:ascii="宋体" w:hAnsi="宋体" w:eastAsia="宋体" w:cs="宋体"/>
          <w:color w:val="auto"/>
          <w:szCs w:val="21"/>
          <w:highlight w:val="none"/>
          <w:lang w:bidi="ar"/>
        </w:rPr>
        <w:t>投标人：</w:t>
      </w:r>
      <w:r>
        <w:rPr>
          <w:rFonts w:hint="eastAsia" w:ascii="宋体" w:hAnsi="宋体" w:eastAsia="宋体" w:cs="宋体"/>
          <w:color w:val="auto"/>
          <w:szCs w:val="21"/>
          <w:highlight w:val="none"/>
          <w:u w:val="single"/>
          <w:lang w:bidi="ar"/>
        </w:rPr>
        <w:t xml:space="preserve">             （企业数字证书电子签名）</w:t>
      </w:r>
    </w:p>
    <w:p w14:paraId="54FB8693">
      <w:pPr>
        <w:autoSpaceDE w:val="0"/>
        <w:autoSpaceDN w:val="0"/>
        <w:adjustRightInd w:val="0"/>
        <w:spacing w:line="360" w:lineRule="auto"/>
        <w:ind w:firstLine="4960" w:firstLineChars="2362"/>
        <w:rPr>
          <w:rFonts w:ascii="宋体" w:hAnsi="宋体" w:eastAsia="宋体" w:cs="宋体"/>
          <w:color w:val="auto"/>
          <w:szCs w:val="21"/>
          <w:highlight w:val="none"/>
        </w:rPr>
      </w:pPr>
      <w:r>
        <w:rPr>
          <w:rFonts w:hint="eastAsia" w:ascii="宋体" w:hAnsi="宋体" w:eastAsia="宋体" w:cs="宋体"/>
          <w:color w:val="auto"/>
          <w:szCs w:val="21"/>
          <w:highlight w:val="none"/>
          <w:lang w:bidi="ar"/>
        </w:rPr>
        <w:t>法定代表人或其授权代表签名：</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（电子签名）</w:t>
      </w:r>
    </w:p>
    <w:p w14:paraId="3D5A3761">
      <w:pPr>
        <w:autoSpaceDE w:val="0"/>
        <w:autoSpaceDN w:val="0"/>
        <w:adjustRightInd w:val="0"/>
        <w:spacing w:line="360" w:lineRule="auto"/>
        <w:ind w:firstLine="4960" w:firstLineChars="2362"/>
        <w:rPr>
          <w:rFonts w:ascii="宋体" w:hAnsi="宋体" w:eastAsia="宋体" w:cs="Times New Roman"/>
          <w:color w:val="auto"/>
          <w:sz w:val="24"/>
          <w:szCs w:val="24"/>
          <w:highlight w:val="none"/>
          <w:lang w:val="zh-CN"/>
        </w:rPr>
      </w:pPr>
      <w:r>
        <w:rPr>
          <w:rFonts w:hint="eastAsia" w:ascii="宋体" w:hAnsi="宋体" w:eastAsia="宋体" w:cs="宋体"/>
          <w:color w:val="auto"/>
          <w:szCs w:val="21"/>
          <w:highlight w:val="none"/>
          <w:lang w:bidi="ar"/>
        </w:rPr>
        <w:t>日期：</w:t>
      </w:r>
      <w:r>
        <w:rPr>
          <w:rFonts w:hint="eastAsia" w:ascii="宋体" w:hAnsi="宋体" w:eastAsia="宋体" w:cs="Times New Roman"/>
          <w:color w:val="auto"/>
          <w:szCs w:val="21"/>
          <w:highlight w:val="none"/>
          <w:lang w:bidi="ar"/>
        </w:rPr>
        <w:t xml:space="preserve">   </w:t>
      </w:r>
      <w:r>
        <w:rPr>
          <w:rFonts w:hint="eastAsia" w:ascii="宋体" w:hAnsi="宋体" w:eastAsia="宋体" w:cs="宋体"/>
          <w:color w:val="auto"/>
          <w:szCs w:val="21"/>
          <w:highlight w:val="none"/>
          <w:lang w:bidi="ar"/>
        </w:rPr>
        <w:t>年</w:t>
      </w:r>
      <w:r>
        <w:rPr>
          <w:rFonts w:hint="eastAsia" w:ascii="宋体" w:hAnsi="宋体" w:eastAsia="宋体" w:cs="Times New Roman"/>
          <w:color w:val="auto"/>
          <w:szCs w:val="21"/>
          <w:highlight w:val="none"/>
          <w:lang w:bidi="ar"/>
        </w:rPr>
        <w:t xml:space="preserve">   </w:t>
      </w:r>
      <w:r>
        <w:rPr>
          <w:rFonts w:hint="eastAsia" w:ascii="宋体" w:hAnsi="宋体" w:eastAsia="宋体" w:cs="宋体"/>
          <w:color w:val="auto"/>
          <w:szCs w:val="21"/>
          <w:highlight w:val="none"/>
          <w:lang w:bidi="ar"/>
        </w:rPr>
        <w:t>月</w:t>
      </w:r>
      <w:r>
        <w:rPr>
          <w:rFonts w:hint="eastAsia" w:ascii="宋体" w:hAnsi="宋体" w:eastAsia="宋体" w:cs="Times New Roman"/>
          <w:color w:val="auto"/>
          <w:szCs w:val="21"/>
          <w:highlight w:val="none"/>
          <w:lang w:bidi="ar"/>
        </w:rPr>
        <w:t xml:space="preserve">   </w:t>
      </w:r>
      <w:r>
        <w:rPr>
          <w:rFonts w:hint="eastAsia" w:ascii="宋体" w:hAnsi="宋体" w:eastAsia="宋体" w:cs="宋体"/>
          <w:color w:val="auto"/>
          <w:szCs w:val="21"/>
          <w:highlight w:val="none"/>
          <w:lang w:bidi="ar"/>
        </w:rPr>
        <w:t>日</w:t>
      </w:r>
    </w:p>
    <w:p w14:paraId="2A79CA1B">
      <w:pPr>
        <w:tabs>
          <w:tab w:val="left" w:pos="567"/>
        </w:tabs>
        <w:autoSpaceDE w:val="0"/>
        <w:autoSpaceDN w:val="0"/>
        <w:adjustRightInd w:val="0"/>
        <w:spacing w:line="360" w:lineRule="auto"/>
        <w:jc w:val="left"/>
        <w:outlineLvl w:val="2"/>
        <w:rPr>
          <w:rFonts w:ascii="宋体" w:hAnsi="宋体" w:eastAsia="宋体" w:cs="宋体"/>
          <w:b/>
          <w:color w:val="auto"/>
          <w:kern w:val="0"/>
          <w:sz w:val="32"/>
          <w:szCs w:val="32"/>
          <w:highlight w:val="none"/>
        </w:rPr>
      </w:pPr>
      <w:r>
        <w:rPr>
          <w:rFonts w:ascii="宋体" w:hAnsi="宋体" w:eastAsia="宋体" w:cs="Times New Roman"/>
          <w:color w:val="auto"/>
          <w:szCs w:val="24"/>
          <w:highlight w:val="none"/>
          <w:lang w:val="zh-CN"/>
        </w:rPr>
        <w:br w:type="page"/>
      </w:r>
      <w:bookmarkStart w:id="810" w:name="_Toc23083"/>
      <w:bookmarkStart w:id="811" w:name="_Toc102860418"/>
      <w:bookmarkStart w:id="812" w:name="_Toc1977725"/>
      <w:bookmarkStart w:id="813" w:name="_Toc104991875"/>
      <w:bookmarkStart w:id="814" w:name="_Toc195714382"/>
      <w:bookmarkStart w:id="815" w:name="_Toc142508369"/>
      <w:bookmarkStart w:id="816" w:name="_Toc102860074"/>
      <w:bookmarkStart w:id="817" w:name="_Toc25034"/>
      <w:bookmarkStart w:id="818" w:name="_Toc94107209"/>
      <w:bookmarkStart w:id="819" w:name="_Toc6190"/>
      <w:bookmarkStart w:id="820" w:name="_Toc140596928"/>
      <w:bookmarkStart w:id="821" w:name="_Toc26516"/>
      <w:bookmarkStart w:id="822" w:name="_Toc20759_WPSOffice_Level2"/>
      <w:bookmarkStart w:id="823" w:name="_Toc486167712"/>
      <w:bookmarkStart w:id="824" w:name="_Toc533708124"/>
      <w:r>
        <w:rPr>
          <w:rFonts w:hint="eastAsia" w:ascii="宋体" w:hAnsi="宋体" w:eastAsia="宋体" w:cs="宋体"/>
          <w:b/>
          <w:bCs/>
          <w:color w:val="auto"/>
          <w:sz w:val="30"/>
          <w:szCs w:val="30"/>
          <w:highlight w:val="none"/>
        </w:rPr>
        <w:t>五</w:t>
      </w:r>
      <w:r>
        <w:rPr>
          <w:rFonts w:hint="eastAsia" w:ascii="宋体" w:hAnsi="宋体" w:eastAsia="宋体" w:cs="宋体"/>
          <w:b/>
          <w:color w:val="auto"/>
          <w:kern w:val="0"/>
          <w:sz w:val="32"/>
          <w:szCs w:val="32"/>
          <w:highlight w:val="none"/>
        </w:rPr>
        <w:t>、投标人资格证明文件</w:t>
      </w:r>
      <w:bookmarkEnd w:id="810"/>
      <w:bookmarkEnd w:id="811"/>
      <w:bookmarkEnd w:id="812"/>
      <w:bookmarkEnd w:id="813"/>
      <w:bookmarkEnd w:id="814"/>
      <w:bookmarkEnd w:id="815"/>
      <w:bookmarkEnd w:id="816"/>
      <w:bookmarkEnd w:id="817"/>
      <w:bookmarkEnd w:id="818"/>
      <w:bookmarkEnd w:id="819"/>
      <w:bookmarkEnd w:id="820"/>
      <w:bookmarkEnd w:id="821"/>
    </w:p>
    <w:p w14:paraId="780CD327">
      <w:pPr>
        <w:tabs>
          <w:tab w:val="left" w:pos="567"/>
        </w:tabs>
        <w:autoSpaceDE w:val="0"/>
        <w:autoSpaceDN w:val="0"/>
        <w:adjustRightInd w:val="0"/>
        <w:spacing w:line="360" w:lineRule="auto"/>
        <w:jc w:val="left"/>
        <w:outlineLvl w:val="2"/>
        <w:rPr>
          <w:rFonts w:ascii="宋体" w:hAnsi="宋体" w:eastAsia="宋体" w:cs="宋体"/>
          <w:b/>
          <w:color w:val="auto"/>
          <w:kern w:val="0"/>
          <w:sz w:val="30"/>
          <w:szCs w:val="30"/>
          <w:highlight w:val="none"/>
        </w:rPr>
      </w:pPr>
      <w:bookmarkStart w:id="825" w:name="_Toc29874"/>
      <w:bookmarkStart w:id="826" w:name="_Toc140596929"/>
      <w:bookmarkStart w:id="827" w:name="_Toc94107210"/>
      <w:bookmarkStart w:id="828" w:name="_Toc104991876"/>
      <w:bookmarkStart w:id="829" w:name="_Toc195714383"/>
      <w:bookmarkStart w:id="830" w:name="_Toc17358"/>
      <w:bookmarkStart w:id="831" w:name="_Toc102860075"/>
      <w:bookmarkStart w:id="832" w:name="_Toc142508370"/>
      <w:bookmarkStart w:id="833" w:name="_Toc102860419"/>
      <w:bookmarkStart w:id="834" w:name="_Toc25267"/>
      <w:bookmarkStart w:id="835" w:name="_Toc5002"/>
      <w:bookmarkStart w:id="836" w:name="_Toc1977726"/>
      <w:r>
        <w:rPr>
          <w:rFonts w:hint="eastAsia" w:ascii="宋体" w:hAnsi="宋体" w:eastAsia="宋体" w:cs="宋体"/>
          <w:b/>
          <w:color w:val="auto"/>
          <w:kern w:val="0"/>
          <w:sz w:val="30"/>
          <w:szCs w:val="30"/>
          <w:highlight w:val="none"/>
        </w:rPr>
        <w:t>5.1 多证合一营业执照（或事业单位法人证书）原件扫描件</w:t>
      </w:r>
      <w:bookmarkEnd w:id="825"/>
      <w:bookmarkEnd w:id="826"/>
      <w:bookmarkEnd w:id="827"/>
      <w:bookmarkEnd w:id="828"/>
      <w:bookmarkEnd w:id="829"/>
      <w:bookmarkEnd w:id="830"/>
      <w:bookmarkEnd w:id="831"/>
      <w:bookmarkEnd w:id="832"/>
      <w:bookmarkEnd w:id="833"/>
      <w:bookmarkEnd w:id="834"/>
      <w:bookmarkEnd w:id="835"/>
    </w:p>
    <w:p w14:paraId="09DE9DA2">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42C768A5">
      <w:pPr>
        <w:tabs>
          <w:tab w:val="left" w:pos="567"/>
        </w:tabs>
        <w:autoSpaceDE w:val="0"/>
        <w:autoSpaceDN w:val="0"/>
        <w:adjustRightInd w:val="0"/>
        <w:spacing w:line="360" w:lineRule="auto"/>
        <w:ind w:firstLine="316" w:firstLineChars="150"/>
        <w:jc w:val="left"/>
        <w:outlineLvl w:val="2"/>
        <w:rPr>
          <w:rFonts w:ascii="宋体" w:hAnsi="宋体" w:eastAsia="宋体" w:cs="宋体"/>
          <w:b/>
          <w:color w:val="auto"/>
          <w:kern w:val="0"/>
          <w:szCs w:val="21"/>
          <w:highlight w:val="none"/>
        </w:rPr>
        <w:sectPr>
          <w:pgSz w:w="12240" w:h="15840"/>
          <w:pgMar w:top="1191" w:right="1043" w:bottom="1191" w:left="1043" w:header="720" w:footer="720" w:gutter="0"/>
          <w:cols w:space="720" w:num="1"/>
          <w:titlePg/>
          <w:docGrid w:linePitch="326" w:charSpace="0"/>
        </w:sectPr>
      </w:pPr>
    </w:p>
    <w:p w14:paraId="64CBBF38">
      <w:pPr>
        <w:tabs>
          <w:tab w:val="left" w:pos="567"/>
        </w:tabs>
        <w:autoSpaceDE w:val="0"/>
        <w:autoSpaceDN w:val="0"/>
        <w:adjustRightInd w:val="0"/>
        <w:spacing w:line="360" w:lineRule="auto"/>
        <w:jc w:val="left"/>
        <w:outlineLvl w:val="2"/>
        <w:rPr>
          <w:rFonts w:ascii="宋体" w:hAnsi="宋体" w:eastAsia="宋体" w:cs="宋体"/>
          <w:b/>
          <w:color w:val="auto"/>
          <w:kern w:val="0"/>
          <w:sz w:val="30"/>
          <w:szCs w:val="30"/>
          <w:highlight w:val="none"/>
        </w:rPr>
      </w:pPr>
      <w:bookmarkStart w:id="837" w:name="_Toc18165"/>
      <w:bookmarkStart w:id="838" w:name="_Toc104991877"/>
      <w:bookmarkStart w:id="839" w:name="_Toc140596930"/>
      <w:bookmarkStart w:id="840" w:name="_Toc27861"/>
      <w:bookmarkStart w:id="841" w:name="_Toc7756"/>
      <w:bookmarkStart w:id="842" w:name="_Toc102860076"/>
      <w:bookmarkStart w:id="843" w:name="_Toc25013"/>
      <w:bookmarkStart w:id="844" w:name="_Toc94107211"/>
      <w:bookmarkStart w:id="845" w:name="_Toc102860420"/>
      <w:bookmarkStart w:id="846" w:name="_Toc195714384"/>
      <w:bookmarkStart w:id="847" w:name="_Toc142508371"/>
      <w:r>
        <w:rPr>
          <w:rFonts w:hint="eastAsia" w:ascii="宋体" w:hAnsi="宋体" w:eastAsia="宋体" w:cs="宋体"/>
          <w:b/>
          <w:color w:val="auto"/>
          <w:kern w:val="0"/>
          <w:sz w:val="30"/>
          <w:szCs w:val="30"/>
          <w:highlight w:val="none"/>
        </w:rPr>
        <w:t>5.2 开户许可证原件扫描件（基本存款账户），如投标人企业银行账户开户所在地区已取消企业银行账户许可，投标人应提供基本存款账户开户名称、开户银行、账号、编号等信息及相关备案证明（如有）或其他能证明其为基本存款账户的资料原件扫描件</w:t>
      </w:r>
      <w:bookmarkEnd w:id="837"/>
      <w:bookmarkEnd w:id="838"/>
      <w:bookmarkEnd w:id="839"/>
      <w:bookmarkEnd w:id="840"/>
      <w:bookmarkEnd w:id="841"/>
      <w:bookmarkEnd w:id="842"/>
      <w:bookmarkEnd w:id="843"/>
      <w:bookmarkEnd w:id="844"/>
      <w:bookmarkEnd w:id="845"/>
      <w:bookmarkEnd w:id="846"/>
      <w:bookmarkEnd w:id="847"/>
    </w:p>
    <w:p w14:paraId="6004BFC4">
      <w:pPr>
        <w:tabs>
          <w:tab w:val="left" w:pos="567"/>
        </w:tabs>
        <w:autoSpaceDE w:val="0"/>
        <w:autoSpaceDN w:val="0"/>
        <w:adjustRightInd w:val="0"/>
        <w:spacing w:line="360" w:lineRule="auto"/>
        <w:jc w:val="left"/>
        <w:outlineLvl w:val="2"/>
        <w:rPr>
          <w:rFonts w:ascii="宋体" w:hAnsi="宋体" w:eastAsia="宋体" w:cs="宋体"/>
          <w:b/>
          <w:color w:val="auto"/>
          <w:kern w:val="0"/>
          <w:szCs w:val="21"/>
          <w:highlight w:val="none"/>
        </w:rPr>
      </w:pPr>
      <w:r>
        <w:rPr>
          <w:rFonts w:ascii="宋体" w:hAnsi="宋体" w:eastAsia="宋体" w:cs="宋体"/>
          <w:b/>
          <w:color w:val="auto"/>
          <w:kern w:val="0"/>
          <w:sz w:val="30"/>
          <w:szCs w:val="30"/>
          <w:highlight w:val="none"/>
        </w:rPr>
        <w:br w:type="page"/>
      </w:r>
      <w:bookmarkStart w:id="848" w:name="_Toc102860421"/>
      <w:bookmarkStart w:id="849" w:name="_Toc9132"/>
      <w:bookmarkStart w:id="850" w:name="_Toc102860077"/>
      <w:bookmarkStart w:id="851" w:name="_Toc142508372"/>
      <w:bookmarkStart w:id="852" w:name="_Toc140596931"/>
      <w:bookmarkStart w:id="853" w:name="_Toc2018"/>
      <w:bookmarkStart w:id="854" w:name="_Toc17499"/>
      <w:bookmarkStart w:id="855" w:name="_Toc195714385"/>
      <w:bookmarkStart w:id="856" w:name="_Toc94107212"/>
      <w:bookmarkStart w:id="857" w:name="_Toc104991878"/>
      <w:bookmarkStart w:id="858" w:name="_Toc7441"/>
      <w:r>
        <w:rPr>
          <w:rFonts w:hint="eastAsia" w:ascii="宋体" w:hAnsi="宋体" w:eastAsia="宋体" w:cs="宋体"/>
          <w:b/>
          <w:color w:val="auto"/>
          <w:kern w:val="0"/>
          <w:sz w:val="30"/>
          <w:szCs w:val="30"/>
          <w:highlight w:val="none"/>
        </w:rPr>
        <w:t>5.3</w:t>
      </w:r>
      <w:r>
        <w:rPr>
          <w:rFonts w:ascii="宋体" w:hAnsi="宋体" w:eastAsia="宋体" w:cs="宋体"/>
          <w:b/>
          <w:color w:val="auto"/>
          <w:kern w:val="0"/>
          <w:sz w:val="30"/>
          <w:szCs w:val="30"/>
          <w:highlight w:val="none"/>
        </w:rPr>
        <w:t xml:space="preserve"> </w:t>
      </w:r>
      <w:r>
        <w:rPr>
          <w:rFonts w:hint="eastAsia" w:ascii="宋体" w:hAnsi="宋体" w:eastAsia="宋体" w:cs="宋体"/>
          <w:b/>
          <w:color w:val="auto"/>
          <w:kern w:val="0"/>
          <w:sz w:val="30"/>
          <w:szCs w:val="30"/>
          <w:highlight w:val="none"/>
        </w:rPr>
        <w:t>法定代表人身份证明书、法定代表人授权书格式（法定代表人投标时只需提供法定代表人身份证明书，委托他人为投标代表或签署投标文件时需同时提供法定代表人授权书）</w:t>
      </w:r>
      <w:bookmarkEnd w:id="848"/>
      <w:bookmarkEnd w:id="849"/>
      <w:bookmarkEnd w:id="850"/>
      <w:bookmarkEnd w:id="851"/>
      <w:bookmarkEnd w:id="852"/>
      <w:bookmarkEnd w:id="853"/>
      <w:bookmarkEnd w:id="854"/>
      <w:bookmarkEnd w:id="855"/>
      <w:bookmarkEnd w:id="856"/>
      <w:bookmarkEnd w:id="857"/>
      <w:bookmarkEnd w:id="858"/>
    </w:p>
    <w:p w14:paraId="3543C35C">
      <w:pPr>
        <w:spacing w:before="120" w:after="120" w:line="360" w:lineRule="auto"/>
        <w:ind w:firstLine="426" w:firstLineChars="202"/>
        <w:rPr>
          <w:rFonts w:ascii="宋体" w:hAnsi="宋体" w:eastAsia="宋体" w:cs="宋体"/>
          <w:b/>
          <w:color w:val="auto"/>
          <w:szCs w:val="24"/>
          <w:highlight w:val="none"/>
        </w:rPr>
      </w:pPr>
      <w:r>
        <w:rPr>
          <w:rFonts w:hint="eastAsia" w:ascii="宋体" w:hAnsi="宋体" w:eastAsia="宋体" w:cs="宋体"/>
          <w:b/>
          <w:color w:val="auto"/>
          <w:szCs w:val="24"/>
          <w:highlight w:val="none"/>
        </w:rPr>
        <w:t>（1）法定代表人身份证明书格式</w:t>
      </w:r>
      <w:bookmarkEnd w:id="822"/>
      <w:bookmarkEnd w:id="823"/>
      <w:bookmarkEnd w:id="824"/>
      <w:bookmarkEnd w:id="836"/>
    </w:p>
    <w:p w14:paraId="31B8CC80">
      <w:pPr>
        <w:spacing w:before="120" w:after="120" w:line="360" w:lineRule="auto"/>
        <w:ind w:firstLine="608" w:firstLineChars="202"/>
        <w:jc w:val="center"/>
        <w:rPr>
          <w:rFonts w:ascii="宋体" w:hAnsi="宋体" w:eastAsia="宋体" w:cs="宋体"/>
          <w:b/>
          <w:bCs/>
          <w:color w:val="auto"/>
          <w:sz w:val="30"/>
          <w:szCs w:val="30"/>
          <w:highlight w:val="none"/>
        </w:rPr>
      </w:pPr>
      <w:bookmarkStart w:id="859" w:name="_Toc11033_WPSOffice_Level3"/>
      <w:r>
        <w:rPr>
          <w:rFonts w:hint="eastAsia" w:ascii="宋体" w:hAnsi="宋体" w:eastAsia="宋体" w:cs="宋体"/>
          <w:b/>
          <w:color w:val="auto"/>
          <w:sz w:val="30"/>
          <w:szCs w:val="30"/>
          <w:highlight w:val="none"/>
        </w:rPr>
        <w:t>法定代</w:t>
      </w:r>
      <w:bookmarkStart w:id="860" w:name="_Toc36971359"/>
      <w:bookmarkStart w:id="861" w:name="_Toc45995270"/>
      <w:r>
        <w:rPr>
          <w:rFonts w:hint="eastAsia" w:ascii="宋体" w:hAnsi="宋体" w:eastAsia="宋体" w:cs="宋体"/>
          <w:b/>
          <w:color w:val="auto"/>
          <w:sz w:val="30"/>
          <w:szCs w:val="30"/>
          <w:highlight w:val="none"/>
        </w:rPr>
        <w:t>表人身份证明书</w:t>
      </w:r>
      <w:bookmarkEnd w:id="859"/>
    </w:p>
    <w:bookmarkEnd w:id="860"/>
    <w:bookmarkEnd w:id="861"/>
    <w:p w14:paraId="412A404E">
      <w:pPr>
        <w:spacing w:before="120" w:after="120"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先生／女士：现任我单位</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职务，为法定代表人，特此证明。</w:t>
      </w:r>
    </w:p>
    <w:p w14:paraId="50D46AC7">
      <w:pPr>
        <w:spacing w:before="120" w:after="120" w:line="360" w:lineRule="auto"/>
        <w:ind w:firstLine="424" w:firstLineChars="202"/>
        <w:rPr>
          <w:rFonts w:ascii="宋体" w:hAnsi="宋体" w:eastAsia="宋体" w:cs="宋体"/>
          <w:color w:val="auto"/>
          <w:szCs w:val="24"/>
          <w:highlight w:val="none"/>
        </w:rPr>
      </w:pPr>
      <w:r>
        <w:rPr>
          <w:rFonts w:hint="eastAsia" w:ascii="宋体" w:hAnsi="宋体" w:eastAsia="宋体" w:cs="宋体"/>
          <w:color w:val="auto"/>
          <w:szCs w:val="24"/>
          <w:highlight w:val="none"/>
        </w:rPr>
        <w:t>有效日期：</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签发日期：</w:t>
      </w:r>
      <w:r>
        <w:rPr>
          <w:rFonts w:hint="eastAsia" w:ascii="宋体" w:hAnsi="宋体" w:eastAsia="宋体" w:cs="宋体"/>
          <w:color w:val="auto"/>
          <w:szCs w:val="24"/>
          <w:highlight w:val="none"/>
          <w:u w:val="single"/>
        </w:rPr>
        <w:t xml:space="preserve">           </w:t>
      </w:r>
    </w:p>
    <w:p w14:paraId="2287BB55">
      <w:pPr>
        <w:spacing w:before="120" w:after="120" w:line="360" w:lineRule="auto"/>
        <w:ind w:firstLine="424" w:firstLineChars="202"/>
        <w:rPr>
          <w:rFonts w:ascii="宋体" w:hAnsi="宋体" w:eastAsia="宋体" w:cs="宋体"/>
          <w:color w:val="auto"/>
          <w:szCs w:val="24"/>
          <w:highlight w:val="none"/>
          <w:u w:val="single"/>
        </w:rPr>
      </w:pPr>
      <w:r>
        <w:rPr>
          <w:rFonts w:hint="eastAsia" w:ascii="宋体" w:hAnsi="宋体" w:eastAsia="宋体" w:cs="宋体"/>
          <w:color w:val="auto"/>
          <w:szCs w:val="24"/>
          <w:highlight w:val="none"/>
        </w:rPr>
        <w:t>附：代表人性别：</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 xml:space="preserve"> 年龄：</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身份证号码：</w:t>
      </w:r>
      <w:r>
        <w:rPr>
          <w:rFonts w:hint="eastAsia" w:ascii="宋体" w:hAnsi="宋体" w:eastAsia="宋体" w:cs="宋体"/>
          <w:color w:val="auto"/>
          <w:szCs w:val="24"/>
          <w:highlight w:val="none"/>
          <w:u w:val="single"/>
        </w:rPr>
        <w:t xml:space="preserve">            </w:t>
      </w:r>
    </w:p>
    <w:p w14:paraId="62ED62E3">
      <w:pPr>
        <w:spacing w:before="120" w:after="120" w:line="360" w:lineRule="auto"/>
        <w:ind w:firstLine="424" w:firstLineChars="202"/>
        <w:rPr>
          <w:rFonts w:ascii="宋体" w:hAnsi="宋体" w:eastAsia="宋体" w:cs="宋体"/>
          <w:color w:val="auto"/>
          <w:szCs w:val="24"/>
          <w:highlight w:val="none"/>
        </w:rPr>
      </w:pPr>
      <w:r>
        <w:rPr>
          <w:rFonts w:hint="eastAsia" w:ascii="宋体" w:hAnsi="宋体" w:eastAsia="宋体" w:cs="宋体"/>
          <w:color w:val="auto"/>
          <w:szCs w:val="24"/>
          <w:highlight w:val="none"/>
        </w:rPr>
        <w:t>营业执照号码：</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 xml:space="preserve">经济性质： </w:t>
      </w:r>
    </w:p>
    <w:p w14:paraId="4629E105">
      <w:pPr>
        <w:spacing w:before="120" w:after="120" w:line="360" w:lineRule="auto"/>
        <w:ind w:firstLine="424" w:firstLineChars="202"/>
        <w:rPr>
          <w:rFonts w:ascii="宋体" w:hAnsi="宋体" w:eastAsia="宋体" w:cs="宋体"/>
          <w:color w:val="auto"/>
          <w:szCs w:val="24"/>
          <w:highlight w:val="none"/>
          <w:u w:val="single"/>
        </w:rPr>
      </w:pPr>
      <w:r>
        <w:rPr>
          <w:rFonts w:hint="eastAsia" w:ascii="宋体" w:hAnsi="宋体" w:eastAsia="宋体" w:cs="宋体"/>
          <w:color w:val="auto"/>
          <w:szCs w:val="24"/>
          <w:highlight w:val="none"/>
        </w:rPr>
        <w:t>主营（产）：</w:t>
      </w:r>
    </w:p>
    <w:p w14:paraId="33A51645">
      <w:pPr>
        <w:spacing w:before="120" w:after="120" w:line="360" w:lineRule="auto"/>
        <w:ind w:firstLine="424" w:firstLineChars="202"/>
        <w:rPr>
          <w:rFonts w:ascii="宋体" w:hAnsi="宋体" w:eastAsia="宋体" w:cs="宋体"/>
          <w:color w:val="auto"/>
          <w:szCs w:val="24"/>
          <w:highlight w:val="none"/>
          <w:u w:val="single"/>
        </w:rPr>
      </w:pPr>
      <w:r>
        <w:rPr>
          <w:rFonts w:hint="eastAsia" w:ascii="宋体" w:hAnsi="宋体" w:eastAsia="宋体" w:cs="宋体"/>
          <w:color w:val="auto"/>
          <w:szCs w:val="24"/>
          <w:highlight w:val="none"/>
        </w:rPr>
        <w:t>兼营（产）：</w:t>
      </w:r>
    </w:p>
    <w:p w14:paraId="72337530">
      <w:pPr>
        <w:spacing w:before="120" w:after="120" w:line="360" w:lineRule="auto"/>
        <w:ind w:firstLine="424" w:firstLineChars="202"/>
        <w:rPr>
          <w:rFonts w:ascii="宋体" w:hAnsi="宋体" w:eastAsia="宋体" w:cs="宋体"/>
          <w:color w:val="auto"/>
          <w:szCs w:val="24"/>
          <w:highlight w:val="none"/>
        </w:rPr>
      </w:pPr>
      <w:r>
        <w:rPr>
          <w:rFonts w:hint="eastAsia" w:ascii="宋体" w:hAnsi="宋体" w:eastAsia="宋体" w:cs="宋体"/>
          <w:color w:val="auto"/>
          <w:szCs w:val="24"/>
          <w:highlight w:val="none"/>
        </w:rPr>
        <w:t>附 法定代表人身份证原件扫描件</w:t>
      </w:r>
    </w:p>
    <w:p w14:paraId="7E5FBB49">
      <w:pPr>
        <w:snapToGrid w:val="0"/>
        <w:spacing w:line="360" w:lineRule="auto"/>
        <w:ind w:firstLine="3465" w:firstLineChars="1650"/>
        <w:rPr>
          <w:rFonts w:ascii="宋体" w:hAnsi="宋体" w:eastAsia="宋体" w:cs="Times New Roman"/>
          <w:color w:val="auto"/>
          <w:kern w:val="3"/>
          <w:szCs w:val="24"/>
          <w:highlight w:val="none"/>
        </w:rPr>
      </w:pPr>
    </w:p>
    <w:p w14:paraId="00C35110">
      <w:pPr>
        <w:snapToGrid w:val="0"/>
        <w:spacing w:line="360" w:lineRule="auto"/>
        <w:ind w:firstLine="3465" w:firstLineChars="1650"/>
        <w:rPr>
          <w:rFonts w:ascii="宋体" w:hAnsi="宋体" w:eastAsia="宋体" w:cs="Times New Roman"/>
          <w:color w:val="auto"/>
          <w:kern w:val="3"/>
          <w:szCs w:val="24"/>
          <w:highlight w:val="none"/>
          <w:u w:val="single"/>
        </w:rPr>
      </w:pPr>
      <w:r>
        <w:rPr>
          <w:rFonts w:ascii="宋体" w:hAnsi="宋体" w:eastAsia="宋体" w:cs="Times New Roman"/>
          <w:color w:val="auto"/>
          <w:kern w:val="3"/>
          <w:szCs w:val="24"/>
          <w:highlight w:val="none"/>
        </w:rPr>
        <w:t>投 标 人：</w:t>
      </w:r>
      <w:r>
        <w:rPr>
          <w:rFonts w:ascii="宋体" w:hAnsi="宋体" w:eastAsia="宋体" w:cs="Times New Roman"/>
          <w:color w:val="auto"/>
          <w:kern w:val="3"/>
          <w:szCs w:val="24"/>
          <w:highlight w:val="none"/>
          <w:u w:val="single"/>
        </w:rPr>
        <w:t xml:space="preserve">             </w:t>
      </w:r>
      <w:r>
        <w:rPr>
          <w:rFonts w:hint="eastAsia" w:ascii="宋体" w:hAnsi="宋体" w:eastAsia="宋体" w:cs="Times New Roman"/>
          <w:color w:val="auto"/>
          <w:szCs w:val="21"/>
          <w:highlight w:val="none"/>
          <w:u w:val="single"/>
        </w:rPr>
        <w:t>（企业数字证书电子签名）</w:t>
      </w:r>
    </w:p>
    <w:p w14:paraId="431C7AE2">
      <w:pPr>
        <w:spacing w:before="120" w:after="120" w:line="360" w:lineRule="auto"/>
        <w:ind w:left="340" w:leftChars="162" w:firstLine="474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日期：   年   月   日</w:t>
      </w:r>
    </w:p>
    <w:p w14:paraId="614377CD">
      <w:pPr>
        <w:autoSpaceDE w:val="0"/>
        <w:autoSpaceDN w:val="0"/>
        <w:adjustRightInd w:val="0"/>
        <w:jc w:val="left"/>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61595</wp:posOffset>
                </wp:positionH>
                <wp:positionV relativeFrom="paragraph">
                  <wp:posOffset>109220</wp:posOffset>
                </wp:positionV>
                <wp:extent cx="2790825" cy="1962150"/>
                <wp:effectExtent l="9525" t="6985" r="9525" b="12065"/>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1F5FED98"/>
                          <w:p w14:paraId="6F10E5BE"/>
                          <w:p w14:paraId="3D233472"/>
                          <w:p w14:paraId="146B269B"/>
                          <w:p w14:paraId="5BB0266E">
                            <w:pPr>
                              <w:jc w:val="center"/>
                              <w:rPr>
                                <w:szCs w:val="21"/>
                              </w:rPr>
                            </w:pPr>
                            <w:r>
                              <w:rPr>
                                <w:rFonts w:hint="eastAsia"/>
                                <w:szCs w:val="21"/>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8.6pt;height:154.5pt;width:219.75pt;z-index:251661312;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QRiwEECAACIBAAADgAAAGRycy9lMm9Eb2MueG1srVTN&#10;btswDL4P2DsIui9OgqRpjDpFl6LDgO4H6PYAiizHwiRRo5TY2QNsb9DTLrvvufoco+U0C7Jh6GE+&#10;GKJJfSS/j/TFZWsN2yoMGlzBR4MhZ8pJKLVbF/zjh5sX55yFKFwpDDhV8J0K/HLx/NlF43M1hhpM&#10;qZARiAt54wtex+jzLAuyVlaEAXjlyFkBWhHJxHVWomgI3ZpsPByeZQ1g6RGkCoG+XvdOvkfEpwBC&#10;VWmprkFurHKxR0VlRKSWQq194ItUbVUpGd9VVVCRmYJTpzG9KQmdV907W1yIfI3C11ruSxBPKeGk&#10;Jyu0o6QHqGsRBdug/gPKaokQoIoDCTbrG0mMUBej4Qk3d7XwKvVCVAd/ID38P1j5dvsemS4LPuPM&#10;CUuCP9x/e/j+8+HHVzbr6Gl8yCnqzlNcbF9CS0OTWg3+FuSnwBwsa+HW6goRmlqJksobdTezo6s9&#10;TuhAVs0bKCmP2ERIQG2FtuOO2GCETtLsDtKoNjJJH8ez+fB8POVMkm80PxuPpkm8TOSP1z2G+EqB&#10;Zd2h4EjaJ3ixvQ2xK0fkjyFdtgBGlzfamGTgerU0yLaC5uQmPamDkzDjWFPw+ZQK+TfEMD1/g7A6&#10;0voYbQt+fhxk3J6wjqOerdiu2r0AKyh3RB1CP8C0vnSoAb9w1tDwFjx83ghUnJnXjuifjyaTbtqT&#10;MZnOxmTgsWd17BFOElTBI2f9cRn7Ddl41OuaMvWCO7giySqdyOy07ava100DmjjeL1O3Acd2ivr9&#10;A1n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j1YWXYAAAACAEAAA8AAAAAAAAAAQAgAAAAIgAA&#10;AGRycy9kb3ducmV2LnhtbFBLAQIUABQAAAAIAIdO4kD5BGLAQQIAAIgEAAAOAAAAAAAAAAEAIAAA&#10;ACcBAABkcnMvZTJvRG9jLnhtbFBLBQYAAAAABgAGAFkBAADaBQAAAAA=&#10;">
                <v:fill on="t" focussize="0,0"/>
                <v:stroke color="#000000" miterlimit="8" joinstyle="miter"/>
                <v:imagedata o:title=""/>
                <o:lock v:ext="edit" aspectratio="f"/>
                <v:textbox>
                  <w:txbxContent>
                    <w:p w14:paraId="1F5FED98"/>
                    <w:p w14:paraId="6F10E5BE"/>
                    <w:p w14:paraId="3D233472"/>
                    <w:p w14:paraId="146B269B"/>
                    <w:p w14:paraId="5BB0266E">
                      <w:pPr>
                        <w:jc w:val="center"/>
                        <w:rPr>
                          <w:szCs w:val="21"/>
                        </w:rPr>
                      </w:pPr>
                      <w:r>
                        <w:rPr>
                          <w:rFonts w:hint="eastAsia"/>
                          <w:szCs w:val="21"/>
                        </w:rPr>
                        <w:t>法定代表人身份证正面</w:t>
                      </w:r>
                    </w:p>
                  </w:txbxContent>
                </v:textbox>
              </v:shape>
            </w:pict>
          </mc:Fallback>
        </mc:AlternateContent>
      </w:r>
      <w:r>
        <w:rPr>
          <w:rFonts w:ascii="宋体" w:hAnsi="宋体" w:eastAsia="宋体" w:cs="宋体"/>
          <w:color w:val="auto"/>
          <w:kern w:val="0"/>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3128645</wp:posOffset>
                </wp:positionH>
                <wp:positionV relativeFrom="paragraph">
                  <wp:posOffset>109220</wp:posOffset>
                </wp:positionV>
                <wp:extent cx="2790825" cy="1962150"/>
                <wp:effectExtent l="9525" t="6985" r="9525" b="12065"/>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598B9455"/>
                          <w:p w14:paraId="20C39FE8"/>
                          <w:p w14:paraId="7E9CD579"/>
                          <w:p w14:paraId="5C9F781D"/>
                          <w:p w14:paraId="30D43B21">
                            <w:pPr>
                              <w:jc w:val="center"/>
                              <w:rPr>
                                <w:szCs w:val="21"/>
                              </w:rPr>
                            </w:pPr>
                            <w:r>
                              <w:rPr>
                                <w:rFonts w:hint="eastAsia"/>
                                <w:szCs w:val="21"/>
                              </w:rPr>
                              <w:t>法定代表人身份证反面</w:t>
                            </w:r>
                          </w:p>
                          <w:p w14:paraId="35022100">
                            <w:pPr>
                              <w:jc w:val="center"/>
                              <w:rPr>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6.35pt;margin-top:8.6pt;height:154.5pt;width:219.75pt;z-index:251660288;mso-width-relative:page;mso-height-relative:page;" fillcolor="#FFFFFF" filled="t" stroked="t" coordsize="21600,21600" o:gfxdata="UEsDBAoAAAAAAIdO4kAAAAAAAAAAAAAAAAAEAAAAZHJzL1BLAwQUAAAACACHTuJAlBFk0dkAAAAK&#10;AQAADwAAAGRycy9kb3ducmV2LnhtbE2Py07DMBBF90j8gzVIbBB16lRJE+J0gQSCHS0Itm48TSL8&#10;CLablr9nWMFuRvfozplmc7aGzRji6J2E5SIDhq7zenS9hLfXh9s1sJiU08p4hxK+McKmvbxoVK39&#10;yW1x3qWeUYmLtZIwpDTVnMduQKviwk/oKDv4YFWiNfRcB3Wicmu4yLKCWzU6ujCoCe8H7D53Ryth&#10;vXqaP+Jz/vLeFQdTpZtyfvwKUl5fLbM7YAnP6Q+GX31Sh5ac9v7odGRGwqoSJaEUlAIYAVUuaNhL&#10;yEUhgLcN//9C+wNQSwMEFAAAAAgAh07iQA5S3XVBAgAAiAQAAA4AAABkcnMvZTJvRG9jLnhtbK1U&#10;zW7bMAy+D9g7CLovToIkbYw6RZeiw4DuB+j2AIosx8IkUaOU2NkDbG/Q0y6777n6HKPlNAuyYehh&#10;PhiiSX0kv4/0xWVrDdsqDBpcwUeDIWfKSSi1Wxf844ebF+echShcKQw4VfCdCvxy8fzZReNzNYYa&#10;TKmQEYgLeeMLXsfo8ywLslZWhAF45chZAVoRycR1VqJoCN2abDwczrIGsPQIUoVAX697J98j4lMA&#10;oaq0VNcgN1a52KOiMiJSS6HWPvBFqraqlIzvqiqoyEzBqdOY3pSEzqvunS0uRL5G4Wst9yWIp5Rw&#10;0pMV2lHSA9S1iIJtUP8BZbVECFDFgQSb9Y0kRqiL0fCEm7taeJV6IaqDP5Ae/h+sfLt9j0yXBZ9x&#10;5oQlwR/uvz18//nw4yubdfQ0PuQUdecpLrYvoaWhSa0GfwvyU2AOlrVwa3WFCE2tREnljbqb2dHV&#10;Hid0IKvmDZSUR2wiJKC2QttxR2wwQidpdgdpVBuZpI/js/nwfDzlTJJvNJ+NR9MkXibyx+seQ3yl&#10;wLLuUHAk7RO82N6G2JUj8seQLlsAo8sbbUwycL1aGmRbQXNyk57UwUmYcawp+HxKhfwbYpiev0FY&#10;HWl9jLYFPz8OMm5PWMdRz1ZsV+1egBWUO6IOoR9gWl861IBfOGtoeAsePm8EKs7Ma0f0z0eTSTft&#10;yZhMz8Zk4LFndewRThJUwSNn/XEZ+w3ZeNTrmjL1gju4IskqncjstO2r2tdNA5o43i9TtwHHdor6&#10;/QNZ/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UEWTR2QAAAAoBAAAPAAAAAAAAAAEAIAAAACIA&#10;AABkcnMvZG93bnJldi54bWxQSwECFAAUAAAACACHTuJADlLddUECAACIBAAADgAAAAAAAAABACAA&#10;AAAoAQAAZHJzL2Uyb0RvYy54bWxQSwUGAAAAAAYABgBZAQAA2wUAAAAA&#10;">
                <v:fill on="t" focussize="0,0"/>
                <v:stroke color="#000000" miterlimit="8" joinstyle="miter"/>
                <v:imagedata o:title=""/>
                <o:lock v:ext="edit" aspectratio="f"/>
                <v:textbox>
                  <w:txbxContent>
                    <w:p w14:paraId="598B9455"/>
                    <w:p w14:paraId="20C39FE8"/>
                    <w:p w14:paraId="7E9CD579"/>
                    <w:p w14:paraId="5C9F781D"/>
                    <w:p w14:paraId="30D43B21">
                      <w:pPr>
                        <w:jc w:val="center"/>
                        <w:rPr>
                          <w:szCs w:val="21"/>
                        </w:rPr>
                      </w:pPr>
                      <w:r>
                        <w:rPr>
                          <w:rFonts w:hint="eastAsia"/>
                          <w:szCs w:val="21"/>
                        </w:rPr>
                        <w:t>法定代表人身份证反面</w:t>
                      </w:r>
                    </w:p>
                    <w:p w14:paraId="35022100">
                      <w:pPr>
                        <w:jc w:val="center"/>
                        <w:rPr>
                          <w:szCs w:val="21"/>
                        </w:rPr>
                      </w:pPr>
                    </w:p>
                  </w:txbxContent>
                </v:textbox>
              </v:shape>
            </w:pict>
          </mc:Fallback>
        </mc:AlternateContent>
      </w:r>
      <w:r>
        <w:rPr>
          <w:rFonts w:ascii="宋体" w:hAnsi="宋体" w:eastAsia="宋体" w:cs="宋体"/>
          <w:color w:val="auto"/>
          <w:kern w:val="0"/>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61595</wp:posOffset>
                </wp:positionH>
                <wp:positionV relativeFrom="paragraph">
                  <wp:posOffset>109220</wp:posOffset>
                </wp:positionV>
                <wp:extent cx="2790825" cy="1962150"/>
                <wp:effectExtent l="9525" t="6985" r="9525" b="12065"/>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336260AB"/>
                          <w:p w14:paraId="1E2103D7"/>
                          <w:p w14:paraId="09F29858"/>
                          <w:p w14:paraId="42F7078B"/>
                          <w:p w14:paraId="5D3942BA">
                            <w:pPr>
                              <w:jc w:val="center"/>
                            </w:pPr>
                            <w:r>
                              <w:rPr>
                                <w:rFonts w:hint="eastAsia"/>
                              </w:rPr>
                              <w:t>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8.6pt;height:154.5pt;width:219.75pt;z-index:251659264;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Vq9tcEACAACIBAAADgAAAGRycy9lMm9Eb2MueG1srVTN&#10;btswDL4P2DsIui9OgqRNjDpF1yLDgO4H6PYAiizHwiRRo5TY2QNsb9DTLrvvufIco+W0C7Jh6GE+&#10;GKJJffz4kfTFZWsN2yoMGlzBR4MhZ8pJKLVbF/zjh+WLGWchClcKA04VfKcCv1w8f3bR+FyNoQZT&#10;KmQE4kLe+ILXMfo8y4KslRVhAF45claAVkQycZ2VKBpCtyYbD4dnWQNYegSpQqCvN72THxDxKYBQ&#10;VVqqG5Abq1zsUVEZEamkUGsf+CKxrSol47uqCioyU3CqNKY3JaHzqntniwuRr1H4WssDBfEUCic1&#10;WaEdJX2EuhFRsA3qP6CslggBqjiQYLO+kKQIVTEanmhzVwuvUi0kdfCPoof/Byvfbt8j02XBp5w5&#10;Yanh+/tv++8/9z++smknT+NDTlF3nuJi+xJaGppUavC3ID8F5uC6Fm6trhChqZUoid6ou5kdXe1x&#10;Qgeyat5ASXnEJkICaiu0nXakBiN0as3usTWqjUzSx/H5fDgbE0dJvtH8bDyapuZlIn+47jHEVwos&#10;6w4FR+p9ghfb2xA7OiJ/COmyBTC6XGpjkoHr1bVBthU0J8v0pApOwoxjTcHnUyLyb4hhev4GYXWk&#10;9THaFnx2HGTcQbBOo16t2K7aQwNWUO5IOoR+gGl96VADfuGsoeEtePi8Eag4M68dyT8fTSbdtCdj&#10;Mj0fk4HHntWxRzhJUAWPnPXH69hvyMajXteUqW+4gytqWaWTmF1ve1YH3jSgSePDMnUbcGynqN8/&#10;kM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PVhZdgAAAAIAQAADwAAAAAAAAABACAAAAAiAAAA&#10;ZHJzL2Rvd25yZXYueG1sUEsBAhQAFAAAAAgAh07iQFavbXBAAgAAiAQAAA4AAAAAAAAAAQAgAAAA&#10;JwEAAGRycy9lMm9Eb2MueG1sUEsFBgAAAAAGAAYAWQEAANkFAAAAAA==&#10;">
                <v:fill on="t" focussize="0,0"/>
                <v:stroke color="#000000" miterlimit="8" joinstyle="miter"/>
                <v:imagedata o:title=""/>
                <o:lock v:ext="edit" aspectratio="f"/>
                <v:textbox>
                  <w:txbxContent>
                    <w:p w14:paraId="336260AB"/>
                    <w:p w14:paraId="1E2103D7"/>
                    <w:p w14:paraId="09F29858"/>
                    <w:p w14:paraId="42F7078B"/>
                    <w:p w14:paraId="5D3942BA">
                      <w:pPr>
                        <w:jc w:val="center"/>
                      </w:pPr>
                      <w:r>
                        <w:rPr>
                          <w:rFonts w:hint="eastAsia"/>
                        </w:rPr>
                        <w:t>身份证正面</w:t>
                      </w:r>
                    </w:p>
                  </w:txbxContent>
                </v:textbox>
              </v:shape>
            </w:pict>
          </mc:Fallback>
        </mc:AlternateContent>
      </w:r>
    </w:p>
    <w:p w14:paraId="341CFA97">
      <w:pPr>
        <w:autoSpaceDE w:val="0"/>
        <w:autoSpaceDN w:val="0"/>
        <w:adjustRightInd w:val="0"/>
        <w:jc w:val="left"/>
        <w:rPr>
          <w:rFonts w:ascii="宋体" w:hAnsi="宋体" w:eastAsia="宋体" w:cs="宋体"/>
          <w:color w:val="auto"/>
          <w:kern w:val="0"/>
          <w:sz w:val="24"/>
          <w:szCs w:val="24"/>
          <w:highlight w:val="none"/>
        </w:rPr>
      </w:pPr>
    </w:p>
    <w:p w14:paraId="213F05FD">
      <w:pPr>
        <w:autoSpaceDE w:val="0"/>
        <w:autoSpaceDN w:val="0"/>
        <w:adjustRightInd w:val="0"/>
        <w:jc w:val="left"/>
        <w:rPr>
          <w:rFonts w:ascii="宋体" w:hAnsi="宋体" w:eastAsia="宋体" w:cs="宋体"/>
          <w:color w:val="auto"/>
          <w:kern w:val="0"/>
          <w:sz w:val="24"/>
          <w:szCs w:val="24"/>
          <w:highlight w:val="none"/>
        </w:rPr>
      </w:pPr>
    </w:p>
    <w:p w14:paraId="3EEEBA63">
      <w:pPr>
        <w:autoSpaceDE w:val="0"/>
        <w:autoSpaceDN w:val="0"/>
        <w:adjustRightInd w:val="0"/>
        <w:jc w:val="left"/>
        <w:rPr>
          <w:rFonts w:ascii="宋体" w:hAnsi="宋体" w:eastAsia="宋体" w:cs="宋体"/>
          <w:color w:val="auto"/>
          <w:kern w:val="0"/>
          <w:sz w:val="24"/>
          <w:szCs w:val="24"/>
          <w:highlight w:val="none"/>
        </w:rPr>
      </w:pPr>
    </w:p>
    <w:p w14:paraId="024567BA">
      <w:pPr>
        <w:autoSpaceDE w:val="0"/>
        <w:autoSpaceDN w:val="0"/>
        <w:adjustRightInd w:val="0"/>
        <w:jc w:val="left"/>
        <w:rPr>
          <w:rFonts w:ascii="宋体" w:hAnsi="宋体" w:eastAsia="宋体" w:cs="宋体"/>
          <w:color w:val="auto"/>
          <w:kern w:val="0"/>
          <w:sz w:val="24"/>
          <w:szCs w:val="24"/>
          <w:highlight w:val="none"/>
        </w:rPr>
      </w:pPr>
    </w:p>
    <w:p w14:paraId="636EE6C6">
      <w:pPr>
        <w:autoSpaceDE w:val="0"/>
        <w:autoSpaceDN w:val="0"/>
        <w:adjustRightInd w:val="0"/>
        <w:jc w:val="left"/>
        <w:rPr>
          <w:rFonts w:ascii="宋体" w:hAnsi="宋体" w:eastAsia="宋体" w:cs="宋体"/>
          <w:color w:val="auto"/>
          <w:kern w:val="0"/>
          <w:sz w:val="24"/>
          <w:szCs w:val="24"/>
          <w:highlight w:val="none"/>
        </w:rPr>
      </w:pPr>
    </w:p>
    <w:p w14:paraId="52FE2C28">
      <w:pPr>
        <w:autoSpaceDE w:val="0"/>
        <w:autoSpaceDN w:val="0"/>
        <w:adjustRightInd w:val="0"/>
        <w:jc w:val="left"/>
        <w:rPr>
          <w:rFonts w:ascii="宋体" w:hAnsi="宋体" w:eastAsia="宋体" w:cs="宋体"/>
          <w:color w:val="auto"/>
          <w:kern w:val="0"/>
          <w:sz w:val="24"/>
          <w:szCs w:val="24"/>
          <w:highlight w:val="none"/>
        </w:rPr>
      </w:pPr>
    </w:p>
    <w:p w14:paraId="7CD8EF63">
      <w:pPr>
        <w:autoSpaceDE w:val="0"/>
        <w:autoSpaceDN w:val="0"/>
        <w:adjustRightInd w:val="0"/>
        <w:jc w:val="left"/>
        <w:rPr>
          <w:rFonts w:ascii="宋体" w:hAnsi="宋体" w:eastAsia="宋体" w:cs="宋体"/>
          <w:color w:val="auto"/>
          <w:kern w:val="0"/>
          <w:sz w:val="24"/>
          <w:szCs w:val="24"/>
          <w:highlight w:val="none"/>
        </w:rPr>
      </w:pPr>
    </w:p>
    <w:p w14:paraId="1F50D948">
      <w:pPr>
        <w:autoSpaceDE w:val="0"/>
        <w:autoSpaceDN w:val="0"/>
        <w:adjustRightInd w:val="0"/>
        <w:jc w:val="left"/>
        <w:rPr>
          <w:rFonts w:ascii="宋体" w:hAnsi="宋体" w:eastAsia="宋体" w:cs="宋体"/>
          <w:color w:val="auto"/>
          <w:kern w:val="0"/>
          <w:sz w:val="24"/>
          <w:szCs w:val="24"/>
          <w:highlight w:val="none"/>
        </w:rPr>
      </w:pPr>
    </w:p>
    <w:p w14:paraId="25CB5DE9">
      <w:pPr>
        <w:autoSpaceDE w:val="0"/>
        <w:autoSpaceDN w:val="0"/>
        <w:adjustRightInd w:val="0"/>
        <w:jc w:val="left"/>
        <w:rPr>
          <w:rFonts w:ascii="宋体" w:hAnsi="宋体" w:eastAsia="宋体" w:cs="宋体"/>
          <w:color w:val="auto"/>
          <w:kern w:val="0"/>
          <w:sz w:val="24"/>
          <w:szCs w:val="24"/>
          <w:highlight w:val="none"/>
        </w:rPr>
      </w:pPr>
    </w:p>
    <w:p w14:paraId="25D5542E">
      <w:pPr>
        <w:autoSpaceDE w:val="0"/>
        <w:autoSpaceDN w:val="0"/>
        <w:adjustRightInd w:val="0"/>
        <w:jc w:val="left"/>
        <w:rPr>
          <w:rFonts w:ascii="宋体" w:hAnsi="宋体" w:eastAsia="宋体" w:cs="宋体"/>
          <w:b/>
          <w:color w:val="auto"/>
          <w:kern w:val="0"/>
          <w:szCs w:val="21"/>
          <w:highlight w:val="none"/>
        </w:rPr>
      </w:pPr>
    </w:p>
    <w:p w14:paraId="2B30C45D">
      <w:pPr>
        <w:autoSpaceDE w:val="0"/>
        <w:autoSpaceDN w:val="0"/>
        <w:adjustRightInd w:val="0"/>
        <w:jc w:val="left"/>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注：法定代表人身份证须在有效期限内。</w:t>
      </w:r>
    </w:p>
    <w:p w14:paraId="215E49A1">
      <w:pPr>
        <w:autoSpaceDE w:val="0"/>
        <w:autoSpaceDN w:val="0"/>
        <w:adjustRightInd w:val="0"/>
        <w:jc w:val="left"/>
        <w:rPr>
          <w:rFonts w:ascii="宋体" w:hAnsi="宋体" w:eastAsia="宋体" w:cs="宋体"/>
          <w:color w:val="auto"/>
          <w:kern w:val="0"/>
          <w:szCs w:val="21"/>
          <w:highlight w:val="none"/>
        </w:rPr>
      </w:pPr>
    </w:p>
    <w:p w14:paraId="7138A233">
      <w:pPr>
        <w:autoSpaceDE w:val="0"/>
        <w:autoSpaceDN w:val="0"/>
        <w:adjustRightInd w:val="0"/>
        <w:jc w:val="left"/>
        <w:rPr>
          <w:rFonts w:ascii="宋体" w:hAnsi="宋体" w:eastAsia="宋体" w:cs="宋体"/>
          <w:b/>
          <w:color w:val="auto"/>
          <w:kern w:val="0"/>
          <w:szCs w:val="21"/>
          <w:highlight w:val="none"/>
        </w:rPr>
      </w:pPr>
      <w:r>
        <w:rPr>
          <w:rFonts w:hint="eastAsia" w:ascii="宋体" w:hAnsi="宋体" w:eastAsia="宋体" w:cs="宋体"/>
          <w:color w:val="auto"/>
          <w:kern w:val="0"/>
          <w:szCs w:val="21"/>
          <w:highlight w:val="none"/>
        </w:rPr>
        <w:t>说明：由投标人使用投标人的企业数字证书电子签名。</w:t>
      </w:r>
      <w:r>
        <w:rPr>
          <w:rFonts w:hint="eastAsia" w:ascii="宋体" w:hAnsi="宋体" w:eastAsia="宋体" w:cs="宋体"/>
          <w:color w:val="auto"/>
          <w:szCs w:val="24"/>
          <w:highlight w:val="none"/>
          <w:lang w:val="zh-CN"/>
        </w:rPr>
        <w:br w:type="page"/>
      </w:r>
      <w:bookmarkEnd w:id="755"/>
      <w:bookmarkEnd w:id="756"/>
      <w:bookmarkEnd w:id="757"/>
      <w:bookmarkStart w:id="862" w:name="_Toc6240_WPSOffice_Level2"/>
      <w:bookmarkStart w:id="863" w:name="_Toc533708125"/>
      <w:bookmarkStart w:id="864" w:name="_Toc486167713"/>
      <w:bookmarkStart w:id="865" w:name="_Toc1977727"/>
      <w:r>
        <w:rPr>
          <w:rFonts w:hint="eastAsia" w:ascii="宋体" w:hAnsi="宋体" w:eastAsia="宋体" w:cs="宋体"/>
          <w:b/>
          <w:color w:val="auto"/>
          <w:szCs w:val="24"/>
          <w:highlight w:val="none"/>
        </w:rPr>
        <w:t>（2）法定代表人授权书格式</w:t>
      </w:r>
      <w:bookmarkEnd w:id="862"/>
      <w:bookmarkEnd w:id="863"/>
      <w:bookmarkEnd w:id="864"/>
      <w:bookmarkEnd w:id="865"/>
    </w:p>
    <w:p w14:paraId="596B354B">
      <w:pPr>
        <w:autoSpaceDE w:val="0"/>
        <w:autoSpaceDN w:val="0"/>
        <w:adjustRightInd w:val="0"/>
        <w:spacing w:line="360" w:lineRule="auto"/>
        <w:jc w:val="center"/>
        <w:rPr>
          <w:rFonts w:ascii="宋体" w:hAnsi="宋体" w:eastAsia="宋体" w:cs="宋体"/>
          <w:b/>
          <w:bCs/>
          <w:color w:val="auto"/>
          <w:sz w:val="30"/>
          <w:szCs w:val="30"/>
          <w:highlight w:val="none"/>
          <w:lang w:val="zh-CN"/>
        </w:rPr>
      </w:pPr>
    </w:p>
    <w:p w14:paraId="3E4968C8">
      <w:pPr>
        <w:autoSpaceDE w:val="0"/>
        <w:autoSpaceDN w:val="0"/>
        <w:adjustRightInd w:val="0"/>
        <w:spacing w:line="360" w:lineRule="auto"/>
        <w:jc w:val="center"/>
        <w:rPr>
          <w:rFonts w:ascii="宋体" w:hAnsi="宋体" w:eastAsia="宋体" w:cs="宋体"/>
          <w:b/>
          <w:bCs/>
          <w:color w:val="auto"/>
          <w:sz w:val="30"/>
          <w:szCs w:val="30"/>
          <w:highlight w:val="none"/>
          <w:lang w:val="zh-CN"/>
        </w:rPr>
      </w:pPr>
      <w:bookmarkStart w:id="866" w:name="_Toc29146_WPSOffice_Level3"/>
      <w:r>
        <w:rPr>
          <w:rFonts w:hint="eastAsia" w:ascii="宋体" w:hAnsi="宋体" w:eastAsia="宋体" w:cs="宋体"/>
          <w:b/>
          <w:bCs/>
          <w:color w:val="auto"/>
          <w:sz w:val="30"/>
          <w:szCs w:val="30"/>
          <w:highlight w:val="none"/>
          <w:lang w:val="zh-CN"/>
        </w:rPr>
        <w:t>法定代表人授权书</w:t>
      </w:r>
      <w:bookmarkEnd w:id="866"/>
    </w:p>
    <w:p w14:paraId="41A2FF2F">
      <w:pPr>
        <w:spacing w:before="120" w:after="120" w:line="360" w:lineRule="auto"/>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致：东莞市石鼓净水有限公司</w:t>
      </w:r>
    </w:p>
    <w:p w14:paraId="1CA295D4">
      <w:pPr>
        <w:spacing w:before="120" w:after="120" w:line="360" w:lineRule="auto"/>
        <w:ind w:firstLine="630" w:firstLineChars="300"/>
        <w:rPr>
          <w:rFonts w:ascii="宋体" w:hAnsi="宋体" w:eastAsia="宋体" w:cs="宋体"/>
          <w:color w:val="auto"/>
          <w:szCs w:val="21"/>
          <w:highlight w:val="none"/>
        </w:rPr>
      </w:pPr>
      <w:r>
        <w:rPr>
          <w:rFonts w:hint="eastAsia" w:ascii="宋体" w:hAnsi="宋体" w:eastAsia="宋体" w:cs="宋体"/>
          <w:color w:val="auto"/>
          <w:szCs w:val="24"/>
          <w:highlight w:val="none"/>
          <w:lang w:val="zh-CN"/>
        </w:rPr>
        <w:t>本授权书声明：注册于</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（投标人地址）的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（投标人名称）在下面签字或盖私章的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（法定代表人姓名、职务、身份证号码）代表本公司授权在下面签字或盖私章的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（被授权人的姓名、职务、身份证号码）为本公司的合法代表人，签署</w:t>
      </w:r>
      <w:r>
        <w:rPr>
          <w:rFonts w:hint="eastAsia" w:ascii="宋体" w:hAnsi="宋体" w:eastAsia="宋体" w:cs="宋体"/>
          <w:color w:val="auto"/>
          <w:szCs w:val="21"/>
          <w:highlight w:val="none"/>
          <w:u w:val="single"/>
        </w:rPr>
        <w:t>东莞市石鼓净水有限公司污水处理厂及提标项目中控系统集约化升级改造项目</w:t>
      </w:r>
      <w:r>
        <w:rPr>
          <w:rFonts w:hint="eastAsia" w:ascii="宋体" w:hAnsi="宋体" w:eastAsia="宋体" w:cs="宋体"/>
          <w:color w:val="auto"/>
          <w:szCs w:val="21"/>
          <w:highlight w:val="none"/>
          <w:lang w:val="zh-CN"/>
        </w:rPr>
        <w:t>（招标编号：</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）的投标文件，</w:t>
      </w:r>
      <w:r>
        <w:rPr>
          <w:rFonts w:hint="eastAsia" w:ascii="宋体" w:hAnsi="宋体" w:eastAsia="宋体" w:cs="宋体"/>
          <w:color w:val="auto"/>
          <w:szCs w:val="21"/>
          <w:highlight w:val="none"/>
        </w:rPr>
        <w:t>代表我公司</w:t>
      </w:r>
      <w:r>
        <w:rPr>
          <w:rFonts w:hint="eastAsia" w:ascii="宋体" w:hAnsi="宋体" w:eastAsia="宋体" w:cs="宋体"/>
          <w:color w:val="auto"/>
          <w:szCs w:val="24"/>
          <w:highlight w:val="none"/>
          <w:lang w:val="zh-CN"/>
        </w:rPr>
        <w:t>应评标委员会的要求对投标文件进行澄清、进行合同谈判和签署合同，以我公司的名义处理一切与本次投标有关的事宜，</w:t>
      </w:r>
      <w:r>
        <w:rPr>
          <w:rFonts w:hint="eastAsia" w:ascii="宋体" w:hAnsi="宋体" w:eastAsia="宋体" w:cs="宋体"/>
          <w:color w:val="auto"/>
          <w:szCs w:val="21"/>
          <w:highlight w:val="none"/>
        </w:rPr>
        <w:t>我承认代理人全权代表我所签署的本项目投标文件的内容及</w:t>
      </w:r>
      <w:r>
        <w:rPr>
          <w:rFonts w:hint="eastAsia" w:ascii="宋体" w:hAnsi="宋体" w:eastAsia="宋体" w:cs="宋体"/>
          <w:color w:val="auto"/>
          <w:szCs w:val="24"/>
          <w:highlight w:val="none"/>
          <w:lang w:val="zh-CN"/>
        </w:rPr>
        <w:t>所进行的上述活动。</w:t>
      </w:r>
    </w:p>
    <w:p w14:paraId="6A9F8209">
      <w:pPr>
        <w:spacing w:before="120" w:after="120"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4"/>
          <w:highlight w:val="none"/>
          <w:lang w:val="zh-CN"/>
        </w:rPr>
        <w:t>本授权书于</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年</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月</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日签字生效，有效期至投标文件失效期止，</w:t>
      </w:r>
      <w:r>
        <w:rPr>
          <w:rFonts w:hint="eastAsia" w:ascii="宋体" w:hAnsi="宋体" w:eastAsia="宋体" w:cs="宋体"/>
          <w:color w:val="auto"/>
          <w:szCs w:val="21"/>
          <w:highlight w:val="none"/>
        </w:rPr>
        <w:t>代理人无转委托权，</w:t>
      </w:r>
      <w:r>
        <w:rPr>
          <w:rFonts w:hint="eastAsia" w:ascii="宋体" w:hAnsi="宋体" w:eastAsia="宋体" w:cs="宋体"/>
          <w:color w:val="auto"/>
          <w:szCs w:val="24"/>
          <w:highlight w:val="none"/>
          <w:lang w:val="zh-CN"/>
        </w:rPr>
        <w:t>特此声明。</w:t>
      </w:r>
    </w:p>
    <w:p w14:paraId="711E2212">
      <w:pPr>
        <w:spacing w:before="120" w:after="120" w:line="360" w:lineRule="auto"/>
        <w:ind w:left="4200" w:leftChars="2000" w:firstLine="425"/>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投  标  人：</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lang w:val="zh-CN"/>
        </w:rPr>
        <w:t>（企业数字证书电子签名）</w:t>
      </w:r>
    </w:p>
    <w:p w14:paraId="1B1D69AE">
      <w:pPr>
        <w:spacing w:before="120" w:after="120" w:line="360" w:lineRule="auto"/>
        <w:ind w:left="4200" w:leftChars="2000" w:firstLine="425"/>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投标人地址：</w:t>
      </w:r>
    </w:p>
    <w:p w14:paraId="697B377A">
      <w:pPr>
        <w:spacing w:before="120" w:after="120" w:line="360" w:lineRule="auto"/>
        <w:ind w:left="4200" w:leftChars="2000" w:firstLine="425"/>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法定代表人：</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lang w:val="zh-CN"/>
        </w:rPr>
        <w:t>（电子签名）</w:t>
      </w:r>
    </w:p>
    <w:p w14:paraId="73D395B3">
      <w:pPr>
        <w:spacing w:before="120" w:after="120" w:line="360" w:lineRule="auto"/>
        <w:ind w:left="4200" w:leftChars="2000" w:firstLine="425"/>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职　　　务：</w:t>
      </w:r>
    </w:p>
    <w:p w14:paraId="210D46B7">
      <w:pPr>
        <w:spacing w:before="120" w:after="120" w:line="360" w:lineRule="auto"/>
        <w:ind w:left="4200" w:leftChars="2000" w:firstLine="425"/>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被授权人：</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lang w:val="zh-CN"/>
        </w:rPr>
        <w:t>（电子签名）</w:t>
      </w:r>
    </w:p>
    <w:p w14:paraId="39DEE561">
      <w:pPr>
        <w:spacing w:before="120" w:after="120" w:line="360" w:lineRule="auto"/>
        <w:ind w:left="4200" w:leftChars="2000" w:firstLine="425"/>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职　　　务：</w:t>
      </w:r>
    </w:p>
    <w:p w14:paraId="1D00F818">
      <w:pPr>
        <w:spacing w:before="120" w:after="120" w:line="360" w:lineRule="auto"/>
        <w:ind w:left="4200" w:leftChars="2000" w:firstLine="425"/>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被授权人联系手机：</w:t>
      </w:r>
    </w:p>
    <w:p w14:paraId="14A227FF">
      <w:pPr>
        <w:spacing w:before="120" w:after="120" w:line="360" w:lineRule="auto"/>
        <w:ind w:left="4200" w:leftChars="2000" w:firstLine="425"/>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电 子 邮 箱：</w:t>
      </w:r>
    </w:p>
    <w:p w14:paraId="15F5AF72">
      <w:pPr>
        <w:pStyle w:val="39"/>
        <w:widowControl w:val="0"/>
        <w:snapToGrid w:val="0"/>
        <w:spacing w:before="0" w:beforeAutospacing="0" w:after="0" w:afterAutospacing="0" w:line="360" w:lineRule="auto"/>
        <w:jc w:val="center"/>
        <w:rPr>
          <w:rFonts w:eastAsia="宋体" w:cs="宋体"/>
          <w:b/>
          <w:color w:val="auto"/>
          <w:sz w:val="21"/>
          <w:szCs w:val="21"/>
          <w:highlight w:val="none"/>
          <w:lang w:bidi="ar"/>
        </w:rPr>
      </w:pPr>
    </w:p>
    <w:p w14:paraId="796E66AF">
      <w:pPr>
        <w:spacing w:line="360" w:lineRule="auto"/>
        <w:jc w:val="center"/>
        <w:rPr>
          <w:color w:val="auto"/>
          <w:highlight w:val="none"/>
        </w:rPr>
      </w:pPr>
      <w:r>
        <w:rPr>
          <w:rFonts w:hint="eastAsia" w:eastAsia="宋体" w:cs="宋体"/>
          <w:b/>
          <w:bCs/>
          <w:color w:val="auto"/>
          <w:sz w:val="21"/>
          <w:szCs w:val="21"/>
          <w:highlight w:val="none"/>
          <w:u w:val="single"/>
          <w:lang w:bidi="ar"/>
        </w:rPr>
        <w:t>说明：由投标人使用投标人的企业数字证书，法定代表人、其授权代表数字证书电子签名。</w:t>
      </w:r>
    </w:p>
    <w:p w14:paraId="2057A490">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r>
        <w:rPr>
          <w:rFonts w:hint="eastAsia" w:ascii="宋体" w:hAnsi="宋体" w:eastAsia="宋体" w:cs="宋体"/>
          <w:color w:val="auto"/>
          <w:szCs w:val="24"/>
          <w:highlight w:val="none"/>
          <w:lang w:val="zh-CN"/>
        </w:rPr>
        <w:br w:type="page"/>
      </w:r>
      <w:r>
        <w:rPr>
          <w:rFonts w:hint="eastAsia" w:ascii="宋体" w:hAnsi="宋体" w:eastAsia="宋体" w:cs="宋体"/>
          <w:color w:val="auto"/>
          <w:szCs w:val="24"/>
          <w:highlight w:val="none"/>
        </w:rPr>
        <w:t>附 法定代表人、被授权人身份证原件扫描件</w:t>
      </w:r>
    </w:p>
    <w:p w14:paraId="662E4996">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r>
        <w:rPr>
          <w:rFonts w:ascii="宋体" w:hAnsi="宋体" w:eastAsia="宋体" w:cs="宋体"/>
          <w:color w:val="auto"/>
          <w:szCs w:val="21"/>
          <w:highlight w:val="none"/>
        </w:rPr>
        <mc:AlternateContent>
          <mc:Choice Requires="wps">
            <w:drawing>
              <wp:anchor distT="0" distB="0" distL="114300" distR="114300" simplePos="0" relativeHeight="251664384" behindDoc="0" locked="0" layoutInCell="1" allowOverlap="1">
                <wp:simplePos x="0" y="0"/>
                <wp:positionH relativeFrom="column">
                  <wp:posOffset>3366770</wp:posOffset>
                </wp:positionH>
                <wp:positionV relativeFrom="paragraph">
                  <wp:posOffset>69850</wp:posOffset>
                </wp:positionV>
                <wp:extent cx="2790825" cy="1762125"/>
                <wp:effectExtent l="9525" t="9525" r="9525" b="9525"/>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wps:spPr>
                      <wps:txbx>
                        <w:txbxContent>
                          <w:p w14:paraId="73A8C81C"/>
                          <w:p w14:paraId="603364B0"/>
                          <w:p w14:paraId="58DB2409"/>
                          <w:p w14:paraId="14F3838B"/>
                          <w:p w14:paraId="2177B174">
                            <w:pPr>
                              <w:jc w:val="center"/>
                              <w:rPr>
                                <w:rFonts w:hAnsi="宋体"/>
                              </w:rPr>
                            </w:pPr>
                            <w:r>
                              <w:rPr>
                                <w:rFonts w:hint="eastAsia" w:hAnsi="宋体"/>
                              </w:rPr>
                              <w:t>法定代表人身份证反面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5.5pt;height:138.75pt;width:219.75pt;z-index:251664384;mso-width-relative:page;mso-height-relative:page;" fillcolor="#FFFFFF" filled="t" stroked="t" coordsize="21600,21600" o:gfxdata="UEsDBAoAAAAAAIdO4kAAAAAAAAAAAAAAAAAEAAAAZHJzL1BLAwQUAAAACACHTuJAaEQPedkAAAAK&#10;AQAADwAAAGRycy9kb3ducmV2LnhtbE2PwU7DMBBE70j8g7VIXBC1k9I0CXF6QALBDQqCqxu7SYS9&#10;Drablr9nOcFxNU+zb5rNyVk2mxBHjxKyhQBmsPN6xF7C2+v9dQksJoVaWY9GwreJsGnPzxpVa3/E&#10;FzNvU8+oBGOtJAwpTTXnsRuMU3HhJ4OU7X1wKtEZeq6DOlK5szwXouBOjUgfBjWZu8F0n9uDk1De&#10;PM4f8Wn5/N4Ve1ulq/X88BWkvLzIxC2wZE7pD4ZffVKHlpx2/oA6MithtRQ5oRRktImAqqjWwHYS&#10;8rJcAW8b/n9C+wNQSwMEFAAAAAgAh07iQA997Fg/AgAAiAQAAA4AAABkcnMvZTJvRG9jLnhtbK1U&#10;zW7UMBC+I/EOlu80m2jb7q6arcpWRUjlRyo8gNdxNha2x4y9m5QHgDfgxIU7z9XnYOKky1IQ6oEc&#10;Ik9m/M3M983k7Lyzhu0UBg2u5PnRhDPlJFTabUr+/t3VsxlnIQpXCQNOlfxWBX6+fPrkrPULVUAD&#10;plLICMSFRetL3sToF1kWZKOsCEfglSNnDWhFJBM3WYWiJXRrsmIyOclawMojSBUCfb0cnHxExMcA&#10;Ql1rqS5Bbq1ycUBFZUSklkKjfeDLVG1dKxnf1HVQkZmSU6cxvSkJndf9O1ueicUGhW+0HEsQjynh&#10;QU9WaEdJ91CXIgq2Rf0HlNUSIUAdjyTYbGgkMUJd5JMH3Nw0wqvUC1Ed/J708P9g5evdW2S6KvmU&#10;MycsCX739cvdtx933z+zaU9P68OCom48xcXuOXQ0NKnV4K9BfgjMwaoRbqMuEKFtlKiovLy/mR1c&#10;HXBCD7JuX0FFecQ2QgLqarQ9d8QGI3SS5nYvjeoik/SxOJ1PZsUxZ5J8+elJkZPR5xCL++seQ3yh&#10;wLL+UHIk7RO82F2HOITeh/TZAhhdXWljkoGb9cog2wmak6v0jOi/hRnH2pLPjyn3vyEm6fkbhNWR&#10;1sdoW/LZYZBxI2E9RwNbsVt3owBrqG6JOoRhgGl96dAAfuKspeEtefi4Fag4My8d0T/Pp9N+2pMx&#10;PT4tyMBDz/rQI5wkqJJHzobjKg4bsvWoNw1lGgR3cEGS1TqR2Ws7VDXWTQOa5BiXqd+AQztF/fqB&#10;L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EQPedkAAAAKAQAADwAAAAAAAAABACAAAAAiAAAA&#10;ZHJzL2Rvd25yZXYueG1sUEsBAhQAFAAAAAgAh07iQA997Fg/AgAAiAQAAA4AAAAAAAAAAQAgAAAA&#10;KAEAAGRycy9lMm9Eb2MueG1sUEsFBgAAAAAGAAYAWQEAANkFAAAAAA==&#10;">
                <v:fill on="t" focussize="0,0"/>
                <v:stroke color="#000000" miterlimit="8" joinstyle="miter"/>
                <v:imagedata o:title=""/>
                <o:lock v:ext="edit" aspectratio="f"/>
                <v:textbox>
                  <w:txbxContent>
                    <w:p w14:paraId="73A8C81C"/>
                    <w:p w14:paraId="603364B0"/>
                    <w:p w14:paraId="58DB2409"/>
                    <w:p w14:paraId="14F3838B"/>
                    <w:p w14:paraId="2177B174">
                      <w:pPr>
                        <w:jc w:val="center"/>
                        <w:rPr>
                          <w:rFonts w:hAnsi="宋体"/>
                        </w:rPr>
                      </w:pPr>
                      <w:r>
                        <w:rPr>
                          <w:rFonts w:hint="eastAsia" w:hAnsi="宋体"/>
                        </w:rPr>
                        <w:t>法定代表人身份证反面</w:t>
                      </w:r>
                    </w:p>
                  </w:txbxContent>
                </v:textbox>
              </v:shape>
            </w:pict>
          </mc:Fallback>
        </mc:AlternateContent>
      </w:r>
      <w:r>
        <w:rPr>
          <w:rFonts w:ascii="宋体" w:hAnsi="宋体" w:eastAsia="宋体" w:cs="宋体"/>
          <w:color w:val="auto"/>
          <w:szCs w:val="21"/>
          <w:highlight w:val="none"/>
        </w:rPr>
        <mc:AlternateContent>
          <mc:Choice Requires="wps">
            <w:drawing>
              <wp:anchor distT="0" distB="0" distL="114300" distR="114300" simplePos="0" relativeHeight="251662336" behindDoc="0" locked="0" layoutInCell="1" allowOverlap="1">
                <wp:simplePos x="0" y="0"/>
                <wp:positionH relativeFrom="column">
                  <wp:posOffset>309245</wp:posOffset>
                </wp:positionH>
                <wp:positionV relativeFrom="paragraph">
                  <wp:posOffset>69850</wp:posOffset>
                </wp:positionV>
                <wp:extent cx="2790825" cy="1762125"/>
                <wp:effectExtent l="9525" t="9525" r="9525" b="952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wps:spPr>
                      <wps:txbx>
                        <w:txbxContent>
                          <w:p w14:paraId="4526DB07"/>
                          <w:p w14:paraId="26E126B5"/>
                          <w:p w14:paraId="7242016C"/>
                          <w:p w14:paraId="184D6957"/>
                          <w:p w14:paraId="363BBB04">
                            <w:pPr>
                              <w:jc w:val="center"/>
                              <w:rPr>
                                <w:rFonts w:hAnsi="宋体"/>
                              </w:rPr>
                            </w:pPr>
                            <w:r>
                              <w:rPr>
                                <w:rFonts w:hint="eastAsia" w:hAnsi="宋体"/>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5.5pt;height:138.75pt;width:219.75pt;z-index:251662336;mso-width-relative:page;mso-height-relative:page;" fillcolor="#FFFFFF" filled="t" stroked="t" coordsize="21600,21600" o:gfxdata="UEsDBAoAAAAAAIdO4kAAAAAAAAAAAAAAAAAEAAAAZHJzL1BLAwQUAAAACACHTuJAorvl2NgAAAAJ&#10;AQAADwAAAGRycy9kb3ducmV2LnhtbE2PwU7DMBBE70j8g7VIXBB1EkJrQpwekEBwg4Lg6sbbJCJe&#10;B9tNy9+znOC4M6PZN/X66EYxY4iDJw35IgOB1Ho7UKfh7fX+UoGIyZA1oyfU8I0R1s3pSW0q6w/0&#10;gvMmdYJLKFZGQ5/SVEkZ2x6diQs/IbG388GZxGfopA3mwOVulEWWLaUzA/GH3kx412P7udk7Dap8&#10;nD/i09Xze7vcjTfpYjU/fAWtz8/y7BZEwmP6C8MvPqNDw0xbvycbxaihVCtOsp7zJPZLpQoQWw2F&#10;Utcgm1r+X9D8AFBLAwQUAAAACACHTuJASNEy5j8CAACIBAAADgAAAGRycy9lMm9Eb2MueG1srVTN&#10;btQwEL4j8Q6W7zSbbbftrpqtSldFSOVHKjyA13ESC9tjxt5NygPAG3Diwp3n2udg4qRlKQj1QA6R&#10;JzP+Zub7ZnJ23lnDtgqDBlfw/GDCmXISSu3qgr9/d/XslLMQhSuFAacKfqsCP18+fXLW+oWaQgOm&#10;VMgIxIVF6wvexOgXWRZko6wIB+CVI2cFaEUkE+usRNESujXZdDI5zlrA0iNIFQJ9XQ1OPiLiYwCh&#10;qrRUK5Abq1wcUFEZEaml0Ggf+DJVW1VKxjdVFVRkpuDUaUxvSkLndf/OlmdiUaPwjZZjCeIxJTzo&#10;yQrtKOk91EpEwTao/4CyWiIEqOKBBJsNjSRGqIt88oCbm0Z4lXohqoO/Jz38P1j5evsWmS4LfsiZ&#10;E5YE3339svv2Y/f9Mzvs6Wl9WFDUjae42D2HjoYmtRr8NcgPgTm4bISr1QUitI0SJZWX9zezvasD&#10;TuhB1u0rKCmP2ERIQF2FtueO2GCETtLc3kujusgkfZyezCen0xlnknz5yfE0J6PPIRZ31z2G+EKB&#10;Zf2h4EjaJ3ixvQ5xCL0L6bMFMLq80sYkA+v1pUG2FTQnV+kZ0X8LM461BZ/PKPe/ISbp+RuE1ZHW&#10;x2hb8NP9IONGwnqOBrZit+5GAdZQ3hJ1CMMA0/rSoQH8xFlLw1vw8HEjUHFmXjqif54fHfXTnoyj&#10;2cmUDNz3rPc9wkmCKnjkbDhexmFDNh513VCmQXAHFyRZpROZvbZDVWPdNKBJjnGZ+g3Yt1PUrx/I&#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u+XY2AAAAAkBAAAPAAAAAAAAAAEAIAAAACIAAABk&#10;cnMvZG93bnJldi54bWxQSwECFAAUAAAACACHTuJASNEy5j8CAACIBAAADgAAAAAAAAABACAAAAAn&#10;AQAAZHJzL2Uyb0RvYy54bWxQSwUGAAAAAAYABgBZAQAA2AUAAAAA&#10;">
                <v:fill on="t" focussize="0,0"/>
                <v:stroke color="#000000" miterlimit="8" joinstyle="miter"/>
                <v:imagedata o:title=""/>
                <o:lock v:ext="edit" aspectratio="f"/>
                <v:textbox>
                  <w:txbxContent>
                    <w:p w14:paraId="4526DB07"/>
                    <w:p w14:paraId="26E126B5"/>
                    <w:p w14:paraId="7242016C"/>
                    <w:p w14:paraId="184D6957"/>
                    <w:p w14:paraId="363BBB04">
                      <w:pPr>
                        <w:jc w:val="center"/>
                        <w:rPr>
                          <w:rFonts w:hAnsi="宋体"/>
                        </w:rPr>
                      </w:pPr>
                      <w:r>
                        <w:rPr>
                          <w:rFonts w:hint="eastAsia" w:hAnsi="宋体"/>
                        </w:rPr>
                        <w:t>法定代表人身份证正面</w:t>
                      </w:r>
                    </w:p>
                  </w:txbxContent>
                </v:textbox>
              </v:shape>
            </w:pict>
          </mc:Fallback>
        </mc:AlternateContent>
      </w:r>
    </w:p>
    <w:p w14:paraId="05ABC824">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102F3255">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56E645F1">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3E654458">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468A4772">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2B91C035">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0B304029">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0BF6195A">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44F09051">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r>
        <w:rPr>
          <w:rFonts w:ascii="宋体" w:hAnsi="宋体" w:eastAsia="宋体" w:cs="宋体"/>
          <w:color w:val="auto"/>
          <w:szCs w:val="21"/>
          <w:highlight w:val="none"/>
        </w:rPr>
        <mc:AlternateContent>
          <mc:Choice Requires="wps">
            <w:drawing>
              <wp:anchor distT="0" distB="0" distL="114300" distR="114300" simplePos="0" relativeHeight="251665408" behindDoc="0" locked="0" layoutInCell="1" allowOverlap="1">
                <wp:simplePos x="0" y="0"/>
                <wp:positionH relativeFrom="column">
                  <wp:posOffset>3366770</wp:posOffset>
                </wp:positionH>
                <wp:positionV relativeFrom="paragraph">
                  <wp:posOffset>102235</wp:posOffset>
                </wp:positionV>
                <wp:extent cx="2743200" cy="1771650"/>
                <wp:effectExtent l="9525" t="13970" r="9525" b="508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wps:spPr>
                      <wps:txbx>
                        <w:txbxContent>
                          <w:p w14:paraId="666D0EB2"/>
                          <w:p w14:paraId="276D2297">
                            <w:pPr>
                              <w:jc w:val="center"/>
                              <w:rPr>
                                <w:rFonts w:hAnsi="宋体"/>
                                <w:color w:val="FF0000"/>
                              </w:rPr>
                            </w:pPr>
                          </w:p>
                          <w:p w14:paraId="35240E0C">
                            <w:pPr>
                              <w:jc w:val="center"/>
                              <w:rPr>
                                <w:rFonts w:hAnsi="宋体"/>
                                <w:color w:val="FF0000"/>
                              </w:rPr>
                            </w:pPr>
                          </w:p>
                          <w:p w14:paraId="63EE2F37">
                            <w:pPr>
                              <w:jc w:val="center"/>
                              <w:rPr>
                                <w:rFonts w:hAnsi="宋体"/>
                                <w:color w:val="FF0000"/>
                              </w:rPr>
                            </w:pPr>
                          </w:p>
                          <w:p w14:paraId="4925EE7E">
                            <w:pPr>
                              <w:jc w:val="center"/>
                            </w:pPr>
                            <w:r>
                              <w:rPr>
                                <w:rFonts w:hint="eastAsia" w:hAnsi="宋体"/>
                              </w:rPr>
                              <w:t>被授权人身份证反面</w:t>
                            </w:r>
                          </w:p>
                          <w:p w14:paraId="2F163536"/>
                          <w:p w14:paraId="090F8BBB"/>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8.05pt;height:139.5pt;width:216pt;z-index:251665408;mso-width-relative:page;mso-height-relative:page;" fillcolor="#FFFFFF" filled="t" stroked="t" coordsize="21600,21600" o:gfxdata="UEsDBAoAAAAAAIdO4kAAAAAAAAAAAAAAAAAEAAAAZHJzL1BLAwQUAAAACACHTuJALYHyI9kAAAAK&#10;AQAADwAAAGRycy9kb3ducmV2LnhtbE2Py07DMBBF90j8gzVIbBC1k9LQhDhdIIFgV0pVtm48TSL8&#10;CLablr9nWMFy5h7dOVOvztawCUMcvJOQzQQwdK3Xg+skbN+fbpfAYlJOK+MdSvjGCKvm8qJWlfYn&#10;94bTJnWMSlyslIQ+pbHiPLY9WhVnfkRH2cEHqxKNoeM6qBOVW8NzIQpu1eDoQq9GfOyx/dwcrYTl&#10;3cv0EV/n611bHEyZbu6n568g5fVVJh6AJTynPxh+9UkdGnLa+6PTkRkJi7nICaWgyIARUBY5LfYS&#10;8nKRAW9q/v+F5gdQSwMEFAAAAAgAh07iQDsUtmVCAgAAiAQAAA4AAABkcnMvZTJvRG9jLnhtbK1U&#10;zW7bMAy+D9g7CLovTrykaY06Rdciw4DuB+j2AIosx8IkUaOU2N0DbG+w0y6777nyHKPlNAu6Dehh&#10;PhiiSX0kv4/0+UVnDdsqDBpcySejMWfKSai0W5f8w/vls1POQhSuEgacKvmdCvxi8fTJeesLlUMD&#10;plLICMSFovUlb2L0RZYF2Sgrwgi8cuSsAa2IZOI6q1C0hG5Nlo/HJ1kLWHkEqUKgr9eDk+8R8TGA&#10;UNdaqmuQG6tcHFBRGRGppdBoH/giVVvXSsa3dR1UZKbk1GlMb0pC51X/zhbnolij8I2W+xLEY0p4&#10;0JMV2lHSA9S1iIJtUP8BZbVECFDHkQSbDY0kRqiLyfgBN7eN8Cr1QlQHfyA9/D9Y+Wb7DpmuSp5z&#10;5oQlwXffvu6+/9z9+MLynp7Wh4Kibj3Fxe4FdDQ0qdXgb0B+DMzBVSPcWl0iQtsoUVF5k/5mdnR1&#10;wAk9yKp9DRXlEZsICair0fbcERuM0Emau4M0qotM0sd8Pn1O08OZJN9kPp+czJJ4mSjur3sM8aUC&#10;y/pDyZG0T/BiexNiX44o7kP6bAGMrpbamGTgenVlkG0FzckyPamDB2HGsbbkZ7N8NjDwT4hxev4G&#10;YXWk9THalvz0OMi4PWE9RwNbsVt1ewFWUN0RdQjDANP60qEB/MxZS8Nb8vBpI1BxZl45ov9sMp32&#10;056M6Wyek4HHntWxRzhJUCWPnA3HqzhsyMajXjeUaRDcwSVJVutEZq/tUNW+bhrQxPF+mfoNOLZT&#10;1O8fyO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HyI9kAAAAKAQAADwAAAAAAAAABACAAAAAi&#10;AAAAZHJzL2Rvd25yZXYueG1sUEsBAhQAFAAAAAgAh07iQDsUtmVCAgAAiAQAAA4AAAAAAAAAAQAg&#10;AAAAKAEAAGRycy9lMm9Eb2MueG1sUEsFBgAAAAAGAAYAWQEAANwFAAAAAA==&#10;">
                <v:fill on="t" focussize="0,0"/>
                <v:stroke color="#000000" miterlimit="8" joinstyle="miter"/>
                <v:imagedata o:title=""/>
                <o:lock v:ext="edit" aspectratio="f"/>
                <v:textbox>
                  <w:txbxContent>
                    <w:p w14:paraId="666D0EB2"/>
                    <w:p w14:paraId="276D2297">
                      <w:pPr>
                        <w:jc w:val="center"/>
                        <w:rPr>
                          <w:rFonts w:hAnsi="宋体"/>
                          <w:color w:val="FF0000"/>
                        </w:rPr>
                      </w:pPr>
                    </w:p>
                    <w:p w14:paraId="35240E0C">
                      <w:pPr>
                        <w:jc w:val="center"/>
                        <w:rPr>
                          <w:rFonts w:hAnsi="宋体"/>
                          <w:color w:val="FF0000"/>
                        </w:rPr>
                      </w:pPr>
                    </w:p>
                    <w:p w14:paraId="63EE2F37">
                      <w:pPr>
                        <w:jc w:val="center"/>
                        <w:rPr>
                          <w:rFonts w:hAnsi="宋体"/>
                          <w:color w:val="FF0000"/>
                        </w:rPr>
                      </w:pPr>
                    </w:p>
                    <w:p w14:paraId="4925EE7E">
                      <w:pPr>
                        <w:jc w:val="center"/>
                      </w:pPr>
                      <w:r>
                        <w:rPr>
                          <w:rFonts w:hint="eastAsia" w:hAnsi="宋体"/>
                        </w:rPr>
                        <w:t>被授权人身份证反面</w:t>
                      </w:r>
                    </w:p>
                    <w:p w14:paraId="2F163536"/>
                    <w:p w14:paraId="090F8BBB"/>
                  </w:txbxContent>
                </v:textbox>
              </v:shape>
            </w:pict>
          </mc:Fallback>
        </mc:AlternateContent>
      </w:r>
      <w:r>
        <w:rPr>
          <w:rFonts w:ascii="宋体" w:hAnsi="宋体" w:eastAsia="宋体" w:cs="宋体"/>
          <w:color w:val="auto"/>
          <w:szCs w:val="21"/>
          <w:highlight w:val="none"/>
        </w:rPr>
        <mc:AlternateContent>
          <mc:Choice Requires="wps">
            <w:drawing>
              <wp:anchor distT="0" distB="0" distL="114300" distR="114300" simplePos="0" relativeHeight="251663360" behindDoc="0" locked="0" layoutInCell="1" allowOverlap="1">
                <wp:simplePos x="0" y="0"/>
                <wp:positionH relativeFrom="column">
                  <wp:posOffset>309245</wp:posOffset>
                </wp:positionH>
                <wp:positionV relativeFrom="paragraph">
                  <wp:posOffset>102235</wp:posOffset>
                </wp:positionV>
                <wp:extent cx="2743200" cy="1771650"/>
                <wp:effectExtent l="9525" t="13970" r="9525" b="508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wps:spPr>
                      <wps:txbx>
                        <w:txbxContent>
                          <w:p w14:paraId="601EDC6B"/>
                          <w:p w14:paraId="095754A5">
                            <w:pPr>
                              <w:jc w:val="center"/>
                              <w:rPr>
                                <w:rFonts w:hAnsi="宋体"/>
                                <w:color w:val="FF0000"/>
                              </w:rPr>
                            </w:pPr>
                          </w:p>
                          <w:p w14:paraId="22EFD74B">
                            <w:pPr>
                              <w:jc w:val="center"/>
                              <w:rPr>
                                <w:rFonts w:hAnsi="宋体"/>
                                <w:color w:val="FF0000"/>
                              </w:rPr>
                            </w:pPr>
                          </w:p>
                          <w:p w14:paraId="603D8C5A">
                            <w:pPr>
                              <w:jc w:val="center"/>
                              <w:rPr>
                                <w:rFonts w:hAnsi="宋体"/>
                                <w:color w:val="FF0000"/>
                              </w:rPr>
                            </w:pPr>
                          </w:p>
                          <w:p w14:paraId="60512D33">
                            <w:pPr>
                              <w:jc w:val="center"/>
                            </w:pPr>
                            <w:r>
                              <w:rPr>
                                <w:rFonts w:hint="eastAsia" w:hAnsi="宋体"/>
                              </w:rPr>
                              <w:t>被授权人身份证正面</w:t>
                            </w:r>
                          </w:p>
                          <w:p w14:paraId="3386618F"/>
                          <w:p w14:paraId="583E84DE"/>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8.05pt;height:139.5pt;width:216pt;z-index:251663360;mso-width-relative:page;mso-height-relative:page;" fillcolor="#FFFFFF" filled="t" stroked="t" coordsize="21600,21600" o:gfxdata="UEsDBAoAAAAAAIdO4kAAAAAAAAAAAAAAAAAEAAAAZHJzL1BLAwQUAAAACACHTuJAixUQJ9gAAAAJ&#10;AQAADwAAAGRycy9kb3ducmV2LnhtbE2PzU7DMBCE70i8g7VIXBC1U0Kahjg9IIHgVkpVrm68TSL8&#10;E2w3LW/PcoLjzoxmv6lXZ2vYhCEO3knIZgIYutbrwXUStu9PtyWwmJTTyniHEr4xwqq5vKhVpf3J&#10;veG0SR2jEhcrJaFPaaw4j22PVsWZH9GRd/DBqkRn6LgO6kTl1vC5EAW3anD0oVcjPvbYfm6OVkKZ&#10;v0wf8fVuvWuLg1mmm8X0/BWkvL7KxAOwhOf0F4ZffEKHhpj2/uh0ZEZCXi4oSXqRASM/LwUJewnz&#10;5X0GvKn5/wXND1BLAwQUAAAACACHTuJAY+kGYEUCAACIBAAADgAAAGRycy9lMm9Eb2MueG1srVTN&#10;btswDL4P2DsIuq9OsqRpgzpFl6LDgO4H6PYAiizHwiRRo5TY3QOsb7DTLrvvufIco+S0M7odepgP&#10;hmhSH/l9JH123lnDdgqDBlfy8dGIM+UkVNptSv7p49WLE85CFK4SBpwq+a0K/Hz5/NlZ6xdqAg2Y&#10;SiEjEBcWrS95E6NfFEWQjbIiHIFXjpw1oBWRTNwUFYqW0K0pJqPRcdECVh5BqhDo62Xv5AdEfAog&#10;1LWW6hLk1ioXe1RURkSiFBrtA1/mautayfi+roOKzJScmMb8piR0Xqd3sTwTiw0K32h5KEE8pYRH&#10;nKzQjpI+QF2KKNgW9V9QVkuEAHU8kmCLnkhWhFiMR4+0uWmEV5kLSR38g+jh/8HKd7sPyHRFk8CZ&#10;E5Yavv9+t//xa//zGxsneVofFhR14ykudq+gS6GJavDXID8H5mDVCLdRF4jQNkpUVF6+WQyu9jgh&#10;gazbt1BRHrGNkIG6Gm0CJDUYoVNrbh9ao7rIJH2czKcvaXo4k+Qbz+fj41luXiEW99c9hvhagWXp&#10;UHKk3md4sbsOkYhQ6H1ILh+Mrq60MdnAzXplkO0EzclVfhJ3uhKGYcaxtuSns8msV2DoC0OIUX7+&#10;BWF1pPUx2pb8ZBhkHKVLgiWNerVit+4ODVhDdUvSIfQDTOtLhwbwK2ctDW/Jw5etQMWZeeNI/tPx&#10;dJqmPRvT2XxCBg4966FHOElQJY+c9cdV7Ddk61FvGsrUN9zBBbWs1lnMVGpf1aFuGtAs2GGZ0gYM&#10;7Rz15wey/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LFRAn2AAAAAkBAAAPAAAAAAAAAAEAIAAA&#10;ACIAAABkcnMvZG93bnJldi54bWxQSwECFAAUAAAACACHTuJAY+kGYEUCAACIBAAADgAAAAAAAAAB&#10;ACAAAAAnAQAAZHJzL2Uyb0RvYy54bWxQSwUGAAAAAAYABgBZAQAA3gUAAAAA&#10;">
                <v:fill on="t" focussize="0,0"/>
                <v:stroke color="#000000" miterlimit="8" joinstyle="miter"/>
                <v:imagedata o:title=""/>
                <o:lock v:ext="edit" aspectratio="f"/>
                <v:textbox>
                  <w:txbxContent>
                    <w:p w14:paraId="601EDC6B"/>
                    <w:p w14:paraId="095754A5">
                      <w:pPr>
                        <w:jc w:val="center"/>
                        <w:rPr>
                          <w:rFonts w:hAnsi="宋体"/>
                          <w:color w:val="FF0000"/>
                        </w:rPr>
                      </w:pPr>
                    </w:p>
                    <w:p w14:paraId="22EFD74B">
                      <w:pPr>
                        <w:jc w:val="center"/>
                        <w:rPr>
                          <w:rFonts w:hAnsi="宋体"/>
                          <w:color w:val="FF0000"/>
                        </w:rPr>
                      </w:pPr>
                    </w:p>
                    <w:p w14:paraId="603D8C5A">
                      <w:pPr>
                        <w:jc w:val="center"/>
                        <w:rPr>
                          <w:rFonts w:hAnsi="宋体"/>
                          <w:color w:val="FF0000"/>
                        </w:rPr>
                      </w:pPr>
                    </w:p>
                    <w:p w14:paraId="60512D33">
                      <w:pPr>
                        <w:jc w:val="center"/>
                      </w:pPr>
                      <w:r>
                        <w:rPr>
                          <w:rFonts w:hint="eastAsia" w:hAnsi="宋体"/>
                        </w:rPr>
                        <w:t>被授权人身份证正面</w:t>
                      </w:r>
                    </w:p>
                    <w:p w14:paraId="3386618F"/>
                    <w:p w14:paraId="583E84DE"/>
                  </w:txbxContent>
                </v:textbox>
              </v:shape>
            </w:pict>
          </mc:Fallback>
        </mc:AlternateContent>
      </w:r>
    </w:p>
    <w:p w14:paraId="6917AC07">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1D9F2859">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38C9AFA4">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19F45E87">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6C0A11E5">
      <w:pPr>
        <w:widowControl/>
        <w:autoSpaceDE w:val="0"/>
        <w:autoSpaceDN w:val="0"/>
        <w:spacing w:before="120" w:after="120" w:line="360" w:lineRule="auto"/>
        <w:ind w:right="781" w:rightChars="372" w:firstLine="420" w:firstLineChars="200"/>
        <w:textAlignment w:val="bottom"/>
        <w:rPr>
          <w:rFonts w:ascii="宋体" w:hAnsi="宋体" w:eastAsia="宋体" w:cs="宋体"/>
          <w:color w:val="auto"/>
          <w:szCs w:val="24"/>
          <w:highlight w:val="none"/>
        </w:rPr>
      </w:pPr>
    </w:p>
    <w:p w14:paraId="00E1CA55">
      <w:pPr>
        <w:widowControl/>
        <w:autoSpaceDE w:val="0"/>
        <w:autoSpaceDN w:val="0"/>
        <w:spacing w:before="120" w:after="120" w:line="360" w:lineRule="auto"/>
        <w:ind w:right="781" w:rightChars="372" w:firstLine="422" w:firstLineChars="200"/>
        <w:textAlignment w:val="bottom"/>
        <w:rPr>
          <w:rFonts w:ascii="宋体" w:hAnsi="宋体" w:eastAsia="宋体" w:cs="宋体"/>
          <w:b/>
          <w:color w:val="auto"/>
          <w:szCs w:val="24"/>
          <w:highlight w:val="none"/>
        </w:rPr>
        <w:sectPr>
          <w:footerReference r:id="rId8" w:type="first"/>
          <w:footerReference r:id="rId7" w:type="default"/>
          <w:pgSz w:w="12240" w:h="15840"/>
          <w:pgMar w:top="1191" w:right="1043" w:bottom="1191" w:left="1043" w:header="720" w:footer="720" w:gutter="0"/>
          <w:cols w:space="720" w:num="1"/>
          <w:titlePg/>
          <w:docGrid w:linePitch="326" w:charSpace="0"/>
        </w:sectPr>
      </w:pPr>
      <w:r>
        <w:rPr>
          <w:rFonts w:hint="eastAsia" w:ascii="宋体" w:hAnsi="宋体" w:eastAsia="宋体" w:cs="宋体"/>
          <w:b/>
          <w:color w:val="auto"/>
          <w:szCs w:val="24"/>
          <w:highlight w:val="none"/>
        </w:rPr>
        <w:t>注：上述所附身份证应在有效期限内。</w:t>
      </w:r>
    </w:p>
    <w:p w14:paraId="4213C24E">
      <w:pPr>
        <w:pStyle w:val="4"/>
        <w:pageBreakBefore/>
        <w:spacing w:line="360" w:lineRule="auto"/>
        <w:rPr>
          <w:rFonts w:hAnsi="宋体"/>
          <w:b/>
          <w:color w:val="auto"/>
          <w:sz w:val="30"/>
          <w:szCs w:val="30"/>
          <w:highlight w:val="none"/>
          <w:lang w:val="zh-CN"/>
        </w:rPr>
      </w:pPr>
      <w:bookmarkStart w:id="867" w:name="_Toc12400"/>
      <w:bookmarkStart w:id="868" w:name="_Toc32328"/>
      <w:bookmarkStart w:id="869" w:name="_Toc15716"/>
      <w:bookmarkStart w:id="870" w:name="_Toc21507"/>
      <w:bookmarkStart w:id="871" w:name="_Toc195714386"/>
      <w:bookmarkStart w:id="872" w:name="_Toc142508373"/>
      <w:bookmarkStart w:id="873" w:name="_Toc94107214"/>
      <w:bookmarkStart w:id="874" w:name="_Toc140596933"/>
      <w:bookmarkStart w:id="875" w:name="_Toc1977730"/>
      <w:bookmarkStart w:id="876" w:name="_Toc104991880"/>
      <w:r>
        <w:rPr>
          <w:rFonts w:hint="eastAsia" w:hAnsi="宋体" w:cs="宋体"/>
          <w:b/>
          <w:color w:val="auto"/>
          <w:sz w:val="30"/>
          <w:szCs w:val="30"/>
          <w:highlight w:val="none"/>
        </w:rPr>
        <w:t>5.4</w:t>
      </w:r>
      <w:r>
        <w:rPr>
          <w:rFonts w:hAnsi="宋体" w:cs="宋体"/>
          <w:b/>
          <w:color w:val="auto"/>
          <w:sz w:val="30"/>
          <w:szCs w:val="30"/>
          <w:highlight w:val="none"/>
        </w:rPr>
        <w:t xml:space="preserve"> </w:t>
      </w:r>
      <w:r>
        <w:rPr>
          <w:rFonts w:hint="eastAsia" w:hAnsi="宋体"/>
          <w:b/>
          <w:bCs/>
          <w:color w:val="auto"/>
          <w:kern w:val="2"/>
          <w:sz w:val="32"/>
          <w:szCs w:val="32"/>
          <w:highlight w:val="none"/>
        </w:rPr>
        <w:t>有效期内的电子与智能化工程专业承包二级（或以上）资质原件扫描件</w:t>
      </w:r>
    </w:p>
    <w:p w14:paraId="6ECBD307">
      <w:pPr>
        <w:pStyle w:val="4"/>
        <w:pageBreakBefore/>
        <w:spacing w:line="360" w:lineRule="auto"/>
        <w:rPr>
          <w:rFonts w:hAnsi="宋体"/>
          <w:b/>
          <w:color w:val="auto"/>
          <w:sz w:val="30"/>
          <w:szCs w:val="30"/>
          <w:highlight w:val="none"/>
          <w:lang w:val="zh-CN"/>
        </w:rPr>
      </w:pPr>
      <w:r>
        <w:rPr>
          <w:rFonts w:hint="eastAsia" w:hAnsi="宋体" w:cs="宋体"/>
          <w:b/>
          <w:color w:val="auto"/>
          <w:sz w:val="30"/>
          <w:szCs w:val="30"/>
          <w:highlight w:val="none"/>
        </w:rPr>
        <w:t>5.</w:t>
      </w:r>
      <w:r>
        <w:rPr>
          <w:rFonts w:hint="eastAsia" w:hAnsi="宋体" w:cs="宋体"/>
          <w:b/>
          <w:color w:val="auto"/>
          <w:sz w:val="30"/>
          <w:szCs w:val="30"/>
          <w:highlight w:val="none"/>
          <w:lang w:val="en-US" w:eastAsia="zh-CN"/>
        </w:rPr>
        <w:t>5</w:t>
      </w:r>
      <w:r>
        <w:rPr>
          <w:rFonts w:hAnsi="宋体" w:cs="宋体"/>
          <w:b/>
          <w:color w:val="auto"/>
          <w:sz w:val="30"/>
          <w:szCs w:val="30"/>
          <w:highlight w:val="none"/>
        </w:rPr>
        <w:t xml:space="preserve"> </w:t>
      </w:r>
      <w:r>
        <w:rPr>
          <w:rFonts w:hint="eastAsia" w:hAnsi="宋体"/>
          <w:b/>
          <w:bCs/>
          <w:color w:val="auto"/>
          <w:kern w:val="2"/>
          <w:sz w:val="32"/>
          <w:szCs w:val="32"/>
          <w:highlight w:val="none"/>
        </w:rPr>
        <w:t>资格业绩</w:t>
      </w:r>
      <w:r>
        <w:rPr>
          <w:rFonts w:hint="eastAsia" w:hAnsi="宋体"/>
          <w:b/>
          <w:bCs/>
          <w:color w:val="auto"/>
          <w:sz w:val="32"/>
          <w:szCs w:val="32"/>
          <w:highlight w:val="none"/>
        </w:rPr>
        <w:t>【</w:t>
      </w:r>
      <w:r>
        <w:rPr>
          <w:rFonts w:hint="eastAsia" w:hAnsi="宋体"/>
          <w:b/>
          <w:bCs/>
          <w:color w:val="auto"/>
          <w:sz w:val="32"/>
          <w:szCs w:val="32"/>
          <w:highlight w:val="none"/>
          <w:lang w:val="zh-CN"/>
        </w:rPr>
        <w:t>投标人</w:t>
      </w:r>
      <w:r>
        <w:rPr>
          <w:rFonts w:hint="eastAsia" w:hAnsi="宋体"/>
          <w:b/>
          <w:bCs/>
          <w:color w:val="auto"/>
          <w:sz w:val="32"/>
          <w:szCs w:val="32"/>
          <w:highlight w:val="none"/>
        </w:rPr>
        <w:t>2020</w:t>
      </w:r>
      <w:r>
        <w:rPr>
          <w:rFonts w:hint="eastAsia" w:hAnsi="宋体"/>
          <w:b/>
          <w:bCs/>
          <w:color w:val="auto"/>
          <w:sz w:val="32"/>
          <w:szCs w:val="32"/>
          <w:highlight w:val="none"/>
          <w:lang w:val="zh-CN"/>
        </w:rPr>
        <w:t>年1月1日以来具有一份水务、电力、能源相关的集中控制系统或水务、电力、能源相关的自动化控制系统建设项目业绩（合同签订日期为</w:t>
      </w:r>
      <w:r>
        <w:rPr>
          <w:rFonts w:hint="eastAsia" w:hAnsi="宋体"/>
          <w:b/>
          <w:bCs/>
          <w:color w:val="auto"/>
          <w:sz w:val="32"/>
          <w:szCs w:val="32"/>
          <w:highlight w:val="none"/>
        </w:rPr>
        <w:t>2020</w:t>
      </w:r>
      <w:r>
        <w:rPr>
          <w:rFonts w:hint="eastAsia" w:hAnsi="宋体"/>
          <w:b/>
          <w:bCs/>
          <w:color w:val="auto"/>
          <w:sz w:val="32"/>
          <w:szCs w:val="32"/>
          <w:highlight w:val="none"/>
          <w:lang w:val="zh-CN"/>
        </w:rPr>
        <w:t>年1月1日或以后）</w:t>
      </w:r>
      <w:bookmarkEnd w:id="867"/>
      <w:bookmarkEnd w:id="868"/>
      <w:bookmarkEnd w:id="869"/>
      <w:r>
        <w:rPr>
          <w:rFonts w:hint="eastAsia" w:hAnsi="宋体"/>
          <w:b/>
          <w:bCs/>
          <w:color w:val="auto"/>
          <w:sz w:val="32"/>
          <w:szCs w:val="32"/>
          <w:highlight w:val="none"/>
        </w:rPr>
        <w:t>】</w:t>
      </w:r>
      <w:bookmarkEnd w:id="870"/>
      <w:bookmarkEnd w:id="871"/>
    </w:p>
    <w:tbl>
      <w:tblPr>
        <w:tblStyle w:val="44"/>
        <w:tblW w:w="47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853"/>
        <w:gridCol w:w="1186"/>
        <w:gridCol w:w="1117"/>
        <w:gridCol w:w="853"/>
        <w:gridCol w:w="995"/>
        <w:gridCol w:w="853"/>
        <w:gridCol w:w="853"/>
        <w:gridCol w:w="856"/>
        <w:gridCol w:w="1061"/>
      </w:tblGrid>
      <w:tr w14:paraId="24B8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627" w:hRule="exact"/>
          <w:jc w:val="center"/>
        </w:trPr>
        <w:tc>
          <w:tcPr>
            <w:tcW w:w="494" w:type="pct"/>
            <w:vAlign w:val="center"/>
          </w:tcPr>
          <w:p w14:paraId="512BC0BF">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687" w:type="pct"/>
            <w:vAlign w:val="center"/>
          </w:tcPr>
          <w:p w14:paraId="75862D6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647" w:type="pct"/>
            <w:vAlign w:val="center"/>
          </w:tcPr>
          <w:p w14:paraId="77A5D2E6">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合同主要内容</w:t>
            </w:r>
          </w:p>
        </w:tc>
        <w:tc>
          <w:tcPr>
            <w:tcW w:w="494" w:type="pct"/>
            <w:vAlign w:val="center"/>
          </w:tcPr>
          <w:p w14:paraId="1FBBC3CD">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合同期限</w:t>
            </w:r>
          </w:p>
        </w:tc>
        <w:tc>
          <w:tcPr>
            <w:tcW w:w="576" w:type="pct"/>
            <w:vAlign w:val="center"/>
          </w:tcPr>
          <w:p w14:paraId="6016CE15">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签约日期</w:t>
            </w:r>
          </w:p>
        </w:tc>
        <w:tc>
          <w:tcPr>
            <w:tcW w:w="494" w:type="pct"/>
            <w:vAlign w:val="center"/>
          </w:tcPr>
          <w:p w14:paraId="71ABE4FF">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服务完成情况</w:t>
            </w:r>
          </w:p>
        </w:tc>
        <w:tc>
          <w:tcPr>
            <w:tcW w:w="494" w:type="pct"/>
            <w:vAlign w:val="center"/>
          </w:tcPr>
          <w:p w14:paraId="03846133">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服务质量情况</w:t>
            </w:r>
          </w:p>
        </w:tc>
        <w:tc>
          <w:tcPr>
            <w:tcW w:w="496" w:type="pct"/>
            <w:vAlign w:val="center"/>
          </w:tcPr>
          <w:p w14:paraId="063087F0">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业主联系人及电话</w:t>
            </w:r>
          </w:p>
        </w:tc>
        <w:tc>
          <w:tcPr>
            <w:tcW w:w="614" w:type="pct"/>
            <w:vAlign w:val="center"/>
          </w:tcPr>
          <w:p w14:paraId="27C2B84A">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15C3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494" w:type="pct"/>
            <w:vAlign w:val="center"/>
          </w:tcPr>
          <w:p w14:paraId="685E0CF6">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687" w:type="pct"/>
            <w:vAlign w:val="center"/>
          </w:tcPr>
          <w:p w14:paraId="443BBE01">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647" w:type="pct"/>
            <w:vAlign w:val="center"/>
          </w:tcPr>
          <w:p w14:paraId="2F0BF22F">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94" w:type="pct"/>
            <w:vAlign w:val="center"/>
          </w:tcPr>
          <w:p w14:paraId="2C285318">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2BE903B8">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94" w:type="pct"/>
          </w:tcPr>
          <w:p w14:paraId="3930CF98">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94" w:type="pct"/>
            <w:vAlign w:val="center"/>
          </w:tcPr>
          <w:p w14:paraId="45A9C8F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96" w:type="pct"/>
            <w:vAlign w:val="center"/>
          </w:tcPr>
          <w:p w14:paraId="2A3D9B07">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614" w:type="pct"/>
            <w:vAlign w:val="center"/>
          </w:tcPr>
          <w:p w14:paraId="140FA288">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r w14:paraId="6E78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494" w:type="pct"/>
            <w:vAlign w:val="center"/>
          </w:tcPr>
          <w:p w14:paraId="59A32D20">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687" w:type="pct"/>
            <w:vAlign w:val="center"/>
          </w:tcPr>
          <w:p w14:paraId="50DF5F57">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647" w:type="pct"/>
            <w:vAlign w:val="center"/>
          </w:tcPr>
          <w:p w14:paraId="34BF257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94" w:type="pct"/>
            <w:vAlign w:val="center"/>
          </w:tcPr>
          <w:p w14:paraId="08C322E6">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539F9B1A">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94" w:type="pct"/>
          </w:tcPr>
          <w:p w14:paraId="56100055">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94" w:type="pct"/>
            <w:vAlign w:val="center"/>
          </w:tcPr>
          <w:p w14:paraId="28327ED9">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96" w:type="pct"/>
            <w:vAlign w:val="center"/>
          </w:tcPr>
          <w:p w14:paraId="7BC1B826">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614" w:type="pct"/>
            <w:vAlign w:val="center"/>
          </w:tcPr>
          <w:p w14:paraId="6CC23D8B">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r w14:paraId="7F5B1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494" w:type="pct"/>
            <w:vAlign w:val="center"/>
          </w:tcPr>
          <w:p w14:paraId="4DBB2A26">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687" w:type="pct"/>
            <w:vAlign w:val="center"/>
          </w:tcPr>
          <w:p w14:paraId="7E8233A3">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647" w:type="pct"/>
            <w:vAlign w:val="center"/>
          </w:tcPr>
          <w:p w14:paraId="640ED602">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94" w:type="pct"/>
            <w:vAlign w:val="center"/>
          </w:tcPr>
          <w:p w14:paraId="228C7612">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53C36AA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94" w:type="pct"/>
          </w:tcPr>
          <w:p w14:paraId="472B83B7">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94" w:type="pct"/>
            <w:vAlign w:val="center"/>
          </w:tcPr>
          <w:p w14:paraId="49BDE778">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96" w:type="pct"/>
            <w:vAlign w:val="center"/>
          </w:tcPr>
          <w:p w14:paraId="484859BA">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614" w:type="pct"/>
            <w:vAlign w:val="center"/>
          </w:tcPr>
          <w:p w14:paraId="01B1B3E3">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r w14:paraId="7720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494" w:type="pct"/>
            <w:vAlign w:val="center"/>
          </w:tcPr>
          <w:p w14:paraId="22165FE7">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default" w:ascii="宋体" w:hAnsi="宋体" w:eastAsia="宋体" w:cs="Courier New"/>
                <w:color w:val="auto"/>
                <w:kern w:val="0"/>
                <w:szCs w:val="21"/>
                <w:highlight w:val="none"/>
              </w:rPr>
              <w:t>…</w:t>
            </w:r>
          </w:p>
        </w:tc>
        <w:tc>
          <w:tcPr>
            <w:tcW w:w="687" w:type="pct"/>
            <w:vAlign w:val="center"/>
          </w:tcPr>
          <w:p w14:paraId="2A8B52F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647" w:type="pct"/>
            <w:vAlign w:val="center"/>
          </w:tcPr>
          <w:p w14:paraId="3721CFC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94" w:type="pct"/>
            <w:vAlign w:val="center"/>
          </w:tcPr>
          <w:p w14:paraId="4A48B04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76" w:type="pct"/>
            <w:vAlign w:val="center"/>
          </w:tcPr>
          <w:p w14:paraId="5779EE8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94" w:type="pct"/>
          </w:tcPr>
          <w:p w14:paraId="554564B0">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94" w:type="pct"/>
            <w:vAlign w:val="center"/>
          </w:tcPr>
          <w:p w14:paraId="16D2D2B2">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96" w:type="pct"/>
            <w:vAlign w:val="center"/>
          </w:tcPr>
          <w:p w14:paraId="335D5338">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614" w:type="pct"/>
            <w:vAlign w:val="center"/>
          </w:tcPr>
          <w:p w14:paraId="60B2707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bl>
    <w:p w14:paraId="1C96C639">
      <w:pPr>
        <w:keepNext w:val="0"/>
        <w:keepLines w:val="0"/>
        <w:pageBreakBefore w:val="0"/>
        <w:widowControl w:val="0"/>
        <w:kinsoku/>
        <w:wordWrap/>
        <w:overflowPunct/>
        <w:topLinePunct w:val="0"/>
        <w:bidi w:val="0"/>
        <w:snapToGrid/>
        <w:spacing w:line="380" w:lineRule="exact"/>
        <w:ind w:left="424" w:hanging="424" w:hangingChars="201"/>
        <w:textAlignment w:val="auto"/>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资格业绩证明材料提交要求：</w:t>
      </w:r>
    </w:p>
    <w:p w14:paraId="0DA265A1">
      <w:pPr>
        <w:keepNext w:val="0"/>
        <w:keepLines w:val="0"/>
        <w:pageBreakBefore w:val="0"/>
        <w:widowControl w:val="0"/>
        <w:kinsoku/>
        <w:wordWrap/>
        <w:overflowPunct/>
        <w:topLinePunct w:val="0"/>
        <w:bidi w:val="0"/>
        <w:snapToGrid/>
        <w:spacing w:line="380" w:lineRule="exact"/>
        <w:textAlignment w:val="auto"/>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（1）作为投标人资格条件证明的业绩放置在此处；</w:t>
      </w:r>
    </w:p>
    <w:p w14:paraId="4C0F82EB">
      <w:pPr>
        <w:keepNext w:val="0"/>
        <w:keepLines w:val="0"/>
        <w:pageBreakBefore w:val="0"/>
        <w:widowControl w:val="0"/>
        <w:kinsoku/>
        <w:wordWrap/>
        <w:overflowPunct/>
        <w:topLinePunct w:val="0"/>
        <w:bidi w:val="0"/>
        <w:snapToGrid/>
        <w:spacing w:line="380" w:lineRule="exact"/>
        <w:ind w:left="422" w:hanging="422" w:hangingChars="201"/>
        <w:textAlignment w:val="auto"/>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业绩须附合同原件扫描件（合同卖方必须为投标人）及合同对应的购买方出具的能证明项目质量合格的验收证明或用户评价等证明文件的原件扫描件（前述原件扫描件能显示合同购买方公章）；</w:t>
      </w:r>
    </w:p>
    <w:p w14:paraId="6357DAFE">
      <w:pPr>
        <w:keepNext w:val="0"/>
        <w:keepLines w:val="0"/>
        <w:pageBreakBefore w:val="0"/>
        <w:widowControl w:val="0"/>
        <w:kinsoku/>
        <w:wordWrap/>
        <w:overflowPunct/>
        <w:topLinePunct w:val="0"/>
        <w:bidi w:val="0"/>
        <w:snapToGrid/>
        <w:spacing w:line="380" w:lineRule="exact"/>
        <w:ind w:left="422" w:hanging="422" w:hangingChars="201"/>
        <w:textAlignment w:val="auto"/>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zh-CN"/>
        </w:rPr>
        <w:t>）</w:t>
      </w:r>
      <w:r>
        <w:rPr>
          <w:rFonts w:hint="eastAsia" w:ascii="宋体" w:hAnsi="宋体" w:eastAsia="宋体" w:cs="Times New Roman"/>
          <w:color w:val="auto"/>
          <w:szCs w:val="24"/>
          <w:highlight w:val="none"/>
          <w:lang w:val="zh-CN"/>
        </w:rPr>
        <w:t>若业绩合同及证明文件无法反映</w:t>
      </w:r>
      <w:r>
        <w:rPr>
          <w:rFonts w:hint="eastAsia" w:ascii="宋体" w:hAnsi="宋体" w:eastAsia="宋体" w:cs="Times New Roman"/>
          <w:color w:val="auto"/>
          <w:szCs w:val="24"/>
          <w:highlight w:val="none"/>
        </w:rPr>
        <w:t>资格要求</w:t>
      </w:r>
      <w:r>
        <w:rPr>
          <w:rFonts w:hint="eastAsia" w:ascii="宋体" w:hAnsi="宋体" w:eastAsia="宋体" w:cs="Times New Roman"/>
          <w:color w:val="auto"/>
          <w:szCs w:val="24"/>
          <w:highlight w:val="none"/>
          <w:lang w:val="zh-CN"/>
        </w:rPr>
        <w:t>条件（1.合同签订日期为</w:t>
      </w:r>
      <w:r>
        <w:rPr>
          <w:rFonts w:hint="eastAsia" w:ascii="宋体" w:hAnsi="宋体" w:eastAsia="宋体" w:cs="Times New Roman"/>
          <w:color w:val="auto"/>
          <w:szCs w:val="24"/>
          <w:highlight w:val="none"/>
        </w:rPr>
        <w:t>2020</w:t>
      </w:r>
      <w:r>
        <w:rPr>
          <w:rFonts w:hint="eastAsia" w:ascii="宋体" w:hAnsi="宋体" w:eastAsia="宋体" w:cs="Times New Roman"/>
          <w:color w:val="auto"/>
          <w:szCs w:val="24"/>
          <w:highlight w:val="none"/>
          <w:lang w:val="zh-CN"/>
        </w:rPr>
        <w:t>年1月1日或以后；2.水务、电力、能源相关的集中控制系统或水务、电力、能源相关的自动化控制系统建设项目</w:t>
      </w:r>
      <w:r>
        <w:rPr>
          <w:rFonts w:hint="eastAsia" w:ascii="宋体" w:hAnsi="宋体" w:eastAsia="宋体" w:cs="Times New Roman"/>
          <w:color w:val="auto"/>
          <w:szCs w:val="24"/>
          <w:highlight w:val="none"/>
        </w:rPr>
        <w:t>）的</w:t>
      </w:r>
      <w:r>
        <w:rPr>
          <w:rFonts w:hint="eastAsia" w:ascii="宋体" w:hAnsi="宋体" w:eastAsia="宋体" w:cs="Times New Roman"/>
          <w:color w:val="auto"/>
          <w:szCs w:val="24"/>
          <w:highlight w:val="none"/>
          <w:lang w:val="zh-CN"/>
        </w:rPr>
        <w:t>，还需提供合同购买方出具的书面补充说明文件原件扫描件作为辅助证明（补充说明文件原件扫描件能显示合同购买方公章）；</w:t>
      </w:r>
    </w:p>
    <w:p w14:paraId="482ABD01">
      <w:pPr>
        <w:keepNext w:val="0"/>
        <w:keepLines w:val="0"/>
        <w:pageBreakBefore w:val="0"/>
        <w:widowControl w:val="0"/>
        <w:kinsoku/>
        <w:wordWrap/>
        <w:overflowPunct/>
        <w:topLinePunct w:val="0"/>
        <w:bidi w:val="0"/>
        <w:snapToGrid/>
        <w:spacing w:line="380" w:lineRule="exact"/>
        <w:ind w:left="422" w:hanging="422" w:hangingChars="201"/>
        <w:textAlignment w:val="auto"/>
        <w:rPr>
          <w:rFonts w:ascii="宋体" w:hAnsi="宋体" w:eastAsia="宋体" w:cs="宋体"/>
          <w:color w:val="auto"/>
          <w:szCs w:val="21"/>
          <w:highlight w:val="none"/>
          <w:lang w:val="zh-CN"/>
        </w:rPr>
      </w:pPr>
      <w:bookmarkStart w:id="877" w:name="_Toc20010"/>
      <w:bookmarkStart w:id="878" w:name="_Toc24862"/>
      <w:bookmarkStart w:id="879" w:name="_Toc12931"/>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集中控制系统建设项目具体为利用一套数据采集与监视控制系统同时监视和控制不少于3个独立厂、站的控制系统；自动化控制系统建设项目具体为利用一套数据采集与监视控制系统监视和控制单个厂、站的控制系统；</w:t>
      </w:r>
    </w:p>
    <w:p w14:paraId="601F8DD6">
      <w:pPr>
        <w:keepNext w:val="0"/>
        <w:keepLines w:val="0"/>
        <w:pageBreakBefore w:val="0"/>
        <w:widowControl w:val="0"/>
        <w:kinsoku/>
        <w:wordWrap/>
        <w:overflowPunct/>
        <w:topLinePunct w:val="0"/>
        <w:bidi w:val="0"/>
        <w:snapToGrid/>
        <w:spacing w:line="380" w:lineRule="exact"/>
        <w:ind w:left="424" w:hanging="424" w:hangingChars="201"/>
        <w:textAlignment w:val="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w:t>
      </w:r>
      <w:r>
        <w:rPr>
          <w:rFonts w:hint="eastAsia" w:ascii="宋体" w:hAnsi="宋体" w:eastAsia="宋体" w:cs="宋体"/>
          <w:b/>
          <w:color w:val="auto"/>
          <w:szCs w:val="21"/>
          <w:highlight w:val="none"/>
          <w:lang w:val="en-US" w:eastAsia="zh-CN"/>
        </w:rPr>
        <w:t>5</w:t>
      </w:r>
      <w:r>
        <w:rPr>
          <w:rFonts w:hint="eastAsia" w:ascii="宋体" w:hAnsi="宋体" w:eastAsia="宋体" w:cs="宋体"/>
          <w:b/>
          <w:color w:val="auto"/>
          <w:szCs w:val="21"/>
          <w:highlight w:val="none"/>
          <w:lang w:val="zh-CN"/>
        </w:rPr>
        <w:t>）</w:t>
      </w:r>
      <w:bookmarkEnd w:id="877"/>
      <w:bookmarkEnd w:id="878"/>
      <w:bookmarkEnd w:id="879"/>
      <w:r>
        <w:rPr>
          <w:rFonts w:hint="eastAsia" w:ascii="宋体" w:hAnsi="宋体" w:eastAsia="宋体" w:cs="宋体"/>
          <w:b/>
          <w:color w:val="auto"/>
          <w:szCs w:val="21"/>
          <w:highlight w:val="none"/>
          <w:lang w:val="zh-CN"/>
        </w:rPr>
        <w:t>未按上述要求在此格式下提供证明材料的业绩，或在此格式下所附材料无法证明符合资格要求的业绩，按无效投标文件处理。</w:t>
      </w:r>
    </w:p>
    <w:p w14:paraId="0F8DC9E0">
      <w:pPr>
        <w:keepNext w:val="0"/>
        <w:keepLines w:val="0"/>
        <w:pageBreakBefore w:val="0"/>
        <w:widowControl w:val="0"/>
        <w:kinsoku/>
        <w:wordWrap/>
        <w:overflowPunct/>
        <w:topLinePunct w:val="0"/>
        <w:autoSpaceDE w:val="0"/>
        <w:autoSpaceDN w:val="0"/>
        <w:bidi w:val="0"/>
        <w:adjustRightInd w:val="0"/>
        <w:snapToGrid/>
        <w:spacing w:line="380" w:lineRule="exact"/>
        <w:ind w:firstLine="3780" w:firstLineChars="1800"/>
        <w:textAlignment w:val="auto"/>
        <w:rPr>
          <w:rFonts w:hint="eastAsia" w:ascii="宋体" w:hAnsi="宋体" w:eastAsia="宋体" w:cs="宋体"/>
          <w:color w:val="auto"/>
          <w:szCs w:val="21"/>
          <w:highlight w:val="none"/>
          <w:lang w:val="zh-CN"/>
        </w:rPr>
      </w:pPr>
    </w:p>
    <w:p w14:paraId="61F3001A">
      <w:pPr>
        <w:keepNext w:val="0"/>
        <w:keepLines w:val="0"/>
        <w:pageBreakBefore w:val="0"/>
        <w:widowControl w:val="0"/>
        <w:kinsoku/>
        <w:wordWrap/>
        <w:overflowPunct/>
        <w:topLinePunct w:val="0"/>
        <w:autoSpaceDE w:val="0"/>
        <w:autoSpaceDN w:val="0"/>
        <w:bidi w:val="0"/>
        <w:adjustRightInd w:val="0"/>
        <w:snapToGrid/>
        <w:spacing w:line="380" w:lineRule="exact"/>
        <w:ind w:firstLine="3780" w:firstLineChars="1800"/>
        <w:textAlignment w:val="auto"/>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1B29882D">
      <w:pPr>
        <w:keepNext w:val="0"/>
        <w:keepLines w:val="0"/>
        <w:pageBreakBefore w:val="0"/>
        <w:widowControl w:val="0"/>
        <w:kinsoku/>
        <w:wordWrap/>
        <w:overflowPunct/>
        <w:topLinePunct w:val="0"/>
        <w:autoSpaceDE w:val="0"/>
        <w:autoSpaceDN w:val="0"/>
        <w:bidi w:val="0"/>
        <w:adjustRightInd w:val="0"/>
        <w:snapToGrid/>
        <w:spacing w:line="380" w:lineRule="exact"/>
        <w:ind w:firstLine="3780" w:firstLineChars="1800"/>
        <w:textAlignment w:val="auto"/>
        <w:rPr>
          <w:rFonts w:ascii="宋体" w:hAnsi="宋体" w:eastAsia="宋体" w:cs="Times New Roman"/>
          <w:color w:val="auto"/>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s="Times New Roman"/>
          <w:color w:val="auto"/>
          <w:szCs w:val="24"/>
          <w:highlight w:val="none"/>
          <w:lang w:val="zh-CN"/>
        </w:rPr>
        <w:t>期：   年   月   日</w:t>
      </w:r>
    </w:p>
    <w:p w14:paraId="53FAC958">
      <w:pPr>
        <w:keepNext w:val="0"/>
        <w:keepLines w:val="0"/>
        <w:pageBreakBefore w:val="0"/>
        <w:widowControl w:val="0"/>
        <w:kinsoku/>
        <w:wordWrap/>
        <w:overflowPunct/>
        <w:topLinePunct w:val="0"/>
        <w:autoSpaceDE w:val="0"/>
        <w:autoSpaceDN w:val="0"/>
        <w:bidi w:val="0"/>
        <w:adjustRightInd w:val="0"/>
        <w:snapToGrid/>
        <w:spacing w:line="380" w:lineRule="exact"/>
        <w:jc w:val="center"/>
        <w:textAlignment w:val="auto"/>
        <w:rPr>
          <w:rFonts w:ascii="宋体" w:hAnsi="宋体" w:eastAsia="宋体" w:cs="Times New Roman"/>
          <w:b/>
          <w:bCs/>
          <w:color w:val="auto"/>
          <w:szCs w:val="24"/>
          <w:highlight w:val="none"/>
          <w:lang w:val="zh-CN"/>
        </w:rPr>
      </w:pPr>
    </w:p>
    <w:p w14:paraId="47F98EB5">
      <w:pPr>
        <w:keepNext w:val="0"/>
        <w:keepLines w:val="0"/>
        <w:pageBreakBefore w:val="0"/>
        <w:widowControl w:val="0"/>
        <w:kinsoku/>
        <w:wordWrap/>
        <w:overflowPunct/>
        <w:topLinePunct w:val="0"/>
        <w:autoSpaceDE w:val="0"/>
        <w:autoSpaceDN w:val="0"/>
        <w:bidi w:val="0"/>
        <w:adjustRightInd w:val="0"/>
        <w:snapToGrid/>
        <w:spacing w:line="380" w:lineRule="exact"/>
        <w:jc w:val="center"/>
        <w:textAlignment w:val="auto"/>
        <w:rPr>
          <w:rFonts w:ascii="宋体" w:hAnsi="宋体" w:eastAsia="宋体" w:cs="Times New Roman"/>
          <w:color w:val="auto"/>
          <w:szCs w:val="24"/>
          <w:highlight w:val="none"/>
          <w:lang w:val="zh-CN"/>
        </w:rPr>
      </w:pPr>
      <w:r>
        <w:rPr>
          <w:rFonts w:hint="eastAsia" w:ascii="宋体" w:hAnsi="宋体" w:eastAsia="宋体" w:cs="Times New Roman"/>
          <w:b/>
          <w:bCs/>
          <w:color w:val="auto"/>
          <w:szCs w:val="24"/>
          <w:highlight w:val="none"/>
          <w:lang w:val="zh-CN"/>
        </w:rPr>
        <w:t>说明：由投标人使用投标人的企业数字证书电子签名。</w:t>
      </w:r>
    </w:p>
    <w:p w14:paraId="60A1DFAF">
      <w:pPr>
        <w:rPr>
          <w:rFonts w:ascii="宋体" w:hAnsi="宋体" w:eastAsia="宋体" w:cs="宋体"/>
          <w:b/>
          <w:color w:val="auto"/>
          <w:kern w:val="0"/>
          <w:sz w:val="30"/>
          <w:szCs w:val="30"/>
          <w:highlight w:val="none"/>
        </w:rPr>
      </w:pPr>
      <w:r>
        <w:rPr>
          <w:rFonts w:ascii="宋体" w:hAnsi="宋体" w:eastAsia="宋体" w:cs="宋体"/>
          <w:b/>
          <w:color w:val="auto"/>
          <w:kern w:val="0"/>
          <w:sz w:val="30"/>
          <w:szCs w:val="30"/>
          <w:highlight w:val="none"/>
        </w:rPr>
        <w:br w:type="page"/>
      </w:r>
    </w:p>
    <w:p w14:paraId="67C8FFEA">
      <w:pPr>
        <w:tabs>
          <w:tab w:val="left" w:pos="567"/>
        </w:tabs>
        <w:autoSpaceDE w:val="0"/>
        <w:autoSpaceDN w:val="0"/>
        <w:adjustRightInd w:val="0"/>
        <w:spacing w:line="360" w:lineRule="auto"/>
        <w:jc w:val="left"/>
        <w:outlineLvl w:val="2"/>
        <w:rPr>
          <w:rFonts w:ascii="宋体" w:hAnsi="宋体" w:eastAsia="宋体" w:cs="Times New Roman"/>
          <w:b/>
          <w:bCs/>
          <w:color w:val="auto"/>
          <w:sz w:val="32"/>
          <w:szCs w:val="32"/>
          <w:highlight w:val="none"/>
          <w:lang w:val="zh-CN"/>
        </w:rPr>
      </w:pPr>
      <w:bookmarkStart w:id="880" w:name="_Toc21843"/>
      <w:bookmarkStart w:id="881" w:name="_Toc7508"/>
      <w:bookmarkStart w:id="882" w:name="_Toc8121"/>
      <w:bookmarkStart w:id="883" w:name="_Toc195714387"/>
      <w:bookmarkStart w:id="884" w:name="_Toc8599"/>
      <w:r>
        <w:rPr>
          <w:rFonts w:hint="eastAsia" w:ascii="宋体" w:hAnsi="宋体" w:eastAsia="宋体" w:cs="宋体"/>
          <w:b/>
          <w:color w:val="auto"/>
          <w:kern w:val="0"/>
          <w:sz w:val="30"/>
          <w:szCs w:val="30"/>
          <w:highlight w:val="none"/>
        </w:rPr>
        <w:t>5.</w:t>
      </w:r>
      <w:r>
        <w:rPr>
          <w:rFonts w:hint="eastAsia" w:ascii="宋体" w:hAnsi="宋体" w:eastAsia="宋体" w:cs="宋体"/>
          <w:b/>
          <w:color w:val="auto"/>
          <w:kern w:val="0"/>
          <w:sz w:val="30"/>
          <w:szCs w:val="30"/>
          <w:highlight w:val="none"/>
          <w:lang w:val="en-US" w:eastAsia="zh-CN"/>
        </w:rPr>
        <w:t>6</w:t>
      </w:r>
      <w:r>
        <w:rPr>
          <w:rFonts w:hint="eastAsia" w:ascii="宋体" w:hAnsi="宋体" w:eastAsia="宋体" w:cs="宋体"/>
          <w:b/>
          <w:color w:val="auto"/>
          <w:kern w:val="0"/>
          <w:sz w:val="30"/>
          <w:szCs w:val="30"/>
          <w:highlight w:val="none"/>
        </w:rPr>
        <w:t xml:space="preserve"> 最近3年投标人牵涉的其他（失信和违法）处罚说明格式</w:t>
      </w:r>
      <w:bookmarkEnd w:id="872"/>
      <w:bookmarkEnd w:id="873"/>
      <w:bookmarkEnd w:id="874"/>
      <w:bookmarkEnd w:id="875"/>
      <w:bookmarkEnd w:id="876"/>
      <w:bookmarkEnd w:id="880"/>
      <w:bookmarkEnd w:id="881"/>
      <w:bookmarkEnd w:id="882"/>
      <w:bookmarkEnd w:id="883"/>
      <w:bookmarkEnd w:id="884"/>
    </w:p>
    <w:p w14:paraId="522AAA31">
      <w:pPr>
        <w:autoSpaceDE w:val="0"/>
        <w:autoSpaceDN w:val="0"/>
        <w:adjustRightInd w:val="0"/>
        <w:spacing w:line="360" w:lineRule="auto"/>
        <w:jc w:val="center"/>
        <w:rPr>
          <w:rFonts w:ascii="宋体" w:hAnsi="宋体" w:eastAsia="宋体" w:cs="宋体"/>
          <w:color w:val="auto"/>
          <w:kern w:val="0"/>
          <w:sz w:val="24"/>
          <w:szCs w:val="24"/>
          <w:highlight w:val="none"/>
        </w:rPr>
      </w:pPr>
      <w:r>
        <w:rPr>
          <w:rFonts w:hint="eastAsia" w:ascii="宋体" w:hAnsi="宋体" w:eastAsia="宋体" w:cs="宋体"/>
          <w:b/>
          <w:color w:val="auto"/>
          <w:kern w:val="0"/>
          <w:sz w:val="30"/>
          <w:szCs w:val="30"/>
          <w:highlight w:val="none"/>
        </w:rPr>
        <w:t>最近3年投标人牵涉的其他（失信和违法）</w:t>
      </w:r>
      <w:r>
        <w:rPr>
          <w:rFonts w:hint="eastAsia" w:ascii="宋体" w:hAnsi="宋体" w:eastAsia="宋体" w:cs="宋体"/>
          <w:b/>
          <w:bCs/>
          <w:color w:val="auto"/>
          <w:sz w:val="32"/>
          <w:szCs w:val="32"/>
          <w:highlight w:val="none"/>
          <w:lang w:val="zh-CN"/>
        </w:rPr>
        <w:t>处罚说明</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3"/>
        <w:gridCol w:w="1417"/>
        <w:gridCol w:w="2268"/>
        <w:gridCol w:w="1276"/>
      </w:tblGrid>
      <w:tr w14:paraId="6676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253" w:type="dxa"/>
            <w:vAlign w:val="center"/>
          </w:tcPr>
          <w:p w14:paraId="3248BB91">
            <w:pPr>
              <w:keepNext w:val="0"/>
              <w:keepLines w:val="0"/>
              <w:suppressLineNumbers w:val="0"/>
              <w:autoSpaceDE w:val="0"/>
              <w:autoSpaceDN w:val="0"/>
              <w:adjustRightInd w:val="0"/>
              <w:spacing w:before="0" w:beforeAutospacing="0" w:after="0" w:afterAutospacing="0" w:line="360" w:lineRule="auto"/>
              <w:ind w:left="0" w:right="0"/>
              <w:jc w:val="left"/>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事项名称</w:t>
            </w:r>
          </w:p>
        </w:tc>
        <w:tc>
          <w:tcPr>
            <w:tcW w:w="1417" w:type="dxa"/>
            <w:vAlign w:val="center"/>
          </w:tcPr>
          <w:p w14:paraId="24A59A0A">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认定时间</w:t>
            </w:r>
          </w:p>
        </w:tc>
        <w:tc>
          <w:tcPr>
            <w:tcW w:w="2268" w:type="dxa"/>
          </w:tcPr>
          <w:p w14:paraId="698AACFB">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处罚期届满异常名录信息失效时间</w:t>
            </w:r>
          </w:p>
        </w:tc>
        <w:tc>
          <w:tcPr>
            <w:tcW w:w="1276" w:type="dxa"/>
            <w:vAlign w:val="center"/>
          </w:tcPr>
          <w:p w14:paraId="47C14A84">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tc>
      </w:tr>
      <w:tr w14:paraId="3A6B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253" w:type="dxa"/>
            <w:vAlign w:val="center"/>
          </w:tcPr>
          <w:p w14:paraId="36742ABA">
            <w:pPr>
              <w:keepNext w:val="0"/>
              <w:keepLines w:val="0"/>
              <w:suppressLineNumbers w:val="0"/>
              <w:autoSpaceDE w:val="0"/>
              <w:autoSpaceDN w:val="0"/>
              <w:adjustRightInd w:val="0"/>
              <w:spacing w:before="0" w:beforeAutospacing="0" w:after="0" w:afterAutospacing="0" w:line="360" w:lineRule="auto"/>
              <w:ind w:left="0" w:right="0"/>
              <w:jc w:val="left"/>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是否被认定为失信被执行人</w:t>
            </w:r>
          </w:p>
        </w:tc>
        <w:tc>
          <w:tcPr>
            <w:tcW w:w="1417" w:type="dxa"/>
            <w:vAlign w:val="center"/>
          </w:tcPr>
          <w:p w14:paraId="17D7DFE5">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2268" w:type="dxa"/>
            <w:vAlign w:val="center"/>
          </w:tcPr>
          <w:p w14:paraId="3605EB4B">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1276" w:type="dxa"/>
            <w:vAlign w:val="center"/>
          </w:tcPr>
          <w:p w14:paraId="2D3F1B2B">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r>
      <w:tr w14:paraId="7127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253" w:type="dxa"/>
            <w:vAlign w:val="center"/>
          </w:tcPr>
          <w:p w14:paraId="53EBB66E">
            <w:pPr>
              <w:keepNext w:val="0"/>
              <w:keepLines w:val="0"/>
              <w:suppressLineNumbers w:val="0"/>
              <w:autoSpaceDE w:val="0"/>
              <w:autoSpaceDN w:val="0"/>
              <w:adjustRightInd w:val="0"/>
              <w:spacing w:before="0" w:beforeAutospacing="0" w:after="0" w:afterAutospacing="0" w:line="360" w:lineRule="auto"/>
              <w:ind w:left="0" w:right="0"/>
              <w:jc w:val="left"/>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是否被认定为重大税收违法失信主体</w:t>
            </w:r>
          </w:p>
        </w:tc>
        <w:tc>
          <w:tcPr>
            <w:tcW w:w="1417" w:type="dxa"/>
            <w:vAlign w:val="center"/>
          </w:tcPr>
          <w:p w14:paraId="7B69A05C">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2268" w:type="dxa"/>
            <w:vAlign w:val="center"/>
          </w:tcPr>
          <w:p w14:paraId="599F2C1F">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1276" w:type="dxa"/>
            <w:vAlign w:val="center"/>
          </w:tcPr>
          <w:p w14:paraId="1B7D8CEB">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r>
      <w:tr w14:paraId="190AF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253" w:type="dxa"/>
            <w:vAlign w:val="center"/>
          </w:tcPr>
          <w:p w14:paraId="2A680D31">
            <w:pPr>
              <w:keepNext w:val="0"/>
              <w:keepLines w:val="0"/>
              <w:suppressLineNumbers w:val="0"/>
              <w:autoSpaceDE w:val="0"/>
              <w:autoSpaceDN w:val="0"/>
              <w:adjustRightInd w:val="0"/>
              <w:spacing w:before="0" w:beforeAutospacing="0" w:after="0" w:afterAutospacing="0" w:line="360" w:lineRule="auto"/>
              <w:ind w:left="0" w:right="0"/>
              <w:jc w:val="left"/>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是否被认定为政府采购严重违法失信行为记录名单</w:t>
            </w:r>
          </w:p>
        </w:tc>
        <w:tc>
          <w:tcPr>
            <w:tcW w:w="1417" w:type="dxa"/>
            <w:vAlign w:val="center"/>
          </w:tcPr>
          <w:p w14:paraId="399D1070">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2268" w:type="dxa"/>
            <w:vAlign w:val="center"/>
          </w:tcPr>
          <w:p w14:paraId="64D77157">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1276" w:type="dxa"/>
            <w:vAlign w:val="center"/>
          </w:tcPr>
          <w:p w14:paraId="3C3439F7">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r>
    </w:tbl>
    <w:p w14:paraId="6D2DDE7A">
      <w:pPr>
        <w:autoSpaceDE w:val="0"/>
        <w:autoSpaceDN w:val="0"/>
        <w:adjustRightInd w:val="0"/>
        <w:spacing w:line="360" w:lineRule="auto"/>
        <w:jc w:val="left"/>
        <w:rPr>
          <w:rFonts w:ascii="宋体" w:hAnsi="宋体" w:eastAsia="宋体" w:cs="宋体"/>
          <w:color w:val="auto"/>
          <w:kern w:val="0"/>
          <w:szCs w:val="21"/>
          <w:highlight w:val="none"/>
        </w:rPr>
      </w:pPr>
    </w:p>
    <w:p w14:paraId="4C5A0884">
      <w:pPr>
        <w:autoSpaceDE w:val="0"/>
        <w:autoSpaceDN w:val="0"/>
        <w:adjustRightInd w:val="0"/>
        <w:spacing w:line="360" w:lineRule="auto"/>
        <w:jc w:val="left"/>
        <w:rPr>
          <w:rFonts w:ascii="宋体" w:hAnsi="宋体" w:eastAsia="宋体" w:cs="宋体"/>
          <w:color w:val="auto"/>
          <w:szCs w:val="21"/>
          <w:highlight w:val="none"/>
          <w:lang w:val="zh-CN"/>
        </w:rPr>
      </w:pPr>
      <w:r>
        <w:rPr>
          <w:rFonts w:hint="eastAsia" w:ascii="宋体" w:hAnsi="宋体" w:eastAsia="宋体" w:cs="宋体"/>
          <w:color w:val="auto"/>
          <w:kern w:val="0"/>
          <w:szCs w:val="21"/>
          <w:highlight w:val="none"/>
        </w:rPr>
        <w:t>备注：根据投标人及其不具有独立法人资格的分支机构的实际情况自行编写，无相关事项的，在 “认定时间”列填“无”；若受到相关处罚的应附处罚相关材料扫描件；若出现相关处罚的处罚期满,但处罚公示没有及时更新的情况,投标人须提供相关材料</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扫描件</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佐证，需原件备查</w:t>
      </w:r>
      <w:r>
        <w:rPr>
          <w:rFonts w:hint="eastAsia" w:ascii="宋体" w:hAnsi="宋体" w:eastAsia="宋体" w:cs="宋体"/>
          <w:color w:val="auto"/>
          <w:szCs w:val="21"/>
          <w:highlight w:val="none"/>
          <w:lang w:val="zh-CN"/>
        </w:rPr>
        <w:t>。</w:t>
      </w:r>
    </w:p>
    <w:p w14:paraId="047739ED">
      <w:pPr>
        <w:autoSpaceDE w:val="0"/>
        <w:autoSpaceDN w:val="0"/>
        <w:adjustRightInd w:val="0"/>
        <w:ind w:right="-23" w:rightChars="-11"/>
        <w:jc w:val="left"/>
        <w:rPr>
          <w:rFonts w:ascii="宋体" w:hAnsi="宋体" w:eastAsia="宋体" w:cs="Times New Roman"/>
          <w:b/>
          <w:bCs/>
          <w:color w:val="auto"/>
          <w:kern w:val="0"/>
          <w:szCs w:val="21"/>
          <w:highlight w:val="none"/>
          <w:lang w:val="zh-CN"/>
        </w:rPr>
      </w:pPr>
    </w:p>
    <w:p w14:paraId="27A556E3">
      <w:pPr>
        <w:autoSpaceDE w:val="0"/>
        <w:autoSpaceDN w:val="0"/>
        <w:adjustRightInd w:val="0"/>
        <w:spacing w:line="360" w:lineRule="auto"/>
        <w:jc w:val="center"/>
        <w:rPr>
          <w:rFonts w:ascii="宋体" w:hAnsi="宋体" w:eastAsia="宋体" w:cs="宋体"/>
          <w:color w:val="auto"/>
          <w:kern w:val="0"/>
          <w:sz w:val="24"/>
          <w:szCs w:val="24"/>
          <w:highlight w:val="none"/>
        </w:rPr>
      </w:pPr>
    </w:p>
    <w:p w14:paraId="2A2E365C">
      <w:pPr>
        <w:spacing w:line="360" w:lineRule="auto"/>
        <w:ind w:firstLine="494" w:firstLineChars="206"/>
        <w:rPr>
          <w:rFonts w:ascii="宋体" w:hAnsi="宋体" w:eastAsia="宋体" w:cs="宋体"/>
          <w:color w:val="auto"/>
          <w:kern w:val="0"/>
          <w:sz w:val="24"/>
          <w:szCs w:val="24"/>
          <w:highlight w:val="none"/>
        </w:rPr>
      </w:pPr>
    </w:p>
    <w:p w14:paraId="726CED6F">
      <w:pPr>
        <w:spacing w:line="360" w:lineRule="auto"/>
        <w:ind w:firstLine="494" w:firstLineChars="206"/>
        <w:rPr>
          <w:rFonts w:ascii="宋体" w:hAnsi="宋体" w:eastAsia="宋体" w:cs="宋体"/>
          <w:color w:val="auto"/>
          <w:kern w:val="0"/>
          <w:sz w:val="24"/>
          <w:szCs w:val="24"/>
          <w:highlight w:val="none"/>
        </w:rPr>
      </w:pPr>
    </w:p>
    <w:p w14:paraId="47204392">
      <w:pPr>
        <w:autoSpaceDE w:val="0"/>
        <w:autoSpaceDN w:val="0"/>
        <w:adjustRightInd w:val="0"/>
        <w:spacing w:line="360" w:lineRule="auto"/>
        <w:ind w:firstLine="3780" w:firstLineChars="180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6DB47BAB">
      <w:pPr>
        <w:autoSpaceDE w:val="0"/>
        <w:autoSpaceDN w:val="0"/>
        <w:adjustRightInd w:val="0"/>
        <w:spacing w:line="360" w:lineRule="auto"/>
        <w:ind w:firstLine="3780" w:firstLineChars="1800"/>
        <w:rPr>
          <w:rFonts w:ascii="宋体" w:hAnsi="宋体" w:eastAsia="宋体" w:cs="Times New Roman"/>
          <w:color w:val="auto"/>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s="Times New Roman"/>
          <w:color w:val="auto"/>
          <w:szCs w:val="24"/>
          <w:highlight w:val="none"/>
          <w:lang w:val="zh-CN"/>
        </w:rPr>
        <w:t>期：   年   月   日</w:t>
      </w:r>
    </w:p>
    <w:p w14:paraId="64CCD662">
      <w:pPr>
        <w:autoSpaceDE w:val="0"/>
        <w:autoSpaceDN w:val="0"/>
        <w:adjustRightInd w:val="0"/>
        <w:spacing w:line="360" w:lineRule="auto"/>
        <w:jc w:val="center"/>
        <w:rPr>
          <w:rFonts w:ascii="宋体" w:hAnsi="宋体" w:eastAsia="宋体" w:cs="Times New Roman"/>
          <w:b/>
          <w:bCs/>
          <w:color w:val="auto"/>
          <w:szCs w:val="24"/>
          <w:highlight w:val="none"/>
          <w:lang w:val="zh-CN"/>
        </w:rPr>
      </w:pPr>
    </w:p>
    <w:p w14:paraId="3061C5DC">
      <w:pPr>
        <w:autoSpaceDE w:val="0"/>
        <w:autoSpaceDN w:val="0"/>
        <w:adjustRightInd w:val="0"/>
        <w:spacing w:line="360" w:lineRule="auto"/>
        <w:jc w:val="center"/>
        <w:rPr>
          <w:rFonts w:ascii="宋体" w:hAnsi="宋体" w:eastAsia="宋体" w:cs="Times New Roman"/>
          <w:b/>
          <w:bCs/>
          <w:color w:val="auto"/>
          <w:szCs w:val="24"/>
          <w:highlight w:val="none"/>
          <w:lang w:val="zh-CN"/>
        </w:rPr>
      </w:pPr>
      <w:r>
        <w:rPr>
          <w:rFonts w:hint="eastAsia" w:ascii="宋体" w:hAnsi="宋体" w:eastAsia="宋体" w:cs="Times New Roman"/>
          <w:b/>
          <w:bCs/>
          <w:color w:val="auto"/>
          <w:szCs w:val="24"/>
          <w:highlight w:val="none"/>
          <w:lang w:val="zh-CN"/>
        </w:rPr>
        <w:t>说明：由投标人使用投标人的企业数字证书电子签名。</w:t>
      </w:r>
    </w:p>
    <w:p w14:paraId="68BE58A5">
      <w:pPr>
        <w:autoSpaceDE w:val="0"/>
        <w:autoSpaceDN w:val="0"/>
        <w:adjustRightInd w:val="0"/>
        <w:spacing w:line="360" w:lineRule="auto"/>
        <w:ind w:right="781" w:rightChars="372" w:firstLine="2811" w:firstLineChars="1339"/>
        <w:rPr>
          <w:rFonts w:ascii="宋体" w:hAnsi="宋体" w:eastAsia="宋体" w:cs="宋体"/>
          <w:color w:val="auto"/>
          <w:szCs w:val="24"/>
          <w:highlight w:val="none"/>
          <w:lang w:val="zh-CN"/>
        </w:rPr>
      </w:pPr>
    </w:p>
    <w:p w14:paraId="67E1EE88">
      <w:pPr>
        <w:rPr>
          <w:rFonts w:ascii="宋体" w:hAnsi="宋体" w:eastAsia="宋体" w:cs="宋体"/>
          <w:color w:val="auto"/>
          <w:szCs w:val="24"/>
          <w:highlight w:val="none"/>
          <w:lang w:val="zh-CN"/>
        </w:rPr>
      </w:pPr>
      <w:bookmarkStart w:id="885" w:name="_Toc1977731"/>
      <w:bookmarkStart w:id="886" w:name="_Toc94107215"/>
      <w:bookmarkStart w:id="887" w:name="_Toc533708126"/>
      <w:bookmarkStart w:id="888" w:name="_Toc6412"/>
      <w:bookmarkStart w:id="889" w:name="_Toc102860423"/>
      <w:bookmarkStart w:id="890" w:name="_Toc2031_WPSOffice_Level2"/>
      <w:bookmarkStart w:id="891" w:name="_Toc486167714"/>
      <w:bookmarkStart w:id="892" w:name="_Toc102860079"/>
      <w:bookmarkStart w:id="893" w:name="_Toc104991881"/>
      <w:bookmarkStart w:id="894" w:name="_Toc142508374"/>
      <w:bookmarkStart w:id="895" w:name="_Toc30939"/>
      <w:bookmarkStart w:id="896" w:name="_Toc140596934"/>
      <w:r>
        <w:rPr>
          <w:rFonts w:ascii="宋体" w:hAnsi="宋体" w:eastAsia="宋体" w:cs="宋体"/>
          <w:color w:val="auto"/>
          <w:szCs w:val="24"/>
          <w:highlight w:val="none"/>
          <w:lang w:val="zh-CN"/>
        </w:rPr>
        <w:br w:type="page"/>
      </w:r>
    </w:p>
    <w:p w14:paraId="36E4CB68">
      <w:pPr>
        <w:tabs>
          <w:tab w:val="left" w:pos="567"/>
        </w:tabs>
        <w:autoSpaceDE w:val="0"/>
        <w:autoSpaceDN w:val="0"/>
        <w:adjustRightInd w:val="0"/>
        <w:spacing w:line="360" w:lineRule="auto"/>
        <w:jc w:val="left"/>
        <w:outlineLvl w:val="2"/>
        <w:rPr>
          <w:rFonts w:ascii="宋体" w:hAnsi="宋体" w:eastAsia="宋体" w:cs="Times New Roman"/>
          <w:color w:val="auto"/>
          <w:kern w:val="0"/>
          <w:szCs w:val="21"/>
          <w:highlight w:val="none"/>
          <w:u w:val="single"/>
        </w:rPr>
      </w:pPr>
      <w:bookmarkStart w:id="897" w:name="_Toc18145"/>
      <w:bookmarkStart w:id="898" w:name="_Toc17508"/>
      <w:bookmarkStart w:id="899" w:name="_Toc195714388"/>
      <w:r>
        <w:rPr>
          <w:rFonts w:hint="eastAsia" w:ascii="宋体" w:hAnsi="宋体" w:eastAsia="宋体" w:cs="宋体"/>
          <w:b/>
          <w:color w:val="auto"/>
          <w:sz w:val="32"/>
          <w:szCs w:val="32"/>
          <w:highlight w:val="none"/>
        </w:rPr>
        <w:t>六</w:t>
      </w:r>
      <w:r>
        <w:rPr>
          <w:rFonts w:hint="eastAsia" w:ascii="宋体" w:hAnsi="宋体" w:eastAsia="宋体" w:cs="宋体"/>
          <w:b/>
          <w:color w:val="auto"/>
          <w:kern w:val="0"/>
          <w:sz w:val="32"/>
          <w:szCs w:val="32"/>
          <w:highlight w:val="none"/>
        </w:rPr>
        <w:t>、投标人基本情况一览表</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14:paraId="72E2E318">
      <w:pPr>
        <w:autoSpaceDE w:val="0"/>
        <w:autoSpaceDN w:val="0"/>
        <w:adjustRightInd w:val="0"/>
        <w:spacing w:line="360" w:lineRule="auto"/>
        <w:jc w:val="center"/>
        <w:rPr>
          <w:rFonts w:ascii="宋体" w:hAnsi="宋体" w:eastAsia="宋体" w:cs="宋体"/>
          <w:b/>
          <w:bCs/>
          <w:color w:val="auto"/>
          <w:sz w:val="30"/>
          <w:szCs w:val="30"/>
          <w:highlight w:val="none"/>
        </w:rPr>
      </w:pPr>
      <w:bookmarkStart w:id="900" w:name="_Toc2773_WPSOffice_Level3"/>
      <w:r>
        <w:rPr>
          <w:rFonts w:hint="eastAsia" w:ascii="宋体" w:hAnsi="宋体" w:eastAsia="宋体" w:cs="宋体"/>
          <w:b/>
          <w:bCs/>
          <w:color w:val="auto"/>
          <w:sz w:val="30"/>
          <w:szCs w:val="30"/>
          <w:highlight w:val="none"/>
          <w:lang w:val="zh-CN"/>
        </w:rPr>
        <w:t>投标人基本情况一览表</w:t>
      </w:r>
      <w:bookmarkEnd w:id="900"/>
    </w:p>
    <w:p w14:paraId="38EDD2C4">
      <w:pPr>
        <w:autoSpaceDE w:val="0"/>
        <w:autoSpaceDN w:val="0"/>
        <w:adjustRightInd w:val="0"/>
        <w:spacing w:line="360" w:lineRule="auto"/>
        <w:ind w:firstLine="420"/>
        <w:rPr>
          <w:rFonts w:ascii="宋体" w:hAnsi="宋体" w:eastAsia="宋体" w:cs="宋体"/>
          <w:color w:val="auto"/>
          <w:szCs w:val="21"/>
          <w:highlight w:val="none"/>
        </w:rPr>
      </w:pPr>
      <w:r>
        <w:rPr>
          <w:rFonts w:hint="eastAsia" w:ascii="宋体" w:hAnsi="宋体" w:eastAsia="宋体" w:cs="宋体"/>
          <w:color w:val="auto"/>
          <w:szCs w:val="21"/>
          <w:highlight w:val="none"/>
          <w:lang w:val="zh-CN"/>
        </w:rPr>
        <w:t>1．名称及概况：</w:t>
      </w:r>
    </w:p>
    <w:p w14:paraId="51A4A3CC">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（1）投标人名称：________________________________________</w:t>
      </w:r>
    </w:p>
    <w:p w14:paraId="01A43269">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（2）总部地址：__________________________________________</w:t>
      </w:r>
    </w:p>
    <w:p w14:paraId="7D2FE807">
      <w:pPr>
        <w:autoSpaceDE w:val="0"/>
        <w:autoSpaceDN w:val="0"/>
        <w:adjustRightInd w:val="0"/>
        <w:spacing w:line="360" w:lineRule="auto"/>
        <w:ind w:firstLine="66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 xml:space="preserve">   邮政编码：__________________________________________</w:t>
      </w:r>
    </w:p>
    <w:p w14:paraId="141F982A">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 xml:space="preserve">     电话号码：__________________________________________ </w:t>
      </w:r>
    </w:p>
    <w:p w14:paraId="68C972EF">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 xml:space="preserve">     传真号码：__________________________________________ </w:t>
      </w:r>
    </w:p>
    <w:p w14:paraId="024E431B">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（3）成立和／或注册日期：________________________________</w:t>
      </w:r>
    </w:p>
    <w:p w14:paraId="1B4DFE15">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（4）法人代表：__________________________________________</w:t>
      </w:r>
    </w:p>
    <w:p w14:paraId="6E9F99AE">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（5）开户银行：__________________________________________</w:t>
      </w:r>
    </w:p>
    <w:p w14:paraId="734BDD6A">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（6）开户账号：__________________________________________</w:t>
      </w:r>
    </w:p>
    <w:p w14:paraId="3E56CA85">
      <w:pPr>
        <w:autoSpaceDE w:val="0"/>
        <w:autoSpaceDN w:val="0"/>
        <w:adjustRightInd w:val="0"/>
        <w:spacing w:line="360" w:lineRule="auto"/>
        <w:ind w:firstLine="42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（7）注册资金：__________________________________________</w:t>
      </w:r>
    </w:p>
    <w:p w14:paraId="68AA01B2">
      <w:pPr>
        <w:autoSpaceDE w:val="0"/>
        <w:autoSpaceDN w:val="0"/>
        <w:adjustRightInd w:val="0"/>
        <w:spacing w:line="360" w:lineRule="auto"/>
        <w:ind w:firstLine="420"/>
        <w:rPr>
          <w:rFonts w:ascii="宋体" w:hAnsi="宋体" w:eastAsia="宋体" w:cs="宋体"/>
          <w:color w:val="auto"/>
          <w:szCs w:val="24"/>
          <w:highlight w:val="none"/>
        </w:rPr>
      </w:pPr>
      <w:r>
        <w:rPr>
          <w:rFonts w:hint="eastAsia" w:ascii="宋体" w:hAnsi="宋体" w:eastAsia="宋体" w:cs="宋体"/>
          <w:color w:val="auto"/>
          <w:szCs w:val="24"/>
          <w:highlight w:val="none"/>
          <w:lang w:val="zh-CN"/>
        </w:rPr>
        <w:t>（8）主要负责人姓名：____________________________________</w:t>
      </w:r>
    </w:p>
    <w:p w14:paraId="76AAC42B">
      <w:pPr>
        <w:autoSpaceDE w:val="0"/>
        <w:autoSpaceDN w:val="0"/>
        <w:adjustRightInd w:val="0"/>
        <w:spacing w:line="360" w:lineRule="auto"/>
        <w:ind w:firstLine="420"/>
        <w:rPr>
          <w:rFonts w:ascii="宋体" w:hAnsi="宋体" w:eastAsia="宋体" w:cs="宋体"/>
          <w:color w:val="auto"/>
          <w:szCs w:val="24"/>
          <w:highlight w:val="none"/>
        </w:rPr>
      </w:pPr>
      <w:r>
        <w:rPr>
          <w:rFonts w:hint="eastAsia" w:ascii="宋体" w:hAnsi="宋体" w:eastAsia="宋体" w:cs="宋体"/>
          <w:color w:val="auto"/>
          <w:szCs w:val="24"/>
          <w:highlight w:val="none"/>
          <w:lang w:val="zh-CN"/>
        </w:rPr>
        <w:t xml:space="preserve">（9）项目主要联系人（姓名、职务、通讯）：_________________   </w:t>
      </w:r>
    </w:p>
    <w:p w14:paraId="594125BB">
      <w:pPr>
        <w:autoSpaceDE w:val="0"/>
        <w:autoSpaceDN w:val="0"/>
        <w:adjustRightInd w:val="0"/>
        <w:spacing w:line="360" w:lineRule="auto"/>
        <w:ind w:firstLine="420"/>
        <w:rPr>
          <w:rFonts w:ascii="宋体" w:hAnsi="宋体" w:eastAsia="宋体" w:cs="宋体"/>
          <w:color w:val="auto"/>
          <w:szCs w:val="24"/>
          <w:highlight w:val="none"/>
        </w:rPr>
      </w:pPr>
      <w:r>
        <w:rPr>
          <w:rFonts w:hint="eastAsia" w:ascii="宋体" w:hAnsi="宋体" w:eastAsia="宋体" w:cs="宋体"/>
          <w:color w:val="auto"/>
          <w:szCs w:val="24"/>
          <w:highlight w:val="none"/>
          <w:lang w:val="zh-CN"/>
        </w:rPr>
        <w:t>（10）在中国的代表的姓名和地址（如有）：__________________</w:t>
      </w:r>
    </w:p>
    <w:p w14:paraId="149AA6F9">
      <w:pPr>
        <w:autoSpaceDE w:val="0"/>
        <w:autoSpaceDN w:val="0"/>
        <w:adjustRightInd w:val="0"/>
        <w:spacing w:line="360" w:lineRule="auto"/>
        <w:ind w:firstLine="420"/>
        <w:rPr>
          <w:rFonts w:ascii="宋体" w:hAnsi="宋体" w:eastAsia="宋体" w:cs="宋体"/>
          <w:color w:val="auto"/>
          <w:szCs w:val="24"/>
          <w:highlight w:val="none"/>
        </w:rPr>
      </w:pPr>
      <w:r>
        <w:rPr>
          <w:rFonts w:hint="eastAsia" w:ascii="宋体" w:hAnsi="宋体" w:eastAsia="宋体" w:cs="宋体"/>
          <w:color w:val="auto"/>
          <w:szCs w:val="24"/>
          <w:highlight w:val="none"/>
          <w:lang w:val="zh-CN"/>
        </w:rPr>
        <w:t>2．供征询之银行的名称和地址：____________________________</w:t>
      </w:r>
    </w:p>
    <w:p w14:paraId="789896CD">
      <w:pPr>
        <w:autoSpaceDE w:val="0"/>
        <w:autoSpaceDN w:val="0"/>
        <w:adjustRightInd w:val="0"/>
        <w:spacing w:line="360" w:lineRule="auto"/>
        <w:rPr>
          <w:rFonts w:ascii="宋体" w:hAnsi="宋体" w:eastAsia="宋体" w:cs="宋体"/>
          <w:color w:val="auto"/>
          <w:szCs w:val="24"/>
          <w:highlight w:val="none"/>
        </w:rPr>
      </w:pPr>
      <w:r>
        <w:rPr>
          <w:rFonts w:hint="eastAsia" w:ascii="宋体" w:hAnsi="宋体" w:eastAsia="宋体" w:cs="宋体"/>
          <w:color w:val="auto"/>
          <w:szCs w:val="24"/>
          <w:highlight w:val="none"/>
          <w:lang w:val="zh-CN"/>
        </w:rPr>
        <w:t xml:space="preserve">    3．公司所隶属之国际集团名称（如果是）____________________</w:t>
      </w:r>
    </w:p>
    <w:p w14:paraId="1EFE4165">
      <w:pPr>
        <w:autoSpaceDE w:val="0"/>
        <w:autoSpaceDN w:val="0"/>
        <w:adjustRightInd w:val="0"/>
        <w:spacing w:line="360" w:lineRule="auto"/>
        <w:ind w:firstLine="420"/>
        <w:rPr>
          <w:rFonts w:ascii="宋体" w:hAnsi="宋体" w:eastAsia="宋体" w:cs="宋体"/>
          <w:color w:val="auto"/>
          <w:szCs w:val="24"/>
          <w:highlight w:val="none"/>
        </w:rPr>
      </w:pPr>
      <w:r>
        <w:rPr>
          <w:rFonts w:hint="eastAsia" w:ascii="宋体" w:hAnsi="宋体" w:eastAsia="宋体" w:cs="宋体"/>
          <w:color w:val="auto"/>
          <w:szCs w:val="24"/>
          <w:highlight w:val="none"/>
          <w:lang w:val="zh-CN"/>
        </w:rPr>
        <w:t>4. 提交资料（包括但不限于组织架构、公司简介等）：</w:t>
      </w:r>
    </w:p>
    <w:p w14:paraId="453E0617">
      <w:pPr>
        <w:autoSpaceDE w:val="0"/>
        <w:autoSpaceDN w:val="0"/>
        <w:adjustRightInd w:val="0"/>
        <w:spacing w:line="360" w:lineRule="auto"/>
        <w:ind w:firstLine="630" w:firstLineChars="3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（1）公司简介；</w:t>
      </w:r>
    </w:p>
    <w:p w14:paraId="63C5BF63">
      <w:pPr>
        <w:autoSpaceDE w:val="0"/>
        <w:autoSpaceDN w:val="0"/>
        <w:adjustRightInd w:val="0"/>
        <w:spacing w:line="360" w:lineRule="auto"/>
        <w:ind w:firstLine="1155" w:firstLineChars="55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__________________________________________________</w:t>
      </w:r>
    </w:p>
    <w:p w14:paraId="25C05F77">
      <w:pPr>
        <w:autoSpaceDE w:val="0"/>
        <w:autoSpaceDN w:val="0"/>
        <w:adjustRightInd w:val="0"/>
        <w:spacing w:line="360" w:lineRule="auto"/>
        <w:ind w:firstLine="630" w:firstLineChars="3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（2）公司组织架构；</w:t>
      </w:r>
    </w:p>
    <w:p w14:paraId="700536ED">
      <w:pPr>
        <w:autoSpaceDE w:val="0"/>
        <w:autoSpaceDN w:val="0"/>
        <w:adjustRightInd w:val="0"/>
        <w:spacing w:line="360" w:lineRule="auto"/>
        <w:ind w:firstLine="1155" w:firstLineChars="55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__________________________________________________</w:t>
      </w:r>
    </w:p>
    <w:p w14:paraId="5B5052BB">
      <w:pPr>
        <w:autoSpaceDE w:val="0"/>
        <w:autoSpaceDN w:val="0"/>
        <w:adjustRightInd w:val="0"/>
        <w:spacing w:line="360" w:lineRule="auto"/>
        <w:ind w:left="836" w:leftChars="137" w:hanging="548" w:hangingChars="261"/>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（3）东莞市内设有分支机构情况介绍[应提供该分支机构的多证合一营业执照原件扫描件等证明材料]（若无前述分支机构的无需介绍）。</w:t>
      </w:r>
    </w:p>
    <w:p w14:paraId="3F6613DA">
      <w:pPr>
        <w:autoSpaceDE w:val="0"/>
        <w:autoSpaceDN w:val="0"/>
        <w:adjustRightInd w:val="0"/>
        <w:spacing w:line="360" w:lineRule="auto"/>
        <w:ind w:firstLine="42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兹证明上述说明是真实、正确的，并提供了全部能提供的资料和数据，我们同意遵照贵方要求出示有关证明文件。</w:t>
      </w:r>
    </w:p>
    <w:p w14:paraId="4520FDAD">
      <w:pPr>
        <w:autoSpaceDE w:val="0"/>
        <w:autoSpaceDN w:val="0"/>
        <w:adjustRightInd w:val="0"/>
        <w:spacing w:line="360" w:lineRule="auto"/>
        <w:ind w:firstLine="420" w:firstLineChars="200"/>
        <w:rPr>
          <w:rFonts w:ascii="宋体" w:hAnsi="宋体" w:eastAsia="宋体" w:cs="宋体"/>
          <w:color w:val="auto"/>
          <w:szCs w:val="24"/>
          <w:highlight w:val="none"/>
        </w:rPr>
      </w:pPr>
    </w:p>
    <w:p w14:paraId="57E7BD5D">
      <w:pPr>
        <w:autoSpaceDE w:val="0"/>
        <w:autoSpaceDN w:val="0"/>
        <w:adjustRightInd w:val="0"/>
        <w:spacing w:line="360" w:lineRule="auto"/>
        <w:ind w:firstLine="3780" w:firstLineChars="180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212FCF98">
      <w:pPr>
        <w:autoSpaceDE w:val="0"/>
        <w:autoSpaceDN w:val="0"/>
        <w:adjustRightInd w:val="0"/>
        <w:spacing w:line="360" w:lineRule="auto"/>
        <w:ind w:firstLine="3780" w:firstLineChars="1800"/>
        <w:rPr>
          <w:rFonts w:ascii="宋体" w:hAnsi="宋体" w:eastAsia="宋体" w:cs="Times New Roman"/>
          <w:color w:val="auto"/>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s="Times New Roman"/>
          <w:color w:val="auto"/>
          <w:szCs w:val="24"/>
          <w:highlight w:val="none"/>
          <w:lang w:val="zh-CN"/>
        </w:rPr>
        <w:t>期：   年   月   日</w:t>
      </w:r>
    </w:p>
    <w:p w14:paraId="77E1FFBA">
      <w:pPr>
        <w:autoSpaceDE w:val="0"/>
        <w:autoSpaceDN w:val="0"/>
        <w:adjustRightInd w:val="0"/>
        <w:spacing w:line="360" w:lineRule="auto"/>
        <w:jc w:val="center"/>
        <w:rPr>
          <w:rFonts w:ascii="宋体" w:hAnsi="宋体" w:eastAsia="宋体" w:cs="Times New Roman"/>
          <w:b/>
          <w:bCs/>
          <w:color w:val="auto"/>
          <w:szCs w:val="24"/>
          <w:highlight w:val="none"/>
          <w:lang w:val="zh-CN"/>
        </w:rPr>
      </w:pPr>
    </w:p>
    <w:p w14:paraId="237E19B2">
      <w:pPr>
        <w:autoSpaceDE w:val="0"/>
        <w:autoSpaceDN w:val="0"/>
        <w:adjustRightInd w:val="0"/>
        <w:spacing w:line="360" w:lineRule="auto"/>
        <w:jc w:val="center"/>
        <w:rPr>
          <w:rFonts w:ascii="宋体" w:hAnsi="宋体" w:eastAsia="宋体" w:cs="宋体"/>
          <w:color w:val="auto"/>
          <w:szCs w:val="24"/>
          <w:highlight w:val="none"/>
          <w:lang w:val="zh-CN"/>
        </w:rPr>
      </w:pPr>
      <w:r>
        <w:rPr>
          <w:rFonts w:hint="eastAsia" w:ascii="宋体" w:hAnsi="宋体" w:eastAsia="宋体" w:cs="Times New Roman"/>
          <w:b/>
          <w:bCs/>
          <w:color w:val="auto"/>
          <w:szCs w:val="24"/>
          <w:highlight w:val="none"/>
          <w:lang w:val="zh-CN"/>
        </w:rPr>
        <w:t>说明：由投标人使用投标人的企业数字证书电子签名。</w:t>
      </w:r>
    </w:p>
    <w:p w14:paraId="2E526866">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auto"/>
          <w:kern w:val="0"/>
          <w:sz w:val="32"/>
          <w:szCs w:val="32"/>
          <w:highlight w:val="none"/>
        </w:rPr>
      </w:pPr>
      <w:r>
        <w:rPr>
          <w:rFonts w:hint="eastAsia" w:ascii="宋体" w:hAnsi="宋体" w:eastAsia="宋体" w:cs="宋体"/>
          <w:color w:val="auto"/>
          <w:szCs w:val="24"/>
          <w:highlight w:val="none"/>
          <w:lang w:val="zh-CN"/>
        </w:rPr>
        <w:br w:type="page"/>
      </w:r>
      <w:bookmarkStart w:id="901" w:name="_Toc29014"/>
      <w:bookmarkStart w:id="902" w:name="_Toc140596935"/>
      <w:bookmarkStart w:id="903" w:name="_Toc285"/>
      <w:bookmarkStart w:id="904" w:name="_Toc94107216"/>
      <w:bookmarkStart w:id="905" w:name="_Toc142508375"/>
      <w:bookmarkStart w:id="906" w:name="_Toc4023"/>
      <w:bookmarkStart w:id="907" w:name="_Toc10443"/>
      <w:bookmarkStart w:id="908" w:name="_Toc104991882"/>
      <w:bookmarkStart w:id="909" w:name="_Toc102860424"/>
      <w:bookmarkStart w:id="910" w:name="_Toc195714389"/>
      <w:bookmarkStart w:id="911" w:name="_Toc102860080"/>
      <w:bookmarkStart w:id="912" w:name="_Toc486167715"/>
      <w:bookmarkStart w:id="913" w:name="_Toc9051_WPSOffice_Level2"/>
      <w:bookmarkStart w:id="914" w:name="_Toc1977733"/>
      <w:bookmarkStart w:id="915" w:name="_Toc533708128"/>
      <w:r>
        <w:rPr>
          <w:rFonts w:hint="eastAsia" w:ascii="宋体" w:hAnsi="宋体" w:eastAsia="宋体" w:cs="宋体"/>
          <w:b/>
          <w:color w:val="auto"/>
          <w:sz w:val="32"/>
          <w:szCs w:val="32"/>
          <w:highlight w:val="none"/>
        </w:rPr>
        <w:t>七</w:t>
      </w:r>
      <w:r>
        <w:rPr>
          <w:rFonts w:hint="eastAsia" w:ascii="宋体" w:hAnsi="宋体" w:eastAsia="宋体" w:cs="宋体"/>
          <w:b/>
          <w:color w:val="auto"/>
          <w:sz w:val="32"/>
          <w:szCs w:val="32"/>
          <w:highlight w:val="none"/>
          <w:lang w:val="zh-CN"/>
        </w:rPr>
        <w:t>、投标人财务状况表格式</w:t>
      </w:r>
      <w:bookmarkEnd w:id="901"/>
      <w:bookmarkEnd w:id="902"/>
      <w:bookmarkEnd w:id="903"/>
      <w:bookmarkEnd w:id="904"/>
      <w:bookmarkEnd w:id="905"/>
      <w:bookmarkEnd w:id="906"/>
      <w:bookmarkEnd w:id="907"/>
      <w:bookmarkEnd w:id="908"/>
      <w:bookmarkEnd w:id="909"/>
      <w:bookmarkEnd w:id="910"/>
      <w:bookmarkEnd w:id="911"/>
    </w:p>
    <w:p w14:paraId="430C9720">
      <w:pPr>
        <w:autoSpaceDE w:val="0"/>
        <w:autoSpaceDN w:val="0"/>
        <w:adjustRightInd w:val="0"/>
        <w:spacing w:line="360" w:lineRule="auto"/>
        <w:jc w:val="center"/>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 xml:space="preserve">投标人财务状况表 </w:t>
      </w:r>
    </w:p>
    <w:p w14:paraId="3D332FCE">
      <w:pPr>
        <w:autoSpaceDE w:val="0"/>
        <w:autoSpaceDN w:val="0"/>
        <w:adjustRightInd w:val="0"/>
        <w:spacing w:line="360" w:lineRule="auto"/>
        <w:jc w:val="righ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[价格单位：（人民币）元]</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66"/>
        <w:gridCol w:w="1944"/>
        <w:gridCol w:w="1946"/>
        <w:gridCol w:w="2713"/>
        <w:gridCol w:w="2060"/>
      </w:tblGrid>
      <w:tr w14:paraId="3DC02E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1166" w:type="dxa"/>
            <w:vAlign w:val="center"/>
          </w:tcPr>
          <w:p w14:paraId="6C02B579">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年  度</w:t>
            </w:r>
          </w:p>
        </w:tc>
        <w:tc>
          <w:tcPr>
            <w:tcW w:w="1944" w:type="dxa"/>
            <w:vAlign w:val="center"/>
          </w:tcPr>
          <w:p w14:paraId="1EFB19E9">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总资产（元）</w:t>
            </w:r>
          </w:p>
        </w:tc>
        <w:tc>
          <w:tcPr>
            <w:tcW w:w="1946" w:type="dxa"/>
            <w:vAlign w:val="center"/>
          </w:tcPr>
          <w:p w14:paraId="69E710BD">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净资产（元）</w:t>
            </w:r>
          </w:p>
        </w:tc>
        <w:tc>
          <w:tcPr>
            <w:tcW w:w="2713" w:type="dxa"/>
            <w:vAlign w:val="center"/>
          </w:tcPr>
          <w:p w14:paraId="06FB0726">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年营业额（元）</w:t>
            </w:r>
          </w:p>
        </w:tc>
        <w:tc>
          <w:tcPr>
            <w:tcW w:w="2060" w:type="dxa"/>
            <w:vAlign w:val="center"/>
          </w:tcPr>
          <w:p w14:paraId="294ADA2C">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年净利润（元）</w:t>
            </w:r>
          </w:p>
        </w:tc>
      </w:tr>
      <w:tr w14:paraId="2DF571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1166" w:type="dxa"/>
            <w:vAlign w:val="center"/>
          </w:tcPr>
          <w:p w14:paraId="20D5A8A7">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202</w:t>
            </w:r>
            <w:r>
              <w:rPr>
                <w:rFonts w:hint="eastAsia" w:ascii="宋体" w:hAnsi="宋体" w:eastAsia="宋体" w:cs="宋体"/>
                <w:color w:val="auto"/>
                <w:kern w:val="0"/>
                <w:szCs w:val="21"/>
                <w:highlight w:val="none"/>
                <w:lang w:val="en-US" w:eastAsia="zh-CN"/>
              </w:rPr>
              <w:t>2</w:t>
            </w:r>
          </w:p>
        </w:tc>
        <w:tc>
          <w:tcPr>
            <w:tcW w:w="1944" w:type="dxa"/>
            <w:vAlign w:val="center"/>
          </w:tcPr>
          <w:p w14:paraId="32D6C511">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1946" w:type="dxa"/>
            <w:vAlign w:val="center"/>
          </w:tcPr>
          <w:p w14:paraId="0F82B57D">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2713" w:type="dxa"/>
            <w:vAlign w:val="center"/>
          </w:tcPr>
          <w:p w14:paraId="62067FE4">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2060" w:type="dxa"/>
            <w:vAlign w:val="center"/>
          </w:tcPr>
          <w:p w14:paraId="47FD2D30">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r>
      <w:tr w14:paraId="2CE63C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166" w:type="dxa"/>
            <w:vAlign w:val="center"/>
          </w:tcPr>
          <w:p w14:paraId="44CA2770">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202</w:t>
            </w:r>
            <w:r>
              <w:rPr>
                <w:rFonts w:hint="eastAsia" w:ascii="宋体" w:hAnsi="宋体" w:eastAsia="宋体" w:cs="宋体"/>
                <w:color w:val="auto"/>
                <w:kern w:val="0"/>
                <w:szCs w:val="21"/>
                <w:highlight w:val="none"/>
                <w:lang w:val="en-US" w:eastAsia="zh-CN"/>
              </w:rPr>
              <w:t>3</w:t>
            </w:r>
          </w:p>
        </w:tc>
        <w:tc>
          <w:tcPr>
            <w:tcW w:w="1944" w:type="dxa"/>
            <w:vAlign w:val="center"/>
          </w:tcPr>
          <w:p w14:paraId="6D54A0E9">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1946" w:type="dxa"/>
            <w:vAlign w:val="center"/>
          </w:tcPr>
          <w:p w14:paraId="0811688E">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2713" w:type="dxa"/>
          </w:tcPr>
          <w:p w14:paraId="178AA82D">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2060" w:type="dxa"/>
            <w:vAlign w:val="center"/>
          </w:tcPr>
          <w:p w14:paraId="49695BFC">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r>
      <w:tr w14:paraId="6D80D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166" w:type="dxa"/>
            <w:vAlign w:val="center"/>
          </w:tcPr>
          <w:p w14:paraId="703ABD98">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202</w:t>
            </w:r>
            <w:r>
              <w:rPr>
                <w:rFonts w:hint="eastAsia" w:ascii="宋体" w:hAnsi="宋体" w:eastAsia="宋体" w:cs="宋体"/>
                <w:color w:val="auto"/>
                <w:kern w:val="0"/>
                <w:szCs w:val="21"/>
                <w:highlight w:val="none"/>
                <w:lang w:val="en-US" w:eastAsia="zh-CN"/>
              </w:rPr>
              <w:t>4</w:t>
            </w:r>
          </w:p>
        </w:tc>
        <w:tc>
          <w:tcPr>
            <w:tcW w:w="1944" w:type="dxa"/>
            <w:vAlign w:val="center"/>
          </w:tcPr>
          <w:p w14:paraId="7F4590B0">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1946" w:type="dxa"/>
            <w:vAlign w:val="center"/>
          </w:tcPr>
          <w:p w14:paraId="3370434B">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2713" w:type="dxa"/>
          </w:tcPr>
          <w:p w14:paraId="5EDB5437">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2060" w:type="dxa"/>
            <w:vAlign w:val="center"/>
          </w:tcPr>
          <w:p w14:paraId="434DA565">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r>
      <w:tr w14:paraId="48EA71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5056" w:type="dxa"/>
            <w:gridSpan w:val="3"/>
            <w:vAlign w:val="center"/>
          </w:tcPr>
          <w:p w14:paraId="34803E6E">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总计</w:t>
            </w:r>
          </w:p>
        </w:tc>
        <w:tc>
          <w:tcPr>
            <w:tcW w:w="2713" w:type="dxa"/>
          </w:tcPr>
          <w:p w14:paraId="0710F11A">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c>
          <w:tcPr>
            <w:tcW w:w="2060" w:type="dxa"/>
            <w:vAlign w:val="center"/>
          </w:tcPr>
          <w:p w14:paraId="6210C3EC">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宋体"/>
                <w:color w:val="auto"/>
                <w:kern w:val="0"/>
                <w:szCs w:val="21"/>
                <w:highlight w:val="none"/>
              </w:rPr>
            </w:pPr>
          </w:p>
        </w:tc>
      </w:tr>
    </w:tbl>
    <w:p w14:paraId="7A65646D">
      <w:pPr>
        <w:spacing w:line="36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需提供对应年度经独立会计师事务所审计的审计报告及投标人财务状况表；若投标人为新成立或未进行独立会计师事务所审计的，本表中对应年度的财务信息应填写“/”，投标人的投标文件不作无效投标处理，但存在因不符合评标办法中的评分标准而导致对应项不得分。</w:t>
      </w:r>
    </w:p>
    <w:p w14:paraId="7BC08BD8">
      <w:pPr>
        <w:autoSpaceDE w:val="0"/>
        <w:autoSpaceDN w:val="0"/>
        <w:adjustRightInd w:val="0"/>
        <w:spacing w:line="360" w:lineRule="auto"/>
        <w:ind w:firstLine="5409" w:firstLineChars="2576"/>
        <w:rPr>
          <w:rFonts w:ascii="宋体" w:hAnsi="宋体" w:eastAsia="宋体" w:cs="宋体"/>
          <w:color w:val="auto"/>
          <w:szCs w:val="24"/>
          <w:highlight w:val="none"/>
          <w:lang w:val="zh-CN"/>
        </w:rPr>
      </w:pPr>
    </w:p>
    <w:p w14:paraId="74CA743E">
      <w:pPr>
        <w:autoSpaceDE w:val="0"/>
        <w:autoSpaceDN w:val="0"/>
        <w:adjustRightInd w:val="0"/>
        <w:spacing w:line="360" w:lineRule="auto"/>
        <w:ind w:firstLine="3780" w:firstLineChars="1800"/>
        <w:rPr>
          <w:rFonts w:ascii="宋体" w:hAnsi="宋体" w:eastAsia="宋体" w:cs="宋体"/>
          <w:color w:val="auto"/>
          <w:szCs w:val="21"/>
          <w:highlight w:val="none"/>
          <w:lang w:val="zh-CN"/>
        </w:rPr>
      </w:pPr>
    </w:p>
    <w:p w14:paraId="4B7C3EB5">
      <w:pPr>
        <w:autoSpaceDE w:val="0"/>
        <w:autoSpaceDN w:val="0"/>
        <w:adjustRightInd w:val="0"/>
        <w:spacing w:line="360" w:lineRule="auto"/>
        <w:ind w:firstLine="3780" w:firstLineChars="1800"/>
        <w:rPr>
          <w:rFonts w:ascii="宋体" w:hAnsi="宋体" w:eastAsia="宋体" w:cs="宋体"/>
          <w:color w:val="auto"/>
          <w:szCs w:val="21"/>
          <w:highlight w:val="none"/>
          <w:lang w:val="zh-CN"/>
        </w:rPr>
      </w:pPr>
    </w:p>
    <w:p w14:paraId="3DEA5C71">
      <w:pPr>
        <w:autoSpaceDE w:val="0"/>
        <w:autoSpaceDN w:val="0"/>
        <w:adjustRightInd w:val="0"/>
        <w:spacing w:line="360" w:lineRule="auto"/>
        <w:ind w:firstLine="3780" w:firstLineChars="180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1FD7FA70">
      <w:pPr>
        <w:autoSpaceDE w:val="0"/>
        <w:autoSpaceDN w:val="0"/>
        <w:adjustRightInd w:val="0"/>
        <w:spacing w:line="360" w:lineRule="auto"/>
        <w:ind w:firstLine="3780" w:firstLineChars="1800"/>
        <w:rPr>
          <w:rFonts w:ascii="宋体" w:hAnsi="宋体" w:eastAsia="宋体" w:cs="Times New Roman"/>
          <w:color w:val="auto"/>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s="Times New Roman"/>
          <w:color w:val="auto"/>
          <w:szCs w:val="24"/>
          <w:highlight w:val="none"/>
          <w:lang w:val="zh-CN"/>
        </w:rPr>
        <w:t>期：   年   月   日</w:t>
      </w:r>
    </w:p>
    <w:p w14:paraId="2826F57C">
      <w:pPr>
        <w:autoSpaceDE w:val="0"/>
        <w:autoSpaceDN w:val="0"/>
        <w:adjustRightInd w:val="0"/>
        <w:spacing w:line="360" w:lineRule="auto"/>
        <w:jc w:val="center"/>
        <w:rPr>
          <w:rFonts w:ascii="宋体" w:hAnsi="宋体" w:eastAsia="宋体" w:cs="Times New Roman"/>
          <w:b/>
          <w:bCs/>
          <w:color w:val="auto"/>
          <w:szCs w:val="24"/>
          <w:highlight w:val="none"/>
          <w:lang w:val="zh-CN"/>
        </w:rPr>
      </w:pPr>
    </w:p>
    <w:p w14:paraId="47DE9DFF">
      <w:pPr>
        <w:autoSpaceDE w:val="0"/>
        <w:autoSpaceDN w:val="0"/>
        <w:adjustRightInd w:val="0"/>
        <w:spacing w:line="360" w:lineRule="auto"/>
        <w:jc w:val="center"/>
        <w:rPr>
          <w:rFonts w:ascii="宋体" w:hAnsi="宋体" w:eastAsia="宋体" w:cs="宋体"/>
          <w:color w:val="auto"/>
          <w:szCs w:val="24"/>
          <w:highlight w:val="none"/>
          <w:lang w:val="zh-CN"/>
        </w:rPr>
      </w:pPr>
      <w:r>
        <w:rPr>
          <w:rFonts w:hint="eastAsia" w:ascii="宋体" w:hAnsi="宋体" w:eastAsia="宋体" w:cs="Times New Roman"/>
          <w:b/>
          <w:bCs/>
          <w:color w:val="auto"/>
          <w:szCs w:val="24"/>
          <w:highlight w:val="none"/>
          <w:lang w:val="zh-CN"/>
        </w:rPr>
        <w:t>说明：由投标人使用投标人的企业数字证书电子签名。</w:t>
      </w:r>
    </w:p>
    <w:p w14:paraId="4BC0D7FB">
      <w:pPr>
        <w:autoSpaceDE w:val="0"/>
        <w:autoSpaceDN w:val="0"/>
        <w:adjustRightInd w:val="0"/>
        <w:spacing w:line="360" w:lineRule="auto"/>
        <w:ind w:firstLine="6274" w:firstLineChars="2976"/>
        <w:rPr>
          <w:rFonts w:ascii="宋体" w:hAnsi="宋体" w:eastAsia="宋体" w:cs="宋体"/>
          <w:b/>
          <w:bCs/>
          <w:color w:val="auto"/>
          <w:kern w:val="0"/>
          <w:szCs w:val="21"/>
          <w:highlight w:val="none"/>
        </w:rPr>
        <w:sectPr>
          <w:footerReference r:id="rId9" w:type="default"/>
          <w:pgSz w:w="11907" w:h="16840"/>
          <w:pgMar w:top="1701" w:right="1418" w:bottom="851" w:left="1418" w:header="720" w:footer="720" w:gutter="0"/>
          <w:cols w:space="720" w:num="1"/>
          <w:titlePg/>
          <w:docGrid w:linePitch="326" w:charSpace="0"/>
        </w:sectPr>
      </w:pPr>
    </w:p>
    <w:bookmarkEnd w:id="912"/>
    <w:bookmarkEnd w:id="913"/>
    <w:bookmarkEnd w:id="914"/>
    <w:bookmarkEnd w:id="915"/>
    <w:p w14:paraId="6DF02905">
      <w:pPr>
        <w:tabs>
          <w:tab w:val="left" w:pos="567"/>
        </w:tabs>
        <w:autoSpaceDE w:val="0"/>
        <w:autoSpaceDN w:val="0"/>
        <w:adjustRightInd w:val="0"/>
        <w:spacing w:line="360" w:lineRule="auto"/>
        <w:jc w:val="left"/>
        <w:outlineLvl w:val="2"/>
        <w:rPr>
          <w:rFonts w:ascii="宋体" w:hAnsi="宋体" w:eastAsia="宋体" w:cs="宋体"/>
          <w:b/>
          <w:color w:val="auto"/>
          <w:kern w:val="0"/>
          <w:sz w:val="32"/>
          <w:szCs w:val="32"/>
          <w:highlight w:val="none"/>
          <w:lang w:val="zh-CN"/>
        </w:rPr>
      </w:pPr>
      <w:bookmarkStart w:id="916" w:name="_Toc1977736"/>
      <w:bookmarkStart w:id="917" w:name="_Toc739_WPSOffice_Level2"/>
      <w:bookmarkStart w:id="918" w:name="_Toc533708130"/>
      <w:bookmarkStart w:id="919" w:name="_Toc333"/>
      <w:bookmarkStart w:id="920" w:name="_Toc26821"/>
      <w:bookmarkStart w:id="921" w:name="_Toc94107217"/>
      <w:bookmarkStart w:id="922" w:name="_Toc102860425"/>
      <w:bookmarkStart w:id="923" w:name="_Toc104991883"/>
      <w:bookmarkStart w:id="924" w:name="_Toc17995"/>
      <w:bookmarkStart w:id="925" w:name="_Toc102860081"/>
      <w:bookmarkStart w:id="926" w:name="_Toc486167716"/>
      <w:bookmarkStart w:id="927" w:name="_Toc195714390"/>
      <w:bookmarkStart w:id="928" w:name="_Toc142508376"/>
      <w:bookmarkStart w:id="929" w:name="_Toc6028"/>
      <w:bookmarkStart w:id="930" w:name="_Toc140596936"/>
      <w:r>
        <w:rPr>
          <w:rFonts w:hint="eastAsia" w:ascii="宋体" w:hAnsi="宋体" w:eastAsia="宋体" w:cs="宋体"/>
          <w:b/>
          <w:color w:val="auto"/>
          <w:kern w:val="0"/>
          <w:sz w:val="32"/>
          <w:szCs w:val="32"/>
          <w:highlight w:val="none"/>
        </w:rPr>
        <w:t>八</w:t>
      </w:r>
      <w:r>
        <w:rPr>
          <w:rFonts w:hint="eastAsia" w:ascii="宋体" w:hAnsi="宋体" w:eastAsia="宋体" w:cs="宋体"/>
          <w:b/>
          <w:color w:val="auto"/>
          <w:kern w:val="0"/>
          <w:sz w:val="32"/>
          <w:szCs w:val="32"/>
          <w:highlight w:val="none"/>
          <w:lang w:val="zh-CN"/>
        </w:rPr>
        <w:t>、合同条款偏离表格式</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6BC3C621">
      <w:pPr>
        <w:autoSpaceDE w:val="0"/>
        <w:autoSpaceDN w:val="0"/>
        <w:adjustRightInd w:val="0"/>
        <w:spacing w:line="360" w:lineRule="auto"/>
        <w:jc w:val="center"/>
        <w:rPr>
          <w:rFonts w:ascii="宋体" w:hAnsi="宋体" w:eastAsia="宋体" w:cs="宋体"/>
          <w:b/>
          <w:bCs/>
          <w:color w:val="auto"/>
          <w:kern w:val="0"/>
          <w:sz w:val="28"/>
          <w:szCs w:val="30"/>
          <w:highlight w:val="none"/>
          <w:lang w:val="zh-CN"/>
        </w:rPr>
      </w:pPr>
      <w:bookmarkStart w:id="931" w:name="_Toc26412_WPSOffice_Level3"/>
      <w:r>
        <w:rPr>
          <w:rFonts w:hint="eastAsia" w:ascii="宋体" w:hAnsi="宋体" w:eastAsia="宋体" w:cs="宋体"/>
          <w:b/>
          <w:bCs/>
          <w:color w:val="auto"/>
          <w:kern w:val="0"/>
          <w:sz w:val="28"/>
          <w:szCs w:val="30"/>
          <w:highlight w:val="none"/>
          <w:lang w:val="zh-CN"/>
        </w:rPr>
        <w:t>东莞市石鼓净水有限公司污水处理厂及提标项目中控系统集约化升级改造项目合同条款偏离表</w:t>
      </w:r>
      <w:bookmarkEnd w:id="931"/>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425"/>
        <w:gridCol w:w="3055"/>
        <w:gridCol w:w="1346"/>
        <w:gridCol w:w="3524"/>
      </w:tblGrid>
      <w:tr w14:paraId="3080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1020" w:type="dxa"/>
            <w:vMerge w:val="restart"/>
            <w:vAlign w:val="center"/>
          </w:tcPr>
          <w:p w14:paraId="689956A8">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序号</w:t>
            </w:r>
          </w:p>
        </w:tc>
        <w:tc>
          <w:tcPr>
            <w:tcW w:w="4480" w:type="dxa"/>
            <w:gridSpan w:val="2"/>
            <w:vAlign w:val="center"/>
          </w:tcPr>
          <w:p w14:paraId="73F2CC9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招标文件要求</w:t>
            </w:r>
          </w:p>
        </w:tc>
        <w:tc>
          <w:tcPr>
            <w:tcW w:w="4870" w:type="dxa"/>
            <w:gridSpan w:val="2"/>
            <w:vAlign w:val="center"/>
          </w:tcPr>
          <w:p w14:paraId="07EDD387">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投标文件内容</w:t>
            </w:r>
          </w:p>
        </w:tc>
      </w:tr>
      <w:tr w14:paraId="50B0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1020" w:type="dxa"/>
            <w:vMerge w:val="continue"/>
            <w:vAlign w:val="center"/>
          </w:tcPr>
          <w:p w14:paraId="2E611DBD">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1425" w:type="dxa"/>
            <w:vAlign w:val="center"/>
          </w:tcPr>
          <w:p w14:paraId="0EE9C34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条款号</w:t>
            </w:r>
          </w:p>
        </w:tc>
        <w:tc>
          <w:tcPr>
            <w:tcW w:w="3055" w:type="dxa"/>
            <w:vAlign w:val="center"/>
          </w:tcPr>
          <w:p w14:paraId="352A460D">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简要内容</w:t>
            </w:r>
          </w:p>
        </w:tc>
        <w:tc>
          <w:tcPr>
            <w:tcW w:w="1346" w:type="dxa"/>
            <w:vAlign w:val="center"/>
          </w:tcPr>
          <w:p w14:paraId="20D9B5A3">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偏离情况</w:t>
            </w:r>
          </w:p>
        </w:tc>
        <w:tc>
          <w:tcPr>
            <w:tcW w:w="3524" w:type="dxa"/>
            <w:vAlign w:val="center"/>
          </w:tcPr>
          <w:p w14:paraId="25C60A11">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具体偏离内容</w:t>
            </w:r>
          </w:p>
        </w:tc>
      </w:tr>
      <w:tr w14:paraId="23D7E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1D526B8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1425" w:type="dxa"/>
            <w:vAlign w:val="center"/>
          </w:tcPr>
          <w:p w14:paraId="241AF202">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default" w:ascii="宋体" w:hAnsi="宋体" w:eastAsia="宋体" w:cs="Times New Roman"/>
                <w:color w:val="auto"/>
                <w:kern w:val="0"/>
                <w:szCs w:val="21"/>
                <w:highlight w:val="none"/>
              </w:rPr>
              <w:t>一</w:t>
            </w:r>
          </w:p>
        </w:tc>
        <w:tc>
          <w:tcPr>
            <w:tcW w:w="3055" w:type="dxa"/>
            <w:vAlign w:val="center"/>
          </w:tcPr>
          <w:p w14:paraId="1680C7C3">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default" w:ascii="宋体" w:hAnsi="宋体" w:eastAsia="宋体" w:cs="Times New Roman"/>
                <w:color w:val="auto"/>
                <w:kern w:val="0"/>
                <w:szCs w:val="21"/>
                <w:highlight w:val="none"/>
              </w:rPr>
              <w:t>服务内容及要求</w:t>
            </w:r>
          </w:p>
        </w:tc>
        <w:tc>
          <w:tcPr>
            <w:tcW w:w="1346" w:type="dxa"/>
            <w:vAlign w:val="center"/>
          </w:tcPr>
          <w:p w14:paraId="2C664C2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7B2086F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797D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6B4E97AF">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1425" w:type="dxa"/>
            <w:vAlign w:val="center"/>
          </w:tcPr>
          <w:p w14:paraId="1591EE2B">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二</w:t>
            </w:r>
          </w:p>
        </w:tc>
        <w:tc>
          <w:tcPr>
            <w:tcW w:w="3055" w:type="dxa"/>
            <w:vAlign w:val="center"/>
          </w:tcPr>
          <w:p w14:paraId="7338505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default" w:ascii="宋体" w:hAnsi="宋体" w:eastAsia="宋体" w:cs="Times New Roman"/>
                <w:color w:val="auto"/>
                <w:kern w:val="0"/>
                <w:szCs w:val="21"/>
                <w:highlight w:val="none"/>
              </w:rPr>
              <w:t>服务期限</w:t>
            </w:r>
          </w:p>
        </w:tc>
        <w:tc>
          <w:tcPr>
            <w:tcW w:w="1346" w:type="dxa"/>
            <w:vAlign w:val="center"/>
          </w:tcPr>
          <w:p w14:paraId="66459511">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182A6D2C">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2E8F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3CFAF40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p>
        </w:tc>
        <w:tc>
          <w:tcPr>
            <w:tcW w:w="1425" w:type="dxa"/>
            <w:vAlign w:val="center"/>
          </w:tcPr>
          <w:p w14:paraId="20F39D8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三</w:t>
            </w:r>
          </w:p>
        </w:tc>
        <w:tc>
          <w:tcPr>
            <w:tcW w:w="3055" w:type="dxa"/>
            <w:vAlign w:val="center"/>
          </w:tcPr>
          <w:p w14:paraId="3B3C27C3">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default" w:ascii="宋体" w:hAnsi="宋体" w:eastAsia="宋体" w:cs="Times New Roman"/>
                <w:color w:val="auto"/>
                <w:kern w:val="0"/>
                <w:szCs w:val="21"/>
                <w:highlight w:val="none"/>
              </w:rPr>
              <w:t>合同价款及支付方式</w:t>
            </w:r>
          </w:p>
        </w:tc>
        <w:tc>
          <w:tcPr>
            <w:tcW w:w="1346" w:type="dxa"/>
            <w:vAlign w:val="center"/>
          </w:tcPr>
          <w:p w14:paraId="2AC0B4C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0BFEADDC">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43CF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0" w:type="dxa"/>
            <w:vAlign w:val="center"/>
          </w:tcPr>
          <w:p w14:paraId="454EA5F6">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p>
        </w:tc>
        <w:tc>
          <w:tcPr>
            <w:tcW w:w="1425" w:type="dxa"/>
            <w:vAlign w:val="center"/>
          </w:tcPr>
          <w:p w14:paraId="3C24304D">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四</w:t>
            </w:r>
          </w:p>
        </w:tc>
        <w:tc>
          <w:tcPr>
            <w:tcW w:w="3055" w:type="dxa"/>
            <w:vAlign w:val="center"/>
          </w:tcPr>
          <w:p w14:paraId="1F0DEBAB">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甲乙</w:t>
            </w:r>
            <w:r>
              <w:rPr>
                <w:rFonts w:hint="default" w:ascii="宋体" w:hAnsi="宋体" w:eastAsia="宋体" w:cs="Times New Roman"/>
                <w:color w:val="auto"/>
                <w:kern w:val="0"/>
                <w:szCs w:val="21"/>
                <w:highlight w:val="none"/>
              </w:rPr>
              <w:t>双方权利义务</w:t>
            </w:r>
          </w:p>
        </w:tc>
        <w:tc>
          <w:tcPr>
            <w:tcW w:w="1346" w:type="dxa"/>
            <w:vAlign w:val="center"/>
          </w:tcPr>
          <w:p w14:paraId="271E6107">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6FE517E1">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4864C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1B13D3D1">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1425" w:type="dxa"/>
            <w:vAlign w:val="center"/>
          </w:tcPr>
          <w:p w14:paraId="36219A7D">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五</w:t>
            </w:r>
          </w:p>
        </w:tc>
        <w:tc>
          <w:tcPr>
            <w:tcW w:w="3055" w:type="dxa"/>
            <w:vAlign w:val="center"/>
          </w:tcPr>
          <w:p w14:paraId="501055D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default" w:ascii="宋体" w:hAnsi="宋体" w:eastAsia="宋体" w:cs="Times New Roman"/>
                <w:color w:val="auto"/>
                <w:kern w:val="0"/>
                <w:szCs w:val="21"/>
                <w:highlight w:val="none"/>
              </w:rPr>
              <w:t>技术风险</w:t>
            </w:r>
          </w:p>
        </w:tc>
        <w:tc>
          <w:tcPr>
            <w:tcW w:w="1346" w:type="dxa"/>
            <w:vAlign w:val="center"/>
          </w:tcPr>
          <w:p w14:paraId="611D5527">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64FA46E1">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4A9E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FEB647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6</w:t>
            </w:r>
          </w:p>
        </w:tc>
        <w:tc>
          <w:tcPr>
            <w:tcW w:w="1425" w:type="dxa"/>
            <w:vAlign w:val="center"/>
          </w:tcPr>
          <w:p w14:paraId="3130C4E1">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六</w:t>
            </w:r>
          </w:p>
        </w:tc>
        <w:tc>
          <w:tcPr>
            <w:tcW w:w="3055" w:type="dxa"/>
            <w:vAlign w:val="center"/>
          </w:tcPr>
          <w:p w14:paraId="2FEC6951">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default" w:ascii="宋体" w:hAnsi="宋体" w:eastAsia="宋体" w:cs="Times New Roman"/>
                <w:color w:val="auto"/>
                <w:kern w:val="0"/>
                <w:szCs w:val="21"/>
                <w:highlight w:val="none"/>
              </w:rPr>
              <w:t>项目交付成果要求</w:t>
            </w:r>
            <w:r>
              <w:rPr>
                <w:rFonts w:hint="eastAsia" w:ascii="宋体" w:hAnsi="宋体" w:eastAsia="宋体" w:cs="Times New Roman"/>
                <w:color w:val="auto"/>
                <w:kern w:val="0"/>
                <w:szCs w:val="21"/>
                <w:highlight w:val="none"/>
              </w:rPr>
              <w:t>、</w:t>
            </w:r>
            <w:r>
              <w:rPr>
                <w:rFonts w:hint="default" w:ascii="宋体" w:hAnsi="宋体" w:eastAsia="宋体" w:cs="Times New Roman"/>
                <w:color w:val="auto"/>
                <w:kern w:val="0"/>
                <w:szCs w:val="21"/>
                <w:highlight w:val="none"/>
              </w:rPr>
              <w:t>验收要求</w:t>
            </w:r>
            <w:r>
              <w:rPr>
                <w:rFonts w:hint="eastAsia" w:ascii="宋体" w:hAnsi="宋体" w:eastAsia="宋体" w:cs="Times New Roman"/>
                <w:color w:val="auto"/>
                <w:kern w:val="0"/>
                <w:szCs w:val="21"/>
                <w:highlight w:val="none"/>
              </w:rPr>
              <w:t>和项目评估</w:t>
            </w:r>
          </w:p>
        </w:tc>
        <w:tc>
          <w:tcPr>
            <w:tcW w:w="1346" w:type="dxa"/>
            <w:vAlign w:val="center"/>
          </w:tcPr>
          <w:p w14:paraId="4D2080A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7083FB1C">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7F5B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4F8C1E40">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7</w:t>
            </w:r>
          </w:p>
        </w:tc>
        <w:tc>
          <w:tcPr>
            <w:tcW w:w="1425" w:type="dxa"/>
            <w:vAlign w:val="center"/>
          </w:tcPr>
          <w:p w14:paraId="3E830E3C">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七</w:t>
            </w:r>
          </w:p>
        </w:tc>
        <w:tc>
          <w:tcPr>
            <w:tcW w:w="3055" w:type="dxa"/>
            <w:vAlign w:val="center"/>
          </w:tcPr>
          <w:p w14:paraId="1B58C63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default" w:ascii="宋体" w:hAnsi="宋体" w:eastAsia="宋体" w:cs="Times New Roman"/>
                <w:color w:val="auto"/>
                <w:kern w:val="0"/>
                <w:szCs w:val="21"/>
                <w:highlight w:val="none"/>
              </w:rPr>
              <w:t>项目保障</w:t>
            </w:r>
          </w:p>
        </w:tc>
        <w:tc>
          <w:tcPr>
            <w:tcW w:w="1346" w:type="dxa"/>
            <w:vAlign w:val="center"/>
          </w:tcPr>
          <w:p w14:paraId="6ACD8E5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4D026E32">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71B1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1177AEBB">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8</w:t>
            </w:r>
          </w:p>
        </w:tc>
        <w:tc>
          <w:tcPr>
            <w:tcW w:w="1425" w:type="dxa"/>
            <w:vAlign w:val="center"/>
          </w:tcPr>
          <w:p w14:paraId="5E3A1118">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八</w:t>
            </w:r>
          </w:p>
        </w:tc>
        <w:tc>
          <w:tcPr>
            <w:tcW w:w="3055" w:type="dxa"/>
            <w:vAlign w:val="center"/>
          </w:tcPr>
          <w:p w14:paraId="64F372B2">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履约担保</w:t>
            </w:r>
          </w:p>
        </w:tc>
        <w:tc>
          <w:tcPr>
            <w:tcW w:w="1346" w:type="dxa"/>
            <w:vAlign w:val="center"/>
          </w:tcPr>
          <w:p w14:paraId="7077677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1CEFE7E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378A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20AC3CF">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9</w:t>
            </w:r>
          </w:p>
        </w:tc>
        <w:tc>
          <w:tcPr>
            <w:tcW w:w="1425" w:type="dxa"/>
            <w:vAlign w:val="center"/>
          </w:tcPr>
          <w:p w14:paraId="02EF909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九</w:t>
            </w:r>
          </w:p>
        </w:tc>
        <w:tc>
          <w:tcPr>
            <w:tcW w:w="3055" w:type="dxa"/>
            <w:vAlign w:val="center"/>
          </w:tcPr>
          <w:p w14:paraId="54A2A9CC">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default" w:ascii="宋体" w:hAnsi="宋体" w:eastAsia="宋体" w:cs="Times New Roman"/>
                <w:color w:val="auto"/>
                <w:kern w:val="0"/>
                <w:szCs w:val="21"/>
                <w:highlight w:val="none"/>
              </w:rPr>
              <w:t>违约责任</w:t>
            </w:r>
          </w:p>
        </w:tc>
        <w:tc>
          <w:tcPr>
            <w:tcW w:w="1346" w:type="dxa"/>
            <w:vAlign w:val="center"/>
          </w:tcPr>
          <w:p w14:paraId="4003A8DD">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77D2A3CB">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7A76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19F70778">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10</w:t>
            </w:r>
          </w:p>
        </w:tc>
        <w:tc>
          <w:tcPr>
            <w:tcW w:w="1425" w:type="dxa"/>
            <w:vAlign w:val="center"/>
          </w:tcPr>
          <w:p w14:paraId="4BA59C28">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十</w:t>
            </w:r>
          </w:p>
        </w:tc>
        <w:tc>
          <w:tcPr>
            <w:tcW w:w="3055" w:type="dxa"/>
            <w:vAlign w:val="center"/>
          </w:tcPr>
          <w:p w14:paraId="25437E97">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default" w:ascii="宋体" w:hAnsi="宋体" w:eastAsia="宋体" w:cs="Times New Roman"/>
                <w:color w:val="auto"/>
                <w:kern w:val="0"/>
                <w:szCs w:val="21"/>
                <w:highlight w:val="none"/>
              </w:rPr>
              <w:t>合同的争议解决</w:t>
            </w:r>
          </w:p>
        </w:tc>
        <w:tc>
          <w:tcPr>
            <w:tcW w:w="1346" w:type="dxa"/>
            <w:vAlign w:val="center"/>
          </w:tcPr>
          <w:p w14:paraId="02315A31">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05780028">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26E3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46147A31">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11</w:t>
            </w:r>
          </w:p>
        </w:tc>
        <w:tc>
          <w:tcPr>
            <w:tcW w:w="1425" w:type="dxa"/>
            <w:vAlign w:val="center"/>
          </w:tcPr>
          <w:p w14:paraId="7EB4B070">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十一</w:t>
            </w:r>
          </w:p>
        </w:tc>
        <w:tc>
          <w:tcPr>
            <w:tcW w:w="3055" w:type="dxa"/>
            <w:vAlign w:val="center"/>
          </w:tcPr>
          <w:p w14:paraId="67CC147E">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default" w:ascii="宋体" w:hAnsi="宋体" w:eastAsia="宋体" w:cs="Times New Roman"/>
                <w:color w:val="auto"/>
                <w:kern w:val="0"/>
                <w:szCs w:val="21"/>
                <w:highlight w:val="none"/>
              </w:rPr>
              <w:t>相关名词定义解释</w:t>
            </w:r>
          </w:p>
        </w:tc>
        <w:tc>
          <w:tcPr>
            <w:tcW w:w="1346" w:type="dxa"/>
            <w:vAlign w:val="center"/>
          </w:tcPr>
          <w:p w14:paraId="7034F6D3">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32B5051C">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3FDE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69583CA">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12</w:t>
            </w:r>
          </w:p>
        </w:tc>
        <w:tc>
          <w:tcPr>
            <w:tcW w:w="1425" w:type="dxa"/>
            <w:vAlign w:val="center"/>
          </w:tcPr>
          <w:p w14:paraId="392CBC70">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十二</w:t>
            </w:r>
          </w:p>
        </w:tc>
        <w:tc>
          <w:tcPr>
            <w:tcW w:w="3055" w:type="dxa"/>
            <w:vAlign w:val="center"/>
          </w:tcPr>
          <w:p w14:paraId="0AD812E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default" w:ascii="宋体" w:hAnsi="宋体" w:eastAsia="宋体" w:cs="Times New Roman"/>
                <w:color w:val="auto"/>
                <w:kern w:val="0"/>
                <w:szCs w:val="21"/>
                <w:highlight w:val="none"/>
              </w:rPr>
              <w:t>保密要求</w:t>
            </w:r>
          </w:p>
        </w:tc>
        <w:tc>
          <w:tcPr>
            <w:tcW w:w="1346" w:type="dxa"/>
            <w:vAlign w:val="center"/>
          </w:tcPr>
          <w:p w14:paraId="09C6DC91">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06C00DA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0965B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0C1D522">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13</w:t>
            </w:r>
          </w:p>
        </w:tc>
        <w:tc>
          <w:tcPr>
            <w:tcW w:w="1425" w:type="dxa"/>
            <w:vAlign w:val="center"/>
          </w:tcPr>
          <w:p w14:paraId="05A6F571">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十三</w:t>
            </w:r>
          </w:p>
        </w:tc>
        <w:tc>
          <w:tcPr>
            <w:tcW w:w="3055" w:type="dxa"/>
            <w:vAlign w:val="center"/>
          </w:tcPr>
          <w:p w14:paraId="20C62B21">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第三方测评</w:t>
            </w:r>
          </w:p>
        </w:tc>
        <w:tc>
          <w:tcPr>
            <w:tcW w:w="1346" w:type="dxa"/>
            <w:vAlign w:val="center"/>
          </w:tcPr>
          <w:p w14:paraId="06E8D6BA">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53A1471C">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6DF14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6C7DA4BF">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14</w:t>
            </w:r>
          </w:p>
        </w:tc>
        <w:tc>
          <w:tcPr>
            <w:tcW w:w="1425" w:type="dxa"/>
            <w:vAlign w:val="center"/>
          </w:tcPr>
          <w:p w14:paraId="1DE7150D">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十四</w:t>
            </w:r>
          </w:p>
        </w:tc>
        <w:tc>
          <w:tcPr>
            <w:tcW w:w="3055" w:type="dxa"/>
            <w:vAlign w:val="center"/>
          </w:tcPr>
          <w:p w14:paraId="579A0F16">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知识产权</w:t>
            </w:r>
          </w:p>
        </w:tc>
        <w:tc>
          <w:tcPr>
            <w:tcW w:w="1346" w:type="dxa"/>
            <w:vAlign w:val="center"/>
          </w:tcPr>
          <w:p w14:paraId="0ABC02C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37D768D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1A95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2CB8D922">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15</w:t>
            </w:r>
          </w:p>
        </w:tc>
        <w:tc>
          <w:tcPr>
            <w:tcW w:w="1425" w:type="dxa"/>
            <w:vAlign w:val="center"/>
          </w:tcPr>
          <w:p w14:paraId="18C2CC4A">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十五</w:t>
            </w:r>
          </w:p>
        </w:tc>
        <w:tc>
          <w:tcPr>
            <w:tcW w:w="3055" w:type="dxa"/>
            <w:vAlign w:val="center"/>
          </w:tcPr>
          <w:p w14:paraId="2C8C57EB">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default" w:ascii="宋体" w:hAnsi="宋体" w:eastAsia="宋体" w:cs="Times New Roman"/>
                <w:color w:val="auto"/>
                <w:kern w:val="0"/>
                <w:szCs w:val="21"/>
                <w:highlight w:val="none"/>
              </w:rPr>
              <w:t>合同生效和其它</w:t>
            </w:r>
          </w:p>
        </w:tc>
        <w:tc>
          <w:tcPr>
            <w:tcW w:w="1346" w:type="dxa"/>
            <w:vAlign w:val="center"/>
          </w:tcPr>
          <w:p w14:paraId="583AF69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045DA79A">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090E1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6EC9CDC8">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16</w:t>
            </w:r>
          </w:p>
        </w:tc>
        <w:tc>
          <w:tcPr>
            <w:tcW w:w="1425" w:type="dxa"/>
            <w:vAlign w:val="center"/>
          </w:tcPr>
          <w:p w14:paraId="02128F53">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附件2</w:t>
            </w:r>
          </w:p>
        </w:tc>
        <w:tc>
          <w:tcPr>
            <w:tcW w:w="3055" w:type="dxa"/>
            <w:vAlign w:val="center"/>
          </w:tcPr>
          <w:p w14:paraId="0FD5DE5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default" w:ascii="宋体" w:hAnsi="宋体" w:eastAsia="宋体" w:cs="Times New Roman"/>
                <w:color w:val="auto"/>
                <w:kern w:val="0"/>
                <w:szCs w:val="21"/>
                <w:highlight w:val="none"/>
              </w:rPr>
              <w:t>廉洁协议书</w:t>
            </w:r>
          </w:p>
        </w:tc>
        <w:tc>
          <w:tcPr>
            <w:tcW w:w="1346" w:type="dxa"/>
            <w:vAlign w:val="center"/>
          </w:tcPr>
          <w:p w14:paraId="163FAD4B">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2622AD0B">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6C30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60454334">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17</w:t>
            </w:r>
          </w:p>
        </w:tc>
        <w:tc>
          <w:tcPr>
            <w:tcW w:w="1425" w:type="dxa"/>
            <w:vAlign w:val="center"/>
          </w:tcPr>
          <w:p w14:paraId="1265B6B0">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附件3</w:t>
            </w:r>
          </w:p>
        </w:tc>
        <w:tc>
          <w:tcPr>
            <w:tcW w:w="3055" w:type="dxa"/>
            <w:vAlign w:val="center"/>
          </w:tcPr>
          <w:p w14:paraId="6D5956DD">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Times New Roman"/>
                <w:color w:val="auto"/>
                <w:kern w:val="0"/>
                <w:szCs w:val="21"/>
                <w:highlight w:val="none"/>
              </w:rPr>
            </w:pPr>
            <w:r>
              <w:rPr>
                <w:rFonts w:hint="default" w:ascii="宋体" w:hAnsi="宋体" w:eastAsia="宋体" w:cs="Times New Roman"/>
                <w:color w:val="auto"/>
                <w:kern w:val="0"/>
                <w:szCs w:val="21"/>
                <w:highlight w:val="none"/>
              </w:rPr>
              <w:t>安全生产管理协议</w:t>
            </w:r>
          </w:p>
        </w:tc>
        <w:tc>
          <w:tcPr>
            <w:tcW w:w="1346" w:type="dxa"/>
            <w:vAlign w:val="center"/>
          </w:tcPr>
          <w:p w14:paraId="07980021">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1F44F05E">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5FB0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518AEFB2">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18</w:t>
            </w:r>
          </w:p>
        </w:tc>
        <w:tc>
          <w:tcPr>
            <w:tcW w:w="1425" w:type="dxa"/>
            <w:vAlign w:val="center"/>
          </w:tcPr>
          <w:p w14:paraId="191DAE7A">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一</w:t>
            </w:r>
          </w:p>
        </w:tc>
        <w:tc>
          <w:tcPr>
            <w:tcW w:w="3055" w:type="dxa"/>
            <w:vAlign w:val="center"/>
          </w:tcPr>
          <w:p w14:paraId="4FEAB89F">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default" w:ascii="宋体" w:hAnsi="宋体" w:eastAsia="宋体" w:cs="宋体"/>
                <w:color w:val="auto"/>
                <w:kern w:val="0"/>
                <w:szCs w:val="21"/>
                <w:highlight w:val="none"/>
              </w:rPr>
              <w:t>不可撤销银行履约保函</w:t>
            </w:r>
          </w:p>
        </w:tc>
        <w:tc>
          <w:tcPr>
            <w:tcW w:w="1346" w:type="dxa"/>
            <w:vAlign w:val="center"/>
          </w:tcPr>
          <w:p w14:paraId="306CA547">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4CA10B40">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5B48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752D7F69">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19</w:t>
            </w:r>
          </w:p>
        </w:tc>
        <w:tc>
          <w:tcPr>
            <w:tcW w:w="1425" w:type="dxa"/>
            <w:vAlign w:val="center"/>
          </w:tcPr>
          <w:p w14:paraId="4215140C">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二</w:t>
            </w:r>
          </w:p>
        </w:tc>
        <w:tc>
          <w:tcPr>
            <w:tcW w:w="3055" w:type="dxa"/>
            <w:vAlign w:val="center"/>
          </w:tcPr>
          <w:p w14:paraId="1A1D8560">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default" w:ascii="宋体" w:hAnsi="宋体" w:eastAsia="宋体" w:cs="宋体"/>
                <w:color w:val="auto"/>
                <w:kern w:val="0"/>
                <w:szCs w:val="21"/>
                <w:highlight w:val="none"/>
              </w:rPr>
              <w:t>履约保证保险凭证</w:t>
            </w:r>
          </w:p>
        </w:tc>
        <w:tc>
          <w:tcPr>
            <w:tcW w:w="1346" w:type="dxa"/>
            <w:vAlign w:val="center"/>
          </w:tcPr>
          <w:p w14:paraId="3726D926">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0FBDC88A">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r w14:paraId="0703C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340708EF">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20</w:t>
            </w:r>
          </w:p>
        </w:tc>
        <w:tc>
          <w:tcPr>
            <w:tcW w:w="1425" w:type="dxa"/>
            <w:vAlign w:val="center"/>
          </w:tcPr>
          <w:p w14:paraId="3E92229F">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三</w:t>
            </w:r>
          </w:p>
        </w:tc>
        <w:tc>
          <w:tcPr>
            <w:tcW w:w="3055" w:type="dxa"/>
            <w:vAlign w:val="center"/>
          </w:tcPr>
          <w:p w14:paraId="17027F2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r>
              <w:rPr>
                <w:rFonts w:hint="default" w:ascii="宋体" w:hAnsi="宋体" w:eastAsia="宋体" w:cs="宋体"/>
                <w:color w:val="auto"/>
                <w:kern w:val="0"/>
                <w:szCs w:val="21"/>
                <w:highlight w:val="none"/>
              </w:rPr>
              <w:t>担保公司履约担保书</w:t>
            </w:r>
          </w:p>
        </w:tc>
        <w:tc>
          <w:tcPr>
            <w:tcW w:w="1346" w:type="dxa"/>
            <w:vAlign w:val="center"/>
          </w:tcPr>
          <w:p w14:paraId="1A350DB5">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c>
          <w:tcPr>
            <w:tcW w:w="3524" w:type="dxa"/>
            <w:vAlign w:val="center"/>
          </w:tcPr>
          <w:p w14:paraId="68706A1B">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rPr>
            </w:pPr>
          </w:p>
        </w:tc>
      </w:tr>
    </w:tbl>
    <w:p w14:paraId="267CB1CB">
      <w:pPr>
        <w:autoSpaceDE w:val="0"/>
        <w:autoSpaceDN w:val="0"/>
        <w:adjustRightInd w:val="0"/>
        <w:snapToGrid w:val="0"/>
        <w:spacing w:line="360" w:lineRule="auto"/>
        <w:ind w:left="186" w:leftChars="-158" w:hanging="518" w:hangingChars="247"/>
        <w:jc w:val="left"/>
        <w:rPr>
          <w:rFonts w:ascii="宋体" w:hAnsi="宋体" w:eastAsia="宋体" w:cs="Times New Roman"/>
          <w:color w:val="auto"/>
          <w:szCs w:val="24"/>
          <w:highlight w:val="none"/>
          <w:lang w:val="zh-CN"/>
        </w:rPr>
      </w:pPr>
    </w:p>
    <w:p w14:paraId="6E5584CE">
      <w:pPr>
        <w:autoSpaceDE w:val="0"/>
        <w:autoSpaceDN w:val="0"/>
        <w:adjustRightInd w:val="0"/>
        <w:snapToGrid w:val="0"/>
        <w:spacing w:line="360" w:lineRule="auto"/>
        <w:ind w:left="166" w:leftChars="-101" w:hanging="378" w:hangingChars="180"/>
        <w:jc w:val="left"/>
        <w:rPr>
          <w:rFonts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备注：</w:t>
      </w:r>
    </w:p>
    <w:p w14:paraId="7BB69240">
      <w:pPr>
        <w:spacing w:line="360" w:lineRule="auto"/>
        <w:ind w:left="605" w:leftChars="18" w:hanging="567" w:hangingChars="270"/>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Times New Roman"/>
          <w:b/>
          <w:color w:val="auto"/>
          <w:kern w:val="0"/>
          <w:szCs w:val="21"/>
          <w:highlight w:val="none"/>
          <w:u w:val="single"/>
        </w:rPr>
        <w:t>投标人应对照招标文件合同格式内合同条款及附件，逐条、如实地填写“偏离情况”项。“偏离情况”项为正偏离（或负偏离）的，必须在“具体偏离内容”项内详细说明与招标文件的偏离内容，“偏离情况”项为无偏离的，在“具体偏离内容”项内填“无”。若发现虚假填写本表，或对合同及其附件响应有负偏离的，按无效投标文件处理。若发现此表未逐条填写视为完全满足招标文件要求</w:t>
      </w:r>
      <w:r>
        <w:rPr>
          <w:rFonts w:hint="eastAsia" w:ascii="宋体" w:hAnsi="宋体" w:eastAsia="宋体" w:cs="Times New Roman"/>
          <w:b/>
          <w:color w:val="auto"/>
          <w:kern w:val="0"/>
          <w:szCs w:val="21"/>
          <w:highlight w:val="none"/>
        </w:rPr>
        <w:t>。</w:t>
      </w:r>
    </w:p>
    <w:p w14:paraId="7546CF50">
      <w:pPr>
        <w:spacing w:line="360" w:lineRule="auto"/>
        <w:ind w:left="605" w:leftChars="18" w:hanging="567" w:hangingChars="270"/>
        <w:rPr>
          <w:rFonts w:ascii="宋体" w:hAnsi="宋体" w:eastAsia="宋体" w:cs="宋体"/>
          <w:color w:val="auto"/>
          <w:szCs w:val="21"/>
          <w:highlight w:val="none"/>
        </w:rPr>
      </w:pPr>
      <w:r>
        <w:rPr>
          <w:rFonts w:hint="eastAsia" w:ascii="宋体" w:hAnsi="宋体" w:eastAsia="宋体" w:cs="宋体"/>
          <w:color w:val="auto"/>
          <w:szCs w:val="21"/>
          <w:highlight w:val="none"/>
        </w:rPr>
        <w:t>（2）偏离情况（投标文件对招标文件合同条款的响应程度）分为：正偏离、负偏离、无偏离。正偏离是指投标人提供的相关服务商务条件优于招标文件的要求；负偏离是指投标人提供的相关服务商务条件不满足或不完全满足招标文件的要求；无偏离是指投标人提供的相关服务商务条件完全满足招标文件的要求。</w:t>
      </w:r>
    </w:p>
    <w:p w14:paraId="548B7ECE">
      <w:pPr>
        <w:spacing w:line="360" w:lineRule="auto"/>
        <w:ind w:left="605" w:leftChars="18" w:hanging="567" w:hangingChars="27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3）招标文件“第五篇 相关保函格式”作为重要的商务条款，投标人的响应情况列入本合同条款偏离表。</w:t>
      </w:r>
    </w:p>
    <w:p w14:paraId="4F7B885F">
      <w:pPr>
        <w:spacing w:line="360" w:lineRule="auto"/>
        <w:ind w:left="605" w:leftChars="18" w:hanging="567" w:hangingChars="27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4</w:t>
      </w:r>
      <w:r>
        <w:rPr>
          <w:rFonts w:hint="eastAsia" w:ascii="宋体" w:hAnsi="宋体" w:eastAsia="宋体" w:cs="宋体"/>
          <w:color w:val="auto"/>
          <w:szCs w:val="21"/>
          <w:highlight w:val="none"/>
        </w:rPr>
        <w:t>）如投标人差异内容较多可另附页说明，并在本偏离表“具体偏离内容”项注明其在投标文件中的具体页码。</w:t>
      </w:r>
    </w:p>
    <w:p w14:paraId="0937ECB9">
      <w:pPr>
        <w:spacing w:line="360" w:lineRule="auto"/>
        <w:ind w:left="357" w:leftChars="-100" w:hanging="567" w:hangingChars="270"/>
        <w:rPr>
          <w:rFonts w:ascii="宋体" w:hAnsi="宋体" w:eastAsia="宋体" w:cs="宋体"/>
          <w:color w:val="auto"/>
          <w:szCs w:val="21"/>
          <w:highlight w:val="none"/>
        </w:rPr>
      </w:pPr>
    </w:p>
    <w:p w14:paraId="62330164">
      <w:pPr>
        <w:spacing w:line="360" w:lineRule="auto"/>
        <w:ind w:left="357" w:leftChars="-100" w:hanging="567" w:hangingChars="270"/>
        <w:rPr>
          <w:rFonts w:ascii="宋体" w:hAnsi="宋体" w:eastAsia="宋体" w:cs="宋体"/>
          <w:color w:val="auto"/>
          <w:szCs w:val="21"/>
          <w:highlight w:val="none"/>
        </w:rPr>
      </w:pPr>
    </w:p>
    <w:p w14:paraId="3B559676">
      <w:pPr>
        <w:autoSpaceDE w:val="0"/>
        <w:autoSpaceDN w:val="0"/>
        <w:adjustRightInd w:val="0"/>
        <w:spacing w:line="360" w:lineRule="auto"/>
        <w:ind w:firstLine="3780" w:firstLineChars="1800"/>
        <w:rPr>
          <w:rFonts w:ascii="宋体" w:hAnsi="宋体" w:eastAsia="宋体" w:cs="宋体"/>
          <w:color w:val="auto"/>
          <w:szCs w:val="21"/>
          <w:highlight w:val="none"/>
          <w:lang w:val="zh-CN"/>
        </w:rPr>
      </w:pPr>
    </w:p>
    <w:p w14:paraId="204E4E99">
      <w:pPr>
        <w:autoSpaceDE w:val="0"/>
        <w:autoSpaceDN w:val="0"/>
        <w:adjustRightInd w:val="0"/>
        <w:spacing w:line="360" w:lineRule="auto"/>
        <w:ind w:firstLine="3780" w:firstLineChars="180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063E21B4">
      <w:pPr>
        <w:autoSpaceDE w:val="0"/>
        <w:autoSpaceDN w:val="0"/>
        <w:adjustRightInd w:val="0"/>
        <w:spacing w:line="360" w:lineRule="auto"/>
        <w:ind w:firstLine="3780" w:firstLineChars="1800"/>
        <w:rPr>
          <w:rFonts w:ascii="宋体" w:hAnsi="宋体" w:eastAsia="宋体" w:cs="Times New Roman"/>
          <w:color w:val="auto"/>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s="Times New Roman"/>
          <w:color w:val="auto"/>
          <w:szCs w:val="24"/>
          <w:highlight w:val="none"/>
          <w:lang w:val="zh-CN"/>
        </w:rPr>
        <w:t>期：   年   月   日</w:t>
      </w:r>
    </w:p>
    <w:p w14:paraId="7D4D0D32">
      <w:pPr>
        <w:autoSpaceDE w:val="0"/>
        <w:autoSpaceDN w:val="0"/>
        <w:adjustRightInd w:val="0"/>
        <w:spacing w:line="360" w:lineRule="auto"/>
        <w:jc w:val="center"/>
        <w:rPr>
          <w:rFonts w:ascii="宋体" w:hAnsi="宋体" w:eastAsia="宋体" w:cs="Times New Roman"/>
          <w:b/>
          <w:bCs/>
          <w:color w:val="auto"/>
          <w:szCs w:val="24"/>
          <w:highlight w:val="none"/>
          <w:lang w:val="zh-CN"/>
        </w:rPr>
      </w:pPr>
    </w:p>
    <w:p w14:paraId="2C9203FD">
      <w:pPr>
        <w:autoSpaceDE w:val="0"/>
        <w:autoSpaceDN w:val="0"/>
        <w:adjustRightInd w:val="0"/>
        <w:spacing w:line="360" w:lineRule="auto"/>
        <w:jc w:val="center"/>
        <w:rPr>
          <w:rFonts w:ascii="宋体" w:hAnsi="宋体" w:eastAsia="宋体" w:cs="宋体"/>
          <w:color w:val="auto"/>
          <w:szCs w:val="24"/>
          <w:highlight w:val="none"/>
          <w:lang w:val="zh-CN"/>
        </w:rPr>
      </w:pPr>
      <w:r>
        <w:rPr>
          <w:rFonts w:hint="eastAsia" w:ascii="宋体" w:hAnsi="宋体" w:eastAsia="宋体" w:cs="Times New Roman"/>
          <w:b/>
          <w:bCs/>
          <w:color w:val="auto"/>
          <w:szCs w:val="24"/>
          <w:highlight w:val="none"/>
          <w:lang w:val="zh-CN"/>
        </w:rPr>
        <w:t>说明：由投标人使用投标人的企业数字证书电子签名。</w:t>
      </w:r>
    </w:p>
    <w:p w14:paraId="17F0E6F7">
      <w:pPr>
        <w:tabs>
          <w:tab w:val="left" w:pos="567"/>
        </w:tabs>
        <w:autoSpaceDE w:val="0"/>
        <w:autoSpaceDN w:val="0"/>
        <w:adjustRightInd w:val="0"/>
        <w:spacing w:line="360" w:lineRule="auto"/>
        <w:jc w:val="left"/>
        <w:outlineLvl w:val="2"/>
        <w:rPr>
          <w:rFonts w:ascii="宋体" w:hAnsi="宋体" w:eastAsia="宋体" w:cs="宋体"/>
          <w:b/>
          <w:color w:val="auto"/>
          <w:kern w:val="0"/>
          <w:sz w:val="32"/>
          <w:szCs w:val="32"/>
          <w:highlight w:val="none"/>
        </w:rPr>
      </w:pPr>
      <w:r>
        <w:rPr>
          <w:rFonts w:hint="eastAsia" w:ascii="宋体" w:hAnsi="宋体" w:eastAsia="宋体" w:cs="宋体"/>
          <w:b/>
          <w:bCs/>
          <w:color w:val="auto"/>
          <w:kern w:val="0"/>
          <w:sz w:val="30"/>
          <w:szCs w:val="30"/>
          <w:highlight w:val="none"/>
          <w:lang w:val="zh-CN"/>
        </w:rPr>
        <w:br w:type="page"/>
      </w:r>
      <w:bookmarkStart w:id="932" w:name="_Toc94107218"/>
      <w:bookmarkStart w:id="933" w:name="_Toc102860082"/>
      <w:bookmarkStart w:id="934" w:name="_Toc104991884"/>
      <w:bookmarkStart w:id="935" w:name="_Toc5473"/>
      <w:bookmarkStart w:id="936" w:name="_Toc140596937"/>
      <w:bookmarkStart w:id="937" w:name="_Toc13179"/>
      <w:bookmarkStart w:id="938" w:name="_Toc102860426"/>
      <w:bookmarkStart w:id="939" w:name="_Toc31371"/>
      <w:bookmarkStart w:id="940" w:name="_Toc142508377"/>
      <w:bookmarkStart w:id="941" w:name="_Toc195714391"/>
      <w:bookmarkStart w:id="942" w:name="_Toc29505"/>
      <w:bookmarkStart w:id="943" w:name="_Toc27980_WPSOffice_Level2"/>
      <w:bookmarkStart w:id="944" w:name="_Toc486167717"/>
      <w:r>
        <w:rPr>
          <w:rFonts w:hint="eastAsia" w:ascii="宋体" w:hAnsi="宋体" w:eastAsia="宋体" w:cs="宋体"/>
          <w:b/>
          <w:color w:val="auto"/>
          <w:kern w:val="0"/>
          <w:sz w:val="32"/>
          <w:szCs w:val="32"/>
          <w:highlight w:val="none"/>
        </w:rPr>
        <w:t>九、业绩表格式</w:t>
      </w:r>
      <w:bookmarkEnd w:id="932"/>
      <w:bookmarkEnd w:id="933"/>
      <w:bookmarkEnd w:id="934"/>
      <w:bookmarkEnd w:id="935"/>
      <w:bookmarkEnd w:id="936"/>
      <w:bookmarkEnd w:id="937"/>
      <w:bookmarkEnd w:id="938"/>
      <w:bookmarkEnd w:id="939"/>
      <w:bookmarkEnd w:id="940"/>
      <w:bookmarkEnd w:id="941"/>
      <w:bookmarkEnd w:id="942"/>
    </w:p>
    <w:p w14:paraId="6E644645">
      <w:pPr>
        <w:autoSpaceDE w:val="0"/>
        <w:autoSpaceDN w:val="0"/>
        <w:adjustRightInd w:val="0"/>
        <w:spacing w:line="360" w:lineRule="auto"/>
        <w:jc w:val="center"/>
        <w:outlineLvl w:val="2"/>
        <w:rPr>
          <w:rFonts w:ascii="宋体" w:hAnsi="宋体" w:eastAsia="宋体" w:cs="Times New Roman"/>
          <w:b/>
          <w:bCs/>
          <w:color w:val="auto"/>
          <w:sz w:val="30"/>
          <w:szCs w:val="30"/>
          <w:highlight w:val="none"/>
        </w:rPr>
      </w:pPr>
      <w:bookmarkStart w:id="945" w:name="_Toc15773"/>
      <w:bookmarkStart w:id="946" w:name="_Toc195714392"/>
      <w:r>
        <w:rPr>
          <w:rFonts w:hint="eastAsia" w:ascii="宋体" w:hAnsi="宋体" w:eastAsia="宋体" w:cs="Times New Roman"/>
          <w:b/>
          <w:bCs/>
          <w:color w:val="auto"/>
          <w:sz w:val="30"/>
          <w:szCs w:val="30"/>
          <w:highlight w:val="none"/>
        </w:rPr>
        <w:t xml:space="preserve">9.1 </w:t>
      </w:r>
      <w:r>
        <w:rPr>
          <w:rFonts w:hint="eastAsia" w:ascii="宋体" w:hAnsi="宋体" w:eastAsia="宋体" w:cs="Times New Roman"/>
          <w:b/>
          <w:bCs/>
          <w:color w:val="auto"/>
          <w:sz w:val="30"/>
          <w:szCs w:val="30"/>
          <w:highlight w:val="none"/>
          <w:lang w:val="zh-CN"/>
        </w:rPr>
        <w:t>投标人</w:t>
      </w:r>
      <w:r>
        <w:rPr>
          <w:rFonts w:hint="eastAsia" w:ascii="宋体" w:hAnsi="宋体" w:eastAsia="宋体" w:cs="Times New Roman"/>
          <w:b/>
          <w:bCs/>
          <w:color w:val="auto"/>
          <w:sz w:val="30"/>
          <w:szCs w:val="30"/>
          <w:highlight w:val="none"/>
        </w:rPr>
        <w:t>2020</w:t>
      </w:r>
      <w:r>
        <w:rPr>
          <w:rFonts w:hint="eastAsia" w:ascii="宋体" w:hAnsi="宋体" w:eastAsia="宋体" w:cs="Times New Roman"/>
          <w:b/>
          <w:bCs/>
          <w:color w:val="auto"/>
          <w:sz w:val="30"/>
          <w:szCs w:val="30"/>
          <w:highlight w:val="none"/>
          <w:lang w:val="zh-CN"/>
        </w:rPr>
        <w:t>年1月1日（合同签订日期为</w:t>
      </w:r>
      <w:r>
        <w:rPr>
          <w:rFonts w:hint="eastAsia" w:ascii="宋体" w:hAnsi="宋体" w:eastAsia="宋体" w:cs="Times New Roman"/>
          <w:b/>
          <w:bCs/>
          <w:color w:val="auto"/>
          <w:sz w:val="30"/>
          <w:szCs w:val="30"/>
          <w:highlight w:val="none"/>
        </w:rPr>
        <w:t>2020</w:t>
      </w:r>
      <w:r>
        <w:rPr>
          <w:rFonts w:hint="eastAsia" w:ascii="宋体" w:hAnsi="宋体" w:eastAsia="宋体" w:cs="Times New Roman"/>
          <w:b/>
          <w:bCs/>
          <w:color w:val="auto"/>
          <w:sz w:val="30"/>
          <w:szCs w:val="30"/>
          <w:highlight w:val="none"/>
          <w:lang w:val="zh-CN"/>
        </w:rPr>
        <w:t>年1月1日或以后）至今具有水务、电力、能源相关的集中控制系统建设项目业绩表</w:t>
      </w:r>
      <w:bookmarkEnd w:id="945"/>
      <w:bookmarkEnd w:id="946"/>
    </w:p>
    <w:tbl>
      <w:tblPr>
        <w:tblStyle w:val="44"/>
        <w:tblW w:w="45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652"/>
        <w:gridCol w:w="941"/>
        <w:gridCol w:w="941"/>
        <w:gridCol w:w="941"/>
        <w:gridCol w:w="941"/>
        <w:gridCol w:w="1104"/>
        <w:gridCol w:w="941"/>
        <w:gridCol w:w="953"/>
        <w:gridCol w:w="955"/>
        <w:gridCol w:w="889"/>
      </w:tblGrid>
      <w:tr w14:paraId="0371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627" w:hRule="exact"/>
          <w:jc w:val="center"/>
        </w:trPr>
        <w:tc>
          <w:tcPr>
            <w:tcW w:w="352" w:type="pct"/>
            <w:vAlign w:val="center"/>
          </w:tcPr>
          <w:p w14:paraId="38006715">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508" w:type="pct"/>
            <w:vAlign w:val="center"/>
          </w:tcPr>
          <w:p w14:paraId="6B4AE6B7">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508" w:type="pct"/>
            <w:vAlign w:val="center"/>
          </w:tcPr>
          <w:p w14:paraId="0B5679F2">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合同金额（万元）</w:t>
            </w:r>
          </w:p>
        </w:tc>
        <w:tc>
          <w:tcPr>
            <w:tcW w:w="508" w:type="pct"/>
            <w:vAlign w:val="center"/>
          </w:tcPr>
          <w:p w14:paraId="6C105F1F">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合同主要内容</w:t>
            </w:r>
          </w:p>
        </w:tc>
        <w:tc>
          <w:tcPr>
            <w:tcW w:w="508" w:type="pct"/>
            <w:vAlign w:val="center"/>
          </w:tcPr>
          <w:p w14:paraId="1920A483">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合同期限</w:t>
            </w:r>
          </w:p>
        </w:tc>
        <w:tc>
          <w:tcPr>
            <w:tcW w:w="596" w:type="pct"/>
            <w:vAlign w:val="center"/>
          </w:tcPr>
          <w:p w14:paraId="589F28EC">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签约日期</w:t>
            </w:r>
          </w:p>
        </w:tc>
        <w:tc>
          <w:tcPr>
            <w:tcW w:w="508" w:type="pct"/>
            <w:vAlign w:val="center"/>
          </w:tcPr>
          <w:p w14:paraId="23D97F67">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服务完成情况</w:t>
            </w:r>
          </w:p>
        </w:tc>
        <w:tc>
          <w:tcPr>
            <w:tcW w:w="514" w:type="pct"/>
            <w:vAlign w:val="center"/>
          </w:tcPr>
          <w:p w14:paraId="0A03213B">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服务质量情况</w:t>
            </w:r>
          </w:p>
        </w:tc>
        <w:tc>
          <w:tcPr>
            <w:tcW w:w="515" w:type="pct"/>
            <w:vAlign w:val="center"/>
          </w:tcPr>
          <w:p w14:paraId="2063A4C7">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业主联系人及电话</w:t>
            </w:r>
          </w:p>
        </w:tc>
        <w:tc>
          <w:tcPr>
            <w:tcW w:w="479" w:type="pct"/>
            <w:vAlign w:val="center"/>
          </w:tcPr>
          <w:p w14:paraId="6BE5DFFF">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3316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52" w:type="pct"/>
            <w:vAlign w:val="center"/>
          </w:tcPr>
          <w:p w14:paraId="3575748F">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508" w:type="pct"/>
            <w:vAlign w:val="center"/>
          </w:tcPr>
          <w:p w14:paraId="3E0F926C">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vAlign w:val="center"/>
          </w:tcPr>
          <w:p w14:paraId="013E2681">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vAlign w:val="center"/>
          </w:tcPr>
          <w:p w14:paraId="3E47057A">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vAlign w:val="center"/>
          </w:tcPr>
          <w:p w14:paraId="4F7CF413">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96" w:type="pct"/>
            <w:vAlign w:val="center"/>
          </w:tcPr>
          <w:p w14:paraId="36050CE8">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tcPr>
          <w:p w14:paraId="109C005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14" w:type="pct"/>
            <w:vAlign w:val="center"/>
          </w:tcPr>
          <w:p w14:paraId="7A42C7C5">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15" w:type="pct"/>
            <w:vAlign w:val="center"/>
          </w:tcPr>
          <w:p w14:paraId="0842BE68">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79" w:type="pct"/>
            <w:vAlign w:val="center"/>
          </w:tcPr>
          <w:p w14:paraId="52C6D9A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r w14:paraId="58DD7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52" w:type="pct"/>
            <w:vAlign w:val="center"/>
          </w:tcPr>
          <w:p w14:paraId="4BE590BF">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508" w:type="pct"/>
            <w:vAlign w:val="center"/>
          </w:tcPr>
          <w:p w14:paraId="59050C29">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vAlign w:val="center"/>
          </w:tcPr>
          <w:p w14:paraId="7B9E678C">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vAlign w:val="center"/>
          </w:tcPr>
          <w:p w14:paraId="25ABD050">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vAlign w:val="center"/>
          </w:tcPr>
          <w:p w14:paraId="0D648F88">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96" w:type="pct"/>
            <w:vAlign w:val="center"/>
          </w:tcPr>
          <w:p w14:paraId="4A583F92">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tcPr>
          <w:p w14:paraId="01E50FD2">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14" w:type="pct"/>
            <w:vAlign w:val="center"/>
          </w:tcPr>
          <w:p w14:paraId="447E54F0">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15" w:type="pct"/>
            <w:vAlign w:val="center"/>
          </w:tcPr>
          <w:p w14:paraId="0974EA3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79" w:type="pct"/>
            <w:vAlign w:val="center"/>
          </w:tcPr>
          <w:p w14:paraId="0699EB05">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r w14:paraId="08FA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52" w:type="pct"/>
            <w:vAlign w:val="center"/>
          </w:tcPr>
          <w:p w14:paraId="711F3183">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508" w:type="pct"/>
            <w:vAlign w:val="center"/>
          </w:tcPr>
          <w:p w14:paraId="50F709CD">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vAlign w:val="center"/>
          </w:tcPr>
          <w:p w14:paraId="433CB87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vAlign w:val="center"/>
          </w:tcPr>
          <w:p w14:paraId="29295503">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vAlign w:val="center"/>
          </w:tcPr>
          <w:p w14:paraId="0A54600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96" w:type="pct"/>
            <w:vAlign w:val="center"/>
          </w:tcPr>
          <w:p w14:paraId="1D8458FD">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tcPr>
          <w:p w14:paraId="22FD5027">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14" w:type="pct"/>
            <w:vAlign w:val="center"/>
          </w:tcPr>
          <w:p w14:paraId="5BD9CBD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15" w:type="pct"/>
            <w:vAlign w:val="center"/>
          </w:tcPr>
          <w:p w14:paraId="337854B1">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79" w:type="pct"/>
            <w:vAlign w:val="center"/>
          </w:tcPr>
          <w:p w14:paraId="76572A61">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r w14:paraId="257E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52" w:type="pct"/>
            <w:vAlign w:val="center"/>
          </w:tcPr>
          <w:p w14:paraId="0B1D3E21">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508" w:type="pct"/>
            <w:vAlign w:val="center"/>
          </w:tcPr>
          <w:p w14:paraId="04E6434B">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vAlign w:val="center"/>
          </w:tcPr>
          <w:p w14:paraId="55A6123F">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vAlign w:val="center"/>
          </w:tcPr>
          <w:p w14:paraId="070A3750">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vAlign w:val="center"/>
          </w:tcPr>
          <w:p w14:paraId="429EBC9A">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96" w:type="pct"/>
            <w:vAlign w:val="center"/>
          </w:tcPr>
          <w:p w14:paraId="2ED15D49">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tcPr>
          <w:p w14:paraId="01A7349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14" w:type="pct"/>
            <w:vAlign w:val="center"/>
          </w:tcPr>
          <w:p w14:paraId="49768790">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15" w:type="pct"/>
            <w:vAlign w:val="center"/>
          </w:tcPr>
          <w:p w14:paraId="5B7F0FDD">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79" w:type="pct"/>
            <w:vAlign w:val="center"/>
          </w:tcPr>
          <w:p w14:paraId="5F33C74F">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bl>
    <w:p w14:paraId="40B6730C">
      <w:pPr>
        <w:keepNext w:val="0"/>
        <w:keepLines w:val="0"/>
        <w:pageBreakBefore w:val="0"/>
        <w:widowControl w:val="0"/>
        <w:kinsoku/>
        <w:wordWrap/>
        <w:overflowPunct/>
        <w:topLinePunct w:val="0"/>
        <w:autoSpaceDE w:val="0"/>
        <w:autoSpaceDN w:val="0"/>
        <w:bidi w:val="0"/>
        <w:adjustRightInd w:val="0"/>
        <w:snapToGrid w:val="0"/>
        <w:spacing w:line="380" w:lineRule="exact"/>
        <w:ind w:left="481" w:leftChars="-41" w:hanging="567" w:hangingChars="270"/>
        <w:jc w:val="left"/>
        <w:textAlignment w:val="auto"/>
        <w:rPr>
          <w:rFonts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备注：</w:t>
      </w:r>
    </w:p>
    <w:p w14:paraId="093479B6">
      <w:pPr>
        <w:keepNext w:val="0"/>
        <w:keepLines w:val="0"/>
        <w:pageBreakBefore w:val="0"/>
        <w:widowControl w:val="0"/>
        <w:kinsoku/>
        <w:wordWrap/>
        <w:overflowPunct/>
        <w:topLinePunct w:val="0"/>
        <w:autoSpaceDE w:val="0"/>
        <w:autoSpaceDN w:val="0"/>
        <w:bidi w:val="0"/>
        <w:adjustRightInd w:val="0"/>
        <w:snapToGrid w:val="0"/>
        <w:spacing w:line="380" w:lineRule="exact"/>
        <w:ind w:left="481" w:leftChars="-41" w:hanging="567" w:hangingChars="270"/>
        <w:jc w:val="left"/>
        <w:textAlignment w:val="auto"/>
        <w:rPr>
          <w:rFonts w:ascii="宋体" w:hAnsi="宋体" w:eastAsia="宋体" w:cs="Times New Roman"/>
          <w:b/>
          <w:bCs/>
          <w:color w:val="auto"/>
          <w:szCs w:val="24"/>
          <w:highlight w:val="none"/>
          <w:lang w:val="zh-CN"/>
        </w:rPr>
      </w:pPr>
      <w:r>
        <w:rPr>
          <w:rFonts w:hint="eastAsia" w:ascii="宋体" w:hAnsi="宋体" w:eastAsia="宋体" w:cs="Times New Roman"/>
          <w:color w:val="auto"/>
          <w:szCs w:val="24"/>
          <w:highlight w:val="none"/>
          <w:lang w:val="zh-CN"/>
        </w:rPr>
        <w:t>（1）</w:t>
      </w:r>
      <w:r>
        <w:rPr>
          <w:rFonts w:ascii="宋体" w:hAnsi="宋体" w:eastAsia="宋体" w:cs="Times New Roman"/>
          <w:color w:val="auto"/>
          <w:szCs w:val="24"/>
          <w:highlight w:val="none"/>
          <w:lang w:val="zh-CN"/>
        </w:rPr>
        <w:t>业绩按单项合同金额从高到低的方式排列</w:t>
      </w:r>
      <w:r>
        <w:rPr>
          <w:rFonts w:hint="eastAsia" w:ascii="宋体" w:hAnsi="宋体" w:eastAsia="宋体" w:cs="Times New Roman"/>
          <w:color w:val="auto"/>
          <w:szCs w:val="24"/>
          <w:highlight w:val="none"/>
          <w:lang w:val="zh-CN"/>
        </w:rPr>
        <w:t>；</w:t>
      </w:r>
      <w:r>
        <w:rPr>
          <w:rFonts w:hint="eastAsia" w:ascii="宋体" w:hAnsi="宋体" w:eastAsia="宋体" w:cs="Times New Roman"/>
          <w:b/>
          <w:bCs/>
          <w:color w:val="auto"/>
          <w:szCs w:val="24"/>
          <w:highlight w:val="none"/>
          <w:lang w:val="zh-CN"/>
        </w:rPr>
        <w:t>同一个单项合同的业绩可以同时在资格业绩和评分业绩重复放置；</w:t>
      </w:r>
    </w:p>
    <w:p w14:paraId="052245BA">
      <w:pPr>
        <w:keepNext w:val="0"/>
        <w:keepLines w:val="0"/>
        <w:pageBreakBefore w:val="0"/>
        <w:widowControl w:val="0"/>
        <w:kinsoku/>
        <w:wordWrap/>
        <w:overflowPunct/>
        <w:topLinePunct w:val="0"/>
        <w:autoSpaceDE w:val="0"/>
        <w:autoSpaceDN w:val="0"/>
        <w:bidi w:val="0"/>
        <w:adjustRightInd w:val="0"/>
        <w:snapToGrid w:val="0"/>
        <w:spacing w:line="380" w:lineRule="exact"/>
        <w:ind w:left="481" w:leftChars="-41" w:hanging="567" w:hangingChars="270"/>
        <w:jc w:val="left"/>
        <w:textAlignment w:val="auto"/>
        <w:rPr>
          <w:rFonts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w:t>
      </w:r>
      <w:r>
        <w:rPr>
          <w:rFonts w:ascii="宋体" w:hAnsi="宋体" w:eastAsia="宋体" w:cs="Times New Roman"/>
          <w:color w:val="auto"/>
          <w:szCs w:val="24"/>
          <w:highlight w:val="none"/>
          <w:lang w:val="zh-CN"/>
        </w:rPr>
        <w:t>2</w:t>
      </w:r>
      <w:r>
        <w:rPr>
          <w:rFonts w:hint="eastAsia" w:ascii="宋体" w:hAnsi="宋体" w:eastAsia="宋体" w:cs="Times New Roman"/>
          <w:color w:val="auto"/>
          <w:szCs w:val="24"/>
          <w:highlight w:val="none"/>
          <w:lang w:val="zh-CN"/>
        </w:rPr>
        <w:t>）每个业绩仅计算一次得分，由投标人自行放入对应的评分子项；</w:t>
      </w:r>
    </w:p>
    <w:p w14:paraId="317BC4B8">
      <w:pPr>
        <w:keepNext w:val="0"/>
        <w:keepLines w:val="0"/>
        <w:pageBreakBefore w:val="0"/>
        <w:widowControl w:val="0"/>
        <w:kinsoku/>
        <w:wordWrap/>
        <w:overflowPunct/>
        <w:topLinePunct w:val="0"/>
        <w:autoSpaceDE w:val="0"/>
        <w:autoSpaceDN w:val="0"/>
        <w:bidi w:val="0"/>
        <w:adjustRightInd w:val="0"/>
        <w:snapToGrid w:val="0"/>
        <w:spacing w:line="380" w:lineRule="exact"/>
        <w:ind w:left="481" w:leftChars="-41" w:hanging="567" w:hangingChars="270"/>
        <w:jc w:val="left"/>
        <w:textAlignment w:val="auto"/>
        <w:rPr>
          <w:rFonts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w:t>
      </w:r>
      <w:r>
        <w:rPr>
          <w:rFonts w:hint="eastAsia" w:ascii="宋体" w:hAnsi="宋体" w:eastAsia="宋体" w:cs="Times New Roman"/>
          <w:color w:val="auto"/>
          <w:szCs w:val="24"/>
          <w:highlight w:val="none"/>
        </w:rPr>
        <w:t>3</w:t>
      </w:r>
      <w:r>
        <w:rPr>
          <w:rFonts w:hint="eastAsia" w:ascii="宋体" w:hAnsi="宋体" w:eastAsia="宋体" w:cs="Times New Roman"/>
          <w:color w:val="auto"/>
          <w:szCs w:val="24"/>
          <w:highlight w:val="none"/>
          <w:lang w:val="zh-CN"/>
        </w:rPr>
        <w:t>）业绩须附合同原件扫描件（合同卖方必须为投标人）及合同对应的购买方出具的能证明项目质量合格的验收证明或用户评价等证明文件的原件扫描件（前述原件扫描件能显示合同购买方公章），否则不得分；</w:t>
      </w:r>
    </w:p>
    <w:p w14:paraId="05CBFF7E">
      <w:pPr>
        <w:keepNext w:val="0"/>
        <w:keepLines w:val="0"/>
        <w:pageBreakBefore w:val="0"/>
        <w:widowControl w:val="0"/>
        <w:kinsoku/>
        <w:wordWrap/>
        <w:overflowPunct/>
        <w:topLinePunct w:val="0"/>
        <w:autoSpaceDE w:val="0"/>
        <w:autoSpaceDN w:val="0"/>
        <w:bidi w:val="0"/>
        <w:adjustRightInd w:val="0"/>
        <w:snapToGrid w:val="0"/>
        <w:spacing w:line="380" w:lineRule="exact"/>
        <w:ind w:left="481" w:leftChars="-41" w:hanging="567" w:hangingChars="270"/>
        <w:jc w:val="left"/>
        <w:textAlignment w:val="auto"/>
        <w:rPr>
          <w:rFonts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w:t>
      </w:r>
      <w:r>
        <w:rPr>
          <w:rFonts w:hint="eastAsia" w:ascii="宋体" w:hAnsi="宋体" w:eastAsia="宋体" w:cs="Times New Roman"/>
          <w:color w:val="auto"/>
          <w:szCs w:val="24"/>
          <w:highlight w:val="none"/>
        </w:rPr>
        <w:t>4</w:t>
      </w:r>
      <w:r>
        <w:rPr>
          <w:rFonts w:hint="eastAsia" w:ascii="宋体" w:hAnsi="宋体" w:eastAsia="宋体" w:cs="Times New Roman"/>
          <w:color w:val="auto"/>
          <w:szCs w:val="24"/>
          <w:highlight w:val="none"/>
          <w:lang w:val="zh-CN"/>
        </w:rPr>
        <w:t>）若业绩合同及证明文件无法反映评分条件（1.合同签订日期为</w:t>
      </w:r>
      <w:r>
        <w:rPr>
          <w:rFonts w:hint="eastAsia" w:ascii="宋体" w:hAnsi="宋体" w:eastAsia="宋体" w:cs="Times New Roman"/>
          <w:color w:val="auto"/>
          <w:szCs w:val="24"/>
          <w:highlight w:val="none"/>
        </w:rPr>
        <w:t>2020</w:t>
      </w:r>
      <w:r>
        <w:rPr>
          <w:rFonts w:hint="eastAsia" w:ascii="宋体" w:hAnsi="宋体" w:eastAsia="宋体" w:cs="Times New Roman"/>
          <w:color w:val="auto"/>
          <w:szCs w:val="24"/>
          <w:highlight w:val="none"/>
          <w:lang w:val="zh-CN"/>
        </w:rPr>
        <w:t>年1月1日或以后；2.水务、电力、能源相关的集中控制系统建设项目；</w:t>
      </w:r>
      <w:r>
        <w:rPr>
          <w:rFonts w:hint="eastAsia" w:ascii="宋体" w:hAnsi="宋体" w:eastAsia="宋体" w:cs="Times New Roman"/>
          <w:color w:val="auto"/>
          <w:szCs w:val="24"/>
          <w:highlight w:val="none"/>
        </w:rPr>
        <w:t>3</w:t>
      </w:r>
      <w:r>
        <w:rPr>
          <w:rFonts w:hint="eastAsia" w:ascii="宋体" w:hAnsi="宋体" w:eastAsia="宋体" w:cs="Times New Roman"/>
          <w:color w:val="auto"/>
          <w:szCs w:val="24"/>
          <w:highlight w:val="none"/>
          <w:lang w:val="zh-CN"/>
        </w:rPr>
        <w:t>.单项合同金额），还需提供合同购买方出具的书面补充说明文件原件扫描件作为辅助证明（补充说明文件原件扫描件能显示合同购买方公章），否则不得分；</w:t>
      </w:r>
    </w:p>
    <w:p w14:paraId="0F7512A2">
      <w:pPr>
        <w:keepNext w:val="0"/>
        <w:keepLines w:val="0"/>
        <w:pageBreakBefore w:val="0"/>
        <w:widowControl w:val="0"/>
        <w:kinsoku/>
        <w:wordWrap/>
        <w:overflowPunct/>
        <w:topLinePunct w:val="0"/>
        <w:autoSpaceDE w:val="0"/>
        <w:autoSpaceDN w:val="0"/>
        <w:bidi w:val="0"/>
        <w:adjustRightInd w:val="0"/>
        <w:snapToGrid w:val="0"/>
        <w:spacing w:line="380" w:lineRule="exact"/>
        <w:ind w:left="481" w:leftChars="-41" w:hanging="567" w:hangingChars="270"/>
        <w:jc w:val="left"/>
        <w:textAlignment w:val="auto"/>
        <w:rPr>
          <w:rFonts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w:t>
      </w:r>
      <w:r>
        <w:rPr>
          <w:rFonts w:hint="eastAsia" w:ascii="宋体" w:hAnsi="宋体" w:eastAsia="宋体" w:cs="Times New Roman"/>
          <w:color w:val="auto"/>
          <w:szCs w:val="24"/>
          <w:highlight w:val="none"/>
          <w:lang w:val="en-US" w:eastAsia="zh-CN"/>
        </w:rPr>
        <w:t>5</w:t>
      </w:r>
      <w:r>
        <w:rPr>
          <w:rFonts w:hint="eastAsia" w:ascii="宋体" w:hAnsi="宋体" w:eastAsia="宋体" w:cs="Times New Roman"/>
          <w:color w:val="auto"/>
          <w:szCs w:val="24"/>
          <w:highlight w:val="none"/>
          <w:lang w:val="zh-CN"/>
        </w:rPr>
        <w:t>）集中控制系统建设项目具体为利用一套数据采集与监视控制系统同时监视和控制不少于3个独立厂、站的控制系统；</w:t>
      </w:r>
    </w:p>
    <w:p w14:paraId="0A56B042">
      <w:pPr>
        <w:keepNext w:val="0"/>
        <w:keepLines w:val="0"/>
        <w:pageBreakBefore w:val="0"/>
        <w:widowControl w:val="0"/>
        <w:kinsoku/>
        <w:wordWrap/>
        <w:overflowPunct/>
        <w:topLinePunct w:val="0"/>
        <w:autoSpaceDE w:val="0"/>
        <w:autoSpaceDN w:val="0"/>
        <w:bidi w:val="0"/>
        <w:adjustRightInd w:val="0"/>
        <w:snapToGrid w:val="0"/>
        <w:spacing w:line="380" w:lineRule="exact"/>
        <w:ind w:left="481" w:leftChars="-41" w:hanging="567" w:hangingChars="270"/>
        <w:jc w:val="left"/>
        <w:textAlignment w:val="auto"/>
        <w:rPr>
          <w:rFonts w:ascii="宋体" w:hAnsi="宋体" w:eastAsia="宋体" w:cs="宋体"/>
          <w:color w:val="auto"/>
          <w:kern w:val="0"/>
          <w:szCs w:val="21"/>
          <w:highlight w:val="none"/>
        </w:rPr>
      </w:pPr>
      <w:r>
        <w:rPr>
          <w:rFonts w:hint="eastAsia" w:ascii="宋体" w:hAnsi="宋体" w:eastAsia="宋体" w:cs="Times New Roman"/>
          <w:color w:val="auto"/>
          <w:szCs w:val="24"/>
          <w:highlight w:val="none"/>
          <w:lang w:val="zh-CN"/>
        </w:rPr>
        <w:t>（</w:t>
      </w:r>
      <w:r>
        <w:rPr>
          <w:rFonts w:hint="eastAsia" w:ascii="宋体" w:hAnsi="宋体" w:eastAsia="宋体" w:cs="Times New Roman"/>
          <w:color w:val="auto"/>
          <w:szCs w:val="24"/>
          <w:highlight w:val="none"/>
          <w:lang w:val="en-US" w:eastAsia="zh-CN"/>
        </w:rPr>
        <w:t>6</w:t>
      </w:r>
      <w:r>
        <w:rPr>
          <w:rFonts w:hint="eastAsia" w:ascii="宋体" w:hAnsi="宋体" w:eastAsia="宋体" w:cs="Times New Roman"/>
          <w:color w:val="auto"/>
          <w:szCs w:val="24"/>
          <w:highlight w:val="none"/>
          <w:lang w:val="zh-CN"/>
        </w:rPr>
        <w:t>）</w:t>
      </w:r>
      <w:r>
        <w:rPr>
          <w:rFonts w:hint="eastAsia" w:ascii="宋体" w:hAnsi="宋体" w:eastAsia="宋体" w:cs="Times New Roman"/>
          <w:b/>
          <w:bCs/>
          <w:color w:val="auto"/>
          <w:szCs w:val="24"/>
          <w:highlight w:val="none"/>
          <w:lang w:val="zh-CN"/>
        </w:rPr>
        <w:t>未按上述要求在此格式下提供证明材料的业绩，或在此格式下所附材料无法证明填报项目符合本项评分要求的业绩，在评标时将不予考虑。</w:t>
      </w:r>
    </w:p>
    <w:p w14:paraId="3F47E6F0">
      <w:pPr>
        <w:keepNext w:val="0"/>
        <w:keepLines w:val="0"/>
        <w:pageBreakBefore w:val="0"/>
        <w:widowControl w:val="0"/>
        <w:kinsoku/>
        <w:wordWrap/>
        <w:overflowPunct/>
        <w:topLinePunct w:val="0"/>
        <w:autoSpaceDE w:val="0"/>
        <w:autoSpaceDN w:val="0"/>
        <w:bidi w:val="0"/>
        <w:adjustRightInd w:val="0"/>
        <w:spacing w:line="380" w:lineRule="exact"/>
        <w:ind w:firstLine="5040" w:firstLineChars="2400"/>
        <w:jc w:val="left"/>
        <w:textAlignment w:val="auto"/>
        <w:rPr>
          <w:rFonts w:ascii="宋体" w:hAnsi="宋体" w:eastAsia="宋体" w:cs="Times New Roman"/>
          <w:color w:val="auto"/>
          <w:szCs w:val="24"/>
          <w:highlight w:val="none"/>
          <w:lang w:val="zh-CN"/>
        </w:rPr>
      </w:pPr>
    </w:p>
    <w:p w14:paraId="5D0D02CC">
      <w:pPr>
        <w:keepNext w:val="0"/>
        <w:keepLines w:val="0"/>
        <w:pageBreakBefore w:val="0"/>
        <w:widowControl w:val="0"/>
        <w:kinsoku/>
        <w:wordWrap/>
        <w:overflowPunct/>
        <w:topLinePunct w:val="0"/>
        <w:autoSpaceDE w:val="0"/>
        <w:autoSpaceDN w:val="0"/>
        <w:bidi w:val="0"/>
        <w:adjustRightInd w:val="0"/>
        <w:spacing w:line="380" w:lineRule="exact"/>
        <w:ind w:firstLine="3780" w:firstLineChars="1800"/>
        <w:textAlignment w:val="auto"/>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2683845C">
      <w:pPr>
        <w:keepNext w:val="0"/>
        <w:keepLines w:val="0"/>
        <w:pageBreakBefore w:val="0"/>
        <w:widowControl w:val="0"/>
        <w:kinsoku/>
        <w:wordWrap/>
        <w:overflowPunct/>
        <w:topLinePunct w:val="0"/>
        <w:autoSpaceDE w:val="0"/>
        <w:autoSpaceDN w:val="0"/>
        <w:bidi w:val="0"/>
        <w:adjustRightInd w:val="0"/>
        <w:spacing w:line="380" w:lineRule="exact"/>
        <w:ind w:firstLine="3780" w:firstLineChars="1800"/>
        <w:textAlignment w:val="auto"/>
        <w:rPr>
          <w:rFonts w:ascii="宋体" w:hAnsi="宋体" w:eastAsia="宋体" w:cs="Times New Roman"/>
          <w:color w:val="auto"/>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s="Times New Roman"/>
          <w:color w:val="auto"/>
          <w:szCs w:val="24"/>
          <w:highlight w:val="none"/>
          <w:lang w:val="zh-CN"/>
        </w:rPr>
        <w:t>期：   年   月   日</w:t>
      </w:r>
    </w:p>
    <w:p w14:paraId="1BB22654">
      <w:pPr>
        <w:keepNext w:val="0"/>
        <w:keepLines w:val="0"/>
        <w:pageBreakBefore w:val="0"/>
        <w:widowControl w:val="0"/>
        <w:kinsoku/>
        <w:wordWrap/>
        <w:overflowPunct/>
        <w:topLinePunct w:val="0"/>
        <w:autoSpaceDE w:val="0"/>
        <w:autoSpaceDN w:val="0"/>
        <w:bidi w:val="0"/>
        <w:adjustRightInd w:val="0"/>
        <w:spacing w:line="380" w:lineRule="exact"/>
        <w:jc w:val="center"/>
        <w:textAlignment w:val="auto"/>
        <w:rPr>
          <w:rFonts w:ascii="宋体" w:hAnsi="宋体" w:eastAsia="宋体" w:cs="Times New Roman"/>
          <w:b/>
          <w:bCs/>
          <w:color w:val="auto"/>
          <w:szCs w:val="24"/>
          <w:highlight w:val="none"/>
          <w:lang w:val="zh-CN"/>
        </w:rPr>
      </w:pPr>
    </w:p>
    <w:p w14:paraId="20D59D98">
      <w:pPr>
        <w:keepNext w:val="0"/>
        <w:keepLines w:val="0"/>
        <w:pageBreakBefore w:val="0"/>
        <w:widowControl w:val="0"/>
        <w:kinsoku/>
        <w:wordWrap/>
        <w:overflowPunct/>
        <w:topLinePunct w:val="0"/>
        <w:autoSpaceDE w:val="0"/>
        <w:autoSpaceDN w:val="0"/>
        <w:bidi w:val="0"/>
        <w:adjustRightInd w:val="0"/>
        <w:spacing w:line="380" w:lineRule="exact"/>
        <w:jc w:val="center"/>
        <w:textAlignment w:val="auto"/>
        <w:rPr>
          <w:rFonts w:ascii="宋体" w:hAnsi="宋体" w:eastAsia="宋体" w:cs="Times New Roman"/>
          <w:color w:val="auto"/>
          <w:szCs w:val="24"/>
          <w:highlight w:val="none"/>
          <w:lang w:val="zh-CN"/>
        </w:rPr>
      </w:pPr>
      <w:r>
        <w:rPr>
          <w:rFonts w:hint="eastAsia" w:ascii="宋体" w:hAnsi="宋体" w:eastAsia="宋体" w:cs="Times New Roman"/>
          <w:b/>
          <w:bCs/>
          <w:color w:val="auto"/>
          <w:szCs w:val="24"/>
          <w:highlight w:val="none"/>
          <w:lang w:val="zh-CN"/>
        </w:rPr>
        <w:t>说明：由投标人使用投标人的企业数字证书电子签名。</w:t>
      </w:r>
    </w:p>
    <w:p w14:paraId="37DA2C41">
      <w:pPr>
        <w:widowControl/>
        <w:jc w:val="left"/>
        <w:rPr>
          <w:rFonts w:ascii="宋体" w:hAnsi="宋体" w:eastAsia="宋体" w:cs="宋体"/>
          <w:b/>
          <w:bCs/>
          <w:color w:val="auto"/>
          <w:sz w:val="30"/>
          <w:szCs w:val="30"/>
          <w:highlight w:val="none"/>
          <w:lang w:bidi="ar"/>
        </w:rPr>
      </w:pPr>
      <w:r>
        <w:rPr>
          <w:rFonts w:hint="eastAsia" w:ascii="宋体" w:hAnsi="宋体" w:eastAsia="宋体" w:cs="宋体"/>
          <w:b/>
          <w:bCs/>
          <w:color w:val="auto"/>
          <w:sz w:val="30"/>
          <w:szCs w:val="30"/>
          <w:highlight w:val="none"/>
          <w:lang w:bidi="ar"/>
        </w:rPr>
        <w:br w:type="page"/>
      </w:r>
    </w:p>
    <w:p w14:paraId="6EE060E1">
      <w:pPr>
        <w:autoSpaceDE w:val="0"/>
        <w:autoSpaceDN w:val="0"/>
        <w:adjustRightInd w:val="0"/>
        <w:spacing w:line="360" w:lineRule="auto"/>
        <w:jc w:val="center"/>
        <w:outlineLvl w:val="2"/>
        <w:rPr>
          <w:rFonts w:ascii="宋体" w:hAnsi="宋体" w:eastAsia="宋体" w:cs="Times New Roman"/>
          <w:b/>
          <w:bCs/>
          <w:color w:val="auto"/>
          <w:sz w:val="30"/>
          <w:szCs w:val="30"/>
          <w:highlight w:val="none"/>
        </w:rPr>
      </w:pPr>
      <w:bookmarkStart w:id="947" w:name="_Toc21352"/>
      <w:bookmarkStart w:id="948" w:name="_Toc195714393"/>
      <w:r>
        <w:rPr>
          <w:rFonts w:hint="eastAsia" w:ascii="宋体" w:hAnsi="宋体" w:eastAsia="宋体" w:cs="宋体"/>
          <w:b/>
          <w:bCs/>
          <w:color w:val="auto"/>
          <w:sz w:val="30"/>
          <w:szCs w:val="30"/>
          <w:highlight w:val="none"/>
          <w:lang w:bidi="ar"/>
        </w:rPr>
        <w:t>9.2 投标人2020年1月1日（合同签订日期为2020年1月1日或以后）至今具有水务、电力、能源相关的自动化控制系统建设项目业绩表</w:t>
      </w:r>
      <w:bookmarkEnd w:id="947"/>
      <w:bookmarkEnd w:id="948"/>
    </w:p>
    <w:tbl>
      <w:tblPr>
        <w:tblStyle w:val="44"/>
        <w:tblW w:w="45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651"/>
        <w:gridCol w:w="941"/>
        <w:gridCol w:w="941"/>
        <w:gridCol w:w="942"/>
        <w:gridCol w:w="942"/>
        <w:gridCol w:w="1105"/>
        <w:gridCol w:w="942"/>
        <w:gridCol w:w="951"/>
        <w:gridCol w:w="955"/>
        <w:gridCol w:w="888"/>
      </w:tblGrid>
      <w:tr w14:paraId="540F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627" w:hRule="atLeast"/>
          <w:jc w:val="center"/>
        </w:trPr>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50DBAFA7">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序号</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22C88FE1">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项目名称</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3E97DA4B">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合同金额（万元）</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1485BAFB">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合同主要内容</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47C15F85">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合同期限</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0C264663">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签约日期</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395432CA">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服务完成情况</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14:paraId="78DE483F">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服务质量情况</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0EE1C65D">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业主联系人及电话</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14:paraId="52F5FDD9">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备注</w:t>
            </w:r>
          </w:p>
        </w:tc>
      </w:tr>
      <w:tr w14:paraId="1AA7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atLeast"/>
          <w:jc w:val="center"/>
        </w:trPr>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4A60F96D">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1</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6BF7AA38">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78E686D3">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1FD348E7">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5F740016">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6FD7AAE8">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tcBorders>
              <w:top w:val="single" w:color="auto" w:sz="4" w:space="0"/>
              <w:left w:val="single" w:color="auto" w:sz="4" w:space="0"/>
              <w:bottom w:val="single" w:color="auto" w:sz="4" w:space="0"/>
              <w:right w:val="single" w:color="auto" w:sz="4" w:space="0"/>
            </w:tcBorders>
            <w:shd w:val="clear" w:color="auto" w:fill="auto"/>
          </w:tcPr>
          <w:p w14:paraId="6B2D6B7A">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14:paraId="7C1C3DD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13AC45F1">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14:paraId="12DA954F">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r w14:paraId="78D86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atLeast"/>
          <w:jc w:val="center"/>
        </w:trPr>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115ED3A5">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2</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4FF0EF0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46748A78">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02934A6B">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3DC8A613">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1AA04943">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tcBorders>
              <w:top w:val="single" w:color="auto" w:sz="4" w:space="0"/>
              <w:left w:val="single" w:color="auto" w:sz="4" w:space="0"/>
              <w:bottom w:val="single" w:color="auto" w:sz="4" w:space="0"/>
              <w:right w:val="single" w:color="auto" w:sz="4" w:space="0"/>
            </w:tcBorders>
            <w:shd w:val="clear" w:color="auto" w:fill="auto"/>
          </w:tcPr>
          <w:p w14:paraId="2FACC41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14:paraId="062547C7">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6580404F">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14:paraId="2C00B08D">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r w14:paraId="24184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atLeast"/>
          <w:jc w:val="center"/>
        </w:trPr>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20133B20">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3</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6401B1A8">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4D543E7F">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15628EEC">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3A400951">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28112337">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tcBorders>
              <w:top w:val="single" w:color="auto" w:sz="4" w:space="0"/>
              <w:left w:val="single" w:color="auto" w:sz="4" w:space="0"/>
              <w:bottom w:val="single" w:color="auto" w:sz="4" w:space="0"/>
              <w:right w:val="single" w:color="auto" w:sz="4" w:space="0"/>
            </w:tcBorders>
            <w:shd w:val="clear" w:color="auto" w:fill="auto"/>
          </w:tcPr>
          <w:p w14:paraId="3DDFDC7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14:paraId="2126BAD5">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1E3A3EAA">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14:paraId="32A6E31D">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r w14:paraId="2BFC9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atLeast"/>
          <w:jc w:val="center"/>
        </w:trPr>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61950C3D">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7223335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49722C5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4FCFD15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220B911A">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1E29F97E">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08" w:type="pct"/>
            <w:tcBorders>
              <w:top w:val="single" w:color="auto" w:sz="4" w:space="0"/>
              <w:left w:val="single" w:color="auto" w:sz="4" w:space="0"/>
              <w:bottom w:val="single" w:color="auto" w:sz="4" w:space="0"/>
              <w:right w:val="single" w:color="auto" w:sz="4" w:space="0"/>
            </w:tcBorders>
            <w:shd w:val="clear" w:color="auto" w:fill="auto"/>
          </w:tcPr>
          <w:p w14:paraId="51B56297">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14:paraId="76953CE5">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6A2AA541">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14:paraId="35C5C481">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rPr>
            </w:pPr>
          </w:p>
        </w:tc>
      </w:tr>
    </w:tbl>
    <w:p w14:paraId="46728C88">
      <w:pPr>
        <w:keepNext w:val="0"/>
        <w:keepLines w:val="0"/>
        <w:pageBreakBefore w:val="0"/>
        <w:kinsoku/>
        <w:wordWrap/>
        <w:overflowPunct/>
        <w:topLinePunct w:val="0"/>
        <w:autoSpaceDE w:val="0"/>
        <w:autoSpaceDN w:val="0"/>
        <w:bidi w:val="0"/>
        <w:adjustRightInd w:val="0"/>
        <w:snapToGrid w:val="0"/>
        <w:spacing w:line="380" w:lineRule="exact"/>
        <w:ind w:left="186" w:leftChars="-158" w:hanging="518" w:hangingChars="247"/>
        <w:jc w:val="left"/>
        <w:textAlignment w:val="auto"/>
        <w:rPr>
          <w:rFonts w:ascii="宋体" w:hAnsi="宋体" w:eastAsia="宋体" w:cs="Times New Roman"/>
          <w:color w:val="auto"/>
          <w:szCs w:val="21"/>
          <w:highlight w:val="none"/>
        </w:rPr>
      </w:pPr>
      <w:r>
        <w:rPr>
          <w:rFonts w:hint="eastAsia" w:ascii="宋体" w:hAnsi="宋体" w:eastAsia="宋体" w:cs="Times New Roman"/>
          <w:color w:val="auto"/>
          <w:szCs w:val="21"/>
          <w:highlight w:val="none"/>
          <w:lang w:bidi="ar"/>
        </w:rPr>
        <w:t xml:space="preserve"> </w:t>
      </w:r>
      <w:r>
        <w:rPr>
          <w:rFonts w:hint="eastAsia" w:ascii="宋体" w:hAnsi="宋体" w:eastAsia="宋体" w:cs="宋体"/>
          <w:color w:val="auto"/>
          <w:szCs w:val="21"/>
          <w:highlight w:val="none"/>
          <w:lang w:bidi="ar"/>
        </w:rPr>
        <w:t>备注：</w:t>
      </w:r>
    </w:p>
    <w:p w14:paraId="1DDFB48D">
      <w:pPr>
        <w:keepNext w:val="0"/>
        <w:keepLines w:val="0"/>
        <w:pageBreakBefore w:val="0"/>
        <w:kinsoku/>
        <w:wordWrap/>
        <w:overflowPunct/>
        <w:topLinePunct w:val="0"/>
        <w:autoSpaceDE w:val="0"/>
        <w:autoSpaceDN w:val="0"/>
        <w:bidi w:val="0"/>
        <w:adjustRightInd w:val="0"/>
        <w:snapToGrid w:val="0"/>
        <w:spacing w:line="380" w:lineRule="exact"/>
        <w:ind w:left="481" w:leftChars="-41" w:hanging="567" w:hangingChars="270"/>
        <w:jc w:val="left"/>
        <w:textAlignment w:val="auto"/>
        <w:rPr>
          <w:rFonts w:ascii="宋体" w:hAnsi="宋体" w:eastAsia="宋体" w:cs="Times New Roman"/>
          <w:b/>
          <w:bCs/>
          <w:color w:val="auto"/>
          <w:szCs w:val="21"/>
          <w:highlight w:val="none"/>
        </w:rPr>
      </w:pPr>
      <w:r>
        <w:rPr>
          <w:rFonts w:hint="eastAsia" w:ascii="宋体" w:hAnsi="宋体" w:eastAsia="宋体" w:cs="宋体"/>
          <w:color w:val="auto"/>
          <w:szCs w:val="21"/>
          <w:highlight w:val="none"/>
          <w:lang w:bidi="ar"/>
        </w:rPr>
        <w:t>（1）业绩按单项合同金额从高到低的方式排列；</w:t>
      </w:r>
      <w:r>
        <w:rPr>
          <w:rFonts w:hint="eastAsia" w:ascii="宋体" w:hAnsi="宋体" w:eastAsia="宋体" w:cs="宋体"/>
          <w:b/>
          <w:bCs/>
          <w:color w:val="auto"/>
          <w:szCs w:val="21"/>
          <w:highlight w:val="none"/>
          <w:lang w:bidi="ar"/>
        </w:rPr>
        <w:t>同一个单项合同的业绩可以同时在资格业绩和评分业绩重复放置；</w:t>
      </w:r>
    </w:p>
    <w:p w14:paraId="23A807A1">
      <w:pPr>
        <w:keepNext w:val="0"/>
        <w:keepLines w:val="0"/>
        <w:pageBreakBefore w:val="0"/>
        <w:kinsoku/>
        <w:wordWrap/>
        <w:overflowPunct/>
        <w:topLinePunct w:val="0"/>
        <w:autoSpaceDE w:val="0"/>
        <w:autoSpaceDN w:val="0"/>
        <w:bidi w:val="0"/>
        <w:adjustRightInd w:val="0"/>
        <w:snapToGrid w:val="0"/>
        <w:spacing w:line="380" w:lineRule="exact"/>
        <w:ind w:left="481" w:leftChars="-41" w:hanging="567" w:hangingChars="270"/>
        <w:jc w:val="left"/>
        <w:textAlignment w:val="auto"/>
        <w:rPr>
          <w:rFonts w:ascii="宋体" w:hAnsi="宋体" w:eastAsia="宋体" w:cs="Times New Roman"/>
          <w:color w:val="auto"/>
          <w:szCs w:val="21"/>
          <w:highlight w:val="none"/>
        </w:rPr>
      </w:pPr>
      <w:r>
        <w:rPr>
          <w:rFonts w:hint="eastAsia" w:ascii="宋体" w:hAnsi="宋体" w:eastAsia="宋体" w:cs="宋体"/>
          <w:color w:val="auto"/>
          <w:szCs w:val="21"/>
          <w:highlight w:val="none"/>
          <w:lang w:bidi="ar"/>
        </w:rPr>
        <w:t>（</w:t>
      </w:r>
      <w:r>
        <w:rPr>
          <w:rFonts w:hint="eastAsia" w:ascii="宋体" w:hAnsi="宋体" w:eastAsia="宋体" w:cs="Times New Roman"/>
          <w:color w:val="auto"/>
          <w:szCs w:val="21"/>
          <w:highlight w:val="none"/>
          <w:lang w:bidi="ar"/>
        </w:rPr>
        <w:t>2</w:t>
      </w:r>
      <w:r>
        <w:rPr>
          <w:rFonts w:hint="eastAsia" w:ascii="宋体" w:hAnsi="宋体" w:eastAsia="宋体" w:cs="宋体"/>
          <w:color w:val="auto"/>
          <w:szCs w:val="21"/>
          <w:highlight w:val="none"/>
          <w:lang w:bidi="ar"/>
        </w:rPr>
        <w:t>）每个业绩仅计算一次得分，由投标人自行放入对应的评分子项；</w:t>
      </w:r>
    </w:p>
    <w:p w14:paraId="206095CF">
      <w:pPr>
        <w:keepNext w:val="0"/>
        <w:keepLines w:val="0"/>
        <w:pageBreakBefore w:val="0"/>
        <w:kinsoku/>
        <w:wordWrap/>
        <w:overflowPunct/>
        <w:topLinePunct w:val="0"/>
        <w:autoSpaceDE w:val="0"/>
        <w:autoSpaceDN w:val="0"/>
        <w:bidi w:val="0"/>
        <w:adjustRightInd w:val="0"/>
        <w:snapToGrid w:val="0"/>
        <w:spacing w:line="380" w:lineRule="exact"/>
        <w:ind w:left="481" w:leftChars="-41" w:hanging="567" w:hangingChars="270"/>
        <w:jc w:val="left"/>
        <w:textAlignment w:val="auto"/>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3）业绩须附合同原件扫描件（合同卖方必须为投标人）及合同对应的购买方出具的能证明项目质量合格的验收证明或用户评价等证明文件的原件扫描件（前述原件扫描件能显示合同购买方公章），否则不得分；</w:t>
      </w:r>
    </w:p>
    <w:p w14:paraId="26F6FAA7">
      <w:pPr>
        <w:keepNext w:val="0"/>
        <w:keepLines w:val="0"/>
        <w:pageBreakBefore w:val="0"/>
        <w:kinsoku/>
        <w:wordWrap/>
        <w:overflowPunct/>
        <w:topLinePunct w:val="0"/>
        <w:autoSpaceDE w:val="0"/>
        <w:autoSpaceDN w:val="0"/>
        <w:bidi w:val="0"/>
        <w:adjustRightInd w:val="0"/>
        <w:snapToGrid w:val="0"/>
        <w:spacing w:line="380" w:lineRule="exact"/>
        <w:ind w:left="481" w:leftChars="-41" w:hanging="567" w:hangingChars="270"/>
        <w:jc w:val="left"/>
        <w:textAlignment w:val="auto"/>
        <w:rPr>
          <w:rFonts w:ascii="宋体" w:hAnsi="宋体" w:eastAsia="宋体" w:cs="Times New Roman"/>
          <w:color w:val="auto"/>
          <w:szCs w:val="21"/>
          <w:highlight w:val="none"/>
        </w:rPr>
      </w:pPr>
      <w:r>
        <w:rPr>
          <w:rFonts w:hint="eastAsia" w:ascii="宋体" w:hAnsi="宋体" w:eastAsia="宋体" w:cs="宋体"/>
          <w:color w:val="auto"/>
          <w:szCs w:val="21"/>
          <w:highlight w:val="none"/>
          <w:lang w:bidi="ar"/>
        </w:rPr>
        <w:t>（4）若业绩合同及证明文件无法反映评分条件（1.合同签订日期为2020年1月1日或以后；2.水务、电力、能源相关的自动化控制系统建设项目；3.单项合同金额），还需提供合同购买方出具的书面补充说明文件原件扫描件作为辅助证明（补充说明文件原件扫描件能显示合同购买方公章），否则不得分；</w:t>
      </w:r>
    </w:p>
    <w:p w14:paraId="6C21A3E9">
      <w:pPr>
        <w:keepNext w:val="0"/>
        <w:keepLines w:val="0"/>
        <w:pageBreakBefore w:val="0"/>
        <w:kinsoku/>
        <w:wordWrap/>
        <w:overflowPunct/>
        <w:topLinePunct w:val="0"/>
        <w:autoSpaceDE w:val="0"/>
        <w:autoSpaceDN w:val="0"/>
        <w:bidi w:val="0"/>
        <w:adjustRightInd w:val="0"/>
        <w:snapToGrid w:val="0"/>
        <w:spacing w:line="380" w:lineRule="exact"/>
        <w:ind w:left="481" w:leftChars="-41" w:hanging="567" w:hangingChars="270"/>
        <w:jc w:val="left"/>
        <w:textAlignment w:val="auto"/>
        <w:rPr>
          <w:rFonts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w:t>
      </w:r>
      <w:r>
        <w:rPr>
          <w:rFonts w:hint="eastAsia" w:ascii="宋体" w:hAnsi="宋体" w:eastAsia="宋体" w:cs="Times New Roman"/>
          <w:color w:val="auto"/>
          <w:szCs w:val="24"/>
          <w:highlight w:val="none"/>
          <w:lang w:val="en-US" w:eastAsia="zh-CN"/>
        </w:rPr>
        <w:t>5</w:t>
      </w:r>
      <w:r>
        <w:rPr>
          <w:rFonts w:hint="eastAsia" w:ascii="宋体" w:hAnsi="宋体" w:eastAsia="宋体" w:cs="Times New Roman"/>
          <w:color w:val="auto"/>
          <w:szCs w:val="24"/>
          <w:highlight w:val="none"/>
          <w:lang w:val="zh-CN"/>
        </w:rPr>
        <w:t>）自动化控制系统建设项目具体为利用一套数据采集与监视控制系统监视和控制单个厂、站的控制系统；</w:t>
      </w:r>
    </w:p>
    <w:p w14:paraId="41850855">
      <w:pPr>
        <w:keepNext w:val="0"/>
        <w:keepLines w:val="0"/>
        <w:pageBreakBefore w:val="0"/>
        <w:kinsoku/>
        <w:wordWrap/>
        <w:overflowPunct/>
        <w:topLinePunct w:val="0"/>
        <w:autoSpaceDE w:val="0"/>
        <w:autoSpaceDN w:val="0"/>
        <w:bidi w:val="0"/>
        <w:adjustRightInd w:val="0"/>
        <w:snapToGrid w:val="0"/>
        <w:spacing w:line="380" w:lineRule="exact"/>
        <w:ind w:left="481" w:leftChars="-41" w:hanging="567" w:hangingChars="270"/>
        <w:jc w:val="left"/>
        <w:textAlignment w:val="auto"/>
        <w:rPr>
          <w:rFonts w:ascii="宋体" w:hAnsi="宋体" w:eastAsia="宋体" w:cs="宋体"/>
          <w:color w:val="auto"/>
          <w:kern w:val="0"/>
          <w:szCs w:val="21"/>
          <w:highlight w:val="none"/>
        </w:rPr>
      </w:pPr>
      <w:r>
        <w:rPr>
          <w:rFonts w:hint="eastAsia" w:ascii="宋体" w:hAnsi="宋体" w:eastAsia="宋体" w:cs="宋体"/>
          <w:color w:val="auto"/>
          <w:szCs w:val="21"/>
          <w:highlight w:val="none"/>
          <w:lang w:bidi="ar"/>
        </w:rPr>
        <w:t>（</w:t>
      </w:r>
      <w:r>
        <w:rPr>
          <w:rFonts w:hint="eastAsia" w:ascii="宋体" w:hAnsi="宋体" w:eastAsia="宋体" w:cs="宋体"/>
          <w:color w:val="auto"/>
          <w:szCs w:val="21"/>
          <w:highlight w:val="none"/>
          <w:lang w:val="en-US" w:eastAsia="zh-CN" w:bidi="ar"/>
        </w:rPr>
        <w:t>6</w:t>
      </w:r>
      <w:r>
        <w:rPr>
          <w:rFonts w:hint="eastAsia" w:ascii="宋体" w:hAnsi="宋体" w:eastAsia="宋体" w:cs="宋体"/>
          <w:color w:val="auto"/>
          <w:szCs w:val="21"/>
          <w:highlight w:val="none"/>
          <w:lang w:bidi="ar"/>
        </w:rPr>
        <w:t>）</w:t>
      </w:r>
      <w:r>
        <w:rPr>
          <w:rFonts w:hint="eastAsia" w:ascii="宋体" w:hAnsi="宋体" w:eastAsia="宋体" w:cs="宋体"/>
          <w:b/>
          <w:bCs/>
          <w:color w:val="auto"/>
          <w:szCs w:val="21"/>
          <w:highlight w:val="none"/>
          <w:lang w:bidi="ar"/>
        </w:rPr>
        <w:t>未按上述要求在此格式下提供证明材料的业绩，或在此格式下所附材料无法证明填报项目符合本项评分要求的业绩，在评标时将不予考虑。</w:t>
      </w:r>
    </w:p>
    <w:p w14:paraId="5AD0C0FC">
      <w:pPr>
        <w:keepNext w:val="0"/>
        <w:keepLines w:val="0"/>
        <w:pageBreakBefore w:val="0"/>
        <w:kinsoku/>
        <w:wordWrap/>
        <w:overflowPunct/>
        <w:topLinePunct w:val="0"/>
        <w:autoSpaceDE w:val="0"/>
        <w:autoSpaceDN w:val="0"/>
        <w:bidi w:val="0"/>
        <w:adjustRightInd w:val="0"/>
        <w:spacing w:line="380" w:lineRule="exact"/>
        <w:ind w:firstLine="5040" w:firstLineChars="2400"/>
        <w:jc w:val="left"/>
        <w:textAlignment w:val="auto"/>
        <w:rPr>
          <w:rFonts w:ascii="宋体" w:hAnsi="宋体" w:eastAsia="宋体" w:cs="Times New Roman"/>
          <w:color w:val="auto"/>
          <w:szCs w:val="21"/>
          <w:highlight w:val="none"/>
        </w:rPr>
      </w:pPr>
      <w:r>
        <w:rPr>
          <w:rFonts w:hint="eastAsia" w:ascii="宋体" w:hAnsi="宋体" w:eastAsia="宋体" w:cs="Times New Roman"/>
          <w:color w:val="auto"/>
          <w:szCs w:val="21"/>
          <w:highlight w:val="none"/>
          <w:lang w:bidi="ar"/>
        </w:rPr>
        <w:t xml:space="preserve"> </w:t>
      </w:r>
    </w:p>
    <w:p w14:paraId="71F36902">
      <w:pPr>
        <w:keepNext w:val="0"/>
        <w:keepLines w:val="0"/>
        <w:pageBreakBefore w:val="0"/>
        <w:kinsoku/>
        <w:wordWrap/>
        <w:overflowPunct/>
        <w:topLinePunct w:val="0"/>
        <w:autoSpaceDE w:val="0"/>
        <w:autoSpaceDN w:val="0"/>
        <w:bidi w:val="0"/>
        <w:adjustRightInd w:val="0"/>
        <w:spacing w:line="380" w:lineRule="exact"/>
        <w:ind w:firstLine="3780" w:firstLineChars="1800"/>
        <w:textAlignment w:val="auto"/>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1D95BA0A">
      <w:pPr>
        <w:keepNext w:val="0"/>
        <w:keepLines w:val="0"/>
        <w:pageBreakBefore w:val="0"/>
        <w:kinsoku/>
        <w:wordWrap/>
        <w:overflowPunct/>
        <w:topLinePunct w:val="0"/>
        <w:autoSpaceDE w:val="0"/>
        <w:autoSpaceDN w:val="0"/>
        <w:bidi w:val="0"/>
        <w:adjustRightInd w:val="0"/>
        <w:spacing w:line="380" w:lineRule="exact"/>
        <w:ind w:firstLine="3780" w:firstLineChars="1800"/>
        <w:textAlignment w:val="auto"/>
        <w:rPr>
          <w:rFonts w:ascii="宋体" w:hAnsi="宋体" w:eastAsia="宋体" w:cs="Times New Roman"/>
          <w:color w:val="auto"/>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s="Times New Roman"/>
          <w:color w:val="auto"/>
          <w:szCs w:val="24"/>
          <w:highlight w:val="none"/>
          <w:lang w:val="zh-CN"/>
        </w:rPr>
        <w:t>期：   年   月   日</w:t>
      </w:r>
    </w:p>
    <w:p w14:paraId="2F79815A">
      <w:pPr>
        <w:keepNext w:val="0"/>
        <w:keepLines w:val="0"/>
        <w:pageBreakBefore w:val="0"/>
        <w:kinsoku/>
        <w:wordWrap/>
        <w:overflowPunct/>
        <w:topLinePunct w:val="0"/>
        <w:autoSpaceDE w:val="0"/>
        <w:autoSpaceDN w:val="0"/>
        <w:bidi w:val="0"/>
        <w:adjustRightInd w:val="0"/>
        <w:spacing w:line="380" w:lineRule="exact"/>
        <w:jc w:val="center"/>
        <w:textAlignment w:val="auto"/>
        <w:rPr>
          <w:rFonts w:ascii="宋体" w:hAnsi="宋体" w:eastAsia="宋体" w:cs="Times New Roman"/>
          <w:b/>
          <w:bCs/>
          <w:color w:val="auto"/>
          <w:szCs w:val="24"/>
          <w:highlight w:val="none"/>
          <w:lang w:val="zh-CN"/>
        </w:rPr>
      </w:pPr>
    </w:p>
    <w:p w14:paraId="2E554D08">
      <w:pPr>
        <w:keepNext w:val="0"/>
        <w:keepLines w:val="0"/>
        <w:pageBreakBefore w:val="0"/>
        <w:widowControl/>
        <w:kinsoku/>
        <w:wordWrap/>
        <w:overflowPunct/>
        <w:topLinePunct w:val="0"/>
        <w:autoSpaceDE w:val="0"/>
        <w:autoSpaceDN w:val="0"/>
        <w:bidi w:val="0"/>
        <w:adjustRightInd w:val="0"/>
        <w:spacing w:line="380" w:lineRule="exact"/>
        <w:jc w:val="center"/>
        <w:textAlignment w:val="auto"/>
        <w:rPr>
          <w:rFonts w:ascii="宋体" w:hAnsi="宋体" w:eastAsia="宋体" w:cs="Times New Roman"/>
          <w:color w:val="auto"/>
          <w:szCs w:val="21"/>
          <w:highlight w:val="none"/>
        </w:rPr>
      </w:pPr>
      <w:r>
        <w:rPr>
          <w:rFonts w:hint="eastAsia" w:ascii="宋体" w:hAnsi="宋体" w:eastAsia="宋体" w:cs="Times New Roman"/>
          <w:b/>
          <w:bCs/>
          <w:color w:val="auto"/>
          <w:szCs w:val="24"/>
          <w:highlight w:val="none"/>
          <w:lang w:val="zh-CN"/>
        </w:rPr>
        <w:t>说明：由投标人使用投标人的企业数字证书电子签名。</w:t>
      </w:r>
    </w:p>
    <w:p w14:paraId="59A9B8E6">
      <w:pPr>
        <w:autoSpaceDE w:val="0"/>
        <w:autoSpaceDN w:val="0"/>
        <w:adjustRightInd w:val="0"/>
        <w:spacing w:line="360" w:lineRule="auto"/>
        <w:ind w:firstLine="602"/>
        <w:rPr>
          <w:rFonts w:ascii="宋体" w:hAnsi="宋体" w:eastAsia="宋体" w:cs="Times New Roman"/>
          <w:b/>
          <w:bCs/>
          <w:color w:val="auto"/>
          <w:sz w:val="30"/>
          <w:szCs w:val="30"/>
          <w:highlight w:val="none"/>
          <w:lang w:val="zh-CN"/>
        </w:rPr>
      </w:pPr>
    </w:p>
    <w:bookmarkEnd w:id="943"/>
    <w:bookmarkEnd w:id="944"/>
    <w:p w14:paraId="1FED2920">
      <w:pPr>
        <w:rPr>
          <w:rFonts w:hint="eastAsia" w:ascii="宋体" w:hAnsi="宋体" w:eastAsia="宋体" w:cs="宋体"/>
          <w:b/>
          <w:bCs/>
          <w:color w:val="auto"/>
          <w:kern w:val="0"/>
          <w:sz w:val="32"/>
          <w:szCs w:val="32"/>
          <w:highlight w:val="none"/>
          <w:lang w:val="zh-CN"/>
        </w:rPr>
      </w:pPr>
      <w:bookmarkStart w:id="949" w:name="_Toc29650"/>
      <w:bookmarkStart w:id="950" w:name="_Toc195714395"/>
      <w:bookmarkStart w:id="951" w:name="_Toc24616"/>
      <w:bookmarkStart w:id="952" w:name="_Toc2007"/>
      <w:bookmarkStart w:id="953" w:name="_Toc102860428"/>
      <w:bookmarkStart w:id="954" w:name="_Toc102860084"/>
      <w:bookmarkStart w:id="955" w:name="_Toc29652"/>
      <w:bookmarkStart w:id="956" w:name="_Toc1977738"/>
      <w:bookmarkStart w:id="957" w:name="_Toc142508379"/>
      <w:bookmarkStart w:id="958" w:name="_Toc94107221"/>
      <w:bookmarkStart w:id="959" w:name="_Toc104991886"/>
      <w:bookmarkStart w:id="960" w:name="_Toc140596939"/>
      <w:bookmarkStart w:id="961" w:name="_Toc533708134"/>
      <w:bookmarkStart w:id="962" w:name="_Toc486167721"/>
      <w:r>
        <w:rPr>
          <w:rFonts w:hint="eastAsia" w:ascii="宋体" w:hAnsi="宋体" w:eastAsia="宋体" w:cs="宋体"/>
          <w:b/>
          <w:bCs/>
          <w:color w:val="auto"/>
          <w:kern w:val="0"/>
          <w:sz w:val="32"/>
          <w:szCs w:val="32"/>
          <w:highlight w:val="none"/>
          <w:lang w:val="zh-CN"/>
        </w:rPr>
        <w:br w:type="page"/>
      </w:r>
    </w:p>
    <w:p w14:paraId="21D457B4">
      <w:pPr>
        <w:tabs>
          <w:tab w:val="left" w:pos="567"/>
        </w:tabs>
        <w:autoSpaceDE w:val="0"/>
        <w:autoSpaceDN w:val="0"/>
        <w:adjustRightInd w:val="0"/>
        <w:spacing w:line="360" w:lineRule="auto"/>
        <w:ind w:left="357" w:leftChars="-100" w:hanging="567"/>
        <w:jc w:val="left"/>
        <w:outlineLvl w:val="2"/>
        <w:rPr>
          <w:rFonts w:ascii="宋体" w:hAnsi="宋体" w:eastAsia="宋体" w:cs="宋体"/>
          <w:b/>
          <w:bCs/>
          <w:color w:val="auto"/>
          <w:kern w:val="0"/>
          <w:sz w:val="32"/>
          <w:szCs w:val="32"/>
          <w:highlight w:val="none"/>
          <w:lang w:val="zh-CN"/>
        </w:rPr>
      </w:pPr>
      <w:r>
        <w:rPr>
          <w:rFonts w:hint="eastAsia" w:ascii="宋体" w:hAnsi="宋体" w:eastAsia="宋体" w:cs="宋体"/>
          <w:b/>
          <w:bCs/>
          <w:color w:val="auto"/>
          <w:kern w:val="0"/>
          <w:sz w:val="32"/>
          <w:szCs w:val="32"/>
          <w:highlight w:val="none"/>
          <w:lang w:val="zh-CN"/>
        </w:rPr>
        <w:t>十、项目人员配备表</w:t>
      </w:r>
      <w:bookmarkEnd w:id="949"/>
      <w:bookmarkEnd w:id="950"/>
    </w:p>
    <w:p w14:paraId="09D62E40">
      <w:pPr>
        <w:spacing w:line="360" w:lineRule="auto"/>
        <w:jc w:val="center"/>
        <w:outlineLvl w:val="2"/>
        <w:rPr>
          <w:rFonts w:ascii="宋体" w:hAnsi="宋体" w:eastAsia="宋体" w:cs="宋体"/>
          <w:b/>
          <w:bCs/>
          <w:color w:val="auto"/>
          <w:kern w:val="0"/>
          <w:sz w:val="30"/>
          <w:szCs w:val="30"/>
          <w:highlight w:val="none"/>
          <w:lang w:val="zh-CN"/>
        </w:rPr>
      </w:pPr>
      <w:bookmarkStart w:id="963" w:name="_Toc195714396"/>
      <w:bookmarkStart w:id="964" w:name="_Toc21295"/>
      <w:r>
        <w:rPr>
          <w:rFonts w:hint="eastAsia" w:ascii="宋体" w:hAnsi="宋体" w:eastAsia="宋体" w:cs="宋体"/>
          <w:b/>
          <w:bCs/>
          <w:color w:val="auto"/>
          <w:kern w:val="0"/>
          <w:sz w:val="30"/>
          <w:szCs w:val="30"/>
          <w:highlight w:val="none"/>
        </w:rPr>
        <w:t>1</w:t>
      </w:r>
      <w:r>
        <w:rPr>
          <w:rFonts w:hint="eastAsia" w:ascii="宋体" w:hAnsi="宋体" w:eastAsia="宋体" w:cs="宋体"/>
          <w:b/>
          <w:bCs/>
          <w:color w:val="auto"/>
          <w:kern w:val="0"/>
          <w:sz w:val="30"/>
          <w:szCs w:val="30"/>
          <w:highlight w:val="none"/>
          <w:lang w:val="en-US" w:eastAsia="zh-CN"/>
        </w:rPr>
        <w:t>0</w:t>
      </w:r>
      <w:r>
        <w:rPr>
          <w:rFonts w:hint="eastAsia" w:ascii="宋体" w:hAnsi="宋体" w:eastAsia="宋体" w:cs="宋体"/>
          <w:b/>
          <w:bCs/>
          <w:color w:val="auto"/>
          <w:kern w:val="0"/>
          <w:sz w:val="30"/>
          <w:szCs w:val="30"/>
          <w:highlight w:val="none"/>
        </w:rPr>
        <w:t xml:space="preserve">.1 </w:t>
      </w:r>
      <w:r>
        <w:rPr>
          <w:rFonts w:hint="eastAsia" w:ascii="宋体" w:hAnsi="宋体" w:eastAsia="宋体" w:cs="宋体"/>
          <w:b/>
          <w:bCs/>
          <w:color w:val="auto"/>
          <w:kern w:val="0"/>
          <w:sz w:val="30"/>
          <w:szCs w:val="30"/>
          <w:highlight w:val="none"/>
          <w:lang w:val="zh-CN"/>
        </w:rPr>
        <w:t>项目人员配备表</w:t>
      </w:r>
      <w:bookmarkEnd w:id="963"/>
      <w:bookmarkEnd w:id="964"/>
    </w:p>
    <w:tbl>
      <w:tblPr>
        <w:tblStyle w:val="44"/>
        <w:tblW w:w="10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48"/>
        <w:gridCol w:w="851"/>
        <w:gridCol w:w="709"/>
        <w:gridCol w:w="708"/>
        <w:gridCol w:w="1425"/>
        <w:gridCol w:w="1410"/>
        <w:gridCol w:w="1800"/>
        <w:gridCol w:w="1433"/>
      </w:tblGrid>
      <w:tr w14:paraId="61CD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75C8CBD5">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bookmarkStart w:id="965" w:name="_Hlk80886262"/>
            <w:r>
              <w:rPr>
                <w:rFonts w:hint="eastAsia" w:ascii="宋体" w:hAnsi="宋体" w:eastAsia="宋体" w:cs="宋体"/>
                <w:color w:val="auto"/>
                <w:szCs w:val="21"/>
                <w:highlight w:val="none"/>
              </w:rPr>
              <w:t>序号</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0816D13B">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6061463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性别</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52682179">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年龄</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71D18AC3">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学历</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43432A1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职称证书</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14:paraId="2133163B">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证书级别</w:t>
            </w:r>
          </w:p>
        </w:tc>
        <w:tc>
          <w:tcPr>
            <w:tcW w:w="1800" w:type="dxa"/>
            <w:tcBorders>
              <w:top w:val="single" w:color="auto" w:sz="4" w:space="0"/>
              <w:left w:val="single" w:color="auto" w:sz="4" w:space="0"/>
              <w:bottom w:val="single" w:color="auto" w:sz="4" w:space="0"/>
              <w:right w:val="single" w:color="auto" w:sz="4" w:space="0"/>
            </w:tcBorders>
            <w:shd w:val="clear" w:color="auto" w:fill="auto"/>
            <w:vAlign w:val="center"/>
          </w:tcPr>
          <w:p w14:paraId="58D41607">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本项目拟担任职务/岗位</w:t>
            </w:r>
          </w:p>
        </w:tc>
        <w:tc>
          <w:tcPr>
            <w:tcW w:w="1433" w:type="dxa"/>
            <w:tcBorders>
              <w:top w:val="single" w:color="auto" w:sz="4" w:space="0"/>
              <w:left w:val="single" w:color="auto" w:sz="4" w:space="0"/>
              <w:bottom w:val="single" w:color="auto" w:sz="4" w:space="0"/>
              <w:right w:val="single" w:color="auto" w:sz="4" w:space="0"/>
            </w:tcBorders>
            <w:shd w:val="clear" w:color="auto" w:fill="auto"/>
            <w:vAlign w:val="center"/>
          </w:tcPr>
          <w:p w14:paraId="3D69CF6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工作年限</w:t>
            </w:r>
          </w:p>
        </w:tc>
      </w:tr>
      <w:tr w14:paraId="3F70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2ECEB8FA">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45EEC428">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95382DC">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0796CCD2">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0F890F2C">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58887D1B">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14:paraId="4ED7020F">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center"/>
          </w:tcPr>
          <w:p w14:paraId="1CEC3917">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1433" w:type="dxa"/>
            <w:tcBorders>
              <w:top w:val="single" w:color="auto" w:sz="4" w:space="0"/>
              <w:left w:val="single" w:color="auto" w:sz="4" w:space="0"/>
              <w:bottom w:val="single" w:color="auto" w:sz="4" w:space="0"/>
              <w:right w:val="single" w:color="auto" w:sz="4" w:space="0"/>
            </w:tcBorders>
            <w:shd w:val="clear" w:color="auto" w:fill="auto"/>
          </w:tcPr>
          <w:p w14:paraId="1F30F22F">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r>
      <w:tr w14:paraId="7EFB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7076FF6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256A7DA8">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67A9932">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76E5A082">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6D07806F">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4052E222">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14:paraId="3E8BF184">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center"/>
          </w:tcPr>
          <w:p w14:paraId="6B6F1E6A">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1433" w:type="dxa"/>
            <w:tcBorders>
              <w:top w:val="single" w:color="auto" w:sz="4" w:space="0"/>
              <w:left w:val="single" w:color="auto" w:sz="4" w:space="0"/>
              <w:bottom w:val="single" w:color="auto" w:sz="4" w:space="0"/>
              <w:right w:val="single" w:color="auto" w:sz="4" w:space="0"/>
            </w:tcBorders>
            <w:shd w:val="clear" w:color="auto" w:fill="auto"/>
          </w:tcPr>
          <w:p w14:paraId="6D387381">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r>
      <w:tr w14:paraId="059D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325AC38F">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6DA758EA">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B228E74">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05FD5DB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7B04C128">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3B1F90C1">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14:paraId="2DD1CC4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center"/>
          </w:tcPr>
          <w:p w14:paraId="01F934FB">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1433" w:type="dxa"/>
            <w:tcBorders>
              <w:top w:val="single" w:color="auto" w:sz="4" w:space="0"/>
              <w:left w:val="single" w:color="auto" w:sz="4" w:space="0"/>
              <w:bottom w:val="single" w:color="auto" w:sz="4" w:space="0"/>
              <w:right w:val="single" w:color="auto" w:sz="4" w:space="0"/>
            </w:tcBorders>
            <w:shd w:val="clear" w:color="auto" w:fill="auto"/>
          </w:tcPr>
          <w:p w14:paraId="5E63A8DC">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r>
      <w:tr w14:paraId="7137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56E5AE76">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35513EAA">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312AA56D">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06A35B07">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01A23752">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17565BCD">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14:paraId="636CA453">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center"/>
          </w:tcPr>
          <w:p w14:paraId="617A44DF">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c>
          <w:tcPr>
            <w:tcW w:w="1433" w:type="dxa"/>
            <w:tcBorders>
              <w:top w:val="single" w:color="auto" w:sz="4" w:space="0"/>
              <w:left w:val="single" w:color="auto" w:sz="4" w:space="0"/>
              <w:bottom w:val="single" w:color="auto" w:sz="4" w:space="0"/>
              <w:right w:val="single" w:color="auto" w:sz="4" w:space="0"/>
            </w:tcBorders>
            <w:shd w:val="clear" w:color="auto" w:fill="auto"/>
          </w:tcPr>
          <w:p w14:paraId="11CD4BCA">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rPr>
            </w:pPr>
          </w:p>
        </w:tc>
      </w:tr>
      <w:bookmarkEnd w:id="965"/>
    </w:tbl>
    <w:p w14:paraId="2E130642">
      <w:pPr>
        <w:spacing w:line="360" w:lineRule="auto"/>
        <w:rPr>
          <w:rFonts w:ascii="宋体" w:hAnsi="宋体" w:eastAsia="宋体" w:cs="宋体"/>
          <w:b/>
          <w:bCs/>
          <w:color w:val="auto"/>
          <w:kern w:val="0"/>
          <w:sz w:val="30"/>
          <w:szCs w:val="30"/>
          <w:highlight w:val="none"/>
          <w:lang w:val="zh-CN"/>
        </w:rPr>
      </w:pPr>
    </w:p>
    <w:p w14:paraId="69302824">
      <w:pPr>
        <w:autoSpaceDE w:val="0"/>
        <w:autoSpaceDN w:val="0"/>
        <w:adjustRightInd w:val="0"/>
        <w:spacing w:line="360" w:lineRule="auto"/>
        <w:ind w:firstLine="3780" w:firstLineChars="1800"/>
        <w:rPr>
          <w:rFonts w:ascii="宋体" w:hAnsi="宋体" w:eastAsia="宋体" w:cs="宋体"/>
          <w:color w:val="auto"/>
          <w:szCs w:val="21"/>
          <w:highlight w:val="none"/>
          <w:lang w:val="zh-CN"/>
        </w:rPr>
      </w:pPr>
    </w:p>
    <w:p w14:paraId="24E9A696">
      <w:pPr>
        <w:autoSpaceDE w:val="0"/>
        <w:autoSpaceDN w:val="0"/>
        <w:adjustRightInd w:val="0"/>
        <w:spacing w:line="360" w:lineRule="auto"/>
        <w:ind w:firstLine="3780" w:firstLineChars="180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0F4E9474">
      <w:pPr>
        <w:autoSpaceDE w:val="0"/>
        <w:autoSpaceDN w:val="0"/>
        <w:adjustRightInd w:val="0"/>
        <w:spacing w:line="360" w:lineRule="auto"/>
        <w:ind w:firstLine="3780" w:firstLineChars="1800"/>
        <w:rPr>
          <w:rFonts w:ascii="宋体" w:hAnsi="宋体" w:eastAsia="宋体" w:cs="Times New Roman"/>
          <w:color w:val="auto"/>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s="Times New Roman"/>
          <w:color w:val="auto"/>
          <w:szCs w:val="24"/>
          <w:highlight w:val="none"/>
          <w:lang w:val="zh-CN"/>
        </w:rPr>
        <w:t>期：   年   月   日</w:t>
      </w:r>
    </w:p>
    <w:p w14:paraId="5DA33A06">
      <w:pPr>
        <w:autoSpaceDE w:val="0"/>
        <w:autoSpaceDN w:val="0"/>
        <w:adjustRightInd w:val="0"/>
        <w:spacing w:line="360" w:lineRule="auto"/>
        <w:jc w:val="center"/>
        <w:rPr>
          <w:rFonts w:ascii="宋体" w:hAnsi="宋体" w:eastAsia="宋体" w:cs="Times New Roman"/>
          <w:b/>
          <w:bCs/>
          <w:color w:val="auto"/>
          <w:szCs w:val="24"/>
          <w:highlight w:val="none"/>
          <w:lang w:val="zh-CN"/>
        </w:rPr>
      </w:pPr>
    </w:p>
    <w:p w14:paraId="578CF4E8">
      <w:pPr>
        <w:widowControl/>
        <w:autoSpaceDE w:val="0"/>
        <w:autoSpaceDN w:val="0"/>
        <w:adjustRightInd w:val="0"/>
        <w:spacing w:line="360" w:lineRule="auto"/>
        <w:jc w:val="center"/>
        <w:rPr>
          <w:rFonts w:ascii="宋体" w:hAnsi="宋体" w:eastAsia="宋体" w:cs="Times New Roman"/>
          <w:color w:val="auto"/>
          <w:szCs w:val="21"/>
          <w:highlight w:val="none"/>
        </w:rPr>
      </w:pPr>
      <w:r>
        <w:rPr>
          <w:rFonts w:hint="eastAsia" w:ascii="宋体" w:hAnsi="宋体" w:eastAsia="宋体" w:cs="Times New Roman"/>
          <w:b/>
          <w:bCs/>
          <w:color w:val="auto"/>
          <w:szCs w:val="24"/>
          <w:highlight w:val="none"/>
          <w:lang w:val="zh-CN"/>
        </w:rPr>
        <w:t>说明：由投标人使用投标人的企业数字证书电子签名。</w:t>
      </w:r>
    </w:p>
    <w:p w14:paraId="47394B09">
      <w:pPr>
        <w:autoSpaceDE w:val="0"/>
        <w:autoSpaceDN w:val="0"/>
        <w:adjustRightInd w:val="0"/>
        <w:spacing w:line="360" w:lineRule="auto"/>
        <w:ind w:firstLine="5040" w:firstLineChars="2400"/>
        <w:jc w:val="left"/>
        <w:rPr>
          <w:rFonts w:ascii="宋体" w:hAnsi="宋体" w:eastAsia="宋体" w:cs="Times New Roman"/>
          <w:color w:val="auto"/>
          <w:szCs w:val="24"/>
          <w:highlight w:val="none"/>
          <w:lang w:val="zh-CN"/>
        </w:rPr>
      </w:pPr>
    </w:p>
    <w:p w14:paraId="219C8EE0">
      <w:pPr>
        <w:rPr>
          <w:rFonts w:ascii="宋体" w:hAnsi="宋体" w:eastAsia="宋体" w:cs="宋体"/>
          <w:b/>
          <w:bCs/>
          <w:color w:val="auto"/>
          <w:kern w:val="0"/>
          <w:sz w:val="30"/>
          <w:szCs w:val="30"/>
          <w:highlight w:val="none"/>
          <w:lang w:bidi="ar"/>
        </w:rPr>
      </w:pPr>
      <w:r>
        <w:rPr>
          <w:rFonts w:hint="eastAsia" w:ascii="宋体" w:hAnsi="宋体" w:eastAsia="宋体" w:cs="宋体"/>
          <w:b/>
          <w:bCs/>
          <w:color w:val="auto"/>
          <w:kern w:val="0"/>
          <w:sz w:val="30"/>
          <w:szCs w:val="30"/>
          <w:highlight w:val="none"/>
          <w:lang w:bidi="ar"/>
        </w:rPr>
        <w:br w:type="page"/>
      </w:r>
    </w:p>
    <w:p w14:paraId="09D2059E">
      <w:pPr>
        <w:autoSpaceDE w:val="0"/>
        <w:autoSpaceDN w:val="0"/>
        <w:adjustRightInd w:val="0"/>
        <w:spacing w:before="120" w:beforeLines="50" w:after="120" w:afterLines="50"/>
        <w:jc w:val="center"/>
        <w:outlineLvl w:val="2"/>
        <w:rPr>
          <w:rFonts w:hAnsi="宋体" w:cs="宋体"/>
          <w:b/>
          <w:bCs/>
          <w:color w:val="auto"/>
          <w:sz w:val="30"/>
          <w:szCs w:val="30"/>
          <w:highlight w:val="none"/>
        </w:rPr>
      </w:pPr>
      <w:bookmarkStart w:id="966" w:name="_Toc195714397"/>
      <w:bookmarkStart w:id="967" w:name="_Toc19902"/>
      <w:r>
        <w:rPr>
          <w:rFonts w:hint="eastAsia" w:ascii="宋体" w:hAnsi="宋体" w:eastAsia="宋体" w:cs="宋体"/>
          <w:b/>
          <w:bCs/>
          <w:color w:val="auto"/>
          <w:kern w:val="0"/>
          <w:sz w:val="30"/>
          <w:szCs w:val="30"/>
          <w:highlight w:val="none"/>
          <w:lang w:bidi="ar"/>
        </w:rPr>
        <w:t>1</w:t>
      </w:r>
      <w:r>
        <w:rPr>
          <w:rFonts w:hint="eastAsia" w:ascii="宋体" w:hAnsi="宋体" w:eastAsia="宋体" w:cs="宋体"/>
          <w:b/>
          <w:bCs/>
          <w:color w:val="auto"/>
          <w:kern w:val="0"/>
          <w:sz w:val="30"/>
          <w:szCs w:val="30"/>
          <w:highlight w:val="none"/>
          <w:lang w:val="en-US" w:eastAsia="zh-CN" w:bidi="ar"/>
        </w:rPr>
        <w:t>0</w:t>
      </w:r>
      <w:r>
        <w:rPr>
          <w:rFonts w:hint="eastAsia" w:ascii="宋体" w:hAnsi="宋体" w:eastAsia="宋体" w:cs="宋体"/>
          <w:b/>
          <w:bCs/>
          <w:color w:val="auto"/>
          <w:kern w:val="0"/>
          <w:sz w:val="30"/>
          <w:szCs w:val="30"/>
          <w:highlight w:val="none"/>
          <w:lang w:bidi="ar"/>
        </w:rPr>
        <w:t>.2 项目人员简历表格式</w:t>
      </w:r>
      <w:bookmarkEnd w:id="966"/>
      <w:bookmarkEnd w:id="967"/>
    </w:p>
    <w:tbl>
      <w:tblPr>
        <w:tblStyle w:val="44"/>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2026"/>
        <w:gridCol w:w="1216"/>
        <w:gridCol w:w="1558"/>
        <w:gridCol w:w="1559"/>
        <w:gridCol w:w="1962"/>
      </w:tblGrid>
      <w:tr w14:paraId="471D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429" w:type="dxa"/>
            <w:tcBorders>
              <w:top w:val="single" w:color="auto" w:sz="4" w:space="0"/>
              <w:left w:val="single" w:color="auto" w:sz="4" w:space="0"/>
              <w:bottom w:val="single" w:color="auto" w:sz="4" w:space="0"/>
              <w:right w:val="single" w:color="auto" w:sz="4" w:space="0"/>
            </w:tcBorders>
            <w:shd w:val="clear" w:color="auto" w:fill="auto"/>
            <w:vAlign w:val="center"/>
          </w:tcPr>
          <w:p w14:paraId="2DFFCFFC">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r>
              <w:rPr>
                <w:rFonts w:hint="eastAsia" w:ascii="宋体" w:hAnsi="宋体" w:eastAsia="宋体" w:cs="宋体"/>
                <w:color w:val="auto"/>
                <w:kern w:val="0"/>
                <w:szCs w:val="21"/>
                <w:highlight w:val="none"/>
                <w:lang w:bidi="ar"/>
              </w:rPr>
              <w:t>姓名</w:t>
            </w:r>
          </w:p>
        </w:tc>
        <w:tc>
          <w:tcPr>
            <w:tcW w:w="2026" w:type="dxa"/>
            <w:tcBorders>
              <w:top w:val="single" w:color="auto" w:sz="4" w:space="0"/>
              <w:left w:val="single" w:color="auto" w:sz="4" w:space="0"/>
              <w:bottom w:val="single" w:color="auto" w:sz="4" w:space="0"/>
              <w:right w:val="single" w:color="auto" w:sz="4" w:space="0"/>
            </w:tcBorders>
            <w:shd w:val="clear" w:color="auto" w:fill="auto"/>
            <w:vAlign w:val="center"/>
          </w:tcPr>
          <w:p w14:paraId="1BFBF2C9">
            <w:pPr>
              <w:keepNext w:val="0"/>
              <w:keepLines w:val="0"/>
              <w:suppressLineNumbers w:val="0"/>
              <w:autoSpaceDE w:val="0"/>
              <w:autoSpaceDN w:val="0"/>
              <w:adjustRightInd w:val="0"/>
              <w:spacing w:before="0" w:beforeAutospacing="0" w:after="0" w:afterAutospacing="0"/>
              <w:ind w:left="0" w:right="0" w:firstLine="420"/>
              <w:jc w:val="center"/>
              <w:rPr>
                <w:rFonts w:hint="default" w:hAnsi="宋体" w:cs="宋体"/>
                <w:color w:val="auto"/>
                <w:szCs w:val="21"/>
                <w:highlight w:val="none"/>
              </w:rPr>
            </w:pPr>
          </w:p>
        </w:tc>
        <w:tc>
          <w:tcPr>
            <w:tcW w:w="1216" w:type="dxa"/>
            <w:tcBorders>
              <w:top w:val="single" w:color="auto" w:sz="4" w:space="0"/>
              <w:left w:val="single" w:color="auto" w:sz="4" w:space="0"/>
              <w:bottom w:val="single" w:color="auto" w:sz="4" w:space="0"/>
              <w:right w:val="single" w:color="auto" w:sz="4" w:space="0"/>
            </w:tcBorders>
            <w:shd w:val="clear" w:color="auto" w:fill="auto"/>
            <w:vAlign w:val="center"/>
          </w:tcPr>
          <w:p w14:paraId="179E3749">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r>
              <w:rPr>
                <w:rFonts w:hint="eastAsia" w:ascii="宋体" w:hAnsi="宋体" w:eastAsia="宋体" w:cs="宋体"/>
                <w:color w:val="auto"/>
                <w:kern w:val="0"/>
                <w:szCs w:val="21"/>
                <w:highlight w:val="none"/>
                <w:lang w:bidi="ar"/>
              </w:rPr>
              <w:t>性别</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14:paraId="34097FBF">
            <w:pPr>
              <w:keepNext w:val="0"/>
              <w:keepLines w:val="0"/>
              <w:suppressLineNumbers w:val="0"/>
              <w:autoSpaceDE w:val="0"/>
              <w:autoSpaceDN w:val="0"/>
              <w:adjustRightInd w:val="0"/>
              <w:spacing w:before="0" w:beforeAutospacing="0" w:after="0" w:afterAutospacing="0"/>
              <w:ind w:left="0" w:right="0" w:firstLine="420"/>
              <w:jc w:val="center"/>
              <w:rPr>
                <w:rFonts w:hint="default" w:hAnsi="宋体" w:cs="宋体"/>
                <w:color w:val="auto"/>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E2BA8B8">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r>
              <w:rPr>
                <w:rFonts w:hint="eastAsia" w:ascii="宋体" w:hAnsi="宋体" w:eastAsia="宋体" w:cs="宋体"/>
                <w:color w:val="auto"/>
                <w:kern w:val="0"/>
                <w:szCs w:val="21"/>
                <w:highlight w:val="none"/>
                <w:lang w:bidi="ar"/>
              </w:rPr>
              <w:t>年龄</w:t>
            </w:r>
          </w:p>
        </w:tc>
        <w:tc>
          <w:tcPr>
            <w:tcW w:w="1962" w:type="dxa"/>
            <w:tcBorders>
              <w:top w:val="single" w:color="auto" w:sz="4" w:space="0"/>
              <w:left w:val="single" w:color="auto" w:sz="4" w:space="0"/>
              <w:bottom w:val="single" w:color="auto" w:sz="4" w:space="0"/>
              <w:right w:val="single" w:color="auto" w:sz="4" w:space="0"/>
            </w:tcBorders>
            <w:shd w:val="clear" w:color="auto" w:fill="auto"/>
            <w:vAlign w:val="center"/>
          </w:tcPr>
          <w:p w14:paraId="498F53BA">
            <w:pPr>
              <w:keepNext w:val="0"/>
              <w:keepLines w:val="0"/>
              <w:suppressLineNumbers w:val="0"/>
              <w:autoSpaceDE w:val="0"/>
              <w:autoSpaceDN w:val="0"/>
              <w:adjustRightInd w:val="0"/>
              <w:spacing w:before="0" w:beforeAutospacing="0" w:after="0" w:afterAutospacing="0"/>
              <w:ind w:left="0" w:right="0" w:firstLine="420"/>
              <w:jc w:val="center"/>
              <w:rPr>
                <w:rFonts w:hint="default" w:hAnsi="宋体" w:cs="宋体"/>
                <w:color w:val="auto"/>
                <w:szCs w:val="21"/>
                <w:highlight w:val="none"/>
              </w:rPr>
            </w:pPr>
          </w:p>
        </w:tc>
      </w:tr>
      <w:tr w14:paraId="5BFE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429" w:type="dxa"/>
            <w:tcBorders>
              <w:top w:val="single" w:color="auto" w:sz="4" w:space="0"/>
              <w:left w:val="single" w:color="auto" w:sz="4" w:space="0"/>
              <w:bottom w:val="single" w:color="auto" w:sz="4" w:space="0"/>
              <w:right w:val="single" w:color="auto" w:sz="4" w:space="0"/>
            </w:tcBorders>
            <w:shd w:val="clear" w:color="auto" w:fill="auto"/>
            <w:vAlign w:val="center"/>
          </w:tcPr>
          <w:p w14:paraId="6986D54E">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r>
              <w:rPr>
                <w:rFonts w:hint="eastAsia" w:ascii="宋体" w:hAnsi="宋体" w:eastAsia="宋体" w:cs="宋体"/>
                <w:color w:val="auto"/>
                <w:kern w:val="0"/>
                <w:szCs w:val="21"/>
                <w:highlight w:val="none"/>
                <w:lang w:bidi="ar"/>
              </w:rPr>
              <w:t>毕业院校及专业</w:t>
            </w:r>
          </w:p>
        </w:tc>
        <w:tc>
          <w:tcPr>
            <w:tcW w:w="2026" w:type="dxa"/>
            <w:tcBorders>
              <w:top w:val="single" w:color="auto" w:sz="4" w:space="0"/>
              <w:left w:val="single" w:color="auto" w:sz="4" w:space="0"/>
              <w:bottom w:val="single" w:color="auto" w:sz="4" w:space="0"/>
              <w:right w:val="single" w:color="auto" w:sz="4" w:space="0"/>
            </w:tcBorders>
            <w:shd w:val="clear" w:color="auto" w:fill="auto"/>
            <w:vAlign w:val="center"/>
          </w:tcPr>
          <w:p w14:paraId="2BA49273">
            <w:pPr>
              <w:keepNext w:val="0"/>
              <w:keepLines w:val="0"/>
              <w:suppressLineNumbers w:val="0"/>
              <w:autoSpaceDE w:val="0"/>
              <w:autoSpaceDN w:val="0"/>
              <w:adjustRightInd w:val="0"/>
              <w:spacing w:before="0" w:beforeAutospacing="0" w:after="0" w:afterAutospacing="0"/>
              <w:ind w:left="0" w:right="0" w:firstLine="420"/>
              <w:jc w:val="center"/>
              <w:rPr>
                <w:rFonts w:hint="default" w:hAnsi="宋体" w:cs="宋体"/>
                <w:color w:val="auto"/>
                <w:szCs w:val="21"/>
                <w:highlight w:val="none"/>
              </w:rPr>
            </w:pPr>
          </w:p>
        </w:tc>
        <w:tc>
          <w:tcPr>
            <w:tcW w:w="1216" w:type="dxa"/>
            <w:tcBorders>
              <w:top w:val="single" w:color="auto" w:sz="4" w:space="0"/>
              <w:left w:val="single" w:color="auto" w:sz="4" w:space="0"/>
              <w:bottom w:val="single" w:color="auto" w:sz="4" w:space="0"/>
              <w:right w:val="single" w:color="auto" w:sz="4" w:space="0"/>
            </w:tcBorders>
            <w:shd w:val="clear" w:color="auto" w:fill="auto"/>
            <w:vAlign w:val="center"/>
          </w:tcPr>
          <w:p w14:paraId="5ADB2B05">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r>
              <w:rPr>
                <w:rFonts w:hint="eastAsia" w:ascii="宋体" w:hAnsi="宋体" w:eastAsia="宋体" w:cs="宋体"/>
                <w:color w:val="auto"/>
                <w:kern w:val="0"/>
                <w:szCs w:val="21"/>
                <w:highlight w:val="none"/>
                <w:lang w:bidi="ar"/>
              </w:rPr>
              <w:t>毕业时间</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14:paraId="7B592F62">
            <w:pPr>
              <w:keepNext w:val="0"/>
              <w:keepLines w:val="0"/>
              <w:suppressLineNumbers w:val="0"/>
              <w:autoSpaceDE w:val="0"/>
              <w:autoSpaceDN w:val="0"/>
              <w:adjustRightInd w:val="0"/>
              <w:spacing w:before="0" w:beforeAutospacing="0" w:after="0" w:afterAutospacing="0"/>
              <w:ind w:left="0" w:right="0" w:firstLine="420"/>
              <w:jc w:val="center"/>
              <w:rPr>
                <w:rFonts w:hint="default" w:hAnsi="宋体" w:cs="宋体"/>
                <w:color w:val="auto"/>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112992B">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r>
              <w:rPr>
                <w:rFonts w:hint="eastAsia" w:ascii="宋体" w:hAnsi="宋体" w:eastAsia="宋体" w:cs="宋体"/>
                <w:color w:val="auto"/>
                <w:kern w:val="0"/>
                <w:szCs w:val="21"/>
                <w:highlight w:val="none"/>
                <w:lang w:bidi="ar"/>
              </w:rPr>
              <w:t>学历</w:t>
            </w:r>
          </w:p>
        </w:tc>
        <w:tc>
          <w:tcPr>
            <w:tcW w:w="1962" w:type="dxa"/>
            <w:tcBorders>
              <w:top w:val="single" w:color="auto" w:sz="4" w:space="0"/>
              <w:left w:val="single" w:color="auto" w:sz="4" w:space="0"/>
              <w:bottom w:val="single" w:color="auto" w:sz="4" w:space="0"/>
              <w:right w:val="single" w:color="auto" w:sz="4" w:space="0"/>
            </w:tcBorders>
            <w:shd w:val="clear" w:color="auto" w:fill="auto"/>
            <w:vAlign w:val="center"/>
          </w:tcPr>
          <w:p w14:paraId="07EEBCFC">
            <w:pPr>
              <w:keepNext w:val="0"/>
              <w:keepLines w:val="0"/>
              <w:suppressLineNumbers w:val="0"/>
              <w:autoSpaceDE w:val="0"/>
              <w:autoSpaceDN w:val="0"/>
              <w:adjustRightInd w:val="0"/>
              <w:spacing w:before="0" w:beforeAutospacing="0" w:after="0" w:afterAutospacing="0"/>
              <w:ind w:left="0" w:right="0" w:firstLine="420"/>
              <w:jc w:val="center"/>
              <w:rPr>
                <w:rFonts w:hint="default" w:hAnsi="宋体" w:cs="宋体"/>
                <w:color w:val="auto"/>
                <w:szCs w:val="21"/>
                <w:highlight w:val="none"/>
              </w:rPr>
            </w:pPr>
          </w:p>
        </w:tc>
      </w:tr>
      <w:tr w14:paraId="4941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429" w:type="dxa"/>
            <w:tcBorders>
              <w:top w:val="single" w:color="auto" w:sz="4" w:space="0"/>
              <w:left w:val="single" w:color="auto" w:sz="4" w:space="0"/>
              <w:bottom w:val="single" w:color="auto" w:sz="4" w:space="0"/>
              <w:right w:val="single" w:color="auto" w:sz="4" w:space="0"/>
            </w:tcBorders>
            <w:shd w:val="clear" w:color="auto" w:fill="auto"/>
            <w:vAlign w:val="center"/>
          </w:tcPr>
          <w:p w14:paraId="5494CA29">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r>
              <w:rPr>
                <w:rFonts w:hint="eastAsia" w:ascii="宋体" w:hAnsi="宋体" w:eastAsia="宋体" w:cs="宋体"/>
                <w:color w:val="auto"/>
                <w:kern w:val="0"/>
                <w:szCs w:val="21"/>
                <w:highlight w:val="none"/>
                <w:lang w:bidi="ar"/>
              </w:rPr>
              <w:t>从事工作年限</w:t>
            </w:r>
          </w:p>
        </w:tc>
        <w:tc>
          <w:tcPr>
            <w:tcW w:w="324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B5AD7E">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14:paraId="0CB62593">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r>
              <w:rPr>
                <w:rFonts w:hint="eastAsia" w:ascii="宋体" w:hAnsi="宋体" w:eastAsia="宋体" w:cs="宋体"/>
                <w:color w:val="auto"/>
                <w:kern w:val="0"/>
                <w:szCs w:val="21"/>
                <w:highlight w:val="none"/>
                <w:lang w:bidi="ar"/>
              </w:rPr>
              <w:t>本项目拟担任岗位/职务</w:t>
            </w:r>
          </w:p>
        </w:tc>
        <w:tc>
          <w:tcPr>
            <w:tcW w:w="35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60D1D41">
            <w:pPr>
              <w:keepNext w:val="0"/>
              <w:keepLines w:val="0"/>
              <w:suppressLineNumbers w:val="0"/>
              <w:autoSpaceDE w:val="0"/>
              <w:autoSpaceDN w:val="0"/>
              <w:adjustRightInd w:val="0"/>
              <w:spacing w:before="0" w:beforeAutospacing="0" w:after="0" w:afterAutospacing="0"/>
              <w:ind w:left="0" w:right="0" w:firstLine="420"/>
              <w:jc w:val="center"/>
              <w:rPr>
                <w:rFonts w:hint="default" w:hAnsi="宋体" w:cs="宋体"/>
                <w:color w:val="auto"/>
                <w:szCs w:val="21"/>
                <w:highlight w:val="none"/>
              </w:rPr>
            </w:pPr>
          </w:p>
        </w:tc>
      </w:tr>
      <w:tr w14:paraId="2436E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429" w:type="dxa"/>
            <w:tcBorders>
              <w:top w:val="single" w:color="auto" w:sz="4" w:space="0"/>
              <w:left w:val="single" w:color="auto" w:sz="4" w:space="0"/>
              <w:bottom w:val="single" w:color="auto" w:sz="4" w:space="0"/>
              <w:right w:val="single" w:color="auto" w:sz="4" w:space="0"/>
            </w:tcBorders>
            <w:shd w:val="clear" w:color="auto" w:fill="auto"/>
            <w:vAlign w:val="center"/>
          </w:tcPr>
          <w:p w14:paraId="65B94A8F">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资格证书/职称证书</w:t>
            </w:r>
          </w:p>
          <w:p w14:paraId="3B72E214">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r>
              <w:rPr>
                <w:rFonts w:hint="eastAsia" w:ascii="宋体" w:hAnsi="宋体" w:eastAsia="宋体" w:cs="宋体"/>
                <w:color w:val="auto"/>
                <w:kern w:val="0"/>
                <w:szCs w:val="21"/>
                <w:highlight w:val="none"/>
                <w:lang w:bidi="ar"/>
              </w:rPr>
              <w:t>（专业）</w:t>
            </w:r>
          </w:p>
        </w:tc>
        <w:tc>
          <w:tcPr>
            <w:tcW w:w="324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C970C2">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14:paraId="23CF704E">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r>
              <w:rPr>
                <w:rFonts w:hint="eastAsia" w:ascii="宋体" w:hAnsi="宋体" w:eastAsia="宋体" w:cs="宋体"/>
                <w:color w:val="auto"/>
                <w:kern w:val="0"/>
                <w:szCs w:val="21"/>
                <w:highlight w:val="none"/>
                <w:lang w:bidi="ar"/>
              </w:rPr>
              <w:t>证书级别</w:t>
            </w:r>
          </w:p>
        </w:tc>
        <w:tc>
          <w:tcPr>
            <w:tcW w:w="35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23F272">
            <w:pPr>
              <w:keepNext w:val="0"/>
              <w:keepLines w:val="0"/>
              <w:suppressLineNumbers w:val="0"/>
              <w:autoSpaceDE w:val="0"/>
              <w:autoSpaceDN w:val="0"/>
              <w:adjustRightInd w:val="0"/>
              <w:spacing w:before="0" w:beforeAutospacing="0" w:after="0" w:afterAutospacing="0"/>
              <w:ind w:left="0" w:right="0" w:firstLine="420"/>
              <w:jc w:val="center"/>
              <w:rPr>
                <w:rFonts w:hint="default" w:hAnsi="宋体" w:cs="宋体"/>
                <w:color w:val="auto"/>
                <w:szCs w:val="21"/>
                <w:highlight w:val="none"/>
              </w:rPr>
            </w:pPr>
          </w:p>
        </w:tc>
      </w:tr>
      <w:tr w14:paraId="651B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5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03369A7">
            <w:pPr>
              <w:keepNext w:val="0"/>
              <w:keepLines w:val="0"/>
              <w:suppressLineNumbers w:val="0"/>
              <w:autoSpaceDE w:val="0"/>
              <w:autoSpaceDN w:val="0"/>
              <w:adjustRightInd w:val="0"/>
              <w:spacing w:before="0" w:beforeAutospacing="0" w:after="0" w:afterAutospacing="0"/>
              <w:ind w:left="0" w:right="0" w:firstLine="420"/>
              <w:jc w:val="center"/>
              <w:rPr>
                <w:rFonts w:hint="default" w:hAnsi="宋体" w:cs="宋体"/>
                <w:color w:val="auto"/>
                <w:szCs w:val="21"/>
                <w:highlight w:val="none"/>
              </w:rPr>
            </w:pPr>
            <w:r>
              <w:rPr>
                <w:rFonts w:hint="eastAsia" w:ascii="宋体" w:hAnsi="宋体" w:eastAsia="宋体" w:cs="宋体"/>
                <w:color w:val="auto"/>
                <w:kern w:val="0"/>
                <w:szCs w:val="21"/>
                <w:highlight w:val="none"/>
                <w:lang w:bidi="ar"/>
              </w:rPr>
              <w:t>水务、电力、能源相关的集中控制系统或水务、电力、能源相关的自动化控制系统建设项目业绩</w:t>
            </w:r>
          </w:p>
        </w:tc>
      </w:tr>
      <w:tr w14:paraId="6CA2F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429" w:type="dxa"/>
            <w:tcBorders>
              <w:top w:val="single" w:color="auto" w:sz="4" w:space="0"/>
              <w:left w:val="single" w:color="auto" w:sz="4" w:space="0"/>
              <w:bottom w:val="single" w:color="auto" w:sz="4" w:space="0"/>
              <w:right w:val="single" w:color="auto" w:sz="4" w:space="0"/>
            </w:tcBorders>
            <w:shd w:val="clear" w:color="auto" w:fill="auto"/>
            <w:vAlign w:val="center"/>
          </w:tcPr>
          <w:p w14:paraId="133EA453">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r>
              <w:rPr>
                <w:rFonts w:hint="eastAsia" w:ascii="宋体" w:hAnsi="宋体" w:eastAsia="宋体" w:cs="宋体"/>
                <w:color w:val="auto"/>
                <w:kern w:val="0"/>
                <w:szCs w:val="21"/>
                <w:highlight w:val="none"/>
                <w:lang w:bidi="ar"/>
              </w:rPr>
              <w:t>起止时间</w:t>
            </w:r>
          </w:p>
        </w:tc>
        <w:tc>
          <w:tcPr>
            <w:tcW w:w="48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383A1D2">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r>
              <w:rPr>
                <w:rFonts w:hint="eastAsia" w:ascii="宋体" w:hAnsi="宋体" w:eastAsia="宋体" w:cs="宋体"/>
                <w:color w:val="auto"/>
                <w:kern w:val="0"/>
                <w:szCs w:val="21"/>
                <w:highlight w:val="none"/>
                <w:lang w:bidi="ar"/>
              </w:rPr>
              <w:t>项目名称</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FC05269">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r>
              <w:rPr>
                <w:rFonts w:hint="eastAsia" w:ascii="宋体" w:hAnsi="宋体" w:eastAsia="宋体" w:cs="宋体"/>
                <w:color w:val="auto"/>
                <w:kern w:val="0"/>
                <w:szCs w:val="21"/>
                <w:highlight w:val="none"/>
                <w:lang w:bidi="ar"/>
              </w:rPr>
              <w:t>单项合同金额</w:t>
            </w:r>
          </w:p>
        </w:tc>
        <w:tc>
          <w:tcPr>
            <w:tcW w:w="1962" w:type="dxa"/>
            <w:tcBorders>
              <w:top w:val="single" w:color="auto" w:sz="4" w:space="0"/>
              <w:left w:val="single" w:color="auto" w:sz="4" w:space="0"/>
              <w:bottom w:val="single" w:color="auto" w:sz="4" w:space="0"/>
              <w:right w:val="single" w:color="auto" w:sz="4" w:space="0"/>
            </w:tcBorders>
            <w:shd w:val="clear" w:color="auto" w:fill="auto"/>
            <w:vAlign w:val="center"/>
          </w:tcPr>
          <w:p w14:paraId="4588EF75">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r>
              <w:rPr>
                <w:rFonts w:hint="eastAsia" w:ascii="宋体" w:hAnsi="宋体" w:eastAsia="宋体" w:cs="宋体"/>
                <w:color w:val="auto"/>
                <w:kern w:val="0"/>
                <w:szCs w:val="21"/>
                <w:highlight w:val="none"/>
                <w:lang w:bidi="ar"/>
              </w:rPr>
              <w:t>该项目中所任职务</w:t>
            </w:r>
          </w:p>
        </w:tc>
      </w:tr>
      <w:tr w14:paraId="65142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429" w:type="dxa"/>
            <w:tcBorders>
              <w:top w:val="single" w:color="auto" w:sz="4" w:space="0"/>
              <w:left w:val="single" w:color="auto" w:sz="4" w:space="0"/>
              <w:bottom w:val="single" w:color="auto" w:sz="4" w:space="0"/>
              <w:right w:val="single" w:color="auto" w:sz="4" w:space="0"/>
            </w:tcBorders>
            <w:shd w:val="clear" w:color="auto" w:fill="auto"/>
            <w:vAlign w:val="center"/>
          </w:tcPr>
          <w:p w14:paraId="77370D2F">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p>
        </w:tc>
        <w:tc>
          <w:tcPr>
            <w:tcW w:w="48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DA36672">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439FC27">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p>
        </w:tc>
        <w:tc>
          <w:tcPr>
            <w:tcW w:w="1962" w:type="dxa"/>
            <w:tcBorders>
              <w:top w:val="single" w:color="auto" w:sz="4" w:space="0"/>
              <w:left w:val="single" w:color="auto" w:sz="4" w:space="0"/>
              <w:bottom w:val="single" w:color="auto" w:sz="4" w:space="0"/>
              <w:right w:val="single" w:color="auto" w:sz="4" w:space="0"/>
            </w:tcBorders>
            <w:shd w:val="clear" w:color="auto" w:fill="auto"/>
            <w:vAlign w:val="center"/>
          </w:tcPr>
          <w:p w14:paraId="2200ECD1">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p>
        </w:tc>
      </w:tr>
      <w:tr w14:paraId="4D4D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429" w:type="dxa"/>
            <w:tcBorders>
              <w:top w:val="single" w:color="auto" w:sz="4" w:space="0"/>
              <w:left w:val="single" w:color="auto" w:sz="4" w:space="0"/>
              <w:bottom w:val="single" w:color="auto" w:sz="4" w:space="0"/>
              <w:right w:val="single" w:color="auto" w:sz="4" w:space="0"/>
            </w:tcBorders>
            <w:shd w:val="clear" w:color="auto" w:fill="auto"/>
            <w:vAlign w:val="center"/>
          </w:tcPr>
          <w:p w14:paraId="53BCBF46">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p>
        </w:tc>
        <w:tc>
          <w:tcPr>
            <w:tcW w:w="48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6E29FC7">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CA87820">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p>
        </w:tc>
        <w:tc>
          <w:tcPr>
            <w:tcW w:w="1962" w:type="dxa"/>
            <w:tcBorders>
              <w:top w:val="single" w:color="auto" w:sz="4" w:space="0"/>
              <w:left w:val="single" w:color="auto" w:sz="4" w:space="0"/>
              <w:bottom w:val="single" w:color="auto" w:sz="4" w:space="0"/>
              <w:right w:val="single" w:color="auto" w:sz="4" w:space="0"/>
            </w:tcBorders>
            <w:shd w:val="clear" w:color="auto" w:fill="auto"/>
            <w:vAlign w:val="center"/>
          </w:tcPr>
          <w:p w14:paraId="60074247">
            <w:pPr>
              <w:keepNext w:val="0"/>
              <w:keepLines w:val="0"/>
              <w:suppressLineNumbers w:val="0"/>
              <w:autoSpaceDE w:val="0"/>
              <w:autoSpaceDN w:val="0"/>
              <w:adjustRightInd w:val="0"/>
              <w:spacing w:before="0" w:beforeAutospacing="0" w:after="0" w:afterAutospacing="0"/>
              <w:ind w:left="0" w:right="0"/>
              <w:jc w:val="center"/>
              <w:rPr>
                <w:rFonts w:hint="default" w:hAnsi="宋体" w:cs="宋体"/>
                <w:color w:val="auto"/>
                <w:szCs w:val="21"/>
                <w:highlight w:val="none"/>
              </w:rPr>
            </w:pPr>
          </w:p>
        </w:tc>
      </w:tr>
    </w:tbl>
    <w:p w14:paraId="7BA66691">
      <w:pPr>
        <w:autoSpaceDE w:val="0"/>
        <w:autoSpaceDN w:val="0"/>
        <w:adjustRightInd w:val="0"/>
        <w:spacing w:line="360" w:lineRule="auto"/>
        <w:rPr>
          <w:rFonts w:hAnsi="Calibri"/>
          <w:color w:val="auto"/>
          <w:highlight w:val="none"/>
        </w:rPr>
      </w:pPr>
    </w:p>
    <w:p w14:paraId="73B9A797">
      <w:pPr>
        <w:autoSpaceDE w:val="0"/>
        <w:autoSpaceDN w:val="0"/>
        <w:adjustRightInd w:val="0"/>
        <w:spacing w:line="360" w:lineRule="auto"/>
        <w:rPr>
          <w:color w:val="auto"/>
          <w:szCs w:val="21"/>
          <w:highlight w:val="none"/>
        </w:rPr>
      </w:pPr>
      <w:r>
        <w:rPr>
          <w:rFonts w:hint="eastAsia" w:ascii="宋体" w:hAnsi="Times New Roman" w:eastAsia="宋体" w:cs="Times New Roman"/>
          <w:color w:val="auto"/>
          <w:kern w:val="0"/>
          <w:szCs w:val="21"/>
          <w:highlight w:val="none"/>
          <w:lang w:bidi="ar"/>
        </w:rPr>
        <w:t>备注：</w:t>
      </w:r>
    </w:p>
    <w:p w14:paraId="1E23CDF6">
      <w:pPr>
        <w:autoSpaceDE w:val="0"/>
        <w:autoSpaceDN w:val="0"/>
        <w:adjustRightInd w:val="0"/>
        <w:spacing w:line="360" w:lineRule="auto"/>
        <w:ind w:left="525" w:hanging="525" w:hangingChars="250"/>
        <w:jc w:val="left"/>
        <w:rPr>
          <w:rFonts w:eastAsia="宋体"/>
          <w:color w:val="auto"/>
          <w:szCs w:val="21"/>
          <w:highlight w:val="none"/>
        </w:rPr>
      </w:pPr>
      <w:r>
        <w:rPr>
          <w:rFonts w:hint="eastAsia" w:ascii="宋体" w:hAnsi="Times New Roman" w:eastAsia="宋体" w:cs="Times New Roman"/>
          <w:color w:val="auto"/>
          <w:kern w:val="0"/>
          <w:szCs w:val="21"/>
          <w:highlight w:val="none"/>
          <w:lang w:bidi="ar"/>
        </w:rPr>
        <w:t>（1）拟派本项目人员需提供简历表；</w:t>
      </w:r>
    </w:p>
    <w:p w14:paraId="1F8FCA3C">
      <w:pPr>
        <w:autoSpaceDE w:val="0"/>
        <w:autoSpaceDN w:val="0"/>
        <w:adjustRightInd w:val="0"/>
        <w:spacing w:line="360" w:lineRule="auto"/>
        <w:ind w:left="525" w:hanging="525" w:hangingChars="250"/>
        <w:jc w:val="left"/>
        <w:rPr>
          <w:rFonts w:ascii="宋体" w:hAnsi="Times New Roman" w:eastAsia="宋体" w:cs="Times New Roman"/>
          <w:color w:val="auto"/>
          <w:kern w:val="0"/>
          <w:szCs w:val="21"/>
          <w:highlight w:val="none"/>
          <w:lang w:bidi="ar"/>
        </w:rPr>
      </w:pPr>
      <w:r>
        <w:rPr>
          <w:rFonts w:hint="eastAsia" w:ascii="宋体" w:hAnsi="Times New Roman" w:eastAsia="宋体" w:cs="Times New Roman"/>
          <w:color w:val="auto"/>
          <w:kern w:val="0"/>
          <w:szCs w:val="21"/>
          <w:highlight w:val="none"/>
          <w:lang w:bidi="ar"/>
        </w:rPr>
        <w:t>（2）提供投标人2024年</w:t>
      </w:r>
      <w:r>
        <w:rPr>
          <w:rFonts w:hint="eastAsia" w:ascii="宋体" w:hAnsi="Times New Roman" w:eastAsia="宋体" w:cs="Times New Roman"/>
          <w:color w:val="auto"/>
          <w:kern w:val="0"/>
          <w:szCs w:val="21"/>
          <w:highlight w:val="none"/>
          <w:lang w:val="en-US" w:eastAsia="zh-CN" w:bidi="ar"/>
        </w:rPr>
        <w:t>11</w:t>
      </w:r>
      <w:r>
        <w:rPr>
          <w:rFonts w:hint="eastAsia" w:ascii="宋体" w:hAnsi="Times New Roman" w:eastAsia="宋体" w:cs="Times New Roman"/>
          <w:color w:val="auto"/>
          <w:kern w:val="0"/>
          <w:szCs w:val="21"/>
          <w:highlight w:val="none"/>
          <w:lang w:bidi="ar"/>
        </w:rPr>
        <w:t>月至2025年</w:t>
      </w:r>
      <w:r>
        <w:rPr>
          <w:rFonts w:hint="eastAsia" w:ascii="宋体" w:hAnsi="Times New Roman" w:eastAsia="宋体" w:cs="Times New Roman"/>
          <w:color w:val="auto"/>
          <w:kern w:val="0"/>
          <w:szCs w:val="21"/>
          <w:highlight w:val="none"/>
          <w:lang w:val="en-US" w:eastAsia="zh-CN" w:bidi="ar"/>
        </w:rPr>
        <w:t>4</w:t>
      </w:r>
      <w:r>
        <w:rPr>
          <w:rFonts w:hint="eastAsia" w:ascii="宋体" w:hAnsi="宋体" w:eastAsia="宋体" w:cs="宋体"/>
          <w:color w:val="auto"/>
          <w:kern w:val="0"/>
          <w:szCs w:val="21"/>
          <w:highlight w:val="none"/>
          <w:lang w:bidi="ar"/>
        </w:rPr>
        <w:t>月</w:t>
      </w:r>
      <w:r>
        <w:rPr>
          <w:rFonts w:hint="eastAsia" w:ascii="宋体" w:hAnsi="宋体" w:eastAsia="宋体" w:cs="宋体"/>
          <w:color w:val="auto"/>
          <w:highlight w:val="none"/>
        </w:rPr>
        <w:t>连续六个月</w:t>
      </w:r>
      <w:r>
        <w:rPr>
          <w:rFonts w:hint="eastAsia" w:ascii="宋体" w:hAnsi="Times New Roman" w:eastAsia="宋体" w:cs="Times New Roman"/>
          <w:color w:val="auto"/>
          <w:kern w:val="0"/>
          <w:szCs w:val="21"/>
          <w:highlight w:val="none"/>
          <w:lang w:bidi="ar"/>
        </w:rPr>
        <w:t>为上述每项人员缴纳的社保证明材料；</w:t>
      </w:r>
    </w:p>
    <w:p w14:paraId="2161555C">
      <w:pPr>
        <w:autoSpaceDE w:val="0"/>
        <w:autoSpaceDN w:val="0"/>
        <w:adjustRightInd w:val="0"/>
        <w:spacing w:line="360" w:lineRule="auto"/>
        <w:ind w:left="525" w:hanging="525" w:hangingChars="250"/>
        <w:jc w:val="left"/>
        <w:rPr>
          <w:rFonts w:ascii="宋体" w:hAnsi="Times New Roman" w:eastAsia="宋体" w:cs="Times New Roman"/>
          <w:color w:val="auto"/>
          <w:kern w:val="0"/>
          <w:szCs w:val="21"/>
          <w:highlight w:val="none"/>
          <w:lang w:bidi="ar"/>
        </w:rPr>
      </w:pPr>
      <w:r>
        <w:rPr>
          <w:rFonts w:hint="eastAsia" w:ascii="宋体" w:hAnsi="Times New Roman" w:eastAsia="宋体" w:cs="Times New Roman"/>
          <w:color w:val="auto"/>
          <w:kern w:val="0"/>
          <w:szCs w:val="21"/>
          <w:highlight w:val="none"/>
          <w:lang w:bidi="ar"/>
        </w:rPr>
        <w:t>（3）以上相关人员须提供</w:t>
      </w:r>
      <w:r>
        <w:rPr>
          <w:rFonts w:hint="eastAsia" w:ascii="宋体" w:hAnsi="宋体" w:eastAsia="宋体" w:cs="宋体"/>
          <w:color w:val="auto"/>
          <w:szCs w:val="21"/>
          <w:highlight w:val="none"/>
        </w:rPr>
        <w:t>有效的身份证、职称证书</w:t>
      </w:r>
      <w:r>
        <w:rPr>
          <w:rFonts w:hint="eastAsia" w:ascii="宋体" w:hAnsi="Times New Roman" w:eastAsia="宋体" w:cs="Times New Roman"/>
          <w:color w:val="auto"/>
          <w:kern w:val="0"/>
          <w:szCs w:val="21"/>
          <w:highlight w:val="none"/>
          <w:lang w:bidi="ar"/>
        </w:rPr>
        <w:t>原件扫描件。</w:t>
      </w:r>
    </w:p>
    <w:p w14:paraId="08D019EB">
      <w:pPr>
        <w:autoSpaceDE w:val="0"/>
        <w:autoSpaceDN w:val="0"/>
        <w:adjustRightInd w:val="0"/>
        <w:spacing w:line="360" w:lineRule="auto"/>
        <w:ind w:left="525" w:hanging="525" w:hangingChars="250"/>
        <w:jc w:val="left"/>
        <w:rPr>
          <w:rFonts w:ascii="宋体" w:hAnsi="Times New Roman" w:eastAsia="宋体" w:cs="Times New Roman"/>
          <w:color w:val="auto"/>
          <w:kern w:val="0"/>
          <w:szCs w:val="21"/>
          <w:highlight w:val="none"/>
          <w:lang w:bidi="ar"/>
        </w:rPr>
      </w:pPr>
    </w:p>
    <w:p w14:paraId="1DFC7996">
      <w:pPr>
        <w:autoSpaceDE w:val="0"/>
        <w:autoSpaceDN w:val="0"/>
        <w:adjustRightInd w:val="0"/>
        <w:spacing w:line="360" w:lineRule="auto"/>
        <w:ind w:firstLine="3780" w:firstLineChars="1800"/>
        <w:rPr>
          <w:rFonts w:ascii="宋体" w:hAnsi="宋体" w:eastAsia="宋体" w:cs="宋体"/>
          <w:color w:val="auto"/>
          <w:szCs w:val="21"/>
          <w:highlight w:val="none"/>
          <w:lang w:val="zh-CN"/>
        </w:rPr>
      </w:pPr>
    </w:p>
    <w:p w14:paraId="0A704797">
      <w:pPr>
        <w:autoSpaceDE w:val="0"/>
        <w:autoSpaceDN w:val="0"/>
        <w:adjustRightInd w:val="0"/>
        <w:spacing w:line="360" w:lineRule="auto"/>
        <w:ind w:firstLine="3780" w:firstLineChars="180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182E881A">
      <w:pPr>
        <w:autoSpaceDE w:val="0"/>
        <w:autoSpaceDN w:val="0"/>
        <w:adjustRightInd w:val="0"/>
        <w:spacing w:line="360" w:lineRule="auto"/>
        <w:ind w:firstLine="3780" w:firstLineChars="1800"/>
        <w:rPr>
          <w:rFonts w:ascii="宋体" w:hAnsi="宋体" w:eastAsia="宋体" w:cs="Times New Roman"/>
          <w:color w:val="auto"/>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s="Times New Roman"/>
          <w:color w:val="auto"/>
          <w:szCs w:val="24"/>
          <w:highlight w:val="none"/>
          <w:lang w:val="zh-CN"/>
        </w:rPr>
        <w:t>期：   年   月   日</w:t>
      </w:r>
    </w:p>
    <w:p w14:paraId="5A0FEF12">
      <w:pPr>
        <w:autoSpaceDE w:val="0"/>
        <w:autoSpaceDN w:val="0"/>
        <w:adjustRightInd w:val="0"/>
        <w:spacing w:line="360" w:lineRule="auto"/>
        <w:jc w:val="center"/>
        <w:rPr>
          <w:rFonts w:ascii="宋体" w:hAnsi="宋体" w:eastAsia="宋体" w:cs="Times New Roman"/>
          <w:b/>
          <w:bCs/>
          <w:color w:val="auto"/>
          <w:szCs w:val="24"/>
          <w:highlight w:val="none"/>
          <w:lang w:val="zh-CN"/>
        </w:rPr>
      </w:pPr>
    </w:p>
    <w:p w14:paraId="52EDA2E0">
      <w:pPr>
        <w:widowControl/>
        <w:autoSpaceDE w:val="0"/>
        <w:autoSpaceDN w:val="0"/>
        <w:adjustRightInd w:val="0"/>
        <w:spacing w:line="360" w:lineRule="auto"/>
        <w:jc w:val="center"/>
        <w:rPr>
          <w:rFonts w:ascii="宋体" w:hAnsi="宋体" w:eastAsia="宋体" w:cs="Times New Roman"/>
          <w:color w:val="auto"/>
          <w:szCs w:val="21"/>
          <w:highlight w:val="none"/>
        </w:rPr>
      </w:pPr>
      <w:r>
        <w:rPr>
          <w:rFonts w:hint="eastAsia" w:ascii="宋体" w:hAnsi="宋体" w:eastAsia="宋体" w:cs="Times New Roman"/>
          <w:b/>
          <w:bCs/>
          <w:color w:val="auto"/>
          <w:szCs w:val="24"/>
          <w:highlight w:val="none"/>
          <w:lang w:val="zh-CN"/>
        </w:rPr>
        <w:t>说明：由投标人使用投标人的企业数字证书电子签名。</w:t>
      </w:r>
    </w:p>
    <w:p w14:paraId="1EED0648">
      <w:pPr>
        <w:autoSpaceDE w:val="0"/>
        <w:autoSpaceDN w:val="0"/>
        <w:adjustRightInd w:val="0"/>
        <w:ind w:left="5040" w:leftChars="2400"/>
        <w:jc w:val="left"/>
        <w:rPr>
          <w:rFonts w:ascii="宋体" w:hAnsi="宋体" w:eastAsia="宋体" w:cs="宋体"/>
          <w:b/>
          <w:bCs/>
          <w:color w:val="auto"/>
          <w:kern w:val="0"/>
          <w:sz w:val="30"/>
          <w:szCs w:val="30"/>
          <w:highlight w:val="none"/>
          <w:lang w:val="zh-CN"/>
        </w:rPr>
      </w:pPr>
    </w:p>
    <w:p w14:paraId="4F8FFE04">
      <w:pPr>
        <w:rPr>
          <w:rFonts w:ascii="宋体" w:hAnsi="宋体" w:eastAsia="宋体" w:cs="宋体"/>
          <w:b/>
          <w:bCs/>
          <w:color w:val="auto"/>
          <w:kern w:val="0"/>
          <w:sz w:val="32"/>
          <w:szCs w:val="32"/>
          <w:highlight w:val="none"/>
          <w:lang w:val="zh-CN"/>
        </w:rPr>
      </w:pPr>
      <w:r>
        <w:rPr>
          <w:rFonts w:hint="eastAsia" w:ascii="宋体" w:hAnsi="宋体" w:eastAsia="宋体" w:cs="宋体"/>
          <w:b/>
          <w:bCs/>
          <w:color w:val="auto"/>
          <w:kern w:val="0"/>
          <w:sz w:val="32"/>
          <w:szCs w:val="32"/>
          <w:highlight w:val="none"/>
          <w:lang w:val="zh-CN"/>
        </w:rPr>
        <w:br w:type="page"/>
      </w:r>
    </w:p>
    <w:p w14:paraId="440FFD91">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auto"/>
          <w:kern w:val="0"/>
          <w:sz w:val="32"/>
          <w:szCs w:val="32"/>
          <w:highlight w:val="none"/>
        </w:rPr>
        <w:sectPr>
          <w:pgSz w:w="12240" w:h="15840"/>
          <w:pgMar w:top="1191" w:right="1043" w:bottom="1191" w:left="1043" w:header="720" w:footer="720" w:gutter="0"/>
          <w:cols w:space="720" w:num="1"/>
          <w:titlePg/>
          <w:docGrid w:linePitch="326" w:charSpace="0"/>
        </w:sectPr>
      </w:pPr>
      <w:bookmarkStart w:id="968" w:name="_Toc28042"/>
      <w:bookmarkStart w:id="969" w:name="_Toc195714398"/>
      <w:r>
        <w:rPr>
          <w:rFonts w:hint="eastAsia" w:ascii="宋体" w:hAnsi="宋体" w:eastAsia="宋体" w:cs="宋体"/>
          <w:b/>
          <w:bCs/>
          <w:color w:val="auto"/>
          <w:kern w:val="0"/>
          <w:sz w:val="32"/>
          <w:szCs w:val="32"/>
          <w:highlight w:val="none"/>
          <w:lang w:val="zh-CN"/>
        </w:rPr>
        <w:t>十</w:t>
      </w:r>
      <w:r>
        <w:rPr>
          <w:rFonts w:hint="eastAsia" w:ascii="宋体" w:hAnsi="宋体" w:eastAsia="宋体" w:cs="宋体"/>
          <w:b/>
          <w:bCs/>
          <w:color w:val="auto"/>
          <w:kern w:val="0"/>
          <w:sz w:val="32"/>
          <w:szCs w:val="32"/>
          <w:highlight w:val="none"/>
          <w:lang w:eastAsia="zh-CN"/>
        </w:rPr>
        <w:t>一</w:t>
      </w:r>
      <w:r>
        <w:rPr>
          <w:rFonts w:hint="eastAsia" w:ascii="宋体" w:hAnsi="宋体" w:eastAsia="宋体" w:cs="宋体"/>
          <w:b/>
          <w:bCs/>
          <w:color w:val="auto"/>
          <w:kern w:val="0"/>
          <w:sz w:val="32"/>
          <w:szCs w:val="32"/>
          <w:highlight w:val="none"/>
          <w:lang w:val="zh-CN"/>
        </w:rPr>
        <w:t>、投标人资格证明文件以外的其他资质证书、知识产权证书及获得的相关获奖、认证证书、社会评价资料证明文件扫描件等投标人认为有需要证明其具备为本次招标项目提供货物及有关服务能力的有关其它商务文件（不做强制要求）</w:t>
      </w:r>
      <w:bookmarkEnd w:id="951"/>
      <w:bookmarkEnd w:id="952"/>
      <w:bookmarkEnd w:id="953"/>
      <w:bookmarkEnd w:id="954"/>
      <w:bookmarkEnd w:id="955"/>
      <w:bookmarkEnd w:id="956"/>
      <w:bookmarkEnd w:id="957"/>
      <w:bookmarkEnd w:id="958"/>
      <w:bookmarkEnd w:id="959"/>
      <w:bookmarkEnd w:id="960"/>
      <w:bookmarkEnd w:id="968"/>
      <w:bookmarkEnd w:id="969"/>
    </w:p>
    <w:p w14:paraId="4ACEBE91">
      <w:pPr>
        <w:jc w:val="center"/>
        <w:outlineLvl w:val="1"/>
        <w:rPr>
          <w:rFonts w:ascii="宋体" w:hAnsi="宋体" w:eastAsia="宋体" w:cs="宋体"/>
          <w:b/>
          <w:color w:val="auto"/>
          <w:kern w:val="0"/>
          <w:sz w:val="32"/>
          <w:szCs w:val="32"/>
          <w:highlight w:val="none"/>
        </w:rPr>
      </w:pPr>
      <w:bookmarkStart w:id="970" w:name="_Toc195714399"/>
      <w:bookmarkStart w:id="971" w:name="_Toc4972"/>
      <w:bookmarkStart w:id="972" w:name="_Toc18038"/>
      <w:bookmarkStart w:id="973" w:name="_Toc102860085"/>
      <w:bookmarkStart w:id="974" w:name="_Toc94107222"/>
      <w:bookmarkStart w:id="975" w:name="_Toc104991887"/>
      <w:bookmarkStart w:id="976" w:name="_Toc102860429"/>
      <w:bookmarkStart w:id="977" w:name="_Toc27482"/>
      <w:bookmarkStart w:id="978" w:name="_Toc31916"/>
      <w:bookmarkStart w:id="979" w:name="_Toc1977739"/>
      <w:bookmarkStart w:id="980" w:name="_Toc142508380"/>
      <w:bookmarkStart w:id="981" w:name="_Toc140596940"/>
      <w:r>
        <w:rPr>
          <w:rFonts w:hint="eastAsia" w:ascii="宋体" w:hAnsi="宋体" w:eastAsia="宋体" w:cs="宋体"/>
          <w:b/>
          <w:color w:val="auto"/>
          <w:kern w:val="0"/>
          <w:sz w:val="32"/>
          <w:szCs w:val="32"/>
          <w:highlight w:val="none"/>
        </w:rPr>
        <w:t>二  技术标格式</w:t>
      </w:r>
      <w:bookmarkEnd w:id="970"/>
      <w:bookmarkEnd w:id="971"/>
    </w:p>
    <w:p w14:paraId="1F01CA17">
      <w:pPr>
        <w:jc w:val="left"/>
        <w:rPr>
          <w:rFonts w:ascii="宋体" w:hAnsi="宋体" w:eastAsia="宋体" w:cs="宋体"/>
          <w:b/>
          <w:color w:val="auto"/>
          <w:kern w:val="0"/>
          <w:sz w:val="32"/>
          <w:szCs w:val="32"/>
          <w:highlight w:val="none"/>
        </w:rPr>
      </w:pPr>
    </w:p>
    <w:bookmarkEnd w:id="961"/>
    <w:bookmarkEnd w:id="972"/>
    <w:bookmarkEnd w:id="973"/>
    <w:bookmarkEnd w:id="974"/>
    <w:bookmarkEnd w:id="975"/>
    <w:bookmarkEnd w:id="976"/>
    <w:bookmarkEnd w:id="977"/>
    <w:bookmarkEnd w:id="978"/>
    <w:bookmarkEnd w:id="979"/>
    <w:bookmarkEnd w:id="980"/>
    <w:bookmarkEnd w:id="981"/>
    <w:p w14:paraId="24228267">
      <w:pPr>
        <w:pStyle w:val="20"/>
        <w:spacing w:line="360"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br w:type="page"/>
      </w:r>
      <w:bookmarkEnd w:id="962"/>
      <w:bookmarkStart w:id="982" w:name="_Toc94107223"/>
      <w:bookmarkStart w:id="983" w:name="_Toc102860430"/>
      <w:bookmarkStart w:id="984" w:name="_Toc102860086"/>
      <w:bookmarkStart w:id="985" w:name="_Toc142508381"/>
      <w:bookmarkStart w:id="986" w:name="_Toc1977740"/>
      <w:bookmarkStart w:id="987" w:name="_Toc104991888"/>
      <w:bookmarkStart w:id="988" w:name="_Toc140596941"/>
      <w:bookmarkStart w:id="989" w:name="_Toc533708135"/>
    </w:p>
    <w:p w14:paraId="762B7410">
      <w:pPr>
        <w:pStyle w:val="20"/>
        <w:spacing w:line="360" w:lineRule="auto"/>
        <w:jc w:val="center"/>
        <w:rPr>
          <w:rFonts w:ascii="宋体" w:hAnsi="宋体" w:cs="宋体"/>
          <w:b/>
          <w:color w:val="auto"/>
          <w:kern w:val="0"/>
          <w:szCs w:val="21"/>
          <w:highlight w:val="none"/>
        </w:rPr>
      </w:pPr>
    </w:p>
    <w:p w14:paraId="131CCB0B">
      <w:pPr>
        <w:pStyle w:val="20"/>
        <w:spacing w:line="360" w:lineRule="auto"/>
        <w:jc w:val="center"/>
        <w:rPr>
          <w:rFonts w:ascii="宋体" w:hAnsi="宋体" w:cs="宋体"/>
          <w:b/>
          <w:color w:val="auto"/>
          <w:kern w:val="0"/>
          <w:szCs w:val="21"/>
          <w:highlight w:val="none"/>
        </w:rPr>
      </w:pPr>
    </w:p>
    <w:p w14:paraId="5E72110F">
      <w:pPr>
        <w:pStyle w:val="20"/>
        <w:spacing w:line="360" w:lineRule="auto"/>
        <w:jc w:val="center"/>
        <w:rPr>
          <w:rFonts w:ascii="宋体" w:hAnsi="宋体" w:cs="宋体"/>
          <w:b/>
          <w:color w:val="auto"/>
          <w:kern w:val="0"/>
          <w:szCs w:val="21"/>
          <w:highlight w:val="none"/>
        </w:rPr>
      </w:pPr>
    </w:p>
    <w:p w14:paraId="744CD4E6">
      <w:pPr>
        <w:pStyle w:val="20"/>
        <w:spacing w:line="360" w:lineRule="auto"/>
        <w:jc w:val="center"/>
        <w:rPr>
          <w:rFonts w:ascii="宋体" w:hAnsi="宋体" w:cs="宋体"/>
          <w:b/>
          <w:color w:val="auto"/>
          <w:kern w:val="0"/>
          <w:szCs w:val="21"/>
          <w:highlight w:val="none"/>
        </w:rPr>
      </w:pPr>
    </w:p>
    <w:p w14:paraId="50425C6C">
      <w:pPr>
        <w:pStyle w:val="20"/>
        <w:spacing w:line="360" w:lineRule="auto"/>
        <w:jc w:val="center"/>
        <w:rPr>
          <w:rFonts w:ascii="宋体" w:hAnsi="宋体" w:cs="宋体"/>
          <w:b/>
          <w:color w:val="auto"/>
          <w:kern w:val="0"/>
          <w:szCs w:val="21"/>
          <w:highlight w:val="none"/>
        </w:rPr>
      </w:pPr>
    </w:p>
    <w:p w14:paraId="45C99D71">
      <w:pPr>
        <w:pStyle w:val="20"/>
        <w:spacing w:line="360" w:lineRule="auto"/>
        <w:jc w:val="center"/>
        <w:rPr>
          <w:rFonts w:ascii="宋体" w:hAnsi="宋体" w:cs="宋体"/>
          <w:b/>
          <w:color w:val="auto"/>
          <w:kern w:val="0"/>
          <w:szCs w:val="21"/>
          <w:highlight w:val="none"/>
        </w:rPr>
      </w:pPr>
    </w:p>
    <w:p w14:paraId="6765F2E6">
      <w:pPr>
        <w:pStyle w:val="20"/>
        <w:spacing w:line="360" w:lineRule="auto"/>
        <w:jc w:val="center"/>
        <w:rPr>
          <w:rFonts w:ascii="宋体" w:hAnsi="宋体" w:cs="宋体"/>
          <w:b/>
          <w:color w:val="auto"/>
          <w:kern w:val="0"/>
          <w:szCs w:val="21"/>
          <w:highlight w:val="none"/>
        </w:rPr>
      </w:pPr>
    </w:p>
    <w:p w14:paraId="775A15B9">
      <w:pPr>
        <w:pStyle w:val="20"/>
        <w:spacing w:line="360" w:lineRule="auto"/>
        <w:jc w:val="center"/>
        <w:rPr>
          <w:rFonts w:ascii="宋体" w:hAnsi="宋体" w:cs="宋体"/>
          <w:b/>
          <w:color w:val="auto"/>
          <w:kern w:val="0"/>
          <w:szCs w:val="21"/>
          <w:highlight w:val="none"/>
        </w:rPr>
      </w:pPr>
    </w:p>
    <w:p w14:paraId="692AB23E">
      <w:pPr>
        <w:pStyle w:val="20"/>
        <w:spacing w:line="360" w:lineRule="auto"/>
        <w:jc w:val="center"/>
        <w:rPr>
          <w:rFonts w:ascii="宋体" w:hAnsi="宋体" w:cs="宋体"/>
          <w:color w:val="auto"/>
          <w:sz w:val="84"/>
          <w:highlight w:val="none"/>
        </w:rPr>
      </w:pPr>
      <w:r>
        <w:rPr>
          <w:rFonts w:hint="eastAsia" w:ascii="宋体" w:hAnsi="宋体" w:cs="宋体"/>
          <w:color w:val="auto"/>
          <w:sz w:val="84"/>
          <w:highlight w:val="none"/>
        </w:rPr>
        <w:t>投 标 文 件</w:t>
      </w:r>
    </w:p>
    <w:p w14:paraId="09F7E3CB">
      <w:pPr>
        <w:pStyle w:val="20"/>
        <w:spacing w:line="360" w:lineRule="auto"/>
        <w:rPr>
          <w:rFonts w:ascii="宋体" w:hAnsi="宋体" w:cs="宋体"/>
          <w:color w:val="auto"/>
          <w:highlight w:val="none"/>
        </w:rPr>
      </w:pPr>
    </w:p>
    <w:p w14:paraId="274BFA87">
      <w:pPr>
        <w:pStyle w:val="20"/>
        <w:spacing w:line="360" w:lineRule="auto"/>
        <w:rPr>
          <w:rFonts w:ascii="宋体" w:hAnsi="宋体" w:cs="宋体"/>
          <w:color w:val="auto"/>
          <w:highlight w:val="none"/>
        </w:rPr>
      </w:pPr>
    </w:p>
    <w:p w14:paraId="2EC9016B">
      <w:pPr>
        <w:pStyle w:val="20"/>
        <w:spacing w:line="360" w:lineRule="auto"/>
        <w:rPr>
          <w:rFonts w:ascii="宋体" w:hAnsi="宋体" w:cs="宋体"/>
          <w:color w:val="auto"/>
          <w:highlight w:val="none"/>
        </w:rPr>
      </w:pPr>
    </w:p>
    <w:p w14:paraId="63B43AC0">
      <w:pPr>
        <w:pStyle w:val="20"/>
        <w:spacing w:line="360" w:lineRule="auto"/>
        <w:rPr>
          <w:rFonts w:ascii="宋体" w:hAnsi="宋体" w:cs="宋体"/>
          <w:color w:val="auto"/>
          <w:highlight w:val="none"/>
        </w:rPr>
      </w:pPr>
    </w:p>
    <w:p w14:paraId="7DB25015">
      <w:pPr>
        <w:pStyle w:val="20"/>
        <w:spacing w:line="360" w:lineRule="auto"/>
        <w:rPr>
          <w:rFonts w:ascii="宋体" w:hAnsi="宋体" w:cs="宋体"/>
          <w:color w:val="auto"/>
          <w:highlight w:val="none"/>
        </w:rPr>
      </w:pPr>
    </w:p>
    <w:p w14:paraId="68958B53">
      <w:pPr>
        <w:pStyle w:val="20"/>
        <w:spacing w:line="360" w:lineRule="auto"/>
        <w:rPr>
          <w:rFonts w:ascii="宋体" w:hAnsi="宋体" w:cs="宋体"/>
          <w:color w:val="auto"/>
          <w:highlight w:val="none"/>
        </w:rPr>
      </w:pPr>
    </w:p>
    <w:p w14:paraId="3E650627">
      <w:pPr>
        <w:pStyle w:val="20"/>
        <w:spacing w:line="360" w:lineRule="auto"/>
        <w:ind w:firstLine="1875" w:firstLineChars="625"/>
        <w:rPr>
          <w:rFonts w:ascii="宋体" w:hAnsi="宋体" w:cs="宋体"/>
          <w:color w:val="auto"/>
          <w:sz w:val="30"/>
          <w:highlight w:val="none"/>
        </w:rPr>
      </w:pPr>
      <w:r>
        <w:rPr>
          <w:rFonts w:hint="eastAsia" w:ascii="宋体" w:hAnsi="宋体" w:cs="宋体"/>
          <w:color w:val="auto"/>
          <w:sz w:val="30"/>
          <w:highlight w:val="none"/>
        </w:rPr>
        <w:t>招标编号：</w:t>
      </w:r>
      <w:r>
        <w:rPr>
          <w:rFonts w:hint="eastAsia" w:ascii="宋体" w:hAnsi="宋体" w:cs="宋体"/>
          <w:color w:val="auto"/>
          <w:sz w:val="30"/>
          <w:highlight w:val="none"/>
          <w:u w:val="single"/>
        </w:rPr>
        <w:t xml:space="preserve">                      </w:t>
      </w:r>
    </w:p>
    <w:p w14:paraId="1A1A29AC">
      <w:pPr>
        <w:pStyle w:val="20"/>
        <w:spacing w:line="360" w:lineRule="auto"/>
        <w:ind w:firstLine="1875" w:firstLineChars="625"/>
        <w:rPr>
          <w:rFonts w:ascii="宋体" w:hAnsi="宋体" w:cs="宋体"/>
          <w:color w:val="auto"/>
          <w:sz w:val="30"/>
          <w:highlight w:val="none"/>
          <w:u w:val="single"/>
        </w:rPr>
      </w:pPr>
      <w:r>
        <w:rPr>
          <w:rFonts w:hint="eastAsia" w:ascii="宋体" w:hAnsi="宋体" w:cs="宋体"/>
          <w:color w:val="auto"/>
          <w:sz w:val="30"/>
          <w:highlight w:val="none"/>
        </w:rPr>
        <w:t>项目名称：</w:t>
      </w:r>
      <w:r>
        <w:rPr>
          <w:rFonts w:hint="eastAsia" w:ascii="宋体" w:hAnsi="宋体" w:cs="宋体"/>
          <w:color w:val="auto"/>
          <w:sz w:val="30"/>
          <w:highlight w:val="none"/>
          <w:u w:val="single"/>
        </w:rPr>
        <w:t xml:space="preserve">                      </w:t>
      </w:r>
    </w:p>
    <w:p w14:paraId="1BD47B69">
      <w:pPr>
        <w:pStyle w:val="20"/>
        <w:spacing w:line="360" w:lineRule="auto"/>
        <w:ind w:firstLine="1875" w:firstLineChars="625"/>
        <w:rPr>
          <w:rFonts w:ascii="宋体" w:hAnsi="宋体" w:cs="宋体"/>
          <w:color w:val="auto"/>
          <w:sz w:val="30"/>
          <w:highlight w:val="none"/>
          <w:u w:val="single"/>
        </w:rPr>
      </w:pPr>
      <w:r>
        <w:rPr>
          <w:rFonts w:hint="eastAsia" w:ascii="宋体" w:hAnsi="宋体" w:cs="宋体"/>
          <w:color w:val="auto"/>
          <w:sz w:val="30"/>
          <w:highlight w:val="none"/>
        </w:rPr>
        <w:t>投标文件内容：</w:t>
      </w:r>
      <w:r>
        <w:rPr>
          <w:rFonts w:hint="eastAsia" w:ascii="宋体" w:hAnsi="宋体" w:cs="宋体"/>
          <w:color w:val="auto"/>
          <w:sz w:val="30"/>
          <w:highlight w:val="none"/>
          <w:u w:val="single"/>
        </w:rPr>
        <w:t xml:space="preserve"> 投标文件技术标 </w:t>
      </w:r>
    </w:p>
    <w:p w14:paraId="37715235">
      <w:pPr>
        <w:pStyle w:val="20"/>
        <w:spacing w:line="360" w:lineRule="auto"/>
        <w:ind w:firstLine="1875" w:firstLineChars="625"/>
        <w:rPr>
          <w:rFonts w:ascii="宋体" w:hAnsi="宋体" w:cs="宋体"/>
          <w:color w:val="auto"/>
          <w:sz w:val="30"/>
          <w:highlight w:val="none"/>
        </w:rPr>
      </w:pPr>
      <w:r>
        <w:rPr>
          <w:rFonts w:hint="eastAsia" w:ascii="宋体" w:hAnsi="宋体" w:cs="宋体"/>
          <w:color w:val="auto"/>
          <w:sz w:val="30"/>
          <w:highlight w:val="none"/>
        </w:rPr>
        <w:t>招标人：</w:t>
      </w:r>
      <w:r>
        <w:rPr>
          <w:rFonts w:hint="eastAsia" w:ascii="宋体" w:hAnsi="宋体" w:cs="宋体"/>
          <w:color w:val="auto"/>
          <w:sz w:val="30"/>
          <w:highlight w:val="none"/>
          <w:u w:val="single"/>
        </w:rPr>
        <w:t xml:space="preserve">                        </w:t>
      </w:r>
    </w:p>
    <w:p w14:paraId="337F4484">
      <w:pPr>
        <w:pStyle w:val="20"/>
        <w:spacing w:line="360" w:lineRule="auto"/>
        <w:ind w:firstLine="1875" w:firstLineChars="625"/>
        <w:rPr>
          <w:rFonts w:ascii="宋体" w:hAnsi="宋体" w:cs="宋体"/>
          <w:color w:val="auto"/>
          <w:sz w:val="30"/>
          <w:highlight w:val="none"/>
          <w:u w:val="single"/>
        </w:rPr>
      </w:pPr>
      <w:r>
        <w:rPr>
          <w:rFonts w:hint="eastAsia" w:ascii="宋体" w:hAnsi="宋体" w:cs="宋体"/>
          <w:color w:val="auto"/>
          <w:sz w:val="30"/>
          <w:highlight w:val="none"/>
        </w:rPr>
        <w:t>投标人：</w:t>
      </w:r>
      <w:r>
        <w:rPr>
          <w:rFonts w:hint="eastAsia" w:ascii="宋体" w:hAnsi="宋体" w:cs="宋体"/>
          <w:color w:val="auto"/>
          <w:sz w:val="30"/>
          <w:highlight w:val="none"/>
          <w:u w:val="single"/>
        </w:rPr>
        <w:t xml:space="preserve">    （企业数字证书电子签名）   </w:t>
      </w:r>
    </w:p>
    <w:p w14:paraId="03CC2770">
      <w:pPr>
        <w:pStyle w:val="20"/>
        <w:spacing w:line="360" w:lineRule="auto"/>
        <w:ind w:firstLine="1875" w:firstLineChars="625"/>
        <w:rPr>
          <w:rFonts w:ascii="宋体" w:hAnsi="宋体" w:cs="宋体"/>
          <w:color w:val="auto"/>
          <w:sz w:val="30"/>
          <w:highlight w:val="none"/>
        </w:rPr>
      </w:pPr>
      <w:r>
        <w:rPr>
          <w:rFonts w:hint="eastAsia" w:ascii="宋体" w:hAnsi="宋体" w:cs="宋体"/>
          <w:color w:val="auto"/>
          <w:sz w:val="30"/>
          <w:highlight w:val="none"/>
        </w:rPr>
        <w:t>日  期：</w:t>
      </w:r>
      <w:r>
        <w:rPr>
          <w:rFonts w:hint="eastAsia" w:ascii="宋体" w:hAnsi="宋体" w:cs="宋体"/>
          <w:color w:val="auto"/>
          <w:sz w:val="30"/>
          <w:highlight w:val="none"/>
          <w:u w:val="single"/>
        </w:rPr>
        <w:t xml:space="preserve">     </w:t>
      </w:r>
      <w:r>
        <w:rPr>
          <w:rFonts w:hint="eastAsia" w:ascii="宋体" w:hAnsi="宋体" w:cs="宋体"/>
          <w:color w:val="auto"/>
          <w:sz w:val="30"/>
          <w:highlight w:val="none"/>
        </w:rPr>
        <w:t>年</w:t>
      </w:r>
      <w:r>
        <w:rPr>
          <w:rFonts w:hint="eastAsia" w:ascii="宋体" w:hAnsi="宋体" w:cs="宋体"/>
          <w:color w:val="auto"/>
          <w:sz w:val="30"/>
          <w:highlight w:val="none"/>
          <w:u w:val="single"/>
        </w:rPr>
        <w:t xml:space="preserve">    </w:t>
      </w:r>
      <w:r>
        <w:rPr>
          <w:rFonts w:hint="eastAsia" w:ascii="宋体" w:hAnsi="宋体" w:cs="宋体"/>
          <w:color w:val="auto"/>
          <w:sz w:val="30"/>
          <w:highlight w:val="none"/>
        </w:rPr>
        <w:t>月</w:t>
      </w:r>
      <w:r>
        <w:rPr>
          <w:rFonts w:hint="eastAsia" w:ascii="宋体" w:hAnsi="宋体" w:cs="宋体"/>
          <w:color w:val="auto"/>
          <w:sz w:val="30"/>
          <w:highlight w:val="none"/>
          <w:u w:val="single"/>
        </w:rPr>
        <w:t xml:space="preserve">    </w:t>
      </w:r>
      <w:r>
        <w:rPr>
          <w:rFonts w:hint="eastAsia" w:ascii="宋体" w:hAnsi="宋体" w:cs="宋体"/>
          <w:color w:val="auto"/>
          <w:sz w:val="30"/>
          <w:highlight w:val="none"/>
        </w:rPr>
        <w:t>日</w:t>
      </w:r>
    </w:p>
    <w:p w14:paraId="1D3EBF94">
      <w:pPr>
        <w:pStyle w:val="20"/>
        <w:spacing w:line="360" w:lineRule="auto"/>
        <w:rPr>
          <w:rFonts w:ascii="宋体" w:hAnsi="宋体" w:cs="宋体"/>
          <w:color w:val="auto"/>
          <w:highlight w:val="none"/>
        </w:rPr>
      </w:pPr>
    </w:p>
    <w:p w14:paraId="7D532CF4">
      <w:pPr>
        <w:pStyle w:val="20"/>
        <w:spacing w:line="360" w:lineRule="auto"/>
        <w:rPr>
          <w:rFonts w:ascii="宋体" w:hAnsi="宋体" w:cs="宋体"/>
          <w:color w:val="auto"/>
          <w:highlight w:val="none"/>
        </w:rPr>
      </w:pPr>
      <w:r>
        <w:rPr>
          <w:rFonts w:hint="eastAsia" w:ascii="宋体" w:hAnsi="宋体" w:cs="宋体"/>
          <w:color w:val="auto"/>
          <w:highlight w:val="none"/>
        </w:rPr>
        <w:br w:type="page"/>
      </w:r>
    </w:p>
    <w:p w14:paraId="536B4177">
      <w:pPr>
        <w:tabs>
          <w:tab w:val="left" w:pos="567"/>
        </w:tabs>
        <w:autoSpaceDE w:val="0"/>
        <w:autoSpaceDN w:val="0"/>
        <w:adjustRightInd w:val="0"/>
        <w:spacing w:line="360" w:lineRule="auto"/>
        <w:ind w:left="357" w:leftChars="-100" w:hanging="567"/>
        <w:jc w:val="center"/>
        <w:outlineLvl w:val="2"/>
        <w:rPr>
          <w:rFonts w:ascii="宋体" w:hAnsi="宋体" w:eastAsia="宋体" w:cs="宋体"/>
          <w:b/>
          <w:color w:val="auto"/>
          <w:kern w:val="0"/>
          <w:sz w:val="24"/>
          <w:szCs w:val="24"/>
          <w:highlight w:val="none"/>
        </w:rPr>
      </w:pPr>
      <w:bookmarkStart w:id="990" w:name="_Toc195714400"/>
      <w:bookmarkStart w:id="991" w:name="_Toc14054"/>
      <w:r>
        <w:rPr>
          <w:rFonts w:hint="eastAsia" w:ascii="宋体" w:hAnsi="宋体" w:eastAsia="宋体" w:cs="宋体"/>
          <w:b/>
          <w:color w:val="auto"/>
          <w:kern w:val="0"/>
          <w:sz w:val="24"/>
          <w:szCs w:val="24"/>
          <w:highlight w:val="none"/>
        </w:rPr>
        <w:t>目录</w:t>
      </w:r>
      <w:bookmarkEnd w:id="990"/>
      <w:bookmarkEnd w:id="991"/>
    </w:p>
    <w:p w14:paraId="2A7B9B57">
      <w:pPr>
        <w:spacing w:line="360" w:lineRule="auto"/>
        <w:ind w:left="443" w:leftChars="77" w:hanging="281" w:hangingChars="134"/>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一、用户需求的响应程度（用户需求偏离表）；</w:t>
      </w:r>
    </w:p>
    <w:p w14:paraId="2BE5A6FE">
      <w:pPr>
        <w:spacing w:line="360" w:lineRule="auto"/>
        <w:ind w:left="443" w:leftChars="77" w:hanging="281" w:hangingChars="134"/>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二、整体方案；</w:t>
      </w:r>
    </w:p>
    <w:p w14:paraId="4DC108BA">
      <w:pPr>
        <w:spacing w:line="360" w:lineRule="auto"/>
        <w:ind w:left="443" w:leftChars="77" w:hanging="281" w:hangingChars="134"/>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三</w:t>
      </w:r>
      <w:r>
        <w:rPr>
          <w:rFonts w:hint="eastAsia" w:ascii="宋体" w:hAnsi="宋体" w:eastAsia="宋体" w:cs="宋体"/>
          <w:color w:val="auto"/>
          <w:kern w:val="0"/>
          <w:szCs w:val="21"/>
          <w:highlight w:val="none"/>
        </w:rPr>
        <w:t>、硬件质量水平；</w:t>
      </w:r>
    </w:p>
    <w:p w14:paraId="6EE291C2">
      <w:pPr>
        <w:spacing w:line="360" w:lineRule="auto"/>
        <w:ind w:left="443" w:leftChars="77" w:hanging="281" w:hangingChars="134"/>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四</w:t>
      </w:r>
      <w:r>
        <w:rPr>
          <w:rFonts w:hint="eastAsia" w:ascii="宋体" w:hAnsi="宋体" w:eastAsia="宋体" w:cs="宋体"/>
          <w:color w:val="auto"/>
          <w:kern w:val="0"/>
          <w:szCs w:val="21"/>
          <w:highlight w:val="none"/>
        </w:rPr>
        <w:t>、软件质量水平；</w:t>
      </w:r>
    </w:p>
    <w:p w14:paraId="4CF9C80A">
      <w:pPr>
        <w:spacing w:line="360" w:lineRule="auto"/>
        <w:ind w:left="443" w:leftChars="77" w:hanging="281" w:hangingChars="134"/>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五</w:t>
      </w:r>
      <w:r>
        <w:rPr>
          <w:rFonts w:hint="eastAsia" w:ascii="宋体" w:hAnsi="宋体" w:eastAsia="宋体" w:cs="宋体"/>
          <w:color w:val="auto"/>
          <w:kern w:val="0"/>
          <w:szCs w:val="21"/>
          <w:highlight w:val="none"/>
        </w:rPr>
        <w:t>、进度保证；</w:t>
      </w:r>
    </w:p>
    <w:p w14:paraId="7E4777F2">
      <w:pPr>
        <w:spacing w:line="360" w:lineRule="auto"/>
        <w:ind w:left="443" w:leftChars="77" w:hanging="281" w:hangingChars="134"/>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六</w:t>
      </w:r>
      <w:r>
        <w:rPr>
          <w:rFonts w:hint="eastAsia" w:ascii="宋体" w:hAnsi="宋体" w:eastAsia="宋体" w:cs="宋体"/>
          <w:color w:val="auto"/>
          <w:kern w:val="0"/>
          <w:szCs w:val="21"/>
          <w:highlight w:val="none"/>
        </w:rPr>
        <w:t>、售后服务保障；</w:t>
      </w:r>
    </w:p>
    <w:p w14:paraId="5F12DFE7">
      <w:pPr>
        <w:spacing w:line="360" w:lineRule="auto"/>
        <w:ind w:left="443" w:leftChars="77" w:hanging="281" w:hangingChars="134"/>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七</w:t>
      </w:r>
      <w:r>
        <w:rPr>
          <w:rFonts w:hint="eastAsia" w:ascii="宋体" w:hAnsi="宋体" w:eastAsia="宋体" w:cs="宋体"/>
          <w:color w:val="auto"/>
          <w:kern w:val="0"/>
          <w:szCs w:val="21"/>
          <w:highlight w:val="none"/>
        </w:rPr>
        <w:t>、投标人认为有必要提供的其它材料（不做强制要求）。</w:t>
      </w:r>
    </w:p>
    <w:p w14:paraId="6D4B59E5">
      <w:pPr>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br w:type="page"/>
      </w:r>
    </w:p>
    <w:p w14:paraId="5D230C4E">
      <w:pPr>
        <w:tabs>
          <w:tab w:val="left" w:pos="567"/>
        </w:tabs>
        <w:autoSpaceDE w:val="0"/>
        <w:autoSpaceDN w:val="0"/>
        <w:adjustRightInd w:val="0"/>
        <w:spacing w:line="360" w:lineRule="auto"/>
        <w:jc w:val="left"/>
        <w:outlineLvl w:val="2"/>
        <w:rPr>
          <w:rFonts w:ascii="宋体" w:hAnsi="宋体" w:eastAsia="宋体" w:cs="宋体"/>
          <w:b/>
          <w:color w:val="auto"/>
          <w:kern w:val="0"/>
          <w:sz w:val="30"/>
          <w:szCs w:val="30"/>
          <w:highlight w:val="none"/>
        </w:rPr>
      </w:pPr>
      <w:bookmarkStart w:id="992" w:name="_Toc27934"/>
      <w:bookmarkStart w:id="993" w:name="_Toc18999"/>
      <w:bookmarkStart w:id="994" w:name="_Toc24129"/>
      <w:bookmarkStart w:id="995" w:name="_Toc195714401"/>
      <w:bookmarkStart w:id="996" w:name="_Toc30448"/>
      <w:r>
        <w:rPr>
          <w:rFonts w:hint="eastAsia" w:ascii="宋体" w:hAnsi="宋体" w:eastAsia="宋体" w:cs="宋体"/>
          <w:b/>
          <w:color w:val="auto"/>
          <w:kern w:val="0"/>
          <w:sz w:val="30"/>
          <w:szCs w:val="30"/>
          <w:highlight w:val="none"/>
        </w:rPr>
        <w:t>一、用户需求偏离表</w:t>
      </w:r>
      <w:bookmarkEnd w:id="982"/>
      <w:bookmarkEnd w:id="983"/>
      <w:bookmarkEnd w:id="984"/>
      <w:bookmarkEnd w:id="985"/>
      <w:bookmarkEnd w:id="986"/>
      <w:bookmarkEnd w:id="987"/>
      <w:bookmarkEnd w:id="988"/>
      <w:bookmarkEnd w:id="989"/>
      <w:bookmarkEnd w:id="992"/>
      <w:bookmarkEnd w:id="993"/>
      <w:bookmarkEnd w:id="994"/>
      <w:bookmarkEnd w:id="995"/>
      <w:bookmarkEnd w:id="996"/>
    </w:p>
    <w:p w14:paraId="7E9BF0DE">
      <w:pPr>
        <w:spacing w:before="120" w:after="120" w:line="360" w:lineRule="auto"/>
        <w:jc w:val="center"/>
        <w:rPr>
          <w:rFonts w:ascii="宋体" w:hAnsi="宋体" w:eastAsia="宋体" w:cs="Times New Roman"/>
          <w:color w:val="auto"/>
          <w:kern w:val="0"/>
          <w:szCs w:val="21"/>
          <w:highlight w:val="none"/>
        </w:rPr>
      </w:pPr>
      <w:bookmarkStart w:id="997" w:name="_Toc17449_WPSOffice_Level3"/>
      <w:r>
        <w:rPr>
          <w:rFonts w:hint="eastAsia" w:ascii="宋体" w:hAnsi="宋体" w:eastAsia="宋体" w:cs="宋体"/>
          <w:b/>
          <w:color w:val="auto"/>
          <w:kern w:val="0"/>
          <w:sz w:val="30"/>
          <w:szCs w:val="30"/>
          <w:highlight w:val="none"/>
          <w:lang w:val="zh-CN"/>
        </w:rPr>
        <w:t>用户需求偏离表</w:t>
      </w:r>
      <w:bookmarkEnd w:id="997"/>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952"/>
        <w:gridCol w:w="6413"/>
        <w:gridCol w:w="722"/>
        <w:gridCol w:w="867"/>
        <w:gridCol w:w="823"/>
      </w:tblGrid>
      <w:tr w14:paraId="5D73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86" w:type="pct"/>
            <w:vMerge w:val="restart"/>
            <w:vAlign w:val="center"/>
          </w:tcPr>
          <w:p w14:paraId="7113E158">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序号</w:t>
            </w:r>
          </w:p>
        </w:tc>
        <w:tc>
          <w:tcPr>
            <w:tcW w:w="3551" w:type="pct"/>
            <w:gridSpan w:val="2"/>
            <w:vAlign w:val="center"/>
          </w:tcPr>
          <w:p w14:paraId="1A8C5F35">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招标文件要求</w:t>
            </w:r>
          </w:p>
        </w:tc>
        <w:tc>
          <w:tcPr>
            <w:tcW w:w="1162" w:type="pct"/>
            <w:gridSpan w:val="3"/>
            <w:vAlign w:val="center"/>
          </w:tcPr>
          <w:p w14:paraId="6AC9DF10">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投标文件内容</w:t>
            </w:r>
          </w:p>
        </w:tc>
      </w:tr>
      <w:tr w14:paraId="7B8D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86" w:type="pct"/>
            <w:vMerge w:val="continue"/>
            <w:vAlign w:val="center"/>
          </w:tcPr>
          <w:p w14:paraId="75232A52">
            <w:pPr>
              <w:keepNext/>
              <w:keepLines/>
              <w:suppressLineNumbers w:val="0"/>
              <w:spacing w:before="0" w:beforeAutospacing="0" w:after="0" w:afterAutospacing="0" w:line="400" w:lineRule="exact"/>
              <w:ind w:left="0" w:right="0"/>
              <w:jc w:val="center"/>
              <w:outlineLvl w:val="0"/>
              <w:rPr>
                <w:rFonts w:hint="default" w:ascii="宋体" w:hAnsi="宋体" w:eastAsia="宋体" w:cs="宋体"/>
                <w:color w:val="auto"/>
                <w:kern w:val="0"/>
                <w:sz w:val="18"/>
                <w:szCs w:val="18"/>
                <w:highlight w:val="none"/>
              </w:rPr>
            </w:pPr>
          </w:p>
        </w:tc>
        <w:tc>
          <w:tcPr>
            <w:tcW w:w="459" w:type="pct"/>
            <w:vAlign w:val="center"/>
          </w:tcPr>
          <w:p w14:paraId="3D88FCD5">
            <w:pPr>
              <w:keepNext w:val="0"/>
              <w:keepLines w:val="0"/>
              <w:suppressLineNumbers w:val="0"/>
              <w:spacing w:before="0" w:beforeAutospacing="0" w:after="0" w:afterAutospacing="0" w:line="240" w:lineRule="auto"/>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条款号</w:t>
            </w:r>
          </w:p>
        </w:tc>
        <w:tc>
          <w:tcPr>
            <w:tcW w:w="3092" w:type="pct"/>
            <w:vAlign w:val="center"/>
          </w:tcPr>
          <w:p w14:paraId="5101C00A">
            <w:pPr>
              <w:keepNext w:val="0"/>
              <w:keepLines w:val="0"/>
              <w:suppressLineNumbers w:val="0"/>
              <w:spacing w:before="0" w:beforeAutospacing="0" w:after="0" w:afterAutospacing="0" w:line="240" w:lineRule="auto"/>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简要内容</w:t>
            </w:r>
          </w:p>
        </w:tc>
        <w:tc>
          <w:tcPr>
            <w:tcW w:w="348" w:type="pct"/>
            <w:vAlign w:val="center"/>
          </w:tcPr>
          <w:p w14:paraId="19AA5259">
            <w:pPr>
              <w:keepNext w:val="0"/>
              <w:keepLines w:val="0"/>
              <w:suppressLineNumbers w:val="0"/>
              <w:spacing w:before="0" w:beforeAutospacing="0" w:after="0" w:afterAutospacing="0" w:line="240" w:lineRule="auto"/>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偏离情况</w:t>
            </w:r>
          </w:p>
        </w:tc>
        <w:tc>
          <w:tcPr>
            <w:tcW w:w="418" w:type="pct"/>
            <w:vAlign w:val="center"/>
          </w:tcPr>
          <w:p w14:paraId="485F8C64">
            <w:pPr>
              <w:keepNext w:val="0"/>
              <w:keepLines w:val="0"/>
              <w:suppressLineNumbers w:val="0"/>
              <w:spacing w:before="0" w:beforeAutospacing="0" w:after="0" w:afterAutospacing="0" w:line="240" w:lineRule="auto"/>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实质性响应的具体内容</w:t>
            </w:r>
          </w:p>
        </w:tc>
        <w:tc>
          <w:tcPr>
            <w:tcW w:w="395" w:type="pct"/>
            <w:vAlign w:val="center"/>
          </w:tcPr>
          <w:p w14:paraId="4F62645F">
            <w:pPr>
              <w:keepNext w:val="0"/>
              <w:keepLines w:val="0"/>
              <w:suppressLineNumbers w:val="0"/>
              <w:spacing w:before="0" w:beforeAutospacing="0" w:after="0" w:afterAutospacing="0" w:line="240" w:lineRule="auto"/>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对应证明材料页码</w:t>
            </w:r>
          </w:p>
        </w:tc>
      </w:tr>
      <w:tr w14:paraId="39428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286" w:type="pct"/>
            <w:vAlign w:val="center"/>
          </w:tcPr>
          <w:p w14:paraId="019797F5">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default" w:ascii="宋体" w:hAnsi="宋体" w:eastAsia="宋体" w:cs="宋体"/>
                <w:color w:val="auto"/>
                <w:kern w:val="0"/>
                <w:sz w:val="18"/>
                <w:szCs w:val="18"/>
                <w:highlight w:val="none"/>
              </w:rPr>
              <w:t>1</w:t>
            </w:r>
          </w:p>
        </w:tc>
        <w:tc>
          <w:tcPr>
            <w:tcW w:w="459" w:type="pct"/>
            <w:vAlign w:val="center"/>
          </w:tcPr>
          <w:p w14:paraId="45B8F507">
            <w:pPr>
              <w:keepNext w:val="0"/>
              <w:keepLines w:val="0"/>
              <w:suppressLineNumbers w:val="0"/>
              <w:spacing w:before="0" w:beforeAutospacing="0" w:after="0" w:afterAutospacing="0"/>
              <w:ind w:left="0" w:right="0"/>
              <w:jc w:val="center"/>
              <w:rPr>
                <w:rFonts w:hint="default" w:ascii="宋体" w:hAnsi="宋体" w:eastAsia="宋体" w:cs="Times New Roman"/>
                <w:bCs/>
                <w:color w:val="auto"/>
                <w:kern w:val="0"/>
                <w:sz w:val="18"/>
                <w:szCs w:val="18"/>
                <w:highlight w:val="none"/>
              </w:rPr>
            </w:pPr>
            <w:r>
              <w:rPr>
                <w:rFonts w:hint="default" w:ascii="宋体" w:hAnsi="宋体" w:eastAsia="宋体" w:cs="Times New Roman"/>
                <w:bCs/>
                <w:color w:val="auto"/>
                <w:kern w:val="0"/>
                <w:sz w:val="18"/>
                <w:szCs w:val="18"/>
                <w:highlight w:val="none"/>
              </w:rPr>
              <w:t>第一节</w:t>
            </w:r>
          </w:p>
        </w:tc>
        <w:tc>
          <w:tcPr>
            <w:tcW w:w="3092" w:type="pct"/>
            <w:vAlign w:val="center"/>
          </w:tcPr>
          <w:p w14:paraId="31A4AB3A">
            <w:pPr>
              <w:keepNext w:val="0"/>
              <w:keepLines w:val="0"/>
              <w:suppressLineNumbers w:val="0"/>
              <w:autoSpaceDE w:val="0"/>
              <w:autoSpaceDN w:val="0"/>
              <w:adjustRightInd w:val="0"/>
              <w:spacing w:before="0" w:beforeAutospacing="0" w:after="0" w:afterAutospacing="0"/>
              <w:ind w:left="0" w:right="0"/>
              <w:rPr>
                <w:rFonts w:hint="default" w:ascii="宋体" w:hAnsi="宋体" w:eastAsia="宋体" w:cs="Times New Roman"/>
                <w:color w:val="auto"/>
                <w:kern w:val="0"/>
                <w:sz w:val="18"/>
                <w:szCs w:val="18"/>
                <w:highlight w:val="none"/>
              </w:rPr>
            </w:pPr>
            <w:r>
              <w:rPr>
                <w:rFonts w:hint="default" w:ascii="宋体" w:hAnsi="宋体" w:eastAsia="宋体" w:cs="Times New Roman"/>
                <w:bCs/>
                <w:color w:val="auto"/>
                <w:kern w:val="0"/>
                <w:sz w:val="18"/>
                <w:szCs w:val="18"/>
                <w:highlight w:val="none"/>
              </w:rPr>
              <w:t>总体技术要求</w:t>
            </w:r>
          </w:p>
        </w:tc>
        <w:tc>
          <w:tcPr>
            <w:tcW w:w="348" w:type="pct"/>
            <w:vAlign w:val="center"/>
          </w:tcPr>
          <w:p w14:paraId="49301EF5">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589C1CDB">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7E36A72A">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3E84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6EE3B79E">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w:t>
            </w:r>
          </w:p>
        </w:tc>
        <w:tc>
          <w:tcPr>
            <w:tcW w:w="459" w:type="pct"/>
            <w:vAlign w:val="center"/>
          </w:tcPr>
          <w:p w14:paraId="541CCA77">
            <w:pPr>
              <w:keepNext w:val="0"/>
              <w:keepLines w:val="0"/>
              <w:suppressLineNumbers w:val="0"/>
              <w:spacing w:before="0" w:beforeAutospacing="0" w:after="0" w:afterAutospacing="0"/>
              <w:ind w:left="0" w:right="0"/>
              <w:jc w:val="center"/>
              <w:rPr>
                <w:rFonts w:hint="default" w:ascii="宋体" w:hAnsi="宋体" w:eastAsia="宋体" w:cs="Times New Roman"/>
                <w:bCs/>
                <w:color w:val="auto"/>
                <w:kern w:val="0"/>
                <w:sz w:val="18"/>
                <w:szCs w:val="18"/>
                <w:highlight w:val="none"/>
                <w:lang w:val="zh-CN"/>
              </w:rPr>
            </w:pPr>
            <w:r>
              <w:rPr>
                <w:rFonts w:hint="default" w:ascii="宋体" w:hAnsi="宋体" w:eastAsia="宋体" w:cs="Times New Roman"/>
                <w:bCs/>
                <w:color w:val="auto"/>
                <w:kern w:val="0"/>
                <w:sz w:val="18"/>
                <w:szCs w:val="18"/>
                <w:highlight w:val="none"/>
                <w:lang w:val="zh-CN"/>
              </w:rPr>
              <w:t>第二节</w:t>
            </w:r>
          </w:p>
        </w:tc>
        <w:tc>
          <w:tcPr>
            <w:tcW w:w="3092" w:type="pct"/>
            <w:vAlign w:val="center"/>
          </w:tcPr>
          <w:p w14:paraId="200EE7B5">
            <w:pPr>
              <w:keepNext w:val="0"/>
              <w:keepLines w:val="0"/>
              <w:suppressLineNumbers w:val="0"/>
              <w:adjustRightInd w:val="0"/>
              <w:snapToGrid w:val="0"/>
              <w:spacing w:before="0" w:beforeAutospacing="0" w:after="0" w:afterAutospacing="0"/>
              <w:ind w:left="0" w:right="0"/>
              <w:rPr>
                <w:rFonts w:hint="default" w:ascii="宋体" w:hAnsi="宋体" w:eastAsia="宋体" w:cs="Times New Roman"/>
                <w:color w:val="auto"/>
                <w:sz w:val="18"/>
                <w:szCs w:val="18"/>
                <w:highlight w:val="none"/>
              </w:rPr>
            </w:pPr>
            <w:r>
              <w:rPr>
                <w:rFonts w:hint="default" w:ascii="宋体" w:hAnsi="宋体" w:eastAsia="宋体" w:cs="Times New Roman"/>
                <w:bCs/>
                <w:color w:val="auto"/>
                <w:kern w:val="0"/>
                <w:sz w:val="18"/>
                <w:szCs w:val="18"/>
                <w:highlight w:val="none"/>
                <w:lang w:val="zh-CN"/>
              </w:rPr>
              <w:t>详细技术要求</w:t>
            </w:r>
          </w:p>
        </w:tc>
        <w:tc>
          <w:tcPr>
            <w:tcW w:w="348" w:type="pct"/>
            <w:vAlign w:val="center"/>
          </w:tcPr>
          <w:p w14:paraId="4A222C3C">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790386AB">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0C99CD39">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6CC6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 w:type="pct"/>
            <w:vAlign w:val="center"/>
          </w:tcPr>
          <w:p w14:paraId="5D1F5CCE">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w:t>
            </w:r>
          </w:p>
        </w:tc>
        <w:tc>
          <w:tcPr>
            <w:tcW w:w="459" w:type="pct"/>
            <w:vAlign w:val="center"/>
          </w:tcPr>
          <w:p w14:paraId="2E121357">
            <w:pPr>
              <w:keepNext w:val="0"/>
              <w:keepLines w:val="0"/>
              <w:suppressLineNumbers w:val="0"/>
              <w:spacing w:before="0" w:beforeAutospacing="0" w:after="0" w:afterAutospacing="0"/>
              <w:ind w:left="0" w:right="0"/>
              <w:jc w:val="center"/>
              <w:rPr>
                <w:rFonts w:hint="default" w:ascii="宋体" w:hAnsi="宋体" w:eastAsia="宋体"/>
                <w:bCs/>
                <w:color w:val="auto"/>
                <w:sz w:val="18"/>
                <w:szCs w:val="18"/>
                <w:highlight w:val="none"/>
                <w:lang w:val="zh-CN"/>
              </w:rPr>
            </w:pPr>
            <w:r>
              <w:rPr>
                <w:rFonts w:hint="default" w:ascii="宋体" w:hAnsi="宋体" w:eastAsia="宋体"/>
                <w:bCs/>
                <w:color w:val="auto"/>
                <w:sz w:val="18"/>
                <w:szCs w:val="18"/>
                <w:highlight w:val="none"/>
                <w:lang w:val="zh-CN"/>
              </w:rPr>
              <w:t>第三节</w:t>
            </w:r>
          </w:p>
        </w:tc>
        <w:tc>
          <w:tcPr>
            <w:tcW w:w="3092" w:type="pct"/>
            <w:vAlign w:val="center"/>
          </w:tcPr>
          <w:p w14:paraId="682BA16D">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bCs/>
                <w:color w:val="auto"/>
                <w:sz w:val="18"/>
                <w:szCs w:val="18"/>
                <w:highlight w:val="none"/>
                <w:lang w:val="zh-CN"/>
              </w:rPr>
              <w:t>资料要求及招标设计</w:t>
            </w:r>
          </w:p>
        </w:tc>
        <w:tc>
          <w:tcPr>
            <w:tcW w:w="348" w:type="pct"/>
            <w:vAlign w:val="center"/>
          </w:tcPr>
          <w:p w14:paraId="386917B3">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7E4CC331">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11C730BE">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1E7E0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6"/>
            <w:vAlign w:val="center"/>
          </w:tcPr>
          <w:p w14:paraId="51E562BA">
            <w:pPr>
              <w:keepNext/>
              <w:keepLines/>
              <w:suppressLineNumbers w:val="0"/>
              <w:spacing w:before="0" w:beforeAutospacing="0" w:after="0" w:afterAutospacing="0" w:line="400" w:lineRule="exact"/>
              <w:ind w:left="0" w:right="0"/>
              <w:jc w:val="left"/>
              <w:outlineLvl w:val="2"/>
              <w:rPr>
                <w:rFonts w:hint="default" w:ascii="宋体" w:hAnsi="宋体" w:eastAsia="宋体" w:cs="宋体"/>
                <w:color w:val="auto"/>
                <w:kern w:val="0"/>
                <w:sz w:val="18"/>
                <w:szCs w:val="18"/>
                <w:highlight w:val="none"/>
              </w:rPr>
            </w:pPr>
            <w:bookmarkStart w:id="998" w:name="_Toc32583"/>
            <w:bookmarkStart w:id="999" w:name="_Toc195714402"/>
            <w:r>
              <w:rPr>
                <w:rFonts w:hint="eastAsia" w:ascii="宋体" w:hAnsi="宋体" w:eastAsia="宋体" w:cs="宋体"/>
                <w:color w:val="auto"/>
                <w:kern w:val="0"/>
                <w:sz w:val="18"/>
                <w:szCs w:val="18"/>
                <w:highlight w:val="none"/>
              </w:rPr>
              <w:t>用户需求书“★”条款汇总：</w:t>
            </w:r>
            <w:bookmarkEnd w:id="998"/>
            <w:bookmarkEnd w:id="999"/>
          </w:p>
        </w:tc>
      </w:tr>
      <w:tr w14:paraId="5BD1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68616CCE">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w:t>
            </w:r>
          </w:p>
        </w:tc>
        <w:tc>
          <w:tcPr>
            <w:tcW w:w="459" w:type="pct"/>
            <w:vAlign w:val="center"/>
          </w:tcPr>
          <w:p w14:paraId="248CA19B">
            <w:pPr>
              <w:keepNext w:val="0"/>
              <w:keepLines w:val="0"/>
              <w:suppressLineNumbers w:val="0"/>
              <w:spacing w:before="0" w:beforeAutospacing="0" w:after="0" w:afterAutospacing="0"/>
              <w:ind w:left="0" w:right="0"/>
              <w:jc w:val="center"/>
              <w:rPr>
                <w:rFonts w:hint="default" w:ascii="宋体" w:hAnsi="宋体" w:eastAsia="宋体"/>
                <w:bCs/>
                <w:color w:val="auto"/>
                <w:sz w:val="18"/>
                <w:szCs w:val="18"/>
                <w:highlight w:val="none"/>
                <w:lang w:val="zh-CN"/>
              </w:rPr>
            </w:pPr>
            <w:r>
              <w:rPr>
                <w:rFonts w:hint="default" w:ascii="宋体" w:hAnsi="宋体" w:eastAsia="宋体"/>
                <w:bCs/>
                <w:color w:val="auto"/>
                <w:sz w:val="18"/>
                <w:szCs w:val="18"/>
                <w:highlight w:val="none"/>
                <w:lang w:val="zh-CN"/>
              </w:rPr>
              <w:t>第一节</w:t>
            </w:r>
          </w:p>
        </w:tc>
        <w:tc>
          <w:tcPr>
            <w:tcW w:w="3092" w:type="pct"/>
            <w:vAlign w:val="center"/>
          </w:tcPr>
          <w:p w14:paraId="37346CAE">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1.1总体要求</w:t>
            </w:r>
          </w:p>
          <w:p w14:paraId="02CA7890">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★本项目的机房布置、系统架构方案、网络架构方案、自动化系统方案已经确定，无需替代方案。</w:t>
            </w:r>
          </w:p>
        </w:tc>
        <w:tc>
          <w:tcPr>
            <w:tcW w:w="348" w:type="pct"/>
            <w:vAlign w:val="center"/>
          </w:tcPr>
          <w:p w14:paraId="617F7616">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5E8F3CBF">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210B247C">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3B0B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2390273D">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w:t>
            </w:r>
          </w:p>
        </w:tc>
        <w:tc>
          <w:tcPr>
            <w:tcW w:w="459" w:type="pct"/>
            <w:vAlign w:val="center"/>
          </w:tcPr>
          <w:p w14:paraId="2FCF7A41">
            <w:pPr>
              <w:keepNext w:val="0"/>
              <w:keepLines w:val="0"/>
              <w:suppressLineNumbers w:val="0"/>
              <w:spacing w:before="0" w:beforeAutospacing="0" w:after="0" w:afterAutospacing="0"/>
              <w:ind w:left="0" w:right="0"/>
              <w:jc w:val="center"/>
              <w:rPr>
                <w:rFonts w:hint="default" w:ascii="宋体" w:hAnsi="宋体" w:eastAsia="宋体" w:cs="Times New Roman"/>
                <w:bCs/>
                <w:color w:val="auto"/>
                <w:kern w:val="0"/>
                <w:sz w:val="18"/>
                <w:szCs w:val="18"/>
                <w:highlight w:val="none"/>
              </w:rPr>
            </w:pPr>
            <w:r>
              <w:rPr>
                <w:rFonts w:hint="default" w:ascii="宋体" w:hAnsi="宋体" w:eastAsia="宋体" w:cs="Times New Roman"/>
                <w:bCs/>
                <w:color w:val="auto"/>
                <w:kern w:val="0"/>
                <w:sz w:val="18"/>
                <w:szCs w:val="18"/>
                <w:highlight w:val="none"/>
              </w:rPr>
              <w:t>第一节</w:t>
            </w:r>
          </w:p>
        </w:tc>
        <w:tc>
          <w:tcPr>
            <w:tcW w:w="3092" w:type="pct"/>
            <w:vAlign w:val="center"/>
          </w:tcPr>
          <w:p w14:paraId="05F1CAF6">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1.2.1.招标范围</w:t>
            </w:r>
          </w:p>
          <w:p w14:paraId="43E5F449">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★投标人必须对招标范围内的全部设备进行投标报价。投标人不得只对部分设备进行投标报价，否则按无效投标文件处理。</w:t>
            </w:r>
          </w:p>
        </w:tc>
        <w:tc>
          <w:tcPr>
            <w:tcW w:w="348" w:type="pct"/>
            <w:vAlign w:val="center"/>
          </w:tcPr>
          <w:p w14:paraId="0D40B122">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3D8F40A9">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445CE04D">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5B10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2A07038F">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w:t>
            </w:r>
          </w:p>
        </w:tc>
        <w:tc>
          <w:tcPr>
            <w:tcW w:w="459" w:type="pct"/>
            <w:vAlign w:val="center"/>
          </w:tcPr>
          <w:p w14:paraId="0A28A80D">
            <w:pPr>
              <w:keepNext w:val="0"/>
              <w:keepLines w:val="0"/>
              <w:suppressLineNumbers w:val="0"/>
              <w:spacing w:before="0" w:beforeAutospacing="0" w:after="0" w:afterAutospacing="0"/>
              <w:ind w:left="0" w:right="0"/>
              <w:jc w:val="center"/>
              <w:rPr>
                <w:rFonts w:hint="default" w:ascii="宋体" w:hAnsi="宋体" w:eastAsia="宋体" w:cs="Times New Roman"/>
                <w:bCs/>
                <w:color w:val="auto"/>
                <w:kern w:val="0"/>
                <w:sz w:val="18"/>
                <w:szCs w:val="18"/>
                <w:highlight w:val="none"/>
              </w:rPr>
            </w:pPr>
            <w:r>
              <w:rPr>
                <w:rFonts w:hint="default" w:ascii="宋体" w:hAnsi="宋体" w:eastAsia="宋体" w:cs="Times New Roman"/>
                <w:bCs/>
                <w:color w:val="auto"/>
                <w:kern w:val="0"/>
                <w:sz w:val="18"/>
                <w:szCs w:val="18"/>
                <w:highlight w:val="none"/>
              </w:rPr>
              <w:t>第一节</w:t>
            </w:r>
          </w:p>
        </w:tc>
        <w:tc>
          <w:tcPr>
            <w:tcW w:w="3092" w:type="pct"/>
            <w:vAlign w:val="center"/>
          </w:tcPr>
          <w:p w14:paraId="55D1DAF7">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1.3.4.包装、标志、运输和开箱验收</w:t>
            </w:r>
          </w:p>
          <w:p w14:paraId="4021FA05">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（2）交货地点</w:t>
            </w:r>
          </w:p>
          <w:p w14:paraId="67B4F1A7">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★本项目所有的设备交货地点为东莞市石鼓净水有限公司旗下37个污水处理厂及21个提标项目现场招标人指定地点。</w:t>
            </w:r>
          </w:p>
        </w:tc>
        <w:tc>
          <w:tcPr>
            <w:tcW w:w="348" w:type="pct"/>
            <w:vAlign w:val="center"/>
          </w:tcPr>
          <w:p w14:paraId="2401C4D2">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306B1ECF">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4DB9764A">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1865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1BE52110">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7</w:t>
            </w:r>
          </w:p>
        </w:tc>
        <w:tc>
          <w:tcPr>
            <w:tcW w:w="459" w:type="pct"/>
            <w:vAlign w:val="center"/>
          </w:tcPr>
          <w:p w14:paraId="26B36D6F">
            <w:pPr>
              <w:keepNext w:val="0"/>
              <w:keepLines w:val="0"/>
              <w:suppressLineNumbers w:val="0"/>
              <w:spacing w:before="0" w:beforeAutospacing="0" w:after="0" w:afterAutospacing="0"/>
              <w:ind w:left="0" w:right="0"/>
              <w:jc w:val="center"/>
              <w:rPr>
                <w:rFonts w:hint="default" w:ascii="宋体" w:hAnsi="宋体" w:eastAsia="宋体" w:cs="Times New Roman"/>
                <w:bCs/>
                <w:color w:val="auto"/>
                <w:kern w:val="0"/>
                <w:sz w:val="18"/>
                <w:szCs w:val="18"/>
                <w:highlight w:val="none"/>
              </w:rPr>
            </w:pPr>
            <w:r>
              <w:rPr>
                <w:rFonts w:hint="default" w:ascii="宋体" w:hAnsi="宋体" w:eastAsia="宋体" w:cs="Times New Roman"/>
                <w:bCs/>
                <w:color w:val="auto"/>
                <w:kern w:val="0"/>
                <w:sz w:val="18"/>
                <w:szCs w:val="18"/>
                <w:highlight w:val="none"/>
              </w:rPr>
              <w:t>第一节</w:t>
            </w:r>
          </w:p>
        </w:tc>
        <w:tc>
          <w:tcPr>
            <w:tcW w:w="3092" w:type="pct"/>
            <w:vAlign w:val="center"/>
          </w:tcPr>
          <w:p w14:paraId="5A9856B8">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1.3.4.包装、标志、运输和开箱验收</w:t>
            </w:r>
          </w:p>
          <w:p w14:paraId="66CE8ABB">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（3）运输</w:t>
            </w:r>
          </w:p>
          <w:p w14:paraId="27C06DE9">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按照招标人的要求，中标人应按时告知设备的运输情况。中标人应负责将合同所供设备运至招标人指定位置，包括到场设备搬卸和采取安全措施。设备相关运输、装卸、保险、关税（进口设备）等费用已包含在投标报价总价中。</w:t>
            </w:r>
          </w:p>
        </w:tc>
        <w:tc>
          <w:tcPr>
            <w:tcW w:w="348" w:type="pct"/>
            <w:vAlign w:val="center"/>
          </w:tcPr>
          <w:p w14:paraId="502A038A">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0F8B59FF">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4F92647E">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1E19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36004AE9">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w:t>
            </w:r>
          </w:p>
        </w:tc>
        <w:tc>
          <w:tcPr>
            <w:tcW w:w="459" w:type="pct"/>
            <w:vAlign w:val="center"/>
          </w:tcPr>
          <w:p w14:paraId="0D07F126">
            <w:pPr>
              <w:keepNext w:val="0"/>
              <w:keepLines w:val="0"/>
              <w:suppressLineNumbers w:val="0"/>
              <w:spacing w:before="0" w:beforeAutospacing="0" w:after="0" w:afterAutospacing="0"/>
              <w:ind w:left="0" w:right="0"/>
              <w:jc w:val="center"/>
              <w:rPr>
                <w:rFonts w:hint="default" w:ascii="宋体" w:hAnsi="宋体" w:eastAsia="宋体" w:cs="Times New Roman"/>
                <w:bCs/>
                <w:color w:val="auto"/>
                <w:kern w:val="0"/>
                <w:sz w:val="18"/>
                <w:szCs w:val="18"/>
                <w:highlight w:val="none"/>
              </w:rPr>
            </w:pPr>
            <w:r>
              <w:rPr>
                <w:rFonts w:hint="default" w:ascii="宋体" w:hAnsi="宋体" w:eastAsia="宋体" w:cs="Times New Roman"/>
                <w:bCs/>
                <w:color w:val="auto"/>
                <w:kern w:val="0"/>
                <w:sz w:val="18"/>
                <w:szCs w:val="18"/>
                <w:highlight w:val="none"/>
              </w:rPr>
              <w:t>第一节</w:t>
            </w:r>
          </w:p>
        </w:tc>
        <w:tc>
          <w:tcPr>
            <w:tcW w:w="3092" w:type="pct"/>
            <w:vAlign w:val="center"/>
          </w:tcPr>
          <w:p w14:paraId="29B55052">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1.3.5.设备安装及调试</w:t>
            </w:r>
          </w:p>
          <w:p w14:paraId="2D217595">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中标人应派专业技术人员到现场，进行设备、电气等的安装，在招标人的组织安排下，负责完成单机机械试车、指导及配合联合试运转、性能考核的技术工作。另外，设备控制系统（含仪表）由中标人自行调试。</w:t>
            </w:r>
          </w:p>
          <w:p w14:paraId="4A6BD11E">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★上述的技术服务费已包含在投标报价中。</w:t>
            </w:r>
          </w:p>
        </w:tc>
        <w:tc>
          <w:tcPr>
            <w:tcW w:w="348" w:type="pct"/>
            <w:vAlign w:val="center"/>
          </w:tcPr>
          <w:p w14:paraId="06B143D8">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08475A8B">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744BF9F0">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3FA9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45071409">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9</w:t>
            </w:r>
          </w:p>
        </w:tc>
        <w:tc>
          <w:tcPr>
            <w:tcW w:w="459" w:type="pct"/>
            <w:vAlign w:val="center"/>
          </w:tcPr>
          <w:p w14:paraId="42F1C427">
            <w:pPr>
              <w:keepNext w:val="0"/>
              <w:keepLines w:val="0"/>
              <w:suppressLineNumbers w:val="0"/>
              <w:spacing w:before="0" w:beforeAutospacing="0" w:after="0" w:afterAutospacing="0"/>
              <w:ind w:left="0" w:right="0"/>
              <w:jc w:val="center"/>
              <w:rPr>
                <w:rFonts w:hint="default" w:ascii="宋体" w:hAnsi="宋体" w:eastAsia="宋体" w:cs="Times New Roman"/>
                <w:bCs/>
                <w:color w:val="auto"/>
                <w:kern w:val="0"/>
                <w:sz w:val="18"/>
                <w:szCs w:val="18"/>
                <w:highlight w:val="none"/>
              </w:rPr>
            </w:pPr>
            <w:r>
              <w:rPr>
                <w:rFonts w:hint="default" w:ascii="宋体" w:hAnsi="宋体" w:eastAsia="宋体" w:cs="Times New Roman"/>
                <w:bCs/>
                <w:color w:val="auto"/>
                <w:kern w:val="0"/>
                <w:sz w:val="18"/>
                <w:szCs w:val="18"/>
                <w:highlight w:val="none"/>
              </w:rPr>
              <w:t>第一节</w:t>
            </w:r>
          </w:p>
        </w:tc>
        <w:tc>
          <w:tcPr>
            <w:tcW w:w="3092" w:type="pct"/>
            <w:vAlign w:val="center"/>
          </w:tcPr>
          <w:p w14:paraId="3518DF02">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1.3.7.质保期工作</w:t>
            </w:r>
          </w:p>
          <w:p w14:paraId="50FBED2D">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1）设备、软件、系统质保期为至少24个月，质保期自项目所有设备、软件、系统最终验收合格之日起算（以整体验收报告日期为准）。质保期内，中标人对所投设备供货、安装质量进行免费硬件售后和系统运维服务，免费硬件售后和系统运维服务包括但不限于由中标人承担完成质保期的工作而产生的运费、购置费、测试费、人工费、维护费等各项费用。</w:t>
            </w:r>
          </w:p>
        </w:tc>
        <w:tc>
          <w:tcPr>
            <w:tcW w:w="348" w:type="pct"/>
            <w:vAlign w:val="center"/>
          </w:tcPr>
          <w:p w14:paraId="35C8EA51">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131EB9D7">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1D32F316">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0641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357A97C3">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10</w:t>
            </w:r>
          </w:p>
        </w:tc>
        <w:tc>
          <w:tcPr>
            <w:tcW w:w="459" w:type="pct"/>
            <w:vAlign w:val="center"/>
          </w:tcPr>
          <w:p w14:paraId="6566B9CF">
            <w:pPr>
              <w:keepNext w:val="0"/>
              <w:keepLines w:val="0"/>
              <w:suppressLineNumbers w:val="0"/>
              <w:spacing w:before="0" w:beforeAutospacing="0" w:after="0" w:afterAutospacing="0"/>
              <w:ind w:left="0" w:right="0"/>
              <w:jc w:val="center"/>
              <w:rPr>
                <w:rFonts w:hint="default" w:ascii="宋体" w:hAnsi="宋体" w:eastAsia="宋体" w:cs="Times New Roman"/>
                <w:bCs/>
                <w:color w:val="auto"/>
                <w:kern w:val="0"/>
                <w:sz w:val="18"/>
                <w:szCs w:val="18"/>
                <w:highlight w:val="none"/>
              </w:rPr>
            </w:pPr>
            <w:r>
              <w:rPr>
                <w:rFonts w:hint="eastAsia" w:ascii="宋体" w:hAnsi="宋体" w:eastAsia="宋体" w:cs="Times New Roman"/>
                <w:bCs/>
                <w:color w:val="auto"/>
                <w:kern w:val="0"/>
                <w:sz w:val="18"/>
                <w:szCs w:val="18"/>
                <w:highlight w:val="none"/>
              </w:rPr>
              <w:t>第一节</w:t>
            </w:r>
          </w:p>
        </w:tc>
        <w:tc>
          <w:tcPr>
            <w:tcW w:w="3092" w:type="pct"/>
            <w:vAlign w:val="center"/>
          </w:tcPr>
          <w:p w14:paraId="49145CF3">
            <w:pPr>
              <w:keepNext w:val="0"/>
              <w:keepLines w:val="0"/>
              <w:suppressLineNumbers w:val="0"/>
              <w:spacing w:before="0" w:beforeAutospacing="0" w:after="0" w:afterAutospacing="0"/>
              <w:ind w:left="0" w:right="0"/>
              <w:rPr>
                <w:rFonts w:hint="eastAsia" w:ascii="宋体" w:hAnsi="宋体" w:eastAsia="宋体"/>
                <w:color w:val="auto"/>
                <w:sz w:val="18"/>
                <w:szCs w:val="18"/>
                <w:highlight w:val="none"/>
              </w:rPr>
            </w:pPr>
            <w:r>
              <w:rPr>
                <w:rFonts w:hint="eastAsia" w:ascii="宋体" w:hAnsi="宋体" w:eastAsia="宋体"/>
                <w:color w:val="auto"/>
                <w:sz w:val="18"/>
                <w:szCs w:val="18"/>
                <w:highlight w:val="none"/>
              </w:rPr>
              <w:t>1.11项目参与人员要求</w:t>
            </w:r>
          </w:p>
          <w:p w14:paraId="2F4C3B22">
            <w:pPr>
              <w:keepNext w:val="0"/>
              <w:keepLines w:val="0"/>
              <w:suppressLineNumbers w:val="0"/>
              <w:spacing w:before="0" w:beforeAutospacing="0" w:after="0" w:afterAutospacing="0"/>
              <w:ind w:left="0" w:right="0"/>
              <w:rPr>
                <w:rFonts w:hint="eastAsia" w:ascii="宋体" w:hAnsi="宋体" w:eastAsia="宋体"/>
                <w:color w:val="auto"/>
                <w:sz w:val="18"/>
                <w:szCs w:val="18"/>
                <w:highlight w:val="none"/>
              </w:rPr>
            </w:pPr>
            <w:r>
              <w:rPr>
                <w:rFonts w:hint="eastAsia" w:ascii="宋体" w:hAnsi="宋体" w:eastAsia="宋体"/>
                <w:color w:val="auto"/>
                <w:sz w:val="18"/>
                <w:szCs w:val="18"/>
                <w:highlight w:val="none"/>
              </w:rPr>
              <w:t>1.为了确保项目的顺利实施，中标人需组建一个专业、高效的项目团队。本项目将要求配置以下人员（以下相关人员不可兼任）：</w:t>
            </w:r>
          </w:p>
          <w:p w14:paraId="558B7AFB">
            <w:pPr>
              <w:keepNext w:val="0"/>
              <w:keepLines w:val="0"/>
              <w:suppressLineNumbers w:val="0"/>
              <w:spacing w:before="0" w:beforeAutospacing="0" w:after="0" w:afterAutospacing="0"/>
              <w:ind w:left="0" w:right="0"/>
              <w:rPr>
                <w:rFonts w:hint="eastAsia" w:ascii="宋体" w:hAnsi="宋体" w:eastAsia="宋体"/>
                <w:color w:val="auto"/>
                <w:sz w:val="18"/>
                <w:szCs w:val="18"/>
                <w:highlight w:val="none"/>
              </w:rPr>
            </w:pPr>
            <w:r>
              <w:rPr>
                <w:rFonts w:hint="eastAsia" w:ascii="宋体" w:hAnsi="宋体" w:eastAsia="宋体"/>
                <w:color w:val="auto"/>
                <w:sz w:val="18"/>
                <w:szCs w:val="18"/>
                <w:highlight w:val="none"/>
              </w:rPr>
              <w:t>项目经理1人：负责整个项目的策划、组织协调和管理。</w:t>
            </w:r>
          </w:p>
          <w:p w14:paraId="15A7465F">
            <w:pPr>
              <w:keepNext w:val="0"/>
              <w:keepLines w:val="0"/>
              <w:suppressLineNumbers w:val="0"/>
              <w:spacing w:before="0" w:beforeAutospacing="0" w:after="0" w:afterAutospacing="0"/>
              <w:ind w:left="0" w:right="0"/>
              <w:rPr>
                <w:rFonts w:hint="eastAsia" w:ascii="宋体" w:hAnsi="宋体" w:eastAsia="宋体"/>
                <w:color w:val="auto"/>
                <w:sz w:val="18"/>
                <w:szCs w:val="18"/>
                <w:highlight w:val="none"/>
              </w:rPr>
            </w:pPr>
            <w:r>
              <w:rPr>
                <w:rFonts w:hint="eastAsia" w:ascii="宋体" w:hAnsi="宋体" w:eastAsia="宋体"/>
                <w:color w:val="auto"/>
                <w:sz w:val="18"/>
                <w:szCs w:val="18"/>
                <w:highlight w:val="none"/>
              </w:rPr>
              <w:t>技术负责人1人：负责技术方案的制定、实施和监督。</w:t>
            </w:r>
          </w:p>
          <w:p w14:paraId="5B95EC6F">
            <w:pPr>
              <w:keepNext w:val="0"/>
              <w:keepLines w:val="0"/>
              <w:suppressLineNumbers w:val="0"/>
              <w:spacing w:before="0" w:beforeAutospacing="0" w:after="0" w:afterAutospacing="0"/>
              <w:ind w:left="0" w:right="0"/>
              <w:rPr>
                <w:rFonts w:hint="eastAsia" w:ascii="宋体" w:hAnsi="宋体" w:eastAsia="宋体"/>
                <w:color w:val="auto"/>
                <w:sz w:val="18"/>
                <w:szCs w:val="18"/>
                <w:highlight w:val="none"/>
              </w:rPr>
            </w:pPr>
            <w:r>
              <w:rPr>
                <w:rFonts w:hint="eastAsia" w:ascii="宋体" w:hAnsi="宋体" w:eastAsia="宋体"/>
                <w:color w:val="auto"/>
                <w:sz w:val="18"/>
                <w:szCs w:val="18"/>
                <w:highlight w:val="none"/>
              </w:rPr>
              <w:t>自动化工程师至少4人：负责自动化系统的设计开发和调试。</w:t>
            </w:r>
          </w:p>
          <w:p w14:paraId="0D8AF09D">
            <w:pPr>
              <w:keepNext w:val="0"/>
              <w:keepLines w:val="0"/>
              <w:suppressLineNumbers w:val="0"/>
              <w:spacing w:before="0" w:beforeAutospacing="0" w:after="0" w:afterAutospacing="0"/>
              <w:ind w:left="0" w:right="0"/>
              <w:rPr>
                <w:rFonts w:hint="eastAsia" w:ascii="宋体" w:hAnsi="宋体" w:eastAsia="宋体"/>
                <w:color w:val="auto"/>
                <w:sz w:val="18"/>
                <w:szCs w:val="18"/>
                <w:highlight w:val="none"/>
              </w:rPr>
            </w:pPr>
            <w:r>
              <w:rPr>
                <w:rFonts w:hint="eastAsia" w:ascii="宋体" w:hAnsi="宋体" w:eastAsia="宋体"/>
                <w:color w:val="auto"/>
                <w:sz w:val="18"/>
                <w:szCs w:val="18"/>
                <w:highlight w:val="none"/>
              </w:rPr>
              <w:t>电气工程师至少1人：负责电气系统的设计、安装和调试。</w:t>
            </w:r>
          </w:p>
          <w:p w14:paraId="02720F27">
            <w:pPr>
              <w:keepNext w:val="0"/>
              <w:keepLines w:val="0"/>
              <w:suppressLineNumbers w:val="0"/>
              <w:spacing w:before="0" w:beforeAutospacing="0" w:after="0" w:afterAutospacing="0"/>
              <w:ind w:left="0" w:right="0"/>
              <w:rPr>
                <w:rFonts w:hint="eastAsia" w:ascii="宋体" w:hAnsi="宋体" w:eastAsia="宋体"/>
                <w:color w:val="auto"/>
                <w:sz w:val="18"/>
                <w:szCs w:val="18"/>
                <w:highlight w:val="none"/>
              </w:rPr>
            </w:pPr>
            <w:r>
              <w:rPr>
                <w:rFonts w:hint="eastAsia" w:ascii="宋体" w:hAnsi="宋体" w:eastAsia="宋体"/>
                <w:color w:val="auto"/>
                <w:sz w:val="18"/>
                <w:szCs w:val="18"/>
                <w:highlight w:val="none"/>
              </w:rPr>
              <w:t>★上述人员中不少于</w:t>
            </w:r>
            <w:r>
              <w:rPr>
                <w:rFonts w:hint="default" w:ascii="宋体" w:hAnsi="宋体" w:eastAsia="宋体"/>
                <w:color w:val="auto"/>
                <w:sz w:val="18"/>
                <w:szCs w:val="18"/>
                <w:highlight w:val="none"/>
                <w:lang w:val="en-US"/>
              </w:rPr>
              <w:t>1人具有中级或以上工程师职称证书（自动化、机电、电气专业）及不少于1人具有计算机技术与软件专业技术资格（水平）考试中级或以上资格证书</w:t>
            </w:r>
            <w:r>
              <w:rPr>
                <w:rFonts w:hint="eastAsia" w:ascii="宋体" w:hAnsi="宋体" w:eastAsia="宋体"/>
                <w:color w:val="auto"/>
                <w:sz w:val="18"/>
                <w:szCs w:val="18"/>
                <w:highlight w:val="none"/>
              </w:rPr>
              <w:t>，提供上述人员身份证原件扫描件、相关有效证书原件扫描件及人力资源和社会保障部门（或税务部门）出具的2024年</w:t>
            </w:r>
            <w:r>
              <w:rPr>
                <w:rFonts w:hint="eastAsia" w:ascii="宋体" w:hAnsi="宋体" w:eastAsia="宋体"/>
                <w:color w:val="auto"/>
                <w:sz w:val="18"/>
                <w:szCs w:val="18"/>
                <w:highlight w:val="none"/>
                <w:lang w:val="en-US" w:eastAsia="zh-CN"/>
              </w:rPr>
              <w:t>11</w:t>
            </w:r>
            <w:r>
              <w:rPr>
                <w:rFonts w:hint="eastAsia" w:ascii="宋体" w:hAnsi="宋体" w:eastAsia="宋体"/>
                <w:color w:val="auto"/>
                <w:sz w:val="18"/>
                <w:szCs w:val="18"/>
                <w:highlight w:val="none"/>
              </w:rPr>
              <w:t>月至2025年</w:t>
            </w:r>
            <w:r>
              <w:rPr>
                <w:rFonts w:hint="eastAsia" w:ascii="宋体" w:hAnsi="宋体" w:eastAsia="宋体"/>
                <w:color w:val="auto"/>
                <w:sz w:val="18"/>
                <w:szCs w:val="18"/>
                <w:highlight w:val="none"/>
                <w:lang w:val="en-US" w:eastAsia="zh-CN"/>
              </w:rPr>
              <w:t>4</w:t>
            </w:r>
            <w:r>
              <w:rPr>
                <w:rFonts w:hint="eastAsia" w:ascii="宋体" w:hAnsi="宋体" w:eastAsia="宋体"/>
                <w:color w:val="auto"/>
                <w:sz w:val="18"/>
                <w:szCs w:val="18"/>
                <w:highlight w:val="none"/>
              </w:rPr>
              <w:t>月连续六个月投标人为上述人员缴纳的社保证明材料。</w:t>
            </w:r>
          </w:p>
        </w:tc>
        <w:tc>
          <w:tcPr>
            <w:tcW w:w="348" w:type="pct"/>
            <w:vAlign w:val="center"/>
          </w:tcPr>
          <w:p w14:paraId="77AA7B30">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10B20F82">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46A64DD4">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7F959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44D5CB7C">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lang w:val="en-US" w:eastAsia="zh-CN"/>
              </w:rPr>
            </w:pPr>
            <w:r>
              <w:rPr>
                <w:rFonts w:hint="default" w:ascii="宋体" w:hAnsi="宋体" w:eastAsia="宋体" w:cs="宋体"/>
                <w:color w:val="auto"/>
                <w:kern w:val="0"/>
                <w:sz w:val="18"/>
                <w:szCs w:val="18"/>
                <w:highlight w:val="none"/>
                <w:lang w:val="en-US"/>
              </w:rPr>
              <w:t>1</w:t>
            </w:r>
            <w:r>
              <w:rPr>
                <w:rFonts w:hint="default" w:ascii="宋体" w:hAnsi="宋体" w:eastAsia="宋体" w:cs="宋体"/>
                <w:color w:val="auto"/>
                <w:kern w:val="0"/>
                <w:sz w:val="18"/>
                <w:szCs w:val="18"/>
                <w:highlight w:val="none"/>
                <w:lang w:val="en-US" w:eastAsia="zh-CN"/>
              </w:rPr>
              <w:t>1</w:t>
            </w:r>
          </w:p>
        </w:tc>
        <w:tc>
          <w:tcPr>
            <w:tcW w:w="459" w:type="pct"/>
            <w:vAlign w:val="center"/>
          </w:tcPr>
          <w:p w14:paraId="5705F572">
            <w:pPr>
              <w:keepNext w:val="0"/>
              <w:keepLines w:val="0"/>
              <w:suppressLineNumbers w:val="0"/>
              <w:spacing w:before="0" w:beforeAutospacing="0" w:after="0" w:afterAutospacing="0"/>
              <w:ind w:left="0" w:right="0"/>
              <w:jc w:val="center"/>
              <w:rPr>
                <w:rFonts w:hint="default" w:ascii="宋体" w:hAnsi="宋体" w:eastAsia="宋体" w:cs="Times New Roman"/>
                <w:bCs/>
                <w:color w:val="auto"/>
                <w:kern w:val="0"/>
                <w:sz w:val="18"/>
                <w:szCs w:val="18"/>
                <w:highlight w:val="none"/>
              </w:rPr>
            </w:pPr>
            <w:r>
              <w:rPr>
                <w:rFonts w:hint="eastAsia" w:ascii="宋体" w:hAnsi="宋体" w:eastAsia="宋体" w:cs="Times New Roman"/>
                <w:bCs/>
                <w:color w:val="auto"/>
                <w:kern w:val="0"/>
                <w:sz w:val="18"/>
                <w:szCs w:val="18"/>
                <w:highlight w:val="none"/>
              </w:rPr>
              <w:t>第二节</w:t>
            </w:r>
          </w:p>
        </w:tc>
        <w:tc>
          <w:tcPr>
            <w:tcW w:w="3092" w:type="pct"/>
            <w:vAlign w:val="center"/>
          </w:tcPr>
          <w:p w14:paraId="65AB6492">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2.4技术要求</w:t>
            </w:r>
          </w:p>
          <w:p w14:paraId="4527036D">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2.4.1系统配置要求</w:t>
            </w:r>
          </w:p>
          <w:p w14:paraId="59A09E3F">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2.4.1.1监控工作站</w:t>
            </w:r>
          </w:p>
          <w:p w14:paraId="1448DCB4">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★11）搭配2块27寸或更大尺寸显示器，支持双桌面配置，支持4K分辨率，刷新率≥60Hz，窄边框，两块屏幕型号必须相同；</w:t>
            </w:r>
          </w:p>
        </w:tc>
        <w:tc>
          <w:tcPr>
            <w:tcW w:w="348" w:type="pct"/>
            <w:vAlign w:val="center"/>
          </w:tcPr>
          <w:p w14:paraId="28D8FA75">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14320B82">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66351A9B">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6C0B8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1A461D27">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lang w:val="en-US" w:eastAsia="zh-CN"/>
              </w:rPr>
            </w:pPr>
            <w:r>
              <w:rPr>
                <w:rFonts w:hint="default" w:ascii="宋体" w:hAnsi="宋体" w:eastAsia="宋体" w:cs="宋体"/>
                <w:color w:val="auto"/>
                <w:kern w:val="0"/>
                <w:sz w:val="18"/>
                <w:szCs w:val="18"/>
                <w:highlight w:val="none"/>
                <w:lang w:val="en-US"/>
              </w:rPr>
              <w:t>1</w:t>
            </w:r>
            <w:r>
              <w:rPr>
                <w:rFonts w:hint="default" w:ascii="宋体" w:hAnsi="宋体" w:eastAsia="宋体" w:cs="宋体"/>
                <w:color w:val="auto"/>
                <w:kern w:val="0"/>
                <w:sz w:val="18"/>
                <w:szCs w:val="18"/>
                <w:highlight w:val="none"/>
                <w:lang w:val="en-US" w:eastAsia="zh-CN"/>
              </w:rPr>
              <w:t>2</w:t>
            </w:r>
          </w:p>
        </w:tc>
        <w:tc>
          <w:tcPr>
            <w:tcW w:w="459" w:type="pct"/>
            <w:vAlign w:val="center"/>
          </w:tcPr>
          <w:p w14:paraId="30656ECE">
            <w:pPr>
              <w:keepNext w:val="0"/>
              <w:keepLines w:val="0"/>
              <w:suppressLineNumbers w:val="0"/>
              <w:spacing w:before="0" w:beforeAutospacing="0" w:after="0" w:afterAutospacing="0"/>
              <w:ind w:left="0" w:right="0"/>
              <w:jc w:val="center"/>
              <w:rPr>
                <w:rFonts w:hint="default" w:ascii="宋体" w:hAnsi="宋体" w:eastAsia="宋体" w:cs="Times New Roman"/>
                <w:bCs/>
                <w:color w:val="auto"/>
                <w:kern w:val="0"/>
                <w:sz w:val="18"/>
                <w:szCs w:val="18"/>
                <w:highlight w:val="none"/>
              </w:rPr>
            </w:pPr>
            <w:r>
              <w:rPr>
                <w:rFonts w:hint="default" w:ascii="宋体" w:hAnsi="宋体" w:eastAsia="宋体" w:cs="Times New Roman"/>
                <w:bCs/>
                <w:color w:val="auto"/>
                <w:kern w:val="0"/>
                <w:sz w:val="18"/>
                <w:szCs w:val="18"/>
                <w:highlight w:val="none"/>
              </w:rPr>
              <w:t>第二节</w:t>
            </w:r>
          </w:p>
        </w:tc>
        <w:tc>
          <w:tcPr>
            <w:tcW w:w="3092" w:type="pct"/>
            <w:vAlign w:val="center"/>
          </w:tcPr>
          <w:p w14:paraId="1E0D530F">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2.4.1.2 SCADA服务器</w:t>
            </w:r>
          </w:p>
          <w:p w14:paraId="3DC878DA">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★必须与数据服务器、磁盘阵列为同一品牌产品；</w:t>
            </w:r>
          </w:p>
        </w:tc>
        <w:tc>
          <w:tcPr>
            <w:tcW w:w="348" w:type="pct"/>
            <w:vAlign w:val="center"/>
          </w:tcPr>
          <w:p w14:paraId="38D553B5">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78D74005">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2D806ED4">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1DD2A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318A91AA">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lang w:val="en-US" w:eastAsia="zh-CN"/>
              </w:rPr>
            </w:pPr>
            <w:r>
              <w:rPr>
                <w:rFonts w:hint="default" w:ascii="宋体" w:hAnsi="宋体" w:eastAsia="宋体" w:cs="宋体"/>
                <w:color w:val="auto"/>
                <w:kern w:val="0"/>
                <w:sz w:val="18"/>
                <w:szCs w:val="18"/>
                <w:highlight w:val="none"/>
                <w:lang w:val="en-US"/>
              </w:rPr>
              <w:t>1</w:t>
            </w:r>
            <w:r>
              <w:rPr>
                <w:rFonts w:hint="default" w:ascii="宋体" w:hAnsi="宋体" w:eastAsia="宋体" w:cs="宋体"/>
                <w:color w:val="auto"/>
                <w:kern w:val="0"/>
                <w:sz w:val="18"/>
                <w:szCs w:val="18"/>
                <w:highlight w:val="none"/>
                <w:lang w:val="en-US" w:eastAsia="zh-CN"/>
              </w:rPr>
              <w:t>3</w:t>
            </w:r>
          </w:p>
        </w:tc>
        <w:tc>
          <w:tcPr>
            <w:tcW w:w="459" w:type="pct"/>
            <w:vAlign w:val="center"/>
          </w:tcPr>
          <w:p w14:paraId="1F387D37">
            <w:pPr>
              <w:keepNext w:val="0"/>
              <w:keepLines w:val="0"/>
              <w:suppressLineNumbers w:val="0"/>
              <w:spacing w:before="0" w:beforeAutospacing="0" w:after="0" w:afterAutospacing="0"/>
              <w:ind w:left="0" w:right="0"/>
              <w:jc w:val="center"/>
              <w:rPr>
                <w:rFonts w:hint="default" w:ascii="宋体" w:hAnsi="宋体" w:eastAsia="宋体" w:cs="Times New Roman"/>
                <w:bCs/>
                <w:color w:val="auto"/>
                <w:kern w:val="0"/>
                <w:sz w:val="18"/>
                <w:szCs w:val="18"/>
                <w:highlight w:val="none"/>
              </w:rPr>
            </w:pPr>
            <w:r>
              <w:rPr>
                <w:rFonts w:hint="default" w:ascii="宋体" w:hAnsi="宋体" w:eastAsia="宋体" w:cs="Times New Roman"/>
                <w:bCs/>
                <w:color w:val="auto"/>
                <w:kern w:val="0"/>
                <w:sz w:val="18"/>
                <w:szCs w:val="18"/>
                <w:highlight w:val="none"/>
              </w:rPr>
              <w:t>第二节</w:t>
            </w:r>
          </w:p>
        </w:tc>
        <w:tc>
          <w:tcPr>
            <w:tcW w:w="3092" w:type="pct"/>
            <w:vAlign w:val="center"/>
          </w:tcPr>
          <w:p w14:paraId="1C4E9AA6">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2.4.1.3 数据服务器</w:t>
            </w:r>
          </w:p>
          <w:p w14:paraId="14A4B871">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★必须与SCADA服务器、磁盘阵列为同一品牌产品；</w:t>
            </w:r>
          </w:p>
        </w:tc>
        <w:tc>
          <w:tcPr>
            <w:tcW w:w="348" w:type="pct"/>
            <w:vAlign w:val="center"/>
          </w:tcPr>
          <w:p w14:paraId="4B4D3076">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011B69BB">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2C883245">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3E6F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0E9C9A5F">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lang w:val="en-US" w:eastAsia="zh-CN"/>
              </w:rPr>
            </w:pPr>
            <w:r>
              <w:rPr>
                <w:rFonts w:hint="default" w:ascii="宋体" w:hAnsi="宋体" w:eastAsia="宋体" w:cs="宋体"/>
                <w:color w:val="auto"/>
                <w:kern w:val="0"/>
                <w:sz w:val="18"/>
                <w:szCs w:val="18"/>
                <w:highlight w:val="none"/>
                <w:lang w:val="en-US"/>
              </w:rPr>
              <w:t>1</w:t>
            </w:r>
            <w:r>
              <w:rPr>
                <w:rFonts w:hint="default" w:ascii="宋体" w:hAnsi="宋体" w:eastAsia="宋体" w:cs="宋体"/>
                <w:color w:val="auto"/>
                <w:kern w:val="0"/>
                <w:sz w:val="18"/>
                <w:szCs w:val="18"/>
                <w:highlight w:val="none"/>
                <w:lang w:val="en-US" w:eastAsia="zh-CN"/>
              </w:rPr>
              <w:t>4</w:t>
            </w:r>
          </w:p>
        </w:tc>
        <w:tc>
          <w:tcPr>
            <w:tcW w:w="459" w:type="pct"/>
            <w:vAlign w:val="center"/>
          </w:tcPr>
          <w:p w14:paraId="711ED35B">
            <w:pPr>
              <w:keepNext w:val="0"/>
              <w:keepLines w:val="0"/>
              <w:suppressLineNumbers w:val="0"/>
              <w:spacing w:before="0" w:beforeAutospacing="0" w:after="0" w:afterAutospacing="0"/>
              <w:ind w:left="0" w:right="0"/>
              <w:jc w:val="center"/>
              <w:rPr>
                <w:rFonts w:hint="default" w:ascii="宋体" w:hAnsi="宋体" w:eastAsia="宋体" w:cs="Times New Roman"/>
                <w:bCs/>
                <w:color w:val="auto"/>
                <w:kern w:val="0"/>
                <w:sz w:val="18"/>
                <w:szCs w:val="18"/>
                <w:highlight w:val="none"/>
              </w:rPr>
            </w:pPr>
            <w:r>
              <w:rPr>
                <w:rFonts w:hint="default" w:ascii="宋体" w:hAnsi="宋体" w:eastAsia="宋体" w:cs="Times New Roman"/>
                <w:bCs/>
                <w:color w:val="auto"/>
                <w:kern w:val="0"/>
                <w:sz w:val="18"/>
                <w:szCs w:val="18"/>
                <w:highlight w:val="none"/>
              </w:rPr>
              <w:t>第二节</w:t>
            </w:r>
          </w:p>
        </w:tc>
        <w:tc>
          <w:tcPr>
            <w:tcW w:w="3092" w:type="pct"/>
            <w:vAlign w:val="center"/>
          </w:tcPr>
          <w:p w14:paraId="0BD51026">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2.4.1.4 磁盘阵列</w:t>
            </w:r>
          </w:p>
          <w:p w14:paraId="2551BAC5">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★必须与SCADA服务器、数据服务器为同一品牌产品；</w:t>
            </w:r>
          </w:p>
        </w:tc>
        <w:tc>
          <w:tcPr>
            <w:tcW w:w="348" w:type="pct"/>
            <w:vAlign w:val="center"/>
          </w:tcPr>
          <w:p w14:paraId="6C71A7BD">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6BA052AD">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6000DDFC">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2530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28790437">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lang w:val="en-US" w:eastAsia="zh-CN"/>
              </w:rPr>
            </w:pPr>
            <w:r>
              <w:rPr>
                <w:rFonts w:hint="default" w:ascii="宋体" w:hAnsi="宋体" w:eastAsia="宋体" w:cs="宋体"/>
                <w:color w:val="auto"/>
                <w:kern w:val="0"/>
                <w:sz w:val="18"/>
                <w:szCs w:val="18"/>
                <w:highlight w:val="none"/>
                <w:lang w:val="en-US"/>
              </w:rPr>
              <w:t>1</w:t>
            </w:r>
            <w:r>
              <w:rPr>
                <w:rFonts w:hint="default" w:ascii="宋体" w:hAnsi="宋体" w:eastAsia="宋体" w:cs="宋体"/>
                <w:color w:val="auto"/>
                <w:kern w:val="0"/>
                <w:sz w:val="18"/>
                <w:szCs w:val="18"/>
                <w:highlight w:val="none"/>
                <w:lang w:val="en-US" w:eastAsia="zh-CN"/>
              </w:rPr>
              <w:t>5</w:t>
            </w:r>
          </w:p>
        </w:tc>
        <w:tc>
          <w:tcPr>
            <w:tcW w:w="459" w:type="pct"/>
            <w:vAlign w:val="center"/>
          </w:tcPr>
          <w:p w14:paraId="6D78028E">
            <w:pPr>
              <w:keepNext w:val="0"/>
              <w:keepLines w:val="0"/>
              <w:suppressLineNumbers w:val="0"/>
              <w:spacing w:before="0" w:beforeAutospacing="0" w:after="0" w:afterAutospacing="0"/>
              <w:ind w:left="0" w:right="0"/>
              <w:jc w:val="center"/>
              <w:rPr>
                <w:rFonts w:hint="default" w:ascii="宋体" w:hAnsi="宋体" w:eastAsia="宋体" w:cs="Times New Roman"/>
                <w:bCs/>
                <w:color w:val="auto"/>
                <w:kern w:val="0"/>
                <w:sz w:val="18"/>
                <w:szCs w:val="18"/>
                <w:highlight w:val="none"/>
              </w:rPr>
            </w:pPr>
            <w:r>
              <w:rPr>
                <w:rFonts w:hint="default" w:ascii="宋体" w:hAnsi="宋体" w:eastAsia="宋体" w:cs="Times New Roman"/>
                <w:bCs/>
                <w:color w:val="auto"/>
                <w:kern w:val="0"/>
                <w:sz w:val="18"/>
                <w:szCs w:val="18"/>
                <w:highlight w:val="none"/>
              </w:rPr>
              <w:t>第二节</w:t>
            </w:r>
          </w:p>
        </w:tc>
        <w:tc>
          <w:tcPr>
            <w:tcW w:w="3092" w:type="pct"/>
            <w:vAlign w:val="center"/>
          </w:tcPr>
          <w:p w14:paraId="3F7CFB45">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2.4.1.5 服务器交换机</w:t>
            </w:r>
          </w:p>
          <w:p w14:paraId="705248CA">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★必须与中心交换机为同一品牌产品；</w:t>
            </w:r>
          </w:p>
        </w:tc>
        <w:tc>
          <w:tcPr>
            <w:tcW w:w="348" w:type="pct"/>
            <w:vAlign w:val="center"/>
          </w:tcPr>
          <w:p w14:paraId="01408E7E">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7DD68488">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6369C89A">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7375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312036C7">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lang w:val="en-US" w:eastAsia="zh-CN"/>
              </w:rPr>
            </w:pPr>
            <w:r>
              <w:rPr>
                <w:rFonts w:hint="default" w:ascii="宋体" w:hAnsi="宋体" w:eastAsia="宋体" w:cs="宋体"/>
                <w:color w:val="auto"/>
                <w:kern w:val="0"/>
                <w:sz w:val="18"/>
                <w:szCs w:val="18"/>
                <w:highlight w:val="none"/>
                <w:lang w:val="en-US"/>
              </w:rPr>
              <w:t>1</w:t>
            </w:r>
            <w:r>
              <w:rPr>
                <w:rFonts w:hint="default" w:ascii="宋体" w:hAnsi="宋体" w:eastAsia="宋体" w:cs="宋体"/>
                <w:color w:val="auto"/>
                <w:kern w:val="0"/>
                <w:sz w:val="18"/>
                <w:szCs w:val="18"/>
                <w:highlight w:val="none"/>
                <w:lang w:val="en-US" w:eastAsia="zh-CN"/>
              </w:rPr>
              <w:t>6</w:t>
            </w:r>
          </w:p>
        </w:tc>
        <w:tc>
          <w:tcPr>
            <w:tcW w:w="459" w:type="pct"/>
            <w:vAlign w:val="center"/>
          </w:tcPr>
          <w:p w14:paraId="32F339E7">
            <w:pPr>
              <w:keepNext w:val="0"/>
              <w:keepLines w:val="0"/>
              <w:suppressLineNumbers w:val="0"/>
              <w:spacing w:before="0" w:beforeAutospacing="0" w:after="0" w:afterAutospacing="0"/>
              <w:ind w:left="0" w:right="0"/>
              <w:jc w:val="center"/>
              <w:rPr>
                <w:rFonts w:hint="default" w:ascii="宋体" w:hAnsi="宋体" w:eastAsia="宋体" w:cs="Times New Roman"/>
                <w:bCs/>
                <w:color w:val="auto"/>
                <w:kern w:val="0"/>
                <w:sz w:val="18"/>
                <w:szCs w:val="18"/>
                <w:highlight w:val="none"/>
              </w:rPr>
            </w:pPr>
            <w:r>
              <w:rPr>
                <w:rFonts w:hint="default" w:ascii="宋体" w:hAnsi="宋体" w:eastAsia="宋体" w:cs="Times New Roman"/>
                <w:bCs/>
                <w:color w:val="auto"/>
                <w:kern w:val="0"/>
                <w:sz w:val="18"/>
                <w:szCs w:val="18"/>
                <w:highlight w:val="none"/>
              </w:rPr>
              <w:t>第二节</w:t>
            </w:r>
          </w:p>
        </w:tc>
        <w:tc>
          <w:tcPr>
            <w:tcW w:w="3092" w:type="pct"/>
            <w:vAlign w:val="center"/>
          </w:tcPr>
          <w:p w14:paraId="151F9566">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2.4.1.6 中心交换机</w:t>
            </w:r>
          </w:p>
          <w:p w14:paraId="4F1E791C">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★必须与服务器交换机为同一品牌产品；</w:t>
            </w:r>
          </w:p>
        </w:tc>
        <w:tc>
          <w:tcPr>
            <w:tcW w:w="348" w:type="pct"/>
            <w:vAlign w:val="center"/>
          </w:tcPr>
          <w:p w14:paraId="21A727A0">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0F726434">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493A61F1">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47FE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1E5A4D5C">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lang w:val="en-US" w:eastAsia="zh-CN"/>
              </w:rPr>
            </w:pPr>
            <w:r>
              <w:rPr>
                <w:rFonts w:hint="default" w:ascii="宋体" w:hAnsi="宋体" w:eastAsia="宋体" w:cs="宋体"/>
                <w:color w:val="auto"/>
                <w:kern w:val="0"/>
                <w:sz w:val="18"/>
                <w:szCs w:val="18"/>
                <w:highlight w:val="none"/>
                <w:lang w:val="en-US"/>
              </w:rPr>
              <w:t>1</w:t>
            </w:r>
            <w:r>
              <w:rPr>
                <w:rFonts w:hint="default" w:ascii="宋体" w:hAnsi="宋体" w:eastAsia="宋体" w:cs="宋体"/>
                <w:color w:val="auto"/>
                <w:kern w:val="0"/>
                <w:sz w:val="18"/>
                <w:szCs w:val="18"/>
                <w:highlight w:val="none"/>
                <w:lang w:val="en-US" w:eastAsia="zh-CN"/>
              </w:rPr>
              <w:t>7</w:t>
            </w:r>
          </w:p>
        </w:tc>
        <w:tc>
          <w:tcPr>
            <w:tcW w:w="459" w:type="pct"/>
            <w:vAlign w:val="center"/>
          </w:tcPr>
          <w:p w14:paraId="42872955">
            <w:pPr>
              <w:keepNext w:val="0"/>
              <w:keepLines w:val="0"/>
              <w:suppressLineNumbers w:val="0"/>
              <w:spacing w:before="0" w:beforeAutospacing="0" w:after="0" w:afterAutospacing="0"/>
              <w:ind w:left="0" w:right="0"/>
              <w:jc w:val="center"/>
              <w:rPr>
                <w:rFonts w:hint="default" w:ascii="宋体" w:hAnsi="宋体" w:eastAsia="宋体" w:cs="Times New Roman"/>
                <w:bCs/>
                <w:color w:val="auto"/>
                <w:kern w:val="0"/>
                <w:sz w:val="18"/>
                <w:szCs w:val="18"/>
                <w:highlight w:val="none"/>
              </w:rPr>
            </w:pPr>
            <w:r>
              <w:rPr>
                <w:rFonts w:hint="default" w:ascii="宋体" w:hAnsi="宋体" w:eastAsia="宋体" w:cs="Times New Roman"/>
                <w:bCs/>
                <w:color w:val="auto"/>
                <w:kern w:val="0"/>
                <w:sz w:val="18"/>
                <w:szCs w:val="18"/>
                <w:highlight w:val="none"/>
              </w:rPr>
              <w:t>第二节</w:t>
            </w:r>
          </w:p>
        </w:tc>
        <w:tc>
          <w:tcPr>
            <w:tcW w:w="3092" w:type="pct"/>
            <w:vAlign w:val="center"/>
          </w:tcPr>
          <w:p w14:paraId="348EBCF3">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2.4.2.2调度指挥中心MMI</w:t>
            </w:r>
          </w:p>
          <w:p w14:paraId="27DDB485">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★报警响应时间：t ≤1 s； 查询响应时间：t ≤5 s； 实时数据更新时间：t ≤1s；控制指令的响应时间：t ≤1s；计算机画面的切换时间：t ≤1s，报表查询响应时间：t ≤5 s，短期趋势曲线查询时间：t ≤5 s，长期趋势曲线查询时间：t ≤15 s，不允许出现黑屏。</w:t>
            </w:r>
          </w:p>
        </w:tc>
        <w:tc>
          <w:tcPr>
            <w:tcW w:w="348" w:type="pct"/>
            <w:vAlign w:val="center"/>
          </w:tcPr>
          <w:p w14:paraId="68DADE29">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527B951B">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4AD47CBE">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6DFB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57D83592">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lang w:val="en-US" w:eastAsia="zh-CN"/>
              </w:rPr>
            </w:pPr>
            <w:r>
              <w:rPr>
                <w:rFonts w:hint="default" w:ascii="宋体" w:hAnsi="宋体" w:eastAsia="宋体" w:cs="宋体"/>
                <w:color w:val="auto"/>
                <w:kern w:val="0"/>
                <w:sz w:val="18"/>
                <w:szCs w:val="18"/>
                <w:highlight w:val="none"/>
                <w:lang w:val="en-US"/>
              </w:rPr>
              <w:t>1</w:t>
            </w:r>
            <w:r>
              <w:rPr>
                <w:rFonts w:hint="default" w:ascii="宋体" w:hAnsi="宋体" w:eastAsia="宋体" w:cs="宋体"/>
                <w:color w:val="auto"/>
                <w:kern w:val="0"/>
                <w:sz w:val="18"/>
                <w:szCs w:val="18"/>
                <w:highlight w:val="none"/>
                <w:lang w:val="en-US" w:eastAsia="zh-CN"/>
              </w:rPr>
              <w:t>8</w:t>
            </w:r>
          </w:p>
        </w:tc>
        <w:tc>
          <w:tcPr>
            <w:tcW w:w="459" w:type="pct"/>
            <w:vAlign w:val="center"/>
          </w:tcPr>
          <w:p w14:paraId="2624D5E2">
            <w:pPr>
              <w:keepNext w:val="0"/>
              <w:keepLines w:val="0"/>
              <w:suppressLineNumbers w:val="0"/>
              <w:spacing w:before="0" w:beforeAutospacing="0" w:after="0" w:afterAutospacing="0"/>
              <w:ind w:left="0" w:right="0"/>
              <w:jc w:val="center"/>
              <w:rPr>
                <w:rFonts w:hint="default" w:ascii="宋体" w:hAnsi="宋体" w:eastAsia="宋体" w:cs="Times New Roman"/>
                <w:bCs/>
                <w:color w:val="auto"/>
                <w:kern w:val="0"/>
                <w:sz w:val="18"/>
                <w:szCs w:val="18"/>
                <w:highlight w:val="none"/>
              </w:rPr>
            </w:pPr>
            <w:r>
              <w:rPr>
                <w:rFonts w:hint="default" w:ascii="宋体" w:hAnsi="宋体" w:eastAsia="宋体" w:cs="Times New Roman"/>
                <w:bCs/>
                <w:color w:val="auto"/>
                <w:kern w:val="0"/>
                <w:sz w:val="18"/>
                <w:szCs w:val="18"/>
                <w:highlight w:val="none"/>
              </w:rPr>
              <w:t>第二节</w:t>
            </w:r>
          </w:p>
        </w:tc>
        <w:tc>
          <w:tcPr>
            <w:tcW w:w="3092" w:type="pct"/>
            <w:vAlign w:val="center"/>
          </w:tcPr>
          <w:p w14:paraId="2AD00EAA">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2.4.2.18系统性能</w:t>
            </w:r>
          </w:p>
          <w:p w14:paraId="027199BA">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系统可靠性：</w:t>
            </w:r>
          </w:p>
          <w:p w14:paraId="3AA9DFEA">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★要求系统在现网生产环境下7×24小时运行，平均重大故障时间间隔必须大于365日；通过性能监测、系统巡检等方式，及时发现并避免系统故障。</w:t>
            </w:r>
          </w:p>
        </w:tc>
        <w:tc>
          <w:tcPr>
            <w:tcW w:w="348" w:type="pct"/>
            <w:vAlign w:val="center"/>
          </w:tcPr>
          <w:p w14:paraId="5C019798">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10DE3E18">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50341B52">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2E9D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7CCD9C8B">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lang w:val="en-US" w:eastAsia="zh-CN"/>
              </w:rPr>
            </w:pPr>
            <w:r>
              <w:rPr>
                <w:rFonts w:hint="default" w:ascii="宋体" w:hAnsi="宋体" w:eastAsia="宋体" w:cs="宋体"/>
                <w:color w:val="auto"/>
                <w:kern w:val="0"/>
                <w:sz w:val="18"/>
                <w:szCs w:val="18"/>
                <w:highlight w:val="none"/>
                <w:lang w:val="en-US"/>
              </w:rPr>
              <w:t>1</w:t>
            </w:r>
            <w:r>
              <w:rPr>
                <w:rFonts w:hint="default" w:ascii="宋体" w:hAnsi="宋体" w:eastAsia="宋体" w:cs="宋体"/>
                <w:color w:val="auto"/>
                <w:kern w:val="0"/>
                <w:sz w:val="18"/>
                <w:szCs w:val="18"/>
                <w:highlight w:val="none"/>
                <w:lang w:val="en-US" w:eastAsia="zh-CN"/>
              </w:rPr>
              <w:t>9</w:t>
            </w:r>
          </w:p>
        </w:tc>
        <w:tc>
          <w:tcPr>
            <w:tcW w:w="459" w:type="pct"/>
            <w:vAlign w:val="center"/>
          </w:tcPr>
          <w:p w14:paraId="034BFAC6">
            <w:pPr>
              <w:keepNext w:val="0"/>
              <w:keepLines w:val="0"/>
              <w:suppressLineNumbers w:val="0"/>
              <w:spacing w:before="0" w:beforeAutospacing="0" w:after="0" w:afterAutospacing="0"/>
              <w:ind w:left="0" w:right="0"/>
              <w:jc w:val="center"/>
              <w:rPr>
                <w:rFonts w:hint="default" w:ascii="宋体" w:hAnsi="宋体" w:eastAsia="宋体" w:cs="Times New Roman"/>
                <w:bCs/>
                <w:color w:val="auto"/>
                <w:kern w:val="0"/>
                <w:sz w:val="18"/>
                <w:szCs w:val="18"/>
                <w:highlight w:val="none"/>
              </w:rPr>
            </w:pPr>
            <w:r>
              <w:rPr>
                <w:rFonts w:hint="default" w:ascii="宋体" w:hAnsi="宋体" w:eastAsia="宋体" w:cs="Times New Roman"/>
                <w:bCs/>
                <w:color w:val="auto"/>
                <w:kern w:val="0"/>
                <w:sz w:val="18"/>
                <w:szCs w:val="18"/>
                <w:highlight w:val="none"/>
              </w:rPr>
              <w:t>第二节</w:t>
            </w:r>
          </w:p>
        </w:tc>
        <w:tc>
          <w:tcPr>
            <w:tcW w:w="3092" w:type="pct"/>
            <w:vAlign w:val="center"/>
          </w:tcPr>
          <w:p w14:paraId="68D96BAC">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2.4.2.18系统性能</w:t>
            </w:r>
          </w:p>
          <w:p w14:paraId="7EF6043B">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系统可靠性：</w:t>
            </w:r>
          </w:p>
          <w:p w14:paraId="7FECD5B2">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★总体可用率&gt;99.8%，数据库应用可用率≥99.8%，软件应用可用率≥99.9%（或7×24小时不间断运行）；</w:t>
            </w:r>
          </w:p>
        </w:tc>
        <w:tc>
          <w:tcPr>
            <w:tcW w:w="348" w:type="pct"/>
            <w:vAlign w:val="center"/>
          </w:tcPr>
          <w:p w14:paraId="0D2E1303">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0A3BC228">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7086AF7A">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78FB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56EC2B69">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lang w:val="en-US"/>
              </w:rPr>
            </w:pPr>
            <w:r>
              <w:rPr>
                <w:rFonts w:hint="default" w:ascii="宋体" w:hAnsi="宋体" w:eastAsia="宋体" w:cs="宋体"/>
                <w:color w:val="auto"/>
                <w:kern w:val="0"/>
                <w:sz w:val="18"/>
                <w:szCs w:val="18"/>
                <w:highlight w:val="none"/>
                <w:lang w:val="en-US" w:eastAsia="zh-CN"/>
              </w:rPr>
              <w:t>20</w:t>
            </w:r>
          </w:p>
        </w:tc>
        <w:tc>
          <w:tcPr>
            <w:tcW w:w="459" w:type="pct"/>
            <w:vAlign w:val="center"/>
          </w:tcPr>
          <w:p w14:paraId="4A5E9F1F">
            <w:pPr>
              <w:keepNext w:val="0"/>
              <w:keepLines w:val="0"/>
              <w:suppressLineNumbers w:val="0"/>
              <w:spacing w:before="0" w:beforeAutospacing="0" w:after="0" w:afterAutospacing="0"/>
              <w:ind w:left="0" w:right="0"/>
              <w:jc w:val="center"/>
              <w:rPr>
                <w:rFonts w:hint="default" w:ascii="宋体" w:hAnsi="宋体" w:eastAsia="宋体" w:cs="Times New Roman"/>
                <w:bCs/>
                <w:color w:val="auto"/>
                <w:kern w:val="0"/>
                <w:sz w:val="18"/>
                <w:szCs w:val="18"/>
                <w:highlight w:val="none"/>
              </w:rPr>
            </w:pPr>
            <w:r>
              <w:rPr>
                <w:rFonts w:hint="default" w:ascii="宋体" w:hAnsi="宋体" w:eastAsia="宋体" w:cs="Times New Roman"/>
                <w:bCs/>
                <w:color w:val="auto"/>
                <w:kern w:val="0"/>
                <w:sz w:val="18"/>
                <w:szCs w:val="18"/>
                <w:highlight w:val="none"/>
              </w:rPr>
              <w:t>第二节</w:t>
            </w:r>
          </w:p>
        </w:tc>
        <w:tc>
          <w:tcPr>
            <w:tcW w:w="3092" w:type="pct"/>
            <w:vAlign w:val="center"/>
          </w:tcPr>
          <w:p w14:paraId="11475B08">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2.4.2.18系统性能</w:t>
            </w:r>
          </w:p>
          <w:p w14:paraId="31634ED1">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系统可靠性：</w:t>
            </w:r>
          </w:p>
          <w:p w14:paraId="15BE84E5">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★系统影响的功能不可使用的次数不超过3次/年，且平均修复时间在4小时以内；意外死机次数每年不超过1 次；因软件问题导致的操作失败率不超过0.1％；</w:t>
            </w:r>
          </w:p>
        </w:tc>
        <w:tc>
          <w:tcPr>
            <w:tcW w:w="348" w:type="pct"/>
            <w:vAlign w:val="center"/>
          </w:tcPr>
          <w:p w14:paraId="5DF63328">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3F2216B2">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042FEBC3">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1273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310C352B">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lang w:val="en-US" w:eastAsia="zh-CN"/>
              </w:rPr>
            </w:pPr>
            <w:r>
              <w:rPr>
                <w:rFonts w:hint="default" w:ascii="宋体" w:hAnsi="宋体" w:eastAsia="宋体" w:cs="宋体"/>
                <w:color w:val="auto"/>
                <w:kern w:val="0"/>
                <w:sz w:val="18"/>
                <w:szCs w:val="18"/>
                <w:highlight w:val="none"/>
                <w:lang w:val="en-US"/>
              </w:rPr>
              <w:t>2</w:t>
            </w:r>
            <w:r>
              <w:rPr>
                <w:rFonts w:hint="default" w:ascii="宋体" w:hAnsi="宋体" w:eastAsia="宋体" w:cs="宋体"/>
                <w:color w:val="auto"/>
                <w:kern w:val="0"/>
                <w:sz w:val="18"/>
                <w:szCs w:val="18"/>
                <w:highlight w:val="none"/>
                <w:lang w:val="en-US" w:eastAsia="zh-CN"/>
              </w:rPr>
              <w:t>1</w:t>
            </w:r>
          </w:p>
        </w:tc>
        <w:tc>
          <w:tcPr>
            <w:tcW w:w="459" w:type="pct"/>
            <w:vAlign w:val="center"/>
          </w:tcPr>
          <w:p w14:paraId="7F55AA11">
            <w:pPr>
              <w:keepNext w:val="0"/>
              <w:keepLines w:val="0"/>
              <w:suppressLineNumbers w:val="0"/>
              <w:spacing w:before="0" w:beforeAutospacing="0" w:after="0" w:afterAutospacing="0"/>
              <w:ind w:left="0" w:right="0"/>
              <w:jc w:val="center"/>
              <w:rPr>
                <w:rFonts w:hint="default" w:ascii="宋体" w:hAnsi="宋体" w:eastAsia="宋体" w:cs="Times New Roman"/>
                <w:bCs/>
                <w:color w:val="auto"/>
                <w:kern w:val="0"/>
                <w:sz w:val="18"/>
                <w:szCs w:val="18"/>
                <w:highlight w:val="none"/>
              </w:rPr>
            </w:pPr>
            <w:r>
              <w:rPr>
                <w:rFonts w:hint="default" w:ascii="宋体" w:hAnsi="宋体" w:eastAsia="宋体" w:cs="Times New Roman"/>
                <w:bCs/>
                <w:color w:val="auto"/>
                <w:kern w:val="0"/>
                <w:sz w:val="18"/>
                <w:szCs w:val="18"/>
                <w:highlight w:val="none"/>
              </w:rPr>
              <w:t>第二节</w:t>
            </w:r>
          </w:p>
        </w:tc>
        <w:tc>
          <w:tcPr>
            <w:tcW w:w="3092" w:type="pct"/>
            <w:vAlign w:val="center"/>
          </w:tcPr>
          <w:p w14:paraId="7B3E0F45">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2.4.2.18系统性能</w:t>
            </w:r>
          </w:p>
          <w:p w14:paraId="6F763607">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系统可靠性：</w:t>
            </w:r>
          </w:p>
          <w:p w14:paraId="267C4C36">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★报警响应时间：t ≤1 s； 查询响应时间：t ≤5 s； 实时数据更新时间：t ≤1s；控制指令的响应时间：t ≤1s；计算机画面的切换时间：t ≤1s，报表查询响应时间：t ≤5 s，短期趋势曲线查询时间：t ≤5 s，长期趋势曲线查询时间：t ≤15 s，不允许出现黑屏。</w:t>
            </w:r>
          </w:p>
        </w:tc>
        <w:tc>
          <w:tcPr>
            <w:tcW w:w="348" w:type="pct"/>
            <w:vAlign w:val="center"/>
          </w:tcPr>
          <w:p w14:paraId="2DF650B8">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10CA9C93">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5F859D2C">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r w14:paraId="5FB0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6" w:type="pct"/>
            <w:vAlign w:val="center"/>
          </w:tcPr>
          <w:p w14:paraId="6D028ACC">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18"/>
                <w:szCs w:val="18"/>
                <w:highlight w:val="none"/>
                <w:lang w:val="en-US" w:eastAsia="zh-CN"/>
              </w:rPr>
            </w:pPr>
            <w:r>
              <w:rPr>
                <w:rFonts w:hint="default" w:ascii="宋体" w:hAnsi="宋体" w:eastAsia="宋体" w:cs="宋体"/>
                <w:color w:val="auto"/>
                <w:kern w:val="0"/>
                <w:sz w:val="18"/>
                <w:szCs w:val="18"/>
                <w:highlight w:val="none"/>
                <w:lang w:val="en-US"/>
              </w:rPr>
              <w:t>2</w:t>
            </w:r>
            <w:r>
              <w:rPr>
                <w:rFonts w:hint="default" w:ascii="宋体" w:hAnsi="宋体" w:eastAsia="宋体" w:cs="宋体"/>
                <w:color w:val="auto"/>
                <w:kern w:val="0"/>
                <w:sz w:val="18"/>
                <w:szCs w:val="18"/>
                <w:highlight w:val="none"/>
                <w:lang w:val="en-US" w:eastAsia="zh-CN"/>
              </w:rPr>
              <w:t>2</w:t>
            </w:r>
          </w:p>
        </w:tc>
        <w:tc>
          <w:tcPr>
            <w:tcW w:w="459" w:type="pct"/>
            <w:vAlign w:val="center"/>
          </w:tcPr>
          <w:p w14:paraId="54DFE0C6">
            <w:pPr>
              <w:keepNext w:val="0"/>
              <w:keepLines w:val="0"/>
              <w:suppressLineNumbers w:val="0"/>
              <w:spacing w:before="0" w:beforeAutospacing="0" w:after="0" w:afterAutospacing="0"/>
              <w:ind w:left="0" w:right="0"/>
              <w:jc w:val="center"/>
              <w:rPr>
                <w:rFonts w:hint="default" w:ascii="宋体" w:hAnsi="宋体" w:eastAsia="宋体" w:cs="Times New Roman"/>
                <w:bCs/>
                <w:color w:val="auto"/>
                <w:kern w:val="0"/>
                <w:sz w:val="18"/>
                <w:szCs w:val="18"/>
                <w:highlight w:val="none"/>
              </w:rPr>
            </w:pPr>
            <w:r>
              <w:rPr>
                <w:rFonts w:hint="default" w:ascii="宋体" w:hAnsi="宋体" w:eastAsia="宋体" w:cs="Times New Roman"/>
                <w:bCs/>
                <w:color w:val="auto"/>
                <w:kern w:val="0"/>
                <w:sz w:val="18"/>
                <w:szCs w:val="18"/>
                <w:highlight w:val="none"/>
              </w:rPr>
              <w:t>第二节</w:t>
            </w:r>
          </w:p>
        </w:tc>
        <w:tc>
          <w:tcPr>
            <w:tcW w:w="3092" w:type="pct"/>
            <w:vAlign w:val="center"/>
          </w:tcPr>
          <w:p w14:paraId="09E1F274">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2.9质保及售后要求</w:t>
            </w:r>
          </w:p>
          <w:p w14:paraId="0C5B25DB">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rPr>
            </w:pPr>
            <w:r>
              <w:rPr>
                <w:rFonts w:hint="default" w:ascii="宋体" w:hAnsi="宋体" w:eastAsia="宋体"/>
                <w:color w:val="auto"/>
                <w:sz w:val="18"/>
                <w:szCs w:val="18"/>
                <w:highlight w:val="none"/>
              </w:rPr>
              <w:t>★投标人需为以上运维服务内容报价，免费质保期后的每年运维费用不得超过本项目投标人投标报价的8%。</w:t>
            </w:r>
          </w:p>
        </w:tc>
        <w:tc>
          <w:tcPr>
            <w:tcW w:w="348" w:type="pct"/>
            <w:vAlign w:val="center"/>
          </w:tcPr>
          <w:p w14:paraId="499FF620">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418" w:type="pct"/>
            <w:vAlign w:val="center"/>
          </w:tcPr>
          <w:p w14:paraId="7C8DDF58">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c>
          <w:tcPr>
            <w:tcW w:w="395" w:type="pct"/>
            <w:vAlign w:val="center"/>
          </w:tcPr>
          <w:p w14:paraId="67B85B93">
            <w:pPr>
              <w:keepNext/>
              <w:keepLines/>
              <w:suppressLineNumbers w:val="0"/>
              <w:spacing w:before="0" w:beforeAutospacing="0" w:after="0" w:afterAutospacing="0" w:line="400" w:lineRule="exact"/>
              <w:ind w:left="0" w:right="0"/>
              <w:jc w:val="center"/>
              <w:outlineLvl w:val="2"/>
              <w:rPr>
                <w:rFonts w:hint="default" w:ascii="宋体" w:hAnsi="宋体" w:eastAsia="宋体" w:cs="宋体"/>
                <w:color w:val="auto"/>
                <w:kern w:val="0"/>
                <w:sz w:val="18"/>
                <w:szCs w:val="18"/>
                <w:highlight w:val="none"/>
              </w:rPr>
            </w:pPr>
          </w:p>
        </w:tc>
      </w:tr>
    </w:tbl>
    <w:p w14:paraId="5D6D8DCD">
      <w:pPr>
        <w:spacing w:line="360" w:lineRule="auto"/>
        <w:rPr>
          <w:rFonts w:ascii="宋体" w:hAnsi="宋体" w:eastAsia="宋体" w:cs="宋体"/>
          <w:color w:val="auto"/>
          <w:szCs w:val="21"/>
          <w:highlight w:val="none"/>
        </w:rPr>
      </w:pPr>
    </w:p>
    <w:p w14:paraId="2EC5A07D">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备注：</w:t>
      </w:r>
    </w:p>
    <w:p w14:paraId="24187FEE">
      <w:pPr>
        <w:spacing w:line="360" w:lineRule="auto"/>
        <w:ind w:left="605" w:leftChars="18" w:hanging="567" w:hangingChars="270"/>
        <w:rPr>
          <w:rFonts w:ascii="宋体" w:hAnsi="宋体" w:eastAsia="宋体" w:cs="宋体"/>
          <w:b/>
          <w:color w:val="auto"/>
          <w:szCs w:val="21"/>
          <w:highlight w:val="none"/>
          <w:u w:val="single"/>
        </w:rPr>
      </w:pPr>
      <w:r>
        <w:rPr>
          <w:rFonts w:hint="eastAsia" w:ascii="宋体" w:hAnsi="宋体" w:eastAsia="宋体" w:cs="宋体"/>
          <w:color w:val="auto"/>
          <w:szCs w:val="21"/>
          <w:highlight w:val="none"/>
        </w:rPr>
        <w:t>（1）</w:t>
      </w:r>
      <w:r>
        <w:rPr>
          <w:rFonts w:hint="eastAsia" w:ascii="宋体" w:hAnsi="宋体" w:eastAsia="宋体" w:cs="宋体"/>
          <w:b/>
          <w:color w:val="auto"/>
          <w:szCs w:val="21"/>
          <w:highlight w:val="none"/>
          <w:u w:val="single"/>
        </w:rPr>
        <w:t>投标人应对照招标文件用户需求书的响应，逐条逐项、如实地填写“偏离情况”，</w:t>
      </w:r>
      <w:r>
        <w:rPr>
          <w:rFonts w:hint="eastAsia" w:ascii="宋体" w:hAnsi="宋体" w:eastAsia="宋体" w:cs="Times New Roman"/>
          <w:b/>
          <w:color w:val="auto"/>
          <w:kern w:val="0"/>
          <w:szCs w:val="21"/>
          <w:highlight w:val="none"/>
          <w:u w:val="single"/>
        </w:rPr>
        <w:t>若发现未填写本表，或虚假填写本表，或伪造、变造证明材料的，按无效投标文件处理</w:t>
      </w:r>
      <w:r>
        <w:rPr>
          <w:rFonts w:hint="eastAsia" w:ascii="宋体" w:hAnsi="宋体" w:eastAsia="宋体" w:cs="宋体"/>
          <w:b/>
          <w:color w:val="auto"/>
          <w:szCs w:val="21"/>
          <w:highlight w:val="none"/>
          <w:u w:val="single"/>
        </w:rPr>
        <w:t>。若招标文件用户需求书中有“★”条款须逐条逐项、如实地填写“偏离情况”，未填写“★”条款以外的条款的，视为完全满足招标文件要求。</w:t>
      </w:r>
    </w:p>
    <w:p w14:paraId="39A6BF94">
      <w:pPr>
        <w:spacing w:line="360" w:lineRule="auto"/>
        <w:ind w:left="605" w:leftChars="18" w:hanging="567" w:hangingChars="27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2）偏离情况（投标文件对招标文件用户需求的响应程度）分为：正偏离、负偏离、无偏离。正偏离是指投标人对用户需求响应优于招标文件的要求；负偏离是指投标人对用户需求响应不满足或不完全满足招标文件的要求；无偏离是指投标人对用户需求响应完全满足招标文件的要求。 </w:t>
      </w:r>
    </w:p>
    <w:p w14:paraId="33EC8BDF">
      <w:pPr>
        <w:spacing w:line="360" w:lineRule="auto"/>
        <w:ind w:left="607" w:leftChars="18" w:hanging="569" w:hangingChars="270"/>
        <w:rPr>
          <w:rFonts w:ascii="宋体" w:hAnsi="宋体" w:eastAsia="宋体" w:cs="Times New Roman"/>
          <w:b/>
          <w:color w:val="auto"/>
          <w:kern w:val="0"/>
          <w:szCs w:val="21"/>
          <w:highlight w:val="none"/>
          <w:u w:val="single"/>
        </w:rPr>
      </w:pPr>
      <w:r>
        <w:rPr>
          <w:rFonts w:hint="eastAsia" w:ascii="宋体" w:hAnsi="宋体" w:eastAsia="宋体" w:cs="宋体"/>
          <w:b/>
          <w:color w:val="auto"/>
          <w:szCs w:val="21"/>
          <w:highlight w:val="none"/>
        </w:rPr>
        <w:t>（3）</w:t>
      </w:r>
      <w:r>
        <w:rPr>
          <w:rFonts w:hint="eastAsia" w:ascii="宋体" w:hAnsi="宋体" w:eastAsia="宋体" w:cs="Times New Roman"/>
          <w:b/>
          <w:color w:val="auto"/>
          <w:kern w:val="0"/>
          <w:szCs w:val="21"/>
          <w:highlight w:val="none"/>
          <w:u w:val="single"/>
        </w:rPr>
        <w:t>应逐条</w:t>
      </w:r>
      <w:r>
        <w:rPr>
          <w:rFonts w:hint="eastAsia" w:ascii="宋体" w:hAnsi="宋体" w:eastAsia="宋体" w:cs="宋体"/>
          <w:b/>
          <w:color w:val="auto"/>
          <w:szCs w:val="21"/>
          <w:highlight w:val="none"/>
          <w:u w:val="single"/>
        </w:rPr>
        <w:t>逐项</w:t>
      </w:r>
      <w:r>
        <w:rPr>
          <w:rFonts w:hint="eastAsia" w:ascii="宋体" w:hAnsi="宋体" w:eastAsia="宋体" w:cs="Times New Roman"/>
          <w:b/>
          <w:color w:val="auto"/>
          <w:kern w:val="0"/>
          <w:szCs w:val="21"/>
          <w:highlight w:val="none"/>
          <w:u w:val="single"/>
        </w:rPr>
        <w:t>、如实地填写“偏离情况”。“偏离情况”项为正偏离（或负偏离）的，必须在“实质性响应的具体内容”项内详细说明与招标文件的偏离内容，“偏离情况”项为无偏离的，在“实质性响应的具体内容”项内填“完全响应招标文件要求”即可，也可进一步说明投标响应的具体内容。投标人可将反映服务能力的技术支持资料作为本表的附件，并在本偏离表“对应证明材料页码”项内注明其在投标文件中的具体页码。</w:t>
      </w:r>
    </w:p>
    <w:p w14:paraId="5334F323">
      <w:pPr>
        <w:spacing w:line="360" w:lineRule="auto"/>
        <w:ind w:left="607" w:leftChars="18" w:hanging="569" w:hangingChars="270"/>
        <w:rPr>
          <w:rFonts w:ascii="宋体" w:hAnsi="宋体" w:eastAsia="宋体" w:cs="Times New Roman"/>
          <w:b/>
          <w:color w:val="auto"/>
          <w:kern w:val="0"/>
          <w:szCs w:val="21"/>
          <w:highlight w:val="none"/>
          <w:u w:val="single"/>
        </w:rPr>
      </w:pPr>
      <w:r>
        <w:rPr>
          <w:rFonts w:hint="eastAsia" w:ascii="宋体" w:hAnsi="宋体" w:eastAsia="宋体" w:cs="宋体"/>
          <w:b/>
          <w:color w:val="auto"/>
          <w:szCs w:val="21"/>
          <w:highlight w:val="none"/>
        </w:rPr>
        <w:t>（4）</w:t>
      </w:r>
      <w:r>
        <w:rPr>
          <w:rFonts w:ascii="宋体" w:hAnsi="宋体" w:eastAsia="宋体" w:cs="Times New Roman"/>
          <w:b/>
          <w:color w:val="auto"/>
          <w:kern w:val="0"/>
          <w:szCs w:val="21"/>
          <w:highlight w:val="none"/>
          <w:u w:val="single"/>
        </w:rPr>
        <w:t>凡标有“</w:t>
      </w:r>
      <w:r>
        <w:rPr>
          <w:rFonts w:hint="eastAsia" w:ascii="宋体" w:hAnsi="宋体" w:eastAsia="宋体" w:cs="Times New Roman"/>
          <w:b/>
          <w:color w:val="auto"/>
          <w:kern w:val="0"/>
          <w:szCs w:val="21"/>
          <w:highlight w:val="none"/>
          <w:u w:val="single"/>
        </w:rPr>
        <w:t>★</w:t>
      </w:r>
      <w:r>
        <w:rPr>
          <w:rFonts w:ascii="宋体" w:hAnsi="宋体" w:eastAsia="宋体" w:cs="Times New Roman"/>
          <w:b/>
          <w:color w:val="auto"/>
          <w:kern w:val="0"/>
          <w:szCs w:val="21"/>
          <w:highlight w:val="none"/>
          <w:u w:val="single"/>
        </w:rPr>
        <w:t>”的地方均被视为重要的</w:t>
      </w:r>
      <w:r>
        <w:rPr>
          <w:rFonts w:hint="eastAsia" w:ascii="宋体" w:hAnsi="宋体" w:eastAsia="宋体" w:cs="Times New Roman"/>
          <w:b/>
          <w:color w:val="auto"/>
          <w:kern w:val="0"/>
          <w:szCs w:val="21"/>
          <w:highlight w:val="none"/>
          <w:u w:val="single"/>
        </w:rPr>
        <w:t>商务</w:t>
      </w:r>
      <w:r>
        <w:rPr>
          <w:rFonts w:ascii="宋体" w:hAnsi="宋体" w:eastAsia="宋体" w:cs="Times New Roman"/>
          <w:b/>
          <w:color w:val="auto"/>
          <w:kern w:val="0"/>
          <w:szCs w:val="21"/>
          <w:highlight w:val="none"/>
          <w:u w:val="single"/>
        </w:rPr>
        <w:t>要求或</w:t>
      </w:r>
      <w:r>
        <w:rPr>
          <w:rFonts w:hint="eastAsia" w:ascii="宋体" w:hAnsi="宋体" w:eastAsia="宋体" w:cs="Times New Roman"/>
          <w:b/>
          <w:color w:val="auto"/>
          <w:kern w:val="0"/>
          <w:szCs w:val="21"/>
          <w:highlight w:val="none"/>
          <w:u w:val="single"/>
        </w:rPr>
        <w:t>技术</w:t>
      </w:r>
      <w:r>
        <w:rPr>
          <w:rFonts w:ascii="宋体" w:hAnsi="宋体" w:eastAsia="宋体" w:cs="Times New Roman"/>
          <w:b/>
          <w:color w:val="auto"/>
          <w:kern w:val="0"/>
          <w:szCs w:val="21"/>
          <w:highlight w:val="none"/>
          <w:u w:val="single"/>
        </w:rPr>
        <w:t>性能要求。投标</w:t>
      </w:r>
      <w:r>
        <w:rPr>
          <w:rFonts w:hint="eastAsia" w:ascii="宋体" w:hAnsi="宋体" w:eastAsia="宋体" w:cs="Times New Roman"/>
          <w:b/>
          <w:color w:val="auto"/>
          <w:kern w:val="0"/>
          <w:szCs w:val="21"/>
          <w:highlight w:val="none"/>
          <w:u w:val="single"/>
        </w:rPr>
        <w:t>人</w:t>
      </w:r>
      <w:r>
        <w:rPr>
          <w:rFonts w:ascii="宋体" w:hAnsi="宋体" w:eastAsia="宋体" w:cs="Times New Roman"/>
          <w:b/>
          <w:color w:val="auto"/>
          <w:kern w:val="0"/>
          <w:szCs w:val="21"/>
          <w:highlight w:val="none"/>
          <w:u w:val="single"/>
        </w:rPr>
        <w:t>要特别加以注意，必须对此回答并完全满足这些要求</w:t>
      </w:r>
      <w:r>
        <w:rPr>
          <w:rFonts w:hint="eastAsia" w:ascii="宋体" w:hAnsi="宋体" w:eastAsia="宋体" w:cs="Times New Roman"/>
          <w:b/>
          <w:color w:val="auto"/>
          <w:kern w:val="0"/>
          <w:szCs w:val="21"/>
          <w:highlight w:val="none"/>
          <w:u w:val="single"/>
        </w:rPr>
        <w:t>，</w:t>
      </w:r>
      <w:r>
        <w:rPr>
          <w:rFonts w:ascii="宋体" w:hAnsi="宋体" w:eastAsia="宋体" w:cs="Times New Roman"/>
          <w:b/>
          <w:color w:val="auto"/>
          <w:kern w:val="0"/>
          <w:szCs w:val="21"/>
          <w:highlight w:val="none"/>
          <w:u w:val="single"/>
        </w:rPr>
        <w:t>否则若有一项带“</w:t>
      </w:r>
      <w:r>
        <w:rPr>
          <w:rFonts w:hint="eastAsia" w:ascii="宋体" w:hAnsi="宋体" w:eastAsia="宋体" w:cs="Times New Roman"/>
          <w:b/>
          <w:color w:val="auto"/>
          <w:kern w:val="0"/>
          <w:szCs w:val="21"/>
          <w:highlight w:val="none"/>
          <w:u w:val="single"/>
        </w:rPr>
        <w:t>★</w:t>
      </w:r>
      <w:r>
        <w:rPr>
          <w:rFonts w:ascii="宋体" w:hAnsi="宋体" w:eastAsia="宋体" w:cs="Times New Roman"/>
          <w:b/>
          <w:color w:val="auto"/>
          <w:kern w:val="0"/>
          <w:szCs w:val="21"/>
          <w:highlight w:val="none"/>
          <w:u w:val="single"/>
        </w:rPr>
        <w:t>”的</w:t>
      </w:r>
      <w:r>
        <w:rPr>
          <w:rFonts w:hint="eastAsia" w:ascii="宋体" w:hAnsi="宋体" w:eastAsia="宋体" w:cs="Times New Roman"/>
          <w:b/>
          <w:color w:val="auto"/>
          <w:kern w:val="0"/>
          <w:szCs w:val="21"/>
          <w:highlight w:val="none"/>
          <w:u w:val="single"/>
        </w:rPr>
        <w:t>条款</w:t>
      </w:r>
      <w:r>
        <w:rPr>
          <w:rFonts w:ascii="宋体" w:hAnsi="宋体" w:eastAsia="宋体" w:cs="Times New Roman"/>
          <w:b/>
          <w:color w:val="auto"/>
          <w:kern w:val="0"/>
          <w:szCs w:val="21"/>
          <w:highlight w:val="none"/>
          <w:u w:val="single"/>
        </w:rPr>
        <w:t>未响应或不满足，将按</w:t>
      </w:r>
      <w:r>
        <w:rPr>
          <w:rFonts w:hint="eastAsia" w:ascii="宋体" w:hAnsi="宋体" w:eastAsia="宋体" w:cs="Times New Roman"/>
          <w:b/>
          <w:color w:val="auto"/>
          <w:kern w:val="0"/>
          <w:szCs w:val="21"/>
          <w:highlight w:val="none"/>
          <w:u w:val="single"/>
        </w:rPr>
        <w:t>无效投标</w:t>
      </w:r>
      <w:r>
        <w:rPr>
          <w:rFonts w:ascii="宋体" w:hAnsi="宋体" w:eastAsia="宋体" w:cs="Times New Roman"/>
          <w:b/>
          <w:color w:val="auto"/>
          <w:kern w:val="0"/>
          <w:szCs w:val="21"/>
          <w:highlight w:val="none"/>
          <w:u w:val="single"/>
        </w:rPr>
        <w:t>处理</w:t>
      </w:r>
      <w:r>
        <w:rPr>
          <w:rFonts w:ascii="宋体" w:hAnsi="宋体" w:eastAsia="宋体" w:cs="Times New Roman"/>
          <w:b/>
          <w:color w:val="auto"/>
          <w:kern w:val="0"/>
          <w:sz w:val="24"/>
          <w:szCs w:val="21"/>
          <w:highlight w:val="none"/>
          <w:u w:val="single"/>
          <w:lang w:val="zh-CN"/>
        </w:rPr>
        <w:t>。</w:t>
      </w:r>
    </w:p>
    <w:p w14:paraId="566BED1C">
      <w:pPr>
        <w:autoSpaceDE w:val="0"/>
        <w:autoSpaceDN w:val="0"/>
        <w:adjustRightInd w:val="0"/>
        <w:spacing w:line="360" w:lineRule="auto"/>
        <w:ind w:firstLine="3780" w:firstLineChars="1800"/>
        <w:rPr>
          <w:rFonts w:ascii="宋体" w:hAnsi="宋体" w:eastAsia="宋体" w:cs="宋体"/>
          <w:color w:val="auto"/>
          <w:szCs w:val="21"/>
          <w:highlight w:val="none"/>
          <w:lang w:val="zh-CN"/>
        </w:rPr>
      </w:pPr>
    </w:p>
    <w:p w14:paraId="63A58FE4">
      <w:pPr>
        <w:autoSpaceDE w:val="0"/>
        <w:autoSpaceDN w:val="0"/>
        <w:adjustRightInd w:val="0"/>
        <w:spacing w:line="360" w:lineRule="auto"/>
        <w:ind w:firstLine="3780" w:firstLineChars="1800"/>
        <w:rPr>
          <w:rFonts w:ascii="宋体" w:hAnsi="宋体" w:eastAsia="宋体" w:cs="宋体"/>
          <w:color w:val="auto"/>
          <w:szCs w:val="21"/>
          <w:highlight w:val="none"/>
          <w:lang w:val="zh-CN"/>
        </w:rPr>
      </w:pPr>
    </w:p>
    <w:p w14:paraId="5987ED24">
      <w:pPr>
        <w:autoSpaceDE w:val="0"/>
        <w:autoSpaceDN w:val="0"/>
        <w:adjustRightInd w:val="0"/>
        <w:spacing w:line="360" w:lineRule="auto"/>
        <w:ind w:firstLine="3780" w:firstLineChars="180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08714E27">
      <w:pPr>
        <w:autoSpaceDE w:val="0"/>
        <w:autoSpaceDN w:val="0"/>
        <w:adjustRightInd w:val="0"/>
        <w:spacing w:line="360" w:lineRule="auto"/>
        <w:ind w:firstLine="3780" w:firstLineChars="1800"/>
        <w:rPr>
          <w:rFonts w:ascii="宋体" w:hAnsi="宋体" w:eastAsia="宋体" w:cs="Times New Roman"/>
          <w:color w:val="auto"/>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s="Times New Roman"/>
          <w:color w:val="auto"/>
          <w:szCs w:val="24"/>
          <w:highlight w:val="none"/>
          <w:lang w:val="zh-CN"/>
        </w:rPr>
        <w:t>期：   年   月   日</w:t>
      </w:r>
    </w:p>
    <w:p w14:paraId="71FD2F64">
      <w:pPr>
        <w:autoSpaceDE w:val="0"/>
        <w:autoSpaceDN w:val="0"/>
        <w:adjustRightInd w:val="0"/>
        <w:spacing w:line="360" w:lineRule="auto"/>
        <w:jc w:val="center"/>
        <w:rPr>
          <w:rFonts w:ascii="宋体" w:hAnsi="宋体" w:eastAsia="宋体" w:cs="Times New Roman"/>
          <w:b/>
          <w:bCs/>
          <w:color w:val="auto"/>
          <w:szCs w:val="24"/>
          <w:highlight w:val="none"/>
          <w:lang w:val="zh-CN"/>
        </w:rPr>
      </w:pPr>
    </w:p>
    <w:p w14:paraId="19FA3723">
      <w:pPr>
        <w:widowControl/>
        <w:autoSpaceDE w:val="0"/>
        <w:autoSpaceDN w:val="0"/>
        <w:adjustRightInd w:val="0"/>
        <w:spacing w:line="360" w:lineRule="auto"/>
        <w:jc w:val="center"/>
        <w:rPr>
          <w:rFonts w:ascii="宋体" w:hAnsi="宋体" w:eastAsia="宋体" w:cs="Times New Roman"/>
          <w:color w:val="auto"/>
          <w:szCs w:val="21"/>
          <w:highlight w:val="none"/>
        </w:rPr>
      </w:pPr>
      <w:r>
        <w:rPr>
          <w:rFonts w:hint="eastAsia" w:ascii="宋体" w:hAnsi="宋体" w:eastAsia="宋体" w:cs="Times New Roman"/>
          <w:b/>
          <w:bCs/>
          <w:color w:val="auto"/>
          <w:szCs w:val="24"/>
          <w:highlight w:val="none"/>
          <w:lang w:val="zh-CN"/>
        </w:rPr>
        <w:t>说明：由投标人使用投标人的企业数字证书电子签名。</w:t>
      </w:r>
    </w:p>
    <w:p w14:paraId="2098407A">
      <w:pPr>
        <w:autoSpaceDE w:val="0"/>
        <w:autoSpaceDN w:val="0"/>
        <w:adjustRightInd w:val="0"/>
        <w:ind w:left="15" w:leftChars="-50" w:hanging="120"/>
        <w:jc w:val="left"/>
        <w:rPr>
          <w:rFonts w:ascii="宋体" w:hAnsi="宋体" w:eastAsia="宋体" w:cs="宋体"/>
          <w:color w:val="auto"/>
          <w:kern w:val="0"/>
          <w:szCs w:val="21"/>
          <w:highlight w:val="none"/>
        </w:rPr>
      </w:pPr>
    </w:p>
    <w:p w14:paraId="64ED9851">
      <w:pPr>
        <w:tabs>
          <w:tab w:val="left" w:pos="567"/>
        </w:tabs>
        <w:autoSpaceDE w:val="0"/>
        <w:autoSpaceDN w:val="0"/>
        <w:adjustRightInd w:val="0"/>
        <w:spacing w:line="360" w:lineRule="auto"/>
        <w:jc w:val="left"/>
        <w:outlineLvl w:val="2"/>
        <w:rPr>
          <w:rFonts w:ascii="宋体" w:hAnsi="宋体" w:eastAsia="宋体" w:cs="Times New Roman"/>
          <w:b/>
          <w:color w:val="auto"/>
          <w:kern w:val="0"/>
          <w:sz w:val="30"/>
          <w:szCs w:val="30"/>
          <w:highlight w:val="none"/>
        </w:rPr>
      </w:pPr>
      <w:r>
        <w:rPr>
          <w:rFonts w:hint="eastAsia" w:ascii="宋体" w:hAnsi="宋体" w:eastAsia="宋体" w:cs="宋体"/>
          <w:b/>
          <w:color w:val="auto"/>
          <w:kern w:val="0"/>
          <w:sz w:val="30"/>
          <w:szCs w:val="30"/>
          <w:highlight w:val="none"/>
        </w:rPr>
        <w:br w:type="page"/>
      </w:r>
      <w:bookmarkStart w:id="1000" w:name="_Toc12706"/>
      <w:bookmarkStart w:id="1001" w:name="_Toc195714403"/>
      <w:r>
        <w:rPr>
          <w:rFonts w:hint="eastAsia" w:ascii="宋体" w:hAnsi="宋体" w:eastAsia="宋体" w:cs="宋体"/>
          <w:b/>
          <w:color w:val="auto"/>
          <w:kern w:val="0"/>
          <w:sz w:val="30"/>
          <w:szCs w:val="30"/>
          <w:highlight w:val="none"/>
        </w:rPr>
        <w:t>二、整体方案（投标人自行编写）</w:t>
      </w:r>
      <w:bookmarkEnd w:id="1000"/>
      <w:bookmarkEnd w:id="1001"/>
    </w:p>
    <w:p w14:paraId="09C92426">
      <w:pPr>
        <w:widowControl/>
        <w:jc w:val="left"/>
        <w:rPr>
          <w:rFonts w:ascii="宋体" w:hAnsi="宋体" w:eastAsia="宋体" w:cs="Times New Roman"/>
          <w:color w:val="auto"/>
          <w:kern w:val="0"/>
          <w:szCs w:val="21"/>
          <w:highlight w:val="none"/>
        </w:rPr>
      </w:pPr>
      <w:bookmarkStart w:id="1002" w:name="_Toc94107225"/>
      <w:r>
        <w:rPr>
          <w:rFonts w:ascii="宋体" w:hAnsi="宋体" w:eastAsia="宋体" w:cs="Times New Roman"/>
          <w:color w:val="auto"/>
          <w:kern w:val="0"/>
          <w:szCs w:val="21"/>
          <w:highlight w:val="none"/>
        </w:rPr>
        <w:br w:type="page"/>
      </w:r>
    </w:p>
    <w:bookmarkEnd w:id="1002"/>
    <w:p w14:paraId="11CC3526">
      <w:pPr>
        <w:tabs>
          <w:tab w:val="left" w:pos="567"/>
        </w:tabs>
        <w:autoSpaceDE w:val="0"/>
        <w:autoSpaceDN w:val="0"/>
        <w:adjustRightInd w:val="0"/>
        <w:spacing w:line="360" w:lineRule="auto"/>
        <w:jc w:val="left"/>
        <w:outlineLvl w:val="2"/>
        <w:rPr>
          <w:rFonts w:ascii="宋体" w:hAnsi="宋体" w:eastAsia="宋体" w:cs="宋体"/>
          <w:b/>
          <w:color w:val="auto"/>
          <w:kern w:val="0"/>
          <w:sz w:val="30"/>
          <w:szCs w:val="30"/>
          <w:highlight w:val="none"/>
        </w:rPr>
      </w:pPr>
      <w:bookmarkStart w:id="1003" w:name="_Toc195714405"/>
      <w:bookmarkStart w:id="1004" w:name="_Toc24970"/>
      <w:bookmarkStart w:id="1005" w:name="_Toc104991896"/>
      <w:bookmarkStart w:id="1006" w:name="_Toc142508389"/>
      <w:bookmarkStart w:id="1007" w:name="_Toc102860094"/>
      <w:bookmarkStart w:id="1008" w:name="_Toc102860438"/>
      <w:bookmarkStart w:id="1009" w:name="_Toc140596949"/>
      <w:bookmarkStart w:id="1010" w:name="_Toc533708139"/>
      <w:r>
        <w:rPr>
          <w:rFonts w:hint="eastAsia" w:ascii="宋体" w:hAnsi="宋体" w:eastAsia="宋体" w:cs="宋体"/>
          <w:b/>
          <w:color w:val="auto"/>
          <w:kern w:val="0"/>
          <w:sz w:val="30"/>
          <w:szCs w:val="30"/>
          <w:highlight w:val="none"/>
          <w:lang w:val="en-US" w:eastAsia="zh-CN" w:bidi="ar"/>
        </w:rPr>
        <w:t>三</w:t>
      </w:r>
      <w:r>
        <w:rPr>
          <w:rFonts w:hint="eastAsia" w:ascii="宋体" w:hAnsi="宋体" w:eastAsia="宋体" w:cs="宋体"/>
          <w:b/>
          <w:color w:val="auto"/>
          <w:kern w:val="0"/>
          <w:sz w:val="30"/>
          <w:szCs w:val="30"/>
          <w:highlight w:val="none"/>
          <w:lang w:bidi="ar"/>
        </w:rPr>
        <w:t>、硬件质量水平（投标人自行编写）</w:t>
      </w:r>
      <w:bookmarkEnd w:id="1003"/>
      <w:bookmarkEnd w:id="1004"/>
    </w:p>
    <w:p w14:paraId="423608EB">
      <w:pPr>
        <w:widowControl/>
        <w:spacing w:line="360" w:lineRule="auto"/>
        <w:jc w:val="left"/>
        <w:rPr>
          <w:rFonts w:ascii="宋体" w:hAnsi="宋体" w:eastAsia="宋体" w:cs="宋体"/>
          <w:b/>
          <w:color w:val="auto"/>
          <w:kern w:val="0"/>
          <w:sz w:val="30"/>
          <w:szCs w:val="30"/>
          <w:highlight w:val="none"/>
        </w:rPr>
      </w:pPr>
    </w:p>
    <w:p w14:paraId="65F9FA29">
      <w:pPr>
        <w:autoSpaceDE/>
        <w:autoSpaceDN/>
        <w:adjustRightInd/>
        <w:spacing w:line="240" w:lineRule="auto"/>
        <w:jc w:val="left"/>
        <w:outlineLvl w:val="9"/>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br w:type="page"/>
      </w:r>
    </w:p>
    <w:p w14:paraId="4F249416">
      <w:pPr>
        <w:tabs>
          <w:tab w:val="left" w:pos="567"/>
        </w:tabs>
        <w:autoSpaceDE w:val="0"/>
        <w:autoSpaceDN w:val="0"/>
        <w:adjustRightInd w:val="0"/>
        <w:spacing w:line="360" w:lineRule="auto"/>
        <w:jc w:val="left"/>
        <w:outlineLvl w:val="2"/>
        <w:rPr>
          <w:rFonts w:ascii="宋体" w:hAnsi="宋体" w:eastAsia="宋体" w:cs="宋体"/>
          <w:b/>
          <w:color w:val="auto"/>
          <w:kern w:val="0"/>
          <w:sz w:val="30"/>
          <w:szCs w:val="30"/>
          <w:highlight w:val="none"/>
        </w:rPr>
      </w:pPr>
      <w:bookmarkStart w:id="1011" w:name="_Toc26541"/>
      <w:bookmarkStart w:id="1012" w:name="_Toc195714406"/>
      <w:r>
        <w:rPr>
          <w:rFonts w:hint="eastAsia" w:ascii="宋体" w:hAnsi="宋体" w:eastAsia="宋体" w:cs="宋体"/>
          <w:b/>
          <w:color w:val="auto"/>
          <w:kern w:val="0"/>
          <w:sz w:val="30"/>
          <w:szCs w:val="30"/>
          <w:highlight w:val="none"/>
          <w:lang w:val="en-US" w:eastAsia="zh-CN"/>
        </w:rPr>
        <w:t>四</w:t>
      </w:r>
      <w:r>
        <w:rPr>
          <w:rFonts w:hint="eastAsia" w:ascii="宋体" w:hAnsi="宋体" w:eastAsia="宋体" w:cs="宋体"/>
          <w:b/>
          <w:color w:val="auto"/>
          <w:kern w:val="0"/>
          <w:sz w:val="30"/>
          <w:szCs w:val="30"/>
          <w:highlight w:val="none"/>
        </w:rPr>
        <w:t>、软件质量水平（投标人自行编写）</w:t>
      </w:r>
      <w:bookmarkEnd w:id="1011"/>
      <w:bookmarkEnd w:id="1012"/>
    </w:p>
    <w:p w14:paraId="0BB4C21C">
      <w:pPr>
        <w:widowControl/>
        <w:spacing w:line="360" w:lineRule="auto"/>
        <w:jc w:val="left"/>
        <w:rPr>
          <w:rFonts w:ascii="宋体" w:hAnsi="宋体" w:eastAsia="宋体" w:cs="宋体"/>
          <w:b/>
          <w:color w:val="auto"/>
          <w:kern w:val="0"/>
          <w:sz w:val="30"/>
          <w:szCs w:val="30"/>
          <w:highlight w:val="none"/>
        </w:rPr>
      </w:pPr>
    </w:p>
    <w:p w14:paraId="19BA8FFF">
      <w:pPr>
        <w:autoSpaceDE/>
        <w:autoSpaceDN/>
        <w:adjustRightInd/>
        <w:spacing w:line="240" w:lineRule="auto"/>
        <w:jc w:val="left"/>
        <w:outlineLvl w:val="9"/>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br w:type="page"/>
      </w:r>
    </w:p>
    <w:p w14:paraId="4F4FE9EA">
      <w:pPr>
        <w:tabs>
          <w:tab w:val="left" w:pos="567"/>
        </w:tabs>
        <w:autoSpaceDE w:val="0"/>
        <w:autoSpaceDN w:val="0"/>
        <w:adjustRightInd w:val="0"/>
        <w:spacing w:line="360" w:lineRule="auto"/>
        <w:jc w:val="left"/>
        <w:outlineLvl w:val="2"/>
        <w:rPr>
          <w:rFonts w:ascii="宋体" w:hAnsi="宋体" w:eastAsia="宋体" w:cs="宋体"/>
          <w:b/>
          <w:color w:val="auto"/>
          <w:kern w:val="0"/>
          <w:sz w:val="30"/>
          <w:szCs w:val="30"/>
          <w:highlight w:val="none"/>
        </w:rPr>
      </w:pPr>
      <w:bookmarkStart w:id="1013" w:name="_Toc195714407"/>
      <w:bookmarkStart w:id="1014" w:name="_Toc25329"/>
      <w:r>
        <w:rPr>
          <w:rFonts w:hint="eastAsia" w:ascii="宋体" w:hAnsi="宋体" w:eastAsia="宋体" w:cs="宋体"/>
          <w:b/>
          <w:color w:val="auto"/>
          <w:kern w:val="0"/>
          <w:sz w:val="30"/>
          <w:szCs w:val="30"/>
          <w:highlight w:val="none"/>
          <w:lang w:val="en-US" w:eastAsia="zh-CN"/>
        </w:rPr>
        <w:t>五</w:t>
      </w:r>
      <w:r>
        <w:rPr>
          <w:rFonts w:hint="eastAsia" w:ascii="宋体" w:hAnsi="宋体" w:eastAsia="宋体" w:cs="宋体"/>
          <w:b/>
          <w:color w:val="auto"/>
          <w:kern w:val="0"/>
          <w:sz w:val="30"/>
          <w:szCs w:val="30"/>
          <w:highlight w:val="none"/>
        </w:rPr>
        <w:t>、进度保证</w:t>
      </w:r>
      <w:bookmarkEnd w:id="1013"/>
      <w:bookmarkEnd w:id="1014"/>
    </w:p>
    <w:p w14:paraId="5BAE10E7">
      <w:pPr>
        <w:tabs>
          <w:tab w:val="left" w:pos="567"/>
        </w:tabs>
        <w:autoSpaceDE w:val="0"/>
        <w:autoSpaceDN w:val="0"/>
        <w:adjustRightInd w:val="0"/>
        <w:spacing w:line="360" w:lineRule="auto"/>
        <w:jc w:val="center"/>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lang w:bidi="ar"/>
        </w:rPr>
        <w:t>验收时间承诺</w:t>
      </w:r>
    </w:p>
    <w:tbl>
      <w:tblPr>
        <w:tblStyle w:val="44"/>
        <w:tblW w:w="49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6"/>
        <w:gridCol w:w="3339"/>
      </w:tblGrid>
      <w:tr w14:paraId="1805B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3357" w:type="pct"/>
            <w:tcBorders>
              <w:top w:val="single" w:color="auto" w:sz="4" w:space="0"/>
              <w:left w:val="single" w:color="auto" w:sz="4" w:space="0"/>
              <w:bottom w:val="single" w:color="auto" w:sz="4" w:space="0"/>
              <w:right w:val="single" w:color="auto" w:sz="4" w:space="0"/>
            </w:tcBorders>
            <w:shd w:val="clear" w:color="auto" w:fill="auto"/>
            <w:vAlign w:val="center"/>
          </w:tcPr>
          <w:p w14:paraId="3AF8D194">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shd w:val="clear" w:color="auto" w:fill="FFFFFF"/>
                <w:lang w:bidi="ar"/>
              </w:rPr>
              <w:t>承诺事项</w:t>
            </w:r>
          </w:p>
        </w:tc>
        <w:tc>
          <w:tcPr>
            <w:tcW w:w="1642" w:type="pct"/>
            <w:tcBorders>
              <w:top w:val="single" w:color="auto" w:sz="4" w:space="0"/>
              <w:left w:val="nil"/>
              <w:bottom w:val="single" w:color="auto" w:sz="4" w:space="0"/>
              <w:right w:val="single" w:color="auto" w:sz="4" w:space="0"/>
            </w:tcBorders>
            <w:shd w:val="clear" w:color="auto" w:fill="auto"/>
            <w:vAlign w:val="center"/>
          </w:tcPr>
          <w:p w14:paraId="58F93065">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shd w:val="clear" w:color="auto" w:fill="FFFFFF"/>
                <w:lang w:bidi="ar"/>
              </w:rPr>
              <w:t>承诺时间</w:t>
            </w:r>
          </w:p>
        </w:tc>
      </w:tr>
      <w:tr w14:paraId="6607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3357" w:type="pct"/>
            <w:tcBorders>
              <w:top w:val="single" w:color="auto" w:sz="4" w:space="0"/>
              <w:left w:val="single" w:color="auto" w:sz="4" w:space="0"/>
              <w:bottom w:val="single" w:color="auto" w:sz="4" w:space="0"/>
              <w:right w:val="single" w:color="auto" w:sz="4" w:space="0"/>
            </w:tcBorders>
            <w:shd w:val="clear" w:color="auto" w:fill="auto"/>
            <w:vAlign w:val="center"/>
          </w:tcPr>
          <w:p w14:paraId="25134B3A">
            <w:pPr>
              <w:keepNext w:val="0"/>
              <w:keepLines w:val="0"/>
              <w:suppressLineNumbers w:val="0"/>
              <w:autoSpaceDE w:val="0"/>
              <w:autoSpaceDN w:val="0"/>
              <w:adjustRightInd w:val="0"/>
              <w:spacing w:before="0" w:beforeAutospacing="0" w:after="0" w:afterAutospacing="0"/>
              <w:ind w:left="0" w:right="0"/>
              <w:jc w:val="left"/>
              <w:rPr>
                <w:rFonts w:hint="default" w:ascii="宋体" w:hAnsi="宋体" w:eastAsia="宋体" w:cs="宋体"/>
                <w:color w:val="auto"/>
                <w:szCs w:val="21"/>
                <w:highlight w:val="none"/>
                <w:shd w:val="clear" w:color="auto" w:fill="FFFFFF"/>
              </w:rPr>
            </w:pPr>
            <w:r>
              <w:rPr>
                <w:rFonts w:hint="eastAsia" w:ascii="宋体" w:hAnsi="宋体" w:eastAsia="宋体" w:cs="宋体"/>
                <w:color w:val="auto"/>
                <w:kern w:val="0"/>
                <w:szCs w:val="21"/>
                <w:highlight w:val="none"/>
                <w:lang w:bidi="ar"/>
              </w:rPr>
              <w:t>交接验收合格后完成全部设备的安装且经招标人初步验收合格的时间</w:t>
            </w:r>
          </w:p>
        </w:tc>
        <w:tc>
          <w:tcPr>
            <w:tcW w:w="1642" w:type="pct"/>
            <w:tcBorders>
              <w:top w:val="single" w:color="auto" w:sz="4" w:space="0"/>
              <w:left w:val="nil"/>
              <w:bottom w:val="single" w:color="auto" w:sz="4" w:space="0"/>
              <w:right w:val="single" w:color="auto" w:sz="4" w:space="0"/>
            </w:tcBorders>
            <w:shd w:val="clear" w:color="auto" w:fill="auto"/>
            <w:vAlign w:val="center"/>
          </w:tcPr>
          <w:p w14:paraId="2E97247F">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shd w:val="clear" w:color="auto" w:fill="FFFFFF"/>
              </w:rPr>
            </w:pP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lang w:bidi="ar"/>
              </w:rPr>
              <w:t>日</w:t>
            </w:r>
          </w:p>
        </w:tc>
      </w:tr>
    </w:tbl>
    <w:p w14:paraId="45AF3EA6">
      <w:pPr>
        <w:autoSpaceDE w:val="0"/>
        <w:autoSpaceDN w:val="0"/>
        <w:adjustRightInd w:val="0"/>
        <w:spacing w:line="360" w:lineRule="auto"/>
        <w:jc w:val="left"/>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备注：</w:t>
      </w:r>
    </w:p>
    <w:p w14:paraId="63725CB3">
      <w:pPr>
        <w:autoSpaceDE w:val="0"/>
        <w:autoSpaceDN w:val="0"/>
        <w:adjustRightInd w:val="0"/>
        <w:spacing w:line="360" w:lineRule="auto"/>
        <w:jc w:val="left"/>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1. 承诺的验收时间需按日（整数）填写，若填写数值为非整数，我方同意按小数点后的数字向上取整的方式调整承诺的验收时间数值。</w:t>
      </w:r>
    </w:p>
    <w:p w14:paraId="0D154ECB">
      <w:pPr>
        <w:autoSpaceDE w:val="0"/>
        <w:autoSpaceDN w:val="0"/>
        <w:adjustRightInd w:val="0"/>
        <w:spacing w:line="360" w:lineRule="auto"/>
        <w:jc w:val="left"/>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2. 本表承诺事项若未填或漏填的，视为投标人按用户需求书响应。</w:t>
      </w:r>
    </w:p>
    <w:p w14:paraId="4ABED771">
      <w:pPr>
        <w:autoSpaceDE w:val="0"/>
        <w:autoSpaceDN w:val="0"/>
        <w:adjustRightInd w:val="0"/>
        <w:spacing w:line="360" w:lineRule="auto"/>
        <w:jc w:val="left"/>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3. 本表承诺事项若与投标文件其他地方表述不一致的，以本承诺表为准。</w:t>
      </w:r>
    </w:p>
    <w:p w14:paraId="14E3EFC6">
      <w:pPr>
        <w:autoSpaceDE w:val="0"/>
        <w:autoSpaceDN w:val="0"/>
        <w:adjustRightInd w:val="0"/>
        <w:spacing w:line="360" w:lineRule="auto"/>
        <w:jc w:val="left"/>
        <w:rPr>
          <w:rFonts w:ascii="宋体" w:hAnsi="宋体" w:eastAsia="宋体" w:cs="宋体"/>
          <w:color w:val="auto"/>
          <w:sz w:val="24"/>
          <w:szCs w:val="24"/>
          <w:highlight w:val="none"/>
        </w:rPr>
      </w:pPr>
    </w:p>
    <w:p w14:paraId="643B580D">
      <w:pPr>
        <w:autoSpaceDE w:val="0"/>
        <w:autoSpaceDN w:val="0"/>
        <w:adjustRightInd w:val="0"/>
        <w:spacing w:line="360" w:lineRule="auto"/>
        <w:ind w:firstLine="3780" w:firstLineChars="1800"/>
        <w:rPr>
          <w:rFonts w:ascii="宋体" w:hAnsi="宋体" w:eastAsia="宋体" w:cs="宋体"/>
          <w:color w:val="auto"/>
          <w:szCs w:val="21"/>
          <w:highlight w:val="none"/>
          <w:lang w:bidi="ar"/>
        </w:rPr>
      </w:pPr>
    </w:p>
    <w:p w14:paraId="44E48656">
      <w:pPr>
        <w:autoSpaceDE w:val="0"/>
        <w:autoSpaceDN w:val="0"/>
        <w:adjustRightInd w:val="0"/>
        <w:spacing w:line="360" w:lineRule="auto"/>
        <w:ind w:firstLine="3780" w:firstLineChars="1800"/>
        <w:rPr>
          <w:rFonts w:ascii="宋体" w:hAnsi="宋体" w:eastAsia="宋体" w:cs="宋体"/>
          <w:color w:val="auto"/>
          <w:szCs w:val="21"/>
          <w:highlight w:val="none"/>
          <w:lang w:bidi="ar"/>
        </w:rPr>
      </w:pPr>
    </w:p>
    <w:p w14:paraId="38EC8349">
      <w:pPr>
        <w:autoSpaceDE w:val="0"/>
        <w:autoSpaceDN w:val="0"/>
        <w:adjustRightInd w:val="0"/>
        <w:spacing w:line="360" w:lineRule="auto"/>
        <w:ind w:firstLine="3780" w:firstLineChars="1800"/>
        <w:rPr>
          <w:rFonts w:ascii="宋体" w:hAnsi="宋体" w:eastAsia="宋体" w:cs="宋体"/>
          <w:color w:val="auto"/>
          <w:szCs w:val="21"/>
          <w:highlight w:val="none"/>
        </w:rPr>
      </w:pPr>
      <w:r>
        <w:rPr>
          <w:rFonts w:hint="eastAsia" w:ascii="宋体" w:hAnsi="宋体" w:eastAsia="宋体" w:cs="宋体"/>
          <w:color w:val="auto"/>
          <w:szCs w:val="21"/>
          <w:highlight w:val="none"/>
          <w:lang w:bidi="ar"/>
        </w:rPr>
        <w:t>投标人：</w:t>
      </w:r>
      <w:r>
        <w:rPr>
          <w:rFonts w:hint="eastAsia" w:ascii="宋体" w:hAnsi="宋体" w:eastAsia="宋体" w:cs="宋体"/>
          <w:color w:val="auto"/>
          <w:szCs w:val="21"/>
          <w:highlight w:val="none"/>
          <w:u w:val="single"/>
          <w:lang w:bidi="ar"/>
        </w:rPr>
        <w:t xml:space="preserve">             （企业数字证书电子签名）</w:t>
      </w:r>
    </w:p>
    <w:p w14:paraId="6AC873EE">
      <w:pPr>
        <w:autoSpaceDE w:val="0"/>
        <w:autoSpaceDN w:val="0"/>
        <w:adjustRightInd w:val="0"/>
        <w:spacing w:line="360" w:lineRule="auto"/>
        <w:ind w:firstLine="3780" w:firstLineChars="1800"/>
        <w:rPr>
          <w:rFonts w:ascii="宋体" w:hAnsi="宋体" w:eastAsia="宋体" w:cs="Times New Roman"/>
          <w:color w:val="auto"/>
          <w:szCs w:val="21"/>
          <w:highlight w:val="none"/>
        </w:rPr>
      </w:pPr>
      <w:r>
        <w:rPr>
          <w:rFonts w:hint="eastAsia" w:ascii="宋体" w:hAnsi="宋体" w:eastAsia="宋体" w:cs="宋体"/>
          <w:color w:val="auto"/>
          <w:szCs w:val="21"/>
          <w:highlight w:val="none"/>
          <w:lang w:bidi="ar"/>
        </w:rPr>
        <w:t>日期：</w:t>
      </w:r>
      <w:r>
        <w:rPr>
          <w:rFonts w:hint="eastAsia" w:ascii="宋体" w:hAnsi="宋体" w:eastAsia="宋体" w:cs="Times New Roman"/>
          <w:color w:val="auto"/>
          <w:szCs w:val="21"/>
          <w:highlight w:val="none"/>
          <w:lang w:bidi="ar"/>
        </w:rPr>
        <w:t xml:space="preserve">   </w:t>
      </w:r>
      <w:r>
        <w:rPr>
          <w:rFonts w:hint="eastAsia" w:ascii="宋体" w:hAnsi="宋体" w:eastAsia="宋体" w:cs="宋体"/>
          <w:color w:val="auto"/>
          <w:szCs w:val="21"/>
          <w:highlight w:val="none"/>
          <w:lang w:bidi="ar"/>
        </w:rPr>
        <w:t>年</w:t>
      </w:r>
      <w:r>
        <w:rPr>
          <w:rFonts w:hint="eastAsia" w:ascii="宋体" w:hAnsi="宋体" w:eastAsia="宋体" w:cs="Times New Roman"/>
          <w:color w:val="auto"/>
          <w:szCs w:val="21"/>
          <w:highlight w:val="none"/>
          <w:lang w:bidi="ar"/>
        </w:rPr>
        <w:t xml:space="preserve">   </w:t>
      </w:r>
      <w:r>
        <w:rPr>
          <w:rFonts w:hint="eastAsia" w:ascii="宋体" w:hAnsi="宋体" w:eastAsia="宋体" w:cs="宋体"/>
          <w:color w:val="auto"/>
          <w:szCs w:val="21"/>
          <w:highlight w:val="none"/>
          <w:lang w:bidi="ar"/>
        </w:rPr>
        <w:t>月</w:t>
      </w:r>
      <w:r>
        <w:rPr>
          <w:rFonts w:hint="eastAsia" w:ascii="宋体" w:hAnsi="宋体" w:eastAsia="宋体" w:cs="Times New Roman"/>
          <w:color w:val="auto"/>
          <w:szCs w:val="21"/>
          <w:highlight w:val="none"/>
          <w:lang w:bidi="ar"/>
        </w:rPr>
        <w:t xml:space="preserve">   </w:t>
      </w:r>
      <w:r>
        <w:rPr>
          <w:rFonts w:hint="eastAsia" w:ascii="宋体" w:hAnsi="宋体" w:eastAsia="宋体" w:cs="宋体"/>
          <w:color w:val="auto"/>
          <w:szCs w:val="21"/>
          <w:highlight w:val="none"/>
          <w:lang w:bidi="ar"/>
        </w:rPr>
        <w:t>日</w:t>
      </w:r>
    </w:p>
    <w:p w14:paraId="4C1B8A78">
      <w:pPr>
        <w:autoSpaceDE w:val="0"/>
        <w:autoSpaceDN w:val="0"/>
        <w:adjustRightInd w:val="0"/>
        <w:spacing w:line="360" w:lineRule="auto"/>
        <w:jc w:val="center"/>
        <w:rPr>
          <w:rFonts w:ascii="宋体" w:hAnsi="宋体" w:eastAsia="宋体" w:cs="Times New Roman"/>
          <w:b/>
          <w:bCs/>
          <w:color w:val="auto"/>
          <w:szCs w:val="21"/>
          <w:highlight w:val="none"/>
        </w:rPr>
      </w:pPr>
      <w:r>
        <w:rPr>
          <w:rFonts w:hint="eastAsia" w:ascii="宋体" w:hAnsi="宋体" w:eastAsia="宋体" w:cs="Times New Roman"/>
          <w:b/>
          <w:bCs/>
          <w:color w:val="auto"/>
          <w:szCs w:val="21"/>
          <w:highlight w:val="none"/>
          <w:lang w:bidi="ar"/>
        </w:rPr>
        <w:t xml:space="preserve"> </w:t>
      </w:r>
    </w:p>
    <w:p w14:paraId="293BD9E7">
      <w:pPr>
        <w:widowControl/>
        <w:autoSpaceDE w:val="0"/>
        <w:autoSpaceDN w:val="0"/>
        <w:adjustRightInd w:val="0"/>
        <w:spacing w:line="360" w:lineRule="auto"/>
        <w:jc w:val="center"/>
        <w:rPr>
          <w:rFonts w:ascii="宋体" w:hAnsi="宋体" w:eastAsia="宋体" w:cs="Times New Roman"/>
          <w:color w:val="auto"/>
          <w:szCs w:val="21"/>
          <w:highlight w:val="none"/>
        </w:rPr>
      </w:pPr>
      <w:r>
        <w:rPr>
          <w:rFonts w:hint="eastAsia" w:ascii="宋体" w:hAnsi="宋体" w:eastAsia="宋体" w:cs="宋体"/>
          <w:b/>
          <w:bCs/>
          <w:color w:val="auto"/>
          <w:szCs w:val="21"/>
          <w:highlight w:val="none"/>
          <w:lang w:bidi="ar"/>
        </w:rPr>
        <w:t>说明：由投标人使用投标人的企业数字证书电子签名。</w:t>
      </w:r>
    </w:p>
    <w:p w14:paraId="6E74046C">
      <w:pPr>
        <w:widowControl/>
        <w:spacing w:line="360" w:lineRule="auto"/>
        <w:jc w:val="left"/>
        <w:rPr>
          <w:rFonts w:ascii="宋体" w:hAnsi="宋体" w:eastAsia="宋体" w:cs="宋体"/>
          <w:b/>
          <w:color w:val="auto"/>
          <w:kern w:val="0"/>
          <w:sz w:val="30"/>
          <w:szCs w:val="30"/>
          <w:highlight w:val="none"/>
        </w:rPr>
      </w:pPr>
    </w:p>
    <w:p w14:paraId="4F90F0A8">
      <w:pPr>
        <w:jc w:val="left"/>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br w:type="page"/>
      </w:r>
    </w:p>
    <w:p w14:paraId="6D2C631A">
      <w:pPr>
        <w:tabs>
          <w:tab w:val="left" w:pos="567"/>
        </w:tabs>
        <w:autoSpaceDE w:val="0"/>
        <w:autoSpaceDN w:val="0"/>
        <w:adjustRightInd w:val="0"/>
        <w:spacing w:line="360" w:lineRule="auto"/>
        <w:jc w:val="left"/>
        <w:outlineLvl w:val="2"/>
        <w:rPr>
          <w:rFonts w:ascii="宋体" w:hAnsi="宋体" w:eastAsia="宋体" w:cs="宋体"/>
          <w:b/>
          <w:color w:val="auto"/>
          <w:kern w:val="0"/>
          <w:sz w:val="30"/>
          <w:szCs w:val="30"/>
          <w:highlight w:val="none"/>
        </w:rPr>
      </w:pPr>
      <w:bookmarkStart w:id="1015" w:name="_Toc195714408"/>
      <w:bookmarkStart w:id="1016" w:name="_Toc29450"/>
      <w:r>
        <w:rPr>
          <w:rFonts w:hint="eastAsia" w:ascii="宋体" w:hAnsi="宋体" w:eastAsia="宋体" w:cs="宋体"/>
          <w:b/>
          <w:color w:val="auto"/>
          <w:kern w:val="0"/>
          <w:sz w:val="30"/>
          <w:szCs w:val="30"/>
          <w:highlight w:val="none"/>
          <w:lang w:val="en-US" w:eastAsia="zh-CN"/>
        </w:rPr>
        <w:t>六</w:t>
      </w:r>
      <w:r>
        <w:rPr>
          <w:rFonts w:hint="eastAsia" w:ascii="宋体" w:hAnsi="宋体" w:eastAsia="宋体" w:cs="宋体"/>
          <w:b/>
          <w:color w:val="auto"/>
          <w:kern w:val="0"/>
          <w:sz w:val="30"/>
          <w:szCs w:val="30"/>
          <w:highlight w:val="none"/>
        </w:rPr>
        <w:t>、售后服务保障</w:t>
      </w:r>
      <w:bookmarkEnd w:id="1015"/>
      <w:bookmarkEnd w:id="1016"/>
    </w:p>
    <w:p w14:paraId="73A59D95">
      <w:pPr>
        <w:tabs>
          <w:tab w:val="left" w:pos="567"/>
        </w:tabs>
        <w:autoSpaceDE w:val="0"/>
        <w:autoSpaceDN w:val="0"/>
        <w:adjustRightInd w:val="0"/>
        <w:spacing w:line="360" w:lineRule="auto"/>
        <w:jc w:val="center"/>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设备、软件、系统质保期承诺</w:t>
      </w:r>
    </w:p>
    <w:tbl>
      <w:tblPr>
        <w:tblStyle w:val="44"/>
        <w:tblW w:w="49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1"/>
        <w:gridCol w:w="3634"/>
      </w:tblGrid>
      <w:tr w14:paraId="78C8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3212" w:type="pct"/>
            <w:tcBorders>
              <w:top w:val="single" w:color="auto" w:sz="4" w:space="0"/>
              <w:left w:val="single" w:color="auto" w:sz="4" w:space="0"/>
              <w:bottom w:val="single" w:color="auto" w:sz="4" w:space="0"/>
              <w:right w:val="single" w:color="auto" w:sz="4" w:space="0"/>
            </w:tcBorders>
            <w:shd w:val="clear" w:color="auto" w:fill="auto"/>
            <w:vAlign w:val="center"/>
          </w:tcPr>
          <w:p w14:paraId="3D81331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shd w:val="clear" w:color="auto" w:fill="FFFFFF"/>
                <w:lang w:bidi="ar"/>
              </w:rPr>
              <w:t>承诺事项</w:t>
            </w:r>
          </w:p>
        </w:tc>
        <w:tc>
          <w:tcPr>
            <w:tcW w:w="1787" w:type="pct"/>
            <w:tcBorders>
              <w:top w:val="single" w:color="auto" w:sz="4" w:space="0"/>
              <w:left w:val="nil"/>
              <w:bottom w:val="single" w:color="auto" w:sz="4" w:space="0"/>
              <w:right w:val="single" w:color="auto" w:sz="4" w:space="0"/>
            </w:tcBorders>
            <w:shd w:val="clear" w:color="auto" w:fill="auto"/>
            <w:vAlign w:val="center"/>
          </w:tcPr>
          <w:p w14:paraId="2D0B40F3">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shd w:val="clear" w:color="auto" w:fill="FFFFFF"/>
                <w:lang w:bidi="ar"/>
              </w:rPr>
              <w:t>承诺时间</w:t>
            </w:r>
          </w:p>
        </w:tc>
      </w:tr>
      <w:tr w14:paraId="62F0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3212" w:type="pct"/>
            <w:tcBorders>
              <w:top w:val="single" w:color="auto" w:sz="4" w:space="0"/>
              <w:left w:val="single" w:color="auto" w:sz="4" w:space="0"/>
              <w:bottom w:val="single" w:color="auto" w:sz="4" w:space="0"/>
              <w:right w:val="single" w:color="auto" w:sz="4" w:space="0"/>
            </w:tcBorders>
            <w:shd w:val="clear" w:color="auto" w:fill="auto"/>
            <w:vAlign w:val="center"/>
          </w:tcPr>
          <w:p w14:paraId="417D16CB">
            <w:pPr>
              <w:keepNext w:val="0"/>
              <w:keepLines w:val="0"/>
              <w:suppressLineNumbers w:val="0"/>
              <w:autoSpaceDE w:val="0"/>
              <w:autoSpaceDN w:val="0"/>
              <w:adjustRightInd w:val="0"/>
              <w:spacing w:before="0" w:beforeAutospacing="0" w:after="0" w:afterAutospacing="0"/>
              <w:ind w:left="0" w:right="0"/>
              <w:jc w:val="left"/>
              <w:rPr>
                <w:rFonts w:hint="default" w:ascii="宋体" w:hAnsi="宋体" w:eastAsia="宋体" w:cs="宋体"/>
                <w:color w:val="auto"/>
                <w:szCs w:val="21"/>
                <w:highlight w:val="none"/>
                <w:shd w:val="clear" w:color="auto" w:fill="FFFFFF"/>
              </w:rPr>
            </w:pPr>
            <w:r>
              <w:rPr>
                <w:rFonts w:hint="eastAsia" w:ascii="宋体" w:hAnsi="宋体" w:eastAsia="宋体" w:cs="宋体"/>
                <w:color w:val="auto"/>
                <w:kern w:val="0"/>
                <w:szCs w:val="21"/>
                <w:highlight w:val="none"/>
                <w:lang w:bidi="ar"/>
              </w:rPr>
              <w:t>在满足用户需求书至少提供24个月设备、软件、系统质保期的基础上，自愿承诺免费增加的质保期</w:t>
            </w:r>
          </w:p>
        </w:tc>
        <w:tc>
          <w:tcPr>
            <w:tcW w:w="1787" w:type="pct"/>
            <w:tcBorders>
              <w:top w:val="single" w:color="auto" w:sz="4" w:space="0"/>
              <w:left w:val="nil"/>
              <w:bottom w:val="single" w:color="auto" w:sz="4" w:space="0"/>
              <w:right w:val="single" w:color="auto" w:sz="4" w:space="0"/>
            </w:tcBorders>
            <w:shd w:val="clear" w:color="auto" w:fill="auto"/>
            <w:vAlign w:val="center"/>
          </w:tcPr>
          <w:p w14:paraId="46F904C0">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宋体"/>
                <w:color w:val="auto"/>
                <w:szCs w:val="21"/>
                <w:highlight w:val="none"/>
                <w:shd w:val="clear" w:color="auto" w:fill="FFFFFF"/>
              </w:rPr>
            </w:pP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lang w:bidi="ar"/>
              </w:rPr>
              <w:t>个月</w:t>
            </w:r>
          </w:p>
        </w:tc>
      </w:tr>
    </w:tbl>
    <w:p w14:paraId="2BA4D1B1">
      <w:pPr>
        <w:autoSpaceDE w:val="0"/>
        <w:autoSpaceDN w:val="0"/>
        <w:adjustRightInd w:val="0"/>
        <w:spacing w:line="360" w:lineRule="auto"/>
        <w:jc w:val="left"/>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备注：</w:t>
      </w:r>
    </w:p>
    <w:p w14:paraId="238578D9">
      <w:pPr>
        <w:autoSpaceDE w:val="0"/>
        <w:autoSpaceDN w:val="0"/>
        <w:adjustRightInd w:val="0"/>
        <w:spacing w:line="360" w:lineRule="auto"/>
        <w:jc w:val="left"/>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1. 承诺的质保期需按月（整数）填写，若填写数值为非整数，我方同意按小数点后的数字向上取整的方式调整承诺的质保期数值。</w:t>
      </w:r>
    </w:p>
    <w:p w14:paraId="32E473EB">
      <w:pPr>
        <w:autoSpaceDE w:val="0"/>
        <w:autoSpaceDN w:val="0"/>
        <w:adjustRightInd w:val="0"/>
        <w:spacing w:line="360" w:lineRule="auto"/>
        <w:jc w:val="left"/>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2. 本表承诺事项若未填或漏填的，视为投标人按用户需求书响应。</w:t>
      </w:r>
    </w:p>
    <w:p w14:paraId="4DFAB1F0">
      <w:pPr>
        <w:autoSpaceDE w:val="0"/>
        <w:autoSpaceDN w:val="0"/>
        <w:adjustRightInd w:val="0"/>
        <w:spacing w:line="360" w:lineRule="auto"/>
        <w:jc w:val="left"/>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3. 本表承诺事项若与投标文件其他地方表述不一致的，以本承诺表为准。</w:t>
      </w:r>
    </w:p>
    <w:p w14:paraId="25D2ECF8">
      <w:pPr>
        <w:autoSpaceDE w:val="0"/>
        <w:autoSpaceDN w:val="0"/>
        <w:adjustRightInd w:val="0"/>
        <w:spacing w:line="360" w:lineRule="auto"/>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 </w:t>
      </w:r>
    </w:p>
    <w:p w14:paraId="70721E68">
      <w:pPr>
        <w:autoSpaceDE w:val="0"/>
        <w:autoSpaceDN w:val="0"/>
        <w:adjustRightInd w:val="0"/>
        <w:spacing w:line="360" w:lineRule="auto"/>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 </w:t>
      </w:r>
    </w:p>
    <w:p w14:paraId="430A3178">
      <w:pPr>
        <w:autoSpaceDE w:val="0"/>
        <w:autoSpaceDN w:val="0"/>
        <w:adjustRightInd w:val="0"/>
        <w:spacing w:line="360" w:lineRule="auto"/>
        <w:ind w:firstLine="3780" w:firstLineChars="180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0359E77C">
      <w:pPr>
        <w:autoSpaceDE w:val="0"/>
        <w:autoSpaceDN w:val="0"/>
        <w:adjustRightInd w:val="0"/>
        <w:spacing w:line="360" w:lineRule="auto"/>
        <w:ind w:firstLine="3780" w:firstLineChars="1800"/>
        <w:rPr>
          <w:rFonts w:ascii="宋体" w:hAnsi="宋体" w:eastAsia="宋体" w:cs="Times New Roman"/>
          <w:color w:val="auto"/>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s="Times New Roman"/>
          <w:color w:val="auto"/>
          <w:szCs w:val="24"/>
          <w:highlight w:val="none"/>
          <w:lang w:val="zh-CN"/>
        </w:rPr>
        <w:t>期：   年   月   日</w:t>
      </w:r>
    </w:p>
    <w:p w14:paraId="34C968B3">
      <w:pPr>
        <w:autoSpaceDE w:val="0"/>
        <w:autoSpaceDN w:val="0"/>
        <w:adjustRightInd w:val="0"/>
        <w:spacing w:line="360" w:lineRule="auto"/>
        <w:jc w:val="center"/>
        <w:rPr>
          <w:rFonts w:ascii="宋体" w:hAnsi="宋体" w:eastAsia="宋体" w:cs="Times New Roman"/>
          <w:b/>
          <w:bCs/>
          <w:color w:val="auto"/>
          <w:szCs w:val="24"/>
          <w:highlight w:val="none"/>
          <w:lang w:val="zh-CN"/>
        </w:rPr>
      </w:pPr>
    </w:p>
    <w:p w14:paraId="7F957216">
      <w:pPr>
        <w:widowControl/>
        <w:autoSpaceDE w:val="0"/>
        <w:autoSpaceDN w:val="0"/>
        <w:adjustRightInd w:val="0"/>
        <w:spacing w:line="360" w:lineRule="auto"/>
        <w:jc w:val="center"/>
        <w:rPr>
          <w:rFonts w:ascii="宋体" w:hAnsi="宋体" w:eastAsia="宋体" w:cs="Times New Roman"/>
          <w:color w:val="auto"/>
          <w:szCs w:val="21"/>
          <w:highlight w:val="none"/>
        </w:rPr>
      </w:pPr>
      <w:r>
        <w:rPr>
          <w:rFonts w:hint="eastAsia" w:ascii="宋体" w:hAnsi="宋体" w:eastAsia="宋体" w:cs="Times New Roman"/>
          <w:b/>
          <w:bCs/>
          <w:color w:val="auto"/>
          <w:szCs w:val="24"/>
          <w:highlight w:val="none"/>
          <w:lang w:val="zh-CN"/>
        </w:rPr>
        <w:t>说明：由投标人使用投标人的企业数字证书电子签名。</w:t>
      </w:r>
    </w:p>
    <w:p w14:paraId="71DE2DA3">
      <w:pPr>
        <w:tabs>
          <w:tab w:val="left" w:pos="567"/>
        </w:tabs>
        <w:autoSpaceDE w:val="0"/>
        <w:autoSpaceDN w:val="0"/>
        <w:adjustRightInd w:val="0"/>
        <w:spacing w:line="360" w:lineRule="auto"/>
        <w:jc w:val="left"/>
        <w:rPr>
          <w:rFonts w:ascii="宋体" w:hAnsi="宋体" w:eastAsia="宋体" w:cs="宋体"/>
          <w:b/>
          <w:color w:val="auto"/>
          <w:kern w:val="0"/>
          <w:sz w:val="30"/>
          <w:szCs w:val="30"/>
          <w:highlight w:val="none"/>
        </w:rPr>
      </w:pPr>
    </w:p>
    <w:p w14:paraId="0272F6C9">
      <w:pPr>
        <w:tabs>
          <w:tab w:val="left" w:pos="567"/>
        </w:tabs>
        <w:autoSpaceDE w:val="0"/>
        <w:autoSpaceDN w:val="0"/>
        <w:adjustRightInd w:val="0"/>
        <w:spacing w:line="360" w:lineRule="auto"/>
        <w:jc w:val="left"/>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br w:type="page"/>
      </w:r>
    </w:p>
    <w:bookmarkEnd w:id="1005"/>
    <w:bookmarkEnd w:id="1006"/>
    <w:bookmarkEnd w:id="1007"/>
    <w:bookmarkEnd w:id="1008"/>
    <w:bookmarkEnd w:id="1009"/>
    <w:p w14:paraId="69C04456">
      <w:pPr>
        <w:tabs>
          <w:tab w:val="left" w:pos="567"/>
        </w:tabs>
        <w:autoSpaceDE w:val="0"/>
        <w:autoSpaceDN w:val="0"/>
        <w:adjustRightInd w:val="0"/>
        <w:spacing w:line="360" w:lineRule="auto"/>
        <w:jc w:val="left"/>
        <w:outlineLvl w:val="2"/>
        <w:rPr>
          <w:rFonts w:ascii="宋体" w:hAnsi="宋体" w:eastAsia="宋体" w:cs="宋体"/>
          <w:b/>
          <w:color w:val="auto"/>
          <w:kern w:val="0"/>
          <w:sz w:val="30"/>
          <w:szCs w:val="30"/>
          <w:highlight w:val="none"/>
        </w:rPr>
      </w:pPr>
      <w:bookmarkStart w:id="1017" w:name="_Toc195714409"/>
      <w:bookmarkStart w:id="1018" w:name="_Toc31805"/>
      <w:r>
        <w:rPr>
          <w:rFonts w:hint="eastAsia" w:ascii="宋体" w:hAnsi="宋体" w:eastAsia="宋体" w:cs="宋体"/>
          <w:b/>
          <w:color w:val="auto"/>
          <w:kern w:val="0"/>
          <w:sz w:val="30"/>
          <w:szCs w:val="30"/>
          <w:highlight w:val="none"/>
          <w:lang w:val="en-US" w:eastAsia="zh-CN"/>
        </w:rPr>
        <w:t>七</w:t>
      </w:r>
      <w:r>
        <w:rPr>
          <w:rFonts w:hint="eastAsia" w:ascii="宋体" w:hAnsi="宋体" w:eastAsia="宋体" w:cs="宋体"/>
          <w:b/>
          <w:color w:val="auto"/>
          <w:kern w:val="0"/>
          <w:sz w:val="30"/>
          <w:szCs w:val="30"/>
          <w:highlight w:val="none"/>
        </w:rPr>
        <w:t>、投标人认为有必要提供的其它材料（不做强制要求）</w:t>
      </w:r>
      <w:bookmarkEnd w:id="1017"/>
      <w:bookmarkEnd w:id="1018"/>
    </w:p>
    <w:p w14:paraId="47AD93DC">
      <w:pPr>
        <w:autoSpaceDE w:val="0"/>
        <w:autoSpaceDN w:val="0"/>
        <w:adjustRightInd w:val="0"/>
        <w:jc w:val="left"/>
        <w:rPr>
          <w:rFonts w:ascii="宋体" w:hAnsi="宋体" w:eastAsia="宋体" w:cs="Times New Roman"/>
          <w:color w:val="auto"/>
          <w:kern w:val="0"/>
          <w:sz w:val="24"/>
          <w:szCs w:val="24"/>
          <w:highlight w:val="none"/>
        </w:rPr>
      </w:pPr>
    </w:p>
    <w:p w14:paraId="57A65BEB">
      <w:pPr>
        <w:autoSpaceDE w:val="0"/>
        <w:autoSpaceDN w:val="0"/>
        <w:adjustRightInd w:val="0"/>
        <w:jc w:val="left"/>
        <w:rPr>
          <w:rFonts w:ascii="宋体" w:hAnsi="宋体" w:eastAsia="宋体" w:cs="Times New Roman"/>
          <w:color w:val="auto"/>
          <w:kern w:val="0"/>
          <w:sz w:val="24"/>
          <w:szCs w:val="24"/>
          <w:highlight w:val="none"/>
        </w:rPr>
      </w:pPr>
    </w:p>
    <w:p w14:paraId="1667AC96">
      <w:pPr>
        <w:autoSpaceDE w:val="0"/>
        <w:autoSpaceDN w:val="0"/>
        <w:adjustRightInd w:val="0"/>
        <w:jc w:val="left"/>
        <w:rPr>
          <w:rFonts w:ascii="宋体" w:hAnsi="宋体" w:eastAsia="宋体" w:cs="Times New Roman"/>
          <w:color w:val="auto"/>
          <w:kern w:val="0"/>
          <w:sz w:val="24"/>
          <w:szCs w:val="24"/>
          <w:highlight w:val="none"/>
        </w:rPr>
      </w:pPr>
    </w:p>
    <w:p w14:paraId="54C2B12B">
      <w:pPr>
        <w:autoSpaceDE w:val="0"/>
        <w:autoSpaceDN w:val="0"/>
        <w:adjustRightInd w:val="0"/>
        <w:jc w:val="left"/>
        <w:rPr>
          <w:rFonts w:ascii="宋体" w:hAnsi="宋体" w:eastAsia="宋体" w:cs="Times New Roman"/>
          <w:color w:val="auto"/>
          <w:kern w:val="0"/>
          <w:sz w:val="24"/>
          <w:szCs w:val="24"/>
          <w:highlight w:val="none"/>
        </w:rPr>
      </w:pPr>
    </w:p>
    <w:p w14:paraId="761B8F2F">
      <w:pPr>
        <w:autoSpaceDE/>
        <w:autoSpaceDN/>
        <w:adjustRightInd/>
        <w:jc w:val="left"/>
        <w:rPr>
          <w:rFonts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5617DAB5">
      <w:pPr>
        <w:jc w:val="center"/>
        <w:outlineLvl w:val="1"/>
        <w:rPr>
          <w:rFonts w:ascii="宋体" w:hAnsi="宋体" w:eastAsia="宋体" w:cs="宋体"/>
          <w:b/>
          <w:color w:val="auto"/>
          <w:kern w:val="0"/>
          <w:sz w:val="32"/>
          <w:szCs w:val="32"/>
          <w:highlight w:val="none"/>
        </w:rPr>
      </w:pPr>
      <w:bookmarkStart w:id="1019" w:name="_Toc13980"/>
      <w:bookmarkStart w:id="1020" w:name="_Toc195714410"/>
      <w:r>
        <w:rPr>
          <w:rFonts w:hint="eastAsia" w:ascii="宋体" w:hAnsi="宋体" w:eastAsia="宋体" w:cs="宋体"/>
          <w:b/>
          <w:color w:val="auto"/>
          <w:kern w:val="0"/>
          <w:sz w:val="32"/>
          <w:szCs w:val="32"/>
          <w:highlight w:val="none"/>
        </w:rPr>
        <w:t>三  投标文件报价信封格式</w:t>
      </w:r>
      <w:bookmarkEnd w:id="1019"/>
      <w:bookmarkEnd w:id="1020"/>
    </w:p>
    <w:p w14:paraId="4D41762F">
      <w:pPr>
        <w:jc w:val="center"/>
        <w:rPr>
          <w:rFonts w:ascii="宋体" w:hAnsi="宋体" w:eastAsia="宋体" w:cs="宋体"/>
          <w:b/>
          <w:color w:val="auto"/>
          <w:kern w:val="0"/>
          <w:sz w:val="32"/>
          <w:szCs w:val="32"/>
          <w:highlight w:val="none"/>
        </w:rPr>
      </w:pPr>
    </w:p>
    <w:p w14:paraId="7EFD82B6">
      <w:pPr>
        <w:autoSpaceDE w:val="0"/>
        <w:autoSpaceDN w:val="0"/>
        <w:adjustRightInd w:val="0"/>
        <w:spacing w:line="360" w:lineRule="auto"/>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本部分由投标人使用电子标书制作软件编制并生成报价信封。报价信封的编制要求详见第二篇投标人须知第17.6.3项。由投标人按格式要求进行电子签名。</w:t>
      </w:r>
    </w:p>
    <w:p w14:paraId="60EDC745">
      <w:pPr>
        <w:autoSpaceDE w:val="0"/>
        <w:autoSpaceDN w:val="0"/>
        <w:adjustRightInd w:val="0"/>
        <w:jc w:val="left"/>
        <w:rPr>
          <w:rFonts w:ascii="宋体" w:hAnsi="宋体" w:eastAsia="宋体" w:cs="Times New Roman"/>
          <w:color w:val="auto"/>
          <w:kern w:val="0"/>
          <w:sz w:val="24"/>
          <w:szCs w:val="24"/>
          <w:highlight w:val="none"/>
        </w:rPr>
      </w:pPr>
    </w:p>
    <w:p w14:paraId="00592BEB">
      <w:pPr>
        <w:autoSpaceDE w:val="0"/>
        <w:autoSpaceDN w:val="0"/>
        <w:adjustRightInd w:val="0"/>
        <w:jc w:val="left"/>
        <w:rPr>
          <w:rFonts w:ascii="宋体" w:hAnsi="宋体" w:eastAsia="宋体" w:cs="Times New Roman"/>
          <w:color w:val="auto"/>
          <w:kern w:val="0"/>
          <w:sz w:val="24"/>
          <w:szCs w:val="24"/>
          <w:highlight w:val="none"/>
        </w:rPr>
      </w:pPr>
    </w:p>
    <w:p w14:paraId="50233794">
      <w:pPr>
        <w:autoSpaceDE w:val="0"/>
        <w:autoSpaceDN w:val="0"/>
        <w:adjustRightInd w:val="0"/>
        <w:jc w:val="left"/>
        <w:rPr>
          <w:rFonts w:ascii="宋体" w:hAnsi="宋体" w:eastAsia="宋体" w:cs="Times New Roman"/>
          <w:color w:val="auto"/>
          <w:kern w:val="0"/>
          <w:sz w:val="24"/>
          <w:szCs w:val="24"/>
          <w:highlight w:val="none"/>
        </w:rPr>
      </w:pPr>
    </w:p>
    <w:p w14:paraId="68E16F30">
      <w:pPr>
        <w:autoSpaceDE w:val="0"/>
        <w:autoSpaceDN w:val="0"/>
        <w:adjustRightInd w:val="0"/>
        <w:jc w:val="left"/>
        <w:rPr>
          <w:rFonts w:ascii="宋体" w:hAnsi="宋体" w:eastAsia="宋体" w:cs="Times New Roman"/>
          <w:color w:val="auto"/>
          <w:kern w:val="0"/>
          <w:sz w:val="24"/>
          <w:szCs w:val="24"/>
          <w:highlight w:val="none"/>
        </w:rPr>
      </w:pPr>
    </w:p>
    <w:p w14:paraId="22B3B62A">
      <w:pPr>
        <w:autoSpaceDE w:val="0"/>
        <w:autoSpaceDN w:val="0"/>
        <w:adjustRightInd w:val="0"/>
        <w:jc w:val="left"/>
        <w:rPr>
          <w:rFonts w:ascii="宋体" w:hAnsi="宋体" w:eastAsia="宋体" w:cs="Times New Roman"/>
          <w:color w:val="auto"/>
          <w:kern w:val="0"/>
          <w:sz w:val="24"/>
          <w:szCs w:val="24"/>
          <w:highlight w:val="none"/>
        </w:rPr>
      </w:pPr>
    </w:p>
    <w:p w14:paraId="14D40DFB">
      <w:pPr>
        <w:widowControl/>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br w:type="page"/>
      </w:r>
    </w:p>
    <w:p w14:paraId="241893FD">
      <w:pPr>
        <w:autoSpaceDE w:val="0"/>
        <w:autoSpaceDN w:val="0"/>
        <w:adjustRightInd w:val="0"/>
        <w:jc w:val="left"/>
        <w:rPr>
          <w:rFonts w:ascii="宋体" w:hAnsi="宋体" w:eastAsia="宋体" w:cs="Times New Roman"/>
          <w:color w:val="auto"/>
          <w:kern w:val="0"/>
          <w:sz w:val="24"/>
          <w:szCs w:val="24"/>
          <w:highlight w:val="none"/>
        </w:rPr>
      </w:pPr>
    </w:p>
    <w:p w14:paraId="252363FD">
      <w:pPr>
        <w:tabs>
          <w:tab w:val="left" w:pos="1080"/>
        </w:tabs>
        <w:autoSpaceDE w:val="0"/>
        <w:autoSpaceDN w:val="0"/>
        <w:adjustRightInd w:val="0"/>
        <w:spacing w:line="360" w:lineRule="auto"/>
        <w:jc w:val="left"/>
        <w:outlineLvl w:val="0"/>
        <w:rPr>
          <w:rFonts w:ascii="宋体" w:hAnsi="宋体" w:eastAsia="宋体" w:cs="宋体"/>
          <w:b/>
          <w:bCs/>
          <w:color w:val="auto"/>
          <w:kern w:val="44"/>
          <w:sz w:val="32"/>
          <w:szCs w:val="32"/>
          <w:highlight w:val="none"/>
          <w:lang w:val="zh-CN"/>
        </w:rPr>
      </w:pPr>
      <w:bookmarkStart w:id="1021" w:name="_Toc21059"/>
      <w:bookmarkStart w:id="1022" w:name="_Toc195714411"/>
      <w:bookmarkStart w:id="1023" w:name="_Toc15947"/>
      <w:bookmarkStart w:id="1024" w:name="_Toc142508390"/>
      <w:bookmarkStart w:id="1025" w:name="_Toc14977"/>
      <w:bookmarkStart w:id="1026" w:name="_Toc521918141"/>
      <w:bookmarkStart w:id="1027" w:name="_Toc22601_WPSOffice_Level1"/>
      <w:bookmarkStart w:id="1028" w:name="_Toc522047402"/>
      <w:r>
        <w:rPr>
          <w:rFonts w:hint="eastAsia" w:ascii="宋体" w:hAnsi="宋体" w:eastAsia="宋体" w:cs="宋体"/>
          <w:b/>
          <w:bCs/>
          <w:color w:val="auto"/>
          <w:kern w:val="44"/>
          <w:sz w:val="32"/>
          <w:szCs w:val="32"/>
          <w:highlight w:val="none"/>
          <w:lang w:val="zh-CN"/>
        </w:rPr>
        <w:t>附件一：评标工作大纲</w:t>
      </w:r>
      <w:bookmarkEnd w:id="1021"/>
      <w:bookmarkEnd w:id="1022"/>
      <w:bookmarkEnd w:id="1023"/>
      <w:bookmarkEnd w:id="1024"/>
      <w:bookmarkEnd w:id="1025"/>
    </w:p>
    <w:p w14:paraId="2C3A8895">
      <w:pPr>
        <w:autoSpaceDE w:val="0"/>
        <w:autoSpaceDN w:val="0"/>
        <w:adjustRightInd w:val="0"/>
        <w:spacing w:line="400" w:lineRule="atLeast"/>
        <w:jc w:val="center"/>
        <w:rPr>
          <w:rFonts w:ascii="宋体" w:hAnsi="宋体" w:eastAsia="宋体" w:cs="宋体"/>
          <w:b/>
          <w:bCs/>
          <w:color w:val="auto"/>
          <w:szCs w:val="21"/>
          <w:highlight w:val="none"/>
        </w:rPr>
      </w:pPr>
    </w:p>
    <w:p w14:paraId="0044A26A">
      <w:pPr>
        <w:autoSpaceDE w:val="0"/>
        <w:autoSpaceDN w:val="0"/>
        <w:adjustRightInd w:val="0"/>
        <w:spacing w:line="400" w:lineRule="atLeast"/>
        <w:jc w:val="center"/>
        <w:rPr>
          <w:rFonts w:ascii="宋体" w:hAnsi="宋体" w:eastAsia="宋体" w:cs="宋体"/>
          <w:b/>
          <w:bCs/>
          <w:color w:val="auto"/>
          <w:szCs w:val="21"/>
          <w:highlight w:val="none"/>
        </w:rPr>
      </w:pPr>
    </w:p>
    <w:p w14:paraId="2AFF6248">
      <w:pPr>
        <w:autoSpaceDE w:val="0"/>
        <w:autoSpaceDN w:val="0"/>
        <w:adjustRightInd w:val="0"/>
        <w:spacing w:line="400" w:lineRule="atLeast"/>
        <w:jc w:val="center"/>
        <w:rPr>
          <w:rFonts w:ascii="宋体" w:hAnsi="宋体" w:eastAsia="宋体" w:cs="宋体"/>
          <w:b/>
          <w:bCs/>
          <w:color w:val="auto"/>
          <w:szCs w:val="21"/>
          <w:highlight w:val="none"/>
        </w:rPr>
      </w:pPr>
    </w:p>
    <w:p w14:paraId="7F970593">
      <w:pPr>
        <w:autoSpaceDE w:val="0"/>
        <w:autoSpaceDN w:val="0"/>
        <w:adjustRightInd w:val="0"/>
        <w:spacing w:line="400" w:lineRule="atLeast"/>
        <w:jc w:val="center"/>
        <w:rPr>
          <w:rFonts w:ascii="宋体" w:hAnsi="宋体" w:eastAsia="宋体" w:cs="宋体"/>
          <w:b/>
          <w:bCs/>
          <w:color w:val="auto"/>
          <w:szCs w:val="21"/>
          <w:highlight w:val="none"/>
        </w:rPr>
      </w:pPr>
    </w:p>
    <w:p w14:paraId="230824AC">
      <w:pPr>
        <w:autoSpaceDE w:val="0"/>
        <w:autoSpaceDN w:val="0"/>
        <w:adjustRightInd w:val="0"/>
        <w:spacing w:line="360" w:lineRule="auto"/>
        <w:jc w:val="center"/>
        <w:rPr>
          <w:rFonts w:ascii="宋体" w:hAnsi="宋体" w:eastAsia="宋体" w:cs="宋体"/>
          <w:b/>
          <w:bCs/>
          <w:color w:val="auto"/>
          <w:sz w:val="36"/>
          <w:szCs w:val="44"/>
          <w:highlight w:val="none"/>
        </w:rPr>
      </w:pPr>
      <w:r>
        <w:rPr>
          <w:rFonts w:hint="eastAsia" w:ascii="宋体" w:hAnsi="宋体" w:eastAsia="宋体" w:cs="宋体"/>
          <w:b/>
          <w:bCs/>
          <w:color w:val="auto"/>
          <w:sz w:val="40"/>
          <w:szCs w:val="36"/>
          <w:highlight w:val="none"/>
        </w:rPr>
        <w:t>东莞市石鼓净水有限公司污水处理厂及提标项目中控系统集约化升级改造项目</w:t>
      </w:r>
    </w:p>
    <w:p w14:paraId="1480B2CF">
      <w:pPr>
        <w:autoSpaceDE w:val="0"/>
        <w:autoSpaceDN w:val="0"/>
        <w:adjustRightInd w:val="0"/>
        <w:spacing w:line="360" w:lineRule="auto"/>
        <w:jc w:val="center"/>
        <w:rPr>
          <w:rFonts w:ascii="宋体" w:hAnsi="宋体" w:eastAsia="宋体" w:cs="宋体"/>
          <w:b/>
          <w:bCs/>
          <w:color w:val="auto"/>
          <w:sz w:val="36"/>
          <w:szCs w:val="36"/>
          <w:highlight w:val="none"/>
        </w:rPr>
      </w:pPr>
      <w:bookmarkStart w:id="1029" w:name="_Toc14752_WPSOffice_Level1"/>
      <w:r>
        <w:rPr>
          <w:rFonts w:hint="eastAsia" w:ascii="宋体" w:hAnsi="宋体" w:eastAsia="宋体" w:cs="宋体"/>
          <w:b/>
          <w:bCs/>
          <w:color w:val="auto"/>
          <w:sz w:val="36"/>
          <w:szCs w:val="36"/>
          <w:highlight w:val="none"/>
          <w:lang w:val="zh-CN"/>
        </w:rPr>
        <w:t>（招标编号：SSWSSZ12501186）</w:t>
      </w:r>
      <w:bookmarkEnd w:id="1029"/>
    </w:p>
    <w:p w14:paraId="45A8E2FD">
      <w:pPr>
        <w:autoSpaceDE w:val="0"/>
        <w:autoSpaceDN w:val="0"/>
        <w:adjustRightInd w:val="0"/>
        <w:spacing w:line="400" w:lineRule="atLeast"/>
        <w:jc w:val="center"/>
        <w:rPr>
          <w:rFonts w:ascii="宋体" w:hAnsi="宋体" w:eastAsia="宋体" w:cs="宋体"/>
          <w:b/>
          <w:bCs/>
          <w:color w:val="auto"/>
          <w:sz w:val="36"/>
          <w:szCs w:val="36"/>
          <w:highlight w:val="none"/>
        </w:rPr>
      </w:pPr>
    </w:p>
    <w:p w14:paraId="14C84482">
      <w:pPr>
        <w:autoSpaceDE w:val="0"/>
        <w:autoSpaceDN w:val="0"/>
        <w:adjustRightInd w:val="0"/>
        <w:spacing w:line="400" w:lineRule="atLeast"/>
        <w:jc w:val="center"/>
        <w:rPr>
          <w:rFonts w:ascii="宋体" w:hAnsi="宋体" w:eastAsia="宋体" w:cs="宋体"/>
          <w:b/>
          <w:bCs/>
          <w:color w:val="auto"/>
          <w:sz w:val="36"/>
          <w:szCs w:val="36"/>
          <w:highlight w:val="none"/>
        </w:rPr>
      </w:pPr>
    </w:p>
    <w:p w14:paraId="47069310">
      <w:pPr>
        <w:autoSpaceDE w:val="0"/>
        <w:autoSpaceDN w:val="0"/>
        <w:adjustRightInd w:val="0"/>
        <w:spacing w:line="400" w:lineRule="atLeast"/>
        <w:jc w:val="center"/>
        <w:rPr>
          <w:rFonts w:ascii="宋体" w:hAnsi="宋体" w:eastAsia="宋体" w:cs="宋体"/>
          <w:b/>
          <w:bCs/>
          <w:color w:val="auto"/>
          <w:sz w:val="36"/>
          <w:szCs w:val="36"/>
          <w:highlight w:val="none"/>
        </w:rPr>
      </w:pPr>
    </w:p>
    <w:p w14:paraId="758A5702">
      <w:pPr>
        <w:autoSpaceDE w:val="0"/>
        <w:autoSpaceDN w:val="0"/>
        <w:adjustRightInd w:val="0"/>
        <w:spacing w:line="400" w:lineRule="atLeast"/>
        <w:jc w:val="center"/>
        <w:rPr>
          <w:rFonts w:ascii="宋体" w:hAnsi="宋体" w:eastAsia="宋体" w:cs="宋体"/>
          <w:b/>
          <w:bCs/>
          <w:color w:val="auto"/>
          <w:sz w:val="36"/>
          <w:szCs w:val="36"/>
          <w:highlight w:val="none"/>
        </w:rPr>
      </w:pPr>
    </w:p>
    <w:p w14:paraId="19636AA8">
      <w:pPr>
        <w:autoSpaceDE w:val="0"/>
        <w:autoSpaceDN w:val="0"/>
        <w:adjustRightInd w:val="0"/>
        <w:spacing w:line="400" w:lineRule="atLeast"/>
        <w:jc w:val="center"/>
        <w:rPr>
          <w:rFonts w:ascii="宋体" w:hAnsi="宋体" w:eastAsia="宋体" w:cs="宋体"/>
          <w:b/>
          <w:bCs/>
          <w:color w:val="auto"/>
          <w:sz w:val="72"/>
          <w:szCs w:val="72"/>
          <w:highlight w:val="none"/>
          <w:lang w:val="zh-CN"/>
        </w:rPr>
      </w:pPr>
      <w:bookmarkStart w:id="1030" w:name="_Toc18947_WPSOffice_Level2"/>
      <w:r>
        <w:rPr>
          <w:rFonts w:hint="eastAsia" w:ascii="宋体" w:hAnsi="宋体" w:eastAsia="宋体" w:cs="宋体"/>
          <w:b/>
          <w:bCs/>
          <w:color w:val="auto"/>
          <w:sz w:val="72"/>
          <w:szCs w:val="72"/>
          <w:highlight w:val="none"/>
          <w:lang w:val="zh-CN"/>
        </w:rPr>
        <w:t>评标工作大纲</w:t>
      </w:r>
      <w:bookmarkEnd w:id="1030"/>
    </w:p>
    <w:p w14:paraId="74AB1FB4">
      <w:pPr>
        <w:autoSpaceDE w:val="0"/>
        <w:autoSpaceDN w:val="0"/>
        <w:adjustRightInd w:val="0"/>
        <w:spacing w:line="400" w:lineRule="atLeast"/>
        <w:jc w:val="center"/>
        <w:rPr>
          <w:rFonts w:ascii="宋体" w:hAnsi="宋体" w:eastAsia="宋体" w:cs="宋体"/>
          <w:b/>
          <w:bCs/>
          <w:color w:val="auto"/>
          <w:sz w:val="36"/>
          <w:szCs w:val="36"/>
          <w:highlight w:val="none"/>
        </w:rPr>
      </w:pPr>
    </w:p>
    <w:p w14:paraId="77EBD1F2">
      <w:pPr>
        <w:autoSpaceDE w:val="0"/>
        <w:autoSpaceDN w:val="0"/>
        <w:adjustRightInd w:val="0"/>
        <w:spacing w:line="400" w:lineRule="atLeast"/>
        <w:rPr>
          <w:rFonts w:ascii="宋体" w:hAnsi="宋体" w:eastAsia="宋体" w:cs="宋体"/>
          <w:b/>
          <w:bCs/>
          <w:color w:val="auto"/>
          <w:sz w:val="36"/>
          <w:szCs w:val="36"/>
          <w:highlight w:val="none"/>
        </w:rPr>
      </w:pPr>
    </w:p>
    <w:p w14:paraId="3283F2FC">
      <w:pPr>
        <w:autoSpaceDE w:val="0"/>
        <w:autoSpaceDN w:val="0"/>
        <w:adjustRightInd w:val="0"/>
        <w:spacing w:line="400" w:lineRule="atLeast"/>
        <w:jc w:val="center"/>
        <w:rPr>
          <w:rFonts w:ascii="宋体" w:hAnsi="宋体" w:eastAsia="宋体" w:cs="宋体"/>
          <w:b/>
          <w:bCs/>
          <w:color w:val="auto"/>
          <w:sz w:val="36"/>
          <w:szCs w:val="36"/>
          <w:highlight w:val="none"/>
        </w:rPr>
      </w:pPr>
    </w:p>
    <w:p w14:paraId="5C10CF78">
      <w:pPr>
        <w:autoSpaceDE w:val="0"/>
        <w:autoSpaceDN w:val="0"/>
        <w:adjustRightInd w:val="0"/>
        <w:spacing w:line="400" w:lineRule="atLeast"/>
        <w:jc w:val="center"/>
        <w:rPr>
          <w:rFonts w:ascii="宋体" w:hAnsi="宋体" w:eastAsia="宋体" w:cs="宋体"/>
          <w:b/>
          <w:bCs/>
          <w:color w:val="auto"/>
          <w:sz w:val="36"/>
          <w:szCs w:val="36"/>
          <w:highlight w:val="none"/>
        </w:rPr>
      </w:pPr>
    </w:p>
    <w:p w14:paraId="7A08F6D8">
      <w:pPr>
        <w:autoSpaceDE w:val="0"/>
        <w:autoSpaceDN w:val="0"/>
        <w:adjustRightInd w:val="0"/>
        <w:spacing w:line="400" w:lineRule="atLeast"/>
        <w:jc w:val="center"/>
        <w:rPr>
          <w:rFonts w:ascii="宋体" w:hAnsi="宋体" w:eastAsia="宋体" w:cs="宋体"/>
          <w:b/>
          <w:bCs/>
          <w:color w:val="auto"/>
          <w:sz w:val="36"/>
          <w:szCs w:val="36"/>
          <w:highlight w:val="none"/>
        </w:rPr>
      </w:pPr>
    </w:p>
    <w:p w14:paraId="65108A83">
      <w:pPr>
        <w:autoSpaceDE w:val="0"/>
        <w:autoSpaceDN w:val="0"/>
        <w:adjustRightInd w:val="0"/>
        <w:spacing w:line="400" w:lineRule="atLeast"/>
        <w:jc w:val="center"/>
        <w:rPr>
          <w:rFonts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zh-CN"/>
        </w:rPr>
        <w:t>东莞市达盛招标代理有限公司</w:t>
      </w:r>
    </w:p>
    <w:p w14:paraId="2AC4D2D8">
      <w:pPr>
        <w:autoSpaceDE w:val="0"/>
        <w:autoSpaceDN w:val="0"/>
        <w:adjustRightInd w:val="0"/>
        <w:spacing w:line="400" w:lineRule="atLeast"/>
        <w:jc w:val="center"/>
        <w:rPr>
          <w:rFonts w:ascii="宋体" w:hAnsi="宋体" w:eastAsia="宋体" w:cs="宋体"/>
          <w:b/>
          <w:bCs/>
          <w:color w:val="auto"/>
          <w:sz w:val="36"/>
          <w:szCs w:val="36"/>
          <w:highlight w:val="none"/>
        </w:rPr>
      </w:pPr>
    </w:p>
    <w:p w14:paraId="4E4EDDEC">
      <w:pPr>
        <w:autoSpaceDE w:val="0"/>
        <w:autoSpaceDN w:val="0"/>
        <w:adjustRightInd w:val="0"/>
        <w:spacing w:line="400" w:lineRule="atLeast"/>
        <w:jc w:val="center"/>
        <w:rPr>
          <w:rFonts w:ascii="宋体" w:hAnsi="宋体" w:eastAsia="宋体" w:cs="宋体"/>
          <w:b/>
          <w:bCs/>
          <w:color w:val="auto"/>
          <w:sz w:val="36"/>
          <w:szCs w:val="36"/>
          <w:highlight w:val="none"/>
        </w:rPr>
      </w:pPr>
      <w:r>
        <w:rPr>
          <w:rFonts w:hint="eastAsia" w:ascii="宋体" w:hAnsi="宋体" w:eastAsia="宋体" w:cs="宋体"/>
          <w:color w:val="auto"/>
          <w:sz w:val="44"/>
          <w:szCs w:val="44"/>
          <w:highlight w:val="none"/>
        </w:rPr>
        <w:br w:type="page"/>
      </w:r>
      <w:bookmarkStart w:id="1031" w:name="_Toc32395_WPSOffice_Level1"/>
      <w:r>
        <w:rPr>
          <w:rFonts w:hint="eastAsia" w:ascii="宋体" w:hAnsi="宋体" w:eastAsia="宋体" w:cs="宋体"/>
          <w:b/>
          <w:bCs/>
          <w:color w:val="auto"/>
          <w:sz w:val="36"/>
          <w:szCs w:val="36"/>
          <w:highlight w:val="none"/>
          <w:lang w:val="zh-CN"/>
        </w:rPr>
        <w:t>目录</w:t>
      </w:r>
      <w:bookmarkEnd w:id="1031"/>
    </w:p>
    <w:p w14:paraId="3F6450BF">
      <w:pPr>
        <w:autoSpaceDE w:val="0"/>
        <w:autoSpaceDN w:val="0"/>
        <w:adjustRightInd w:val="0"/>
        <w:spacing w:line="400" w:lineRule="atLeast"/>
        <w:jc w:val="center"/>
        <w:rPr>
          <w:rFonts w:ascii="宋体" w:hAnsi="宋体" w:eastAsia="宋体" w:cs="宋体"/>
          <w:color w:val="auto"/>
          <w:sz w:val="44"/>
          <w:szCs w:val="44"/>
          <w:highlight w:val="none"/>
        </w:rPr>
      </w:pPr>
    </w:p>
    <w:p w14:paraId="1CFA5D38">
      <w:pPr>
        <w:autoSpaceDE w:val="0"/>
        <w:autoSpaceDN w:val="0"/>
        <w:adjustRightInd w:val="0"/>
        <w:spacing w:line="360" w:lineRule="auto"/>
        <w:ind w:left="567" w:hanging="567"/>
        <w:rPr>
          <w:rFonts w:ascii="宋体" w:hAnsi="宋体" w:eastAsia="宋体" w:cs="宋体"/>
          <w:color w:val="auto"/>
          <w:szCs w:val="30"/>
          <w:highlight w:val="none"/>
        </w:rPr>
      </w:pPr>
      <w:bookmarkStart w:id="1032" w:name="_Toc21604_WPSOffice_Level1"/>
      <w:r>
        <w:rPr>
          <w:rFonts w:hint="eastAsia" w:ascii="宋体" w:hAnsi="宋体" w:eastAsia="宋体" w:cs="宋体"/>
          <w:color w:val="auto"/>
          <w:szCs w:val="30"/>
          <w:highlight w:val="none"/>
          <w:lang w:val="zh-CN"/>
        </w:rPr>
        <w:t>一、</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总则</w:t>
      </w:r>
      <w:bookmarkEnd w:id="1032"/>
    </w:p>
    <w:p w14:paraId="7D3EAEA0">
      <w:pPr>
        <w:autoSpaceDE w:val="0"/>
        <w:autoSpaceDN w:val="0"/>
        <w:adjustRightInd w:val="0"/>
        <w:spacing w:line="360" w:lineRule="auto"/>
        <w:ind w:left="567" w:hanging="567"/>
        <w:rPr>
          <w:rFonts w:ascii="宋体" w:hAnsi="宋体" w:eastAsia="宋体" w:cs="宋体"/>
          <w:color w:val="auto"/>
          <w:szCs w:val="30"/>
          <w:highlight w:val="none"/>
        </w:rPr>
      </w:pPr>
      <w:bookmarkStart w:id="1033" w:name="_Toc1387_WPSOffice_Level1"/>
      <w:r>
        <w:rPr>
          <w:rFonts w:hint="eastAsia" w:ascii="宋体" w:hAnsi="宋体" w:eastAsia="宋体" w:cs="宋体"/>
          <w:color w:val="auto"/>
          <w:szCs w:val="30"/>
          <w:highlight w:val="none"/>
          <w:lang w:val="zh-CN"/>
        </w:rPr>
        <w:t>二、</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投标文件的初审</w:t>
      </w:r>
      <w:bookmarkEnd w:id="1033"/>
    </w:p>
    <w:p w14:paraId="1B3695CD">
      <w:pPr>
        <w:autoSpaceDE w:val="0"/>
        <w:autoSpaceDN w:val="0"/>
        <w:adjustRightInd w:val="0"/>
        <w:spacing w:line="360" w:lineRule="auto"/>
        <w:ind w:left="567" w:hanging="567"/>
        <w:rPr>
          <w:rFonts w:ascii="宋体" w:hAnsi="宋体" w:eastAsia="宋体" w:cs="宋体"/>
          <w:color w:val="auto"/>
          <w:szCs w:val="30"/>
          <w:highlight w:val="none"/>
        </w:rPr>
      </w:pPr>
      <w:bookmarkStart w:id="1034" w:name="_Toc30284_WPSOffice_Level1"/>
      <w:r>
        <w:rPr>
          <w:rFonts w:hint="eastAsia" w:ascii="宋体" w:hAnsi="宋体" w:eastAsia="宋体" w:cs="宋体"/>
          <w:color w:val="auto"/>
          <w:szCs w:val="30"/>
          <w:highlight w:val="none"/>
          <w:lang w:val="zh-CN"/>
        </w:rPr>
        <w:t>三、</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澄清有关问题</w:t>
      </w:r>
      <w:bookmarkEnd w:id="1034"/>
    </w:p>
    <w:p w14:paraId="0B973D04">
      <w:pPr>
        <w:autoSpaceDE w:val="0"/>
        <w:autoSpaceDN w:val="0"/>
        <w:adjustRightInd w:val="0"/>
        <w:spacing w:line="360" w:lineRule="auto"/>
        <w:ind w:left="567" w:hanging="567"/>
        <w:rPr>
          <w:rFonts w:ascii="宋体" w:hAnsi="宋体" w:eastAsia="宋体" w:cs="宋体"/>
          <w:color w:val="auto"/>
          <w:szCs w:val="30"/>
          <w:highlight w:val="none"/>
        </w:rPr>
      </w:pPr>
      <w:bookmarkStart w:id="1035" w:name="_Toc1206_WPSOffice_Level1"/>
      <w:r>
        <w:rPr>
          <w:rFonts w:hint="eastAsia" w:ascii="宋体" w:hAnsi="宋体" w:eastAsia="宋体" w:cs="宋体"/>
          <w:color w:val="auto"/>
          <w:szCs w:val="30"/>
          <w:highlight w:val="none"/>
        </w:rPr>
        <w:t>四、 比较和评价</w:t>
      </w:r>
      <w:bookmarkEnd w:id="1035"/>
    </w:p>
    <w:p w14:paraId="4E28F2BF">
      <w:pPr>
        <w:autoSpaceDE w:val="0"/>
        <w:autoSpaceDN w:val="0"/>
        <w:adjustRightInd w:val="0"/>
        <w:spacing w:line="360" w:lineRule="auto"/>
        <w:ind w:left="567" w:hanging="567"/>
        <w:rPr>
          <w:rFonts w:ascii="宋体" w:hAnsi="宋体" w:eastAsia="宋体" w:cs="宋体"/>
          <w:color w:val="auto"/>
          <w:szCs w:val="30"/>
          <w:highlight w:val="none"/>
        </w:rPr>
      </w:pPr>
      <w:bookmarkStart w:id="1036" w:name="_Toc12163_WPSOffice_Level1"/>
      <w:r>
        <w:rPr>
          <w:rFonts w:hint="eastAsia" w:ascii="宋体" w:hAnsi="宋体" w:eastAsia="宋体" w:cs="宋体"/>
          <w:color w:val="auto"/>
          <w:szCs w:val="30"/>
          <w:highlight w:val="none"/>
          <w:lang w:val="zh-CN"/>
        </w:rPr>
        <w:t>五、</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推荐中标候选人名单</w:t>
      </w:r>
      <w:bookmarkEnd w:id="1036"/>
    </w:p>
    <w:p w14:paraId="3A91D0FF">
      <w:pPr>
        <w:autoSpaceDE w:val="0"/>
        <w:autoSpaceDN w:val="0"/>
        <w:adjustRightInd w:val="0"/>
        <w:spacing w:line="360" w:lineRule="auto"/>
        <w:ind w:left="567" w:hanging="567"/>
        <w:rPr>
          <w:rFonts w:ascii="宋体" w:hAnsi="宋体" w:eastAsia="宋体" w:cs="宋体"/>
          <w:color w:val="auto"/>
          <w:szCs w:val="30"/>
          <w:highlight w:val="none"/>
        </w:rPr>
      </w:pPr>
      <w:bookmarkStart w:id="1037" w:name="_Toc366_WPSOffice_Level1"/>
      <w:r>
        <w:rPr>
          <w:rFonts w:hint="eastAsia" w:ascii="宋体" w:hAnsi="宋体" w:eastAsia="宋体" w:cs="宋体"/>
          <w:color w:val="auto"/>
          <w:szCs w:val="30"/>
          <w:highlight w:val="none"/>
          <w:lang w:val="zh-CN"/>
        </w:rPr>
        <w:t>六、</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编写评标报告</w:t>
      </w:r>
      <w:bookmarkEnd w:id="1037"/>
    </w:p>
    <w:p w14:paraId="1E512053">
      <w:pPr>
        <w:autoSpaceDE w:val="0"/>
        <w:autoSpaceDN w:val="0"/>
        <w:adjustRightInd w:val="0"/>
        <w:spacing w:line="360" w:lineRule="auto"/>
        <w:ind w:left="567" w:hanging="567"/>
        <w:rPr>
          <w:rFonts w:ascii="宋体" w:hAnsi="宋体" w:eastAsia="宋体" w:cs="宋体"/>
          <w:color w:val="auto"/>
          <w:szCs w:val="30"/>
          <w:highlight w:val="none"/>
        </w:rPr>
      </w:pPr>
      <w:bookmarkStart w:id="1038" w:name="_Toc22378_WPSOffice_Level1"/>
      <w:r>
        <w:rPr>
          <w:rFonts w:hint="eastAsia" w:ascii="宋体" w:hAnsi="宋体" w:eastAsia="宋体" w:cs="宋体"/>
          <w:color w:val="auto"/>
          <w:szCs w:val="30"/>
          <w:highlight w:val="none"/>
          <w:lang w:val="zh-CN"/>
        </w:rPr>
        <w:t>七、</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注意事项</w:t>
      </w:r>
      <w:bookmarkEnd w:id="1038"/>
    </w:p>
    <w:p w14:paraId="4E614A5C">
      <w:pPr>
        <w:tabs>
          <w:tab w:val="right" w:pos="7320"/>
        </w:tabs>
        <w:autoSpaceDE w:val="0"/>
        <w:autoSpaceDN w:val="0"/>
        <w:adjustRightInd w:val="0"/>
        <w:spacing w:line="360" w:lineRule="auto"/>
        <w:ind w:left="720" w:hanging="720"/>
        <w:rPr>
          <w:rFonts w:ascii="宋体" w:hAnsi="宋体" w:eastAsia="宋体" w:cs="宋体"/>
          <w:color w:val="auto"/>
          <w:szCs w:val="30"/>
          <w:highlight w:val="none"/>
        </w:rPr>
      </w:pPr>
    </w:p>
    <w:p w14:paraId="00EC58DD">
      <w:pPr>
        <w:tabs>
          <w:tab w:val="right" w:pos="7320"/>
        </w:tabs>
        <w:autoSpaceDE w:val="0"/>
        <w:autoSpaceDN w:val="0"/>
        <w:adjustRightInd w:val="0"/>
        <w:spacing w:line="360" w:lineRule="auto"/>
        <w:ind w:left="720" w:hanging="720"/>
        <w:rPr>
          <w:rFonts w:ascii="宋体" w:hAnsi="宋体" w:eastAsia="宋体" w:cs="宋体"/>
          <w:color w:val="auto"/>
          <w:szCs w:val="30"/>
          <w:highlight w:val="none"/>
        </w:rPr>
      </w:pPr>
    </w:p>
    <w:p w14:paraId="6CC6985F">
      <w:pPr>
        <w:tabs>
          <w:tab w:val="left" w:pos="1080"/>
          <w:tab w:val="right" w:pos="7320"/>
        </w:tabs>
        <w:autoSpaceDE w:val="0"/>
        <w:autoSpaceDN w:val="0"/>
        <w:adjustRightInd w:val="0"/>
        <w:spacing w:line="400" w:lineRule="atLeast"/>
        <w:ind w:left="720" w:hanging="720"/>
        <w:rPr>
          <w:rFonts w:ascii="宋体" w:hAnsi="宋体" w:eastAsia="宋体" w:cs="宋体"/>
          <w:color w:val="auto"/>
          <w:szCs w:val="30"/>
          <w:highlight w:val="none"/>
        </w:rPr>
      </w:pPr>
    </w:p>
    <w:p w14:paraId="70857759">
      <w:pPr>
        <w:tabs>
          <w:tab w:val="left" w:pos="1140"/>
        </w:tabs>
        <w:autoSpaceDE w:val="0"/>
        <w:autoSpaceDN w:val="0"/>
        <w:adjustRightInd w:val="0"/>
        <w:spacing w:line="360" w:lineRule="auto"/>
        <w:jc w:val="center"/>
        <w:rPr>
          <w:rFonts w:ascii="宋体" w:hAnsi="宋体" w:eastAsia="宋体" w:cs="宋体"/>
          <w:b/>
          <w:bCs/>
          <w:color w:val="auto"/>
          <w:sz w:val="28"/>
          <w:szCs w:val="28"/>
          <w:highlight w:val="none"/>
        </w:rPr>
      </w:pPr>
      <w:r>
        <w:rPr>
          <w:rFonts w:hint="eastAsia" w:ascii="宋体" w:hAnsi="宋体" w:eastAsia="宋体" w:cs="宋体"/>
          <w:color w:val="auto"/>
          <w:sz w:val="30"/>
          <w:szCs w:val="30"/>
          <w:highlight w:val="none"/>
        </w:rPr>
        <w:br w:type="page"/>
      </w:r>
      <w:bookmarkStart w:id="1039" w:name="_Toc27181_WPSOffice_Level1"/>
      <w:r>
        <w:rPr>
          <w:rFonts w:hint="eastAsia" w:ascii="宋体" w:hAnsi="宋体" w:eastAsia="宋体" w:cs="宋体"/>
          <w:color w:val="auto"/>
          <w:sz w:val="28"/>
          <w:szCs w:val="28"/>
          <w:highlight w:val="none"/>
          <w:lang w:val="zh-CN"/>
        </w:rPr>
        <w:t>一、</w:t>
      </w:r>
      <w:r>
        <w:rPr>
          <w:rFonts w:hint="eastAsia" w:ascii="宋体" w:hAnsi="宋体" w:eastAsia="宋体" w:cs="宋体"/>
          <w:b/>
          <w:bCs/>
          <w:color w:val="auto"/>
          <w:sz w:val="28"/>
          <w:szCs w:val="28"/>
          <w:highlight w:val="none"/>
          <w:lang w:val="zh-CN"/>
        </w:rPr>
        <w:t>总则</w:t>
      </w:r>
      <w:bookmarkEnd w:id="1039"/>
    </w:p>
    <w:p w14:paraId="64518E03">
      <w:pPr>
        <w:tabs>
          <w:tab w:val="left" w:pos="567"/>
          <w:tab w:val="left" w:pos="600"/>
        </w:tabs>
        <w:autoSpaceDE w:val="0"/>
        <w:autoSpaceDN w:val="0"/>
        <w:adjustRightInd w:val="0"/>
        <w:spacing w:line="360" w:lineRule="auto"/>
        <w:ind w:left="600" w:hanging="600"/>
        <w:rPr>
          <w:rFonts w:ascii="宋体" w:hAnsi="宋体" w:eastAsia="宋体" w:cs="宋体"/>
          <w:b/>
          <w:bCs/>
          <w:color w:val="auto"/>
          <w:szCs w:val="24"/>
          <w:highlight w:val="none"/>
          <w:lang w:val="zh-CN"/>
        </w:rPr>
      </w:pPr>
      <w:r>
        <w:rPr>
          <w:rFonts w:hint="eastAsia" w:ascii="宋体" w:hAnsi="宋体" w:eastAsia="宋体" w:cs="宋体"/>
          <w:b/>
          <w:bCs/>
          <w:color w:val="auto"/>
          <w:szCs w:val="24"/>
          <w:highlight w:val="none"/>
          <w:lang w:val="zh-CN"/>
        </w:rPr>
        <w:t>1、一般规定</w:t>
      </w:r>
    </w:p>
    <w:p w14:paraId="0CA792F1">
      <w:pPr>
        <w:autoSpaceDE w:val="0"/>
        <w:autoSpaceDN w:val="0"/>
        <w:adjustRightInd w:val="0"/>
        <w:spacing w:line="360" w:lineRule="auto"/>
        <w:ind w:left="567" w:hanging="567"/>
        <w:rPr>
          <w:rFonts w:ascii="宋体" w:hAnsi="宋体" w:eastAsia="宋体" w:cs="宋体"/>
          <w:color w:val="auto"/>
          <w:kern w:val="0"/>
          <w:szCs w:val="32"/>
          <w:highlight w:val="none"/>
        </w:rPr>
      </w:pPr>
      <w:r>
        <w:rPr>
          <w:rFonts w:hint="eastAsia" w:ascii="宋体" w:hAnsi="宋体" w:eastAsia="宋体" w:cs="宋体"/>
          <w:color w:val="auto"/>
          <w:szCs w:val="21"/>
          <w:highlight w:val="none"/>
          <w:lang w:val="zh-CN"/>
        </w:rPr>
        <w:t>1.1</w:t>
      </w:r>
      <w:r>
        <w:rPr>
          <w:rFonts w:hint="eastAsia" w:ascii="宋体" w:hAnsi="宋体" w:eastAsia="宋体" w:cs="宋体"/>
          <w:color w:val="auto"/>
          <w:szCs w:val="21"/>
          <w:highlight w:val="none"/>
          <w:lang w:val="zh-CN"/>
        </w:rPr>
        <w:tab/>
      </w:r>
      <w:r>
        <w:rPr>
          <w:rFonts w:hint="eastAsia" w:ascii="宋体" w:hAnsi="宋体" w:eastAsia="宋体" w:cs="宋体"/>
          <w:color w:val="auto"/>
          <w:kern w:val="0"/>
          <w:szCs w:val="21"/>
          <w:highlight w:val="none"/>
        </w:rPr>
        <w:t>东莞市石鼓净水有限公司污水处理厂及提标项目中控系统集约化升级改造项目</w:t>
      </w:r>
      <w:r>
        <w:rPr>
          <w:rFonts w:hint="eastAsia" w:ascii="宋体" w:hAnsi="宋体" w:eastAsia="宋体" w:cs="宋体"/>
          <w:color w:val="auto"/>
          <w:szCs w:val="21"/>
          <w:highlight w:val="none"/>
          <w:lang w:val="zh-CN"/>
        </w:rPr>
        <w:t>(招标编号：SSWSSZ12501186</w:t>
      </w:r>
      <w:r>
        <w:rPr>
          <w:rFonts w:hint="eastAsia" w:ascii="宋体" w:hAnsi="宋体" w:eastAsia="宋体" w:cs="宋体"/>
          <w:color w:val="auto"/>
          <w:kern w:val="0"/>
          <w:szCs w:val="32"/>
          <w:highlight w:val="none"/>
        </w:rPr>
        <w:t>)的</w:t>
      </w:r>
      <w:r>
        <w:rPr>
          <w:rFonts w:hint="eastAsia" w:ascii="宋体" w:hAnsi="宋体" w:eastAsia="宋体" w:cs="宋体"/>
          <w:color w:val="auto"/>
          <w:szCs w:val="21"/>
          <w:highlight w:val="none"/>
          <w:lang w:val="zh-CN"/>
        </w:rPr>
        <w:t>招标</w:t>
      </w:r>
      <w:r>
        <w:rPr>
          <w:rFonts w:hint="eastAsia" w:ascii="宋体" w:hAnsi="宋体" w:eastAsia="宋体" w:cs="宋体"/>
          <w:color w:val="auto"/>
          <w:kern w:val="0"/>
          <w:szCs w:val="32"/>
          <w:highlight w:val="none"/>
        </w:rPr>
        <w:t>按照《中华人民共和国招标投标法》等有关规定进行。</w:t>
      </w:r>
    </w:p>
    <w:p w14:paraId="47AC2B53">
      <w:pPr>
        <w:autoSpaceDE w:val="0"/>
        <w:autoSpaceDN w:val="0"/>
        <w:adjustRightInd w:val="0"/>
        <w:spacing w:line="360" w:lineRule="auto"/>
        <w:ind w:left="567" w:hanging="567"/>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1.2</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评标必须遵循公平、公正、诚实信用的原则。</w:t>
      </w:r>
    </w:p>
    <w:p w14:paraId="70D372C5">
      <w:pPr>
        <w:autoSpaceDE w:val="0"/>
        <w:autoSpaceDN w:val="0"/>
        <w:adjustRightInd w:val="0"/>
        <w:spacing w:line="360" w:lineRule="auto"/>
        <w:ind w:left="567" w:hanging="567"/>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1.3</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招标代理机构</w:t>
      </w:r>
      <w:r>
        <w:rPr>
          <w:rFonts w:hint="eastAsia" w:ascii="宋体" w:hAnsi="宋体" w:eastAsia="宋体" w:cs="宋体"/>
          <w:color w:val="auto"/>
          <w:kern w:val="0"/>
          <w:szCs w:val="32"/>
          <w:highlight w:val="none"/>
        </w:rPr>
        <w:t>(东莞市达盛招标代理有限公司）组</w:t>
      </w:r>
      <w:r>
        <w:rPr>
          <w:rFonts w:hint="eastAsia" w:ascii="宋体" w:hAnsi="宋体" w:eastAsia="宋体" w:cs="宋体"/>
          <w:color w:val="auto"/>
          <w:szCs w:val="24"/>
          <w:highlight w:val="none"/>
          <w:lang w:val="zh-CN"/>
        </w:rPr>
        <w:t>织评标工作，全过程接受招标人及相关部门的监督、管理和指导。</w:t>
      </w:r>
    </w:p>
    <w:p w14:paraId="0D0039E5">
      <w:pPr>
        <w:autoSpaceDE w:val="0"/>
        <w:autoSpaceDN w:val="0"/>
        <w:adjustRightInd w:val="0"/>
        <w:spacing w:line="360" w:lineRule="auto"/>
        <w:ind w:left="567" w:hanging="567"/>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1.4</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评标按照招标文件规定的内容进行，采取综合评分</w:t>
      </w:r>
      <w:r>
        <w:rPr>
          <w:rFonts w:hint="eastAsia" w:ascii="宋体" w:hAnsi="宋体" w:eastAsia="宋体" w:cs="宋体"/>
          <w:color w:val="auto"/>
          <w:szCs w:val="21"/>
          <w:highlight w:val="none"/>
        </w:rPr>
        <w:t>法进行评审</w:t>
      </w:r>
      <w:r>
        <w:rPr>
          <w:rFonts w:hint="eastAsia" w:ascii="宋体" w:hAnsi="宋体" w:eastAsia="宋体" w:cs="宋体"/>
          <w:color w:val="auto"/>
          <w:szCs w:val="24"/>
          <w:highlight w:val="none"/>
          <w:lang w:val="zh-CN"/>
        </w:rPr>
        <w:t>。</w:t>
      </w:r>
    </w:p>
    <w:p w14:paraId="3EB51AA2">
      <w:pPr>
        <w:numPr>
          <w:ilvl w:val="1"/>
          <w:numId w:val="35"/>
        </w:numPr>
        <w:autoSpaceDE w:val="0"/>
        <w:autoSpaceDN w:val="0"/>
        <w:adjustRightInd w:val="0"/>
        <w:spacing w:line="360" w:lineRule="auto"/>
        <w:ind w:left="565" w:hanging="564" w:hangingChars="269"/>
        <w:jc w:val="left"/>
        <w:rPr>
          <w:rFonts w:ascii="宋体" w:hAnsi="宋体" w:eastAsia="宋体" w:cs="宋体"/>
          <w:color w:val="auto"/>
          <w:szCs w:val="24"/>
          <w:highlight w:val="none"/>
          <w:lang w:val="zh-CN"/>
        </w:rPr>
      </w:pPr>
      <w:r>
        <w:rPr>
          <w:rFonts w:hint="eastAsia" w:ascii="宋体" w:hAnsi="宋体" w:eastAsia="宋体" w:cs="宋体"/>
          <w:color w:val="auto"/>
          <w:szCs w:val="24"/>
          <w:highlight w:val="none"/>
        </w:rPr>
        <w:t xml:space="preserve"> </w:t>
      </w:r>
      <w:r>
        <w:rPr>
          <w:rFonts w:hint="eastAsia" w:ascii="宋体" w:hAnsi="宋体" w:eastAsia="宋体" w:cs="宋体"/>
          <w:color w:val="auto"/>
          <w:szCs w:val="24"/>
          <w:highlight w:val="none"/>
          <w:lang w:val="zh-CN"/>
        </w:rPr>
        <w:t>本办法的评审对象是指投标人按照招标文件要求提供的有效投标文件，包括投标人应评标委员会要求对原投标文件作出的正式书面澄清文件。</w:t>
      </w:r>
    </w:p>
    <w:p w14:paraId="22622115">
      <w:pPr>
        <w:autoSpaceDE w:val="0"/>
        <w:autoSpaceDN w:val="0"/>
        <w:adjustRightInd w:val="0"/>
        <w:spacing w:line="360" w:lineRule="auto"/>
        <w:rPr>
          <w:rFonts w:ascii="宋体" w:hAnsi="宋体" w:eastAsia="宋体" w:cs="宋体"/>
          <w:color w:val="auto"/>
          <w:sz w:val="24"/>
          <w:szCs w:val="24"/>
          <w:highlight w:val="none"/>
          <w:lang w:val="zh-CN"/>
        </w:rPr>
      </w:pPr>
    </w:p>
    <w:p w14:paraId="6EBB748C">
      <w:pPr>
        <w:tabs>
          <w:tab w:val="left" w:pos="360"/>
          <w:tab w:val="left" w:pos="600"/>
        </w:tabs>
        <w:autoSpaceDE w:val="0"/>
        <w:autoSpaceDN w:val="0"/>
        <w:adjustRightInd w:val="0"/>
        <w:spacing w:line="360" w:lineRule="auto"/>
        <w:ind w:left="600" w:hanging="600"/>
        <w:rPr>
          <w:rFonts w:ascii="宋体" w:hAnsi="宋体" w:eastAsia="宋体" w:cs="宋体"/>
          <w:b/>
          <w:bCs/>
          <w:color w:val="auto"/>
          <w:szCs w:val="24"/>
          <w:highlight w:val="none"/>
          <w:lang w:val="zh-CN"/>
        </w:rPr>
      </w:pPr>
      <w:r>
        <w:rPr>
          <w:rFonts w:hint="eastAsia" w:ascii="宋体" w:hAnsi="宋体" w:eastAsia="宋体" w:cs="宋体"/>
          <w:b/>
          <w:bCs/>
          <w:color w:val="auto"/>
          <w:szCs w:val="24"/>
          <w:highlight w:val="none"/>
          <w:lang w:val="zh-CN"/>
        </w:rPr>
        <w:t>2、</w:t>
      </w:r>
      <w:r>
        <w:rPr>
          <w:rFonts w:hint="eastAsia" w:ascii="宋体" w:hAnsi="宋体" w:eastAsia="宋体" w:cs="宋体"/>
          <w:b/>
          <w:bCs/>
          <w:color w:val="auto"/>
          <w:szCs w:val="24"/>
          <w:highlight w:val="none"/>
          <w:lang w:val="zh-CN"/>
        </w:rPr>
        <w:tab/>
      </w:r>
      <w:r>
        <w:rPr>
          <w:rFonts w:hint="eastAsia" w:ascii="宋体" w:hAnsi="宋体" w:eastAsia="宋体" w:cs="宋体"/>
          <w:b/>
          <w:bCs/>
          <w:color w:val="auto"/>
          <w:szCs w:val="24"/>
          <w:highlight w:val="none"/>
          <w:lang w:val="zh-CN"/>
        </w:rPr>
        <w:t>评标组织机构的组成</w:t>
      </w:r>
    </w:p>
    <w:p w14:paraId="68067C33">
      <w:pPr>
        <w:tabs>
          <w:tab w:val="left" w:pos="567"/>
          <w:tab w:val="left" w:pos="1145"/>
        </w:tabs>
        <w:autoSpaceDE w:val="0"/>
        <w:autoSpaceDN w:val="0"/>
        <w:adjustRightInd w:val="0"/>
        <w:spacing w:line="360" w:lineRule="auto"/>
        <w:ind w:left="600" w:hanging="6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2.1</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评标委员会</w:t>
      </w:r>
      <w:r>
        <w:rPr>
          <w:rFonts w:hint="eastAsia" w:ascii="宋体" w:hAnsi="宋体" w:eastAsia="宋体" w:cs="宋体"/>
          <w:color w:val="auto"/>
          <w:kern w:val="0"/>
          <w:szCs w:val="24"/>
          <w:highlight w:val="none"/>
        </w:rPr>
        <w:t>由招标人和技术、经济等方面的专家组成，成员为5</w:t>
      </w:r>
      <w:r>
        <w:rPr>
          <w:rFonts w:ascii="宋体" w:hAnsi="宋体" w:eastAsia="宋体" w:cs="宋体"/>
          <w:color w:val="auto"/>
          <w:kern w:val="0"/>
          <w:szCs w:val="24"/>
          <w:highlight w:val="none"/>
        </w:rPr>
        <w:t>人以上（含</w:t>
      </w:r>
      <w:r>
        <w:rPr>
          <w:rFonts w:hint="eastAsia" w:ascii="宋体" w:hAnsi="宋体" w:eastAsia="宋体" w:cs="宋体"/>
          <w:color w:val="auto"/>
          <w:kern w:val="0"/>
          <w:szCs w:val="24"/>
          <w:highlight w:val="none"/>
        </w:rPr>
        <w:t>5</w:t>
      </w:r>
      <w:r>
        <w:rPr>
          <w:rFonts w:ascii="宋体" w:hAnsi="宋体" w:eastAsia="宋体" w:cs="宋体"/>
          <w:color w:val="auto"/>
          <w:kern w:val="0"/>
          <w:szCs w:val="24"/>
          <w:highlight w:val="none"/>
        </w:rPr>
        <w:t>人）单数</w:t>
      </w:r>
      <w:r>
        <w:rPr>
          <w:rFonts w:hint="eastAsia" w:ascii="宋体" w:hAnsi="宋体" w:eastAsia="宋体" w:cs="宋体"/>
          <w:color w:val="auto"/>
          <w:kern w:val="0"/>
          <w:szCs w:val="24"/>
          <w:highlight w:val="none"/>
        </w:rPr>
        <w:t>，其中技术、经济等方面的专家不少于成员总数的三分之二。</w:t>
      </w:r>
      <w:r>
        <w:rPr>
          <w:rFonts w:hint="eastAsia" w:ascii="宋体" w:hAnsi="宋体" w:eastAsia="宋体" w:cs="宋体"/>
          <w:color w:val="auto"/>
          <w:szCs w:val="24"/>
          <w:highlight w:val="none"/>
          <w:lang w:val="zh-CN"/>
        </w:rPr>
        <w:t>专家依法从</w:t>
      </w:r>
      <w:r>
        <w:rPr>
          <w:rFonts w:hint="eastAsia" w:ascii="宋体" w:hAnsi="宋体" w:eastAsia="宋体" w:cs="宋体"/>
          <w:color w:val="auto"/>
          <w:kern w:val="0"/>
          <w:szCs w:val="24"/>
          <w:highlight w:val="none"/>
        </w:rPr>
        <w:t>专家库中随机抽取产生。</w:t>
      </w:r>
    </w:p>
    <w:p w14:paraId="3BE37FDC">
      <w:pPr>
        <w:tabs>
          <w:tab w:val="left" w:pos="567"/>
          <w:tab w:val="left" w:pos="1145"/>
        </w:tabs>
        <w:autoSpaceDE w:val="0"/>
        <w:autoSpaceDN w:val="0"/>
        <w:adjustRightInd w:val="0"/>
        <w:spacing w:line="360" w:lineRule="auto"/>
        <w:ind w:left="600" w:hanging="6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2.2</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评标工作组由招标人、招标代理机构及有关专家组成，由评标委员会确认，并接受其领导。</w:t>
      </w:r>
    </w:p>
    <w:p w14:paraId="12CCB477">
      <w:pPr>
        <w:autoSpaceDE w:val="0"/>
        <w:autoSpaceDN w:val="0"/>
        <w:adjustRightInd w:val="0"/>
        <w:spacing w:line="360" w:lineRule="auto"/>
        <w:ind w:left="600" w:hanging="6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2.3</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评标工作组分成评标委员会、秘书组。</w:t>
      </w:r>
    </w:p>
    <w:p w14:paraId="7348AF4B">
      <w:pPr>
        <w:autoSpaceDE w:val="0"/>
        <w:autoSpaceDN w:val="0"/>
        <w:adjustRightInd w:val="0"/>
        <w:spacing w:line="360" w:lineRule="auto"/>
        <w:ind w:left="600" w:hanging="6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2.4</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评标委员会应相对独立工作，负责评审、撰写评标报告。招标代理机构秘书组负责评标过程中资料的保管、发放及回收，协调技术和评标委员会评标工作的进展和整理、汇总评标资料及复核。</w:t>
      </w:r>
    </w:p>
    <w:p w14:paraId="7E12B0E2">
      <w:pPr>
        <w:autoSpaceDE w:val="0"/>
        <w:autoSpaceDN w:val="0"/>
        <w:adjustRightInd w:val="0"/>
        <w:spacing w:line="360" w:lineRule="auto"/>
        <w:rPr>
          <w:rFonts w:ascii="宋体" w:hAnsi="宋体" w:eastAsia="宋体" w:cs="宋体"/>
          <w:color w:val="auto"/>
          <w:sz w:val="24"/>
          <w:szCs w:val="24"/>
          <w:highlight w:val="none"/>
          <w:lang w:val="zh-CN"/>
        </w:rPr>
      </w:pPr>
    </w:p>
    <w:p w14:paraId="5732F0E6">
      <w:pPr>
        <w:autoSpaceDE w:val="0"/>
        <w:autoSpaceDN w:val="0"/>
        <w:adjustRightInd w:val="0"/>
        <w:spacing w:line="360" w:lineRule="auto"/>
        <w:rPr>
          <w:rFonts w:ascii="宋体" w:hAnsi="宋体" w:eastAsia="宋体" w:cs="宋体"/>
          <w:color w:val="auto"/>
          <w:sz w:val="24"/>
          <w:szCs w:val="24"/>
          <w:highlight w:val="none"/>
          <w:lang w:val="zh-CN"/>
        </w:rPr>
      </w:pPr>
      <w:r>
        <w:rPr>
          <w:rFonts w:hint="eastAsia" w:ascii="宋体" w:hAnsi="宋体" w:eastAsia="宋体" w:cs="宋体"/>
          <w:b/>
          <w:color w:val="auto"/>
          <w:szCs w:val="21"/>
          <w:highlight w:val="none"/>
          <w:lang w:val="zh-CN"/>
        </w:rPr>
        <w:t>3、</w:t>
      </w:r>
      <w:r>
        <w:rPr>
          <w:rFonts w:hint="eastAsia" w:ascii="宋体" w:hAnsi="宋体" w:eastAsia="宋体" w:cs="宋体"/>
          <w:b/>
          <w:bCs/>
          <w:color w:val="auto"/>
          <w:szCs w:val="21"/>
          <w:highlight w:val="none"/>
          <w:lang w:val="zh-CN"/>
        </w:rPr>
        <w:t>评标</w:t>
      </w:r>
      <w:r>
        <w:rPr>
          <w:rFonts w:hint="eastAsia" w:ascii="宋体" w:hAnsi="宋体" w:eastAsia="宋体" w:cs="宋体"/>
          <w:b/>
          <w:bCs/>
          <w:color w:val="auto"/>
          <w:szCs w:val="24"/>
          <w:highlight w:val="none"/>
          <w:lang w:val="zh-CN"/>
        </w:rPr>
        <w:t>委员会职责</w:t>
      </w:r>
    </w:p>
    <w:p w14:paraId="5CBB00CF">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3.1  审查投标文件是否符合招标文件要求，并作出评价；</w:t>
      </w:r>
    </w:p>
    <w:p w14:paraId="4A13B253">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3.2  要求投标人对投标文件有关事项作出解释或者澄清；</w:t>
      </w:r>
    </w:p>
    <w:p w14:paraId="3C6D5C4E">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3.3</w:t>
      </w:r>
      <w:r>
        <w:rPr>
          <w:rFonts w:hint="eastAsia" w:ascii="宋体" w:hAnsi="宋体" w:eastAsia="宋体" w:cs="宋体"/>
          <w:color w:val="auto"/>
          <w:kern w:val="0"/>
          <w:szCs w:val="24"/>
          <w:highlight w:val="none"/>
          <w:lang w:val="zh-CN"/>
        </w:rPr>
        <w:tab/>
      </w:r>
      <w:r>
        <w:rPr>
          <w:rFonts w:hint="eastAsia" w:ascii="宋体" w:hAnsi="宋体" w:eastAsia="宋体" w:cs="宋体"/>
          <w:color w:val="auto"/>
          <w:kern w:val="0"/>
          <w:szCs w:val="24"/>
          <w:highlight w:val="none"/>
          <w:lang w:val="zh-CN"/>
        </w:rPr>
        <w:t xml:space="preserve"> 推荐中标候选人名单及排序；</w:t>
      </w:r>
    </w:p>
    <w:p w14:paraId="251B169D">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3.4</w:t>
      </w:r>
      <w:r>
        <w:rPr>
          <w:rFonts w:hint="eastAsia" w:ascii="宋体" w:hAnsi="宋体" w:eastAsia="宋体" w:cs="宋体"/>
          <w:color w:val="auto"/>
          <w:kern w:val="0"/>
          <w:szCs w:val="24"/>
          <w:highlight w:val="none"/>
          <w:lang w:val="zh-CN"/>
        </w:rPr>
        <w:tab/>
      </w:r>
      <w:r>
        <w:rPr>
          <w:rFonts w:hint="eastAsia" w:ascii="宋体" w:hAnsi="宋体" w:eastAsia="宋体" w:cs="宋体"/>
          <w:color w:val="auto"/>
          <w:kern w:val="0"/>
          <w:szCs w:val="24"/>
          <w:highlight w:val="none"/>
          <w:lang w:val="zh-CN"/>
        </w:rPr>
        <w:t xml:space="preserve"> 向招标人、招标代理机构或者有关部门报告非法干预评标工作的行为。</w:t>
      </w:r>
    </w:p>
    <w:p w14:paraId="4F173632">
      <w:pPr>
        <w:autoSpaceDE w:val="0"/>
        <w:autoSpaceDN w:val="0"/>
        <w:adjustRightInd w:val="0"/>
        <w:spacing w:line="360" w:lineRule="auto"/>
        <w:jc w:val="left"/>
        <w:rPr>
          <w:rFonts w:ascii="宋体" w:hAnsi="宋体" w:eastAsia="宋体" w:cs="宋体"/>
          <w:color w:val="auto"/>
          <w:kern w:val="0"/>
          <w:sz w:val="24"/>
          <w:szCs w:val="24"/>
          <w:highlight w:val="none"/>
          <w:lang w:val="zh-CN"/>
        </w:rPr>
      </w:pPr>
    </w:p>
    <w:p w14:paraId="6DDF63FC">
      <w:pPr>
        <w:tabs>
          <w:tab w:val="left" w:pos="720"/>
        </w:tabs>
        <w:autoSpaceDE w:val="0"/>
        <w:autoSpaceDN w:val="0"/>
        <w:adjustRightInd w:val="0"/>
        <w:spacing w:line="360" w:lineRule="auto"/>
        <w:rPr>
          <w:rFonts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4、评标委员会义务</w:t>
      </w:r>
    </w:p>
    <w:p w14:paraId="72A84D70">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4.1  遵纪守法，客观、公正、廉洁地履行职责；</w:t>
      </w:r>
    </w:p>
    <w:p w14:paraId="7AC8397D">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4.2  按照招标文件规定的评标方法和评标标准进行评审，对评审意见承担个人责任；</w:t>
      </w:r>
    </w:p>
    <w:p w14:paraId="07004183">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4.3  对评标过程和结果，以及投标人的商业秘密保密；</w:t>
      </w:r>
    </w:p>
    <w:p w14:paraId="0C786ED5">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4.4  参与评标报告的起草；</w:t>
      </w:r>
    </w:p>
    <w:p w14:paraId="3341D583">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4.5  配合有关部门的投诉处理工作；</w:t>
      </w:r>
    </w:p>
    <w:p w14:paraId="289D42F8">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4.6  配合招标人、招标代理机构答复投标人提出的质疑、异议。</w:t>
      </w:r>
    </w:p>
    <w:p w14:paraId="18102A6B">
      <w:pPr>
        <w:tabs>
          <w:tab w:val="left" w:pos="720"/>
        </w:tabs>
        <w:autoSpaceDE w:val="0"/>
        <w:autoSpaceDN w:val="0"/>
        <w:adjustRightInd w:val="0"/>
        <w:spacing w:line="360" w:lineRule="auto"/>
        <w:rPr>
          <w:rFonts w:ascii="宋体" w:hAnsi="宋体" w:eastAsia="宋体" w:cs="宋体"/>
          <w:color w:val="auto"/>
          <w:sz w:val="24"/>
          <w:szCs w:val="24"/>
          <w:highlight w:val="none"/>
          <w:lang w:val="zh-CN"/>
        </w:rPr>
      </w:pPr>
    </w:p>
    <w:p w14:paraId="7EB3AEEB">
      <w:pPr>
        <w:tabs>
          <w:tab w:val="left" w:pos="1547"/>
        </w:tabs>
        <w:autoSpaceDE w:val="0"/>
        <w:autoSpaceDN w:val="0"/>
        <w:adjustRightInd w:val="0"/>
        <w:spacing w:line="360" w:lineRule="auto"/>
        <w:rPr>
          <w:rFonts w:ascii="宋体" w:hAnsi="宋体" w:eastAsia="宋体" w:cs="Times New Roman"/>
          <w:b/>
          <w:color w:val="auto"/>
          <w:szCs w:val="24"/>
          <w:highlight w:val="none"/>
          <w:lang w:val="zh-CN"/>
        </w:rPr>
      </w:pPr>
      <w:r>
        <w:rPr>
          <w:rFonts w:hint="eastAsia" w:ascii="宋体" w:hAnsi="宋体" w:eastAsia="宋体" w:cs="宋体"/>
          <w:b/>
          <w:bCs/>
          <w:color w:val="auto"/>
          <w:szCs w:val="21"/>
          <w:highlight w:val="none"/>
          <w:lang w:val="zh-CN"/>
        </w:rPr>
        <w:t>5、评审程序</w:t>
      </w:r>
    </w:p>
    <w:p w14:paraId="6081EC34">
      <w:pPr>
        <w:autoSpaceDE w:val="0"/>
        <w:autoSpaceDN w:val="0"/>
        <w:adjustRightInd w:val="0"/>
        <w:spacing w:line="360" w:lineRule="auto"/>
        <w:ind w:left="567" w:hanging="567"/>
        <w:rPr>
          <w:rFonts w:ascii="宋体" w:hAnsi="宋体" w:eastAsia="宋体" w:cs="Times New Roman"/>
          <w:b/>
          <w:color w:val="auto"/>
          <w:szCs w:val="24"/>
          <w:highlight w:val="none"/>
          <w:lang w:val="zh-CN"/>
        </w:rPr>
      </w:pPr>
      <w:r>
        <w:rPr>
          <w:rFonts w:hint="eastAsia" w:ascii="宋体" w:hAnsi="宋体" w:eastAsia="宋体" w:cs="Times New Roman"/>
          <w:b/>
          <w:color w:val="auto"/>
          <w:szCs w:val="24"/>
          <w:highlight w:val="none"/>
          <w:lang w:val="zh-CN"/>
        </w:rPr>
        <w:t>公开招标：</w:t>
      </w:r>
    </w:p>
    <w:p w14:paraId="324AE651">
      <w:pPr>
        <w:autoSpaceDE w:val="0"/>
        <w:autoSpaceDN w:val="0"/>
        <w:adjustRightInd w:val="0"/>
        <w:spacing w:line="360" w:lineRule="auto"/>
        <w:ind w:left="567" w:hanging="567"/>
        <w:rPr>
          <w:rFonts w:ascii="宋体" w:hAnsi="宋体" w:eastAsia="宋体" w:cs="Times New Roman"/>
          <w:bCs/>
          <w:color w:val="auto"/>
          <w:szCs w:val="24"/>
          <w:highlight w:val="none"/>
          <w:lang w:val="zh-CN"/>
        </w:rPr>
      </w:pPr>
      <w:r>
        <w:rPr>
          <w:rFonts w:ascii="宋体" w:hAnsi="宋体" w:eastAsia="宋体" w:cs="Times New Roman"/>
          <w:color w:val="auto"/>
          <w:szCs w:val="24"/>
          <w:highlight w:val="none"/>
          <w:lang w:val="zh-CN"/>
        </w:rPr>
        <w:t>5.</w:t>
      </w:r>
      <w:r>
        <w:rPr>
          <w:rFonts w:hint="eastAsia" w:ascii="宋体" w:hAnsi="宋体" w:eastAsia="宋体" w:cs="Times New Roman"/>
          <w:color w:val="auto"/>
          <w:szCs w:val="24"/>
          <w:highlight w:val="none"/>
          <w:lang w:val="zh-CN"/>
        </w:rPr>
        <w:t>1</w:t>
      </w:r>
      <w:r>
        <w:rPr>
          <w:rFonts w:ascii="宋体" w:hAnsi="宋体" w:eastAsia="宋体" w:cs="Times New Roman"/>
          <w:color w:val="auto"/>
          <w:szCs w:val="24"/>
          <w:highlight w:val="none"/>
          <w:lang w:val="zh-CN"/>
        </w:rPr>
        <w:tab/>
      </w:r>
      <w:r>
        <w:rPr>
          <w:rFonts w:hint="eastAsia" w:ascii="宋体" w:hAnsi="宋体" w:eastAsia="宋体" w:cs="Times New Roman"/>
          <w:bCs/>
          <w:color w:val="auto"/>
          <w:szCs w:val="24"/>
          <w:highlight w:val="none"/>
          <w:lang w:val="zh-CN"/>
        </w:rPr>
        <w:t>评审首先由评标委员会对投标人的</w:t>
      </w:r>
      <w:r>
        <w:rPr>
          <w:rFonts w:hint="eastAsia" w:ascii="宋体" w:hAnsi="宋体" w:eastAsia="宋体" w:cs="Times New Roman"/>
          <w:color w:val="auto"/>
          <w:szCs w:val="24"/>
          <w:highlight w:val="none"/>
          <w:lang w:val="zh-CN"/>
        </w:rPr>
        <w:t>投标</w:t>
      </w:r>
      <w:r>
        <w:rPr>
          <w:rFonts w:hint="eastAsia" w:ascii="宋体" w:hAnsi="宋体" w:eastAsia="宋体" w:cs="Times New Roman"/>
          <w:bCs/>
          <w:color w:val="auto"/>
          <w:szCs w:val="24"/>
          <w:highlight w:val="none"/>
          <w:lang w:val="zh-CN"/>
        </w:rPr>
        <w:t>文件做初审，对未能通过初审的投标文件不再进入下一阶段评审。</w:t>
      </w:r>
    </w:p>
    <w:p w14:paraId="05F9FCB9">
      <w:pPr>
        <w:autoSpaceDE w:val="0"/>
        <w:autoSpaceDN w:val="0"/>
        <w:adjustRightInd w:val="0"/>
        <w:spacing w:line="360" w:lineRule="auto"/>
        <w:ind w:left="567" w:hanging="567"/>
        <w:rPr>
          <w:rFonts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5.</w:t>
      </w:r>
      <w:r>
        <w:rPr>
          <w:rFonts w:hint="eastAsia" w:ascii="宋体" w:hAnsi="宋体" w:eastAsia="宋体" w:cs="Times New Roman"/>
          <w:color w:val="auto"/>
          <w:szCs w:val="24"/>
          <w:highlight w:val="none"/>
          <w:lang w:val="zh-CN"/>
        </w:rPr>
        <w:t>2</w:t>
      </w:r>
      <w:r>
        <w:rPr>
          <w:rFonts w:ascii="宋体" w:hAnsi="宋体" w:eastAsia="宋体" w:cs="Times New Roman"/>
          <w:color w:val="auto"/>
          <w:szCs w:val="24"/>
          <w:highlight w:val="none"/>
          <w:lang w:val="zh-CN"/>
        </w:rPr>
        <w:tab/>
      </w:r>
      <w:r>
        <w:rPr>
          <w:rFonts w:hint="eastAsia" w:ascii="宋体" w:hAnsi="宋体" w:eastAsia="宋体" w:cs="Times New Roman"/>
          <w:bCs/>
          <w:color w:val="auto"/>
          <w:szCs w:val="24"/>
          <w:highlight w:val="none"/>
          <w:lang w:val="zh-CN"/>
        </w:rPr>
        <w:t>评标</w:t>
      </w:r>
      <w:r>
        <w:rPr>
          <w:rFonts w:hint="eastAsia" w:ascii="宋体" w:hAnsi="宋体" w:eastAsia="宋体" w:cs="Arial"/>
          <w:color w:val="auto"/>
          <w:szCs w:val="24"/>
          <w:highlight w:val="none"/>
          <w:lang w:val="zh-CN"/>
        </w:rPr>
        <w:t>委员会</w:t>
      </w:r>
      <w:r>
        <w:rPr>
          <w:rFonts w:hint="eastAsia" w:ascii="宋体" w:hAnsi="宋体" w:eastAsia="宋体" w:cs="Times New Roman"/>
          <w:color w:val="auto"/>
          <w:szCs w:val="24"/>
          <w:highlight w:val="none"/>
          <w:lang w:val="zh-CN"/>
        </w:rPr>
        <w:t>对</w:t>
      </w:r>
      <w:r>
        <w:rPr>
          <w:rFonts w:hint="eastAsia" w:ascii="宋体" w:hAnsi="宋体" w:eastAsia="宋体" w:cs="Arial"/>
          <w:color w:val="auto"/>
          <w:szCs w:val="24"/>
          <w:highlight w:val="none"/>
          <w:lang w:val="zh-CN"/>
        </w:rPr>
        <w:t>通过初审的</w:t>
      </w:r>
      <w:r>
        <w:rPr>
          <w:rFonts w:hint="eastAsia" w:ascii="宋体" w:hAnsi="宋体" w:eastAsia="宋体" w:cs="Times New Roman"/>
          <w:color w:val="auto"/>
          <w:szCs w:val="24"/>
          <w:highlight w:val="none"/>
          <w:lang w:val="zh-CN"/>
        </w:rPr>
        <w:t>投标人的投标文件进行详细的比较和评价。如需要，进行必要的澄清工作。</w:t>
      </w:r>
    </w:p>
    <w:p w14:paraId="33547E61">
      <w:pPr>
        <w:autoSpaceDE w:val="0"/>
        <w:autoSpaceDN w:val="0"/>
        <w:adjustRightInd w:val="0"/>
        <w:spacing w:line="360" w:lineRule="auto"/>
        <w:ind w:left="567" w:hanging="567"/>
        <w:rPr>
          <w:rFonts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5.</w:t>
      </w:r>
      <w:r>
        <w:rPr>
          <w:rFonts w:hint="eastAsia" w:ascii="宋体" w:hAnsi="宋体" w:eastAsia="宋体" w:cs="Times New Roman"/>
          <w:color w:val="auto"/>
          <w:szCs w:val="24"/>
          <w:highlight w:val="none"/>
          <w:lang w:val="zh-CN"/>
        </w:rPr>
        <w:t>3  依据评分标准以及各项权重，各位评标委员会成员单独就每个投标人的商务状况、技术状况进行比较和评价，分别评出其商务得分和技术得分。</w:t>
      </w:r>
    </w:p>
    <w:p w14:paraId="0E99E68F">
      <w:pPr>
        <w:autoSpaceDE w:val="0"/>
        <w:autoSpaceDN w:val="0"/>
        <w:adjustRightInd w:val="0"/>
        <w:spacing w:line="360" w:lineRule="auto"/>
        <w:ind w:left="567" w:hanging="567"/>
        <w:rPr>
          <w:rFonts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5.4</w:t>
      </w:r>
      <w:r>
        <w:rPr>
          <w:rFonts w:ascii="宋体" w:hAnsi="宋体" w:eastAsia="宋体" w:cs="Times New Roman"/>
          <w:color w:val="auto"/>
          <w:szCs w:val="24"/>
          <w:highlight w:val="none"/>
          <w:lang w:val="zh-CN"/>
        </w:rPr>
        <w:tab/>
      </w:r>
      <w:r>
        <w:rPr>
          <w:rFonts w:hint="eastAsia" w:ascii="宋体" w:hAnsi="宋体" w:eastAsia="宋体" w:cs="Times New Roman"/>
          <w:color w:val="auto"/>
          <w:kern w:val="0"/>
          <w:szCs w:val="24"/>
          <w:highlight w:val="none"/>
          <w:lang w:val="zh-CN"/>
        </w:rPr>
        <w:t>对有效投标人的投标报价进行审查和价格评分。</w:t>
      </w:r>
    </w:p>
    <w:p w14:paraId="759C410A">
      <w:pPr>
        <w:autoSpaceDE w:val="0"/>
        <w:autoSpaceDN w:val="0"/>
        <w:adjustRightInd w:val="0"/>
        <w:spacing w:line="360" w:lineRule="auto"/>
        <w:ind w:left="567" w:hanging="567"/>
        <w:rPr>
          <w:rFonts w:ascii="宋体" w:hAnsi="宋体" w:eastAsia="宋体" w:cs="Times New Roman"/>
          <w:color w:val="auto"/>
          <w:kern w:val="0"/>
          <w:szCs w:val="24"/>
          <w:highlight w:val="none"/>
          <w:lang w:val="zh-CN"/>
        </w:rPr>
      </w:pPr>
      <w:r>
        <w:rPr>
          <w:rFonts w:hint="eastAsia" w:ascii="宋体" w:hAnsi="宋体" w:eastAsia="宋体" w:cs="Times New Roman"/>
          <w:color w:val="auto"/>
          <w:kern w:val="0"/>
          <w:szCs w:val="24"/>
          <w:highlight w:val="none"/>
          <w:lang w:val="zh-CN"/>
        </w:rPr>
        <w:t>5.5  将各</w:t>
      </w:r>
      <w:r>
        <w:rPr>
          <w:rFonts w:hint="eastAsia" w:ascii="宋体" w:hAnsi="宋体" w:eastAsia="宋体" w:cs="Times New Roman"/>
          <w:color w:val="auto"/>
          <w:szCs w:val="24"/>
          <w:highlight w:val="none"/>
          <w:lang w:val="zh-CN"/>
        </w:rPr>
        <w:t>评委对</w:t>
      </w:r>
      <w:r>
        <w:rPr>
          <w:rFonts w:hint="eastAsia" w:ascii="宋体" w:hAnsi="宋体" w:eastAsia="宋体" w:cs="Times New Roman"/>
          <w:color w:val="auto"/>
          <w:kern w:val="0"/>
          <w:szCs w:val="24"/>
          <w:highlight w:val="none"/>
          <w:lang w:val="zh-CN"/>
        </w:rPr>
        <w:t>投标人的技术打分的最终综合得分、商务打分的算术平均值和价格得分相加得出投标人的总分。</w:t>
      </w:r>
    </w:p>
    <w:p w14:paraId="567180E2">
      <w:pPr>
        <w:autoSpaceDE w:val="0"/>
        <w:autoSpaceDN w:val="0"/>
        <w:adjustRightInd w:val="0"/>
        <w:spacing w:line="360" w:lineRule="auto"/>
        <w:ind w:left="567" w:hanging="567"/>
        <w:rPr>
          <w:rFonts w:ascii="宋体" w:hAnsi="宋体" w:eastAsia="宋体" w:cs="Times New Roman"/>
          <w:color w:val="auto"/>
          <w:kern w:val="0"/>
          <w:szCs w:val="21"/>
          <w:highlight w:val="none"/>
        </w:rPr>
      </w:pPr>
      <w:r>
        <w:rPr>
          <w:rFonts w:hint="eastAsia" w:ascii="宋体" w:hAnsi="宋体" w:eastAsia="宋体" w:cs="Times New Roman"/>
          <w:bCs/>
          <w:color w:val="auto"/>
          <w:kern w:val="0"/>
          <w:szCs w:val="24"/>
          <w:highlight w:val="none"/>
        </w:rPr>
        <w:t xml:space="preserve">5.6  </w:t>
      </w:r>
      <w:r>
        <w:rPr>
          <w:rFonts w:hint="eastAsia" w:ascii="宋体" w:hAnsi="宋体" w:eastAsia="宋体" w:cs="Times New Roman"/>
          <w:color w:val="auto"/>
          <w:kern w:val="0"/>
          <w:szCs w:val="21"/>
          <w:highlight w:val="none"/>
        </w:rPr>
        <w:t>评标委员会将向招标人推荐评标最后综合得分最高的前二名投标人为中标候选人，并标明排列顺序。</w:t>
      </w:r>
    </w:p>
    <w:p w14:paraId="4508806A">
      <w:pPr>
        <w:autoSpaceDE w:val="0"/>
        <w:autoSpaceDN w:val="0"/>
        <w:adjustRightInd w:val="0"/>
        <w:spacing w:line="360" w:lineRule="auto"/>
        <w:ind w:left="525" w:hanging="525" w:hangingChars="250"/>
        <w:jc w:val="left"/>
        <w:rPr>
          <w:rFonts w:ascii="宋体" w:hAnsi="宋体" w:eastAsia="宋体" w:cs="Times New Roman"/>
          <w:color w:val="auto"/>
          <w:szCs w:val="24"/>
          <w:highlight w:val="none"/>
          <w:lang w:val="zh-CN"/>
        </w:rPr>
      </w:pPr>
      <w:r>
        <w:rPr>
          <w:rFonts w:hint="eastAsia" w:ascii="宋体" w:hAnsi="宋体" w:eastAsia="宋体" w:cs="Times New Roman"/>
          <w:color w:val="auto"/>
          <w:kern w:val="0"/>
          <w:szCs w:val="24"/>
          <w:highlight w:val="none"/>
          <w:lang w:val="zh-CN"/>
        </w:rPr>
        <w:t>5.</w:t>
      </w:r>
      <w:r>
        <w:rPr>
          <w:rFonts w:hint="eastAsia" w:ascii="宋体" w:hAnsi="宋体" w:eastAsia="宋体" w:cs="Times New Roman"/>
          <w:color w:val="auto"/>
          <w:szCs w:val="24"/>
          <w:highlight w:val="none"/>
          <w:lang w:val="zh-CN"/>
        </w:rPr>
        <w:t>7</w:t>
      </w:r>
      <w:r>
        <w:rPr>
          <w:rFonts w:ascii="宋体" w:hAnsi="宋体" w:eastAsia="宋体" w:cs="Times New Roman"/>
          <w:color w:val="auto"/>
          <w:szCs w:val="24"/>
          <w:highlight w:val="none"/>
          <w:lang w:val="zh-CN"/>
        </w:rPr>
        <w:tab/>
      </w:r>
      <w:r>
        <w:rPr>
          <w:rFonts w:hint="eastAsia" w:ascii="宋体" w:hAnsi="宋体" w:eastAsia="宋体" w:cs="Times New Roman"/>
          <w:color w:val="auto"/>
          <w:kern w:val="0"/>
          <w:szCs w:val="24"/>
          <w:highlight w:val="none"/>
          <w:lang w:val="zh-CN"/>
        </w:rPr>
        <w:t>评标委员会</w:t>
      </w:r>
      <w:r>
        <w:rPr>
          <w:rFonts w:hint="eastAsia" w:ascii="宋体" w:hAnsi="宋体" w:eastAsia="宋体" w:cs="Times New Roman"/>
          <w:color w:val="auto"/>
          <w:szCs w:val="24"/>
          <w:highlight w:val="none"/>
          <w:lang w:val="zh-CN"/>
        </w:rPr>
        <w:t>根据评审结果编写评标报告。</w:t>
      </w:r>
    </w:p>
    <w:p w14:paraId="6A606C2C">
      <w:pPr>
        <w:autoSpaceDE w:val="0"/>
        <w:autoSpaceDN w:val="0"/>
        <w:adjustRightInd w:val="0"/>
        <w:spacing w:line="360" w:lineRule="auto"/>
        <w:ind w:left="525" w:hanging="525" w:hangingChars="250"/>
        <w:jc w:val="left"/>
        <w:rPr>
          <w:rFonts w:ascii="宋体" w:hAnsi="宋体" w:eastAsia="宋体" w:cs="Times New Roman"/>
          <w:color w:val="auto"/>
          <w:szCs w:val="24"/>
          <w:highlight w:val="none"/>
          <w:lang w:val="zh-CN"/>
        </w:rPr>
      </w:pPr>
    </w:p>
    <w:p w14:paraId="1F389EAC">
      <w:pPr>
        <w:tabs>
          <w:tab w:val="left" w:pos="1140"/>
        </w:tabs>
        <w:autoSpaceDE w:val="0"/>
        <w:autoSpaceDN w:val="0"/>
        <w:adjustRightInd w:val="0"/>
        <w:spacing w:line="360" w:lineRule="auto"/>
        <w:jc w:val="center"/>
        <w:rPr>
          <w:rFonts w:ascii="宋体" w:hAnsi="宋体" w:eastAsia="宋体" w:cs="宋体"/>
          <w:b/>
          <w:bCs/>
          <w:color w:val="auto"/>
          <w:sz w:val="28"/>
          <w:szCs w:val="28"/>
          <w:highlight w:val="none"/>
        </w:rPr>
      </w:pPr>
      <w:bookmarkStart w:id="1040" w:name="_Toc19435_WPSOffice_Level1"/>
      <w:r>
        <w:rPr>
          <w:rFonts w:hint="eastAsia" w:ascii="宋体" w:hAnsi="宋体" w:eastAsia="宋体" w:cs="宋体"/>
          <w:b/>
          <w:bCs/>
          <w:color w:val="auto"/>
          <w:sz w:val="28"/>
          <w:szCs w:val="28"/>
          <w:highlight w:val="none"/>
          <w:lang w:val="zh-CN"/>
        </w:rPr>
        <w:t>二、投标文件的初审</w:t>
      </w:r>
      <w:bookmarkEnd w:id="1040"/>
    </w:p>
    <w:p w14:paraId="03B5BAA5">
      <w:pPr>
        <w:autoSpaceDE w:val="0"/>
        <w:autoSpaceDN w:val="0"/>
        <w:adjustRightInd w:val="0"/>
        <w:spacing w:line="360" w:lineRule="auto"/>
        <w:rPr>
          <w:rFonts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6、投标文件的初审分为资格性检查和符合性检查。</w:t>
      </w:r>
    </w:p>
    <w:p w14:paraId="37D7069D">
      <w:pPr>
        <w:autoSpaceDE w:val="0"/>
        <w:autoSpaceDN w:val="0"/>
        <w:adjustRightInd w:val="0"/>
        <w:spacing w:line="360" w:lineRule="auto"/>
        <w:ind w:left="529" w:hanging="529" w:hangingChars="252"/>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6.1  资格性检查是指评标委员会依据法律法规和招标文件的规定，对投标文件中的资格证明、投标保证金、投标人（含其不具有独立法人资格的分支机构）信用（由招标代理机构在递交投标文件截止时间当天通过“信用中国”网站对投标人信用进行查询，招标代理机构将查询情况提交评标委员会评审）等进行审查，以确定投标人是否具备投标资格。</w:t>
      </w:r>
    </w:p>
    <w:p w14:paraId="69300718">
      <w:pPr>
        <w:autoSpaceDE w:val="0"/>
        <w:autoSpaceDN w:val="0"/>
        <w:adjustRightInd w:val="0"/>
        <w:spacing w:line="360" w:lineRule="auto"/>
        <w:ind w:left="529" w:hanging="529" w:hangingChars="252"/>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6.2  符合性检查是指评标委员会依据招标文件规定，从投标文件的有效性、完整性和对招标文件的响应程度进行审查，以确定是否对招标文件的实质性要求作出响应。</w:t>
      </w:r>
    </w:p>
    <w:p w14:paraId="6A3FA814">
      <w:pPr>
        <w:autoSpaceDE w:val="0"/>
        <w:autoSpaceDN w:val="0"/>
        <w:adjustRightInd w:val="0"/>
        <w:spacing w:line="360" w:lineRule="auto"/>
        <w:ind w:left="420" w:leftChars="200" w:firstLine="42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实质性响应的投标指的是符合招标文件要求的全部“★”条款和验收标准而无任何重大偏离或保留。重大偏离或保留系指实质上影响到合同项下的服务范围、质量，或指与招标文件有实质不一致，限制了合同项下委托人的权利和承包人的义务, 或对该重大偏离的修改对提交实质性响应投标的其他投标人将不公平。</w:t>
      </w:r>
    </w:p>
    <w:p w14:paraId="2861C93C">
      <w:pPr>
        <w:autoSpaceDE w:val="0"/>
        <w:autoSpaceDN w:val="0"/>
        <w:adjustRightInd w:val="0"/>
        <w:spacing w:line="360" w:lineRule="auto"/>
        <w:ind w:firstLine="840" w:firstLineChars="4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评标委员会决定投标文件的响应性是基于投标文件的内容本身而不靠外部的证据。</w:t>
      </w:r>
    </w:p>
    <w:p w14:paraId="7D43CC0F">
      <w:pPr>
        <w:autoSpaceDE w:val="0"/>
        <w:autoSpaceDN w:val="0"/>
        <w:adjustRightInd w:val="0"/>
        <w:spacing w:line="360" w:lineRule="auto"/>
        <w:ind w:left="420" w:leftChars="200" w:firstLine="422" w:firstLineChars="200"/>
        <w:rPr>
          <w:rFonts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对是否符合实质性响应招标文件有争议的投标文件,评标委员会成员将以记名方式表决,根据少数服</w:t>
      </w:r>
      <w:r>
        <w:rPr>
          <w:rFonts w:hint="eastAsia" w:ascii="宋体" w:hAnsi="宋体" w:eastAsia="宋体" w:cs="宋体"/>
          <w:b/>
          <w:color w:val="auto"/>
          <w:szCs w:val="24"/>
          <w:highlight w:val="none"/>
        </w:rPr>
        <w:t>从</w:t>
      </w:r>
      <w:r>
        <w:rPr>
          <w:rFonts w:hint="eastAsia" w:ascii="宋体" w:hAnsi="宋体" w:eastAsia="宋体" w:cs="宋体"/>
          <w:b/>
          <w:color w:val="auto"/>
          <w:szCs w:val="24"/>
          <w:highlight w:val="none"/>
          <w:lang w:val="zh-CN"/>
        </w:rPr>
        <w:t>多数的原则，获多数表决通过的投标人才有资格进入下一阶段的评审,否则将被认定为无效投标文件。</w:t>
      </w:r>
    </w:p>
    <w:p w14:paraId="5407C278">
      <w:pPr>
        <w:autoSpaceDE w:val="0"/>
        <w:autoSpaceDN w:val="0"/>
        <w:adjustRightInd w:val="0"/>
        <w:spacing w:line="360" w:lineRule="auto"/>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7、投标文件出现下列情况之一的，被认定为无效投标：</w:t>
      </w:r>
    </w:p>
    <w:p w14:paraId="01A3B314">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7.1 上传的投标文件损坏或无法读取的；</w:t>
      </w:r>
    </w:p>
    <w:p w14:paraId="17E9A75F">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7.2 经招标人确认，投标人在公共资源交易企业库填报的与本项目密切相关的信息与事实不相符的；</w:t>
      </w:r>
    </w:p>
    <w:p w14:paraId="2BBAF6EC">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7.3 投标文件中使用的本项目招标文件版本，与交易系统上发布的本项目招标文件的最新版本不一致的；</w:t>
      </w:r>
    </w:p>
    <w:p w14:paraId="321046A7">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w:t>
      </w:r>
      <w:r>
        <w:rPr>
          <w:rFonts w:hint="eastAsia" w:ascii="宋体" w:hAnsi="宋体" w:eastAsia="宋体" w:cs="宋体"/>
          <w:b/>
          <w:color w:val="auto"/>
          <w:szCs w:val="21"/>
          <w:highlight w:val="none"/>
          <w:lang w:val="en-US" w:eastAsia="zh-CN"/>
        </w:rPr>
        <w:t>4</w:t>
      </w:r>
      <w:r>
        <w:rPr>
          <w:rFonts w:hint="eastAsia" w:ascii="宋体" w:hAnsi="宋体" w:eastAsia="宋体" w:cs="宋体"/>
          <w:b/>
          <w:color w:val="auto"/>
          <w:szCs w:val="21"/>
          <w:highlight w:val="none"/>
          <w:lang w:val="zh-CN"/>
        </w:rPr>
        <w:t xml:space="preserve"> 投标文件签名使用的数字证书与签到的投标人名称不一致的；</w:t>
      </w:r>
    </w:p>
    <w:p w14:paraId="138BA483">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w:t>
      </w:r>
      <w:r>
        <w:rPr>
          <w:rFonts w:hint="eastAsia" w:ascii="宋体" w:hAnsi="宋体" w:eastAsia="宋体" w:cs="宋体"/>
          <w:b/>
          <w:color w:val="auto"/>
          <w:szCs w:val="21"/>
          <w:highlight w:val="none"/>
          <w:lang w:val="en-US" w:eastAsia="zh-CN"/>
        </w:rPr>
        <w:t>5</w:t>
      </w:r>
      <w:r>
        <w:rPr>
          <w:rFonts w:hint="eastAsia" w:ascii="宋体" w:hAnsi="宋体" w:eastAsia="宋体" w:cs="宋体"/>
          <w:b/>
          <w:color w:val="auto"/>
          <w:szCs w:val="21"/>
          <w:highlight w:val="none"/>
          <w:lang w:val="zh-CN"/>
        </w:rPr>
        <w:t xml:space="preserve"> 投标人的投标编制MAC信息、投标编制CPU序列号、投标编制硬盘序列号均与其他投标人相同的；</w:t>
      </w:r>
    </w:p>
    <w:p w14:paraId="7FE9C359">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w:t>
      </w:r>
      <w:r>
        <w:rPr>
          <w:rFonts w:hint="eastAsia" w:ascii="宋体" w:hAnsi="宋体" w:eastAsia="宋体" w:cs="宋体"/>
          <w:b/>
          <w:color w:val="auto"/>
          <w:szCs w:val="21"/>
          <w:highlight w:val="none"/>
          <w:lang w:val="en-US" w:eastAsia="zh-CN"/>
        </w:rPr>
        <w:t>6</w:t>
      </w:r>
      <w:r>
        <w:rPr>
          <w:rFonts w:hint="eastAsia" w:ascii="宋体" w:hAnsi="宋体" w:eastAsia="宋体" w:cs="宋体"/>
          <w:b/>
          <w:color w:val="auto"/>
          <w:szCs w:val="21"/>
          <w:highlight w:val="none"/>
          <w:lang w:val="zh-CN"/>
        </w:rPr>
        <w:t xml:space="preserve"> 投标文件附有招标人不能接受的条件的；</w:t>
      </w:r>
    </w:p>
    <w:p w14:paraId="583EA86D">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w:t>
      </w:r>
      <w:r>
        <w:rPr>
          <w:rFonts w:hint="eastAsia" w:ascii="宋体" w:hAnsi="宋体" w:eastAsia="宋体" w:cs="宋体"/>
          <w:b/>
          <w:color w:val="auto"/>
          <w:szCs w:val="21"/>
          <w:highlight w:val="none"/>
          <w:lang w:val="en-US" w:eastAsia="zh-CN"/>
        </w:rPr>
        <w:t>7</w:t>
      </w:r>
      <w:r>
        <w:rPr>
          <w:rFonts w:hint="eastAsia" w:ascii="宋体" w:hAnsi="宋体" w:eastAsia="宋体" w:cs="宋体"/>
          <w:b/>
          <w:color w:val="auto"/>
          <w:szCs w:val="21"/>
          <w:highlight w:val="none"/>
          <w:lang w:val="zh-CN"/>
        </w:rPr>
        <w:t xml:space="preserve"> 投标人资格不满足第二篇投标人须知第2款的要求；</w:t>
      </w:r>
    </w:p>
    <w:p w14:paraId="1BF527C8">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w:t>
      </w:r>
      <w:r>
        <w:rPr>
          <w:rFonts w:hint="eastAsia" w:ascii="宋体" w:hAnsi="宋体" w:eastAsia="宋体" w:cs="宋体"/>
          <w:b/>
          <w:color w:val="auto"/>
          <w:szCs w:val="21"/>
          <w:highlight w:val="none"/>
          <w:lang w:val="en-US" w:eastAsia="zh-CN"/>
        </w:rPr>
        <w:t>8</w:t>
      </w:r>
      <w:r>
        <w:rPr>
          <w:rFonts w:hint="eastAsia" w:ascii="宋体" w:hAnsi="宋体" w:eastAsia="宋体" w:cs="宋体"/>
          <w:b/>
          <w:color w:val="auto"/>
          <w:szCs w:val="21"/>
          <w:highlight w:val="none"/>
          <w:lang w:val="zh-CN"/>
        </w:rPr>
        <w:t xml:space="preserve"> 投标人未按招标文件要求交纳投标保证金的；</w:t>
      </w:r>
    </w:p>
    <w:p w14:paraId="6A38F2C5">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w:t>
      </w:r>
      <w:r>
        <w:rPr>
          <w:rFonts w:hint="eastAsia" w:ascii="宋体" w:hAnsi="宋体" w:eastAsia="宋体" w:cs="宋体"/>
          <w:b/>
          <w:color w:val="auto"/>
          <w:szCs w:val="21"/>
          <w:highlight w:val="none"/>
          <w:lang w:val="en-US" w:eastAsia="zh-CN"/>
        </w:rPr>
        <w:t>9</w:t>
      </w:r>
      <w:r>
        <w:rPr>
          <w:rFonts w:hint="eastAsia" w:ascii="宋体" w:hAnsi="宋体" w:eastAsia="宋体" w:cs="宋体"/>
          <w:b/>
          <w:color w:val="auto"/>
          <w:szCs w:val="21"/>
          <w:highlight w:val="none"/>
          <w:lang w:val="zh-CN"/>
        </w:rPr>
        <w:t xml:space="preserve"> 投标文件报价信封中填报的投标报价高于不含税最高投标限价的或不填报或填报负数的或不符合招标文件规定填报要求的；</w:t>
      </w:r>
    </w:p>
    <w:p w14:paraId="29162DAC">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7.1</w:t>
      </w:r>
      <w:r>
        <w:rPr>
          <w:rFonts w:hint="eastAsia" w:ascii="宋体" w:hAnsi="宋体" w:eastAsia="宋体" w:cs="宋体"/>
          <w:b/>
          <w:color w:val="auto"/>
          <w:szCs w:val="21"/>
          <w:highlight w:val="none"/>
          <w:lang w:val="en-US" w:eastAsia="zh-CN"/>
        </w:rPr>
        <w:t>0</w:t>
      </w:r>
      <w:r>
        <w:rPr>
          <w:rFonts w:hint="eastAsia" w:ascii="宋体" w:hAnsi="宋体" w:eastAsia="宋体" w:cs="宋体"/>
          <w:b/>
          <w:color w:val="auto"/>
          <w:szCs w:val="21"/>
          <w:highlight w:val="none"/>
          <w:lang w:val="zh-CN"/>
        </w:rPr>
        <w:t xml:space="preserve"> 投标人以低于企业成本价报价，且投标人不能合理说明或不能提供相关证明材料；</w:t>
      </w:r>
    </w:p>
    <w:p w14:paraId="40997355">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7.1</w:t>
      </w:r>
      <w:r>
        <w:rPr>
          <w:rFonts w:hint="eastAsia" w:ascii="宋体" w:hAnsi="宋体" w:eastAsia="宋体" w:cs="宋体"/>
          <w:b/>
          <w:color w:val="auto"/>
          <w:szCs w:val="21"/>
          <w:highlight w:val="none"/>
          <w:lang w:val="en-US" w:eastAsia="zh-CN"/>
        </w:rPr>
        <w:t>1</w:t>
      </w:r>
      <w:r>
        <w:rPr>
          <w:rFonts w:hint="eastAsia" w:ascii="宋体" w:hAnsi="宋体" w:eastAsia="宋体" w:cs="宋体"/>
          <w:b/>
          <w:color w:val="auto"/>
          <w:szCs w:val="21"/>
          <w:highlight w:val="none"/>
          <w:lang w:val="zh-CN"/>
        </w:rPr>
        <w:t xml:space="preserve"> 投标人递交两份或多份内容不同的投标文件，或在一份投标文件中报有两个或多个报价，且未书面声明哪一个有效；</w:t>
      </w:r>
    </w:p>
    <w:p w14:paraId="28F61B60">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7.1</w:t>
      </w:r>
      <w:r>
        <w:rPr>
          <w:rFonts w:hint="eastAsia" w:ascii="宋体" w:hAnsi="宋体" w:eastAsia="宋体" w:cs="宋体"/>
          <w:b/>
          <w:color w:val="auto"/>
          <w:szCs w:val="21"/>
          <w:highlight w:val="none"/>
          <w:lang w:val="en-US" w:eastAsia="zh-CN"/>
        </w:rPr>
        <w:t>2</w:t>
      </w:r>
      <w:r>
        <w:rPr>
          <w:rFonts w:hint="eastAsia" w:ascii="宋体" w:hAnsi="宋体" w:eastAsia="宋体" w:cs="宋体"/>
          <w:b/>
          <w:color w:val="auto"/>
          <w:szCs w:val="21"/>
          <w:highlight w:val="none"/>
          <w:lang w:val="zh-CN"/>
        </w:rPr>
        <w:t xml:space="preserve"> 投标文件未按第二篇投标人须知第17款的要求编制、使用企业数字证书或个人数字证书电子签名的； </w:t>
      </w:r>
    </w:p>
    <w:p w14:paraId="3ACD738C">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7.1</w:t>
      </w:r>
      <w:r>
        <w:rPr>
          <w:rFonts w:hint="eastAsia" w:ascii="宋体" w:hAnsi="宋体" w:eastAsia="宋体" w:cs="宋体"/>
          <w:b/>
          <w:color w:val="auto"/>
          <w:szCs w:val="21"/>
          <w:highlight w:val="none"/>
          <w:lang w:val="en-US" w:eastAsia="zh-CN"/>
        </w:rPr>
        <w:t>3</w:t>
      </w:r>
      <w:r>
        <w:rPr>
          <w:rFonts w:hint="eastAsia" w:ascii="宋体" w:hAnsi="宋体" w:eastAsia="宋体" w:cs="宋体"/>
          <w:b/>
          <w:color w:val="auto"/>
          <w:szCs w:val="21"/>
          <w:highlight w:val="none"/>
          <w:lang w:val="zh-CN"/>
        </w:rPr>
        <w:t xml:space="preserve"> 投标有效期限不符合要求；</w:t>
      </w:r>
    </w:p>
    <w:p w14:paraId="6F5A45DD">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7.1</w:t>
      </w:r>
      <w:r>
        <w:rPr>
          <w:rFonts w:hint="eastAsia" w:ascii="宋体" w:hAnsi="宋体" w:eastAsia="宋体" w:cs="宋体"/>
          <w:b/>
          <w:color w:val="auto"/>
          <w:szCs w:val="21"/>
          <w:highlight w:val="none"/>
          <w:lang w:val="en-US" w:eastAsia="zh-CN"/>
        </w:rPr>
        <w:t>4</w:t>
      </w:r>
      <w:r>
        <w:rPr>
          <w:rFonts w:hint="eastAsia" w:ascii="宋体" w:hAnsi="宋体" w:eastAsia="宋体" w:cs="宋体"/>
          <w:b/>
          <w:color w:val="auto"/>
          <w:szCs w:val="21"/>
          <w:highlight w:val="none"/>
          <w:lang w:val="zh-CN"/>
        </w:rPr>
        <w:t xml:space="preserve"> 投标文件未对招标范围内的全部内容进行投标报价或投标方案不是唯一；</w:t>
      </w:r>
    </w:p>
    <w:p w14:paraId="0CE7135B">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7.1</w:t>
      </w:r>
      <w:r>
        <w:rPr>
          <w:rFonts w:hint="eastAsia" w:ascii="宋体" w:hAnsi="宋体" w:eastAsia="宋体" w:cs="宋体"/>
          <w:b/>
          <w:color w:val="auto"/>
          <w:szCs w:val="21"/>
          <w:highlight w:val="none"/>
          <w:lang w:val="en-US" w:eastAsia="zh-CN"/>
        </w:rPr>
        <w:t>5</w:t>
      </w:r>
      <w:r>
        <w:rPr>
          <w:rFonts w:hint="eastAsia" w:ascii="宋体" w:hAnsi="宋体" w:eastAsia="宋体" w:cs="宋体"/>
          <w:b/>
          <w:color w:val="auto"/>
          <w:szCs w:val="21"/>
          <w:highlight w:val="none"/>
          <w:lang w:val="zh-CN"/>
        </w:rPr>
        <w:t xml:space="preserve"> 未提供或虚假填写《合同条款偏离表》，或对《合同条款偏离表》有负偏离的；</w:t>
      </w:r>
    </w:p>
    <w:p w14:paraId="162D9BC6">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7.1</w:t>
      </w:r>
      <w:r>
        <w:rPr>
          <w:rFonts w:hint="eastAsia" w:ascii="宋体" w:hAnsi="宋体" w:eastAsia="宋体" w:cs="宋体"/>
          <w:b/>
          <w:color w:val="auto"/>
          <w:szCs w:val="21"/>
          <w:highlight w:val="none"/>
          <w:lang w:val="en-US" w:eastAsia="zh-CN"/>
        </w:rPr>
        <w:t>6</w:t>
      </w:r>
      <w:r>
        <w:rPr>
          <w:rFonts w:hint="eastAsia" w:ascii="宋体" w:hAnsi="宋体" w:eastAsia="宋体" w:cs="宋体"/>
          <w:b/>
          <w:color w:val="auto"/>
          <w:szCs w:val="21"/>
          <w:highlight w:val="none"/>
          <w:lang w:val="zh-CN"/>
        </w:rPr>
        <w:t xml:space="preserve"> 未填写或虚假填写《用户需求偏离表》的；</w:t>
      </w:r>
    </w:p>
    <w:p w14:paraId="08F49C73">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7.1</w:t>
      </w:r>
      <w:r>
        <w:rPr>
          <w:rFonts w:hint="eastAsia" w:ascii="宋体" w:hAnsi="宋体" w:eastAsia="宋体" w:cs="宋体"/>
          <w:b/>
          <w:color w:val="auto"/>
          <w:szCs w:val="21"/>
          <w:highlight w:val="none"/>
          <w:lang w:val="en-US" w:eastAsia="zh-CN"/>
        </w:rPr>
        <w:t>7</w:t>
      </w:r>
      <w:r>
        <w:rPr>
          <w:rFonts w:hint="eastAsia" w:ascii="宋体" w:hAnsi="宋体" w:eastAsia="宋体" w:cs="宋体"/>
          <w:b/>
          <w:color w:val="auto"/>
          <w:szCs w:val="21"/>
          <w:highlight w:val="none"/>
          <w:lang w:val="zh-CN"/>
        </w:rPr>
        <w:t xml:space="preserve"> 未响应招标文件提出的实质性要求和条件（标注★的条款）；</w:t>
      </w:r>
    </w:p>
    <w:p w14:paraId="4CD95607">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w:t>
      </w:r>
      <w:r>
        <w:rPr>
          <w:rFonts w:hint="eastAsia" w:ascii="宋体" w:hAnsi="宋体" w:eastAsia="宋体" w:cs="宋体"/>
          <w:b/>
          <w:color w:val="auto"/>
          <w:szCs w:val="21"/>
          <w:highlight w:val="none"/>
          <w:lang w:val="en-US" w:eastAsia="zh-CN"/>
        </w:rPr>
        <w:t>18</w:t>
      </w:r>
      <w:r>
        <w:rPr>
          <w:rFonts w:hint="eastAsia" w:ascii="宋体" w:hAnsi="宋体" w:eastAsia="宋体" w:cs="宋体"/>
          <w:b/>
          <w:color w:val="auto"/>
          <w:szCs w:val="21"/>
          <w:highlight w:val="none"/>
          <w:lang w:val="zh-CN"/>
        </w:rPr>
        <w:t xml:space="preserve"> 属于招标文件中规定为无效标的；属于法律、法规、规章规定的应作无效投标文件处理的。</w:t>
      </w:r>
    </w:p>
    <w:p w14:paraId="4ADD76D4">
      <w:pPr>
        <w:autoSpaceDE w:val="0"/>
        <w:autoSpaceDN w:val="0"/>
        <w:adjustRightInd w:val="0"/>
        <w:spacing w:line="360" w:lineRule="auto"/>
        <w:ind w:left="315" w:hanging="315" w:hangingChars="150"/>
        <w:rPr>
          <w:rFonts w:ascii="宋体" w:hAnsi="宋体" w:eastAsia="宋体" w:cs="宋体"/>
          <w:color w:val="auto"/>
          <w:kern w:val="0"/>
          <w:szCs w:val="24"/>
          <w:highlight w:val="none"/>
          <w:lang w:val="zh-CN"/>
        </w:rPr>
      </w:pPr>
      <w:r>
        <w:rPr>
          <w:rFonts w:hint="eastAsia" w:ascii="宋体" w:hAnsi="宋体" w:eastAsia="宋体" w:cs="宋体"/>
          <w:bCs/>
          <w:color w:val="auto"/>
          <w:kern w:val="0"/>
          <w:szCs w:val="24"/>
          <w:highlight w:val="none"/>
          <w:lang w:val="zh-CN"/>
        </w:rPr>
        <w:t>8、</w:t>
      </w:r>
      <w:r>
        <w:rPr>
          <w:rFonts w:hint="eastAsia" w:ascii="宋体" w:hAnsi="宋体" w:eastAsia="宋体" w:cs="宋体"/>
          <w:color w:val="auto"/>
          <w:kern w:val="0"/>
          <w:szCs w:val="24"/>
          <w:highlight w:val="none"/>
          <w:lang w:val="zh-CN"/>
        </w:rPr>
        <w:t>评标委员会应当书面要求存在细微偏差的投标人在开标评审结束前予以补正。细微偏差是指投标文件在实质上响应招标文件要求，但在个别地方存在漏项或者提供了不完整的技术方案信息和数据等情况，并且补正这些遗漏或者不完整不会对其他投标人造成不公平的结果。细微偏差不影响投标文件的有效性。</w:t>
      </w:r>
    </w:p>
    <w:p w14:paraId="7ACBC424">
      <w:pPr>
        <w:spacing w:line="360" w:lineRule="auto"/>
        <w:ind w:left="480"/>
        <w:rPr>
          <w:rFonts w:ascii="宋体" w:hAnsi="宋体" w:eastAsia="宋体" w:cs="宋体"/>
          <w:b/>
          <w:color w:val="auto"/>
          <w:kern w:val="0"/>
          <w:szCs w:val="21"/>
          <w:highlight w:val="none"/>
        </w:rPr>
      </w:pPr>
    </w:p>
    <w:p w14:paraId="0B11BAD8">
      <w:pPr>
        <w:tabs>
          <w:tab w:val="left" w:pos="1140"/>
        </w:tabs>
        <w:autoSpaceDE w:val="0"/>
        <w:autoSpaceDN w:val="0"/>
        <w:adjustRightInd w:val="0"/>
        <w:spacing w:line="360" w:lineRule="auto"/>
        <w:ind w:firstLine="3528" w:firstLineChars="1255"/>
        <w:jc w:val="left"/>
        <w:rPr>
          <w:rFonts w:ascii="宋体" w:hAnsi="宋体" w:eastAsia="宋体" w:cs="宋体"/>
          <w:b/>
          <w:bCs/>
          <w:color w:val="auto"/>
          <w:sz w:val="28"/>
          <w:szCs w:val="28"/>
          <w:highlight w:val="none"/>
        </w:rPr>
      </w:pPr>
      <w:bookmarkStart w:id="1041" w:name="_Toc4109_WPSOffice_Level1"/>
      <w:r>
        <w:rPr>
          <w:rFonts w:hint="eastAsia" w:ascii="宋体" w:hAnsi="宋体" w:eastAsia="宋体" w:cs="宋体"/>
          <w:b/>
          <w:bCs/>
          <w:color w:val="auto"/>
          <w:sz w:val="28"/>
          <w:szCs w:val="28"/>
          <w:highlight w:val="none"/>
          <w:lang w:val="zh-CN"/>
        </w:rPr>
        <w:t>三、澄清有关问题</w:t>
      </w:r>
      <w:bookmarkEnd w:id="1041"/>
    </w:p>
    <w:p w14:paraId="12BB1931">
      <w:pPr>
        <w:autoSpaceDE w:val="0"/>
        <w:autoSpaceDN w:val="0"/>
        <w:adjustRightInd w:val="0"/>
        <w:spacing w:line="360" w:lineRule="auto"/>
        <w:ind w:left="315" w:hanging="315" w:hangingChars="150"/>
        <w:rPr>
          <w:rFonts w:ascii="宋体" w:hAnsi="宋体" w:eastAsia="宋体" w:cs="宋体"/>
          <w:color w:val="auto"/>
          <w:szCs w:val="24"/>
          <w:highlight w:val="none"/>
          <w:lang w:val="zh-CN"/>
        </w:rPr>
      </w:pPr>
      <w:r>
        <w:rPr>
          <w:rFonts w:hint="eastAsia" w:ascii="宋体" w:hAnsi="宋体" w:eastAsia="宋体" w:cs="宋体"/>
          <w:bCs/>
          <w:color w:val="auto"/>
          <w:szCs w:val="24"/>
          <w:highlight w:val="none"/>
          <w:lang w:val="zh-CN"/>
        </w:rPr>
        <w:t>9、</w:t>
      </w:r>
      <w:r>
        <w:rPr>
          <w:rFonts w:hint="eastAsia" w:ascii="宋体" w:hAnsi="宋体" w:eastAsia="宋体" w:cs="宋体"/>
          <w:color w:val="auto"/>
          <w:szCs w:val="24"/>
          <w:highlight w:val="none"/>
          <w:lang w:val="zh-CN"/>
        </w:rPr>
        <w:t>在</w:t>
      </w:r>
      <w:r>
        <w:rPr>
          <w:rFonts w:hint="eastAsia" w:ascii="宋体" w:hAnsi="宋体" w:eastAsia="宋体" w:cs="宋体"/>
          <w:color w:val="auto"/>
          <w:kern w:val="0"/>
          <w:szCs w:val="24"/>
          <w:highlight w:val="none"/>
          <w:lang w:val="zh-CN"/>
        </w:rPr>
        <w:t>投标文件</w:t>
      </w:r>
      <w:r>
        <w:rPr>
          <w:rFonts w:hint="eastAsia" w:ascii="宋体" w:hAnsi="宋体" w:eastAsia="宋体" w:cs="宋体"/>
          <w:color w:val="auto"/>
          <w:szCs w:val="24"/>
          <w:highlight w:val="none"/>
          <w:lang w:val="zh-CN"/>
        </w:rPr>
        <w:t>的商务、技术资格性检查及符合性检查过程中，</w:t>
      </w:r>
      <w:r>
        <w:rPr>
          <w:rFonts w:hint="eastAsia" w:ascii="宋体" w:hAnsi="宋体" w:eastAsia="宋体" w:cs="宋体"/>
          <w:color w:val="auto"/>
          <w:kern w:val="0"/>
          <w:szCs w:val="24"/>
          <w:highlight w:val="none"/>
          <w:lang w:val="zh-CN"/>
        </w:rPr>
        <w:t>投标人</w:t>
      </w:r>
      <w:r>
        <w:rPr>
          <w:rFonts w:hint="eastAsia" w:ascii="宋体" w:hAnsi="宋体" w:eastAsia="宋体" w:cs="宋体"/>
          <w:color w:val="auto"/>
          <w:szCs w:val="24"/>
          <w:highlight w:val="none"/>
          <w:lang w:val="zh-CN"/>
        </w:rPr>
        <w:t>可应评标委员会要求对</w:t>
      </w:r>
      <w:r>
        <w:rPr>
          <w:rFonts w:hint="eastAsia" w:ascii="宋体" w:hAnsi="宋体" w:eastAsia="宋体" w:cs="宋体"/>
          <w:color w:val="auto"/>
          <w:kern w:val="0"/>
          <w:szCs w:val="24"/>
          <w:highlight w:val="none"/>
          <w:lang w:val="zh-CN"/>
        </w:rPr>
        <w:t>投标文件</w:t>
      </w:r>
      <w:r>
        <w:rPr>
          <w:rFonts w:hint="eastAsia" w:ascii="宋体" w:hAnsi="宋体" w:eastAsia="宋体" w:cs="宋体"/>
          <w:color w:val="auto"/>
          <w:szCs w:val="24"/>
          <w:highlight w:val="none"/>
          <w:lang w:val="zh-CN"/>
        </w:rPr>
        <w:t>中有关问题进行书面澄清。该书面澄清作为其</w:t>
      </w:r>
      <w:r>
        <w:rPr>
          <w:rFonts w:hint="eastAsia" w:ascii="宋体" w:hAnsi="宋体" w:eastAsia="宋体" w:cs="宋体"/>
          <w:color w:val="auto"/>
          <w:kern w:val="0"/>
          <w:szCs w:val="24"/>
          <w:highlight w:val="none"/>
          <w:lang w:val="zh-CN"/>
        </w:rPr>
        <w:t>投标文件</w:t>
      </w:r>
      <w:r>
        <w:rPr>
          <w:rFonts w:hint="eastAsia" w:ascii="宋体" w:hAnsi="宋体" w:eastAsia="宋体" w:cs="宋体"/>
          <w:color w:val="auto"/>
          <w:szCs w:val="24"/>
          <w:highlight w:val="none"/>
          <w:lang w:val="zh-CN"/>
        </w:rPr>
        <w:t>的一部分。</w:t>
      </w:r>
    </w:p>
    <w:p w14:paraId="3B680071">
      <w:pPr>
        <w:autoSpaceDE w:val="0"/>
        <w:autoSpaceDN w:val="0"/>
        <w:adjustRightInd w:val="0"/>
        <w:spacing w:line="360" w:lineRule="auto"/>
        <w:ind w:left="529" w:hanging="529" w:hangingChars="252"/>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9.1  对</w:t>
      </w:r>
      <w:r>
        <w:rPr>
          <w:rFonts w:hint="eastAsia" w:ascii="宋体" w:hAnsi="宋体" w:eastAsia="宋体" w:cs="宋体"/>
          <w:color w:val="auto"/>
          <w:kern w:val="0"/>
          <w:szCs w:val="24"/>
          <w:highlight w:val="none"/>
          <w:lang w:val="zh-CN"/>
        </w:rPr>
        <w:t>投标文件</w:t>
      </w:r>
      <w:r>
        <w:rPr>
          <w:rFonts w:hint="eastAsia" w:ascii="宋体" w:hAnsi="宋体" w:eastAsia="宋体" w:cs="宋体"/>
          <w:color w:val="auto"/>
          <w:szCs w:val="24"/>
          <w:highlight w:val="none"/>
          <w:lang w:val="zh-CN"/>
        </w:rPr>
        <w:t>中含义不明确、同类问题表述不一致或者有明显文字和计算错误的内容，评标委员会可以书面形式（由评标委员会专家签字）要求投标人作出必要的澄清、说明或者纠正。</w:t>
      </w:r>
    </w:p>
    <w:p w14:paraId="531BFE95">
      <w:pPr>
        <w:autoSpaceDE w:val="0"/>
        <w:autoSpaceDN w:val="0"/>
        <w:adjustRightInd w:val="0"/>
        <w:spacing w:line="360" w:lineRule="auto"/>
        <w:ind w:left="529" w:hanging="529" w:hangingChars="252"/>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9.2  投标人的澄清、说明或者纠正应当采用书面形式，经加盖其公章或其合法代表人（法定代表人或法定代表人授权书列明的被授权人）签署方有效，并不得超出投标文件的范围或者改变投标文件的实质性内容。</w:t>
      </w:r>
    </w:p>
    <w:p w14:paraId="766D5854">
      <w:pPr>
        <w:autoSpaceDE w:val="0"/>
        <w:autoSpaceDN w:val="0"/>
        <w:adjustRightInd w:val="0"/>
        <w:spacing w:line="360" w:lineRule="auto"/>
        <w:ind w:left="529" w:right="18" w:hanging="529" w:hangingChars="252"/>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9.3  经过澄清后仍不符合要求，则该项目在下一步评审进行评分调整；若重大（实质性）偏差仍存在，且不可接受，投标人则被认为是“不响应招标文件要求的投标人”，不再进入下一步评审。</w:t>
      </w:r>
    </w:p>
    <w:p w14:paraId="13900BC9">
      <w:pPr>
        <w:spacing w:line="360" w:lineRule="auto"/>
        <w:ind w:left="424" w:hanging="424" w:hangingChars="202"/>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9.4  投标文件报价计算错误的修正</w:t>
      </w:r>
    </w:p>
    <w:p w14:paraId="2ADC685B">
      <w:pPr>
        <w:spacing w:line="360" w:lineRule="auto"/>
        <w:ind w:left="567" w:hanging="567" w:hangingChars="27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（1）评标委员会将对确定为实质上响应招标文件要求的投标文件进行校核，看其是否有计算或表达上的错误，修正错误的原则为：</w:t>
      </w:r>
    </w:p>
    <w:p w14:paraId="5D2FB3DF">
      <w:pPr>
        <w:spacing w:line="360" w:lineRule="auto"/>
        <w:ind w:firstLine="420" w:firstLineChars="200"/>
        <w:jc w:val="left"/>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w:t>
      </w:r>
      <w:r>
        <w:rPr>
          <w:rFonts w:hint="eastAsia" w:ascii="宋体" w:hAnsi="宋体" w:eastAsia="宋体" w:cs="宋体"/>
          <w:color w:val="auto"/>
          <w:kern w:val="0"/>
          <w:szCs w:val="21"/>
          <w:highlight w:val="none"/>
        </w:rPr>
        <w:t>A</w:t>
      </w:r>
      <w:r>
        <w:rPr>
          <w:rFonts w:hint="eastAsia" w:ascii="宋体" w:hAnsi="宋体" w:eastAsia="宋体" w:cs="宋体"/>
          <w:color w:val="auto"/>
          <w:kern w:val="0"/>
          <w:szCs w:val="21"/>
          <w:highlight w:val="none"/>
          <w:lang w:val="zh-CN"/>
        </w:rPr>
        <w:t>）当以数字表示的金额与以文字表示的金额不一致时，以文字表示的金额为准；</w:t>
      </w:r>
    </w:p>
    <w:p w14:paraId="19D1750F">
      <w:pPr>
        <w:spacing w:line="360" w:lineRule="auto"/>
        <w:ind w:left="420" w:leftChars="200"/>
        <w:jc w:val="left"/>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（B）分项报价表内各子项目的报价之和应等于报价信封中的投标值。若分项报价表内各子项目的报价之和不等于报价信封中的投标值时，以报价信封中的投标值为准，同比例修正分项报价表内各子项目的报价；</w:t>
      </w:r>
    </w:p>
    <w:p w14:paraId="5547D8A3">
      <w:pPr>
        <w:spacing w:line="360" w:lineRule="auto"/>
        <w:ind w:left="420" w:leftChars="200"/>
        <w:jc w:val="left"/>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w:t>
      </w:r>
      <w:r>
        <w:rPr>
          <w:rFonts w:hint="eastAsia" w:ascii="宋体" w:hAnsi="宋体" w:eastAsia="宋体" w:cs="宋体"/>
          <w:color w:val="auto"/>
          <w:kern w:val="0"/>
          <w:szCs w:val="21"/>
          <w:highlight w:val="none"/>
          <w:lang w:val="en-US" w:eastAsia="zh-CN"/>
        </w:rPr>
        <w:t>C</w:t>
      </w:r>
      <w:r>
        <w:rPr>
          <w:rFonts w:hint="eastAsia" w:ascii="宋体" w:hAnsi="宋体" w:eastAsia="宋体" w:cs="宋体"/>
          <w:color w:val="auto"/>
          <w:kern w:val="0"/>
          <w:szCs w:val="21"/>
          <w:highlight w:val="none"/>
          <w:lang w:val="zh-CN"/>
        </w:rPr>
        <w:t>）分项报价明细表内投标报价金额应等于报价信封中的投标值。若分项报价明细表内投标报价金额不等于报价信封中的投标值时，以报价信封中的投标值为准，并修正分项报价明细表内投标报价；分项报价明细表内合计之和应等于投标报价，若分项报价明细表内合计之和不等于投标报价时，以分项报价明细表内投标报价为准，同比例修正分项报价明细表内合计报价；分项报价明细表内各小项之和应等于合计报价，若分项报价明细表内各小项之和不等于合计报价时，以分项报价明细表内合计报价为准，并同比例修正分项报价明细表内各小项报价及单价；</w:t>
      </w:r>
    </w:p>
    <w:p w14:paraId="02F560CB">
      <w:pPr>
        <w:spacing w:line="360" w:lineRule="auto"/>
        <w:ind w:firstLine="420" w:firstLineChars="200"/>
        <w:jc w:val="left"/>
        <w:rPr>
          <w:rFonts w:ascii="宋体" w:hAnsi="宋体" w:eastAsia="宋体" w:cs="Times New Roman"/>
          <w:color w:val="auto"/>
          <w:kern w:val="0"/>
          <w:sz w:val="24"/>
          <w:szCs w:val="24"/>
          <w:highlight w:val="none"/>
        </w:rPr>
      </w:pPr>
      <w:r>
        <w:rPr>
          <w:rFonts w:hint="eastAsia" w:ascii="宋体" w:hAnsi="宋体" w:eastAsia="宋体" w:cs="宋体"/>
          <w:color w:val="auto"/>
          <w:kern w:val="0"/>
          <w:szCs w:val="21"/>
          <w:highlight w:val="none"/>
          <w:lang w:val="zh-CN"/>
        </w:rPr>
        <w:t>（</w:t>
      </w:r>
      <w:r>
        <w:rPr>
          <w:rFonts w:hint="eastAsia" w:ascii="宋体" w:hAnsi="宋体" w:eastAsia="宋体" w:cs="宋体"/>
          <w:color w:val="auto"/>
          <w:kern w:val="0"/>
          <w:szCs w:val="21"/>
          <w:highlight w:val="none"/>
          <w:lang w:val="en-US" w:eastAsia="zh-CN"/>
        </w:rPr>
        <w:t>D</w:t>
      </w:r>
      <w:r>
        <w:rPr>
          <w:rFonts w:hint="eastAsia" w:ascii="宋体" w:hAnsi="宋体" w:eastAsia="宋体" w:cs="宋体"/>
          <w:color w:val="auto"/>
          <w:kern w:val="0"/>
          <w:szCs w:val="21"/>
          <w:highlight w:val="none"/>
          <w:lang w:val="zh-CN"/>
        </w:rPr>
        <w:t>）按前述修正原则排序依次进行修正至唯一值后的报价表经双方确认后，作为合同文件的组成部分。</w:t>
      </w:r>
    </w:p>
    <w:p w14:paraId="6E1A3057">
      <w:pPr>
        <w:spacing w:line="360" w:lineRule="auto"/>
        <w:ind w:left="567" w:hanging="567" w:hangingChars="270"/>
        <w:rPr>
          <w:rFonts w:ascii="宋体" w:hAnsi="宋体" w:eastAsia="宋体" w:cs="宋体"/>
          <w:b/>
          <w:color w:val="auto"/>
          <w:kern w:val="0"/>
          <w:szCs w:val="21"/>
          <w:highlight w:val="none"/>
          <w:lang w:val="zh-CN"/>
        </w:rPr>
      </w:pPr>
      <w:r>
        <w:rPr>
          <w:rFonts w:hint="eastAsia" w:ascii="宋体" w:hAnsi="宋体" w:eastAsia="宋体" w:cs="宋体"/>
          <w:color w:val="auto"/>
          <w:kern w:val="0"/>
          <w:szCs w:val="21"/>
          <w:highlight w:val="none"/>
          <w:lang w:val="zh-CN"/>
        </w:rPr>
        <w:t>（2）</w:t>
      </w:r>
      <w:r>
        <w:rPr>
          <w:rFonts w:hint="eastAsia" w:ascii="宋体" w:hAnsi="宋体" w:eastAsia="宋体" w:cs="宋体"/>
          <w:b/>
          <w:color w:val="auto"/>
          <w:kern w:val="0"/>
          <w:szCs w:val="21"/>
          <w:highlight w:val="none"/>
          <w:u w:val="single"/>
          <w:lang w:val="zh-CN"/>
        </w:rPr>
        <w:t>按上述修正</w:t>
      </w:r>
      <w:r>
        <w:rPr>
          <w:rFonts w:hint="eastAsia" w:ascii="宋体" w:hAnsi="宋体" w:eastAsia="宋体" w:cs="宋体"/>
          <w:b/>
          <w:color w:val="auto"/>
          <w:kern w:val="0"/>
          <w:szCs w:val="21"/>
          <w:highlight w:val="none"/>
          <w:u w:val="single"/>
        </w:rPr>
        <w:t>错误</w:t>
      </w:r>
      <w:r>
        <w:rPr>
          <w:rFonts w:hint="eastAsia" w:ascii="宋体" w:hAnsi="宋体" w:eastAsia="宋体" w:cs="宋体"/>
          <w:b/>
          <w:color w:val="auto"/>
          <w:kern w:val="0"/>
          <w:szCs w:val="21"/>
          <w:highlight w:val="none"/>
          <w:u w:val="single"/>
          <w:lang w:val="zh-CN"/>
        </w:rPr>
        <w:t>的原则及方法调整或修正投标文件的投标报价，调整后的投标报价对投标人起约束作用。如果投标人不接受修正后的报价，则其投标将被拒绝，作为无效投标处理</w:t>
      </w:r>
      <w:r>
        <w:rPr>
          <w:rFonts w:hint="eastAsia" w:ascii="宋体" w:hAnsi="宋体" w:eastAsia="宋体" w:cs="宋体"/>
          <w:b/>
          <w:color w:val="auto"/>
          <w:kern w:val="0"/>
          <w:szCs w:val="21"/>
          <w:highlight w:val="none"/>
          <w:lang w:val="zh-CN"/>
        </w:rPr>
        <w:t>。</w:t>
      </w:r>
    </w:p>
    <w:p w14:paraId="39C19EBD">
      <w:pPr>
        <w:spacing w:line="360" w:lineRule="auto"/>
        <w:ind w:left="567" w:hanging="567" w:hangingChars="27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9.5  若投标人出现超低报价，有可能影响服务质量和不能诚信履约的，</w:t>
      </w:r>
      <w:r>
        <w:rPr>
          <w:rFonts w:hint="eastAsia" w:ascii="宋体" w:hAnsi="宋体" w:eastAsia="宋体" w:cs="宋体"/>
          <w:bCs/>
          <w:color w:val="auto"/>
          <w:szCs w:val="21"/>
          <w:highlight w:val="none"/>
          <w:lang w:val="zh-CN"/>
        </w:rPr>
        <w:t>评标委员会将要求该投标人作出书面说明并提供相关证明材料，以确定投标人是否以低于企业成本价报价。</w:t>
      </w:r>
      <w:r>
        <w:rPr>
          <w:rFonts w:hint="eastAsia" w:ascii="宋体" w:hAnsi="宋体" w:eastAsia="宋体" w:cs="宋体"/>
          <w:b/>
          <w:color w:val="auto"/>
          <w:szCs w:val="21"/>
          <w:highlight w:val="none"/>
          <w:lang w:val="zh-CN"/>
        </w:rPr>
        <w:t>若投标人不能合理说明或不能提供相关证明材料的，评标委员会将认定其投标报价低于成本，同时否决其投标。</w:t>
      </w:r>
    </w:p>
    <w:p w14:paraId="0A0B2CB7">
      <w:pPr>
        <w:autoSpaceDE w:val="0"/>
        <w:autoSpaceDN w:val="0"/>
        <w:adjustRightInd w:val="0"/>
        <w:spacing w:line="360" w:lineRule="auto"/>
        <w:jc w:val="center"/>
        <w:rPr>
          <w:rFonts w:ascii="宋体" w:hAnsi="宋体" w:eastAsia="宋体" w:cs="宋体"/>
          <w:b/>
          <w:bCs/>
          <w:color w:val="auto"/>
          <w:sz w:val="28"/>
          <w:szCs w:val="28"/>
          <w:highlight w:val="none"/>
          <w:lang w:val="zh-CN"/>
        </w:rPr>
      </w:pPr>
      <w:bookmarkStart w:id="1042" w:name="_Toc8518_WPSOffice_Level1"/>
    </w:p>
    <w:p w14:paraId="4F43A816">
      <w:pPr>
        <w:autoSpaceDE w:val="0"/>
        <w:autoSpaceDN w:val="0"/>
        <w:adjustRightInd w:val="0"/>
        <w:spacing w:line="360" w:lineRule="auto"/>
        <w:jc w:val="center"/>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zh-CN"/>
        </w:rPr>
        <w:t>四、比较和评价</w:t>
      </w:r>
      <w:bookmarkEnd w:id="1042"/>
    </w:p>
    <w:p w14:paraId="70B00DF2">
      <w:pPr>
        <w:autoSpaceDE w:val="0"/>
        <w:autoSpaceDN w:val="0"/>
        <w:adjustRightInd w:val="0"/>
        <w:spacing w:line="360" w:lineRule="auto"/>
        <w:ind w:left="422" w:leftChars="1" w:hanging="420" w:hangingChars="200"/>
        <w:rPr>
          <w:rFonts w:ascii="宋体" w:hAnsi="宋体" w:eastAsia="宋体" w:cs="宋体"/>
          <w:color w:val="auto"/>
          <w:szCs w:val="24"/>
          <w:highlight w:val="none"/>
          <w:lang w:val="zh-CN"/>
        </w:rPr>
      </w:pPr>
      <w:r>
        <w:rPr>
          <w:rFonts w:hint="eastAsia" w:ascii="宋体" w:hAnsi="宋体" w:eastAsia="宋体" w:cs="宋体"/>
          <w:bCs/>
          <w:color w:val="auto"/>
          <w:szCs w:val="24"/>
          <w:highlight w:val="none"/>
          <w:lang w:val="zh-CN"/>
        </w:rPr>
        <w:t>10、</w:t>
      </w:r>
      <w:r>
        <w:rPr>
          <w:rFonts w:hint="eastAsia" w:ascii="宋体" w:hAnsi="宋体" w:eastAsia="宋体" w:cs="宋体"/>
          <w:color w:val="auto"/>
          <w:szCs w:val="24"/>
          <w:highlight w:val="none"/>
          <w:lang w:val="zh-CN"/>
        </w:rPr>
        <w:t>评标委员会按招标文件中规定的评审方法和标准，对资格性检查和符合性检查合格的投标文件进行商务和技术评审、综合比较与评价；评标委员会根据商务和技术评审的结果，采用综合评分法，分别对投标文件的商务、技术、价格等内容进行打分。</w:t>
      </w:r>
    </w:p>
    <w:p w14:paraId="5C1CED60">
      <w:pPr>
        <w:autoSpaceDE w:val="0"/>
        <w:autoSpaceDN w:val="0"/>
        <w:adjustRightInd w:val="0"/>
        <w:spacing w:line="360" w:lineRule="auto"/>
        <w:ind w:left="422" w:leftChars="1" w:hanging="420" w:hangingChars="200"/>
        <w:rPr>
          <w:rFonts w:ascii="宋体" w:hAnsi="宋体" w:eastAsia="宋体" w:cs="宋体"/>
          <w:color w:val="auto"/>
          <w:szCs w:val="24"/>
          <w:highlight w:val="none"/>
          <w:lang w:val="zh-CN"/>
        </w:rPr>
      </w:pPr>
    </w:p>
    <w:p w14:paraId="0CA87EFF">
      <w:pPr>
        <w:tabs>
          <w:tab w:val="left" w:pos="1701"/>
        </w:tabs>
        <w:autoSpaceDE w:val="0"/>
        <w:autoSpaceDN w:val="0"/>
        <w:adjustRightInd w:val="0"/>
        <w:spacing w:line="360" w:lineRule="auto"/>
        <w:rPr>
          <w:rFonts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11、评委打分办法</w:t>
      </w:r>
    </w:p>
    <w:p w14:paraId="531DC684">
      <w:pPr>
        <w:autoSpaceDE w:val="0"/>
        <w:autoSpaceDN w:val="0"/>
        <w:adjustRightInd w:val="0"/>
        <w:spacing w:line="360" w:lineRule="auto"/>
        <w:rPr>
          <w:rFonts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11</w:t>
      </w:r>
      <w:r>
        <w:rPr>
          <w:rFonts w:hint="eastAsia" w:ascii="宋体" w:hAnsi="宋体" w:eastAsia="宋体" w:cs="Times New Roman"/>
          <w:color w:val="auto"/>
          <w:szCs w:val="24"/>
          <w:highlight w:val="none"/>
          <w:lang w:val="zh-CN"/>
        </w:rPr>
        <w:t>.1 参加评分的评委应尽力体现客观、实事求是，避免学派偏见和个人偏好。</w:t>
      </w:r>
    </w:p>
    <w:p w14:paraId="3127E4D5">
      <w:pPr>
        <w:autoSpaceDE w:val="0"/>
        <w:autoSpaceDN w:val="0"/>
        <w:adjustRightInd w:val="0"/>
        <w:spacing w:line="360" w:lineRule="auto"/>
        <w:ind w:left="565" w:leftChars="-1" w:hanging="567" w:hangingChars="270"/>
        <w:rPr>
          <w:rFonts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11</w:t>
      </w:r>
      <w:r>
        <w:rPr>
          <w:rFonts w:hint="eastAsia" w:ascii="宋体" w:hAnsi="宋体" w:eastAsia="宋体" w:cs="Times New Roman"/>
          <w:color w:val="auto"/>
          <w:szCs w:val="24"/>
          <w:highlight w:val="none"/>
          <w:lang w:val="zh-CN"/>
        </w:rPr>
        <w:t>.2 衡量、对比的依据，应以招标文件、投标文件、提供的正式试验数据、开标澄清中的文字为准，口头回答和收集的资料只作为参考。</w:t>
      </w:r>
    </w:p>
    <w:p w14:paraId="46DDFFCE">
      <w:pPr>
        <w:autoSpaceDE w:val="0"/>
        <w:autoSpaceDN w:val="0"/>
        <w:adjustRightInd w:val="0"/>
        <w:spacing w:line="360" w:lineRule="auto"/>
        <w:ind w:left="565" w:leftChars="-1" w:hanging="567" w:hangingChars="270"/>
        <w:rPr>
          <w:rFonts w:ascii="宋体" w:hAnsi="宋体" w:eastAsia="宋体" w:cs="宋体"/>
          <w:color w:val="auto"/>
          <w:kern w:val="0"/>
          <w:szCs w:val="21"/>
          <w:highlight w:val="none"/>
        </w:rPr>
      </w:pPr>
      <w:r>
        <w:rPr>
          <w:rFonts w:ascii="宋体" w:hAnsi="宋体" w:eastAsia="宋体" w:cs="Times New Roman"/>
          <w:color w:val="auto"/>
          <w:szCs w:val="24"/>
          <w:highlight w:val="none"/>
          <w:lang w:val="zh-CN"/>
        </w:rPr>
        <w:t>11</w:t>
      </w:r>
      <w:r>
        <w:rPr>
          <w:rFonts w:hint="eastAsia" w:ascii="宋体" w:hAnsi="宋体" w:eastAsia="宋体" w:cs="Times New Roman"/>
          <w:color w:val="auto"/>
          <w:szCs w:val="24"/>
          <w:highlight w:val="none"/>
          <w:lang w:val="zh-CN"/>
        </w:rPr>
        <w:t>.3 评分主要是为比较各投标人的商务、技术</w:t>
      </w:r>
      <w:r>
        <w:rPr>
          <w:rFonts w:hint="eastAsia" w:ascii="宋体" w:hAnsi="宋体" w:eastAsia="宋体" w:cs="Times New Roman"/>
          <w:color w:val="auto"/>
          <w:szCs w:val="24"/>
          <w:highlight w:val="none"/>
        </w:rPr>
        <w:t>和</w:t>
      </w:r>
      <w:r>
        <w:rPr>
          <w:rFonts w:hint="eastAsia" w:ascii="宋体" w:hAnsi="宋体" w:eastAsia="宋体" w:cs="Times New Roman"/>
          <w:color w:val="auto"/>
          <w:szCs w:val="24"/>
          <w:highlight w:val="none"/>
          <w:lang w:val="zh-CN"/>
        </w:rPr>
        <w:t>价格综合排序。</w:t>
      </w:r>
      <w:r>
        <w:rPr>
          <w:rFonts w:hint="eastAsia" w:ascii="宋体" w:hAnsi="宋体" w:eastAsia="宋体" w:cs="宋体"/>
          <w:color w:val="auto"/>
          <w:kern w:val="0"/>
          <w:szCs w:val="21"/>
          <w:highlight w:val="none"/>
        </w:rPr>
        <w:t>评标委员会专家组的每一位评委根据招标文件评分标准对投标文件分别评审，对有效投标人投标文件的商务、技术、报价分别评分。</w:t>
      </w:r>
    </w:p>
    <w:p w14:paraId="12A8C16C">
      <w:pPr>
        <w:autoSpaceDE w:val="0"/>
        <w:autoSpaceDN w:val="0"/>
        <w:adjustRightInd w:val="0"/>
        <w:spacing w:line="360" w:lineRule="auto"/>
        <w:ind w:left="565" w:leftChars="-1" w:hanging="567" w:hangingChars="27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（1）评标委员会首先对商务标进行评审，按评标标准打分后，取所有评委评分的平均值得出该投标人的商务评分；</w:t>
      </w:r>
    </w:p>
    <w:p w14:paraId="513D6011">
      <w:pPr>
        <w:autoSpaceDE w:val="0"/>
        <w:autoSpaceDN w:val="0"/>
        <w:adjustRightInd w:val="0"/>
        <w:spacing w:line="360" w:lineRule="auto"/>
        <w:ind w:left="565" w:leftChars="-1" w:hanging="567" w:hangingChars="270"/>
        <w:rPr>
          <w:rFonts w:ascii="宋体" w:hAnsi="宋体" w:eastAsia="宋体" w:cs="宋体"/>
          <w:color w:val="auto"/>
          <w:szCs w:val="21"/>
          <w:highlight w:val="none"/>
        </w:rPr>
      </w:pPr>
      <w:r>
        <w:rPr>
          <w:rFonts w:hint="eastAsia" w:ascii="宋体" w:hAnsi="宋体" w:eastAsia="宋体" w:cs="宋体"/>
          <w:color w:val="auto"/>
          <w:kern w:val="0"/>
          <w:szCs w:val="21"/>
          <w:highlight w:val="none"/>
        </w:rPr>
        <w:t>（2）然后评标委员会对技术标进行评审，按评标标准打分后，</w:t>
      </w:r>
      <w:r>
        <w:rPr>
          <w:rFonts w:hint="eastAsia" w:ascii="宋体" w:hAnsi="宋体" w:eastAsia="宋体" w:cs="宋体"/>
          <w:color w:val="auto"/>
          <w:szCs w:val="21"/>
          <w:highlight w:val="none"/>
        </w:rPr>
        <w:t>当评标委员会为五人时，在所有评委对同一份投标文件技术标评审的总评分中，去掉一个最高分和一个最低分，计算剩余总评分的算术平均值即为该投标人技术部分的最终综合得分；当评标委员会为七人及以上单数时，在各评委的打分中，同一评委的最高评分减去最低评分，去掉分差最大评委的所有打分（出现分差相同时，按最高评分减去次最低评分进行比较，如此类推），在所有剩余评委对同一份投标文件技术部分评审的总评分中，去掉一个最高分和一个最低分，计算剩余总评分的算术平均值即为该投标人技术部分的最终综合得分；若评标委员会成员对某一项按“优、中、差”评审的评分因素的评分低于权重分值60%的，应在评标报告中作出说明。</w:t>
      </w:r>
    </w:p>
    <w:p w14:paraId="35A28776">
      <w:pPr>
        <w:autoSpaceDE w:val="0"/>
        <w:autoSpaceDN w:val="0"/>
        <w:adjustRightInd w:val="0"/>
        <w:spacing w:line="360" w:lineRule="auto"/>
        <w:ind w:left="565" w:leftChars="-1" w:hanging="567" w:hangingChars="270"/>
        <w:rPr>
          <w:rFonts w:ascii="宋体" w:hAnsi="宋体" w:eastAsia="宋体" w:cs="Times New Roman"/>
          <w:color w:val="auto"/>
          <w:szCs w:val="24"/>
          <w:highlight w:val="none"/>
          <w:lang w:val="zh-CN"/>
        </w:rPr>
      </w:pPr>
      <w:r>
        <w:rPr>
          <w:rFonts w:hint="eastAsia" w:ascii="宋体" w:hAnsi="宋体" w:eastAsia="宋体" w:cs="宋体"/>
          <w:color w:val="auto"/>
          <w:kern w:val="0"/>
          <w:szCs w:val="21"/>
          <w:highlight w:val="none"/>
        </w:rPr>
        <w:t>（3）最后评标委员会对报价进行评审，按评标标准计算得出该投标人的报价评分。</w:t>
      </w:r>
    </w:p>
    <w:p w14:paraId="3B3F76CE">
      <w:pPr>
        <w:tabs>
          <w:tab w:val="left" w:pos="600"/>
        </w:tabs>
        <w:autoSpaceDE w:val="0"/>
        <w:autoSpaceDN w:val="0"/>
        <w:adjustRightInd w:val="0"/>
        <w:spacing w:line="360" w:lineRule="auto"/>
        <w:rPr>
          <w:rFonts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11</w:t>
      </w:r>
      <w:r>
        <w:rPr>
          <w:rFonts w:hint="eastAsia" w:ascii="宋体" w:hAnsi="宋体" w:eastAsia="宋体" w:cs="Times New Roman"/>
          <w:color w:val="auto"/>
          <w:szCs w:val="24"/>
          <w:highlight w:val="none"/>
          <w:lang w:val="zh-CN"/>
        </w:rPr>
        <w:t>.4 评标委员会打分采取记名形式。</w:t>
      </w:r>
    </w:p>
    <w:p w14:paraId="1E4A6975">
      <w:pPr>
        <w:autoSpaceDE w:val="0"/>
        <w:autoSpaceDN w:val="0"/>
        <w:adjustRightInd w:val="0"/>
        <w:spacing w:line="360" w:lineRule="auto"/>
        <w:ind w:left="565" w:leftChars="-1" w:hanging="567" w:hangingChars="270"/>
        <w:rPr>
          <w:rFonts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11</w:t>
      </w:r>
      <w:r>
        <w:rPr>
          <w:rFonts w:hint="eastAsia" w:ascii="宋体" w:hAnsi="宋体" w:eastAsia="宋体" w:cs="Times New Roman"/>
          <w:color w:val="auto"/>
          <w:szCs w:val="24"/>
          <w:highlight w:val="none"/>
          <w:lang w:val="zh-CN"/>
        </w:rPr>
        <w:t>.5 各评委根据秘书组提供的打分表严格按照评标大纲内的评分标准独立自主打分，任何人不得要求评委统一打分或统一确定等次顺序。</w:t>
      </w:r>
    </w:p>
    <w:p w14:paraId="2F95D903">
      <w:pPr>
        <w:autoSpaceDE w:val="0"/>
        <w:autoSpaceDN w:val="0"/>
        <w:adjustRightInd w:val="0"/>
        <w:spacing w:line="360" w:lineRule="auto"/>
        <w:ind w:left="426" w:hanging="426"/>
        <w:rPr>
          <w:rFonts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11</w:t>
      </w:r>
      <w:r>
        <w:rPr>
          <w:rFonts w:hint="eastAsia" w:ascii="宋体" w:hAnsi="宋体" w:eastAsia="宋体" w:cs="Times New Roman"/>
          <w:color w:val="auto"/>
          <w:szCs w:val="24"/>
          <w:highlight w:val="none"/>
          <w:lang w:val="zh-CN"/>
        </w:rPr>
        <w:t>.6 对打分表中的每项条款，各评委应根据投标文件、澄清材料、招标文件要求，按满足的程度给投标人打分。</w:t>
      </w:r>
    </w:p>
    <w:p w14:paraId="750AB0FF">
      <w:pPr>
        <w:tabs>
          <w:tab w:val="left" w:pos="600"/>
        </w:tabs>
        <w:autoSpaceDE w:val="0"/>
        <w:autoSpaceDN w:val="0"/>
        <w:adjustRightInd w:val="0"/>
        <w:spacing w:line="360" w:lineRule="auto"/>
        <w:rPr>
          <w:rFonts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11</w:t>
      </w:r>
      <w:r>
        <w:rPr>
          <w:rFonts w:hint="eastAsia" w:ascii="宋体" w:hAnsi="宋体" w:eastAsia="宋体" w:cs="Times New Roman"/>
          <w:color w:val="auto"/>
          <w:szCs w:val="24"/>
          <w:highlight w:val="none"/>
          <w:lang w:val="zh-CN"/>
        </w:rPr>
        <w:t>.7 评分程序</w:t>
      </w:r>
    </w:p>
    <w:p w14:paraId="24795577">
      <w:pPr>
        <w:tabs>
          <w:tab w:val="left" w:pos="1134"/>
        </w:tabs>
        <w:autoSpaceDE w:val="0"/>
        <w:autoSpaceDN w:val="0"/>
        <w:adjustRightInd w:val="0"/>
        <w:spacing w:line="360" w:lineRule="auto"/>
        <w:ind w:left="565" w:leftChars="-1" w:hanging="567" w:hangingChars="270"/>
        <w:rPr>
          <w:rFonts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w:t>
      </w:r>
      <w:r>
        <w:rPr>
          <w:rFonts w:ascii="宋体" w:hAnsi="宋体" w:eastAsia="宋体" w:cs="Times New Roman"/>
          <w:color w:val="auto"/>
          <w:szCs w:val="24"/>
          <w:highlight w:val="none"/>
          <w:lang w:val="zh-CN"/>
        </w:rPr>
        <w:t>1</w:t>
      </w:r>
      <w:r>
        <w:rPr>
          <w:rFonts w:hint="eastAsia" w:ascii="宋体" w:hAnsi="宋体" w:eastAsia="宋体" w:cs="Times New Roman"/>
          <w:color w:val="auto"/>
          <w:szCs w:val="24"/>
          <w:highlight w:val="none"/>
          <w:lang w:val="zh-CN"/>
        </w:rPr>
        <w:t>）就投标人的投标文件对照整理出商务、技术评标因素对比表、偏差表，并在经过校核的基础上逐项打分。</w:t>
      </w:r>
    </w:p>
    <w:p w14:paraId="24C5DD2B">
      <w:pPr>
        <w:tabs>
          <w:tab w:val="left" w:pos="1134"/>
        </w:tabs>
        <w:autoSpaceDE w:val="0"/>
        <w:autoSpaceDN w:val="0"/>
        <w:adjustRightInd w:val="0"/>
        <w:spacing w:line="360" w:lineRule="auto"/>
        <w:ind w:left="565" w:leftChars="-1" w:hanging="567" w:hangingChars="270"/>
        <w:rPr>
          <w:rFonts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w:t>
      </w:r>
      <w:r>
        <w:rPr>
          <w:rFonts w:ascii="宋体" w:hAnsi="宋体" w:eastAsia="宋体" w:cs="Times New Roman"/>
          <w:color w:val="auto"/>
          <w:szCs w:val="24"/>
          <w:highlight w:val="none"/>
          <w:lang w:val="zh-CN"/>
        </w:rPr>
        <w:t>2</w:t>
      </w:r>
      <w:r>
        <w:rPr>
          <w:rFonts w:hint="eastAsia" w:ascii="宋体" w:hAnsi="宋体" w:eastAsia="宋体" w:cs="Times New Roman"/>
          <w:color w:val="auto"/>
          <w:szCs w:val="24"/>
          <w:highlight w:val="none"/>
          <w:lang w:val="zh-CN"/>
        </w:rPr>
        <w:t>）各评委独立完成打分后，将统计好的评分表交给招标代理机构秘书组复核。</w:t>
      </w:r>
    </w:p>
    <w:p w14:paraId="40699D74">
      <w:pPr>
        <w:tabs>
          <w:tab w:val="left" w:pos="1134"/>
        </w:tabs>
        <w:autoSpaceDE w:val="0"/>
        <w:autoSpaceDN w:val="0"/>
        <w:adjustRightInd w:val="0"/>
        <w:spacing w:line="360" w:lineRule="auto"/>
        <w:ind w:left="565" w:leftChars="-1" w:hanging="567" w:hangingChars="270"/>
        <w:rPr>
          <w:rFonts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w:t>
      </w:r>
      <w:r>
        <w:rPr>
          <w:rFonts w:ascii="宋体" w:hAnsi="宋体" w:eastAsia="宋体" w:cs="Times New Roman"/>
          <w:color w:val="auto"/>
          <w:szCs w:val="24"/>
          <w:highlight w:val="none"/>
          <w:lang w:val="zh-CN"/>
        </w:rPr>
        <w:t>3</w:t>
      </w:r>
      <w:r>
        <w:rPr>
          <w:rFonts w:hint="eastAsia" w:ascii="宋体" w:hAnsi="宋体" w:eastAsia="宋体" w:cs="Times New Roman"/>
          <w:color w:val="auto"/>
          <w:szCs w:val="24"/>
          <w:highlight w:val="none"/>
          <w:lang w:val="zh-CN"/>
        </w:rPr>
        <w:t>）评分统计表中各投标人技术得分应为最终综合得分，商务和价格得分应为评委打分的算术平均值。</w:t>
      </w:r>
    </w:p>
    <w:p w14:paraId="611D4274">
      <w:pPr>
        <w:autoSpaceDE w:val="0"/>
        <w:autoSpaceDN w:val="0"/>
        <w:adjustRightInd w:val="0"/>
        <w:spacing w:line="360" w:lineRule="auto"/>
        <w:rPr>
          <w:rFonts w:ascii="宋体" w:hAnsi="宋体" w:eastAsia="宋体" w:cs="宋体"/>
          <w:color w:val="auto"/>
          <w:szCs w:val="24"/>
          <w:highlight w:val="none"/>
          <w:lang w:val="zh-CN"/>
        </w:rPr>
      </w:pPr>
    </w:p>
    <w:p w14:paraId="2FC88EE4">
      <w:pPr>
        <w:tabs>
          <w:tab w:val="left" w:pos="1701"/>
        </w:tabs>
        <w:autoSpaceDE w:val="0"/>
        <w:autoSpaceDN w:val="0"/>
        <w:adjustRightInd w:val="0"/>
        <w:spacing w:line="360" w:lineRule="auto"/>
        <w:rPr>
          <w:rFonts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12、评分因素及分值</w:t>
      </w:r>
    </w:p>
    <w:tbl>
      <w:tblPr>
        <w:tblStyle w:val="44"/>
        <w:tblW w:w="471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410"/>
        <w:gridCol w:w="5371"/>
      </w:tblGrid>
      <w:tr w14:paraId="0EDE86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54" w:type="pct"/>
            <w:tcBorders>
              <w:top w:val="single" w:color="auto" w:sz="4" w:space="0"/>
              <w:left w:val="single" w:color="auto" w:sz="4" w:space="0"/>
              <w:bottom w:val="single" w:color="auto" w:sz="4" w:space="0"/>
              <w:right w:val="single" w:color="auto" w:sz="4" w:space="0"/>
            </w:tcBorders>
            <w:vAlign w:val="center"/>
          </w:tcPr>
          <w:p w14:paraId="01939AE7">
            <w:pPr>
              <w:keepNext w:val="0"/>
              <w:keepLines w:val="0"/>
              <w:suppressLineNumbers w:val="0"/>
              <w:spacing w:before="0" w:beforeAutospacing="0" w:after="0" w:afterAutospacing="0" w:line="400" w:lineRule="exact"/>
              <w:ind w:left="0" w:right="0"/>
              <w:jc w:val="center"/>
              <w:rPr>
                <w:rFonts w:hint="default" w:ascii="宋体" w:hAnsi="宋体" w:eastAsia="宋体" w:cs="宋体"/>
                <w:b/>
                <w:color w:val="auto"/>
                <w:kern w:val="0"/>
                <w:sz w:val="22"/>
                <w:highlight w:val="none"/>
                <w:lang w:val="zh-CN"/>
              </w:rPr>
            </w:pPr>
            <w:r>
              <w:rPr>
                <w:rFonts w:hint="eastAsia" w:ascii="宋体" w:hAnsi="宋体" w:eastAsia="宋体" w:cs="宋体"/>
                <w:b/>
                <w:color w:val="auto"/>
                <w:kern w:val="0"/>
                <w:sz w:val="22"/>
                <w:highlight w:val="none"/>
                <w:lang w:val="zh-CN"/>
              </w:rPr>
              <w:t>评分因素</w:t>
            </w:r>
          </w:p>
        </w:tc>
        <w:tc>
          <w:tcPr>
            <w:tcW w:w="2745" w:type="pct"/>
            <w:tcBorders>
              <w:top w:val="single" w:color="auto" w:sz="4" w:space="0"/>
              <w:left w:val="single" w:color="auto" w:sz="4" w:space="0"/>
              <w:bottom w:val="single" w:color="auto" w:sz="4" w:space="0"/>
              <w:right w:val="single" w:color="auto" w:sz="4" w:space="0"/>
            </w:tcBorders>
            <w:vAlign w:val="center"/>
          </w:tcPr>
          <w:p w14:paraId="2CAF1D57">
            <w:pPr>
              <w:keepNext w:val="0"/>
              <w:keepLines w:val="0"/>
              <w:suppressLineNumbers w:val="0"/>
              <w:spacing w:before="0" w:beforeAutospacing="0" w:after="0" w:afterAutospacing="0" w:line="400" w:lineRule="exact"/>
              <w:ind w:left="0" w:right="0"/>
              <w:jc w:val="center"/>
              <w:rPr>
                <w:rFonts w:hint="default" w:ascii="宋体" w:hAnsi="宋体" w:eastAsia="宋体" w:cs="宋体"/>
                <w:b/>
                <w:color w:val="auto"/>
                <w:kern w:val="0"/>
                <w:sz w:val="22"/>
                <w:highlight w:val="none"/>
                <w:lang w:val="zh-CN"/>
              </w:rPr>
            </w:pPr>
            <w:r>
              <w:rPr>
                <w:rFonts w:hint="eastAsia" w:ascii="宋体" w:hAnsi="宋体" w:eastAsia="宋体" w:cs="宋体"/>
                <w:b/>
                <w:color w:val="auto"/>
                <w:kern w:val="0"/>
                <w:sz w:val="22"/>
                <w:highlight w:val="none"/>
                <w:lang w:val="zh-CN"/>
              </w:rPr>
              <w:t>分值</w:t>
            </w:r>
          </w:p>
        </w:tc>
      </w:tr>
      <w:tr w14:paraId="541094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54" w:type="pct"/>
            <w:tcBorders>
              <w:top w:val="single" w:color="auto" w:sz="4" w:space="0"/>
              <w:left w:val="single" w:color="auto" w:sz="4" w:space="0"/>
              <w:bottom w:val="single" w:color="auto" w:sz="4" w:space="0"/>
              <w:right w:val="single" w:color="auto" w:sz="4" w:space="0"/>
            </w:tcBorders>
            <w:vAlign w:val="center"/>
          </w:tcPr>
          <w:p w14:paraId="6F6EB74E">
            <w:pPr>
              <w:keepNext w:val="0"/>
              <w:keepLines w:val="0"/>
              <w:suppressLineNumbers w:val="0"/>
              <w:spacing w:before="0" w:beforeAutospacing="0" w:after="0" w:afterAutospacing="0" w:line="400" w:lineRule="exact"/>
              <w:ind w:left="0" w:right="0"/>
              <w:jc w:val="center"/>
              <w:rPr>
                <w:rFonts w:hint="default"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zh-CN"/>
              </w:rPr>
              <w:t>1、商务</w:t>
            </w:r>
          </w:p>
        </w:tc>
        <w:tc>
          <w:tcPr>
            <w:tcW w:w="2745" w:type="pct"/>
            <w:tcBorders>
              <w:top w:val="single" w:color="auto" w:sz="4" w:space="0"/>
              <w:left w:val="single" w:color="auto" w:sz="4" w:space="0"/>
              <w:bottom w:val="single" w:color="auto" w:sz="4" w:space="0"/>
              <w:right w:val="single" w:color="auto" w:sz="4" w:space="0"/>
            </w:tcBorders>
            <w:vAlign w:val="center"/>
          </w:tcPr>
          <w:p w14:paraId="0BAE75E1">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bCs/>
                <w:color w:val="auto"/>
                <w:kern w:val="0"/>
                <w:szCs w:val="21"/>
                <w:highlight w:val="none"/>
                <w:lang w:val="zh-CN"/>
              </w:rPr>
            </w:pPr>
            <w:r>
              <w:rPr>
                <w:rFonts w:hint="eastAsia" w:ascii="宋体" w:hAnsi="宋体" w:eastAsia="宋体" w:cs="宋体"/>
                <w:b/>
                <w:color w:val="auto"/>
                <w:szCs w:val="21"/>
                <w:highlight w:val="none"/>
                <w:lang w:val="en-US" w:eastAsia="zh-CN"/>
              </w:rPr>
              <w:t>25</w:t>
            </w:r>
            <w:r>
              <w:rPr>
                <w:rFonts w:hint="eastAsia" w:ascii="宋体" w:hAnsi="宋体" w:eastAsia="宋体" w:cs="宋体"/>
                <w:b/>
                <w:color w:val="auto"/>
                <w:szCs w:val="21"/>
                <w:highlight w:val="none"/>
                <w:lang w:val="zh-CN"/>
              </w:rPr>
              <w:t>分</w:t>
            </w:r>
          </w:p>
        </w:tc>
      </w:tr>
      <w:tr w14:paraId="725179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54" w:type="pct"/>
            <w:tcBorders>
              <w:top w:val="single" w:color="auto" w:sz="4" w:space="0"/>
              <w:left w:val="single" w:color="auto" w:sz="4" w:space="0"/>
              <w:bottom w:val="single" w:color="auto" w:sz="4" w:space="0"/>
              <w:right w:val="single" w:color="auto" w:sz="4" w:space="0"/>
            </w:tcBorders>
            <w:vAlign w:val="center"/>
          </w:tcPr>
          <w:p w14:paraId="7A7EA76A">
            <w:pPr>
              <w:keepNext w:val="0"/>
              <w:keepLines w:val="0"/>
              <w:suppressLineNumbers w:val="0"/>
              <w:spacing w:before="0" w:beforeAutospacing="0" w:after="0" w:afterAutospacing="0" w:line="400" w:lineRule="exact"/>
              <w:ind w:left="0" w:right="0"/>
              <w:jc w:val="center"/>
              <w:rPr>
                <w:rFonts w:hint="default"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zh-CN"/>
              </w:rPr>
              <w:t>2、技术</w:t>
            </w:r>
          </w:p>
        </w:tc>
        <w:tc>
          <w:tcPr>
            <w:tcW w:w="2745" w:type="pct"/>
            <w:tcBorders>
              <w:top w:val="single" w:color="auto" w:sz="4" w:space="0"/>
              <w:left w:val="single" w:color="auto" w:sz="4" w:space="0"/>
              <w:bottom w:val="single" w:color="auto" w:sz="4" w:space="0"/>
              <w:right w:val="single" w:color="auto" w:sz="4" w:space="0"/>
            </w:tcBorders>
            <w:vAlign w:val="center"/>
          </w:tcPr>
          <w:p w14:paraId="6FF51F13">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bCs/>
                <w:color w:val="auto"/>
                <w:kern w:val="0"/>
                <w:szCs w:val="21"/>
                <w:highlight w:val="none"/>
                <w:lang w:val="zh-CN"/>
              </w:rPr>
            </w:pPr>
            <w:r>
              <w:rPr>
                <w:rFonts w:hint="eastAsia" w:ascii="宋体" w:hAnsi="宋体" w:eastAsia="宋体" w:cs="宋体"/>
                <w:b/>
                <w:color w:val="auto"/>
                <w:szCs w:val="21"/>
                <w:highlight w:val="none"/>
                <w:lang w:val="en-US" w:eastAsia="zh-CN"/>
              </w:rPr>
              <w:t>35</w:t>
            </w:r>
            <w:r>
              <w:rPr>
                <w:rFonts w:hint="eastAsia" w:ascii="宋体" w:hAnsi="宋体" w:eastAsia="宋体" w:cs="宋体"/>
                <w:b/>
                <w:color w:val="auto"/>
                <w:szCs w:val="21"/>
                <w:highlight w:val="none"/>
                <w:lang w:val="zh-CN"/>
              </w:rPr>
              <w:t>分</w:t>
            </w:r>
          </w:p>
        </w:tc>
      </w:tr>
      <w:tr w14:paraId="17149D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54" w:type="pct"/>
            <w:tcBorders>
              <w:top w:val="single" w:color="auto" w:sz="4" w:space="0"/>
              <w:left w:val="single" w:color="auto" w:sz="4" w:space="0"/>
              <w:bottom w:val="single" w:color="auto" w:sz="4" w:space="0"/>
              <w:right w:val="single" w:color="auto" w:sz="4" w:space="0"/>
            </w:tcBorders>
            <w:vAlign w:val="center"/>
          </w:tcPr>
          <w:p w14:paraId="4ED0C5DA">
            <w:pPr>
              <w:keepNext w:val="0"/>
              <w:keepLines w:val="0"/>
              <w:suppressLineNumbers w:val="0"/>
              <w:spacing w:before="0" w:beforeAutospacing="0" w:after="0" w:afterAutospacing="0" w:line="400" w:lineRule="exact"/>
              <w:ind w:left="0" w:right="0"/>
              <w:jc w:val="center"/>
              <w:rPr>
                <w:rFonts w:hint="default"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zh-CN"/>
              </w:rPr>
              <w:t>3、价格</w:t>
            </w:r>
          </w:p>
        </w:tc>
        <w:tc>
          <w:tcPr>
            <w:tcW w:w="2745" w:type="pct"/>
            <w:tcBorders>
              <w:top w:val="single" w:color="auto" w:sz="4" w:space="0"/>
              <w:left w:val="single" w:color="auto" w:sz="4" w:space="0"/>
              <w:bottom w:val="single" w:color="auto" w:sz="4" w:space="0"/>
              <w:right w:val="single" w:color="auto" w:sz="4" w:space="0"/>
            </w:tcBorders>
            <w:vAlign w:val="center"/>
          </w:tcPr>
          <w:p w14:paraId="27004348">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bCs/>
                <w:color w:val="auto"/>
                <w:kern w:val="0"/>
                <w:szCs w:val="21"/>
                <w:highlight w:val="none"/>
                <w:lang w:val="zh-CN"/>
              </w:rPr>
            </w:pPr>
            <w:r>
              <w:rPr>
                <w:rFonts w:hint="eastAsia" w:ascii="宋体" w:hAnsi="宋体" w:eastAsia="宋体" w:cs="宋体"/>
                <w:b/>
                <w:color w:val="auto"/>
                <w:szCs w:val="21"/>
                <w:highlight w:val="none"/>
              </w:rPr>
              <w:t>40</w:t>
            </w:r>
            <w:r>
              <w:rPr>
                <w:rFonts w:hint="eastAsia" w:ascii="宋体" w:hAnsi="宋体" w:eastAsia="宋体" w:cs="宋体"/>
                <w:b/>
                <w:color w:val="auto"/>
                <w:szCs w:val="21"/>
                <w:highlight w:val="none"/>
                <w:lang w:val="zh-CN"/>
              </w:rPr>
              <w:t>分</w:t>
            </w:r>
          </w:p>
        </w:tc>
      </w:tr>
    </w:tbl>
    <w:p w14:paraId="04BEA21B">
      <w:pPr>
        <w:autoSpaceDE w:val="0"/>
        <w:autoSpaceDN w:val="0"/>
        <w:adjustRightInd w:val="0"/>
        <w:spacing w:line="360" w:lineRule="auto"/>
        <w:rPr>
          <w:rFonts w:ascii="宋体" w:hAnsi="宋体" w:eastAsia="宋体" w:cs="宋体"/>
          <w:b/>
          <w:color w:val="auto"/>
          <w:szCs w:val="21"/>
          <w:highlight w:val="none"/>
        </w:rPr>
      </w:pPr>
      <w:r>
        <w:rPr>
          <w:rFonts w:hint="eastAsia" w:ascii="宋体" w:hAnsi="宋体" w:eastAsia="宋体" w:cs="宋体"/>
          <w:b/>
          <w:color w:val="auto"/>
          <w:szCs w:val="21"/>
          <w:highlight w:val="none"/>
          <w:lang w:bidi="ar"/>
        </w:rPr>
        <w:t>（1）商务：总分</w:t>
      </w:r>
      <w:r>
        <w:rPr>
          <w:rFonts w:hint="eastAsia" w:ascii="宋体" w:hAnsi="宋体" w:eastAsia="宋体" w:cs="宋体"/>
          <w:b/>
          <w:color w:val="auto"/>
          <w:szCs w:val="21"/>
          <w:highlight w:val="none"/>
          <w:lang w:val="en-US" w:eastAsia="zh-CN" w:bidi="ar"/>
        </w:rPr>
        <w:t>25</w:t>
      </w:r>
      <w:r>
        <w:rPr>
          <w:rFonts w:hint="eastAsia" w:ascii="宋体" w:hAnsi="宋体" w:eastAsia="宋体" w:cs="宋体"/>
          <w:b/>
          <w:color w:val="auto"/>
          <w:szCs w:val="21"/>
          <w:highlight w:val="none"/>
          <w:lang w:bidi="ar"/>
        </w:rPr>
        <w:t>分</w:t>
      </w:r>
    </w:p>
    <w:tbl>
      <w:tblPr>
        <w:tblStyle w:val="44"/>
        <w:tblW w:w="47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1179"/>
        <w:gridCol w:w="7241"/>
        <w:gridCol w:w="921"/>
      </w:tblGrid>
      <w:tr w14:paraId="0E829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0E9C2A33">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序号</w:t>
            </w:r>
          </w:p>
        </w:tc>
        <w:tc>
          <w:tcPr>
            <w:tcW w:w="593" w:type="pct"/>
            <w:tcBorders>
              <w:top w:val="single" w:color="auto" w:sz="4" w:space="0"/>
              <w:left w:val="nil"/>
              <w:bottom w:val="single" w:color="auto" w:sz="4" w:space="0"/>
              <w:right w:val="single" w:color="auto" w:sz="4" w:space="0"/>
            </w:tcBorders>
            <w:shd w:val="clear" w:color="auto" w:fill="auto"/>
            <w:vAlign w:val="center"/>
          </w:tcPr>
          <w:p w14:paraId="58347EBD">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评审内容</w:t>
            </w:r>
          </w:p>
        </w:tc>
        <w:tc>
          <w:tcPr>
            <w:tcW w:w="3642" w:type="pct"/>
            <w:tcBorders>
              <w:top w:val="single" w:color="auto" w:sz="4" w:space="0"/>
              <w:left w:val="nil"/>
              <w:bottom w:val="single" w:color="auto" w:sz="4" w:space="0"/>
              <w:right w:val="single" w:color="auto" w:sz="4" w:space="0"/>
            </w:tcBorders>
            <w:shd w:val="clear" w:color="auto" w:fill="auto"/>
            <w:vAlign w:val="center"/>
          </w:tcPr>
          <w:p w14:paraId="54C2EABD">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评审细则</w:t>
            </w:r>
          </w:p>
        </w:tc>
        <w:tc>
          <w:tcPr>
            <w:tcW w:w="463" w:type="pct"/>
            <w:tcBorders>
              <w:top w:val="single" w:color="auto" w:sz="4" w:space="0"/>
              <w:left w:val="nil"/>
              <w:bottom w:val="single" w:color="auto" w:sz="4" w:space="0"/>
              <w:right w:val="single" w:color="auto" w:sz="4" w:space="0"/>
            </w:tcBorders>
            <w:shd w:val="clear" w:color="auto" w:fill="auto"/>
            <w:vAlign w:val="center"/>
          </w:tcPr>
          <w:p w14:paraId="06C1EB3D">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满分值</w:t>
            </w:r>
          </w:p>
        </w:tc>
      </w:tr>
      <w:tr w14:paraId="20B99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1" w:hRule="atLeast"/>
          <w:jc w:val="center"/>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076B1032">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1</w:t>
            </w:r>
          </w:p>
        </w:tc>
        <w:tc>
          <w:tcPr>
            <w:tcW w:w="593" w:type="pct"/>
            <w:tcBorders>
              <w:top w:val="single" w:color="auto" w:sz="4" w:space="0"/>
              <w:left w:val="nil"/>
              <w:bottom w:val="single" w:color="auto" w:sz="4" w:space="0"/>
              <w:right w:val="single" w:color="auto" w:sz="4" w:space="0"/>
            </w:tcBorders>
            <w:shd w:val="clear" w:color="auto" w:fill="auto"/>
            <w:vAlign w:val="center"/>
          </w:tcPr>
          <w:p w14:paraId="1FDF5AD1">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财务状况</w:t>
            </w:r>
          </w:p>
        </w:tc>
        <w:tc>
          <w:tcPr>
            <w:tcW w:w="3642" w:type="pct"/>
            <w:tcBorders>
              <w:top w:val="single" w:color="auto" w:sz="4" w:space="0"/>
              <w:left w:val="nil"/>
              <w:bottom w:val="single" w:color="auto" w:sz="4" w:space="0"/>
              <w:right w:val="single" w:color="auto" w:sz="4" w:space="0"/>
            </w:tcBorders>
            <w:shd w:val="clear" w:color="auto" w:fill="auto"/>
            <w:vAlign w:val="center"/>
          </w:tcPr>
          <w:p w14:paraId="421B74F6">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投标人202</w:t>
            </w:r>
            <w:r>
              <w:rPr>
                <w:rFonts w:hint="eastAsia" w:ascii="宋体" w:hAnsi="宋体" w:eastAsia="宋体" w:cs="宋体"/>
                <w:color w:val="auto"/>
                <w:szCs w:val="21"/>
                <w:highlight w:val="none"/>
                <w:lang w:val="en-US" w:eastAsia="zh-CN" w:bidi="ar"/>
              </w:rPr>
              <w:t>2</w:t>
            </w:r>
            <w:r>
              <w:rPr>
                <w:rFonts w:hint="eastAsia" w:ascii="宋体" w:hAnsi="宋体" w:eastAsia="宋体" w:cs="宋体"/>
                <w:color w:val="auto"/>
                <w:szCs w:val="21"/>
                <w:highlight w:val="none"/>
                <w:lang w:bidi="ar"/>
              </w:rPr>
              <w:t>年-202</w:t>
            </w:r>
            <w:r>
              <w:rPr>
                <w:rFonts w:hint="eastAsia" w:ascii="宋体" w:hAnsi="宋体" w:eastAsia="宋体" w:cs="宋体"/>
                <w:color w:val="auto"/>
                <w:szCs w:val="21"/>
                <w:highlight w:val="none"/>
                <w:lang w:val="en-US" w:eastAsia="zh-CN" w:bidi="ar"/>
              </w:rPr>
              <w:t>4</w:t>
            </w:r>
            <w:r>
              <w:rPr>
                <w:rFonts w:hint="eastAsia" w:ascii="宋体" w:hAnsi="宋体" w:eastAsia="宋体" w:cs="宋体"/>
                <w:color w:val="auto"/>
                <w:szCs w:val="21"/>
                <w:highlight w:val="none"/>
                <w:lang w:bidi="ar"/>
              </w:rPr>
              <w:t>年三个年度，每具有1个年度盈利的得1分，满分3分。</w:t>
            </w:r>
          </w:p>
          <w:p w14:paraId="0AFADAFA">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auto"/>
                <w:szCs w:val="21"/>
                <w:highlight w:val="none"/>
              </w:rPr>
            </w:pPr>
            <w:r>
              <w:rPr>
                <w:rFonts w:hint="eastAsia" w:ascii="宋体" w:hAnsi="宋体" w:eastAsia="宋体" w:cs="宋体"/>
                <w:b/>
                <w:bCs/>
                <w:color w:val="auto"/>
                <w:szCs w:val="21"/>
                <w:highlight w:val="none"/>
                <w:lang w:bidi="ar"/>
              </w:rPr>
              <w:t>备注：盈利指净利润为正数（非零、非负数），投标人应提供202</w:t>
            </w:r>
            <w:r>
              <w:rPr>
                <w:rFonts w:hint="eastAsia" w:ascii="宋体" w:hAnsi="宋体" w:eastAsia="宋体" w:cs="宋体"/>
                <w:b/>
                <w:bCs/>
                <w:color w:val="auto"/>
                <w:szCs w:val="21"/>
                <w:highlight w:val="none"/>
                <w:lang w:val="en-US" w:eastAsia="zh-CN" w:bidi="ar"/>
              </w:rPr>
              <w:t>2</w:t>
            </w:r>
            <w:r>
              <w:rPr>
                <w:rFonts w:hint="eastAsia" w:ascii="宋体" w:hAnsi="宋体" w:eastAsia="宋体" w:cs="宋体"/>
                <w:b/>
                <w:bCs/>
                <w:color w:val="auto"/>
                <w:szCs w:val="21"/>
                <w:highlight w:val="none"/>
                <w:lang w:bidi="ar"/>
              </w:rPr>
              <w:t>年、202</w:t>
            </w:r>
            <w:r>
              <w:rPr>
                <w:rFonts w:hint="eastAsia" w:ascii="宋体" w:hAnsi="宋体" w:eastAsia="宋体" w:cs="宋体"/>
                <w:b/>
                <w:bCs/>
                <w:color w:val="auto"/>
                <w:szCs w:val="21"/>
                <w:highlight w:val="none"/>
                <w:lang w:val="en-US" w:eastAsia="zh-CN" w:bidi="ar"/>
              </w:rPr>
              <w:t>3</w:t>
            </w:r>
            <w:r>
              <w:rPr>
                <w:rFonts w:hint="eastAsia" w:ascii="宋体" w:hAnsi="宋体" w:eastAsia="宋体" w:cs="宋体"/>
                <w:b/>
                <w:bCs/>
                <w:color w:val="auto"/>
                <w:szCs w:val="21"/>
                <w:highlight w:val="none"/>
                <w:lang w:bidi="ar"/>
              </w:rPr>
              <w:t>年、202</w:t>
            </w:r>
            <w:r>
              <w:rPr>
                <w:rFonts w:hint="eastAsia" w:ascii="宋体" w:hAnsi="宋体" w:eastAsia="宋体" w:cs="宋体"/>
                <w:b/>
                <w:bCs/>
                <w:color w:val="auto"/>
                <w:szCs w:val="21"/>
                <w:highlight w:val="none"/>
                <w:lang w:val="en-US" w:eastAsia="zh-CN" w:bidi="ar"/>
              </w:rPr>
              <w:t>4</w:t>
            </w:r>
            <w:r>
              <w:rPr>
                <w:rFonts w:hint="eastAsia" w:ascii="宋体" w:hAnsi="宋体" w:eastAsia="宋体" w:cs="宋体"/>
                <w:b/>
                <w:bCs/>
                <w:color w:val="auto"/>
                <w:szCs w:val="21"/>
                <w:highlight w:val="none"/>
                <w:lang w:bidi="ar"/>
              </w:rPr>
              <w:t>年三个年度的财务报表，净利润以对应年度经审计的财务报表为准，应提供经独立会计师事务所审计过的有效的财务报表原件扫描件；未提供前述财务报表或财务报表未能反映净利润的，不得分。</w:t>
            </w:r>
          </w:p>
        </w:tc>
        <w:tc>
          <w:tcPr>
            <w:tcW w:w="463" w:type="pct"/>
            <w:tcBorders>
              <w:top w:val="single" w:color="auto" w:sz="4" w:space="0"/>
              <w:left w:val="nil"/>
              <w:bottom w:val="single" w:color="auto" w:sz="4" w:space="0"/>
              <w:right w:val="single" w:color="auto" w:sz="4" w:space="0"/>
            </w:tcBorders>
            <w:shd w:val="clear" w:color="auto" w:fill="auto"/>
            <w:vAlign w:val="center"/>
          </w:tcPr>
          <w:p w14:paraId="2C4DD53E">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3分</w:t>
            </w:r>
          </w:p>
        </w:tc>
      </w:tr>
      <w:tr w14:paraId="2AB9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587AAB4B">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2</w:t>
            </w:r>
          </w:p>
        </w:tc>
        <w:tc>
          <w:tcPr>
            <w:tcW w:w="593" w:type="pct"/>
            <w:tcBorders>
              <w:top w:val="single" w:color="auto" w:sz="4" w:space="0"/>
              <w:left w:val="nil"/>
              <w:bottom w:val="single" w:color="auto" w:sz="4" w:space="0"/>
              <w:right w:val="single" w:color="auto" w:sz="4" w:space="0"/>
            </w:tcBorders>
            <w:shd w:val="clear" w:color="auto" w:fill="auto"/>
            <w:vAlign w:val="center"/>
          </w:tcPr>
          <w:p w14:paraId="55345A51">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企业实力与信誉</w:t>
            </w:r>
          </w:p>
        </w:tc>
        <w:tc>
          <w:tcPr>
            <w:tcW w:w="3642" w:type="pct"/>
            <w:tcBorders>
              <w:top w:val="single" w:color="auto" w:sz="4" w:space="0"/>
              <w:left w:val="nil"/>
              <w:bottom w:val="single" w:color="auto" w:sz="4" w:space="0"/>
              <w:right w:val="single" w:color="auto" w:sz="4" w:space="0"/>
            </w:tcBorders>
            <w:shd w:val="clear" w:color="auto" w:fill="auto"/>
            <w:vAlign w:val="center"/>
          </w:tcPr>
          <w:p w14:paraId="5CB272A6">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auto"/>
                <w:szCs w:val="21"/>
                <w:highlight w:val="none"/>
                <w:lang w:bidi="ar"/>
              </w:rPr>
            </w:pPr>
            <w:r>
              <w:rPr>
                <w:rFonts w:hint="eastAsia" w:ascii="宋体" w:hAnsi="宋体" w:eastAsia="宋体" w:cs="宋体"/>
                <w:color w:val="auto"/>
                <w:szCs w:val="21"/>
                <w:highlight w:val="none"/>
                <w:lang w:bidi="ar"/>
              </w:rPr>
              <w:t>（1）投标人具有有效期内的电子与智能化工程专业承包一级资质的，得2分；</w:t>
            </w:r>
          </w:p>
          <w:p w14:paraId="7E089D56">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（2）投标人具有有效期内的信息系统建设和服务能力（CS）初始级（1级）等级证书得0.5分；基本级、良好级（2、3级）等级证书得1分；优秀级、卓越级（4、5级）等级证书得</w:t>
            </w:r>
            <w:r>
              <w:rPr>
                <w:rFonts w:hint="eastAsia" w:ascii="宋体" w:hAnsi="宋体" w:eastAsia="宋体" w:cs="宋体"/>
                <w:color w:val="auto"/>
                <w:szCs w:val="21"/>
                <w:highlight w:val="none"/>
                <w:lang w:val="en-US" w:eastAsia="zh-CN" w:bidi="ar"/>
              </w:rPr>
              <w:t>2</w:t>
            </w:r>
            <w:r>
              <w:rPr>
                <w:rFonts w:hint="eastAsia" w:ascii="宋体" w:hAnsi="宋体" w:eastAsia="宋体" w:cs="宋体"/>
                <w:color w:val="auto"/>
                <w:szCs w:val="21"/>
                <w:highlight w:val="none"/>
                <w:lang w:bidi="ar"/>
              </w:rPr>
              <w:t>分；</w:t>
            </w:r>
          </w:p>
          <w:p w14:paraId="7869BCA3">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bCs/>
                <w:color w:val="auto"/>
                <w:szCs w:val="21"/>
                <w:highlight w:val="none"/>
              </w:rPr>
            </w:pPr>
            <w:r>
              <w:rPr>
                <w:rFonts w:hint="eastAsia" w:ascii="宋体" w:hAnsi="宋体" w:eastAsia="宋体" w:cs="宋体"/>
                <w:color w:val="auto"/>
                <w:szCs w:val="21"/>
                <w:highlight w:val="none"/>
                <w:lang w:bidi="ar"/>
              </w:rPr>
              <w:t>（3）投标人具有有效期内的数据管理能力成熟度（DCMM）或软件能力成熟度模型认证（CMMI）</w:t>
            </w:r>
            <w:r>
              <w:rPr>
                <w:rFonts w:hint="eastAsia" w:ascii="宋体" w:hAnsi="宋体" w:eastAsia="宋体" w:cs="宋体"/>
                <w:bCs/>
                <w:color w:val="auto"/>
                <w:szCs w:val="21"/>
                <w:highlight w:val="none"/>
                <w:lang w:bidi="ar"/>
              </w:rPr>
              <w:t>Level 1、2（1级、2级）等级证书得1分；Level 3、4、5（3级、4级、5级）等级证书得2分；</w:t>
            </w:r>
          </w:p>
          <w:p w14:paraId="17D231D7">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auto"/>
                <w:szCs w:val="21"/>
                <w:highlight w:val="none"/>
                <w:lang w:bidi="ar"/>
              </w:rPr>
            </w:pPr>
            <w:r>
              <w:rPr>
                <w:rFonts w:hint="eastAsia" w:ascii="宋体" w:hAnsi="宋体" w:eastAsia="宋体" w:cs="宋体"/>
                <w:color w:val="auto"/>
                <w:szCs w:val="21"/>
                <w:highlight w:val="none"/>
                <w:lang w:bidi="ar"/>
              </w:rPr>
              <w:t>（4）投标人具有有效期内的信息安全服务资质认证证书（CCRC）得1分。</w:t>
            </w:r>
          </w:p>
          <w:p w14:paraId="44C64D6F">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auto"/>
                <w:szCs w:val="21"/>
                <w:highlight w:val="none"/>
              </w:rPr>
            </w:pPr>
            <w:r>
              <w:rPr>
                <w:rFonts w:hint="eastAsia" w:ascii="宋体" w:hAnsi="宋体" w:eastAsia="宋体" w:cs="宋体"/>
                <w:b/>
                <w:bCs/>
                <w:color w:val="auto"/>
                <w:szCs w:val="21"/>
                <w:highlight w:val="none"/>
                <w:lang w:bidi="ar"/>
              </w:rPr>
              <w:t>备注：</w:t>
            </w:r>
            <w:r>
              <w:rPr>
                <w:rFonts w:hint="eastAsia" w:ascii="宋体" w:hAnsi="宋体" w:eastAsia="宋体" w:cs="宋体"/>
                <w:b/>
                <w:bCs/>
                <w:color w:val="auto"/>
                <w:kern w:val="0"/>
                <w:szCs w:val="21"/>
                <w:highlight w:val="none"/>
                <w:lang w:bidi="ar"/>
              </w:rPr>
              <w:t>投标人应提供上述有效证书原件扫描件（如投标人受政策影响按当地有关政府部门政策文件可享受证书延长有效期限的，投标人需同时提供当地有关政府部门政策文件的扫描件），否则不得分。</w:t>
            </w:r>
          </w:p>
        </w:tc>
        <w:tc>
          <w:tcPr>
            <w:tcW w:w="463" w:type="pct"/>
            <w:tcBorders>
              <w:top w:val="single" w:color="auto" w:sz="4" w:space="0"/>
              <w:left w:val="nil"/>
              <w:bottom w:val="single" w:color="auto" w:sz="4" w:space="0"/>
              <w:right w:val="single" w:color="auto" w:sz="4" w:space="0"/>
            </w:tcBorders>
            <w:shd w:val="clear" w:color="auto" w:fill="auto"/>
            <w:vAlign w:val="center"/>
          </w:tcPr>
          <w:p w14:paraId="17C1B35D">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val="en-US" w:eastAsia="zh-CN" w:bidi="ar"/>
              </w:rPr>
              <w:t>7</w:t>
            </w:r>
            <w:r>
              <w:rPr>
                <w:rFonts w:hint="eastAsia" w:ascii="宋体" w:hAnsi="宋体" w:eastAsia="宋体" w:cs="宋体"/>
                <w:color w:val="auto"/>
                <w:szCs w:val="21"/>
                <w:highlight w:val="none"/>
                <w:lang w:bidi="ar"/>
              </w:rPr>
              <w:t>分</w:t>
            </w:r>
          </w:p>
        </w:tc>
      </w:tr>
      <w:tr w14:paraId="073D7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44FE7F37">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3</w:t>
            </w:r>
          </w:p>
        </w:tc>
        <w:tc>
          <w:tcPr>
            <w:tcW w:w="593" w:type="pct"/>
            <w:tcBorders>
              <w:top w:val="single" w:color="auto" w:sz="4" w:space="0"/>
              <w:left w:val="nil"/>
              <w:bottom w:val="single" w:color="auto" w:sz="4" w:space="0"/>
              <w:right w:val="single" w:color="auto" w:sz="4" w:space="0"/>
            </w:tcBorders>
            <w:shd w:val="clear" w:color="auto" w:fill="auto"/>
            <w:vAlign w:val="center"/>
          </w:tcPr>
          <w:p w14:paraId="30651EF1">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业绩</w:t>
            </w:r>
          </w:p>
        </w:tc>
        <w:tc>
          <w:tcPr>
            <w:tcW w:w="3642" w:type="pct"/>
            <w:tcBorders>
              <w:top w:val="single" w:color="auto" w:sz="4" w:space="0"/>
              <w:left w:val="nil"/>
              <w:bottom w:val="single" w:color="auto" w:sz="4" w:space="0"/>
              <w:right w:val="single" w:color="auto" w:sz="4" w:space="0"/>
            </w:tcBorders>
            <w:shd w:val="clear" w:color="auto" w:fill="auto"/>
            <w:vAlign w:val="center"/>
          </w:tcPr>
          <w:p w14:paraId="735BBACA">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（1）投标人2020年1月1日（合同签订日期为2020年1月1日或以后）至今具有水务、电力、能源相关的集中控制系统建设项目业绩，按下列情况评分（满分</w:t>
            </w:r>
            <w:r>
              <w:rPr>
                <w:rFonts w:hint="eastAsia" w:ascii="宋体" w:hAnsi="宋体" w:eastAsia="宋体" w:cs="宋体"/>
                <w:color w:val="auto"/>
                <w:szCs w:val="21"/>
                <w:highlight w:val="none"/>
                <w:lang w:val="en-US" w:eastAsia="zh-CN" w:bidi="ar"/>
              </w:rPr>
              <w:t>9</w:t>
            </w:r>
            <w:r>
              <w:rPr>
                <w:rFonts w:hint="eastAsia" w:ascii="宋体" w:hAnsi="宋体" w:eastAsia="宋体" w:cs="宋体"/>
                <w:color w:val="auto"/>
                <w:szCs w:val="21"/>
                <w:highlight w:val="none"/>
                <w:lang w:bidi="ar"/>
              </w:rPr>
              <w:t>分）：</w:t>
            </w:r>
          </w:p>
          <w:p w14:paraId="10D0FAB5">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①单项合同金额≥300万元的，每项得4分；</w:t>
            </w:r>
          </w:p>
          <w:p w14:paraId="1D2CCE1C">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②150万元≤单项合同金额＜300万元的，每项得3分；</w:t>
            </w:r>
          </w:p>
          <w:p w14:paraId="632D1D4B">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③30万元≤单项合同金额＜150万元的，每项得2分，</w:t>
            </w:r>
            <w:r>
              <w:rPr>
                <w:rFonts w:hint="eastAsia" w:ascii="宋体" w:hAnsi="宋体" w:eastAsia="宋体" w:cs="宋体"/>
                <w:b/>
                <w:bCs/>
                <w:color w:val="auto"/>
                <w:szCs w:val="21"/>
                <w:highlight w:val="none"/>
                <w:lang w:bidi="ar"/>
              </w:rPr>
              <w:t>本子项满分4分</w:t>
            </w:r>
            <w:r>
              <w:rPr>
                <w:rFonts w:hint="eastAsia" w:ascii="宋体" w:hAnsi="宋体" w:eastAsia="宋体" w:cs="宋体"/>
                <w:color w:val="auto"/>
                <w:szCs w:val="21"/>
                <w:highlight w:val="none"/>
                <w:lang w:bidi="ar"/>
              </w:rPr>
              <w:t>；</w:t>
            </w:r>
          </w:p>
          <w:p w14:paraId="7516CFF0">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（2）投标人2020年1月1日（合同签订日期为2020年1月1日或以后）至今具有水务、电力、能源相关的</w:t>
            </w:r>
            <w:r>
              <w:rPr>
                <w:rFonts w:hint="eastAsia" w:ascii="宋体" w:hAnsi="宋体" w:eastAsia="宋体" w:cs="宋体"/>
                <w:bCs/>
                <w:color w:val="auto"/>
                <w:szCs w:val="21"/>
                <w:highlight w:val="none"/>
                <w:lang w:bidi="ar"/>
              </w:rPr>
              <w:t>自动化控制系统建设项目</w:t>
            </w:r>
            <w:r>
              <w:rPr>
                <w:rFonts w:hint="eastAsia" w:ascii="宋体" w:hAnsi="宋体" w:eastAsia="宋体" w:cs="宋体"/>
                <w:color w:val="auto"/>
                <w:szCs w:val="21"/>
                <w:highlight w:val="none"/>
                <w:lang w:bidi="ar"/>
              </w:rPr>
              <w:t>业绩，按下列情况评分（满分6分）：</w:t>
            </w:r>
          </w:p>
          <w:p w14:paraId="5D1795E0">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①单项合同金额≥300万元的，每项得3分；</w:t>
            </w:r>
          </w:p>
          <w:p w14:paraId="432BC521">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②150万元≤单项合同金额＜300万元的，每项得2分；</w:t>
            </w:r>
          </w:p>
          <w:p w14:paraId="735AD08A">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③30万元≤单项合同金额＜150万元的，每项得1分，</w:t>
            </w:r>
            <w:r>
              <w:rPr>
                <w:rFonts w:hint="eastAsia" w:ascii="宋体" w:hAnsi="宋体" w:eastAsia="宋体" w:cs="宋体"/>
                <w:b/>
                <w:bCs/>
                <w:color w:val="auto"/>
                <w:szCs w:val="21"/>
                <w:highlight w:val="none"/>
                <w:lang w:bidi="ar"/>
              </w:rPr>
              <w:t>本子项满分3分</w:t>
            </w:r>
            <w:r>
              <w:rPr>
                <w:rFonts w:hint="eastAsia" w:ascii="宋体" w:hAnsi="宋体" w:eastAsia="宋体" w:cs="宋体"/>
                <w:color w:val="auto"/>
                <w:szCs w:val="21"/>
                <w:highlight w:val="none"/>
                <w:lang w:bidi="ar"/>
              </w:rPr>
              <w:t>。</w:t>
            </w:r>
          </w:p>
          <w:p w14:paraId="345E9CB1">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备注：</w:t>
            </w:r>
          </w:p>
          <w:p w14:paraId="1416F614">
            <w:pPr>
              <w:keepNext w:val="0"/>
              <w:keepLines w:val="0"/>
              <w:widowControl/>
              <w:suppressLineNumbers w:val="0"/>
              <w:spacing w:before="0" w:beforeAutospacing="0" w:after="0" w:afterAutospacing="0" w:line="360" w:lineRule="auto"/>
              <w:ind w:left="0" w:right="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w:t>
            </w:r>
            <w:r>
              <w:rPr>
                <w:rFonts w:hint="eastAsia" w:ascii="宋体" w:hAnsi="宋体" w:eastAsia="宋体" w:cs="宋体"/>
                <w:b/>
                <w:bCs/>
                <w:color w:val="auto"/>
                <w:szCs w:val="21"/>
                <w:highlight w:val="none"/>
                <w:lang w:bidi="ar"/>
              </w:rPr>
              <w:t>每个业绩仅计算一次得分，由投标人自行放入对应的评分子项；</w:t>
            </w:r>
          </w:p>
          <w:p w14:paraId="320449ED">
            <w:pPr>
              <w:keepNext w:val="0"/>
              <w:keepLines w:val="0"/>
              <w:widowControl/>
              <w:suppressLineNumbers w:val="0"/>
              <w:spacing w:before="0" w:beforeAutospacing="0" w:after="0" w:afterAutospacing="0" w:line="360" w:lineRule="auto"/>
              <w:ind w:left="0" w:right="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w:t>
            </w:r>
            <w:r>
              <w:rPr>
                <w:rFonts w:hint="eastAsia" w:ascii="宋体" w:hAnsi="宋体" w:eastAsia="宋体" w:cs="宋体"/>
                <w:b/>
                <w:bCs/>
                <w:color w:val="auto"/>
                <w:szCs w:val="21"/>
                <w:highlight w:val="none"/>
                <w:lang w:bidi="ar"/>
              </w:rPr>
              <w:t>业绩须附合同原件扫描件（合同卖方必须为投标人）及合同对应的购买方出具的能证明项目质量合格的验收证明或用户评价等证明文件的原件扫描件（前述原件扫描件能显示合同购买方公章），否则不得分；</w:t>
            </w:r>
          </w:p>
          <w:p w14:paraId="33CCDB3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Cs w:val="21"/>
                <w:highlight w:val="none"/>
                <w:lang w:bidi="ar"/>
              </w:rPr>
            </w:pPr>
            <w:r>
              <w:rPr>
                <w:rFonts w:hint="eastAsia" w:ascii="宋体" w:hAnsi="宋体" w:eastAsia="宋体" w:cs="宋体"/>
                <w:b/>
                <w:bCs/>
                <w:color w:val="auto"/>
                <w:szCs w:val="21"/>
                <w:highlight w:val="none"/>
              </w:rPr>
              <w:t>3）</w:t>
            </w:r>
            <w:r>
              <w:rPr>
                <w:rFonts w:hint="eastAsia" w:ascii="宋体" w:hAnsi="宋体" w:eastAsia="宋体" w:cs="宋体"/>
                <w:b/>
                <w:bCs/>
                <w:color w:val="auto"/>
                <w:szCs w:val="21"/>
                <w:highlight w:val="none"/>
                <w:lang w:bidi="ar"/>
              </w:rPr>
              <w:t>若业绩合同及证明文件无法反映评分条件{1.合同签订日期为2020年1月1日或以后；2.水务、电力、能源相关的集中控制系统建设项目[适用于第（1）项]；3.水务、电力、能源相关的自动化控制系统建设项目[适用于第（2）项]；4.单项合同金额}，还需提供合同购买方出具的书面补充说明文件原件扫描件作为辅助证明（补充说明文件原件扫描件能显示合同购买方公章），否则不得分；</w:t>
            </w:r>
          </w:p>
          <w:p w14:paraId="088AC1DB">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bidi="ar"/>
              </w:rPr>
              <w:t>4</w:t>
            </w:r>
            <w:r>
              <w:rPr>
                <w:rFonts w:hint="eastAsia" w:ascii="宋体" w:hAnsi="宋体" w:eastAsia="宋体" w:cs="宋体"/>
                <w:b/>
                <w:bCs/>
                <w:color w:val="auto"/>
                <w:szCs w:val="21"/>
                <w:highlight w:val="none"/>
                <w:lang w:bidi="ar"/>
              </w:rPr>
              <w:t>）集中控制系统建设项目具体为利用一套数据采集与监视控制系统同时监视和控制不少于3个独立厂、站的控制系统；自动化控制系统建设项目具体为利用一套数据采集与监视控制系统监视和控制单个厂、站的控制系统；</w:t>
            </w:r>
          </w:p>
          <w:p w14:paraId="147A6A26">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lang w:val="en-US" w:eastAsia="zh-CN"/>
              </w:rPr>
              <w:t>5</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bidi="ar"/>
              </w:rPr>
              <w:t>未按上述要求提供证明材料的业绩，或所附材料无法证明填报项目符合本项评分要求的业绩，在评标时将不予考虑。</w:t>
            </w:r>
          </w:p>
        </w:tc>
        <w:tc>
          <w:tcPr>
            <w:tcW w:w="463" w:type="pct"/>
            <w:tcBorders>
              <w:top w:val="single" w:color="auto" w:sz="4" w:space="0"/>
              <w:left w:val="nil"/>
              <w:bottom w:val="single" w:color="auto" w:sz="4" w:space="0"/>
              <w:right w:val="single" w:color="auto" w:sz="4" w:space="0"/>
            </w:tcBorders>
            <w:shd w:val="clear" w:color="auto" w:fill="auto"/>
            <w:vAlign w:val="center"/>
          </w:tcPr>
          <w:p w14:paraId="42E7D6C3">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val="en-US" w:eastAsia="zh-CN" w:bidi="ar"/>
              </w:rPr>
              <w:t>15</w:t>
            </w:r>
            <w:r>
              <w:rPr>
                <w:rFonts w:hint="eastAsia" w:ascii="宋体" w:hAnsi="宋体" w:eastAsia="宋体" w:cs="宋体"/>
                <w:color w:val="auto"/>
                <w:szCs w:val="21"/>
                <w:highlight w:val="none"/>
                <w:lang w:bidi="ar"/>
              </w:rPr>
              <w:t>分</w:t>
            </w:r>
          </w:p>
        </w:tc>
      </w:tr>
    </w:tbl>
    <w:p w14:paraId="4945EA42">
      <w:pPr>
        <w:autoSpaceDE w:val="0"/>
        <w:autoSpaceDN w:val="0"/>
        <w:adjustRightInd w:val="0"/>
        <w:spacing w:line="360" w:lineRule="auto"/>
        <w:rPr>
          <w:rFonts w:ascii="宋体" w:hAnsi="宋体" w:eastAsia="宋体" w:cs="宋体"/>
          <w:b/>
          <w:color w:val="auto"/>
          <w:szCs w:val="21"/>
          <w:highlight w:val="none"/>
        </w:rPr>
      </w:pPr>
      <w:r>
        <w:rPr>
          <w:rFonts w:hint="eastAsia" w:ascii="宋体" w:hAnsi="宋体" w:eastAsia="宋体" w:cs="宋体"/>
          <w:b/>
          <w:color w:val="auto"/>
          <w:szCs w:val="21"/>
          <w:highlight w:val="none"/>
          <w:lang w:bidi="ar"/>
        </w:rPr>
        <w:t>（2）技术：总分</w:t>
      </w:r>
      <w:r>
        <w:rPr>
          <w:rFonts w:hint="eastAsia" w:ascii="宋体" w:hAnsi="宋体" w:eastAsia="宋体" w:cs="宋体"/>
          <w:b/>
          <w:color w:val="auto"/>
          <w:szCs w:val="21"/>
          <w:highlight w:val="none"/>
          <w:lang w:val="en-US" w:eastAsia="zh-CN" w:bidi="ar"/>
        </w:rPr>
        <w:t>35</w:t>
      </w:r>
      <w:r>
        <w:rPr>
          <w:rFonts w:hint="eastAsia" w:ascii="宋体" w:hAnsi="宋体" w:eastAsia="宋体" w:cs="宋体"/>
          <w:b/>
          <w:color w:val="auto"/>
          <w:szCs w:val="21"/>
          <w:highlight w:val="none"/>
          <w:lang w:bidi="ar"/>
        </w:rPr>
        <w:t>分</w:t>
      </w:r>
    </w:p>
    <w:tbl>
      <w:tblPr>
        <w:tblStyle w:val="44"/>
        <w:tblW w:w="9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223"/>
        <w:gridCol w:w="7210"/>
        <w:gridCol w:w="943"/>
      </w:tblGrid>
      <w:tr w14:paraId="12487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Borders>
              <w:top w:val="single" w:color="auto" w:sz="4" w:space="0"/>
              <w:left w:val="single" w:color="auto" w:sz="4" w:space="0"/>
              <w:bottom w:val="single" w:color="auto" w:sz="4" w:space="0"/>
              <w:right w:val="single" w:color="auto" w:sz="4" w:space="0"/>
            </w:tcBorders>
            <w:shd w:val="clear" w:color="auto" w:fill="auto"/>
            <w:vAlign w:val="center"/>
          </w:tcPr>
          <w:p w14:paraId="34BF2781">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序号</w:t>
            </w:r>
          </w:p>
        </w:tc>
        <w:tc>
          <w:tcPr>
            <w:tcW w:w="1223" w:type="dxa"/>
            <w:tcBorders>
              <w:top w:val="single" w:color="auto" w:sz="4" w:space="0"/>
              <w:left w:val="nil"/>
              <w:bottom w:val="single" w:color="auto" w:sz="4" w:space="0"/>
              <w:right w:val="single" w:color="auto" w:sz="4" w:space="0"/>
            </w:tcBorders>
            <w:shd w:val="clear" w:color="auto" w:fill="auto"/>
            <w:vAlign w:val="center"/>
          </w:tcPr>
          <w:p w14:paraId="363BA89C">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评审内容</w:t>
            </w:r>
          </w:p>
        </w:tc>
        <w:tc>
          <w:tcPr>
            <w:tcW w:w="7210" w:type="dxa"/>
            <w:tcBorders>
              <w:top w:val="single" w:color="auto" w:sz="4" w:space="0"/>
              <w:left w:val="nil"/>
              <w:bottom w:val="single" w:color="auto" w:sz="4" w:space="0"/>
              <w:right w:val="single" w:color="auto" w:sz="4" w:space="0"/>
            </w:tcBorders>
            <w:shd w:val="clear" w:color="auto" w:fill="auto"/>
            <w:vAlign w:val="center"/>
          </w:tcPr>
          <w:p w14:paraId="6535324B">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评审细则</w:t>
            </w:r>
          </w:p>
        </w:tc>
        <w:tc>
          <w:tcPr>
            <w:tcW w:w="943" w:type="dxa"/>
            <w:tcBorders>
              <w:top w:val="single" w:color="auto" w:sz="4" w:space="0"/>
              <w:left w:val="nil"/>
              <w:bottom w:val="single" w:color="auto" w:sz="4" w:space="0"/>
              <w:right w:val="single" w:color="auto" w:sz="4" w:space="0"/>
            </w:tcBorders>
            <w:shd w:val="clear" w:color="auto" w:fill="auto"/>
            <w:vAlign w:val="center"/>
          </w:tcPr>
          <w:p w14:paraId="5AC47F32">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满分值</w:t>
            </w:r>
          </w:p>
        </w:tc>
      </w:tr>
      <w:tr w14:paraId="6BA81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Borders>
              <w:top w:val="single" w:color="auto" w:sz="4" w:space="0"/>
              <w:left w:val="single" w:color="auto" w:sz="4" w:space="0"/>
              <w:bottom w:val="single" w:color="auto" w:sz="4" w:space="0"/>
              <w:right w:val="single" w:color="auto" w:sz="4" w:space="0"/>
            </w:tcBorders>
            <w:shd w:val="clear" w:color="auto" w:fill="auto"/>
            <w:vAlign w:val="center"/>
          </w:tcPr>
          <w:p w14:paraId="47D237AD">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lang w:bidi="ar"/>
              </w:rPr>
            </w:pPr>
            <w:r>
              <w:rPr>
                <w:rFonts w:hint="eastAsia" w:ascii="宋体" w:hAnsi="宋体" w:eastAsia="宋体" w:cs="宋体"/>
                <w:color w:val="auto"/>
                <w:szCs w:val="21"/>
                <w:highlight w:val="none"/>
                <w:lang w:bidi="ar"/>
              </w:rPr>
              <w:t>1</w:t>
            </w:r>
          </w:p>
        </w:tc>
        <w:tc>
          <w:tcPr>
            <w:tcW w:w="1223" w:type="dxa"/>
            <w:tcBorders>
              <w:top w:val="single" w:color="auto" w:sz="4" w:space="0"/>
              <w:left w:val="nil"/>
              <w:bottom w:val="single" w:color="auto" w:sz="4" w:space="0"/>
              <w:right w:val="single" w:color="auto" w:sz="4" w:space="0"/>
            </w:tcBorders>
            <w:shd w:val="clear" w:color="auto" w:fill="auto"/>
            <w:vAlign w:val="center"/>
          </w:tcPr>
          <w:p w14:paraId="60323637">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lang w:bidi="ar"/>
              </w:rPr>
            </w:pPr>
            <w:r>
              <w:rPr>
                <w:rFonts w:hint="eastAsia" w:ascii="宋体" w:hAnsi="宋体" w:eastAsia="宋体" w:cs="宋体"/>
                <w:color w:val="auto"/>
                <w:szCs w:val="21"/>
                <w:highlight w:val="none"/>
                <w:lang w:bidi="ar"/>
              </w:rPr>
              <w:t>用户需求的响应程度</w:t>
            </w:r>
          </w:p>
        </w:tc>
        <w:tc>
          <w:tcPr>
            <w:tcW w:w="7210" w:type="dxa"/>
            <w:tcBorders>
              <w:top w:val="single" w:color="auto" w:sz="4" w:space="0"/>
              <w:left w:val="nil"/>
              <w:bottom w:val="single" w:color="auto" w:sz="4" w:space="0"/>
              <w:right w:val="single" w:color="auto" w:sz="4" w:space="0"/>
            </w:tcBorders>
            <w:shd w:val="clear" w:color="auto" w:fill="auto"/>
            <w:vAlign w:val="center"/>
          </w:tcPr>
          <w:p w14:paraId="0B2067B4">
            <w:pPr>
              <w:keepNext w:val="0"/>
              <w:keepLines w:val="0"/>
              <w:widowControl/>
              <w:suppressLineNumbers w:val="0"/>
              <w:spacing w:before="0" w:beforeAutospacing="0" w:after="0" w:afterAutospacing="0" w:line="360" w:lineRule="auto"/>
              <w:ind w:left="0" w:right="0"/>
              <w:rPr>
                <w:rFonts w:hint="default" w:ascii="宋体" w:hAnsi="宋体" w:eastAsia="宋体" w:cs="宋体"/>
                <w:color w:val="auto"/>
                <w:szCs w:val="21"/>
                <w:highlight w:val="none"/>
                <w:lang w:bidi="ar"/>
              </w:rPr>
            </w:pPr>
            <w:r>
              <w:rPr>
                <w:rFonts w:hint="eastAsia" w:ascii="宋体" w:hAnsi="宋体" w:eastAsia="宋体" w:cs="宋体"/>
                <w:color w:val="auto"/>
                <w:szCs w:val="21"/>
                <w:highlight w:val="none"/>
                <w:lang w:bidi="ar"/>
              </w:rPr>
              <w:t>根据用户需求偏离表的偏离情况进行评审计分，完全满足用户需求书的要求得满分；每一处负偏离，扣</w:t>
            </w:r>
            <w:r>
              <w:rPr>
                <w:rFonts w:hint="eastAsia" w:ascii="宋体" w:hAnsi="宋体" w:eastAsia="宋体" w:cs="宋体"/>
                <w:color w:val="auto"/>
                <w:szCs w:val="21"/>
                <w:highlight w:val="none"/>
                <w:lang w:val="en-US" w:eastAsia="zh-CN" w:bidi="ar"/>
              </w:rPr>
              <w:t>4</w:t>
            </w:r>
            <w:r>
              <w:rPr>
                <w:rFonts w:hint="eastAsia" w:ascii="宋体" w:hAnsi="宋体" w:eastAsia="宋体" w:cs="宋体"/>
                <w:color w:val="auto"/>
                <w:szCs w:val="21"/>
                <w:highlight w:val="none"/>
                <w:lang w:bidi="ar"/>
              </w:rPr>
              <w:t>分；同时参照其投标文件中技术资料内容进行对比，每发现一处投标人填写为无偏离或正偏离，但评标委员会评审认定其为负偏离的，每处扣</w:t>
            </w:r>
            <w:r>
              <w:rPr>
                <w:rFonts w:hint="eastAsia" w:ascii="宋体" w:hAnsi="宋体" w:eastAsia="宋体" w:cs="宋体"/>
                <w:color w:val="auto"/>
                <w:szCs w:val="21"/>
                <w:highlight w:val="none"/>
                <w:lang w:val="en-US" w:eastAsia="zh-CN" w:bidi="ar"/>
              </w:rPr>
              <w:t>8</w:t>
            </w:r>
            <w:r>
              <w:rPr>
                <w:rFonts w:hint="eastAsia" w:ascii="宋体" w:hAnsi="宋体" w:eastAsia="宋体" w:cs="宋体"/>
                <w:color w:val="auto"/>
                <w:szCs w:val="21"/>
                <w:highlight w:val="none"/>
                <w:lang w:bidi="ar"/>
              </w:rPr>
              <w:t>分；本项最低分为0分。</w:t>
            </w:r>
          </w:p>
        </w:tc>
        <w:tc>
          <w:tcPr>
            <w:tcW w:w="943" w:type="dxa"/>
            <w:tcBorders>
              <w:top w:val="single" w:color="auto" w:sz="4" w:space="0"/>
              <w:left w:val="nil"/>
              <w:bottom w:val="single" w:color="auto" w:sz="4" w:space="0"/>
              <w:right w:val="single" w:color="auto" w:sz="4" w:space="0"/>
            </w:tcBorders>
            <w:shd w:val="clear" w:color="auto" w:fill="auto"/>
            <w:vAlign w:val="center"/>
          </w:tcPr>
          <w:p w14:paraId="2CDB28C6">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lang w:bidi="ar"/>
              </w:rPr>
            </w:pPr>
            <w:r>
              <w:rPr>
                <w:rFonts w:hint="eastAsia" w:ascii="宋体" w:hAnsi="宋体" w:eastAsia="宋体" w:cs="宋体"/>
                <w:color w:val="auto"/>
                <w:szCs w:val="21"/>
                <w:highlight w:val="none"/>
                <w:lang w:val="en-US" w:eastAsia="zh-CN" w:bidi="ar"/>
              </w:rPr>
              <w:t>8</w:t>
            </w:r>
            <w:r>
              <w:rPr>
                <w:rFonts w:hint="eastAsia" w:ascii="宋体" w:hAnsi="宋体" w:eastAsia="宋体" w:cs="宋体"/>
                <w:color w:val="auto"/>
                <w:szCs w:val="21"/>
                <w:highlight w:val="none"/>
                <w:lang w:bidi="ar"/>
              </w:rPr>
              <w:t>分</w:t>
            </w:r>
          </w:p>
        </w:tc>
      </w:tr>
      <w:tr w14:paraId="6B6F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Borders>
              <w:top w:val="single" w:color="auto" w:sz="4" w:space="0"/>
              <w:left w:val="single" w:color="auto" w:sz="4" w:space="0"/>
              <w:bottom w:val="single" w:color="auto" w:sz="4" w:space="0"/>
              <w:right w:val="single" w:color="auto" w:sz="4" w:space="0"/>
            </w:tcBorders>
            <w:shd w:val="clear" w:color="auto" w:fill="auto"/>
            <w:vAlign w:val="center"/>
          </w:tcPr>
          <w:p w14:paraId="789BB08D">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2</w:t>
            </w:r>
          </w:p>
        </w:tc>
        <w:tc>
          <w:tcPr>
            <w:tcW w:w="1223" w:type="dxa"/>
            <w:tcBorders>
              <w:top w:val="single" w:color="auto" w:sz="4" w:space="0"/>
              <w:left w:val="nil"/>
              <w:bottom w:val="single" w:color="auto" w:sz="4" w:space="0"/>
              <w:right w:val="single" w:color="auto" w:sz="4" w:space="0"/>
            </w:tcBorders>
            <w:shd w:val="clear" w:color="auto" w:fill="auto"/>
            <w:vAlign w:val="center"/>
          </w:tcPr>
          <w:p w14:paraId="05A02416">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整体方案</w:t>
            </w:r>
          </w:p>
        </w:tc>
        <w:tc>
          <w:tcPr>
            <w:tcW w:w="7210" w:type="dxa"/>
            <w:tcBorders>
              <w:top w:val="single" w:color="auto" w:sz="4" w:space="0"/>
              <w:left w:val="nil"/>
              <w:bottom w:val="single" w:color="auto" w:sz="4" w:space="0"/>
              <w:right w:val="single" w:color="auto" w:sz="4" w:space="0"/>
            </w:tcBorders>
            <w:shd w:val="clear" w:color="auto" w:fill="auto"/>
            <w:vAlign w:val="center"/>
          </w:tcPr>
          <w:p w14:paraId="502302CA">
            <w:pPr>
              <w:keepNext w:val="0"/>
              <w:keepLines w:val="0"/>
              <w:widowControl/>
              <w:suppressLineNumbers w:val="0"/>
              <w:spacing w:before="0" w:beforeAutospacing="0" w:after="0" w:afterAutospacing="0" w:line="360" w:lineRule="auto"/>
              <w:ind w:left="0" w:right="0" w:firstLine="420" w:firstLineChars="200"/>
              <w:jc w:val="left"/>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根据投标人的设计方案进行评分，包括但不限于项目需求的理解程度、项目建设总体思路、平台的稳定性、可维护性、可扩展性以及项目实施计划、项目管理和质量保障措施等</w:t>
            </w:r>
            <w:r>
              <w:rPr>
                <w:rFonts w:hint="eastAsia" w:ascii="宋体" w:hAnsi="宋体" w:eastAsia="宋体" w:cs="宋体"/>
                <w:color w:val="auto"/>
                <w:kern w:val="0"/>
                <w:szCs w:val="21"/>
                <w:highlight w:val="none"/>
              </w:rPr>
              <w:t>进行评审：</w:t>
            </w:r>
          </w:p>
          <w:p w14:paraId="751E6926">
            <w:pPr>
              <w:keepNext w:val="0"/>
              <w:keepLines w:val="0"/>
              <w:widowControl/>
              <w:suppressLineNumbers w:val="0"/>
              <w:spacing w:before="0" w:beforeAutospacing="0" w:after="0" w:afterAutospacing="0" w:line="360" w:lineRule="auto"/>
              <w:ind w:left="0" w:right="0" w:firstLine="422" w:firstLineChars="200"/>
              <w:jc w:val="left"/>
              <w:rPr>
                <w:rFonts w:hint="default" w:ascii="宋体" w:hAnsi="宋体" w:eastAsia="宋体" w:cs="宋体"/>
                <w:color w:val="auto"/>
                <w:szCs w:val="21"/>
                <w:highlight w:val="none"/>
              </w:rPr>
            </w:pPr>
            <w:r>
              <w:rPr>
                <w:rFonts w:hint="eastAsia" w:ascii="宋体" w:hAnsi="宋体" w:eastAsia="宋体" w:cs="宋体"/>
                <w:b/>
                <w:bCs/>
                <w:color w:val="auto"/>
                <w:szCs w:val="21"/>
                <w:highlight w:val="none"/>
                <w:lang w:bidi="ar"/>
              </w:rPr>
              <w:t>优：</w:t>
            </w:r>
            <w:r>
              <w:rPr>
                <w:rFonts w:hint="eastAsia" w:ascii="宋体" w:hAnsi="宋体" w:eastAsia="宋体" w:cs="宋体"/>
                <w:color w:val="auto"/>
                <w:szCs w:val="21"/>
                <w:highlight w:val="none"/>
                <w:lang w:bidi="ar"/>
              </w:rPr>
              <w:t>深刻理解招标人项目需求，建设思路清晰，项目方案先进合理且完全满足项目需求，项目保障措施充足，并且能在现有方案上做出深化设计，并提供系统整体网络拓扑图、指挥中心网络拓扑图、网络机柜电气图和数据驾驶舱方案，得</w:t>
            </w:r>
            <w:r>
              <w:rPr>
                <w:rFonts w:hint="eastAsia" w:ascii="宋体" w:hAnsi="宋体" w:eastAsia="宋体" w:cs="宋体"/>
                <w:color w:val="auto"/>
                <w:szCs w:val="21"/>
                <w:highlight w:val="none"/>
                <w:lang w:val="en-US" w:eastAsia="zh-CN" w:bidi="ar"/>
              </w:rPr>
              <w:t>[2-3]</w:t>
            </w:r>
            <w:r>
              <w:rPr>
                <w:rFonts w:hint="eastAsia" w:ascii="宋体" w:hAnsi="宋体" w:eastAsia="宋体" w:cs="宋体"/>
                <w:color w:val="auto"/>
                <w:szCs w:val="21"/>
                <w:highlight w:val="none"/>
                <w:lang w:bidi="ar"/>
              </w:rPr>
              <w:t>分；</w:t>
            </w:r>
          </w:p>
          <w:p w14:paraId="470E8347">
            <w:pPr>
              <w:keepNext w:val="0"/>
              <w:keepLines w:val="0"/>
              <w:widowControl/>
              <w:suppressLineNumbers w:val="0"/>
              <w:spacing w:before="0" w:beforeAutospacing="0" w:after="0" w:afterAutospacing="0" w:line="360" w:lineRule="auto"/>
              <w:ind w:left="0" w:right="0" w:firstLine="422" w:firstLineChars="200"/>
              <w:jc w:val="left"/>
              <w:rPr>
                <w:rFonts w:hint="default" w:ascii="宋体" w:hAnsi="宋体" w:eastAsia="宋体" w:cs="宋体"/>
                <w:color w:val="auto"/>
                <w:szCs w:val="21"/>
                <w:highlight w:val="none"/>
              </w:rPr>
            </w:pPr>
            <w:r>
              <w:rPr>
                <w:rFonts w:hint="eastAsia" w:ascii="宋体" w:hAnsi="宋体" w:eastAsia="宋体" w:cs="宋体"/>
                <w:b/>
                <w:bCs/>
                <w:color w:val="auto"/>
                <w:szCs w:val="21"/>
                <w:highlight w:val="none"/>
                <w:lang w:bidi="ar"/>
              </w:rPr>
              <w:t>中：</w:t>
            </w:r>
            <w:r>
              <w:rPr>
                <w:rFonts w:hint="eastAsia" w:ascii="宋体" w:hAnsi="宋体" w:eastAsia="宋体" w:cs="宋体"/>
                <w:color w:val="auto"/>
                <w:szCs w:val="21"/>
                <w:highlight w:val="none"/>
                <w:lang w:eastAsia="zh-CN" w:bidi="ar"/>
              </w:rPr>
              <w:t>较好</w:t>
            </w:r>
            <w:r>
              <w:rPr>
                <w:rFonts w:hint="eastAsia" w:ascii="宋体" w:hAnsi="宋体" w:eastAsia="宋体" w:cs="宋体"/>
                <w:color w:val="auto"/>
                <w:szCs w:val="21"/>
                <w:highlight w:val="none"/>
                <w:lang w:bidi="ar"/>
              </w:rPr>
              <w:t>理解招标人项目需求，建设思路较清晰，项目方案先进合理且较</w:t>
            </w:r>
            <w:r>
              <w:rPr>
                <w:rFonts w:hint="eastAsia" w:ascii="宋体" w:hAnsi="宋体" w:eastAsia="宋体" w:cs="宋体"/>
                <w:color w:val="auto"/>
                <w:szCs w:val="21"/>
                <w:highlight w:val="none"/>
                <w:lang w:eastAsia="zh-CN" w:bidi="ar"/>
              </w:rPr>
              <w:t>好</w:t>
            </w:r>
            <w:r>
              <w:rPr>
                <w:rFonts w:hint="eastAsia" w:ascii="宋体" w:hAnsi="宋体" w:eastAsia="宋体" w:cs="宋体"/>
                <w:color w:val="auto"/>
                <w:szCs w:val="21"/>
                <w:highlight w:val="none"/>
                <w:lang w:bidi="ar"/>
              </w:rPr>
              <w:t>满足项目需求，项目保障措施充足，得</w:t>
            </w:r>
            <w:r>
              <w:rPr>
                <w:rFonts w:hint="eastAsia" w:ascii="宋体" w:hAnsi="宋体" w:eastAsia="宋体" w:cs="宋体"/>
                <w:color w:val="auto"/>
                <w:szCs w:val="21"/>
                <w:highlight w:val="none"/>
                <w:lang w:val="en-US" w:eastAsia="zh-CN" w:bidi="ar"/>
              </w:rPr>
              <w:t>[1-2)</w:t>
            </w:r>
            <w:r>
              <w:rPr>
                <w:rFonts w:hint="eastAsia" w:ascii="宋体" w:hAnsi="宋体" w:eastAsia="宋体" w:cs="宋体"/>
                <w:color w:val="auto"/>
                <w:szCs w:val="21"/>
                <w:highlight w:val="none"/>
                <w:lang w:bidi="ar"/>
              </w:rPr>
              <w:t>分；</w:t>
            </w:r>
          </w:p>
          <w:p w14:paraId="2FC48F85">
            <w:pPr>
              <w:keepNext w:val="0"/>
              <w:keepLines w:val="0"/>
              <w:widowControl/>
              <w:suppressLineNumbers w:val="0"/>
              <w:spacing w:before="0" w:beforeAutospacing="0" w:after="0" w:afterAutospacing="0" w:line="360" w:lineRule="auto"/>
              <w:ind w:left="0" w:right="0" w:firstLine="422" w:firstLineChars="200"/>
              <w:jc w:val="left"/>
              <w:rPr>
                <w:rFonts w:hint="default" w:ascii="宋体" w:hAnsi="宋体" w:eastAsia="宋体" w:cs="宋体"/>
                <w:color w:val="auto"/>
                <w:szCs w:val="21"/>
                <w:highlight w:val="none"/>
                <w:lang w:bidi="ar"/>
              </w:rPr>
            </w:pPr>
            <w:r>
              <w:rPr>
                <w:rFonts w:hint="eastAsia" w:ascii="宋体" w:hAnsi="宋体" w:eastAsia="宋体" w:cs="宋体"/>
                <w:b/>
                <w:bCs/>
                <w:color w:val="auto"/>
                <w:szCs w:val="21"/>
                <w:highlight w:val="none"/>
                <w:lang w:bidi="ar"/>
              </w:rPr>
              <w:t>差：</w:t>
            </w:r>
            <w:r>
              <w:rPr>
                <w:rFonts w:hint="eastAsia" w:ascii="宋体" w:hAnsi="宋体" w:eastAsia="宋体" w:cs="宋体"/>
                <w:color w:val="auto"/>
                <w:szCs w:val="21"/>
                <w:highlight w:val="none"/>
                <w:lang w:bidi="ar"/>
              </w:rPr>
              <w:t>基本理解项目需求，整体方案完整，但思路不够清晰，方案先进性和合理性一般，得[</w:t>
            </w:r>
            <w:r>
              <w:rPr>
                <w:rFonts w:hint="eastAsia" w:ascii="宋体" w:hAnsi="宋体" w:eastAsia="宋体" w:cs="宋体"/>
                <w:color w:val="auto"/>
                <w:szCs w:val="21"/>
                <w:highlight w:val="none"/>
                <w:lang w:val="en-US" w:eastAsia="zh-CN" w:bidi="ar"/>
              </w:rPr>
              <w:t>0</w:t>
            </w:r>
            <w:r>
              <w:rPr>
                <w:rFonts w:hint="eastAsia" w:ascii="宋体" w:hAnsi="宋体" w:eastAsia="宋体" w:cs="宋体"/>
                <w:color w:val="auto"/>
                <w:szCs w:val="21"/>
                <w:highlight w:val="none"/>
                <w:lang w:bidi="ar"/>
              </w:rPr>
              <w:t>-</w:t>
            </w:r>
            <w:r>
              <w:rPr>
                <w:rFonts w:hint="eastAsia" w:ascii="宋体" w:hAnsi="宋体" w:eastAsia="宋体" w:cs="宋体"/>
                <w:color w:val="auto"/>
                <w:szCs w:val="21"/>
                <w:highlight w:val="none"/>
                <w:lang w:val="en-US" w:eastAsia="zh-CN" w:bidi="ar"/>
              </w:rPr>
              <w:t>1</w:t>
            </w:r>
            <w:r>
              <w:rPr>
                <w:rFonts w:hint="eastAsia" w:ascii="宋体" w:hAnsi="宋体" w:eastAsia="宋体" w:cs="宋体"/>
                <w:color w:val="auto"/>
                <w:szCs w:val="21"/>
                <w:highlight w:val="none"/>
                <w:lang w:bidi="ar"/>
              </w:rPr>
              <w:t>)分。</w:t>
            </w:r>
          </w:p>
          <w:p w14:paraId="629169D0">
            <w:pPr>
              <w:keepNext w:val="0"/>
              <w:keepLines w:val="0"/>
              <w:widowControl/>
              <w:suppressLineNumbers w:val="0"/>
              <w:spacing w:before="0" w:beforeAutospacing="0" w:after="0" w:afterAutospacing="0" w:line="360" w:lineRule="auto"/>
              <w:ind w:left="0" w:right="0" w:firstLine="420" w:firstLineChars="200"/>
              <w:jc w:val="left"/>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未提供对应内容不得分。</w:t>
            </w:r>
          </w:p>
        </w:tc>
        <w:tc>
          <w:tcPr>
            <w:tcW w:w="943" w:type="dxa"/>
            <w:tcBorders>
              <w:top w:val="single" w:color="auto" w:sz="4" w:space="0"/>
              <w:left w:val="nil"/>
              <w:bottom w:val="single" w:color="auto" w:sz="4" w:space="0"/>
              <w:right w:val="single" w:color="auto" w:sz="4" w:space="0"/>
            </w:tcBorders>
            <w:shd w:val="clear" w:color="auto" w:fill="auto"/>
            <w:vAlign w:val="center"/>
          </w:tcPr>
          <w:p w14:paraId="6E81B4E5">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3分</w:t>
            </w:r>
          </w:p>
        </w:tc>
      </w:tr>
      <w:tr w14:paraId="0FCE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0" w:type="dxa"/>
            <w:tcBorders>
              <w:top w:val="single" w:color="auto" w:sz="4" w:space="0"/>
              <w:left w:val="single" w:color="auto" w:sz="4" w:space="0"/>
              <w:bottom w:val="single" w:color="auto" w:sz="4" w:space="0"/>
              <w:right w:val="single" w:color="auto" w:sz="4" w:space="0"/>
            </w:tcBorders>
            <w:shd w:val="clear" w:color="auto" w:fill="auto"/>
            <w:vAlign w:val="center"/>
          </w:tcPr>
          <w:p w14:paraId="6591A2E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lang w:eastAsia="zh-CN" w:bidi="ar"/>
              </w:rPr>
            </w:pPr>
            <w:r>
              <w:rPr>
                <w:rFonts w:hint="eastAsia" w:ascii="宋体" w:hAnsi="宋体" w:eastAsia="宋体" w:cs="宋体"/>
                <w:color w:val="auto"/>
                <w:szCs w:val="21"/>
                <w:highlight w:val="none"/>
                <w:lang w:val="en-US" w:eastAsia="zh-CN" w:bidi="ar"/>
              </w:rPr>
              <w:t>3</w:t>
            </w:r>
          </w:p>
        </w:tc>
        <w:tc>
          <w:tcPr>
            <w:tcW w:w="1223" w:type="dxa"/>
            <w:tcBorders>
              <w:top w:val="single" w:color="auto" w:sz="4" w:space="0"/>
              <w:left w:val="nil"/>
              <w:bottom w:val="single" w:color="auto" w:sz="4" w:space="0"/>
              <w:right w:val="single" w:color="auto" w:sz="4" w:space="0"/>
            </w:tcBorders>
            <w:shd w:val="clear" w:color="auto" w:fill="auto"/>
            <w:vAlign w:val="center"/>
          </w:tcPr>
          <w:p w14:paraId="12563BE5">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lang w:bidi="ar"/>
              </w:rPr>
            </w:pPr>
            <w:r>
              <w:rPr>
                <w:rFonts w:hint="eastAsia" w:ascii="宋体" w:hAnsi="宋体" w:eastAsia="宋体" w:cs="宋体"/>
                <w:color w:val="auto"/>
                <w:szCs w:val="21"/>
                <w:highlight w:val="none"/>
                <w:lang w:bidi="ar"/>
              </w:rPr>
              <w:t>硬件质量水平</w:t>
            </w:r>
          </w:p>
        </w:tc>
        <w:tc>
          <w:tcPr>
            <w:tcW w:w="7210" w:type="dxa"/>
            <w:tcBorders>
              <w:top w:val="single" w:color="auto" w:sz="4" w:space="0"/>
              <w:left w:val="nil"/>
              <w:bottom w:val="single" w:color="auto" w:sz="4" w:space="0"/>
              <w:right w:val="single" w:color="auto" w:sz="4" w:space="0"/>
            </w:tcBorders>
            <w:shd w:val="clear" w:color="auto" w:fill="auto"/>
            <w:vAlign w:val="center"/>
          </w:tcPr>
          <w:p w14:paraId="6910EA75">
            <w:pPr>
              <w:keepNext w:val="0"/>
              <w:keepLines w:val="0"/>
              <w:widowControl/>
              <w:suppressLineNumbers w:val="0"/>
              <w:spacing w:before="0" w:beforeAutospacing="0" w:after="0" w:afterAutospacing="0" w:line="360" w:lineRule="auto"/>
              <w:ind w:left="0" w:right="0" w:firstLine="420" w:firstLineChars="200"/>
              <w:jc w:val="left"/>
              <w:rPr>
                <w:rFonts w:hint="default" w:ascii="宋体" w:hAnsi="宋体" w:eastAsia="宋体" w:cs="宋体"/>
                <w:color w:val="auto"/>
                <w:szCs w:val="21"/>
                <w:highlight w:val="none"/>
              </w:rPr>
            </w:pPr>
            <w:r>
              <w:rPr>
                <w:rFonts w:hint="eastAsia" w:ascii="宋体" w:hAnsi="宋体" w:eastAsia="宋体" w:cs="宋体"/>
                <w:color w:val="auto"/>
                <w:szCs w:val="21"/>
                <w:highlight w:val="none"/>
              </w:rPr>
              <w:t>对主要硬件设备主要技术参数、性能、品牌响应程度进行综合评审：</w:t>
            </w:r>
          </w:p>
          <w:p w14:paraId="1FE05C76">
            <w:pPr>
              <w:keepNext w:val="0"/>
              <w:keepLines w:val="0"/>
              <w:widowControl/>
              <w:suppressLineNumbers w:val="0"/>
              <w:spacing w:before="0" w:beforeAutospacing="0" w:after="0" w:afterAutospacing="0" w:line="360" w:lineRule="auto"/>
              <w:ind w:left="0" w:right="0" w:firstLine="420" w:firstLineChars="200"/>
              <w:jc w:val="left"/>
              <w:rPr>
                <w:rFonts w:hint="default" w:ascii="宋体" w:hAnsi="宋体" w:eastAsia="宋体" w:cs="宋体"/>
                <w:color w:val="auto"/>
                <w:szCs w:val="21"/>
                <w:highlight w:val="none"/>
              </w:rPr>
            </w:pPr>
            <w:r>
              <w:rPr>
                <w:rFonts w:hint="eastAsia" w:ascii="宋体" w:hAnsi="宋体" w:eastAsia="宋体" w:cs="宋体"/>
                <w:b w:val="0"/>
                <w:bCs w:val="0"/>
                <w:color w:val="auto"/>
                <w:szCs w:val="21"/>
                <w:highlight w:val="none"/>
              </w:rPr>
              <w:t>（1）</w:t>
            </w:r>
            <w:r>
              <w:rPr>
                <w:rFonts w:hint="eastAsia" w:ascii="宋体" w:hAnsi="宋体" w:eastAsia="宋体" w:cs="宋体"/>
                <w:color w:val="auto"/>
                <w:szCs w:val="21"/>
                <w:highlight w:val="none"/>
              </w:rPr>
              <w:t>主要设备完全符合推荐品牌要求，主要技术参数高于招标文件标准20%以上，具体为数据服务器、SCADA服务器、监控工作站、磁盘阵列和数据采集服务器中不少于3项货物的CPU核心数量、内存容量、硬盘容量高于招标文件标准20%以上的，得</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分；</w:t>
            </w:r>
          </w:p>
          <w:p w14:paraId="5C62C6E7">
            <w:pPr>
              <w:keepNext w:val="0"/>
              <w:keepLines w:val="0"/>
              <w:widowControl/>
              <w:suppressLineNumbers w:val="0"/>
              <w:spacing w:before="0" w:beforeAutospacing="0" w:after="0" w:afterAutospacing="0" w:line="360" w:lineRule="auto"/>
              <w:ind w:left="0" w:right="0" w:firstLine="420" w:firstLineChars="200"/>
              <w:jc w:val="left"/>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主要设备完全符合推荐品牌要求，主要技术参数高于招标文件标准15%以上，具体为数据服务器、SCADA服务器、监控工作站、磁盘阵列和数据采集服务器中不少于3项货物的CPU核心数量、内存容量、硬盘容量高于招标文件标准15%以上的，得</w:t>
            </w:r>
            <w:r>
              <w:rPr>
                <w:rFonts w:hint="eastAsia" w:ascii="宋体" w:hAnsi="宋体" w:eastAsia="宋体" w:cs="宋体"/>
                <w:b w:val="0"/>
                <w:bCs w:val="0"/>
                <w:color w:val="auto"/>
                <w:szCs w:val="21"/>
                <w:highlight w:val="none"/>
                <w:lang w:val="en-US" w:eastAsia="zh-CN"/>
              </w:rPr>
              <w:t>6</w:t>
            </w:r>
            <w:r>
              <w:rPr>
                <w:rFonts w:hint="eastAsia" w:ascii="宋体" w:hAnsi="宋体" w:eastAsia="宋体" w:cs="宋体"/>
                <w:b w:val="0"/>
                <w:bCs w:val="0"/>
                <w:color w:val="auto"/>
                <w:szCs w:val="21"/>
                <w:highlight w:val="none"/>
              </w:rPr>
              <w:t>分；</w:t>
            </w:r>
          </w:p>
          <w:p w14:paraId="47E02213">
            <w:pPr>
              <w:keepNext w:val="0"/>
              <w:keepLines w:val="0"/>
              <w:widowControl/>
              <w:suppressLineNumbers w:val="0"/>
              <w:spacing w:before="0" w:beforeAutospacing="0" w:after="0" w:afterAutospacing="0" w:line="360" w:lineRule="auto"/>
              <w:ind w:left="0" w:right="0" w:firstLine="420" w:firstLineChars="200"/>
              <w:jc w:val="left"/>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主要设备完全符合推荐品牌要求，主要技术参数高于招标文件标准10%以上，具体为数据服务器、SCADA服务器、监控工作站、磁盘阵列和数据采集服务器中不少于3项货物的CPU核心数量、内存容量、硬盘容量高于招标文件标准10%以上的，得</w:t>
            </w:r>
            <w:r>
              <w:rPr>
                <w:rFonts w:hint="eastAsia" w:ascii="宋体" w:hAnsi="宋体" w:eastAsia="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rPr>
              <w:t>分；</w:t>
            </w:r>
          </w:p>
          <w:p w14:paraId="12F5B1F0">
            <w:pPr>
              <w:keepNext w:val="0"/>
              <w:keepLines w:val="0"/>
              <w:widowControl/>
              <w:suppressLineNumbers w:val="0"/>
              <w:spacing w:before="0" w:beforeAutospacing="0" w:after="0" w:afterAutospacing="0" w:line="360" w:lineRule="auto"/>
              <w:ind w:left="0" w:right="0" w:firstLine="420" w:firstLineChars="200"/>
              <w:jc w:val="left"/>
              <w:rPr>
                <w:rFonts w:hint="default" w:ascii="宋体" w:hAnsi="宋体" w:eastAsia="宋体" w:cs="宋体"/>
                <w:color w:val="auto"/>
                <w:szCs w:val="21"/>
                <w:highlight w:val="none"/>
              </w:rPr>
            </w:pPr>
            <w:r>
              <w:rPr>
                <w:rFonts w:hint="eastAsia" w:ascii="宋体" w:hAnsi="宋体" w:eastAsia="宋体" w:cs="宋体"/>
                <w:b w:val="0"/>
                <w:bCs w:val="0"/>
                <w:color w:val="auto"/>
                <w:szCs w:val="21"/>
                <w:highlight w:val="none"/>
              </w:rPr>
              <w:t>（4）主要设备完全符合推荐品牌要求，主要技术参数高于招标文件标准5%以上，具体为数据服务器、SCADA服务器、监控工作站、磁盘阵列和数据采集服务器中不少于3项货物的CPU核心数量、内存容量、硬盘容量高于招标文件标准5%以上的，得</w:t>
            </w:r>
            <w:r>
              <w:rPr>
                <w:rFonts w:hint="eastAsia" w:ascii="宋体" w:hAnsi="宋体" w:eastAsia="宋体" w:cs="宋体"/>
                <w:b w:val="0"/>
                <w:bCs w:val="0"/>
                <w:color w:val="auto"/>
                <w:szCs w:val="21"/>
                <w:highlight w:val="none"/>
                <w:lang w:val="en-US" w:eastAsia="zh-CN"/>
              </w:rPr>
              <w:t>2</w:t>
            </w:r>
            <w:r>
              <w:rPr>
                <w:rFonts w:hint="eastAsia" w:ascii="宋体" w:hAnsi="宋体" w:eastAsia="宋体" w:cs="宋体"/>
                <w:b w:val="0"/>
                <w:bCs w:val="0"/>
                <w:color w:val="auto"/>
                <w:szCs w:val="21"/>
                <w:highlight w:val="none"/>
              </w:rPr>
              <w:t>分</w:t>
            </w:r>
            <w:r>
              <w:rPr>
                <w:rFonts w:hint="eastAsia" w:ascii="宋体" w:hAnsi="宋体" w:eastAsia="宋体" w:cs="宋体"/>
                <w:color w:val="auto"/>
                <w:szCs w:val="21"/>
                <w:highlight w:val="none"/>
              </w:rPr>
              <w:t>。</w:t>
            </w:r>
          </w:p>
          <w:p w14:paraId="60CF647E">
            <w:pPr>
              <w:keepNext w:val="0"/>
              <w:keepLines w:val="0"/>
              <w:widowControl/>
              <w:suppressLineNumbers w:val="0"/>
              <w:spacing w:before="0" w:beforeAutospacing="0" w:after="0" w:afterAutospacing="0" w:line="360" w:lineRule="auto"/>
              <w:ind w:left="0" w:right="0" w:firstLine="420" w:firstLineChars="200"/>
              <w:jc w:val="left"/>
              <w:rPr>
                <w:rFonts w:hint="default"/>
                <w:color w:val="auto"/>
                <w:highlight w:val="none"/>
              </w:rPr>
            </w:pPr>
            <w:r>
              <w:rPr>
                <w:rFonts w:hint="eastAsia" w:ascii="宋体" w:hAnsi="宋体" w:eastAsia="宋体" w:cs="宋体"/>
                <w:color w:val="auto"/>
                <w:szCs w:val="21"/>
                <w:highlight w:val="none"/>
              </w:rPr>
              <w:t>未提供对应内容不得分。</w:t>
            </w:r>
          </w:p>
          <w:p w14:paraId="77829176">
            <w:pPr>
              <w:keepNext w:val="0"/>
              <w:keepLines w:val="0"/>
              <w:widowControl/>
              <w:suppressLineNumbers w:val="0"/>
              <w:spacing w:before="0" w:beforeAutospacing="0" w:after="0" w:afterAutospacing="0" w:line="360" w:lineRule="auto"/>
              <w:ind w:left="0" w:right="0" w:firstLine="422" w:firstLineChars="200"/>
              <w:jc w:val="left"/>
              <w:rPr>
                <w:rFonts w:hint="default" w:ascii="宋体" w:hAnsi="宋体" w:cs="宋体"/>
                <w:color w:val="auto"/>
                <w:szCs w:val="21"/>
                <w:highlight w:val="none"/>
              </w:rPr>
            </w:pPr>
            <w:r>
              <w:rPr>
                <w:rFonts w:hint="eastAsia" w:ascii="宋体" w:hAnsi="宋体" w:eastAsia="宋体" w:cs="宋体"/>
                <w:b/>
                <w:bCs/>
                <w:color w:val="auto"/>
                <w:szCs w:val="21"/>
                <w:highlight w:val="none"/>
              </w:rPr>
              <w:t>备注：主要硬件设备是指：数据服务器、SCADA服务器、磁盘阵列、监控工作站、服务器交换机、中心交换机、数据采集服务器、网络安全设备（中心工业安全防火墙、厂级工业安全防火墙、数据库审计系统、工业态势感知、入侵检测系统、安全运维管理系统、日志审计与分析系统、统一安全管理平台和工控主机卫士软件）</w:t>
            </w:r>
            <w:r>
              <w:rPr>
                <w:rFonts w:hint="eastAsia"/>
                <w:b/>
                <w:bCs/>
                <w:color w:val="auto"/>
                <w:highlight w:val="none"/>
              </w:rPr>
              <w:t>。</w:t>
            </w:r>
          </w:p>
        </w:tc>
        <w:tc>
          <w:tcPr>
            <w:tcW w:w="943" w:type="dxa"/>
            <w:tcBorders>
              <w:top w:val="single" w:color="auto" w:sz="4" w:space="0"/>
              <w:left w:val="nil"/>
              <w:bottom w:val="single" w:color="auto" w:sz="4" w:space="0"/>
              <w:right w:val="single" w:color="auto" w:sz="4" w:space="0"/>
            </w:tcBorders>
            <w:shd w:val="clear" w:color="auto" w:fill="auto"/>
            <w:vAlign w:val="center"/>
          </w:tcPr>
          <w:p w14:paraId="19FD1726">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lang w:bidi="ar"/>
              </w:rPr>
            </w:pPr>
            <w:r>
              <w:rPr>
                <w:rFonts w:hint="eastAsia" w:ascii="宋体" w:hAnsi="宋体" w:eastAsia="宋体" w:cs="宋体"/>
                <w:color w:val="auto"/>
                <w:szCs w:val="21"/>
                <w:highlight w:val="none"/>
                <w:lang w:val="en-US" w:eastAsia="zh-CN" w:bidi="ar"/>
              </w:rPr>
              <w:t>8</w:t>
            </w:r>
            <w:r>
              <w:rPr>
                <w:rFonts w:hint="eastAsia" w:ascii="宋体" w:hAnsi="宋体" w:eastAsia="宋体" w:cs="宋体"/>
                <w:color w:val="auto"/>
                <w:szCs w:val="21"/>
                <w:highlight w:val="none"/>
                <w:lang w:bidi="ar"/>
              </w:rPr>
              <w:t>分</w:t>
            </w:r>
          </w:p>
        </w:tc>
      </w:tr>
      <w:tr w14:paraId="0E74E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5" w:hRule="atLeast"/>
          <w:jc w:val="center"/>
        </w:trPr>
        <w:tc>
          <w:tcPr>
            <w:tcW w:w="590" w:type="dxa"/>
            <w:tcBorders>
              <w:top w:val="single" w:color="auto" w:sz="4" w:space="0"/>
              <w:left w:val="single" w:color="auto" w:sz="4" w:space="0"/>
              <w:bottom w:val="single" w:color="auto" w:sz="4" w:space="0"/>
              <w:right w:val="single" w:color="auto" w:sz="4" w:space="0"/>
            </w:tcBorders>
            <w:shd w:val="clear" w:color="auto" w:fill="auto"/>
            <w:vAlign w:val="center"/>
          </w:tcPr>
          <w:p w14:paraId="421C7B3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lang w:eastAsia="zh-CN" w:bidi="ar"/>
              </w:rPr>
            </w:pPr>
            <w:r>
              <w:rPr>
                <w:rFonts w:hint="eastAsia" w:ascii="宋体" w:hAnsi="宋体" w:eastAsia="宋体" w:cs="宋体"/>
                <w:color w:val="auto"/>
                <w:szCs w:val="21"/>
                <w:highlight w:val="none"/>
                <w:lang w:val="en-US" w:eastAsia="zh-CN" w:bidi="ar"/>
              </w:rPr>
              <w:t>4</w:t>
            </w:r>
          </w:p>
        </w:tc>
        <w:tc>
          <w:tcPr>
            <w:tcW w:w="1223" w:type="dxa"/>
            <w:tcBorders>
              <w:top w:val="single" w:color="auto" w:sz="4" w:space="0"/>
              <w:left w:val="nil"/>
              <w:bottom w:val="single" w:color="auto" w:sz="4" w:space="0"/>
              <w:right w:val="single" w:color="auto" w:sz="4" w:space="0"/>
            </w:tcBorders>
            <w:shd w:val="clear" w:color="auto" w:fill="auto"/>
            <w:vAlign w:val="center"/>
          </w:tcPr>
          <w:p w14:paraId="677A2FE3">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lang w:bidi="ar"/>
              </w:rPr>
            </w:pPr>
            <w:r>
              <w:rPr>
                <w:rFonts w:hint="eastAsia" w:ascii="宋体" w:hAnsi="宋体" w:eastAsia="宋体" w:cs="宋体"/>
                <w:color w:val="auto"/>
                <w:szCs w:val="21"/>
                <w:highlight w:val="none"/>
                <w:lang w:bidi="ar"/>
              </w:rPr>
              <w:t>软件质量水平</w:t>
            </w:r>
          </w:p>
        </w:tc>
        <w:tc>
          <w:tcPr>
            <w:tcW w:w="7210" w:type="dxa"/>
            <w:tcBorders>
              <w:top w:val="single" w:color="auto" w:sz="4" w:space="0"/>
              <w:left w:val="nil"/>
              <w:bottom w:val="single" w:color="auto" w:sz="4" w:space="0"/>
              <w:right w:val="single" w:color="auto" w:sz="4" w:space="0"/>
            </w:tcBorders>
            <w:shd w:val="clear" w:color="auto" w:fill="auto"/>
            <w:vAlign w:val="center"/>
          </w:tcPr>
          <w:p w14:paraId="4DD6DE76">
            <w:pPr>
              <w:keepNext w:val="0"/>
              <w:keepLines w:val="0"/>
              <w:widowControl/>
              <w:suppressLineNumbers w:val="0"/>
              <w:spacing w:before="0" w:beforeAutospacing="0" w:after="0" w:afterAutospacing="0" w:line="360" w:lineRule="auto"/>
              <w:ind w:left="0" w:right="0" w:firstLine="420" w:firstLineChars="200"/>
              <w:jc w:val="left"/>
              <w:rPr>
                <w:rFonts w:hint="default" w:ascii="宋体" w:hAnsi="宋体" w:eastAsia="宋体" w:cs="宋体"/>
                <w:color w:val="auto"/>
                <w:szCs w:val="21"/>
                <w:highlight w:val="none"/>
              </w:rPr>
            </w:pPr>
            <w:r>
              <w:rPr>
                <w:rFonts w:hint="eastAsia" w:ascii="宋体" w:hAnsi="宋体" w:eastAsia="宋体" w:cs="宋体"/>
                <w:color w:val="auto"/>
                <w:szCs w:val="21"/>
                <w:highlight w:val="none"/>
              </w:rPr>
              <w:t>对主要软件的主要技术参数、性能、品牌响应程度进行综合评审：</w:t>
            </w:r>
          </w:p>
          <w:p w14:paraId="4F29AAC7">
            <w:pPr>
              <w:keepNext w:val="0"/>
              <w:keepLines w:val="0"/>
              <w:widowControl/>
              <w:suppressLineNumbers w:val="0"/>
              <w:spacing w:before="0" w:beforeAutospacing="0" w:after="0" w:afterAutospacing="0" w:line="360" w:lineRule="auto"/>
              <w:ind w:left="0" w:right="0" w:firstLine="420" w:firstLineChars="200"/>
              <w:jc w:val="left"/>
              <w:rPr>
                <w:rFonts w:hint="default" w:ascii="宋体" w:hAnsi="宋体" w:eastAsia="宋体" w:cs="宋体"/>
                <w:color w:val="auto"/>
                <w:szCs w:val="21"/>
                <w:highlight w:val="none"/>
              </w:rPr>
            </w:pPr>
            <w:r>
              <w:rPr>
                <w:rFonts w:hint="eastAsia" w:ascii="宋体" w:hAnsi="宋体" w:eastAsia="宋体" w:cs="宋体"/>
                <w:b w:val="0"/>
                <w:bCs w:val="0"/>
                <w:color w:val="auto"/>
                <w:szCs w:val="21"/>
                <w:highlight w:val="none"/>
              </w:rPr>
              <w:t>（1）主要软件完全符合推荐品牌要求，满足行业相关认证，主要技术参数优于招标文件标准，所投软件点位数量高于招标文件标准20%以上</w:t>
            </w:r>
            <w:r>
              <w:rPr>
                <w:rFonts w:hint="eastAsia" w:ascii="宋体" w:hAnsi="宋体" w:eastAsia="宋体" w:cs="宋体"/>
                <w:color w:val="auto"/>
                <w:szCs w:val="21"/>
                <w:highlight w:val="none"/>
              </w:rPr>
              <w:t>，并且在C/S软件架构基础上另外供货B/S软件服务的，得</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分；</w:t>
            </w:r>
          </w:p>
          <w:p w14:paraId="68A5F8D9">
            <w:pPr>
              <w:keepNext w:val="0"/>
              <w:keepLines w:val="0"/>
              <w:widowControl/>
              <w:suppressLineNumbers w:val="0"/>
              <w:spacing w:before="0" w:beforeAutospacing="0" w:after="0" w:afterAutospacing="0" w:line="360" w:lineRule="auto"/>
              <w:ind w:left="0" w:right="0" w:firstLine="420" w:firstLineChars="200"/>
              <w:jc w:val="left"/>
              <w:rPr>
                <w:rFonts w:hint="default" w:ascii="宋体" w:hAnsi="宋体" w:eastAsia="宋体" w:cs="宋体"/>
                <w:color w:val="auto"/>
                <w:szCs w:val="21"/>
                <w:highlight w:val="none"/>
              </w:rPr>
            </w:pPr>
            <w:r>
              <w:rPr>
                <w:rFonts w:hint="eastAsia" w:ascii="宋体" w:hAnsi="宋体" w:eastAsia="宋体" w:cs="宋体"/>
                <w:b w:val="0"/>
                <w:bCs w:val="0"/>
                <w:color w:val="auto"/>
                <w:szCs w:val="21"/>
                <w:highlight w:val="none"/>
              </w:rPr>
              <w:t>（2）主要软件完全符合推荐品牌要求，满足行业相关认证，主要技术参数优于招标文件标准，所投软件点位数量高于招标文件标准20%以上</w:t>
            </w:r>
            <w:r>
              <w:rPr>
                <w:rFonts w:hint="eastAsia" w:ascii="宋体" w:hAnsi="宋体" w:eastAsia="宋体" w:cs="宋体"/>
                <w:b w:val="0"/>
                <w:bCs w:val="0"/>
                <w:color w:val="auto"/>
                <w:szCs w:val="21"/>
                <w:highlight w:val="none"/>
                <w:lang w:val="en-US" w:eastAsia="zh-CN"/>
              </w:rPr>
              <w:t>的</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p>
          <w:p w14:paraId="5EB017D9">
            <w:pPr>
              <w:keepNext w:val="0"/>
              <w:keepLines w:val="0"/>
              <w:widowControl/>
              <w:suppressLineNumbers w:val="0"/>
              <w:spacing w:before="0" w:beforeAutospacing="0" w:after="0" w:afterAutospacing="0" w:line="360" w:lineRule="auto"/>
              <w:ind w:left="0" w:right="0" w:firstLine="420" w:firstLineChars="200"/>
              <w:jc w:val="left"/>
              <w:rPr>
                <w:rFonts w:hint="default" w:ascii="宋体" w:hAnsi="宋体" w:eastAsia="宋体" w:cs="宋体"/>
                <w:color w:val="auto"/>
                <w:szCs w:val="21"/>
                <w:highlight w:val="none"/>
              </w:rPr>
            </w:pPr>
            <w:r>
              <w:rPr>
                <w:rFonts w:hint="eastAsia" w:ascii="宋体" w:hAnsi="宋体" w:eastAsia="宋体" w:cs="宋体"/>
                <w:color w:val="auto"/>
                <w:szCs w:val="21"/>
                <w:highlight w:val="none"/>
              </w:rPr>
              <w:t>未提供对应内容不得分。</w:t>
            </w:r>
          </w:p>
          <w:p w14:paraId="4E04978E">
            <w:pPr>
              <w:keepNext w:val="0"/>
              <w:keepLines w:val="0"/>
              <w:widowControl/>
              <w:suppressLineNumbers w:val="0"/>
              <w:spacing w:before="0" w:beforeAutospacing="0" w:after="0" w:afterAutospacing="0" w:line="360" w:lineRule="auto"/>
              <w:ind w:left="0" w:right="0" w:firstLine="422" w:firstLineChars="200"/>
              <w:jc w:val="left"/>
              <w:rPr>
                <w:rFonts w:hint="default" w:ascii="宋体" w:hAnsi="宋体" w:eastAsia="宋体" w:cs="宋体"/>
                <w:b/>
                <w:bCs/>
                <w:color w:val="auto"/>
                <w:szCs w:val="21"/>
                <w:highlight w:val="none"/>
              </w:rPr>
            </w:pPr>
            <w:r>
              <w:rPr>
                <w:rFonts w:hint="eastAsia" w:ascii="宋体" w:hAnsi="宋体" w:eastAsia="宋体" w:cs="宋体"/>
                <w:b/>
                <w:bCs/>
                <w:color w:val="auto"/>
                <w:szCs w:val="21"/>
                <w:highlight w:val="none"/>
              </w:rPr>
              <w:t>备注：主要软件是指：SCADA组态开发软件、SCADA组态运行软件、数据采集软件（1万点、2万点、3万点和6万点）。</w:t>
            </w:r>
          </w:p>
        </w:tc>
        <w:tc>
          <w:tcPr>
            <w:tcW w:w="943" w:type="dxa"/>
            <w:tcBorders>
              <w:top w:val="single" w:color="auto" w:sz="4" w:space="0"/>
              <w:left w:val="nil"/>
              <w:bottom w:val="single" w:color="auto" w:sz="4" w:space="0"/>
              <w:right w:val="single" w:color="auto" w:sz="4" w:space="0"/>
            </w:tcBorders>
            <w:shd w:val="clear" w:color="auto" w:fill="auto"/>
            <w:vAlign w:val="center"/>
          </w:tcPr>
          <w:p w14:paraId="55D40A87">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lang w:bidi="ar"/>
              </w:rPr>
            </w:pPr>
            <w:r>
              <w:rPr>
                <w:rFonts w:hint="eastAsia" w:ascii="宋体" w:hAnsi="宋体" w:eastAsia="宋体" w:cs="宋体"/>
                <w:color w:val="auto"/>
                <w:szCs w:val="21"/>
                <w:highlight w:val="none"/>
                <w:lang w:val="en-US" w:eastAsia="zh-CN" w:bidi="ar"/>
              </w:rPr>
              <w:t>6</w:t>
            </w:r>
            <w:r>
              <w:rPr>
                <w:rFonts w:hint="eastAsia" w:ascii="宋体" w:hAnsi="宋体" w:eastAsia="宋体" w:cs="宋体"/>
                <w:color w:val="auto"/>
                <w:szCs w:val="21"/>
                <w:highlight w:val="none"/>
                <w:lang w:bidi="ar"/>
              </w:rPr>
              <w:t>分</w:t>
            </w:r>
          </w:p>
        </w:tc>
      </w:tr>
      <w:tr w14:paraId="4ADFA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4" w:hRule="atLeast"/>
          <w:jc w:val="center"/>
        </w:trPr>
        <w:tc>
          <w:tcPr>
            <w:tcW w:w="590" w:type="dxa"/>
            <w:tcBorders>
              <w:top w:val="single" w:color="auto" w:sz="4" w:space="0"/>
              <w:left w:val="single" w:color="auto" w:sz="4" w:space="0"/>
              <w:bottom w:val="single" w:color="auto" w:sz="4" w:space="0"/>
              <w:right w:val="single" w:color="auto" w:sz="4" w:space="0"/>
            </w:tcBorders>
            <w:shd w:val="clear" w:color="auto" w:fill="auto"/>
            <w:vAlign w:val="center"/>
          </w:tcPr>
          <w:p w14:paraId="77B6B68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lang w:eastAsia="zh-CN" w:bidi="ar"/>
              </w:rPr>
            </w:pPr>
            <w:r>
              <w:rPr>
                <w:rFonts w:hint="eastAsia" w:ascii="宋体" w:hAnsi="宋体" w:eastAsia="宋体" w:cs="宋体"/>
                <w:color w:val="auto"/>
                <w:szCs w:val="21"/>
                <w:highlight w:val="none"/>
                <w:lang w:val="en-US" w:eastAsia="zh-CN" w:bidi="ar"/>
              </w:rPr>
              <w:t>5</w:t>
            </w:r>
          </w:p>
        </w:tc>
        <w:tc>
          <w:tcPr>
            <w:tcW w:w="1223" w:type="dxa"/>
            <w:tcBorders>
              <w:top w:val="single" w:color="auto" w:sz="4" w:space="0"/>
              <w:left w:val="nil"/>
              <w:bottom w:val="single" w:color="auto" w:sz="4" w:space="0"/>
              <w:right w:val="single" w:color="auto" w:sz="4" w:space="0"/>
            </w:tcBorders>
            <w:shd w:val="clear" w:color="auto" w:fill="auto"/>
            <w:vAlign w:val="center"/>
          </w:tcPr>
          <w:p w14:paraId="522B08AD">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lang w:bidi="ar"/>
              </w:rPr>
            </w:pPr>
            <w:r>
              <w:rPr>
                <w:rFonts w:hint="eastAsia" w:ascii="宋体" w:hAnsi="宋体" w:eastAsia="宋体" w:cs="宋体"/>
                <w:color w:val="auto"/>
                <w:szCs w:val="21"/>
                <w:highlight w:val="none"/>
                <w:lang w:bidi="ar"/>
              </w:rPr>
              <w:t>进度保证</w:t>
            </w:r>
          </w:p>
        </w:tc>
        <w:tc>
          <w:tcPr>
            <w:tcW w:w="7210" w:type="dxa"/>
            <w:tcBorders>
              <w:top w:val="single" w:color="auto" w:sz="4" w:space="0"/>
              <w:left w:val="nil"/>
              <w:bottom w:val="single" w:color="auto" w:sz="4" w:space="0"/>
              <w:right w:val="single" w:color="auto" w:sz="4" w:space="0"/>
            </w:tcBorders>
            <w:shd w:val="clear" w:color="auto" w:fill="auto"/>
            <w:vAlign w:val="center"/>
          </w:tcPr>
          <w:p w14:paraId="021071E3">
            <w:pPr>
              <w:keepNext w:val="0"/>
              <w:keepLines w:val="0"/>
              <w:widowControl/>
              <w:suppressLineNumbers w:val="0"/>
              <w:spacing w:before="0" w:beforeAutospacing="0" w:after="0" w:afterAutospacing="0" w:line="360" w:lineRule="auto"/>
              <w:ind w:left="0" w:right="0"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根据投标人承诺在交接验收合格后完成全部设备的安装且经招标人初步验收合格的时间进行评审：</w:t>
            </w:r>
          </w:p>
          <w:p w14:paraId="58274835">
            <w:pPr>
              <w:keepNext w:val="0"/>
              <w:keepLines w:val="0"/>
              <w:widowControl/>
              <w:suppressLineNumbers w:val="0"/>
              <w:spacing w:before="0" w:beforeAutospacing="0" w:after="0" w:afterAutospacing="0" w:line="360" w:lineRule="auto"/>
              <w:ind w:left="0" w:right="0"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①投标人承诺在交接验收合格后完成全部设备的安装且经招标人初步验收合格的时间≤210日的，得4分；</w:t>
            </w:r>
          </w:p>
          <w:p w14:paraId="5A79C9DD">
            <w:pPr>
              <w:keepNext w:val="0"/>
              <w:keepLines w:val="0"/>
              <w:widowControl/>
              <w:suppressLineNumbers w:val="0"/>
              <w:spacing w:before="0" w:beforeAutospacing="0" w:after="0" w:afterAutospacing="0" w:line="360" w:lineRule="auto"/>
              <w:ind w:left="0" w:right="0"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②210日＜投标人承诺在交接验收合格后完成全部设备的安装且经招标人初步验收合格的时间≤240日的，得2分。</w:t>
            </w:r>
          </w:p>
          <w:p w14:paraId="24643E17">
            <w:pPr>
              <w:keepNext w:val="0"/>
              <w:keepLines w:val="0"/>
              <w:widowControl/>
              <w:suppressLineNumbers w:val="0"/>
              <w:spacing w:before="0" w:beforeAutospacing="0" w:after="0" w:afterAutospacing="0" w:line="360" w:lineRule="auto"/>
              <w:ind w:left="0" w:right="0" w:firstLine="422" w:firstLineChars="200"/>
              <w:jc w:val="left"/>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备注：根据《验收时间承诺》进行评审。</w:t>
            </w:r>
          </w:p>
        </w:tc>
        <w:tc>
          <w:tcPr>
            <w:tcW w:w="943" w:type="dxa"/>
            <w:tcBorders>
              <w:top w:val="single" w:color="auto" w:sz="4" w:space="0"/>
              <w:left w:val="nil"/>
              <w:bottom w:val="single" w:color="auto" w:sz="4" w:space="0"/>
              <w:right w:val="single" w:color="auto" w:sz="4" w:space="0"/>
            </w:tcBorders>
            <w:shd w:val="clear" w:color="auto" w:fill="auto"/>
            <w:vAlign w:val="center"/>
          </w:tcPr>
          <w:p w14:paraId="2C8ECFAA">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lang w:bidi="ar"/>
              </w:rPr>
            </w:pPr>
            <w:r>
              <w:rPr>
                <w:rFonts w:hint="eastAsia" w:ascii="宋体" w:hAnsi="宋体" w:eastAsia="宋体" w:cs="宋体"/>
                <w:color w:val="auto"/>
                <w:szCs w:val="21"/>
                <w:highlight w:val="none"/>
                <w:lang w:val="en-US" w:eastAsia="zh-CN" w:bidi="ar"/>
              </w:rPr>
              <w:t>4</w:t>
            </w:r>
            <w:r>
              <w:rPr>
                <w:rFonts w:hint="eastAsia" w:ascii="宋体" w:hAnsi="宋体" w:eastAsia="宋体" w:cs="宋体"/>
                <w:color w:val="auto"/>
                <w:szCs w:val="21"/>
                <w:highlight w:val="none"/>
                <w:lang w:bidi="ar"/>
              </w:rPr>
              <w:t>分</w:t>
            </w:r>
          </w:p>
        </w:tc>
      </w:tr>
      <w:tr w14:paraId="075F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dxa"/>
            <w:tcBorders>
              <w:top w:val="single" w:color="auto" w:sz="4" w:space="0"/>
              <w:left w:val="single" w:color="auto" w:sz="4" w:space="0"/>
              <w:bottom w:val="single" w:color="auto" w:sz="4" w:space="0"/>
              <w:right w:val="single" w:color="auto" w:sz="4" w:space="0"/>
            </w:tcBorders>
            <w:shd w:val="clear" w:color="auto" w:fill="auto"/>
            <w:vAlign w:val="center"/>
          </w:tcPr>
          <w:p w14:paraId="23D9EAF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bidi="ar"/>
              </w:rPr>
              <w:t>6</w:t>
            </w:r>
          </w:p>
        </w:tc>
        <w:tc>
          <w:tcPr>
            <w:tcW w:w="1223" w:type="dxa"/>
            <w:tcBorders>
              <w:top w:val="single" w:color="auto" w:sz="4" w:space="0"/>
              <w:left w:val="nil"/>
              <w:bottom w:val="single" w:color="auto" w:sz="4" w:space="0"/>
              <w:right w:val="single" w:color="auto" w:sz="4" w:space="0"/>
            </w:tcBorders>
            <w:shd w:val="clear" w:color="auto" w:fill="auto"/>
            <w:vAlign w:val="center"/>
          </w:tcPr>
          <w:p w14:paraId="50793E9F">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bidi="ar"/>
              </w:rPr>
              <w:t>售后服务保障</w:t>
            </w:r>
          </w:p>
        </w:tc>
        <w:tc>
          <w:tcPr>
            <w:tcW w:w="7210" w:type="dxa"/>
            <w:tcBorders>
              <w:top w:val="single" w:color="auto" w:sz="4" w:space="0"/>
              <w:left w:val="nil"/>
              <w:bottom w:val="single" w:color="auto" w:sz="4" w:space="0"/>
              <w:right w:val="single" w:color="auto" w:sz="4" w:space="0"/>
            </w:tcBorders>
            <w:shd w:val="clear" w:color="auto" w:fill="auto"/>
            <w:vAlign w:val="center"/>
          </w:tcPr>
          <w:p w14:paraId="1C78A516">
            <w:pPr>
              <w:keepNext w:val="0"/>
              <w:keepLines w:val="0"/>
              <w:widowControl/>
              <w:suppressLineNumbers w:val="0"/>
              <w:spacing w:before="0" w:beforeAutospacing="0" w:after="0" w:afterAutospacing="0" w:line="360" w:lineRule="auto"/>
              <w:ind w:left="0" w:right="0" w:firstLine="420" w:firstLineChars="200"/>
              <w:jc w:val="left"/>
              <w:rPr>
                <w:rFonts w:hint="eastAsia" w:ascii="宋体" w:hAnsi="宋体" w:eastAsia="宋体" w:cs="宋体"/>
                <w:color w:val="auto"/>
                <w:szCs w:val="21"/>
                <w:highlight w:val="none"/>
                <w:lang w:val="en-US" w:eastAsia="zh-CN" w:bidi="ar"/>
              </w:rPr>
            </w:pPr>
            <w:r>
              <w:rPr>
                <w:rFonts w:hint="eastAsia" w:ascii="宋体" w:hAnsi="宋体" w:eastAsia="宋体" w:cs="宋体"/>
                <w:color w:val="auto"/>
                <w:szCs w:val="21"/>
                <w:highlight w:val="none"/>
                <w:lang w:val="en-US" w:eastAsia="zh-CN" w:bidi="ar"/>
              </w:rPr>
              <w:t>在满足用户需求书至少提供24个月设备、软件、系统质保期的基础上，根据投标人承诺增加设备、软件、系统的质保期进行评审：</w:t>
            </w:r>
          </w:p>
          <w:p w14:paraId="7391A500">
            <w:pPr>
              <w:keepNext w:val="0"/>
              <w:keepLines w:val="0"/>
              <w:widowControl/>
              <w:suppressLineNumbers w:val="0"/>
              <w:spacing w:before="0" w:beforeAutospacing="0" w:after="0" w:afterAutospacing="0" w:line="360" w:lineRule="auto"/>
              <w:ind w:left="0" w:right="0" w:firstLine="420" w:firstLineChars="200"/>
              <w:jc w:val="left"/>
              <w:rPr>
                <w:rFonts w:hint="eastAsia" w:ascii="宋体" w:hAnsi="宋体" w:eastAsia="宋体" w:cs="宋体"/>
                <w:color w:val="auto"/>
                <w:szCs w:val="21"/>
                <w:highlight w:val="none"/>
                <w:lang w:val="en-US" w:eastAsia="zh-CN" w:bidi="ar"/>
              </w:rPr>
            </w:pPr>
            <w:r>
              <w:rPr>
                <w:rFonts w:hint="eastAsia" w:ascii="宋体" w:hAnsi="宋体" w:eastAsia="宋体" w:cs="宋体"/>
                <w:color w:val="auto"/>
                <w:szCs w:val="21"/>
                <w:highlight w:val="none"/>
                <w:lang w:val="en-US" w:eastAsia="zh-CN" w:bidi="ar"/>
              </w:rPr>
              <w:t>①自愿承诺免费增加的质保期≥36个月，得6分；</w:t>
            </w:r>
          </w:p>
          <w:p w14:paraId="0BD7D69E">
            <w:pPr>
              <w:keepNext w:val="0"/>
              <w:keepLines w:val="0"/>
              <w:widowControl/>
              <w:suppressLineNumbers w:val="0"/>
              <w:spacing w:before="0" w:beforeAutospacing="0" w:after="0" w:afterAutospacing="0" w:line="360" w:lineRule="auto"/>
              <w:ind w:left="0" w:right="0" w:firstLine="420" w:firstLineChars="200"/>
              <w:jc w:val="left"/>
              <w:rPr>
                <w:rFonts w:hint="eastAsia" w:ascii="宋体" w:hAnsi="宋体" w:eastAsia="宋体" w:cs="宋体"/>
                <w:color w:val="auto"/>
                <w:szCs w:val="21"/>
                <w:highlight w:val="none"/>
                <w:lang w:val="en-US" w:eastAsia="zh-CN" w:bidi="ar"/>
              </w:rPr>
            </w:pPr>
            <w:r>
              <w:rPr>
                <w:rFonts w:hint="eastAsia" w:ascii="宋体" w:hAnsi="宋体" w:eastAsia="宋体" w:cs="宋体"/>
                <w:color w:val="auto"/>
                <w:szCs w:val="21"/>
                <w:highlight w:val="none"/>
                <w:lang w:val="en-US" w:eastAsia="zh-CN" w:bidi="ar"/>
              </w:rPr>
              <w:t>②24个月≤自愿承诺免费增加的质保期＜36个月，得4分；</w:t>
            </w:r>
          </w:p>
          <w:p w14:paraId="4ECF0567">
            <w:pPr>
              <w:keepNext w:val="0"/>
              <w:keepLines w:val="0"/>
              <w:widowControl/>
              <w:suppressLineNumbers w:val="0"/>
              <w:spacing w:before="0" w:beforeAutospacing="0" w:after="0" w:afterAutospacing="0" w:line="360" w:lineRule="auto"/>
              <w:ind w:left="0" w:right="0" w:firstLine="420" w:firstLineChars="200"/>
              <w:jc w:val="left"/>
              <w:rPr>
                <w:rFonts w:hint="eastAsia" w:ascii="宋体" w:hAnsi="宋体" w:eastAsia="宋体" w:cs="宋体"/>
                <w:color w:val="auto"/>
                <w:szCs w:val="21"/>
                <w:highlight w:val="none"/>
                <w:lang w:val="en-US" w:eastAsia="zh-CN" w:bidi="ar"/>
              </w:rPr>
            </w:pPr>
            <w:r>
              <w:rPr>
                <w:rFonts w:hint="eastAsia" w:ascii="宋体" w:hAnsi="宋体" w:eastAsia="宋体" w:cs="宋体"/>
                <w:color w:val="auto"/>
                <w:szCs w:val="21"/>
                <w:highlight w:val="none"/>
                <w:lang w:val="en-US" w:eastAsia="zh-CN" w:bidi="ar"/>
              </w:rPr>
              <w:t>③12个月≤自愿承诺免费增加的质保期＜24个月，得2分。</w:t>
            </w:r>
          </w:p>
          <w:p w14:paraId="6F609170">
            <w:pPr>
              <w:keepNext w:val="0"/>
              <w:keepLines w:val="0"/>
              <w:widowControl/>
              <w:suppressLineNumbers w:val="0"/>
              <w:spacing w:before="0" w:beforeAutospacing="0" w:after="0" w:afterAutospacing="0" w:line="360" w:lineRule="auto"/>
              <w:ind w:left="0" w:right="0" w:firstLine="422" w:firstLineChars="200"/>
              <w:jc w:val="left"/>
              <w:rPr>
                <w:rFonts w:hint="eastAsia" w:ascii="宋体" w:hAnsi="宋体" w:eastAsia="宋体" w:cs="宋体"/>
                <w:b/>
                <w:bCs/>
                <w:color w:val="auto"/>
                <w:szCs w:val="21"/>
                <w:highlight w:val="none"/>
                <w:lang w:val="en-US" w:eastAsia="zh-CN" w:bidi="ar"/>
              </w:rPr>
            </w:pPr>
            <w:r>
              <w:rPr>
                <w:rFonts w:hint="eastAsia" w:ascii="宋体" w:hAnsi="宋体" w:eastAsia="宋体" w:cs="宋体"/>
                <w:b/>
                <w:bCs/>
                <w:color w:val="auto"/>
                <w:szCs w:val="21"/>
                <w:highlight w:val="none"/>
                <w:lang w:val="en-US" w:eastAsia="zh-CN" w:bidi="ar"/>
              </w:rPr>
              <w:t>备注：</w:t>
            </w:r>
          </w:p>
          <w:p w14:paraId="4E9E3B7F">
            <w:pPr>
              <w:keepNext w:val="0"/>
              <w:keepLines w:val="0"/>
              <w:widowControl/>
              <w:suppressLineNumbers w:val="0"/>
              <w:spacing w:before="0" w:beforeAutospacing="0" w:after="0" w:afterAutospacing="0" w:line="360" w:lineRule="auto"/>
              <w:ind w:left="0" w:right="0" w:firstLine="422" w:firstLineChars="200"/>
              <w:jc w:val="left"/>
              <w:rPr>
                <w:rFonts w:hint="eastAsia" w:ascii="宋体" w:hAnsi="宋体" w:eastAsia="宋体" w:cs="宋体"/>
                <w:b/>
                <w:bCs/>
                <w:color w:val="auto"/>
                <w:szCs w:val="21"/>
                <w:highlight w:val="none"/>
                <w:lang w:val="en-US" w:eastAsia="zh-CN" w:bidi="ar"/>
              </w:rPr>
            </w:pPr>
            <w:r>
              <w:rPr>
                <w:rFonts w:hint="eastAsia" w:ascii="宋体" w:hAnsi="宋体" w:eastAsia="宋体" w:cs="宋体"/>
                <w:b/>
                <w:bCs/>
                <w:color w:val="auto"/>
                <w:szCs w:val="21"/>
                <w:highlight w:val="none"/>
                <w:lang w:val="en-US" w:eastAsia="zh-CN" w:bidi="ar"/>
              </w:rPr>
              <w:t>1）根据《设备、软件、系统质保期承诺》进行评审。</w:t>
            </w:r>
          </w:p>
          <w:p w14:paraId="69CCBFC1">
            <w:pPr>
              <w:keepNext w:val="0"/>
              <w:keepLines w:val="0"/>
              <w:widowControl/>
              <w:suppressLineNumbers w:val="0"/>
              <w:spacing w:before="0" w:beforeAutospacing="0" w:after="0" w:afterAutospacing="0" w:line="360" w:lineRule="auto"/>
              <w:ind w:left="0" w:right="0" w:firstLine="422" w:firstLineChars="200"/>
              <w:jc w:val="left"/>
              <w:rPr>
                <w:rFonts w:hint="default" w:ascii="宋体" w:hAnsi="宋体" w:eastAsia="宋体" w:cs="宋体"/>
                <w:color w:val="auto"/>
                <w:szCs w:val="21"/>
                <w:highlight w:val="none"/>
              </w:rPr>
            </w:pPr>
            <w:r>
              <w:rPr>
                <w:rFonts w:hint="eastAsia" w:ascii="宋体" w:hAnsi="宋体" w:eastAsia="宋体" w:cs="宋体"/>
                <w:b/>
                <w:bCs/>
                <w:color w:val="auto"/>
                <w:szCs w:val="21"/>
                <w:highlight w:val="none"/>
                <w:lang w:val="en-US" w:eastAsia="zh-CN" w:bidi="ar"/>
              </w:rPr>
              <w:t>2）本项按最高得分计算一次，不重复得分。</w:t>
            </w:r>
          </w:p>
        </w:tc>
        <w:tc>
          <w:tcPr>
            <w:tcW w:w="943" w:type="dxa"/>
            <w:tcBorders>
              <w:top w:val="single" w:color="auto" w:sz="4" w:space="0"/>
              <w:left w:val="nil"/>
              <w:bottom w:val="single" w:color="auto" w:sz="4" w:space="0"/>
              <w:right w:val="single" w:color="auto" w:sz="4" w:space="0"/>
            </w:tcBorders>
            <w:shd w:val="clear" w:color="auto" w:fill="auto"/>
            <w:vAlign w:val="center"/>
          </w:tcPr>
          <w:p w14:paraId="27E042FF">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lang w:val="en-US" w:eastAsia="zh-CN" w:bidi="ar"/>
              </w:rPr>
              <w:t>6</w:t>
            </w:r>
            <w:r>
              <w:rPr>
                <w:rFonts w:hint="eastAsia" w:ascii="宋体" w:hAnsi="宋体" w:eastAsia="宋体" w:cs="宋体"/>
                <w:color w:val="auto"/>
                <w:szCs w:val="21"/>
                <w:highlight w:val="none"/>
                <w:lang w:bidi="ar"/>
              </w:rPr>
              <w:t>分</w:t>
            </w:r>
          </w:p>
        </w:tc>
      </w:tr>
    </w:tbl>
    <w:p w14:paraId="1184DC45">
      <w:pPr>
        <w:widowControl/>
        <w:jc w:val="left"/>
        <w:rPr>
          <w:rFonts w:ascii="宋体" w:hAnsi="宋体" w:eastAsia="宋体" w:cs="宋体"/>
          <w:color w:val="auto"/>
          <w:szCs w:val="24"/>
          <w:highlight w:val="none"/>
          <w:lang w:val="zh-CN"/>
        </w:rPr>
      </w:pPr>
    </w:p>
    <w:p w14:paraId="0FE93BB4">
      <w:pPr>
        <w:autoSpaceDE w:val="0"/>
        <w:autoSpaceDN w:val="0"/>
        <w:adjustRightInd w:val="0"/>
        <w:spacing w:line="360" w:lineRule="auto"/>
        <w:ind w:firstLine="420" w:firstLineChars="20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备注：</w:t>
      </w:r>
    </w:p>
    <w:p w14:paraId="4AC6C034">
      <w:pPr>
        <w:autoSpaceDE w:val="0"/>
        <w:autoSpaceDN w:val="0"/>
        <w:adjustRightInd w:val="0"/>
        <w:spacing w:line="360" w:lineRule="auto"/>
        <w:ind w:firstLine="420" w:firstLineChars="20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①表中“[”代表闭区间，“]”代表闭区间，如[0，1]代表该分数段范围为大于等于0且小于等于1。表中“（”代表开区间，“]”代表闭区间，如（1，2]代表该分数段范围为大于1且小于等于2。</w:t>
      </w:r>
    </w:p>
    <w:p w14:paraId="3087939A">
      <w:pPr>
        <w:autoSpaceDE w:val="0"/>
        <w:autoSpaceDN w:val="0"/>
        <w:adjustRightInd w:val="0"/>
        <w:spacing w:line="360" w:lineRule="auto"/>
        <w:ind w:firstLine="420" w:firstLineChars="20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②分数出现小数点，保留小数点后2位，从小数点后第3位四舍五入。</w:t>
      </w:r>
    </w:p>
    <w:p w14:paraId="54CD6097">
      <w:pPr>
        <w:autoSpaceDE w:val="0"/>
        <w:autoSpaceDN w:val="0"/>
        <w:adjustRightInd w:val="0"/>
        <w:spacing w:line="360" w:lineRule="auto"/>
        <w:ind w:firstLine="422" w:firstLineChars="200"/>
        <w:rPr>
          <w:rFonts w:ascii="宋体" w:hAnsi="宋体" w:eastAsia="宋体" w:cs="宋体"/>
          <w:b/>
          <w:color w:val="auto"/>
          <w:szCs w:val="24"/>
          <w:highlight w:val="none"/>
          <w:lang w:val="zh-CN"/>
        </w:rPr>
      </w:pPr>
      <w:r>
        <w:rPr>
          <w:rFonts w:hint="eastAsia" w:ascii="宋体" w:hAnsi="宋体" w:eastAsia="宋体" w:cs="宋体"/>
          <w:b/>
          <w:color w:val="auto"/>
          <w:szCs w:val="21"/>
          <w:highlight w:val="none"/>
          <w:lang w:val="zh-CN"/>
        </w:rPr>
        <w:t>③上述“评分项目”中按</w:t>
      </w:r>
      <w:r>
        <w:rPr>
          <w:rFonts w:hint="eastAsia" w:ascii="宋体" w:hAnsi="宋体" w:eastAsia="宋体" w:cs="宋体"/>
          <w:b/>
          <w:color w:val="auto"/>
          <w:szCs w:val="24"/>
          <w:highlight w:val="none"/>
          <w:lang w:val="zh-CN"/>
        </w:rPr>
        <w:t>“优、中、差”评审的，若低于该项满分分值60%时，评标专家需详细填写该项低分的充分理由，例如：该项目内容存在违反国家有关标准和规范或与项目实际不符等原则性问题。</w:t>
      </w:r>
    </w:p>
    <w:p w14:paraId="4B7175ED">
      <w:pPr>
        <w:autoSpaceDE w:val="0"/>
        <w:autoSpaceDN w:val="0"/>
        <w:adjustRightInd w:val="0"/>
        <w:spacing w:line="360" w:lineRule="auto"/>
        <w:ind w:firstLine="422" w:firstLineChars="200"/>
        <w:rPr>
          <w:rFonts w:ascii="宋体" w:hAnsi="宋体" w:eastAsia="宋体" w:cs="宋体"/>
          <w:color w:val="auto"/>
          <w:kern w:val="0"/>
          <w:szCs w:val="21"/>
          <w:highlight w:val="none"/>
        </w:rPr>
      </w:pPr>
      <w:r>
        <w:rPr>
          <w:rFonts w:hint="eastAsia" w:ascii="宋体" w:hAnsi="宋体" w:eastAsia="宋体" w:cs="宋体"/>
          <w:b/>
          <w:color w:val="auto"/>
          <w:szCs w:val="24"/>
          <w:highlight w:val="none"/>
        </w:rPr>
        <w:t>④</w:t>
      </w:r>
      <w:r>
        <w:rPr>
          <w:rFonts w:hint="eastAsia" w:ascii="宋体" w:hAnsi="宋体" w:eastAsia="宋体" w:cs="宋体"/>
          <w:b/>
          <w:color w:val="auto"/>
          <w:kern w:val="0"/>
          <w:szCs w:val="21"/>
          <w:highlight w:val="none"/>
          <w:lang w:val="zh-CN"/>
        </w:rPr>
        <w:t>对</w:t>
      </w:r>
      <w:r>
        <w:rPr>
          <w:rFonts w:hint="eastAsia" w:ascii="宋体" w:hAnsi="宋体" w:eastAsia="宋体" w:cs="宋体"/>
          <w:b/>
          <w:color w:val="auto"/>
          <w:kern w:val="0"/>
          <w:szCs w:val="21"/>
          <w:highlight w:val="none"/>
        </w:rPr>
        <w:t>于各</w:t>
      </w:r>
      <w:r>
        <w:rPr>
          <w:rFonts w:hint="eastAsia" w:ascii="宋体" w:hAnsi="宋体" w:eastAsia="宋体" w:cs="宋体"/>
          <w:b/>
          <w:color w:val="auto"/>
          <w:kern w:val="0"/>
          <w:szCs w:val="21"/>
          <w:highlight w:val="none"/>
          <w:lang w:val="zh-CN"/>
        </w:rPr>
        <w:t>评标委员会成员</w:t>
      </w:r>
      <w:r>
        <w:rPr>
          <w:rFonts w:hint="eastAsia" w:ascii="宋体" w:hAnsi="宋体" w:eastAsia="宋体" w:cs="宋体"/>
          <w:b/>
          <w:color w:val="auto"/>
          <w:kern w:val="0"/>
          <w:szCs w:val="21"/>
          <w:highlight w:val="none"/>
        </w:rPr>
        <w:t>存在客观分打分不一致时</w:t>
      </w:r>
      <w:r>
        <w:rPr>
          <w:rFonts w:hint="eastAsia" w:ascii="宋体" w:hAnsi="宋体" w:eastAsia="宋体" w:cs="宋体"/>
          <w:b/>
          <w:color w:val="auto"/>
          <w:kern w:val="0"/>
          <w:szCs w:val="21"/>
          <w:highlight w:val="none"/>
          <w:lang w:val="zh-CN"/>
        </w:rPr>
        <w:t>,根据少数服</w:t>
      </w:r>
      <w:r>
        <w:rPr>
          <w:rFonts w:hint="eastAsia" w:ascii="宋体" w:hAnsi="宋体" w:eastAsia="宋体" w:cs="宋体"/>
          <w:b/>
          <w:color w:val="auto"/>
          <w:kern w:val="0"/>
          <w:szCs w:val="21"/>
          <w:highlight w:val="none"/>
        </w:rPr>
        <w:t>从</w:t>
      </w:r>
      <w:r>
        <w:rPr>
          <w:rFonts w:hint="eastAsia" w:ascii="宋体" w:hAnsi="宋体" w:eastAsia="宋体" w:cs="宋体"/>
          <w:b/>
          <w:color w:val="auto"/>
          <w:kern w:val="0"/>
          <w:szCs w:val="21"/>
          <w:highlight w:val="none"/>
          <w:lang w:val="zh-CN"/>
        </w:rPr>
        <w:t>多数的原则，以记名方式表决</w:t>
      </w:r>
      <w:r>
        <w:rPr>
          <w:rFonts w:hint="eastAsia" w:ascii="宋体" w:hAnsi="宋体" w:eastAsia="宋体" w:cs="宋体"/>
          <w:b/>
          <w:color w:val="auto"/>
          <w:kern w:val="0"/>
          <w:szCs w:val="21"/>
          <w:highlight w:val="none"/>
        </w:rPr>
        <w:t>确定该项的评分。</w:t>
      </w:r>
    </w:p>
    <w:p w14:paraId="09517CB7">
      <w:pPr>
        <w:tabs>
          <w:tab w:val="left" w:pos="1701"/>
        </w:tabs>
        <w:autoSpaceDE w:val="0"/>
        <w:autoSpaceDN w:val="0"/>
        <w:adjustRightInd w:val="0"/>
        <w:spacing w:line="360" w:lineRule="auto"/>
        <w:rPr>
          <w:rFonts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（3）价格评分方法</w:t>
      </w:r>
    </w:p>
    <w:p w14:paraId="7C3FBC07">
      <w:pPr>
        <w:spacing w:line="360" w:lineRule="auto"/>
        <w:ind w:firstLine="422" w:firstLineChars="200"/>
        <w:rPr>
          <w:rFonts w:ascii="宋体" w:hAnsi="宋体" w:eastAsia="宋体" w:cs="宋体"/>
          <w:b/>
          <w:bCs/>
          <w:color w:val="auto"/>
          <w:kern w:val="0"/>
          <w:szCs w:val="21"/>
          <w:highlight w:val="none"/>
          <w:lang w:val="zh-CN"/>
        </w:rPr>
      </w:pPr>
      <w:r>
        <w:rPr>
          <w:rFonts w:hint="eastAsia" w:ascii="宋体" w:hAnsi="宋体" w:eastAsia="宋体" w:cs="宋体"/>
          <w:b/>
          <w:bCs/>
          <w:color w:val="auto"/>
          <w:kern w:val="0"/>
          <w:szCs w:val="28"/>
          <w:highlight w:val="none"/>
          <w:lang w:val="zh-CN"/>
        </w:rPr>
        <w:t xml:space="preserve">1）经济文件的符合性审查 </w:t>
      </w:r>
    </w:p>
    <w:p w14:paraId="23346DE9">
      <w:pPr>
        <w:spacing w:line="360" w:lineRule="auto"/>
        <w:ind w:firstLine="420" w:firstLineChars="20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评标委员会对合格的投标人的投标报价，进行详细分析、核准，检查其是否存在计算错误。评标委员会将按照本评标大纲的规定修正计算错误的投标报价，经投标人代表确认后，调整后的价格对投标人具有约束力。</w:t>
      </w:r>
      <w:r>
        <w:rPr>
          <w:rFonts w:hint="eastAsia" w:ascii="宋体" w:hAnsi="宋体" w:eastAsia="宋体" w:cs="宋体"/>
          <w:b/>
          <w:color w:val="auto"/>
          <w:kern w:val="0"/>
          <w:szCs w:val="21"/>
          <w:highlight w:val="none"/>
          <w:u w:val="single"/>
          <w:lang w:val="zh-CN"/>
        </w:rPr>
        <w:t>如果投标人不接受修正后的报价，则其投标将被拒绝，作为无效投标处理</w:t>
      </w:r>
      <w:r>
        <w:rPr>
          <w:rFonts w:hint="eastAsia" w:ascii="宋体" w:hAnsi="宋体" w:eastAsia="宋体" w:cs="宋体"/>
          <w:b/>
          <w:color w:val="auto"/>
          <w:kern w:val="0"/>
          <w:szCs w:val="21"/>
          <w:highlight w:val="none"/>
          <w:lang w:val="zh-CN"/>
        </w:rPr>
        <w:t>。</w:t>
      </w:r>
    </w:p>
    <w:p w14:paraId="715440AB">
      <w:pPr>
        <w:autoSpaceDE w:val="0"/>
        <w:autoSpaceDN w:val="0"/>
        <w:adjustRightInd w:val="0"/>
        <w:spacing w:line="360" w:lineRule="auto"/>
        <w:ind w:firstLine="420" w:firstLineChars="200"/>
        <w:rPr>
          <w:rFonts w:ascii="宋体" w:hAnsi="宋体" w:eastAsia="宋体" w:cs="宋体"/>
          <w:b/>
          <w:color w:val="auto"/>
          <w:szCs w:val="24"/>
          <w:highlight w:val="none"/>
          <w:u w:val="single"/>
          <w:lang w:val="zh-CN"/>
        </w:rPr>
      </w:pPr>
      <w:r>
        <w:rPr>
          <w:rFonts w:hint="eastAsia" w:ascii="宋体" w:hAnsi="宋体" w:eastAsia="宋体" w:cs="宋体"/>
          <w:color w:val="auto"/>
          <w:szCs w:val="24"/>
          <w:highlight w:val="none"/>
          <w:lang w:val="zh-CN"/>
        </w:rPr>
        <w:t>若投标人出现超低报价，</w:t>
      </w:r>
      <w:r>
        <w:rPr>
          <w:rFonts w:hint="eastAsia" w:ascii="宋体" w:hAnsi="宋体" w:eastAsia="宋体" w:cs="宋体"/>
          <w:color w:val="auto"/>
          <w:kern w:val="0"/>
          <w:szCs w:val="21"/>
          <w:highlight w:val="none"/>
        </w:rPr>
        <w:t>有可能影响服务质量和不能诚信履约的，</w:t>
      </w:r>
      <w:r>
        <w:rPr>
          <w:rFonts w:hint="eastAsia" w:ascii="宋体" w:hAnsi="宋体" w:eastAsia="宋体" w:cs="宋体"/>
          <w:color w:val="auto"/>
          <w:szCs w:val="24"/>
          <w:highlight w:val="none"/>
          <w:lang w:val="zh-CN"/>
        </w:rPr>
        <w:t>评标委员会</w:t>
      </w:r>
      <w:r>
        <w:rPr>
          <w:rFonts w:hint="eastAsia" w:ascii="宋体" w:hAnsi="宋体" w:eastAsia="宋体" w:cs="宋体"/>
          <w:color w:val="auto"/>
          <w:kern w:val="0"/>
          <w:szCs w:val="21"/>
          <w:highlight w:val="none"/>
          <w:lang w:val="zh-CN"/>
        </w:rPr>
        <w:t>将要求该投标人作出书面说明并提供相关证明材料，</w:t>
      </w:r>
      <w:r>
        <w:rPr>
          <w:rFonts w:hint="eastAsia" w:ascii="宋体" w:hAnsi="宋体" w:eastAsia="宋体" w:cs="宋体"/>
          <w:color w:val="auto"/>
          <w:szCs w:val="24"/>
          <w:highlight w:val="none"/>
          <w:lang w:val="zh-CN"/>
        </w:rPr>
        <w:t>以确定投标人是否以低于企业成本价报价。</w:t>
      </w:r>
      <w:r>
        <w:rPr>
          <w:rFonts w:hint="eastAsia" w:ascii="宋体" w:hAnsi="宋体" w:eastAsia="宋体" w:cs="宋体"/>
          <w:b/>
          <w:color w:val="auto"/>
          <w:szCs w:val="24"/>
          <w:highlight w:val="none"/>
          <w:u w:val="single"/>
          <w:lang w:val="zh-CN"/>
        </w:rPr>
        <w:t>若投标人不能合理说明或不能提供相关证明材料的，评标委员会将认定其投标报价低于成本，同时否决其投标。</w:t>
      </w:r>
    </w:p>
    <w:p w14:paraId="716F3875">
      <w:pPr>
        <w:spacing w:line="360" w:lineRule="auto"/>
        <w:ind w:firstLine="422" w:firstLineChars="200"/>
        <w:rPr>
          <w:rFonts w:ascii="宋体" w:hAnsi="宋体" w:eastAsia="宋体" w:cs="宋体"/>
          <w:b/>
          <w:color w:val="auto"/>
          <w:kern w:val="0"/>
          <w:szCs w:val="21"/>
          <w:highlight w:val="none"/>
          <w:lang w:val="zh-CN"/>
        </w:rPr>
      </w:pPr>
      <w:r>
        <w:rPr>
          <w:rFonts w:hint="eastAsia" w:ascii="宋体" w:hAnsi="宋体" w:eastAsia="宋体" w:cs="宋体"/>
          <w:b/>
          <w:color w:val="auto"/>
          <w:kern w:val="0"/>
          <w:szCs w:val="21"/>
          <w:highlight w:val="none"/>
          <w:lang w:val="zh-CN"/>
        </w:rPr>
        <w:t>对是否低于企业成本价报价的事宜有争议的投标文件,评标委员会成员将以记名方式表决,根据少数服</w:t>
      </w:r>
      <w:r>
        <w:rPr>
          <w:rFonts w:hint="eastAsia" w:ascii="宋体" w:hAnsi="宋体" w:eastAsia="宋体" w:cs="宋体"/>
          <w:b/>
          <w:color w:val="auto"/>
          <w:kern w:val="0"/>
          <w:szCs w:val="21"/>
          <w:highlight w:val="none"/>
        </w:rPr>
        <w:t>从</w:t>
      </w:r>
      <w:r>
        <w:rPr>
          <w:rFonts w:hint="eastAsia" w:ascii="宋体" w:hAnsi="宋体" w:eastAsia="宋体" w:cs="宋体"/>
          <w:b/>
          <w:color w:val="auto"/>
          <w:kern w:val="0"/>
          <w:szCs w:val="21"/>
          <w:highlight w:val="none"/>
          <w:lang w:val="zh-CN"/>
        </w:rPr>
        <w:t>多数的原则，获多数表决通过的投标人才有资格进入下一阶段的评审,否则将按无效投标处理。</w:t>
      </w:r>
    </w:p>
    <w:p w14:paraId="5AB246A7">
      <w:pPr>
        <w:spacing w:line="360" w:lineRule="auto"/>
        <w:ind w:firstLine="422" w:firstLineChars="200"/>
        <w:rPr>
          <w:rFonts w:ascii="宋体" w:hAnsi="宋体" w:eastAsia="宋体" w:cs="宋体"/>
          <w:b/>
          <w:bCs/>
          <w:color w:val="auto"/>
          <w:kern w:val="0"/>
          <w:szCs w:val="21"/>
          <w:highlight w:val="none"/>
        </w:rPr>
      </w:pPr>
      <w:r>
        <w:rPr>
          <w:rFonts w:ascii="宋体" w:hAnsi="宋体" w:eastAsia="宋体" w:cs="宋体"/>
          <w:b/>
          <w:bCs/>
          <w:color w:val="auto"/>
          <w:kern w:val="0"/>
          <w:szCs w:val="21"/>
          <w:highlight w:val="none"/>
          <w:lang w:val="zh-CN"/>
        </w:rPr>
        <w:t>2</w:t>
      </w:r>
      <w:r>
        <w:rPr>
          <w:rFonts w:hint="eastAsia" w:ascii="宋体" w:hAnsi="宋体" w:eastAsia="宋体" w:cs="宋体"/>
          <w:b/>
          <w:bCs/>
          <w:color w:val="auto"/>
          <w:kern w:val="0"/>
          <w:szCs w:val="21"/>
          <w:highlight w:val="none"/>
          <w:lang w:val="zh-CN"/>
        </w:rPr>
        <w:t>）</w:t>
      </w:r>
      <w:r>
        <w:rPr>
          <w:rFonts w:hint="eastAsia" w:ascii="宋体" w:hAnsi="宋体" w:eastAsia="宋体" w:cs="宋体"/>
          <w:b/>
          <w:bCs/>
          <w:color w:val="auto"/>
          <w:kern w:val="0"/>
          <w:szCs w:val="28"/>
          <w:highlight w:val="none"/>
          <w:lang w:val="zh-CN"/>
        </w:rPr>
        <w:t>价格评分</w:t>
      </w:r>
      <w:r>
        <w:rPr>
          <w:rFonts w:hint="eastAsia" w:ascii="宋体" w:hAnsi="宋体" w:eastAsia="宋体" w:cs="宋体"/>
          <w:b/>
          <w:bCs/>
          <w:color w:val="auto"/>
          <w:kern w:val="0"/>
          <w:szCs w:val="21"/>
          <w:highlight w:val="none"/>
        </w:rPr>
        <w:t>：</w:t>
      </w:r>
      <w:r>
        <w:rPr>
          <w:rFonts w:hint="eastAsia" w:ascii="宋体" w:hAnsi="宋体" w:eastAsia="宋体" w:cs="宋体"/>
          <w:b/>
          <w:bCs/>
          <w:color w:val="auto"/>
          <w:kern w:val="0"/>
          <w:szCs w:val="21"/>
          <w:highlight w:val="none"/>
          <w:lang w:val="zh-CN"/>
        </w:rPr>
        <w:t>总分</w:t>
      </w:r>
      <w:r>
        <w:rPr>
          <w:rFonts w:hint="eastAsia" w:ascii="宋体" w:hAnsi="宋体" w:eastAsia="宋体" w:cs="宋体"/>
          <w:b/>
          <w:bCs/>
          <w:color w:val="auto"/>
          <w:kern w:val="0"/>
          <w:szCs w:val="21"/>
          <w:highlight w:val="none"/>
          <w:lang w:val="en-US" w:eastAsia="zh-CN"/>
        </w:rPr>
        <w:t>40</w:t>
      </w:r>
      <w:r>
        <w:rPr>
          <w:rFonts w:hint="eastAsia" w:ascii="宋体" w:hAnsi="宋体" w:eastAsia="宋体" w:cs="宋体"/>
          <w:b/>
          <w:bCs/>
          <w:color w:val="auto"/>
          <w:kern w:val="0"/>
          <w:szCs w:val="21"/>
          <w:highlight w:val="none"/>
          <w:lang w:val="zh-CN"/>
        </w:rPr>
        <w:t>分</w:t>
      </w:r>
    </w:p>
    <w:p w14:paraId="43232D7E">
      <w:pPr>
        <w:autoSpaceDN w:val="0"/>
        <w:adjustRightInd w:val="0"/>
        <w:snapToGrid w:val="0"/>
        <w:spacing w:line="360" w:lineRule="auto"/>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A、根据有效投标人的投标报价，最低价作为基准价（Y）。投标人报价（X）等于基准价的得满分40分，其他投标人的价格得分统一按照下列公式计算：</w:t>
      </w:r>
    </w:p>
    <w:p w14:paraId="2DBEBFEE">
      <w:pPr>
        <w:autoSpaceDN w:val="0"/>
        <w:adjustRightInd w:val="0"/>
        <w:snapToGrid w:val="0"/>
        <w:spacing w:line="360" w:lineRule="auto"/>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价格得分=(基准价／投标报价)×40</w:t>
      </w:r>
    </w:p>
    <w:p w14:paraId="41110BF2">
      <w:pPr>
        <w:autoSpaceDN w:val="0"/>
        <w:adjustRightInd w:val="0"/>
        <w:snapToGrid w:val="0"/>
        <w:spacing w:line="360" w:lineRule="auto"/>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B、分数出现小数点，保留小数点后2位，从小数点后第3位四舍五入。</w:t>
      </w:r>
    </w:p>
    <w:p w14:paraId="3B2D8940">
      <w:pPr>
        <w:tabs>
          <w:tab w:val="left" w:pos="585"/>
        </w:tabs>
        <w:autoSpaceDE w:val="0"/>
        <w:autoSpaceDN w:val="0"/>
        <w:adjustRightInd w:val="0"/>
        <w:spacing w:line="400" w:lineRule="exact"/>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（4）综合得分</w:t>
      </w:r>
    </w:p>
    <w:p w14:paraId="221A9255">
      <w:pPr>
        <w:spacing w:line="360" w:lineRule="auto"/>
        <w:ind w:firstLine="420" w:firstLineChars="200"/>
        <w:rPr>
          <w:rFonts w:ascii="宋体" w:hAnsi="宋体" w:eastAsia="宋体" w:cs="宋体"/>
          <w:color w:val="auto"/>
          <w:kern w:val="0"/>
          <w:szCs w:val="28"/>
          <w:highlight w:val="none"/>
          <w:lang w:val="zh-CN"/>
        </w:rPr>
      </w:pPr>
      <w:bookmarkStart w:id="1043" w:name="_Toc31624_WPSOffice_Level2"/>
      <w:r>
        <w:rPr>
          <w:rFonts w:hint="eastAsia" w:ascii="宋体" w:hAnsi="宋体" w:eastAsia="宋体" w:cs="宋体"/>
          <w:color w:val="auto"/>
          <w:kern w:val="0"/>
          <w:szCs w:val="28"/>
          <w:highlight w:val="none"/>
          <w:lang w:val="zh-CN"/>
        </w:rPr>
        <w:t>评标总得分=F1＋F2＋……+Fn</w:t>
      </w:r>
      <w:bookmarkEnd w:id="1043"/>
    </w:p>
    <w:p w14:paraId="76D1E880">
      <w:pPr>
        <w:widowControl/>
        <w:autoSpaceDE w:val="0"/>
        <w:autoSpaceDN w:val="0"/>
        <w:adjustRightInd w:val="0"/>
        <w:spacing w:line="360" w:lineRule="auto"/>
        <w:ind w:firstLine="420" w:firstLineChars="200"/>
        <w:jc w:val="left"/>
        <w:rPr>
          <w:rFonts w:ascii="宋体" w:hAnsi="宋体" w:eastAsia="宋体" w:cs="宋体"/>
          <w:color w:val="auto"/>
          <w:kern w:val="0"/>
          <w:szCs w:val="21"/>
          <w:highlight w:val="none"/>
        </w:rPr>
      </w:pPr>
      <w:bookmarkStart w:id="1044" w:name="_Toc13236_WPSOffice_Level2"/>
      <w:r>
        <w:rPr>
          <w:rFonts w:hint="eastAsia" w:ascii="宋体" w:hAnsi="宋体" w:eastAsia="宋体" w:cs="宋体"/>
          <w:color w:val="auto"/>
          <w:kern w:val="0"/>
          <w:szCs w:val="21"/>
          <w:highlight w:val="none"/>
        </w:rPr>
        <w:t>F1、F2、……Fn分别为各项评分因素的得分</w:t>
      </w:r>
      <w:bookmarkEnd w:id="1044"/>
      <w:r>
        <w:rPr>
          <w:rFonts w:hint="eastAsia" w:ascii="宋体" w:hAnsi="宋体" w:eastAsia="宋体" w:cs="宋体"/>
          <w:color w:val="auto"/>
          <w:kern w:val="0"/>
          <w:szCs w:val="21"/>
          <w:highlight w:val="none"/>
        </w:rPr>
        <w:t>。</w:t>
      </w:r>
    </w:p>
    <w:p w14:paraId="0E5CD0D5">
      <w:pPr>
        <w:autoSpaceDE w:val="0"/>
        <w:autoSpaceDN w:val="0"/>
        <w:adjustRightInd w:val="0"/>
        <w:spacing w:line="360" w:lineRule="auto"/>
        <w:ind w:left="564" w:leftChars="1" w:hanging="562" w:hangingChars="200"/>
        <w:rPr>
          <w:rFonts w:ascii="宋体" w:hAnsi="宋体" w:eastAsia="宋体" w:cs="宋体"/>
          <w:b/>
          <w:bCs/>
          <w:color w:val="auto"/>
          <w:sz w:val="28"/>
          <w:szCs w:val="28"/>
          <w:highlight w:val="none"/>
        </w:rPr>
      </w:pPr>
    </w:p>
    <w:p w14:paraId="384593B6">
      <w:pPr>
        <w:autoSpaceDE w:val="0"/>
        <w:autoSpaceDN w:val="0"/>
        <w:adjustRightInd w:val="0"/>
        <w:spacing w:line="360" w:lineRule="auto"/>
        <w:jc w:val="center"/>
        <w:rPr>
          <w:rFonts w:ascii="宋体" w:hAnsi="宋体" w:eastAsia="宋体" w:cs="宋体"/>
          <w:b/>
          <w:bCs/>
          <w:color w:val="auto"/>
          <w:sz w:val="28"/>
          <w:szCs w:val="28"/>
          <w:highlight w:val="none"/>
        </w:rPr>
      </w:pPr>
      <w:bookmarkStart w:id="1045" w:name="_Toc518_WPSOffice_Level1"/>
      <w:r>
        <w:rPr>
          <w:rFonts w:hint="eastAsia" w:ascii="宋体" w:hAnsi="宋体" w:eastAsia="宋体" w:cs="宋体"/>
          <w:b/>
          <w:bCs/>
          <w:color w:val="auto"/>
          <w:sz w:val="28"/>
          <w:szCs w:val="28"/>
          <w:highlight w:val="none"/>
          <w:lang w:val="zh-CN"/>
        </w:rPr>
        <w:t>五、推荐中标人</w:t>
      </w:r>
      <w:bookmarkEnd w:id="1045"/>
    </w:p>
    <w:p w14:paraId="1604DB83">
      <w:pPr>
        <w:autoSpaceDE w:val="0"/>
        <w:autoSpaceDN w:val="0"/>
        <w:adjustRightInd w:val="0"/>
        <w:spacing w:line="360" w:lineRule="auto"/>
        <w:ind w:left="420" w:hanging="420" w:hangingChars="200"/>
        <w:jc w:val="left"/>
        <w:rPr>
          <w:rFonts w:ascii="宋体" w:hAnsi="宋体" w:eastAsia="宋体" w:cs="Times New Roman"/>
          <w:color w:val="auto"/>
          <w:kern w:val="0"/>
          <w:szCs w:val="21"/>
          <w:highlight w:val="none"/>
        </w:rPr>
      </w:pPr>
      <w:r>
        <w:rPr>
          <w:rFonts w:ascii="宋体" w:hAnsi="宋体" w:eastAsia="宋体" w:cs="宋体"/>
          <w:color w:val="auto"/>
          <w:kern w:val="0"/>
          <w:szCs w:val="21"/>
          <w:highlight w:val="none"/>
        </w:rPr>
        <w:t>13</w:t>
      </w:r>
      <w:r>
        <w:rPr>
          <w:rFonts w:hint="eastAsia" w:ascii="宋体" w:hAnsi="宋体" w:eastAsia="宋体" w:cs="宋体"/>
          <w:color w:val="auto"/>
          <w:kern w:val="0"/>
          <w:szCs w:val="21"/>
          <w:highlight w:val="none"/>
        </w:rPr>
        <w:t>、</w:t>
      </w:r>
      <w:r>
        <w:rPr>
          <w:rFonts w:hint="eastAsia" w:ascii="宋体" w:hAnsi="宋体" w:eastAsia="宋体" w:cs="Times New Roman"/>
          <w:color w:val="auto"/>
          <w:szCs w:val="24"/>
          <w:highlight w:val="none"/>
          <w:lang w:val="zh-CN"/>
        </w:rPr>
        <w:t>评标委员会按评审后得分由高到低顺序排列</w:t>
      </w:r>
      <w:r>
        <w:rPr>
          <w:rFonts w:hint="eastAsia" w:ascii="宋体" w:hAnsi="宋体" w:eastAsia="宋体" w:cs="Times New Roman"/>
          <w:color w:val="auto"/>
          <w:kern w:val="0"/>
          <w:szCs w:val="21"/>
          <w:highlight w:val="none"/>
        </w:rPr>
        <w:t>，并向招标人推荐最后综合得分最高的前二名投标人为中标候选人（最后综合得分排名第一、第二的投标人分别为第一、第二中标候选人），招标人将确定第一中标候选人为中标人。</w:t>
      </w:r>
    </w:p>
    <w:p w14:paraId="1269155F">
      <w:pPr>
        <w:autoSpaceDE w:val="0"/>
        <w:autoSpaceDN w:val="0"/>
        <w:adjustRightInd w:val="0"/>
        <w:spacing w:line="360" w:lineRule="auto"/>
        <w:ind w:left="420" w:leftChars="200" w:firstLine="420" w:firstLineChars="200"/>
        <w:jc w:val="left"/>
        <w:rPr>
          <w:rFonts w:ascii="宋体" w:hAnsi="宋体" w:eastAsia="宋体" w:cs="Times New Roman"/>
          <w:color w:val="auto"/>
          <w:kern w:val="0"/>
          <w:szCs w:val="24"/>
          <w:highlight w:val="none"/>
          <w:lang w:val="zh-CN"/>
        </w:rPr>
      </w:pPr>
      <w:r>
        <w:rPr>
          <w:rFonts w:hint="eastAsia" w:ascii="宋体" w:hAnsi="宋体" w:eastAsia="宋体" w:cs="Times New Roman"/>
          <w:color w:val="auto"/>
          <w:kern w:val="0"/>
          <w:szCs w:val="21"/>
          <w:highlight w:val="none"/>
        </w:rPr>
        <w:t>如果有两个或以上的投标人的最后综合得分相同，则在最后综合得分相同的投标人中按投标报价</w:t>
      </w:r>
      <w:r>
        <w:rPr>
          <w:rFonts w:hint="eastAsia" w:ascii="宋体" w:hAnsi="宋体" w:eastAsia="宋体" w:cs="Times New Roman"/>
          <w:color w:val="auto"/>
          <w:kern w:val="0"/>
          <w:szCs w:val="21"/>
          <w:highlight w:val="none"/>
          <w:lang w:val="zh-CN"/>
        </w:rPr>
        <w:t>由低到高顺序排出次序，报价低的排前，报价高的排后。</w:t>
      </w:r>
      <w:r>
        <w:rPr>
          <w:rFonts w:hint="eastAsia" w:ascii="宋体" w:hAnsi="宋体" w:eastAsia="宋体" w:cs="Times New Roman"/>
          <w:color w:val="auto"/>
          <w:kern w:val="0"/>
          <w:szCs w:val="21"/>
          <w:highlight w:val="none"/>
        </w:rPr>
        <w:t>如果出现投标人的最后综合得分及投标报价均相同时，则按技术标的评标得分高低排出次序，得分高的排前，得分低的排后。如果出现投标人的最后综合得分、投标报价及技术标得分均相同时，由评标委员会进行投票，得票多的排名在先。当第一轮投票结果为投标人得票数相同时，再次进行投票，如此类推，直到能确定排序次序为止。</w:t>
      </w:r>
    </w:p>
    <w:p w14:paraId="6B74C21C">
      <w:pPr>
        <w:widowControl/>
        <w:spacing w:line="360" w:lineRule="auto"/>
        <w:jc w:val="left"/>
        <w:rPr>
          <w:rFonts w:ascii="宋体" w:hAnsi="宋体" w:eastAsia="宋体" w:cs="宋体"/>
          <w:color w:val="auto"/>
          <w:kern w:val="0"/>
          <w:szCs w:val="21"/>
          <w:highlight w:val="none"/>
        </w:rPr>
      </w:pPr>
    </w:p>
    <w:p w14:paraId="4BAC9969">
      <w:pPr>
        <w:autoSpaceDE w:val="0"/>
        <w:autoSpaceDN w:val="0"/>
        <w:adjustRightInd w:val="0"/>
        <w:spacing w:line="360" w:lineRule="auto"/>
        <w:ind w:left="185" w:leftChars="88" w:firstLine="3443" w:firstLineChars="1225"/>
        <w:rPr>
          <w:rFonts w:ascii="宋体" w:hAnsi="宋体" w:eastAsia="宋体" w:cs="宋体"/>
          <w:b/>
          <w:bCs/>
          <w:color w:val="auto"/>
          <w:sz w:val="28"/>
          <w:szCs w:val="28"/>
          <w:highlight w:val="none"/>
          <w:lang w:val="zh-CN"/>
        </w:rPr>
      </w:pPr>
      <w:bookmarkStart w:id="1046" w:name="_Toc22724_WPSOffice_Level1"/>
      <w:r>
        <w:rPr>
          <w:rFonts w:hint="eastAsia" w:ascii="宋体" w:hAnsi="宋体" w:eastAsia="宋体" w:cs="宋体"/>
          <w:b/>
          <w:bCs/>
          <w:color w:val="auto"/>
          <w:sz w:val="28"/>
          <w:szCs w:val="28"/>
          <w:highlight w:val="none"/>
          <w:lang w:val="zh-CN"/>
        </w:rPr>
        <w:t>六、编写评标报告</w:t>
      </w:r>
      <w:bookmarkEnd w:id="1046"/>
    </w:p>
    <w:p w14:paraId="3400D2D6">
      <w:pPr>
        <w:autoSpaceDE w:val="0"/>
        <w:autoSpaceDN w:val="0"/>
        <w:adjustRightInd w:val="0"/>
        <w:spacing w:line="360" w:lineRule="auto"/>
        <w:ind w:left="420" w:hanging="420" w:hangingChars="200"/>
        <w:jc w:val="left"/>
        <w:rPr>
          <w:rFonts w:ascii="宋体" w:hAnsi="宋体" w:eastAsia="宋体" w:cs="宋体"/>
          <w:b/>
          <w:bCs/>
          <w:color w:val="auto"/>
          <w:szCs w:val="32"/>
          <w:highlight w:val="none"/>
          <w:lang w:val="zh-CN"/>
        </w:rPr>
      </w:pPr>
      <w:r>
        <w:rPr>
          <w:rFonts w:hint="eastAsia" w:ascii="宋体" w:hAnsi="宋体" w:eastAsia="宋体" w:cs="宋体"/>
          <w:color w:val="auto"/>
          <w:szCs w:val="24"/>
          <w:highlight w:val="none"/>
          <w:lang w:val="zh-CN"/>
        </w:rPr>
        <w:t>1</w:t>
      </w:r>
      <w:r>
        <w:rPr>
          <w:rFonts w:ascii="宋体" w:hAnsi="宋体" w:eastAsia="宋体" w:cs="宋体"/>
          <w:color w:val="auto"/>
          <w:szCs w:val="24"/>
          <w:highlight w:val="none"/>
          <w:lang w:val="zh-CN"/>
        </w:rPr>
        <w:t>4</w:t>
      </w:r>
      <w:r>
        <w:rPr>
          <w:rFonts w:hint="eastAsia" w:ascii="宋体" w:hAnsi="宋体" w:eastAsia="宋体" w:cs="宋体"/>
          <w:color w:val="auto"/>
          <w:szCs w:val="24"/>
          <w:highlight w:val="none"/>
          <w:lang w:val="zh-CN"/>
        </w:rPr>
        <w:t>、评标委员会根据评审结果撰写评标报告。评标报告是评标委员会根据全体评标委员会成员签字的原始评审记录和评审结果编写的报告，其主要内容包括：</w:t>
      </w:r>
    </w:p>
    <w:p w14:paraId="75D5F9FA">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（1）开标邀请时间、开标日期和地点；</w:t>
      </w:r>
    </w:p>
    <w:p w14:paraId="54911E96">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（2）投标人名单和评标委员会成员名单；</w:t>
      </w:r>
    </w:p>
    <w:p w14:paraId="2F1F40A2">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（3）开标评审方法和标准；</w:t>
      </w:r>
    </w:p>
    <w:p w14:paraId="7DB89EE5">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（4）开标评审记录和评审情况及说明，包括投标无效投标人名单及原因；</w:t>
      </w:r>
    </w:p>
    <w:p w14:paraId="5CF8D480">
      <w:pPr>
        <w:autoSpaceDE w:val="0"/>
        <w:autoSpaceDN w:val="0"/>
        <w:adjustRightInd w:val="0"/>
        <w:spacing w:line="360" w:lineRule="auto"/>
        <w:jc w:val="left"/>
        <w:rPr>
          <w:rFonts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（5）评审结果和中标候选投标人排序表；</w:t>
      </w:r>
    </w:p>
    <w:p w14:paraId="43387316">
      <w:pPr>
        <w:autoSpaceDE w:val="0"/>
        <w:autoSpaceDN w:val="0"/>
        <w:adjustRightInd w:val="0"/>
        <w:spacing w:line="360" w:lineRule="auto"/>
        <w:jc w:val="left"/>
        <w:rPr>
          <w:rFonts w:ascii="宋体" w:hAnsi="宋体" w:eastAsia="宋体" w:cs="宋体"/>
          <w:color w:val="auto"/>
          <w:szCs w:val="24"/>
          <w:highlight w:val="none"/>
          <w:lang w:val="zh-CN"/>
        </w:rPr>
      </w:pPr>
      <w:r>
        <w:rPr>
          <w:rFonts w:hint="eastAsia" w:ascii="宋体" w:hAnsi="宋体" w:eastAsia="宋体" w:cs="宋体"/>
          <w:color w:val="auto"/>
          <w:kern w:val="0"/>
          <w:szCs w:val="24"/>
          <w:highlight w:val="none"/>
          <w:lang w:val="zh-CN"/>
        </w:rPr>
        <w:t>（6）评标委员会的推荐</w:t>
      </w:r>
      <w:r>
        <w:rPr>
          <w:rFonts w:hint="eastAsia" w:ascii="宋体" w:hAnsi="宋体" w:eastAsia="宋体" w:cs="宋体"/>
          <w:color w:val="auto"/>
          <w:szCs w:val="24"/>
          <w:highlight w:val="none"/>
          <w:lang w:val="zh-CN"/>
        </w:rPr>
        <w:t>建议。</w:t>
      </w:r>
    </w:p>
    <w:p w14:paraId="21FCE07D">
      <w:pPr>
        <w:autoSpaceDE w:val="0"/>
        <w:autoSpaceDN w:val="0"/>
        <w:adjustRightInd w:val="0"/>
        <w:spacing w:line="360" w:lineRule="auto"/>
        <w:jc w:val="center"/>
        <w:rPr>
          <w:rFonts w:ascii="宋体" w:hAnsi="宋体" w:eastAsia="宋体" w:cs="宋体"/>
          <w:b/>
          <w:bCs/>
          <w:color w:val="auto"/>
          <w:sz w:val="28"/>
          <w:szCs w:val="28"/>
          <w:highlight w:val="none"/>
          <w:lang w:val="zh-CN"/>
        </w:rPr>
      </w:pPr>
    </w:p>
    <w:p w14:paraId="50C16EFC">
      <w:pPr>
        <w:autoSpaceDE w:val="0"/>
        <w:autoSpaceDN w:val="0"/>
        <w:adjustRightInd w:val="0"/>
        <w:spacing w:line="360" w:lineRule="auto"/>
        <w:jc w:val="center"/>
        <w:rPr>
          <w:rFonts w:ascii="宋体" w:hAnsi="宋体" w:eastAsia="宋体" w:cs="宋体"/>
          <w:b/>
          <w:bCs/>
          <w:color w:val="auto"/>
          <w:sz w:val="30"/>
          <w:szCs w:val="30"/>
          <w:highlight w:val="none"/>
          <w:lang w:val="zh-CN"/>
        </w:rPr>
      </w:pPr>
      <w:bookmarkStart w:id="1047" w:name="_Toc23773_WPSOffice_Level1"/>
      <w:r>
        <w:rPr>
          <w:rFonts w:hint="eastAsia" w:ascii="宋体" w:hAnsi="宋体" w:eastAsia="宋体" w:cs="宋体"/>
          <w:b/>
          <w:bCs/>
          <w:color w:val="auto"/>
          <w:sz w:val="28"/>
          <w:szCs w:val="28"/>
          <w:highlight w:val="none"/>
          <w:lang w:val="zh-CN"/>
        </w:rPr>
        <w:t>七、注意事项</w:t>
      </w:r>
      <w:bookmarkEnd w:id="1047"/>
    </w:p>
    <w:p w14:paraId="07BBA1E6">
      <w:pPr>
        <w:autoSpaceDE w:val="0"/>
        <w:autoSpaceDN w:val="0"/>
        <w:adjustRightInd w:val="0"/>
        <w:spacing w:line="360" w:lineRule="auto"/>
        <w:ind w:left="420" w:hanging="420" w:hanging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w:t>
      </w:r>
      <w:r>
        <w:rPr>
          <w:rFonts w:ascii="宋体" w:hAnsi="宋体" w:eastAsia="宋体" w:cs="宋体"/>
          <w:color w:val="auto"/>
          <w:szCs w:val="24"/>
          <w:highlight w:val="none"/>
          <w:lang w:val="zh-CN"/>
        </w:rPr>
        <w:t>5</w:t>
      </w:r>
      <w:r>
        <w:rPr>
          <w:rFonts w:hint="eastAsia" w:ascii="宋体" w:hAnsi="宋体" w:eastAsia="宋体" w:cs="宋体"/>
          <w:color w:val="auto"/>
          <w:szCs w:val="24"/>
          <w:highlight w:val="none"/>
          <w:lang w:val="zh-CN"/>
        </w:rPr>
        <w:t>、为确保评审工作的顺利进行，防止因泄密或其它意外而造成的不良后果及影响，凡参加评审工作的人员都必须认真执行本规定：</w:t>
      </w:r>
    </w:p>
    <w:p w14:paraId="45917701">
      <w:pPr>
        <w:autoSpaceDE w:val="0"/>
        <w:autoSpaceDN w:val="0"/>
        <w:adjustRightInd w:val="0"/>
        <w:spacing w:line="360" w:lineRule="auto"/>
        <w:ind w:left="436" w:leftChars="-59" w:hanging="560" w:hangingChars="267"/>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（1）在评审工作期间，所有分发的投标文件、资料等仅限于在评审场所中使用，不得带往其它地方，所有的招标文件、投标文件、资料等一律编号登记；</w:t>
      </w:r>
    </w:p>
    <w:p w14:paraId="07F06B8B">
      <w:pPr>
        <w:autoSpaceDE w:val="0"/>
        <w:autoSpaceDN w:val="0"/>
        <w:adjustRightInd w:val="0"/>
        <w:spacing w:line="360" w:lineRule="auto"/>
        <w:ind w:left="436" w:leftChars="-59" w:hanging="560" w:hangingChars="267"/>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（2）评审人员及工作人员不得在公共场合谈论有关评审内容；</w:t>
      </w:r>
    </w:p>
    <w:p w14:paraId="09F4A175">
      <w:pPr>
        <w:autoSpaceDE w:val="0"/>
        <w:autoSpaceDN w:val="0"/>
        <w:adjustRightInd w:val="0"/>
        <w:spacing w:line="360" w:lineRule="auto"/>
        <w:ind w:left="436" w:leftChars="-59" w:hanging="560" w:hangingChars="267"/>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3）评审人员及工作人员不得以书信、电讯、口述等方式将有关评审内容（如资料、投标文件、投标报价、评审方式、评标委员会的决定、评审组织机构、评审人员名单等）披露给未参加评审的任何无关人员，包括上级领导、同级和下级人员，任何与评审无关的人员（包括亲朋好友和同事）不得进入评审场所；</w:t>
      </w:r>
    </w:p>
    <w:p w14:paraId="55093E6D">
      <w:pPr>
        <w:autoSpaceDE w:val="0"/>
        <w:autoSpaceDN w:val="0"/>
        <w:adjustRightInd w:val="0"/>
        <w:spacing w:line="360" w:lineRule="auto"/>
        <w:ind w:left="436" w:leftChars="-59" w:hanging="560" w:hangingChars="267"/>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（4）</w:t>
      </w:r>
      <w:r>
        <w:rPr>
          <w:rFonts w:hint="eastAsia" w:ascii="宋体" w:hAnsi="宋体" w:eastAsia="宋体" w:cs="宋体"/>
          <w:color w:val="auto"/>
          <w:szCs w:val="24"/>
          <w:highlight w:val="none"/>
        </w:rPr>
        <w:t>如有需要举行</w:t>
      </w:r>
      <w:r>
        <w:rPr>
          <w:rFonts w:hint="eastAsia" w:ascii="宋体" w:hAnsi="宋体" w:eastAsia="宋体" w:cs="宋体"/>
          <w:color w:val="auto"/>
          <w:szCs w:val="24"/>
          <w:highlight w:val="none"/>
          <w:lang w:val="zh-CN"/>
        </w:rPr>
        <w:t>澄清会，在举行与各投标人的澄清会之前评标委员会应明确参加会议的人员及主谈人。任何需要投标人在澄清会上澄清的问题必须经评标委员会成员签字并由主谈人提出。在澄清期间，对于涉及本规定保密范畴的所有内容，主谈人不得向投标人透露；</w:t>
      </w:r>
    </w:p>
    <w:p w14:paraId="57FC4F90">
      <w:pPr>
        <w:widowControl/>
        <w:jc w:val="left"/>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（5）任何评审人员和工作人员不得对外公布评审的一切内容。</w:t>
      </w:r>
      <w:bookmarkEnd w:id="1010"/>
      <w:bookmarkEnd w:id="1026"/>
      <w:bookmarkEnd w:id="1027"/>
      <w:bookmarkEnd w:id="1028"/>
    </w:p>
    <w:sectPr>
      <w:pgSz w:w="12240" w:h="15840"/>
      <w:pgMar w:top="1191" w:right="1043" w:bottom="1191" w:left="1043" w:header="720" w:footer="720" w:gutter="0"/>
      <w:cols w:space="720" w:num="1"/>
      <w:titlePg/>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3D32A26-78B2-453E-A0B8-E8BEEF91A19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2" w:fontKey="{1DD272F6-8A1E-4E17-84DF-CAFC4E3E4F4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9FEE5FC6-FE76-4BDD-B8A2-ED8468B9F62F}"/>
  </w:font>
  <w:font w:name="等线">
    <w:panose1 w:val="02010600030101010101"/>
    <w:charset w:val="86"/>
    <w:family w:val="auto"/>
    <w:pitch w:val="default"/>
    <w:sig w:usb0="A00002BF" w:usb1="38CF7CFA" w:usb2="00000016" w:usb3="00000000" w:csb0="0004000F" w:csb1="00000000"/>
    <w:embedRegular r:id="rId4" w:fontKey="{E039281C-5389-4E65-89ED-171767BB2093}"/>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8CF3C52" w:usb2="00000016" w:usb3="00000000" w:csb0="0004001F" w:csb1="00000000"/>
    <w:embedRegular r:id="rId5" w:fontKey="{894389DF-6240-44B5-918D-CA67327E1772}"/>
  </w:font>
  <w:font w:name="仿宋_GB2312">
    <w:panose1 w:val="02010609030101010101"/>
    <w:charset w:val="86"/>
    <w:family w:val="modern"/>
    <w:pitch w:val="default"/>
    <w:sig w:usb0="00000001" w:usb1="080E0000" w:usb2="00000000" w:usb3="00000000" w:csb0="00040000" w:csb1="00000000"/>
    <w:embedRegular r:id="rId6" w:fontKey="{E736C535-E59C-4632-B2A4-F3533EC12EE0}"/>
  </w:font>
  <w:font w:name="ˎ̥">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FrutigerNext LT Light">
    <w:altName w:val="宋体"/>
    <w:panose1 w:val="00000000000000000000"/>
    <w:charset w:val="86"/>
    <w:family w:val="swiss"/>
    <w:pitch w:val="default"/>
    <w:sig w:usb0="00000000" w:usb1="00000000" w:usb2="00000010" w:usb3="00000000" w:csb0="00040001" w:csb1="00000000"/>
  </w:font>
  <w:font w:name="方正小标宋简体">
    <w:panose1 w:val="02000000000000000000"/>
    <w:charset w:val="86"/>
    <w:family w:val="auto"/>
    <w:pitch w:val="default"/>
    <w:sig w:usb0="A00002BF" w:usb1="184F6CFA" w:usb2="00000012" w:usb3="00000000" w:csb0="00040001" w:csb1="00000000"/>
    <w:embedRegular r:id="rId7" w:fontKey="{C0B0FB51-5937-4C33-ADB3-3A85A5DBDC5F}"/>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75670">
    <w:pPr>
      <w:pStyle w:val="28"/>
      <w:jc w:val="center"/>
    </w:pPr>
    <w:r>
      <w:rPr>
        <w:rFonts w:hint="eastAsia"/>
      </w:rPr>
      <w:t>第</w:t>
    </w:r>
    <w:r>
      <w:rPr>
        <w:bCs/>
      </w:rPr>
      <w:fldChar w:fldCharType="begin"/>
    </w:r>
    <w:r>
      <w:rPr>
        <w:bCs/>
      </w:rPr>
      <w:instrText xml:space="preserve">PAGE</w:instrText>
    </w:r>
    <w:r>
      <w:rPr>
        <w:bCs/>
      </w:rPr>
      <w:fldChar w:fldCharType="separate"/>
    </w:r>
    <w:r>
      <w:rPr>
        <w:bCs/>
      </w:rPr>
      <w:t>112</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199</w:t>
    </w:r>
    <w:r>
      <w:rPr>
        <w:bCs/>
      </w:rPr>
      <w:fldChar w:fldCharType="end"/>
    </w:r>
    <w:r>
      <w:rPr>
        <w:rFonts w:hint="eastAsia"/>
        <w:bCs/>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F52F3">
    <w:pPr>
      <w:pStyle w:val="28"/>
      <w:jc w:val="center"/>
    </w:pPr>
    <w:r>
      <w:rPr>
        <w:rFonts w:hint="eastAsia"/>
      </w:rPr>
      <w:t>第</w:t>
    </w:r>
    <w:r>
      <w:rPr>
        <w:bCs/>
      </w:rPr>
      <w:fldChar w:fldCharType="begin"/>
    </w:r>
    <w:r>
      <w:rPr>
        <w:bCs/>
      </w:rPr>
      <w:instrText xml:space="preserve">PAGE</w:instrText>
    </w:r>
    <w:r>
      <w:rPr>
        <w:bCs/>
      </w:rPr>
      <w:fldChar w:fldCharType="separate"/>
    </w:r>
    <w:r>
      <w:rPr>
        <w:bCs/>
      </w:rPr>
      <w:t>109</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199</w:t>
    </w:r>
    <w:r>
      <w:rPr>
        <w:bCs/>
      </w:rPr>
      <w:fldChar w:fldCharType="end"/>
    </w:r>
    <w:r>
      <w:rPr>
        <w:rFonts w:hint="eastAsia"/>
        <w:bCs/>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161B9">
    <w:pPr>
      <w:pStyle w:val="28"/>
      <w:jc w:val="center"/>
    </w:pPr>
    <w:r>
      <w:rPr>
        <w:rFonts w:hint="eastAsia"/>
      </w:rPr>
      <w:t>第</w:t>
    </w:r>
    <w:r>
      <w:rPr>
        <w:bCs/>
      </w:rPr>
      <w:fldChar w:fldCharType="begin"/>
    </w:r>
    <w:r>
      <w:rPr>
        <w:bCs/>
      </w:rPr>
      <w:instrText xml:space="preserve">PAGE</w:instrText>
    </w:r>
    <w:r>
      <w:rPr>
        <w:bCs/>
      </w:rPr>
      <w:fldChar w:fldCharType="separate"/>
    </w:r>
    <w:r>
      <w:rPr>
        <w:bCs/>
      </w:rPr>
      <w:t>157</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199</w:t>
    </w:r>
    <w:r>
      <w:rPr>
        <w:bCs/>
      </w:rPr>
      <w:fldChar w:fldCharType="end"/>
    </w:r>
    <w:r>
      <w:rPr>
        <w:rFonts w:hint="eastAsia"/>
        <w:bCs/>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92158">
    <w:pPr>
      <w:pStyle w:val="28"/>
      <w:jc w:val="center"/>
    </w:pPr>
    <w:r>
      <w:rPr>
        <w:rFonts w:hint="eastAsia"/>
      </w:rPr>
      <w:t>第</w:t>
    </w:r>
    <w:r>
      <w:rPr>
        <w:bCs/>
      </w:rPr>
      <w:fldChar w:fldCharType="begin"/>
    </w:r>
    <w:r>
      <w:rPr>
        <w:bCs/>
      </w:rPr>
      <w:instrText xml:space="preserve">PAGE</w:instrText>
    </w:r>
    <w:r>
      <w:rPr>
        <w:bCs/>
      </w:rPr>
      <w:fldChar w:fldCharType="separate"/>
    </w:r>
    <w:r>
      <w:rPr>
        <w:bCs/>
      </w:rPr>
      <w:t>140</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199</w:t>
    </w:r>
    <w:r>
      <w:rPr>
        <w:bCs/>
      </w:rPr>
      <w:fldChar w:fldCharType="end"/>
    </w:r>
    <w:r>
      <w:rPr>
        <w:rFonts w:hint="eastAsia"/>
        <w:bCs/>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3E200">
    <w:pPr>
      <w:pStyle w:val="28"/>
      <w:jc w:val="center"/>
    </w:pPr>
    <w:r>
      <w:rPr>
        <w:rFonts w:hint="eastAsia"/>
      </w:rPr>
      <w:t>第</w:t>
    </w:r>
    <w:r>
      <w:rPr>
        <w:bCs/>
      </w:rPr>
      <w:fldChar w:fldCharType="begin"/>
    </w:r>
    <w:r>
      <w:rPr>
        <w:bCs/>
      </w:rPr>
      <w:instrText xml:space="preserve">PAGE</w:instrText>
    </w:r>
    <w:r>
      <w:rPr>
        <w:bCs/>
      </w:rPr>
      <w:fldChar w:fldCharType="separate"/>
    </w:r>
    <w:r>
      <w:rPr>
        <w:bCs/>
      </w:rPr>
      <w:t>161</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199</w:t>
    </w:r>
    <w:r>
      <w:rPr>
        <w:bCs/>
      </w:rPr>
      <w:fldChar w:fldCharType="end"/>
    </w:r>
    <w:r>
      <w:rPr>
        <w:rFonts w:hint="eastAsia"/>
        <w:bCs/>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124E8">
    <w:pPr>
      <w:pStyle w:val="28"/>
      <w:jc w:val="center"/>
    </w:pPr>
    <w:r>
      <w:rPr>
        <w:rFonts w:hint="eastAsia"/>
      </w:rPr>
      <w:t>第</w:t>
    </w:r>
    <w:r>
      <w:rPr>
        <w:bCs/>
      </w:rPr>
      <w:fldChar w:fldCharType="begin"/>
    </w:r>
    <w:r>
      <w:rPr>
        <w:bCs/>
      </w:rPr>
      <w:instrText xml:space="preserve">PAGE</w:instrText>
    </w:r>
    <w:r>
      <w:rPr>
        <w:bCs/>
      </w:rPr>
      <w:fldChar w:fldCharType="separate"/>
    </w:r>
    <w:r>
      <w:rPr>
        <w:bCs/>
      </w:rPr>
      <w:t>175</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199</w:t>
    </w:r>
    <w:r>
      <w:rPr>
        <w:bCs/>
      </w:rPr>
      <w:fldChar w:fldCharType="end"/>
    </w:r>
    <w:r>
      <w:rPr>
        <w:rFonts w:hint="eastAsia"/>
        <w:bCs/>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7A026">
    <w:pPr>
      <w:pStyle w:val="28"/>
      <w:jc w:val="center"/>
    </w:pPr>
    <w:r>
      <w:rPr>
        <w:rFonts w:hint="eastAsia"/>
      </w:rPr>
      <w:t>第</w:t>
    </w:r>
    <w:r>
      <w:rPr>
        <w:lang w:val="zh-CN"/>
      </w:rPr>
      <w:t xml:space="preserve"> </w:t>
    </w:r>
    <w:r>
      <w:rPr>
        <w:bCs/>
        <w:sz w:val="24"/>
        <w:szCs w:val="24"/>
      </w:rPr>
      <w:fldChar w:fldCharType="begin"/>
    </w:r>
    <w:r>
      <w:rPr>
        <w:bCs/>
      </w:rPr>
      <w:instrText xml:space="preserve">PAGE</w:instrText>
    </w:r>
    <w:r>
      <w:rPr>
        <w:bCs/>
        <w:sz w:val="24"/>
        <w:szCs w:val="24"/>
      </w:rPr>
      <w:fldChar w:fldCharType="separate"/>
    </w:r>
    <w:r>
      <w:rPr>
        <w:bCs/>
      </w:rPr>
      <w:t>201</w:t>
    </w:r>
    <w:r>
      <w:rPr>
        <w:bCs/>
        <w:sz w:val="24"/>
        <w:szCs w:val="24"/>
      </w:rPr>
      <w:fldChar w:fldCharType="end"/>
    </w:r>
    <w:r>
      <w:rPr>
        <w:lang w:val="zh-CN"/>
      </w:rPr>
      <w:t xml:space="preserve"> </w:t>
    </w:r>
    <w:r>
      <w:rPr>
        <w:rFonts w:hint="eastAsia"/>
        <w:lang w:val="zh-CN"/>
      </w:rPr>
      <w:t>页，共</w:t>
    </w:r>
    <w:r>
      <w:rPr>
        <w:lang w:val="zh-CN"/>
      </w:rPr>
      <w:t xml:space="preserve"> </w:t>
    </w:r>
    <w:r>
      <w:rPr>
        <w:bCs/>
        <w:sz w:val="24"/>
        <w:szCs w:val="24"/>
      </w:rPr>
      <w:fldChar w:fldCharType="begin"/>
    </w:r>
    <w:r>
      <w:rPr>
        <w:bCs/>
      </w:rPr>
      <w:instrText xml:space="preserve">NUMPAGES</w:instrText>
    </w:r>
    <w:r>
      <w:rPr>
        <w:bCs/>
        <w:sz w:val="24"/>
        <w:szCs w:val="24"/>
      </w:rPr>
      <w:fldChar w:fldCharType="separate"/>
    </w:r>
    <w:r>
      <w:rPr>
        <w:bCs/>
      </w:rPr>
      <w:t>202</w:t>
    </w:r>
    <w:r>
      <w:rPr>
        <w:bCs/>
        <w:sz w:val="24"/>
        <w:szCs w:val="24"/>
      </w:rPr>
      <w:fldChar w:fldCharType="end"/>
    </w:r>
    <w:r>
      <w:rPr>
        <w:b/>
        <w:bCs/>
        <w:sz w:val="24"/>
        <w:szCs w:val="24"/>
      </w:rPr>
      <w:t xml:space="preserve"> </w:t>
    </w:r>
    <w:r>
      <w:rPr>
        <w:rFonts w:hint="eastAsia"/>
      </w:rPr>
      <w:t>页</w:t>
    </w:r>
  </w:p>
  <w:p w14:paraId="42142C2B">
    <w:pPr>
      <w:pStyle w:val="2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405F0F"/>
    <w:multiLevelType w:val="singleLevel"/>
    <w:tmpl w:val="8A405F0F"/>
    <w:lvl w:ilvl="0" w:tentative="0">
      <w:start w:val="1"/>
      <w:numFmt w:val="decimal"/>
      <w:suff w:val="nothing"/>
      <w:lvlText w:val="%1）"/>
      <w:lvlJc w:val="left"/>
      <w:pPr>
        <w:tabs>
          <w:tab w:val="left" w:pos="0"/>
        </w:tabs>
        <w:ind w:left="420"/>
      </w:pPr>
      <w:rPr>
        <w:rFonts w:hint="default" w:ascii="宋体" w:hAnsi="宋体" w:eastAsia="宋体" w:cs="宋体"/>
      </w:rPr>
    </w:lvl>
  </w:abstractNum>
  <w:abstractNum w:abstractNumId="1">
    <w:nsid w:val="8DCF2564"/>
    <w:multiLevelType w:val="singleLevel"/>
    <w:tmpl w:val="8DCF2564"/>
    <w:lvl w:ilvl="0" w:tentative="0">
      <w:start w:val="2"/>
      <w:numFmt w:val="decimal"/>
      <w:suff w:val="nothing"/>
      <w:lvlText w:val="（%1）"/>
      <w:lvlJc w:val="left"/>
      <w:pPr>
        <w:tabs>
          <w:tab w:val="left" w:pos="1418"/>
        </w:tabs>
      </w:pPr>
      <w:rPr>
        <w:rFonts w:hint="default" w:ascii="Times New Roman" w:hAnsi="Times New Roman" w:cs="Times New Roman"/>
      </w:rPr>
    </w:lvl>
  </w:abstractNum>
  <w:abstractNum w:abstractNumId="2">
    <w:nsid w:val="8F59CF8D"/>
    <w:multiLevelType w:val="singleLevel"/>
    <w:tmpl w:val="8F59CF8D"/>
    <w:lvl w:ilvl="0" w:tentative="0">
      <w:start w:val="1"/>
      <w:numFmt w:val="decimal"/>
      <w:suff w:val="nothing"/>
      <w:lvlText w:val="（%1）"/>
      <w:lvlJc w:val="left"/>
    </w:lvl>
  </w:abstractNum>
  <w:abstractNum w:abstractNumId="3">
    <w:nsid w:val="9AF9E462"/>
    <w:multiLevelType w:val="singleLevel"/>
    <w:tmpl w:val="9AF9E462"/>
    <w:lvl w:ilvl="0" w:tentative="0">
      <w:start w:val="1"/>
      <w:numFmt w:val="decimal"/>
      <w:suff w:val="nothing"/>
      <w:lvlText w:val="%1、"/>
      <w:lvlJc w:val="left"/>
    </w:lvl>
  </w:abstractNum>
  <w:abstractNum w:abstractNumId="4">
    <w:nsid w:val="B5EE3977"/>
    <w:multiLevelType w:val="singleLevel"/>
    <w:tmpl w:val="B5EE3977"/>
    <w:lvl w:ilvl="0" w:tentative="0">
      <w:start w:val="1"/>
      <w:numFmt w:val="decimal"/>
      <w:suff w:val="nothing"/>
      <w:lvlText w:val="（%1）"/>
      <w:lvlJc w:val="left"/>
      <w:rPr>
        <w:rFonts w:hint="default" w:ascii="Times New Roman" w:hAnsi="Times New Roman" w:cs="Times New Roman"/>
      </w:rPr>
    </w:lvl>
  </w:abstractNum>
  <w:abstractNum w:abstractNumId="5">
    <w:nsid w:val="B6B3770A"/>
    <w:multiLevelType w:val="singleLevel"/>
    <w:tmpl w:val="B6B3770A"/>
    <w:lvl w:ilvl="0" w:tentative="0">
      <w:start w:val="2"/>
      <w:numFmt w:val="decimal"/>
      <w:suff w:val="nothing"/>
      <w:lvlText w:val="%1）"/>
      <w:lvlJc w:val="left"/>
    </w:lvl>
  </w:abstractNum>
  <w:abstractNum w:abstractNumId="6">
    <w:nsid w:val="B7A31231"/>
    <w:multiLevelType w:val="singleLevel"/>
    <w:tmpl w:val="B7A31231"/>
    <w:lvl w:ilvl="0" w:tentative="0">
      <w:start w:val="1"/>
      <w:numFmt w:val="decimal"/>
      <w:suff w:val="nothing"/>
      <w:lvlText w:val="（%1）"/>
      <w:lvlJc w:val="left"/>
    </w:lvl>
  </w:abstractNum>
  <w:abstractNum w:abstractNumId="7">
    <w:nsid w:val="CBE493AC"/>
    <w:multiLevelType w:val="singleLevel"/>
    <w:tmpl w:val="CBE493AC"/>
    <w:lvl w:ilvl="0" w:tentative="0">
      <w:start w:val="1"/>
      <w:numFmt w:val="decimal"/>
      <w:suff w:val="nothing"/>
      <w:lvlText w:val="（%1）"/>
      <w:lvlJc w:val="left"/>
      <w:rPr>
        <w:rFonts w:hint="default" w:ascii="Times New Roman" w:hAnsi="Times New Roman" w:cs="Times New Roman"/>
      </w:rPr>
    </w:lvl>
  </w:abstractNum>
  <w:abstractNum w:abstractNumId="8">
    <w:nsid w:val="CCAFAEF5"/>
    <w:multiLevelType w:val="singleLevel"/>
    <w:tmpl w:val="CCAFAEF5"/>
    <w:lvl w:ilvl="0" w:tentative="0">
      <w:start w:val="1"/>
      <w:numFmt w:val="decimal"/>
      <w:suff w:val="nothing"/>
      <w:lvlText w:val="（%1）"/>
      <w:lvlJc w:val="left"/>
    </w:lvl>
  </w:abstractNum>
  <w:abstractNum w:abstractNumId="9">
    <w:nsid w:val="CE1239FB"/>
    <w:multiLevelType w:val="singleLevel"/>
    <w:tmpl w:val="CE1239FB"/>
    <w:lvl w:ilvl="0" w:tentative="0">
      <w:start w:val="1"/>
      <w:numFmt w:val="decimal"/>
      <w:suff w:val="nothing"/>
      <w:lvlText w:val="（%1）"/>
      <w:lvlJc w:val="left"/>
    </w:lvl>
  </w:abstractNum>
  <w:abstractNum w:abstractNumId="10">
    <w:nsid w:val="CFDD84CB"/>
    <w:multiLevelType w:val="multilevel"/>
    <w:tmpl w:val="CFDD84CB"/>
    <w:lvl w:ilvl="0" w:tentative="0">
      <w:start w:val="1"/>
      <w:numFmt w:val="decimal"/>
      <w:suff w:val="space"/>
      <w:lvlText w:val="1.4.%1."/>
      <w:lvlJc w:val="left"/>
      <w:pPr>
        <w:tabs>
          <w:tab w:val="left" w:pos="0"/>
        </w:tabs>
        <w:ind w:left="-482" w:hanging="420"/>
      </w:pPr>
      <w:rPr>
        <w:rFonts w:hint="default" w:ascii="宋体" w:hAnsi="宋体" w:eastAsia="宋体" w:cs="宋体"/>
        <w:b/>
        <w:bCs/>
        <w:i w:val="0"/>
        <w:sz w:val="21"/>
        <w:szCs w:val="21"/>
      </w:rPr>
    </w:lvl>
    <w:lvl w:ilvl="1" w:tentative="0">
      <w:start w:val="1"/>
      <w:numFmt w:val="lowerLetter"/>
      <w:lvlText w:val="%2)"/>
      <w:lvlJc w:val="left"/>
      <w:pPr>
        <w:ind w:left="70" w:hanging="420"/>
      </w:pPr>
    </w:lvl>
    <w:lvl w:ilvl="2" w:tentative="0">
      <w:start w:val="1"/>
      <w:numFmt w:val="lowerRoman"/>
      <w:lvlText w:val="%3."/>
      <w:lvlJc w:val="right"/>
      <w:pPr>
        <w:ind w:left="490" w:hanging="420"/>
      </w:pPr>
    </w:lvl>
    <w:lvl w:ilvl="3" w:tentative="0">
      <w:start w:val="1"/>
      <w:numFmt w:val="decimal"/>
      <w:lvlText w:val="%4."/>
      <w:lvlJc w:val="left"/>
      <w:pPr>
        <w:ind w:left="910" w:hanging="420"/>
      </w:pPr>
    </w:lvl>
    <w:lvl w:ilvl="4" w:tentative="0">
      <w:start w:val="1"/>
      <w:numFmt w:val="lowerLetter"/>
      <w:lvlText w:val="%5)"/>
      <w:lvlJc w:val="left"/>
      <w:pPr>
        <w:ind w:left="1330" w:hanging="420"/>
      </w:pPr>
    </w:lvl>
    <w:lvl w:ilvl="5" w:tentative="0">
      <w:start w:val="1"/>
      <w:numFmt w:val="lowerRoman"/>
      <w:lvlText w:val="%6."/>
      <w:lvlJc w:val="right"/>
      <w:pPr>
        <w:ind w:left="1750" w:hanging="420"/>
      </w:pPr>
    </w:lvl>
    <w:lvl w:ilvl="6" w:tentative="0">
      <w:start w:val="1"/>
      <w:numFmt w:val="decimal"/>
      <w:lvlText w:val="%7."/>
      <w:lvlJc w:val="left"/>
      <w:pPr>
        <w:ind w:left="2170" w:hanging="420"/>
      </w:pPr>
    </w:lvl>
    <w:lvl w:ilvl="7" w:tentative="0">
      <w:start w:val="1"/>
      <w:numFmt w:val="lowerLetter"/>
      <w:lvlText w:val="%8)"/>
      <w:lvlJc w:val="left"/>
      <w:pPr>
        <w:ind w:left="2590" w:hanging="420"/>
      </w:pPr>
    </w:lvl>
    <w:lvl w:ilvl="8" w:tentative="0">
      <w:start w:val="1"/>
      <w:numFmt w:val="lowerRoman"/>
      <w:lvlText w:val="%9."/>
      <w:lvlJc w:val="right"/>
      <w:pPr>
        <w:ind w:left="3010" w:hanging="420"/>
      </w:pPr>
    </w:lvl>
  </w:abstractNum>
  <w:abstractNum w:abstractNumId="11">
    <w:nsid w:val="D916682E"/>
    <w:multiLevelType w:val="singleLevel"/>
    <w:tmpl w:val="D916682E"/>
    <w:lvl w:ilvl="0" w:tentative="0">
      <w:start w:val="1"/>
      <w:numFmt w:val="decimal"/>
      <w:suff w:val="nothing"/>
      <w:lvlText w:val="（%1）"/>
      <w:lvlJc w:val="left"/>
    </w:lvl>
  </w:abstractNum>
  <w:abstractNum w:abstractNumId="12">
    <w:nsid w:val="DCCBADF5"/>
    <w:multiLevelType w:val="multilevel"/>
    <w:tmpl w:val="DCCBADF5"/>
    <w:lvl w:ilvl="0" w:tentative="0">
      <w:start w:val="1"/>
      <w:numFmt w:val="decimal"/>
      <w:lvlText w:val="3.%1"/>
      <w:lvlJc w:val="left"/>
      <w:pPr>
        <w:ind w:left="420" w:hanging="420"/>
      </w:pPr>
      <w:rPr>
        <w:rFonts w:hint="default" w:ascii="Times New Roman" w:hAnsi="Times New Roman" w:eastAsia="宋体" w:cs="Times New Roman"/>
        <w:b/>
        <w:bCs/>
        <w:i w:val="0"/>
        <w:sz w:val="24"/>
        <w:szCs w:val="24"/>
      </w:rPr>
    </w:lvl>
    <w:lvl w:ilvl="1" w:tentative="0">
      <w:start w:val="1"/>
      <w:numFmt w:val="decimal"/>
      <w:suff w:val="space"/>
      <w:lvlText w:val="2.%2"/>
      <w:lvlJc w:val="left"/>
      <w:pPr>
        <w:tabs>
          <w:tab w:val="left" w:pos="0"/>
        </w:tabs>
        <w:ind w:left="-426" w:hanging="420"/>
      </w:pPr>
      <w:rPr>
        <w:rFonts w:hint="default" w:ascii="宋体" w:hAnsi="宋体" w:eastAsia="宋体" w:cs="宋体"/>
        <w:b/>
        <w:bCs/>
        <w:i w:val="0"/>
        <w:sz w:val="21"/>
      </w:rPr>
    </w:lvl>
    <w:lvl w:ilvl="2" w:tentative="0">
      <w:start w:val="1"/>
      <w:numFmt w:val="decimal"/>
      <w:lvlText w:val="3.1.%3"/>
      <w:lvlJc w:val="right"/>
      <w:pPr>
        <w:ind w:left="1260" w:hanging="420"/>
      </w:pPr>
      <w:rPr>
        <w:rFonts w:hint="default" w:ascii="Times New Roman" w:hAnsi="Times New Roman" w:eastAsia="宋体"/>
        <w:b/>
        <w:i w:val="0"/>
        <w:sz w:val="21"/>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DED985E5"/>
    <w:multiLevelType w:val="singleLevel"/>
    <w:tmpl w:val="DED985E5"/>
    <w:lvl w:ilvl="0" w:tentative="0">
      <w:start w:val="1"/>
      <w:numFmt w:val="upperLetter"/>
      <w:suff w:val="nothing"/>
      <w:lvlText w:val="%1、"/>
      <w:lvlJc w:val="left"/>
    </w:lvl>
  </w:abstractNum>
  <w:abstractNum w:abstractNumId="14">
    <w:nsid w:val="EC7E2D87"/>
    <w:multiLevelType w:val="multilevel"/>
    <w:tmpl w:val="EC7E2D87"/>
    <w:lvl w:ilvl="0" w:tentative="0">
      <w:start w:val="1"/>
      <w:numFmt w:val="decimal"/>
      <w:suff w:val="space"/>
      <w:lvlText w:val="3.%1"/>
      <w:lvlJc w:val="left"/>
      <w:pPr>
        <w:tabs>
          <w:tab w:val="left" w:pos="0"/>
        </w:tabs>
        <w:ind w:left="-373" w:hanging="420"/>
      </w:pPr>
      <w:rPr>
        <w:rFonts w:hint="default" w:ascii="宋体" w:hAnsi="宋体" w:eastAsia="宋体" w:cs="宋体"/>
        <w:b/>
        <w:bCs/>
      </w:rPr>
    </w:lvl>
    <w:lvl w:ilvl="1" w:tentative="0">
      <w:start w:val="1"/>
      <w:numFmt w:val="lowerLetter"/>
      <w:lvlText w:val="%2)"/>
      <w:lvlJc w:val="left"/>
      <w:pPr>
        <w:ind w:left="179" w:hanging="420"/>
      </w:pPr>
    </w:lvl>
    <w:lvl w:ilvl="2" w:tentative="0">
      <w:start w:val="1"/>
      <w:numFmt w:val="lowerRoman"/>
      <w:lvlText w:val="%3."/>
      <w:lvlJc w:val="right"/>
      <w:pPr>
        <w:ind w:left="599" w:hanging="420"/>
      </w:pPr>
    </w:lvl>
    <w:lvl w:ilvl="3" w:tentative="0">
      <w:start w:val="1"/>
      <w:numFmt w:val="decimal"/>
      <w:lvlText w:val="%4."/>
      <w:lvlJc w:val="left"/>
      <w:pPr>
        <w:ind w:left="1019" w:hanging="420"/>
      </w:pPr>
    </w:lvl>
    <w:lvl w:ilvl="4" w:tentative="0">
      <w:start w:val="1"/>
      <w:numFmt w:val="lowerLetter"/>
      <w:lvlText w:val="%5)"/>
      <w:lvlJc w:val="left"/>
      <w:pPr>
        <w:ind w:left="1439" w:hanging="420"/>
      </w:pPr>
    </w:lvl>
    <w:lvl w:ilvl="5" w:tentative="0">
      <w:start w:val="1"/>
      <w:numFmt w:val="lowerRoman"/>
      <w:lvlText w:val="%6."/>
      <w:lvlJc w:val="right"/>
      <w:pPr>
        <w:ind w:left="1859" w:hanging="420"/>
      </w:pPr>
    </w:lvl>
    <w:lvl w:ilvl="6" w:tentative="0">
      <w:start w:val="1"/>
      <w:numFmt w:val="decimal"/>
      <w:lvlText w:val="%7."/>
      <w:lvlJc w:val="left"/>
      <w:pPr>
        <w:ind w:left="2279" w:hanging="420"/>
      </w:pPr>
    </w:lvl>
    <w:lvl w:ilvl="7" w:tentative="0">
      <w:start w:val="1"/>
      <w:numFmt w:val="lowerLetter"/>
      <w:lvlText w:val="%8)"/>
      <w:lvlJc w:val="left"/>
      <w:pPr>
        <w:ind w:left="2699" w:hanging="420"/>
      </w:pPr>
    </w:lvl>
    <w:lvl w:ilvl="8" w:tentative="0">
      <w:start w:val="1"/>
      <w:numFmt w:val="lowerRoman"/>
      <w:lvlText w:val="%9."/>
      <w:lvlJc w:val="right"/>
      <w:pPr>
        <w:ind w:left="3119" w:hanging="420"/>
      </w:pPr>
    </w:lvl>
  </w:abstractNum>
  <w:abstractNum w:abstractNumId="15">
    <w:nsid w:val="0B396864"/>
    <w:multiLevelType w:val="singleLevel"/>
    <w:tmpl w:val="0B396864"/>
    <w:lvl w:ilvl="0" w:tentative="0">
      <w:start w:val="1"/>
      <w:numFmt w:val="decimal"/>
      <w:suff w:val="nothing"/>
      <w:lvlText w:val="（%1）"/>
      <w:lvlJc w:val="left"/>
      <w:rPr>
        <w:rFonts w:hint="default" w:ascii="Times New Roman" w:hAnsi="Times New Roman" w:cs="Times New Roman"/>
      </w:rPr>
    </w:lvl>
  </w:abstractNum>
  <w:abstractNum w:abstractNumId="16">
    <w:nsid w:val="177F3ECF"/>
    <w:multiLevelType w:val="singleLevel"/>
    <w:tmpl w:val="177F3ECF"/>
    <w:lvl w:ilvl="0" w:tentative="0">
      <w:start w:val="1"/>
      <w:numFmt w:val="decimal"/>
      <w:suff w:val="nothing"/>
      <w:lvlText w:val="（%1）"/>
      <w:lvlJc w:val="left"/>
    </w:lvl>
  </w:abstractNum>
  <w:abstractNum w:abstractNumId="17">
    <w:nsid w:val="1D2C939A"/>
    <w:multiLevelType w:val="singleLevel"/>
    <w:tmpl w:val="1D2C939A"/>
    <w:lvl w:ilvl="0" w:tentative="0">
      <w:start w:val="1"/>
      <w:numFmt w:val="decimal"/>
      <w:suff w:val="nothing"/>
      <w:lvlText w:val="（%1）"/>
      <w:lvlJc w:val="left"/>
    </w:lvl>
  </w:abstractNum>
  <w:abstractNum w:abstractNumId="18">
    <w:nsid w:val="24860379"/>
    <w:multiLevelType w:val="singleLevel"/>
    <w:tmpl w:val="24860379"/>
    <w:lvl w:ilvl="0" w:tentative="0">
      <w:start w:val="1"/>
      <w:numFmt w:val="decimal"/>
      <w:suff w:val="nothing"/>
      <w:lvlText w:val="（%1）"/>
      <w:lvlJc w:val="left"/>
      <w:rPr>
        <w:rFonts w:hint="default" w:ascii="Times New Roman" w:hAnsi="Times New Roman" w:cs="Times New Roman"/>
      </w:rPr>
    </w:lvl>
  </w:abstractNum>
  <w:abstractNum w:abstractNumId="19">
    <w:nsid w:val="271BAFA7"/>
    <w:multiLevelType w:val="singleLevel"/>
    <w:tmpl w:val="271BAFA7"/>
    <w:lvl w:ilvl="0" w:tentative="0">
      <w:start w:val="1"/>
      <w:numFmt w:val="decimal"/>
      <w:suff w:val="nothing"/>
      <w:lvlText w:val="%1）"/>
      <w:lvlJc w:val="left"/>
      <w:pPr>
        <w:ind w:left="-399"/>
      </w:pPr>
    </w:lvl>
  </w:abstractNum>
  <w:abstractNum w:abstractNumId="20">
    <w:nsid w:val="2ACD706A"/>
    <w:multiLevelType w:val="singleLevel"/>
    <w:tmpl w:val="2ACD706A"/>
    <w:lvl w:ilvl="0" w:tentative="0">
      <w:start w:val="1"/>
      <w:numFmt w:val="decimal"/>
      <w:suff w:val="nothing"/>
      <w:lvlText w:val="（%1）"/>
      <w:lvlJc w:val="left"/>
      <w:rPr>
        <w:rFonts w:hint="default" w:ascii="Times New Roman" w:hAnsi="Times New Roman" w:cs="Times New Roman"/>
      </w:rPr>
    </w:lvl>
  </w:abstractNum>
  <w:abstractNum w:abstractNumId="21">
    <w:nsid w:val="2D04CA10"/>
    <w:multiLevelType w:val="multilevel"/>
    <w:tmpl w:val="2D04CA10"/>
    <w:lvl w:ilvl="0" w:tentative="0">
      <w:start w:val="1"/>
      <w:numFmt w:val="decimal"/>
      <w:suff w:val="space"/>
      <w:lvlText w:val="1.3.%1."/>
      <w:lvlJc w:val="left"/>
      <w:pPr>
        <w:tabs>
          <w:tab w:val="left" w:pos="0"/>
        </w:tabs>
        <w:ind w:left="-482" w:hanging="420"/>
      </w:pPr>
      <w:rPr>
        <w:rFonts w:hint="default" w:ascii="宋体" w:hAnsi="宋体" w:eastAsia="宋体" w:cs="宋体"/>
        <w:b/>
        <w:bCs/>
        <w:i w:val="0"/>
        <w:sz w:val="21"/>
        <w:szCs w:val="21"/>
      </w:rPr>
    </w:lvl>
    <w:lvl w:ilvl="1" w:tentative="0">
      <w:start w:val="1"/>
      <w:numFmt w:val="lowerLetter"/>
      <w:lvlText w:val="%2)"/>
      <w:lvlJc w:val="left"/>
      <w:pPr>
        <w:ind w:left="70" w:hanging="420"/>
      </w:pPr>
    </w:lvl>
    <w:lvl w:ilvl="2" w:tentative="0">
      <w:start w:val="1"/>
      <w:numFmt w:val="lowerRoman"/>
      <w:lvlText w:val="%3."/>
      <w:lvlJc w:val="right"/>
      <w:pPr>
        <w:ind w:left="490" w:hanging="420"/>
      </w:pPr>
    </w:lvl>
    <w:lvl w:ilvl="3" w:tentative="0">
      <w:start w:val="1"/>
      <w:numFmt w:val="decimal"/>
      <w:lvlText w:val="%4."/>
      <w:lvlJc w:val="left"/>
      <w:pPr>
        <w:ind w:left="910" w:hanging="420"/>
      </w:pPr>
    </w:lvl>
    <w:lvl w:ilvl="4" w:tentative="0">
      <w:start w:val="1"/>
      <w:numFmt w:val="lowerLetter"/>
      <w:lvlText w:val="%5)"/>
      <w:lvlJc w:val="left"/>
      <w:pPr>
        <w:ind w:left="1330" w:hanging="420"/>
      </w:pPr>
    </w:lvl>
    <w:lvl w:ilvl="5" w:tentative="0">
      <w:start w:val="1"/>
      <w:numFmt w:val="lowerRoman"/>
      <w:lvlText w:val="%6."/>
      <w:lvlJc w:val="right"/>
      <w:pPr>
        <w:ind w:left="1750" w:hanging="420"/>
      </w:pPr>
    </w:lvl>
    <w:lvl w:ilvl="6" w:tentative="0">
      <w:start w:val="1"/>
      <w:numFmt w:val="decimal"/>
      <w:lvlText w:val="%7."/>
      <w:lvlJc w:val="left"/>
      <w:pPr>
        <w:ind w:left="2170" w:hanging="420"/>
      </w:pPr>
    </w:lvl>
    <w:lvl w:ilvl="7" w:tentative="0">
      <w:start w:val="1"/>
      <w:numFmt w:val="lowerLetter"/>
      <w:lvlText w:val="%8)"/>
      <w:lvlJc w:val="left"/>
      <w:pPr>
        <w:ind w:left="2590" w:hanging="420"/>
      </w:pPr>
    </w:lvl>
    <w:lvl w:ilvl="8" w:tentative="0">
      <w:start w:val="1"/>
      <w:numFmt w:val="lowerRoman"/>
      <w:lvlText w:val="%9."/>
      <w:lvlJc w:val="right"/>
      <w:pPr>
        <w:ind w:left="3010" w:hanging="420"/>
      </w:pPr>
    </w:lvl>
  </w:abstractNum>
  <w:abstractNum w:abstractNumId="22">
    <w:nsid w:val="2F1EC229"/>
    <w:multiLevelType w:val="multilevel"/>
    <w:tmpl w:val="2F1EC229"/>
    <w:lvl w:ilvl="0" w:tentative="0">
      <w:start w:val="1"/>
      <w:numFmt w:val="decimal"/>
      <w:suff w:val="space"/>
      <w:lvlText w:val="1.%1"/>
      <w:lvlJc w:val="left"/>
      <w:pPr>
        <w:tabs>
          <w:tab w:val="left" w:pos="0"/>
        </w:tabs>
        <w:ind w:left="0" w:hanging="420"/>
      </w:pPr>
      <w:rPr>
        <w:rFonts w:hint="default" w:ascii="宋体" w:hAnsi="宋体" w:eastAsia="宋体" w:cs="宋体"/>
        <w:sz w:val="21"/>
        <w:szCs w:val="21"/>
      </w:rPr>
    </w:lvl>
    <w:lvl w:ilvl="1" w:tentative="0">
      <w:start w:val="1"/>
      <w:numFmt w:val="decimal"/>
      <w:lvlText w:val="（%2）"/>
      <w:lvlJc w:val="left"/>
      <w:pPr>
        <w:ind w:left="1214" w:hanging="720"/>
      </w:pPr>
      <w:rPr>
        <w:rFonts w:hint="default"/>
      </w:rPr>
    </w:lvl>
    <w:lvl w:ilvl="2" w:tentative="0">
      <w:start w:val="1"/>
      <w:numFmt w:val="lowerRoman"/>
      <w:lvlText w:val="%3."/>
      <w:lvlJc w:val="right"/>
      <w:pPr>
        <w:ind w:left="1334" w:hanging="420"/>
      </w:pPr>
    </w:lvl>
    <w:lvl w:ilvl="3" w:tentative="0">
      <w:start w:val="1"/>
      <w:numFmt w:val="decimal"/>
      <w:lvlText w:val="%4."/>
      <w:lvlJc w:val="left"/>
      <w:pPr>
        <w:ind w:left="1754" w:hanging="420"/>
      </w:pPr>
    </w:lvl>
    <w:lvl w:ilvl="4" w:tentative="0">
      <w:start w:val="1"/>
      <w:numFmt w:val="lowerLetter"/>
      <w:lvlText w:val="%5)"/>
      <w:lvlJc w:val="left"/>
      <w:pPr>
        <w:ind w:left="2174" w:hanging="420"/>
      </w:pPr>
    </w:lvl>
    <w:lvl w:ilvl="5" w:tentative="0">
      <w:start w:val="1"/>
      <w:numFmt w:val="lowerRoman"/>
      <w:lvlText w:val="%6."/>
      <w:lvlJc w:val="right"/>
      <w:pPr>
        <w:ind w:left="2594" w:hanging="420"/>
      </w:pPr>
    </w:lvl>
    <w:lvl w:ilvl="6" w:tentative="0">
      <w:start w:val="1"/>
      <w:numFmt w:val="decimal"/>
      <w:lvlText w:val="%7."/>
      <w:lvlJc w:val="left"/>
      <w:pPr>
        <w:ind w:left="3014" w:hanging="420"/>
      </w:pPr>
    </w:lvl>
    <w:lvl w:ilvl="7" w:tentative="0">
      <w:start w:val="1"/>
      <w:numFmt w:val="lowerLetter"/>
      <w:lvlText w:val="%8)"/>
      <w:lvlJc w:val="left"/>
      <w:pPr>
        <w:ind w:left="3434" w:hanging="420"/>
      </w:pPr>
    </w:lvl>
    <w:lvl w:ilvl="8" w:tentative="0">
      <w:start w:val="1"/>
      <w:numFmt w:val="lowerRoman"/>
      <w:lvlText w:val="%9."/>
      <w:lvlJc w:val="right"/>
      <w:pPr>
        <w:ind w:left="3854" w:hanging="420"/>
      </w:pPr>
    </w:lvl>
  </w:abstractNum>
  <w:abstractNum w:abstractNumId="23">
    <w:nsid w:val="2F8D6FBB"/>
    <w:multiLevelType w:val="multilevel"/>
    <w:tmpl w:val="2F8D6FBB"/>
    <w:lvl w:ilvl="0" w:tentative="0">
      <w:start w:val="1"/>
      <w:numFmt w:val="decimal"/>
      <w:lvlText w:val="%1."/>
      <w:legacy w:legacy="1" w:legacySpace="0" w:legacyIndent="360"/>
      <w:lvlJc w:val="left"/>
      <w:rPr>
        <w:rFonts w:hint="eastAsia" w:ascii="宋体" w:hAnsi="宋体" w:eastAsia="宋体"/>
      </w:rPr>
    </w:lvl>
    <w:lvl w:ilvl="1" w:tentative="0">
      <w:start w:val="5"/>
      <w:numFmt w:val="decimal"/>
      <w:isLgl/>
      <w:lvlText w:val="%1.%2"/>
      <w:lvlJc w:val="left"/>
      <w:pPr>
        <w:tabs>
          <w:tab w:val="left" w:pos="0"/>
        </w:tabs>
        <w:ind w:left="0" w:firstLine="0"/>
      </w:pPr>
      <w:rPr>
        <w:rFonts w:hint="default"/>
      </w:rPr>
    </w:lvl>
    <w:lvl w:ilvl="2" w:tentative="0">
      <w:start w:val="1"/>
      <w:numFmt w:val="decimal"/>
      <w:isLgl/>
      <w:lvlText w:val="%1.%2.%3"/>
      <w:lvlJc w:val="left"/>
      <w:pPr>
        <w:tabs>
          <w:tab w:val="left" w:pos="0"/>
        </w:tabs>
        <w:ind w:left="0" w:firstLine="0"/>
      </w:pPr>
      <w:rPr>
        <w:rFonts w:hint="default"/>
      </w:rPr>
    </w:lvl>
    <w:lvl w:ilvl="3" w:tentative="0">
      <w:start w:val="1"/>
      <w:numFmt w:val="decimal"/>
      <w:isLgl/>
      <w:lvlText w:val="%1.%2.%3.%4"/>
      <w:lvlJc w:val="left"/>
      <w:pPr>
        <w:tabs>
          <w:tab w:val="left" w:pos="0"/>
        </w:tabs>
        <w:ind w:left="0" w:firstLine="0"/>
      </w:pPr>
      <w:rPr>
        <w:rFonts w:hint="default"/>
      </w:rPr>
    </w:lvl>
    <w:lvl w:ilvl="4" w:tentative="0">
      <w:start w:val="1"/>
      <w:numFmt w:val="decimal"/>
      <w:isLgl/>
      <w:lvlText w:val="%1.%2.%3.%4.%5"/>
      <w:lvlJc w:val="left"/>
      <w:pPr>
        <w:tabs>
          <w:tab w:val="left" w:pos="0"/>
        </w:tabs>
        <w:ind w:left="0" w:firstLine="0"/>
      </w:pPr>
      <w:rPr>
        <w:rFonts w:hint="default"/>
      </w:rPr>
    </w:lvl>
    <w:lvl w:ilvl="5" w:tentative="0">
      <w:start w:val="1"/>
      <w:numFmt w:val="decimal"/>
      <w:isLgl/>
      <w:lvlText w:val="%1.%2.%3.%4.%5.%6"/>
      <w:lvlJc w:val="left"/>
      <w:pPr>
        <w:tabs>
          <w:tab w:val="left" w:pos="0"/>
        </w:tabs>
        <w:ind w:left="0" w:firstLine="0"/>
      </w:pPr>
      <w:rPr>
        <w:rFonts w:hint="default"/>
      </w:rPr>
    </w:lvl>
    <w:lvl w:ilvl="6" w:tentative="0">
      <w:start w:val="1"/>
      <w:numFmt w:val="decimal"/>
      <w:isLgl/>
      <w:lvlText w:val="%1.%2.%3.%4.%5.%6.%7"/>
      <w:lvlJc w:val="left"/>
      <w:pPr>
        <w:tabs>
          <w:tab w:val="left" w:pos="0"/>
        </w:tabs>
        <w:ind w:left="0" w:firstLine="0"/>
      </w:pPr>
      <w:rPr>
        <w:rFonts w:hint="default"/>
      </w:rPr>
    </w:lvl>
    <w:lvl w:ilvl="7" w:tentative="0">
      <w:start w:val="1"/>
      <w:numFmt w:val="decimal"/>
      <w:isLgl/>
      <w:lvlText w:val="%1.%2.%3.%4.%5.%6.%7.%8"/>
      <w:lvlJc w:val="left"/>
      <w:pPr>
        <w:tabs>
          <w:tab w:val="left" w:pos="0"/>
        </w:tabs>
        <w:ind w:left="0" w:firstLine="0"/>
      </w:pPr>
      <w:rPr>
        <w:rFonts w:hint="default"/>
      </w:rPr>
    </w:lvl>
    <w:lvl w:ilvl="8" w:tentative="0">
      <w:start w:val="1"/>
      <w:numFmt w:val="decimal"/>
      <w:isLgl/>
      <w:lvlText w:val="%1.%2.%3.%4.%5.%6.%7.%8.%9"/>
      <w:lvlJc w:val="left"/>
      <w:pPr>
        <w:tabs>
          <w:tab w:val="left" w:pos="0"/>
        </w:tabs>
        <w:ind w:left="0" w:firstLine="0"/>
      </w:pPr>
      <w:rPr>
        <w:rFonts w:hint="default"/>
      </w:rPr>
    </w:lvl>
  </w:abstractNum>
  <w:abstractNum w:abstractNumId="24">
    <w:nsid w:val="398CECED"/>
    <w:multiLevelType w:val="singleLevel"/>
    <w:tmpl w:val="398CECED"/>
    <w:lvl w:ilvl="0" w:tentative="0">
      <w:start w:val="1"/>
      <w:numFmt w:val="decimal"/>
      <w:suff w:val="nothing"/>
      <w:lvlText w:val="%1）"/>
      <w:lvlJc w:val="left"/>
      <w:pPr>
        <w:tabs>
          <w:tab w:val="left" w:pos="0"/>
        </w:tabs>
        <w:ind w:left="420"/>
      </w:pPr>
      <w:rPr>
        <w:rFonts w:hint="default" w:ascii="宋体" w:hAnsi="宋体" w:eastAsia="宋体" w:cs="宋体"/>
      </w:rPr>
    </w:lvl>
  </w:abstractNum>
  <w:abstractNum w:abstractNumId="25">
    <w:nsid w:val="442A3BA7"/>
    <w:multiLevelType w:val="multilevel"/>
    <w:tmpl w:val="442A3BA7"/>
    <w:lvl w:ilvl="0" w:tentative="0">
      <w:start w:val="1"/>
      <w:numFmt w:val="decimal"/>
      <w:lvlText w:val="%1"/>
      <w:lvlJc w:val="left"/>
      <w:pPr>
        <w:ind w:left="360" w:hanging="36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57F03B71"/>
    <w:multiLevelType w:val="multilevel"/>
    <w:tmpl w:val="57F03B71"/>
    <w:lvl w:ilvl="0" w:tentative="0">
      <w:start w:val="1"/>
      <w:numFmt w:val="decimal"/>
      <w:suff w:val="space"/>
      <w:lvlText w:val="1.2.%1."/>
      <w:lvlJc w:val="left"/>
      <w:pPr>
        <w:tabs>
          <w:tab w:val="left" w:pos="0"/>
        </w:tabs>
        <w:ind w:left="-482" w:hanging="420"/>
      </w:pPr>
      <w:rPr>
        <w:rFonts w:hint="default" w:ascii="宋体" w:hAnsi="宋体" w:eastAsia="宋体" w:cs="宋体"/>
        <w:b/>
        <w:bCs/>
        <w:i w:val="0"/>
        <w:sz w:val="21"/>
        <w:szCs w:val="21"/>
      </w:rPr>
    </w:lvl>
    <w:lvl w:ilvl="1" w:tentative="0">
      <w:start w:val="1"/>
      <w:numFmt w:val="lowerLetter"/>
      <w:lvlText w:val="%2)"/>
      <w:lvlJc w:val="left"/>
      <w:pPr>
        <w:ind w:left="70" w:hanging="420"/>
      </w:pPr>
    </w:lvl>
    <w:lvl w:ilvl="2" w:tentative="0">
      <w:start w:val="1"/>
      <w:numFmt w:val="lowerRoman"/>
      <w:lvlText w:val="%3."/>
      <w:lvlJc w:val="right"/>
      <w:pPr>
        <w:ind w:left="490" w:hanging="420"/>
      </w:pPr>
    </w:lvl>
    <w:lvl w:ilvl="3" w:tentative="0">
      <w:start w:val="1"/>
      <w:numFmt w:val="decimal"/>
      <w:lvlText w:val="%4."/>
      <w:lvlJc w:val="left"/>
      <w:pPr>
        <w:ind w:left="910" w:hanging="420"/>
      </w:pPr>
    </w:lvl>
    <w:lvl w:ilvl="4" w:tentative="0">
      <w:start w:val="1"/>
      <w:numFmt w:val="lowerLetter"/>
      <w:lvlText w:val="%5)"/>
      <w:lvlJc w:val="left"/>
      <w:pPr>
        <w:ind w:left="1330" w:hanging="420"/>
      </w:pPr>
    </w:lvl>
    <w:lvl w:ilvl="5" w:tentative="0">
      <w:start w:val="1"/>
      <w:numFmt w:val="lowerRoman"/>
      <w:lvlText w:val="%6."/>
      <w:lvlJc w:val="right"/>
      <w:pPr>
        <w:ind w:left="1750" w:hanging="420"/>
      </w:pPr>
    </w:lvl>
    <w:lvl w:ilvl="6" w:tentative="0">
      <w:start w:val="1"/>
      <w:numFmt w:val="decimal"/>
      <w:lvlText w:val="%7."/>
      <w:lvlJc w:val="left"/>
      <w:pPr>
        <w:ind w:left="2170" w:hanging="420"/>
      </w:pPr>
    </w:lvl>
    <w:lvl w:ilvl="7" w:tentative="0">
      <w:start w:val="1"/>
      <w:numFmt w:val="lowerLetter"/>
      <w:lvlText w:val="%8)"/>
      <w:lvlJc w:val="left"/>
      <w:pPr>
        <w:ind w:left="2590" w:hanging="420"/>
      </w:pPr>
    </w:lvl>
    <w:lvl w:ilvl="8" w:tentative="0">
      <w:start w:val="1"/>
      <w:numFmt w:val="lowerRoman"/>
      <w:lvlText w:val="%9."/>
      <w:lvlJc w:val="right"/>
      <w:pPr>
        <w:ind w:left="3010" w:hanging="420"/>
      </w:pPr>
    </w:lvl>
  </w:abstractNum>
  <w:abstractNum w:abstractNumId="27">
    <w:nsid w:val="583D740A"/>
    <w:multiLevelType w:val="multilevel"/>
    <w:tmpl w:val="583D740A"/>
    <w:lvl w:ilvl="0" w:tentative="0">
      <w:start w:val="1"/>
      <w:numFmt w:val="decimal"/>
      <w:suff w:val="space"/>
      <w:lvlText w:val="3.2.%1."/>
      <w:lvlJc w:val="left"/>
      <w:pPr>
        <w:tabs>
          <w:tab w:val="left" w:pos="0"/>
        </w:tabs>
        <w:ind w:left="-426" w:hanging="420"/>
      </w:pPr>
      <w:rPr>
        <w:rFonts w:hint="default" w:ascii="宋体" w:hAnsi="宋体" w:eastAsia="宋体" w:cs="宋体"/>
        <w:b/>
        <w:bCs/>
      </w:rPr>
    </w:lvl>
    <w:lvl w:ilvl="1" w:tentative="0">
      <w:start w:val="1"/>
      <w:numFmt w:val="lowerLetter"/>
      <w:lvlText w:val="%2)"/>
      <w:lvlJc w:val="left"/>
      <w:pPr>
        <w:ind w:left="-6" w:hanging="420"/>
      </w:pPr>
    </w:lvl>
    <w:lvl w:ilvl="2" w:tentative="0">
      <w:start w:val="1"/>
      <w:numFmt w:val="lowerRoman"/>
      <w:lvlText w:val="%3."/>
      <w:lvlJc w:val="right"/>
      <w:pPr>
        <w:ind w:left="414" w:hanging="420"/>
      </w:pPr>
    </w:lvl>
    <w:lvl w:ilvl="3" w:tentative="0">
      <w:start w:val="1"/>
      <w:numFmt w:val="decimal"/>
      <w:lvlText w:val="%4."/>
      <w:lvlJc w:val="left"/>
      <w:pPr>
        <w:ind w:left="834" w:hanging="420"/>
      </w:pPr>
    </w:lvl>
    <w:lvl w:ilvl="4" w:tentative="0">
      <w:start w:val="1"/>
      <w:numFmt w:val="lowerLetter"/>
      <w:lvlText w:val="%5)"/>
      <w:lvlJc w:val="left"/>
      <w:pPr>
        <w:ind w:left="1254" w:hanging="420"/>
      </w:pPr>
    </w:lvl>
    <w:lvl w:ilvl="5" w:tentative="0">
      <w:start w:val="1"/>
      <w:numFmt w:val="lowerRoman"/>
      <w:lvlText w:val="%6."/>
      <w:lvlJc w:val="right"/>
      <w:pPr>
        <w:ind w:left="1674" w:hanging="420"/>
      </w:pPr>
    </w:lvl>
    <w:lvl w:ilvl="6" w:tentative="0">
      <w:start w:val="1"/>
      <w:numFmt w:val="decimal"/>
      <w:lvlText w:val="%7."/>
      <w:lvlJc w:val="left"/>
      <w:pPr>
        <w:ind w:left="2094" w:hanging="420"/>
      </w:pPr>
    </w:lvl>
    <w:lvl w:ilvl="7" w:tentative="0">
      <w:start w:val="1"/>
      <w:numFmt w:val="lowerLetter"/>
      <w:lvlText w:val="%8)"/>
      <w:lvlJc w:val="left"/>
      <w:pPr>
        <w:ind w:left="2514" w:hanging="420"/>
      </w:pPr>
    </w:lvl>
    <w:lvl w:ilvl="8" w:tentative="0">
      <w:start w:val="1"/>
      <w:numFmt w:val="lowerRoman"/>
      <w:lvlText w:val="%9."/>
      <w:lvlJc w:val="right"/>
      <w:pPr>
        <w:ind w:left="2934" w:hanging="420"/>
      </w:pPr>
    </w:lvl>
  </w:abstractNum>
  <w:abstractNum w:abstractNumId="28">
    <w:nsid w:val="591963B7"/>
    <w:multiLevelType w:val="multilevel"/>
    <w:tmpl w:val="591963B7"/>
    <w:lvl w:ilvl="0" w:tentative="0">
      <w:start w:val="1"/>
      <w:numFmt w:val="chineseCountingThousand"/>
      <w:lvlText w:val="第%1节"/>
      <w:lvlJc w:val="right"/>
      <w:pPr>
        <w:ind w:left="420" w:hanging="132"/>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5C113379"/>
    <w:multiLevelType w:val="multilevel"/>
    <w:tmpl w:val="5C11337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647B1D67"/>
    <w:multiLevelType w:val="multilevel"/>
    <w:tmpl w:val="647B1D6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671A38A8"/>
    <w:multiLevelType w:val="multilevel"/>
    <w:tmpl w:val="671A38A8"/>
    <w:lvl w:ilvl="0" w:tentative="0">
      <w:start w:val="1"/>
      <w:numFmt w:val="decimal"/>
      <w:suff w:val="space"/>
      <w:lvlText w:val="1.6.%1."/>
      <w:lvlJc w:val="left"/>
      <w:pPr>
        <w:tabs>
          <w:tab w:val="left" w:pos="0"/>
        </w:tabs>
        <w:ind w:left="-614" w:hanging="420"/>
      </w:pPr>
      <w:rPr>
        <w:rFonts w:hint="default" w:ascii="宋体" w:hAnsi="宋体" w:eastAsia="宋体" w:cs="宋体"/>
        <w:b/>
        <w:bCs/>
        <w:sz w:val="21"/>
        <w:szCs w:val="21"/>
      </w:rPr>
    </w:lvl>
    <w:lvl w:ilvl="1" w:tentative="0">
      <w:start w:val="1"/>
      <w:numFmt w:val="lowerLetter"/>
      <w:lvlText w:val="%2)"/>
      <w:lvlJc w:val="left"/>
      <w:pPr>
        <w:ind w:left="-482" w:hanging="420"/>
      </w:pPr>
    </w:lvl>
    <w:lvl w:ilvl="2" w:tentative="0">
      <w:start w:val="1"/>
      <w:numFmt w:val="lowerRoman"/>
      <w:lvlText w:val="%3."/>
      <w:lvlJc w:val="right"/>
      <w:pPr>
        <w:ind w:left="-62" w:hanging="420"/>
      </w:pPr>
    </w:lvl>
    <w:lvl w:ilvl="3" w:tentative="0">
      <w:start w:val="1"/>
      <w:numFmt w:val="decimal"/>
      <w:lvlText w:val="%4."/>
      <w:lvlJc w:val="left"/>
      <w:pPr>
        <w:ind w:left="358" w:hanging="420"/>
      </w:pPr>
    </w:lvl>
    <w:lvl w:ilvl="4" w:tentative="0">
      <w:start w:val="1"/>
      <w:numFmt w:val="lowerLetter"/>
      <w:lvlText w:val="%5)"/>
      <w:lvlJc w:val="left"/>
      <w:pPr>
        <w:ind w:left="778" w:hanging="420"/>
      </w:pPr>
    </w:lvl>
    <w:lvl w:ilvl="5" w:tentative="0">
      <w:start w:val="1"/>
      <w:numFmt w:val="lowerRoman"/>
      <w:lvlText w:val="%6."/>
      <w:lvlJc w:val="right"/>
      <w:pPr>
        <w:ind w:left="1198" w:hanging="420"/>
      </w:pPr>
    </w:lvl>
    <w:lvl w:ilvl="6" w:tentative="0">
      <w:start w:val="1"/>
      <w:numFmt w:val="decimal"/>
      <w:lvlText w:val="%7."/>
      <w:lvlJc w:val="left"/>
      <w:pPr>
        <w:ind w:left="1618" w:hanging="420"/>
      </w:pPr>
    </w:lvl>
    <w:lvl w:ilvl="7" w:tentative="0">
      <w:start w:val="1"/>
      <w:numFmt w:val="lowerLetter"/>
      <w:lvlText w:val="%8)"/>
      <w:lvlJc w:val="left"/>
      <w:pPr>
        <w:ind w:left="2038" w:hanging="420"/>
      </w:pPr>
    </w:lvl>
    <w:lvl w:ilvl="8" w:tentative="0">
      <w:start w:val="1"/>
      <w:numFmt w:val="lowerRoman"/>
      <w:lvlText w:val="%9."/>
      <w:lvlJc w:val="right"/>
      <w:pPr>
        <w:ind w:left="2458" w:hanging="420"/>
      </w:pPr>
    </w:lvl>
  </w:abstractNum>
  <w:abstractNum w:abstractNumId="32">
    <w:nsid w:val="6B44A4A5"/>
    <w:multiLevelType w:val="singleLevel"/>
    <w:tmpl w:val="6B44A4A5"/>
    <w:lvl w:ilvl="0" w:tentative="0">
      <w:start w:val="1"/>
      <w:numFmt w:val="decimal"/>
      <w:suff w:val="nothing"/>
      <w:lvlText w:val="（%1）"/>
      <w:lvlJc w:val="left"/>
      <w:rPr>
        <w:rFonts w:hint="default" w:ascii="Times New Roman" w:hAnsi="Times New Roman" w:cs="Times New Roman"/>
      </w:rPr>
    </w:lvl>
  </w:abstractNum>
  <w:abstractNum w:abstractNumId="33">
    <w:nsid w:val="7095EDFC"/>
    <w:multiLevelType w:val="singleLevel"/>
    <w:tmpl w:val="7095EDFC"/>
    <w:lvl w:ilvl="0" w:tentative="0">
      <w:start w:val="1"/>
      <w:numFmt w:val="decimal"/>
      <w:suff w:val="nothing"/>
      <w:lvlText w:val="（%1）"/>
      <w:lvlJc w:val="left"/>
    </w:lvl>
  </w:abstractNum>
  <w:abstractNum w:abstractNumId="34">
    <w:nsid w:val="7BA645FD"/>
    <w:multiLevelType w:val="singleLevel"/>
    <w:tmpl w:val="7BA645FD"/>
    <w:lvl w:ilvl="0" w:tentative="0">
      <w:start w:val="1"/>
      <w:numFmt w:val="decimal"/>
      <w:suff w:val="nothing"/>
      <w:lvlText w:val="（%1）"/>
      <w:lvlJc w:val="left"/>
    </w:lvl>
  </w:abstractNum>
  <w:num w:numId="1">
    <w:abstractNumId w:val="25"/>
  </w:num>
  <w:num w:numId="2">
    <w:abstractNumId w:val="28"/>
  </w:num>
  <w:num w:numId="3">
    <w:abstractNumId w:val="22"/>
  </w:num>
  <w:num w:numId="4">
    <w:abstractNumId w:val="26"/>
  </w:num>
  <w:num w:numId="5">
    <w:abstractNumId w:val="33"/>
  </w:num>
  <w:num w:numId="6">
    <w:abstractNumId w:val="29"/>
  </w:num>
  <w:num w:numId="7">
    <w:abstractNumId w:val="30"/>
  </w:num>
  <w:num w:numId="8">
    <w:abstractNumId w:val="18"/>
  </w:num>
  <w:num w:numId="9">
    <w:abstractNumId w:val="15"/>
  </w:num>
  <w:num w:numId="10">
    <w:abstractNumId w:val="21"/>
  </w:num>
  <w:num w:numId="11">
    <w:abstractNumId w:val="20"/>
  </w:num>
  <w:num w:numId="12">
    <w:abstractNumId w:val="4"/>
  </w:num>
  <w:num w:numId="13">
    <w:abstractNumId w:val="32"/>
  </w:num>
  <w:num w:numId="14">
    <w:abstractNumId w:val="7"/>
  </w:num>
  <w:num w:numId="15">
    <w:abstractNumId w:val="1"/>
  </w:num>
  <w:num w:numId="16">
    <w:abstractNumId w:val="10"/>
  </w:num>
  <w:num w:numId="17">
    <w:abstractNumId w:val="31"/>
  </w:num>
  <w:num w:numId="18">
    <w:abstractNumId w:val="11"/>
  </w:num>
  <w:num w:numId="19">
    <w:abstractNumId w:val="2"/>
  </w:num>
  <w:num w:numId="20">
    <w:abstractNumId w:val="8"/>
  </w:num>
  <w:num w:numId="21">
    <w:abstractNumId w:val="6"/>
  </w:num>
  <w:num w:numId="22">
    <w:abstractNumId w:val="9"/>
  </w:num>
  <w:num w:numId="23">
    <w:abstractNumId w:val="12"/>
  </w:num>
  <w:num w:numId="24">
    <w:abstractNumId w:val="16"/>
  </w:num>
  <w:num w:numId="25">
    <w:abstractNumId w:val="17"/>
  </w:num>
  <w:num w:numId="26">
    <w:abstractNumId w:val="0"/>
  </w:num>
  <w:num w:numId="27">
    <w:abstractNumId w:val="5"/>
  </w:num>
  <w:num w:numId="28">
    <w:abstractNumId w:val="24"/>
  </w:num>
  <w:num w:numId="29">
    <w:abstractNumId w:val="19"/>
  </w:num>
  <w:num w:numId="30">
    <w:abstractNumId w:val="3"/>
  </w:num>
  <w:num w:numId="31">
    <w:abstractNumId w:val="14"/>
  </w:num>
  <w:num w:numId="32">
    <w:abstractNumId w:val="27"/>
  </w:num>
  <w:num w:numId="33">
    <w:abstractNumId w:val="34"/>
  </w:num>
  <w:num w:numId="34">
    <w:abstractNumId w:val="13"/>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FmY2M4ZmY4ZWVhMGQ1NGE2ZDFlYmVmN2YxOGYyMzIifQ=="/>
  </w:docVars>
  <w:rsids>
    <w:rsidRoot w:val="00172A27"/>
    <w:rsid w:val="000011AE"/>
    <w:rsid w:val="00004430"/>
    <w:rsid w:val="00006AEC"/>
    <w:rsid w:val="00015A2E"/>
    <w:rsid w:val="000245A6"/>
    <w:rsid w:val="0002570D"/>
    <w:rsid w:val="00027708"/>
    <w:rsid w:val="00035595"/>
    <w:rsid w:val="00040BE6"/>
    <w:rsid w:val="00040F92"/>
    <w:rsid w:val="00046C4B"/>
    <w:rsid w:val="00052FA1"/>
    <w:rsid w:val="00054A52"/>
    <w:rsid w:val="00054D9C"/>
    <w:rsid w:val="000622F9"/>
    <w:rsid w:val="000640CD"/>
    <w:rsid w:val="000768C6"/>
    <w:rsid w:val="000770B9"/>
    <w:rsid w:val="0008097F"/>
    <w:rsid w:val="00084D8D"/>
    <w:rsid w:val="000853A8"/>
    <w:rsid w:val="00086BE3"/>
    <w:rsid w:val="00094AF8"/>
    <w:rsid w:val="000A31BD"/>
    <w:rsid w:val="000A34F7"/>
    <w:rsid w:val="000A65CD"/>
    <w:rsid w:val="000A73D7"/>
    <w:rsid w:val="000B4B09"/>
    <w:rsid w:val="000C1661"/>
    <w:rsid w:val="000C18B7"/>
    <w:rsid w:val="000C5D06"/>
    <w:rsid w:val="000C6A11"/>
    <w:rsid w:val="000D0B5D"/>
    <w:rsid w:val="000D5537"/>
    <w:rsid w:val="000D75D3"/>
    <w:rsid w:val="000E3ECA"/>
    <w:rsid w:val="000E4A4F"/>
    <w:rsid w:val="000E4D54"/>
    <w:rsid w:val="000E661C"/>
    <w:rsid w:val="000F0A84"/>
    <w:rsid w:val="000F3174"/>
    <w:rsid w:val="001059DC"/>
    <w:rsid w:val="0010738F"/>
    <w:rsid w:val="0011440A"/>
    <w:rsid w:val="00114519"/>
    <w:rsid w:val="001233ED"/>
    <w:rsid w:val="00127946"/>
    <w:rsid w:val="00131E91"/>
    <w:rsid w:val="001450A8"/>
    <w:rsid w:val="001523C0"/>
    <w:rsid w:val="00152F07"/>
    <w:rsid w:val="0015711A"/>
    <w:rsid w:val="001644BA"/>
    <w:rsid w:val="001647C7"/>
    <w:rsid w:val="00165203"/>
    <w:rsid w:val="00166309"/>
    <w:rsid w:val="00170004"/>
    <w:rsid w:val="00172A27"/>
    <w:rsid w:val="00174AE6"/>
    <w:rsid w:val="001758D3"/>
    <w:rsid w:val="00177B51"/>
    <w:rsid w:val="0018078B"/>
    <w:rsid w:val="00183284"/>
    <w:rsid w:val="00183344"/>
    <w:rsid w:val="0019682B"/>
    <w:rsid w:val="001A1FCB"/>
    <w:rsid w:val="001B74B3"/>
    <w:rsid w:val="001C2086"/>
    <w:rsid w:val="001C4AC2"/>
    <w:rsid w:val="001C6FAA"/>
    <w:rsid w:val="001D00B3"/>
    <w:rsid w:val="001D5A65"/>
    <w:rsid w:val="001D6B15"/>
    <w:rsid w:val="001E4158"/>
    <w:rsid w:val="001E6227"/>
    <w:rsid w:val="001E63B6"/>
    <w:rsid w:val="001E6DD8"/>
    <w:rsid w:val="001F0290"/>
    <w:rsid w:val="001F6A01"/>
    <w:rsid w:val="00202DB9"/>
    <w:rsid w:val="00215B7A"/>
    <w:rsid w:val="00223D5B"/>
    <w:rsid w:val="0022528C"/>
    <w:rsid w:val="002258BB"/>
    <w:rsid w:val="00225B7D"/>
    <w:rsid w:val="002260FC"/>
    <w:rsid w:val="002315B7"/>
    <w:rsid w:val="002347FE"/>
    <w:rsid w:val="0024360C"/>
    <w:rsid w:val="002451A7"/>
    <w:rsid w:val="00247373"/>
    <w:rsid w:val="00260C05"/>
    <w:rsid w:val="00261575"/>
    <w:rsid w:val="00262407"/>
    <w:rsid w:val="00275E0E"/>
    <w:rsid w:val="0028146F"/>
    <w:rsid w:val="002831F6"/>
    <w:rsid w:val="00290CBF"/>
    <w:rsid w:val="0029590E"/>
    <w:rsid w:val="002A3EB3"/>
    <w:rsid w:val="002B1734"/>
    <w:rsid w:val="002B5DBC"/>
    <w:rsid w:val="002B7423"/>
    <w:rsid w:val="002B7CA9"/>
    <w:rsid w:val="002C4A4A"/>
    <w:rsid w:val="002D0003"/>
    <w:rsid w:val="002D1442"/>
    <w:rsid w:val="002E4079"/>
    <w:rsid w:val="002F68EE"/>
    <w:rsid w:val="002F7DEF"/>
    <w:rsid w:val="003014E2"/>
    <w:rsid w:val="00302D85"/>
    <w:rsid w:val="0030753D"/>
    <w:rsid w:val="00311DA1"/>
    <w:rsid w:val="003121B1"/>
    <w:rsid w:val="0031709C"/>
    <w:rsid w:val="003223D5"/>
    <w:rsid w:val="00322AA4"/>
    <w:rsid w:val="00325EF0"/>
    <w:rsid w:val="00326230"/>
    <w:rsid w:val="00326290"/>
    <w:rsid w:val="00330DA7"/>
    <w:rsid w:val="00332C2D"/>
    <w:rsid w:val="00335872"/>
    <w:rsid w:val="003462FF"/>
    <w:rsid w:val="00347A73"/>
    <w:rsid w:val="00347CB0"/>
    <w:rsid w:val="00352495"/>
    <w:rsid w:val="00353707"/>
    <w:rsid w:val="00354BE6"/>
    <w:rsid w:val="0035524D"/>
    <w:rsid w:val="00357E51"/>
    <w:rsid w:val="003628C2"/>
    <w:rsid w:val="00364854"/>
    <w:rsid w:val="00366BB7"/>
    <w:rsid w:val="003721DF"/>
    <w:rsid w:val="003748D5"/>
    <w:rsid w:val="0037694B"/>
    <w:rsid w:val="00381E11"/>
    <w:rsid w:val="003824D1"/>
    <w:rsid w:val="00393CBD"/>
    <w:rsid w:val="00395C76"/>
    <w:rsid w:val="003A2B25"/>
    <w:rsid w:val="003A5520"/>
    <w:rsid w:val="003B077B"/>
    <w:rsid w:val="003B3342"/>
    <w:rsid w:val="003B5C9C"/>
    <w:rsid w:val="003C193B"/>
    <w:rsid w:val="003D0D72"/>
    <w:rsid w:val="003D17A4"/>
    <w:rsid w:val="003D39E2"/>
    <w:rsid w:val="003D3F68"/>
    <w:rsid w:val="003E006E"/>
    <w:rsid w:val="003E30F8"/>
    <w:rsid w:val="003E399E"/>
    <w:rsid w:val="003E6830"/>
    <w:rsid w:val="003F3875"/>
    <w:rsid w:val="003F42C0"/>
    <w:rsid w:val="003F51B0"/>
    <w:rsid w:val="004033E1"/>
    <w:rsid w:val="00405E84"/>
    <w:rsid w:val="0040607F"/>
    <w:rsid w:val="00417860"/>
    <w:rsid w:val="00420A7A"/>
    <w:rsid w:val="004235AF"/>
    <w:rsid w:val="0042558D"/>
    <w:rsid w:val="00427A89"/>
    <w:rsid w:val="0043107A"/>
    <w:rsid w:val="00432C43"/>
    <w:rsid w:val="004359C6"/>
    <w:rsid w:val="004360FC"/>
    <w:rsid w:val="004378C7"/>
    <w:rsid w:val="00437B9C"/>
    <w:rsid w:val="00437FC4"/>
    <w:rsid w:val="00441805"/>
    <w:rsid w:val="00445773"/>
    <w:rsid w:val="004551D1"/>
    <w:rsid w:val="0045753C"/>
    <w:rsid w:val="004577C3"/>
    <w:rsid w:val="0046038A"/>
    <w:rsid w:val="00460F3E"/>
    <w:rsid w:val="00464570"/>
    <w:rsid w:val="004761B2"/>
    <w:rsid w:val="00481AFA"/>
    <w:rsid w:val="0049337D"/>
    <w:rsid w:val="004B093D"/>
    <w:rsid w:val="004B14B8"/>
    <w:rsid w:val="004B604C"/>
    <w:rsid w:val="004B6095"/>
    <w:rsid w:val="004E4ADE"/>
    <w:rsid w:val="004E5028"/>
    <w:rsid w:val="004E5F4E"/>
    <w:rsid w:val="004F2802"/>
    <w:rsid w:val="00500B9E"/>
    <w:rsid w:val="00503499"/>
    <w:rsid w:val="00506501"/>
    <w:rsid w:val="00507BC4"/>
    <w:rsid w:val="00513DB6"/>
    <w:rsid w:val="00524E92"/>
    <w:rsid w:val="00531E28"/>
    <w:rsid w:val="005344B1"/>
    <w:rsid w:val="005423E7"/>
    <w:rsid w:val="005572B4"/>
    <w:rsid w:val="0056010A"/>
    <w:rsid w:val="00563302"/>
    <w:rsid w:val="00571307"/>
    <w:rsid w:val="005743EA"/>
    <w:rsid w:val="00576F2E"/>
    <w:rsid w:val="00581210"/>
    <w:rsid w:val="00581FC3"/>
    <w:rsid w:val="005832B2"/>
    <w:rsid w:val="005851F1"/>
    <w:rsid w:val="005910B4"/>
    <w:rsid w:val="00596A23"/>
    <w:rsid w:val="005B735D"/>
    <w:rsid w:val="005C4A71"/>
    <w:rsid w:val="005C6F40"/>
    <w:rsid w:val="005D4119"/>
    <w:rsid w:val="005D66C2"/>
    <w:rsid w:val="005E2AC9"/>
    <w:rsid w:val="005E4D67"/>
    <w:rsid w:val="005F3D7C"/>
    <w:rsid w:val="00602D7E"/>
    <w:rsid w:val="00603BD0"/>
    <w:rsid w:val="0060555D"/>
    <w:rsid w:val="00606161"/>
    <w:rsid w:val="006062B3"/>
    <w:rsid w:val="00612EB1"/>
    <w:rsid w:val="0061352C"/>
    <w:rsid w:val="006165C8"/>
    <w:rsid w:val="006175B4"/>
    <w:rsid w:val="00617AAD"/>
    <w:rsid w:val="00621CDC"/>
    <w:rsid w:val="006229B2"/>
    <w:rsid w:val="00625E3D"/>
    <w:rsid w:val="00630B61"/>
    <w:rsid w:val="006402A6"/>
    <w:rsid w:val="00644B65"/>
    <w:rsid w:val="006530F8"/>
    <w:rsid w:val="006537BE"/>
    <w:rsid w:val="006654C0"/>
    <w:rsid w:val="00681997"/>
    <w:rsid w:val="0068405C"/>
    <w:rsid w:val="00691017"/>
    <w:rsid w:val="0069152C"/>
    <w:rsid w:val="006948CE"/>
    <w:rsid w:val="00695AA7"/>
    <w:rsid w:val="006A29A5"/>
    <w:rsid w:val="006A2BD9"/>
    <w:rsid w:val="006A3C57"/>
    <w:rsid w:val="006A4F83"/>
    <w:rsid w:val="006A5072"/>
    <w:rsid w:val="006B5151"/>
    <w:rsid w:val="006C2D84"/>
    <w:rsid w:val="006C2F7D"/>
    <w:rsid w:val="006C3580"/>
    <w:rsid w:val="006C3F4D"/>
    <w:rsid w:val="006C6349"/>
    <w:rsid w:val="006D479F"/>
    <w:rsid w:val="006E2E51"/>
    <w:rsid w:val="006F4BBB"/>
    <w:rsid w:val="006F6DB2"/>
    <w:rsid w:val="00704B3A"/>
    <w:rsid w:val="00710CF8"/>
    <w:rsid w:val="00711E08"/>
    <w:rsid w:val="007138FD"/>
    <w:rsid w:val="00716BB1"/>
    <w:rsid w:val="007172FD"/>
    <w:rsid w:val="007200C8"/>
    <w:rsid w:val="007215F6"/>
    <w:rsid w:val="00721BAA"/>
    <w:rsid w:val="00737401"/>
    <w:rsid w:val="00745968"/>
    <w:rsid w:val="00747A3E"/>
    <w:rsid w:val="007730C9"/>
    <w:rsid w:val="00775150"/>
    <w:rsid w:val="00776B48"/>
    <w:rsid w:val="0078099D"/>
    <w:rsid w:val="00787DE8"/>
    <w:rsid w:val="007942D8"/>
    <w:rsid w:val="00794983"/>
    <w:rsid w:val="00796ED7"/>
    <w:rsid w:val="007A7740"/>
    <w:rsid w:val="007B00BF"/>
    <w:rsid w:val="007B4F1D"/>
    <w:rsid w:val="007C002A"/>
    <w:rsid w:val="007C024B"/>
    <w:rsid w:val="007C4664"/>
    <w:rsid w:val="007D408A"/>
    <w:rsid w:val="007D4A5A"/>
    <w:rsid w:val="007D6B20"/>
    <w:rsid w:val="007E0673"/>
    <w:rsid w:val="007E32FC"/>
    <w:rsid w:val="007F01A2"/>
    <w:rsid w:val="007F0378"/>
    <w:rsid w:val="007F2ABC"/>
    <w:rsid w:val="007F7FEC"/>
    <w:rsid w:val="0081027D"/>
    <w:rsid w:val="00817B3D"/>
    <w:rsid w:val="00822299"/>
    <w:rsid w:val="008270D5"/>
    <w:rsid w:val="008279A7"/>
    <w:rsid w:val="00831B7F"/>
    <w:rsid w:val="0085250F"/>
    <w:rsid w:val="008525D6"/>
    <w:rsid w:val="0085388E"/>
    <w:rsid w:val="00856F5E"/>
    <w:rsid w:val="008604D1"/>
    <w:rsid w:val="008659E9"/>
    <w:rsid w:val="0087095D"/>
    <w:rsid w:val="00871835"/>
    <w:rsid w:val="00871F12"/>
    <w:rsid w:val="00875420"/>
    <w:rsid w:val="00876184"/>
    <w:rsid w:val="00880A50"/>
    <w:rsid w:val="00884732"/>
    <w:rsid w:val="0089007C"/>
    <w:rsid w:val="008928AE"/>
    <w:rsid w:val="00893092"/>
    <w:rsid w:val="00894583"/>
    <w:rsid w:val="008A4C9B"/>
    <w:rsid w:val="008B08C5"/>
    <w:rsid w:val="008B6384"/>
    <w:rsid w:val="008B6557"/>
    <w:rsid w:val="008B74A7"/>
    <w:rsid w:val="008C02C2"/>
    <w:rsid w:val="008C1CB3"/>
    <w:rsid w:val="008C7F21"/>
    <w:rsid w:val="008D1795"/>
    <w:rsid w:val="008D4357"/>
    <w:rsid w:val="008D565D"/>
    <w:rsid w:val="008D6357"/>
    <w:rsid w:val="008E5EA1"/>
    <w:rsid w:val="008E6AB7"/>
    <w:rsid w:val="008F13C0"/>
    <w:rsid w:val="008F38EE"/>
    <w:rsid w:val="009001CB"/>
    <w:rsid w:val="009004F6"/>
    <w:rsid w:val="00900F88"/>
    <w:rsid w:val="009077A0"/>
    <w:rsid w:val="009113DE"/>
    <w:rsid w:val="00913121"/>
    <w:rsid w:val="009171D5"/>
    <w:rsid w:val="00917709"/>
    <w:rsid w:val="00917C84"/>
    <w:rsid w:val="009220F2"/>
    <w:rsid w:val="009227C1"/>
    <w:rsid w:val="00923EDB"/>
    <w:rsid w:val="00925D9A"/>
    <w:rsid w:val="00926978"/>
    <w:rsid w:val="00932BD9"/>
    <w:rsid w:val="00943742"/>
    <w:rsid w:val="0094670F"/>
    <w:rsid w:val="009479D0"/>
    <w:rsid w:val="00961BA9"/>
    <w:rsid w:val="00967923"/>
    <w:rsid w:val="009701D2"/>
    <w:rsid w:val="00970774"/>
    <w:rsid w:val="00972FAE"/>
    <w:rsid w:val="0097462A"/>
    <w:rsid w:val="00986292"/>
    <w:rsid w:val="00987779"/>
    <w:rsid w:val="009A2AA5"/>
    <w:rsid w:val="009A63FB"/>
    <w:rsid w:val="009B55D4"/>
    <w:rsid w:val="009B787A"/>
    <w:rsid w:val="009B7A49"/>
    <w:rsid w:val="009B7AD9"/>
    <w:rsid w:val="009C387D"/>
    <w:rsid w:val="009C571F"/>
    <w:rsid w:val="009D0461"/>
    <w:rsid w:val="009D4188"/>
    <w:rsid w:val="009D4EFC"/>
    <w:rsid w:val="009D7FA3"/>
    <w:rsid w:val="009E216D"/>
    <w:rsid w:val="009E2C49"/>
    <w:rsid w:val="009E6283"/>
    <w:rsid w:val="009E63CA"/>
    <w:rsid w:val="009F34CB"/>
    <w:rsid w:val="009F7460"/>
    <w:rsid w:val="00A03E44"/>
    <w:rsid w:val="00A075A8"/>
    <w:rsid w:val="00A10A7B"/>
    <w:rsid w:val="00A15F6A"/>
    <w:rsid w:val="00A311C2"/>
    <w:rsid w:val="00A32233"/>
    <w:rsid w:val="00A36A24"/>
    <w:rsid w:val="00A376FB"/>
    <w:rsid w:val="00A45306"/>
    <w:rsid w:val="00A45D73"/>
    <w:rsid w:val="00A62F8C"/>
    <w:rsid w:val="00A64725"/>
    <w:rsid w:val="00A6666A"/>
    <w:rsid w:val="00A73490"/>
    <w:rsid w:val="00A819B6"/>
    <w:rsid w:val="00A91C8B"/>
    <w:rsid w:val="00A95824"/>
    <w:rsid w:val="00AB2EDC"/>
    <w:rsid w:val="00AB47F4"/>
    <w:rsid w:val="00AC136E"/>
    <w:rsid w:val="00AC1F6A"/>
    <w:rsid w:val="00AC413D"/>
    <w:rsid w:val="00AD3A9D"/>
    <w:rsid w:val="00AD79D3"/>
    <w:rsid w:val="00AE5434"/>
    <w:rsid w:val="00AE6DBF"/>
    <w:rsid w:val="00AE75DB"/>
    <w:rsid w:val="00B0092D"/>
    <w:rsid w:val="00B01C60"/>
    <w:rsid w:val="00B01D22"/>
    <w:rsid w:val="00B03A00"/>
    <w:rsid w:val="00B0445D"/>
    <w:rsid w:val="00B0447C"/>
    <w:rsid w:val="00B05E53"/>
    <w:rsid w:val="00B072AA"/>
    <w:rsid w:val="00B10650"/>
    <w:rsid w:val="00B10E08"/>
    <w:rsid w:val="00B11436"/>
    <w:rsid w:val="00B12341"/>
    <w:rsid w:val="00B25D19"/>
    <w:rsid w:val="00B359D9"/>
    <w:rsid w:val="00B35BC7"/>
    <w:rsid w:val="00B40B8B"/>
    <w:rsid w:val="00B4404D"/>
    <w:rsid w:val="00B50993"/>
    <w:rsid w:val="00B63168"/>
    <w:rsid w:val="00B63E9B"/>
    <w:rsid w:val="00B64963"/>
    <w:rsid w:val="00B70085"/>
    <w:rsid w:val="00B7099F"/>
    <w:rsid w:val="00B71873"/>
    <w:rsid w:val="00B72A5D"/>
    <w:rsid w:val="00B736B7"/>
    <w:rsid w:val="00B73C45"/>
    <w:rsid w:val="00B82E01"/>
    <w:rsid w:val="00B84DD7"/>
    <w:rsid w:val="00B91811"/>
    <w:rsid w:val="00B94460"/>
    <w:rsid w:val="00B9561A"/>
    <w:rsid w:val="00BA437F"/>
    <w:rsid w:val="00BA5C29"/>
    <w:rsid w:val="00BB6C9A"/>
    <w:rsid w:val="00BC0594"/>
    <w:rsid w:val="00BC11FC"/>
    <w:rsid w:val="00BC1F54"/>
    <w:rsid w:val="00BC4C9D"/>
    <w:rsid w:val="00BC54FC"/>
    <w:rsid w:val="00BD2118"/>
    <w:rsid w:val="00BD5092"/>
    <w:rsid w:val="00BD5997"/>
    <w:rsid w:val="00BE6F50"/>
    <w:rsid w:val="00BF1BA3"/>
    <w:rsid w:val="00BF588D"/>
    <w:rsid w:val="00C03447"/>
    <w:rsid w:val="00C07EF5"/>
    <w:rsid w:val="00C128FE"/>
    <w:rsid w:val="00C13304"/>
    <w:rsid w:val="00C1777A"/>
    <w:rsid w:val="00C212E3"/>
    <w:rsid w:val="00C21991"/>
    <w:rsid w:val="00C22FAE"/>
    <w:rsid w:val="00C24C44"/>
    <w:rsid w:val="00C26B0C"/>
    <w:rsid w:val="00C30F18"/>
    <w:rsid w:val="00C331D1"/>
    <w:rsid w:val="00C35958"/>
    <w:rsid w:val="00C372A8"/>
    <w:rsid w:val="00C375FF"/>
    <w:rsid w:val="00C40848"/>
    <w:rsid w:val="00C50E47"/>
    <w:rsid w:val="00C562AA"/>
    <w:rsid w:val="00C574F4"/>
    <w:rsid w:val="00C747C6"/>
    <w:rsid w:val="00C756C3"/>
    <w:rsid w:val="00C80F66"/>
    <w:rsid w:val="00C84AE8"/>
    <w:rsid w:val="00C85D1B"/>
    <w:rsid w:val="00C96DDA"/>
    <w:rsid w:val="00CA7F1F"/>
    <w:rsid w:val="00CB5D3E"/>
    <w:rsid w:val="00CC4C46"/>
    <w:rsid w:val="00CC6AAB"/>
    <w:rsid w:val="00CC77FF"/>
    <w:rsid w:val="00CC7CF5"/>
    <w:rsid w:val="00CE3C5A"/>
    <w:rsid w:val="00CE59C6"/>
    <w:rsid w:val="00CE7586"/>
    <w:rsid w:val="00D03659"/>
    <w:rsid w:val="00D03EDF"/>
    <w:rsid w:val="00D10DC0"/>
    <w:rsid w:val="00D11555"/>
    <w:rsid w:val="00D13D6D"/>
    <w:rsid w:val="00D20C74"/>
    <w:rsid w:val="00D24FD7"/>
    <w:rsid w:val="00D25647"/>
    <w:rsid w:val="00D34FE4"/>
    <w:rsid w:val="00D377A7"/>
    <w:rsid w:val="00D44C95"/>
    <w:rsid w:val="00D452A7"/>
    <w:rsid w:val="00D4584F"/>
    <w:rsid w:val="00D54725"/>
    <w:rsid w:val="00D559FF"/>
    <w:rsid w:val="00D62B8C"/>
    <w:rsid w:val="00D63276"/>
    <w:rsid w:val="00D66F39"/>
    <w:rsid w:val="00D84B36"/>
    <w:rsid w:val="00D85853"/>
    <w:rsid w:val="00D936A0"/>
    <w:rsid w:val="00D95838"/>
    <w:rsid w:val="00D97162"/>
    <w:rsid w:val="00D97CE9"/>
    <w:rsid w:val="00DA36E7"/>
    <w:rsid w:val="00DA4FC7"/>
    <w:rsid w:val="00DA550D"/>
    <w:rsid w:val="00DA7017"/>
    <w:rsid w:val="00DB13DD"/>
    <w:rsid w:val="00DB1B31"/>
    <w:rsid w:val="00DB1C27"/>
    <w:rsid w:val="00DB38EE"/>
    <w:rsid w:val="00DB7973"/>
    <w:rsid w:val="00DC13AB"/>
    <w:rsid w:val="00DC5EF2"/>
    <w:rsid w:val="00DC7EF7"/>
    <w:rsid w:val="00DD6B5E"/>
    <w:rsid w:val="00DD6BD4"/>
    <w:rsid w:val="00DE5E58"/>
    <w:rsid w:val="00DE7B46"/>
    <w:rsid w:val="00E0162C"/>
    <w:rsid w:val="00E11487"/>
    <w:rsid w:val="00E14ACC"/>
    <w:rsid w:val="00E15A8C"/>
    <w:rsid w:val="00E4144C"/>
    <w:rsid w:val="00E44F84"/>
    <w:rsid w:val="00E463C6"/>
    <w:rsid w:val="00E53121"/>
    <w:rsid w:val="00E5318E"/>
    <w:rsid w:val="00E53532"/>
    <w:rsid w:val="00E6034D"/>
    <w:rsid w:val="00E71967"/>
    <w:rsid w:val="00E754B1"/>
    <w:rsid w:val="00E801B5"/>
    <w:rsid w:val="00E905E8"/>
    <w:rsid w:val="00E93F56"/>
    <w:rsid w:val="00E952D9"/>
    <w:rsid w:val="00E96773"/>
    <w:rsid w:val="00E97CB9"/>
    <w:rsid w:val="00EB27E9"/>
    <w:rsid w:val="00EB37C9"/>
    <w:rsid w:val="00EC134E"/>
    <w:rsid w:val="00ED0445"/>
    <w:rsid w:val="00ED3C3B"/>
    <w:rsid w:val="00EE48C3"/>
    <w:rsid w:val="00EF199D"/>
    <w:rsid w:val="00EF4E12"/>
    <w:rsid w:val="00EF5326"/>
    <w:rsid w:val="00EF65F3"/>
    <w:rsid w:val="00F01510"/>
    <w:rsid w:val="00F02A6D"/>
    <w:rsid w:val="00F0424C"/>
    <w:rsid w:val="00F10495"/>
    <w:rsid w:val="00F10DA8"/>
    <w:rsid w:val="00F1168A"/>
    <w:rsid w:val="00F12A10"/>
    <w:rsid w:val="00F2391C"/>
    <w:rsid w:val="00F31E30"/>
    <w:rsid w:val="00F3326F"/>
    <w:rsid w:val="00F34781"/>
    <w:rsid w:val="00F41A5D"/>
    <w:rsid w:val="00F470A2"/>
    <w:rsid w:val="00F51F93"/>
    <w:rsid w:val="00F552E5"/>
    <w:rsid w:val="00F56AA8"/>
    <w:rsid w:val="00F67C91"/>
    <w:rsid w:val="00F723F9"/>
    <w:rsid w:val="00F82315"/>
    <w:rsid w:val="00F83D3C"/>
    <w:rsid w:val="00F840D6"/>
    <w:rsid w:val="00F8691C"/>
    <w:rsid w:val="00F900BE"/>
    <w:rsid w:val="00F97392"/>
    <w:rsid w:val="00F97DF6"/>
    <w:rsid w:val="00FA4EEC"/>
    <w:rsid w:val="00FB335B"/>
    <w:rsid w:val="00FB4EAA"/>
    <w:rsid w:val="00FC5512"/>
    <w:rsid w:val="00FC6366"/>
    <w:rsid w:val="00FD0CD9"/>
    <w:rsid w:val="00FD4970"/>
    <w:rsid w:val="00FD6927"/>
    <w:rsid w:val="00FE02D9"/>
    <w:rsid w:val="00FE14F9"/>
    <w:rsid w:val="00FF2EFF"/>
    <w:rsid w:val="00FF4843"/>
    <w:rsid w:val="00FF5EEA"/>
    <w:rsid w:val="014D28C9"/>
    <w:rsid w:val="01710365"/>
    <w:rsid w:val="01BD616A"/>
    <w:rsid w:val="01D63A04"/>
    <w:rsid w:val="027202ED"/>
    <w:rsid w:val="02D34569"/>
    <w:rsid w:val="03113FAE"/>
    <w:rsid w:val="031474FD"/>
    <w:rsid w:val="03211F11"/>
    <w:rsid w:val="0334789D"/>
    <w:rsid w:val="035622D5"/>
    <w:rsid w:val="03E0798B"/>
    <w:rsid w:val="03EA2651"/>
    <w:rsid w:val="03EC461B"/>
    <w:rsid w:val="04274CAC"/>
    <w:rsid w:val="04554F55"/>
    <w:rsid w:val="0455554A"/>
    <w:rsid w:val="04616819"/>
    <w:rsid w:val="046637EE"/>
    <w:rsid w:val="04D055E9"/>
    <w:rsid w:val="05282AA4"/>
    <w:rsid w:val="05485CA5"/>
    <w:rsid w:val="058F7720"/>
    <w:rsid w:val="0592587A"/>
    <w:rsid w:val="061635B9"/>
    <w:rsid w:val="065055F6"/>
    <w:rsid w:val="068F7016"/>
    <w:rsid w:val="06A75D00"/>
    <w:rsid w:val="06AE2959"/>
    <w:rsid w:val="06D05CDA"/>
    <w:rsid w:val="06E710CA"/>
    <w:rsid w:val="070045A5"/>
    <w:rsid w:val="070D455F"/>
    <w:rsid w:val="071426B7"/>
    <w:rsid w:val="071C5217"/>
    <w:rsid w:val="07462FD2"/>
    <w:rsid w:val="07E37E3E"/>
    <w:rsid w:val="084111D5"/>
    <w:rsid w:val="08607386"/>
    <w:rsid w:val="08797942"/>
    <w:rsid w:val="087D1CE6"/>
    <w:rsid w:val="08AB7738"/>
    <w:rsid w:val="08AF05F8"/>
    <w:rsid w:val="08F33D56"/>
    <w:rsid w:val="09403496"/>
    <w:rsid w:val="0946657C"/>
    <w:rsid w:val="098859F6"/>
    <w:rsid w:val="0A097F22"/>
    <w:rsid w:val="0A171CC6"/>
    <w:rsid w:val="0A2370AA"/>
    <w:rsid w:val="0A51342A"/>
    <w:rsid w:val="0AA532D9"/>
    <w:rsid w:val="0AD91E2E"/>
    <w:rsid w:val="0AF54A38"/>
    <w:rsid w:val="0B074C17"/>
    <w:rsid w:val="0B3C2236"/>
    <w:rsid w:val="0C3952B8"/>
    <w:rsid w:val="0C3F46FB"/>
    <w:rsid w:val="0CEA0AED"/>
    <w:rsid w:val="0DCB6F7B"/>
    <w:rsid w:val="0E774FF5"/>
    <w:rsid w:val="0EF645A0"/>
    <w:rsid w:val="0F037F40"/>
    <w:rsid w:val="0F241091"/>
    <w:rsid w:val="0F2561EC"/>
    <w:rsid w:val="0F370844"/>
    <w:rsid w:val="0F697A75"/>
    <w:rsid w:val="0F9230D3"/>
    <w:rsid w:val="0FE102BB"/>
    <w:rsid w:val="10230FB4"/>
    <w:rsid w:val="10B72B6A"/>
    <w:rsid w:val="10BC03C7"/>
    <w:rsid w:val="10E74738"/>
    <w:rsid w:val="11094EF4"/>
    <w:rsid w:val="11644F53"/>
    <w:rsid w:val="11851182"/>
    <w:rsid w:val="1208099D"/>
    <w:rsid w:val="120B77B2"/>
    <w:rsid w:val="1246636D"/>
    <w:rsid w:val="12B46E52"/>
    <w:rsid w:val="12C22B33"/>
    <w:rsid w:val="12E32EDE"/>
    <w:rsid w:val="130F4A87"/>
    <w:rsid w:val="132F7E16"/>
    <w:rsid w:val="13CE1D2C"/>
    <w:rsid w:val="13D42916"/>
    <w:rsid w:val="141C0B09"/>
    <w:rsid w:val="14237C67"/>
    <w:rsid w:val="144172A9"/>
    <w:rsid w:val="150269A9"/>
    <w:rsid w:val="150F3DBE"/>
    <w:rsid w:val="153732D2"/>
    <w:rsid w:val="156958BC"/>
    <w:rsid w:val="15820CF9"/>
    <w:rsid w:val="158A77F0"/>
    <w:rsid w:val="15A13C38"/>
    <w:rsid w:val="16047038"/>
    <w:rsid w:val="161E3E86"/>
    <w:rsid w:val="162E65C0"/>
    <w:rsid w:val="163D1C9C"/>
    <w:rsid w:val="16527416"/>
    <w:rsid w:val="16B60189"/>
    <w:rsid w:val="16BF171B"/>
    <w:rsid w:val="16C115CB"/>
    <w:rsid w:val="16CF5E02"/>
    <w:rsid w:val="16E6367E"/>
    <w:rsid w:val="16F73057"/>
    <w:rsid w:val="1706559C"/>
    <w:rsid w:val="171A2056"/>
    <w:rsid w:val="176C0D57"/>
    <w:rsid w:val="177E4989"/>
    <w:rsid w:val="17883C64"/>
    <w:rsid w:val="17E01765"/>
    <w:rsid w:val="182745FA"/>
    <w:rsid w:val="18450EF1"/>
    <w:rsid w:val="18D71B4A"/>
    <w:rsid w:val="18FB6AD0"/>
    <w:rsid w:val="1A010EDF"/>
    <w:rsid w:val="1A6920CA"/>
    <w:rsid w:val="1AD559B1"/>
    <w:rsid w:val="1ADD7A62"/>
    <w:rsid w:val="1AE34571"/>
    <w:rsid w:val="1B0940FF"/>
    <w:rsid w:val="1B667448"/>
    <w:rsid w:val="1BB84D32"/>
    <w:rsid w:val="1BEE10DD"/>
    <w:rsid w:val="1C2756DA"/>
    <w:rsid w:val="1C3B7A96"/>
    <w:rsid w:val="1C7A0F4E"/>
    <w:rsid w:val="1C7C1ACE"/>
    <w:rsid w:val="1CA36692"/>
    <w:rsid w:val="1CBA2D9A"/>
    <w:rsid w:val="1CE011DA"/>
    <w:rsid w:val="1CED5B5F"/>
    <w:rsid w:val="1CF814E3"/>
    <w:rsid w:val="1D16347D"/>
    <w:rsid w:val="1D4A4B12"/>
    <w:rsid w:val="1DAA30B3"/>
    <w:rsid w:val="1DEA6919"/>
    <w:rsid w:val="1E753AFD"/>
    <w:rsid w:val="1EFF2FC9"/>
    <w:rsid w:val="1F5C3FAB"/>
    <w:rsid w:val="1F6F787D"/>
    <w:rsid w:val="1FA30D6D"/>
    <w:rsid w:val="1FEA5A5B"/>
    <w:rsid w:val="20141E2D"/>
    <w:rsid w:val="2035390D"/>
    <w:rsid w:val="207A1985"/>
    <w:rsid w:val="20AC6B3E"/>
    <w:rsid w:val="20AD2FCE"/>
    <w:rsid w:val="20B75F78"/>
    <w:rsid w:val="20DA3FFB"/>
    <w:rsid w:val="2125070E"/>
    <w:rsid w:val="22055633"/>
    <w:rsid w:val="222907BE"/>
    <w:rsid w:val="223E0DB0"/>
    <w:rsid w:val="22602008"/>
    <w:rsid w:val="227036B8"/>
    <w:rsid w:val="22AD273C"/>
    <w:rsid w:val="22C62CF4"/>
    <w:rsid w:val="22FA4207"/>
    <w:rsid w:val="23A06120"/>
    <w:rsid w:val="23AC3ABD"/>
    <w:rsid w:val="23D1648D"/>
    <w:rsid w:val="246B437F"/>
    <w:rsid w:val="24E604BE"/>
    <w:rsid w:val="25070D37"/>
    <w:rsid w:val="250A3135"/>
    <w:rsid w:val="25127EC9"/>
    <w:rsid w:val="25873916"/>
    <w:rsid w:val="25941224"/>
    <w:rsid w:val="265577FD"/>
    <w:rsid w:val="26C977DB"/>
    <w:rsid w:val="26F70FEF"/>
    <w:rsid w:val="277415D3"/>
    <w:rsid w:val="284B0D66"/>
    <w:rsid w:val="286D408E"/>
    <w:rsid w:val="286E02B3"/>
    <w:rsid w:val="28814A83"/>
    <w:rsid w:val="28AC24C6"/>
    <w:rsid w:val="28CD7B64"/>
    <w:rsid w:val="28DA73F5"/>
    <w:rsid w:val="297B3849"/>
    <w:rsid w:val="298001BF"/>
    <w:rsid w:val="29AE6B2F"/>
    <w:rsid w:val="2A4276AF"/>
    <w:rsid w:val="2A947DE8"/>
    <w:rsid w:val="2A9E4307"/>
    <w:rsid w:val="2AEA2DB3"/>
    <w:rsid w:val="2B163BA8"/>
    <w:rsid w:val="2B5E4C51"/>
    <w:rsid w:val="2BBD2276"/>
    <w:rsid w:val="2BFE33E2"/>
    <w:rsid w:val="2C4955AF"/>
    <w:rsid w:val="2C830B67"/>
    <w:rsid w:val="2C892158"/>
    <w:rsid w:val="2CFC2BFE"/>
    <w:rsid w:val="2D1777FD"/>
    <w:rsid w:val="2D4F50B7"/>
    <w:rsid w:val="2D89631C"/>
    <w:rsid w:val="2DDB1DA3"/>
    <w:rsid w:val="2DDE6641"/>
    <w:rsid w:val="2DF46565"/>
    <w:rsid w:val="2E2F6C9B"/>
    <w:rsid w:val="2EBD59CF"/>
    <w:rsid w:val="2F071B18"/>
    <w:rsid w:val="2F1E2E03"/>
    <w:rsid w:val="2F5A49A3"/>
    <w:rsid w:val="2F646705"/>
    <w:rsid w:val="2FBB4D1E"/>
    <w:rsid w:val="301164E2"/>
    <w:rsid w:val="30AB47A7"/>
    <w:rsid w:val="30FB5744"/>
    <w:rsid w:val="30FD40AA"/>
    <w:rsid w:val="31267AAE"/>
    <w:rsid w:val="31444881"/>
    <w:rsid w:val="314D028A"/>
    <w:rsid w:val="31E676C8"/>
    <w:rsid w:val="31E96637"/>
    <w:rsid w:val="3202189B"/>
    <w:rsid w:val="320A66A5"/>
    <w:rsid w:val="322F554F"/>
    <w:rsid w:val="32B26216"/>
    <w:rsid w:val="334C1F0A"/>
    <w:rsid w:val="33B915C6"/>
    <w:rsid w:val="33F40FB9"/>
    <w:rsid w:val="34237336"/>
    <w:rsid w:val="34266DEB"/>
    <w:rsid w:val="34A46A8E"/>
    <w:rsid w:val="34AC627E"/>
    <w:rsid w:val="34C943A5"/>
    <w:rsid w:val="34DE113B"/>
    <w:rsid w:val="34E95E89"/>
    <w:rsid w:val="352805DA"/>
    <w:rsid w:val="355530AA"/>
    <w:rsid w:val="355D42FC"/>
    <w:rsid w:val="355E7835"/>
    <w:rsid w:val="360016DD"/>
    <w:rsid w:val="361000EE"/>
    <w:rsid w:val="3623361D"/>
    <w:rsid w:val="364631D7"/>
    <w:rsid w:val="36890EF7"/>
    <w:rsid w:val="368928C2"/>
    <w:rsid w:val="36C86BF9"/>
    <w:rsid w:val="36DB257F"/>
    <w:rsid w:val="36E0506A"/>
    <w:rsid w:val="36FA3F13"/>
    <w:rsid w:val="374D1701"/>
    <w:rsid w:val="37850378"/>
    <w:rsid w:val="37D51F88"/>
    <w:rsid w:val="38065969"/>
    <w:rsid w:val="380E11B5"/>
    <w:rsid w:val="38224438"/>
    <w:rsid w:val="385578DD"/>
    <w:rsid w:val="389E4A58"/>
    <w:rsid w:val="38CA6DC7"/>
    <w:rsid w:val="38F00B77"/>
    <w:rsid w:val="38F246F8"/>
    <w:rsid w:val="39A34800"/>
    <w:rsid w:val="39B57C6A"/>
    <w:rsid w:val="3A025137"/>
    <w:rsid w:val="3A0D3672"/>
    <w:rsid w:val="3A940645"/>
    <w:rsid w:val="3AA77E3B"/>
    <w:rsid w:val="3B1F29B6"/>
    <w:rsid w:val="3B443718"/>
    <w:rsid w:val="3C633344"/>
    <w:rsid w:val="3D060D95"/>
    <w:rsid w:val="3D246484"/>
    <w:rsid w:val="3D3D6D72"/>
    <w:rsid w:val="3D604F23"/>
    <w:rsid w:val="3DBA6D6D"/>
    <w:rsid w:val="3E375EB7"/>
    <w:rsid w:val="3E9B4320"/>
    <w:rsid w:val="3EBA2645"/>
    <w:rsid w:val="3EF83BC6"/>
    <w:rsid w:val="3F052829"/>
    <w:rsid w:val="3F5B255F"/>
    <w:rsid w:val="3F6F1E30"/>
    <w:rsid w:val="3F8213B4"/>
    <w:rsid w:val="3FB72902"/>
    <w:rsid w:val="40DC5A18"/>
    <w:rsid w:val="41410D52"/>
    <w:rsid w:val="415305A0"/>
    <w:rsid w:val="4183060E"/>
    <w:rsid w:val="41F4275B"/>
    <w:rsid w:val="42083B1B"/>
    <w:rsid w:val="424F13FD"/>
    <w:rsid w:val="42BC0B52"/>
    <w:rsid w:val="42E6560B"/>
    <w:rsid w:val="43B50E83"/>
    <w:rsid w:val="443322AB"/>
    <w:rsid w:val="445B1D97"/>
    <w:rsid w:val="4482063F"/>
    <w:rsid w:val="44A27BED"/>
    <w:rsid w:val="44C77AAC"/>
    <w:rsid w:val="44D00EFD"/>
    <w:rsid w:val="45422BD7"/>
    <w:rsid w:val="456C22D6"/>
    <w:rsid w:val="459D251C"/>
    <w:rsid w:val="45EE6081"/>
    <w:rsid w:val="460320FD"/>
    <w:rsid w:val="4687710A"/>
    <w:rsid w:val="46E22723"/>
    <w:rsid w:val="475573AE"/>
    <w:rsid w:val="476F0470"/>
    <w:rsid w:val="478101A3"/>
    <w:rsid w:val="47AB05E7"/>
    <w:rsid w:val="47B656EC"/>
    <w:rsid w:val="47D13163"/>
    <w:rsid w:val="48E2048F"/>
    <w:rsid w:val="48EC035B"/>
    <w:rsid w:val="490715C7"/>
    <w:rsid w:val="49172B6D"/>
    <w:rsid w:val="492E0DFE"/>
    <w:rsid w:val="4931445C"/>
    <w:rsid w:val="49514A8C"/>
    <w:rsid w:val="49900B72"/>
    <w:rsid w:val="49A11F60"/>
    <w:rsid w:val="4A010F2E"/>
    <w:rsid w:val="4A1A5044"/>
    <w:rsid w:val="4A224AAB"/>
    <w:rsid w:val="4A3E05CE"/>
    <w:rsid w:val="4A977611"/>
    <w:rsid w:val="4AC578F8"/>
    <w:rsid w:val="4ACF1226"/>
    <w:rsid w:val="4AD83721"/>
    <w:rsid w:val="4B641F01"/>
    <w:rsid w:val="4BBB3648"/>
    <w:rsid w:val="4BC8467F"/>
    <w:rsid w:val="4C0D2006"/>
    <w:rsid w:val="4CCE2A6C"/>
    <w:rsid w:val="4CCF375F"/>
    <w:rsid w:val="4CFB049C"/>
    <w:rsid w:val="4CFE53E3"/>
    <w:rsid w:val="4D06388C"/>
    <w:rsid w:val="4D267823"/>
    <w:rsid w:val="4D9D6E87"/>
    <w:rsid w:val="4DFD4457"/>
    <w:rsid w:val="4E6B5986"/>
    <w:rsid w:val="4E8924B7"/>
    <w:rsid w:val="4ED82D9F"/>
    <w:rsid w:val="4F0A4599"/>
    <w:rsid w:val="4F177B13"/>
    <w:rsid w:val="4F1B4F8F"/>
    <w:rsid w:val="4F581B68"/>
    <w:rsid w:val="4F5F5F91"/>
    <w:rsid w:val="4F9662AF"/>
    <w:rsid w:val="4FE17411"/>
    <w:rsid w:val="4FE63648"/>
    <w:rsid w:val="4FF954B0"/>
    <w:rsid w:val="501036E9"/>
    <w:rsid w:val="50544B52"/>
    <w:rsid w:val="50EC5C78"/>
    <w:rsid w:val="5105515C"/>
    <w:rsid w:val="512A47D7"/>
    <w:rsid w:val="514C7451"/>
    <w:rsid w:val="515D7E0E"/>
    <w:rsid w:val="51DD7ACF"/>
    <w:rsid w:val="528B5F99"/>
    <w:rsid w:val="52B040F9"/>
    <w:rsid w:val="52F368EA"/>
    <w:rsid w:val="5314221C"/>
    <w:rsid w:val="531C1D43"/>
    <w:rsid w:val="53624CAE"/>
    <w:rsid w:val="53CE7CE3"/>
    <w:rsid w:val="54196C13"/>
    <w:rsid w:val="54615848"/>
    <w:rsid w:val="546926EB"/>
    <w:rsid w:val="54837A44"/>
    <w:rsid w:val="54F06565"/>
    <w:rsid w:val="55461CD0"/>
    <w:rsid w:val="55562C6F"/>
    <w:rsid w:val="559A0800"/>
    <w:rsid w:val="562C4293"/>
    <w:rsid w:val="56654E19"/>
    <w:rsid w:val="567E422E"/>
    <w:rsid w:val="56876E58"/>
    <w:rsid w:val="56B37004"/>
    <w:rsid w:val="57392849"/>
    <w:rsid w:val="576A47B0"/>
    <w:rsid w:val="578E3178"/>
    <w:rsid w:val="578E78CE"/>
    <w:rsid w:val="57C739B1"/>
    <w:rsid w:val="57E16816"/>
    <w:rsid w:val="580659AE"/>
    <w:rsid w:val="587D149E"/>
    <w:rsid w:val="589477E8"/>
    <w:rsid w:val="589C308F"/>
    <w:rsid w:val="590D5D3B"/>
    <w:rsid w:val="59633BAD"/>
    <w:rsid w:val="59FB128F"/>
    <w:rsid w:val="5A0B7CD0"/>
    <w:rsid w:val="5A5C663F"/>
    <w:rsid w:val="5A8E6A07"/>
    <w:rsid w:val="5AA72721"/>
    <w:rsid w:val="5B37709F"/>
    <w:rsid w:val="5BB0235D"/>
    <w:rsid w:val="5BE12FA3"/>
    <w:rsid w:val="5BE37C7D"/>
    <w:rsid w:val="5C4D6613"/>
    <w:rsid w:val="5C917C8F"/>
    <w:rsid w:val="5C936557"/>
    <w:rsid w:val="5D52369F"/>
    <w:rsid w:val="5D8866EC"/>
    <w:rsid w:val="5D967CCA"/>
    <w:rsid w:val="5D9B2DBB"/>
    <w:rsid w:val="5DAE1741"/>
    <w:rsid w:val="5E3E0B9A"/>
    <w:rsid w:val="5EBF421E"/>
    <w:rsid w:val="5FE73417"/>
    <w:rsid w:val="5FEE31E5"/>
    <w:rsid w:val="5FF95A22"/>
    <w:rsid w:val="60011A2A"/>
    <w:rsid w:val="600E5712"/>
    <w:rsid w:val="605B6755"/>
    <w:rsid w:val="608F64D8"/>
    <w:rsid w:val="60974DF7"/>
    <w:rsid w:val="60F8107F"/>
    <w:rsid w:val="62297FF7"/>
    <w:rsid w:val="62716746"/>
    <w:rsid w:val="62B13874"/>
    <w:rsid w:val="62C57A58"/>
    <w:rsid w:val="62F647CF"/>
    <w:rsid w:val="634914F1"/>
    <w:rsid w:val="63672753"/>
    <w:rsid w:val="6372336A"/>
    <w:rsid w:val="638E0D2F"/>
    <w:rsid w:val="63AD0583"/>
    <w:rsid w:val="64130960"/>
    <w:rsid w:val="642144AD"/>
    <w:rsid w:val="64632CB3"/>
    <w:rsid w:val="64A010A4"/>
    <w:rsid w:val="64B52219"/>
    <w:rsid w:val="64D651F4"/>
    <w:rsid w:val="653B5B23"/>
    <w:rsid w:val="655A42F2"/>
    <w:rsid w:val="65E62E7A"/>
    <w:rsid w:val="6651045E"/>
    <w:rsid w:val="66EC7F6C"/>
    <w:rsid w:val="66F2338B"/>
    <w:rsid w:val="6734508E"/>
    <w:rsid w:val="67402739"/>
    <w:rsid w:val="67BB5990"/>
    <w:rsid w:val="67D85A5B"/>
    <w:rsid w:val="681A3036"/>
    <w:rsid w:val="68DB72BC"/>
    <w:rsid w:val="68F13272"/>
    <w:rsid w:val="68F401AC"/>
    <w:rsid w:val="690A5DF3"/>
    <w:rsid w:val="691E27F7"/>
    <w:rsid w:val="69683870"/>
    <w:rsid w:val="69EC5DE8"/>
    <w:rsid w:val="69F452BC"/>
    <w:rsid w:val="69F85BB3"/>
    <w:rsid w:val="6A210462"/>
    <w:rsid w:val="6A241D9D"/>
    <w:rsid w:val="6AAD178D"/>
    <w:rsid w:val="6AB73874"/>
    <w:rsid w:val="6BA14108"/>
    <w:rsid w:val="6BD61FBC"/>
    <w:rsid w:val="6C12075B"/>
    <w:rsid w:val="6C567ACE"/>
    <w:rsid w:val="6CC649E7"/>
    <w:rsid w:val="6D27431E"/>
    <w:rsid w:val="6D593B65"/>
    <w:rsid w:val="6DBE1774"/>
    <w:rsid w:val="6DC2298A"/>
    <w:rsid w:val="6DDA5CDD"/>
    <w:rsid w:val="6E661C4B"/>
    <w:rsid w:val="6E737F96"/>
    <w:rsid w:val="6EB570F1"/>
    <w:rsid w:val="6F053D76"/>
    <w:rsid w:val="6F5F71DE"/>
    <w:rsid w:val="6F77163A"/>
    <w:rsid w:val="6FC4095F"/>
    <w:rsid w:val="6FFD4727"/>
    <w:rsid w:val="70553DF8"/>
    <w:rsid w:val="70950CCA"/>
    <w:rsid w:val="70C943AC"/>
    <w:rsid w:val="711D41EA"/>
    <w:rsid w:val="713B2DF3"/>
    <w:rsid w:val="714D2E46"/>
    <w:rsid w:val="717958C4"/>
    <w:rsid w:val="71EF23D9"/>
    <w:rsid w:val="724A45D8"/>
    <w:rsid w:val="72603664"/>
    <w:rsid w:val="728313C6"/>
    <w:rsid w:val="72B96975"/>
    <w:rsid w:val="73030A93"/>
    <w:rsid w:val="73392FC3"/>
    <w:rsid w:val="7362231C"/>
    <w:rsid w:val="73A409FB"/>
    <w:rsid w:val="73A66718"/>
    <w:rsid w:val="73BD3E07"/>
    <w:rsid w:val="74177616"/>
    <w:rsid w:val="742F670E"/>
    <w:rsid w:val="745028BB"/>
    <w:rsid w:val="74825555"/>
    <w:rsid w:val="74E43D8C"/>
    <w:rsid w:val="750648B2"/>
    <w:rsid w:val="750E5D0B"/>
    <w:rsid w:val="751D3132"/>
    <w:rsid w:val="75CF1E94"/>
    <w:rsid w:val="75F56CE4"/>
    <w:rsid w:val="764E578E"/>
    <w:rsid w:val="766C100E"/>
    <w:rsid w:val="76B146A9"/>
    <w:rsid w:val="76B37127"/>
    <w:rsid w:val="76D14890"/>
    <w:rsid w:val="77281627"/>
    <w:rsid w:val="77A2369A"/>
    <w:rsid w:val="783B7DD5"/>
    <w:rsid w:val="78930E2C"/>
    <w:rsid w:val="78C22246"/>
    <w:rsid w:val="78E53565"/>
    <w:rsid w:val="78FD1E3E"/>
    <w:rsid w:val="790D22C6"/>
    <w:rsid w:val="79533A4D"/>
    <w:rsid w:val="796C6890"/>
    <w:rsid w:val="79F44E2E"/>
    <w:rsid w:val="79FE1940"/>
    <w:rsid w:val="7A087E4F"/>
    <w:rsid w:val="7A287E87"/>
    <w:rsid w:val="7A2F68BA"/>
    <w:rsid w:val="7A4831E2"/>
    <w:rsid w:val="7A583B2A"/>
    <w:rsid w:val="7A5E1AFB"/>
    <w:rsid w:val="7ADD216B"/>
    <w:rsid w:val="7AE40AEA"/>
    <w:rsid w:val="7AEC35AA"/>
    <w:rsid w:val="7B705F89"/>
    <w:rsid w:val="7B8634E9"/>
    <w:rsid w:val="7B8F3F36"/>
    <w:rsid w:val="7BAD7603"/>
    <w:rsid w:val="7BD008BB"/>
    <w:rsid w:val="7C093CE8"/>
    <w:rsid w:val="7C69271F"/>
    <w:rsid w:val="7C7F6AF7"/>
    <w:rsid w:val="7C9931A2"/>
    <w:rsid w:val="7CE7709B"/>
    <w:rsid w:val="7CF80C81"/>
    <w:rsid w:val="7D0241A8"/>
    <w:rsid w:val="7D052D9F"/>
    <w:rsid w:val="7D630A43"/>
    <w:rsid w:val="7D6457E7"/>
    <w:rsid w:val="7D990506"/>
    <w:rsid w:val="7EC51FCF"/>
    <w:rsid w:val="7EF36664"/>
    <w:rsid w:val="7F5D13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6"/>
    <w:autoRedefine/>
    <w:qFormat/>
    <w:uiPriority w:val="9"/>
    <w:pPr>
      <w:autoSpaceDE w:val="0"/>
      <w:autoSpaceDN w:val="0"/>
      <w:adjustRightInd w:val="0"/>
      <w:jc w:val="left"/>
      <w:outlineLvl w:val="0"/>
    </w:pPr>
    <w:rPr>
      <w:rFonts w:ascii="宋体" w:hAnsi="Calibri" w:eastAsia="宋体" w:cs="Times New Roman"/>
      <w:kern w:val="0"/>
      <w:sz w:val="24"/>
      <w:szCs w:val="24"/>
    </w:rPr>
  </w:style>
  <w:style w:type="paragraph" w:styleId="3">
    <w:name w:val="heading 2"/>
    <w:basedOn w:val="1"/>
    <w:next w:val="1"/>
    <w:link w:val="54"/>
    <w:autoRedefine/>
    <w:qFormat/>
    <w:uiPriority w:val="0"/>
    <w:pPr>
      <w:autoSpaceDE w:val="0"/>
      <w:autoSpaceDN w:val="0"/>
      <w:adjustRightInd w:val="0"/>
      <w:jc w:val="left"/>
      <w:outlineLvl w:val="1"/>
    </w:pPr>
    <w:rPr>
      <w:rFonts w:ascii="宋体" w:hAnsi="Calibri" w:eastAsia="宋体" w:cs="Times New Roman"/>
      <w:kern w:val="0"/>
      <w:sz w:val="24"/>
      <w:szCs w:val="24"/>
    </w:rPr>
  </w:style>
  <w:style w:type="paragraph" w:styleId="4">
    <w:name w:val="heading 3"/>
    <w:basedOn w:val="1"/>
    <w:next w:val="1"/>
    <w:link w:val="150"/>
    <w:autoRedefine/>
    <w:qFormat/>
    <w:uiPriority w:val="0"/>
    <w:pPr>
      <w:autoSpaceDE w:val="0"/>
      <w:autoSpaceDN w:val="0"/>
      <w:adjustRightInd w:val="0"/>
      <w:jc w:val="left"/>
      <w:outlineLvl w:val="2"/>
    </w:pPr>
    <w:rPr>
      <w:rFonts w:ascii="宋体" w:hAnsi="Calibri" w:eastAsia="宋体" w:cs="Times New Roman"/>
      <w:kern w:val="0"/>
      <w:sz w:val="24"/>
      <w:szCs w:val="24"/>
    </w:rPr>
  </w:style>
  <w:style w:type="paragraph" w:styleId="5">
    <w:name w:val="heading 4"/>
    <w:basedOn w:val="1"/>
    <w:next w:val="1"/>
    <w:link w:val="56"/>
    <w:autoRedefine/>
    <w:qFormat/>
    <w:uiPriority w:val="9"/>
    <w:pPr>
      <w:keepNext/>
      <w:keepLines/>
      <w:autoSpaceDE w:val="0"/>
      <w:autoSpaceDN w:val="0"/>
      <w:adjustRightInd w:val="0"/>
      <w:spacing w:before="280" w:after="290" w:line="376" w:lineRule="auto"/>
      <w:jc w:val="left"/>
      <w:outlineLvl w:val="3"/>
    </w:pPr>
    <w:rPr>
      <w:rFonts w:ascii="Arial" w:hAnsi="Arial" w:eastAsia="黑体" w:cs="Times New Roman"/>
      <w:b/>
      <w:bCs/>
      <w:kern w:val="0"/>
      <w:sz w:val="28"/>
      <w:szCs w:val="28"/>
    </w:rPr>
  </w:style>
  <w:style w:type="paragraph" w:styleId="6">
    <w:name w:val="heading 5"/>
    <w:basedOn w:val="1"/>
    <w:next w:val="1"/>
    <w:link w:val="138"/>
    <w:autoRedefine/>
    <w:qFormat/>
    <w:uiPriority w:val="9"/>
    <w:pPr>
      <w:keepNext/>
      <w:keepLines/>
      <w:autoSpaceDE w:val="0"/>
      <w:autoSpaceDN w:val="0"/>
      <w:adjustRightInd w:val="0"/>
      <w:spacing w:before="280" w:after="290" w:line="376" w:lineRule="auto"/>
      <w:jc w:val="left"/>
      <w:outlineLvl w:val="4"/>
    </w:pPr>
    <w:rPr>
      <w:rFonts w:ascii="宋体" w:hAnsi="Calibri" w:eastAsia="宋体" w:cs="Times New Roman"/>
      <w:b/>
      <w:bCs/>
      <w:kern w:val="0"/>
      <w:sz w:val="28"/>
      <w:szCs w:val="28"/>
    </w:rPr>
  </w:style>
  <w:style w:type="paragraph" w:styleId="7">
    <w:name w:val="heading 6"/>
    <w:basedOn w:val="1"/>
    <w:next w:val="8"/>
    <w:link w:val="148"/>
    <w:autoRedefine/>
    <w:qFormat/>
    <w:uiPriority w:val="9"/>
    <w:pPr>
      <w:keepLines/>
      <w:tabs>
        <w:tab w:val="left" w:pos="1152"/>
      </w:tabs>
      <w:adjustRightInd w:val="0"/>
      <w:snapToGrid w:val="0"/>
      <w:spacing w:beforeLines="50" w:line="360" w:lineRule="auto"/>
      <w:ind w:left="1152" w:hanging="1152"/>
      <w:jc w:val="left"/>
      <w:textAlignment w:val="baseline"/>
      <w:outlineLvl w:val="5"/>
    </w:pPr>
    <w:rPr>
      <w:rFonts w:ascii="Times New Roman" w:hAnsi="Calibri" w:eastAsia="黑体" w:cs="Times New Roman"/>
      <w:b/>
      <w:bCs/>
      <w:kern w:val="0"/>
      <w:sz w:val="28"/>
      <w:szCs w:val="24"/>
    </w:rPr>
  </w:style>
  <w:style w:type="paragraph" w:styleId="9">
    <w:name w:val="heading 7"/>
    <w:basedOn w:val="1"/>
    <w:next w:val="8"/>
    <w:link w:val="59"/>
    <w:autoRedefine/>
    <w:qFormat/>
    <w:uiPriority w:val="9"/>
    <w:pPr>
      <w:keepNext/>
      <w:keepLines/>
      <w:tabs>
        <w:tab w:val="left" w:pos="1296"/>
      </w:tabs>
      <w:adjustRightInd w:val="0"/>
      <w:snapToGrid w:val="0"/>
      <w:spacing w:before="240" w:after="120"/>
      <w:ind w:left="1296" w:hanging="1296"/>
      <w:textAlignment w:val="baseline"/>
      <w:outlineLvl w:val="6"/>
    </w:pPr>
    <w:rPr>
      <w:rFonts w:ascii="Times New Roman" w:hAnsi="Calibri" w:eastAsia="黑体" w:cs="Times New Roman"/>
      <w:b/>
      <w:bCs/>
      <w:kern w:val="0"/>
      <w:sz w:val="28"/>
      <w:szCs w:val="24"/>
    </w:rPr>
  </w:style>
  <w:style w:type="paragraph" w:styleId="10">
    <w:name w:val="heading 8"/>
    <w:basedOn w:val="1"/>
    <w:next w:val="8"/>
    <w:link w:val="60"/>
    <w:autoRedefine/>
    <w:qFormat/>
    <w:uiPriority w:val="9"/>
    <w:pPr>
      <w:keepNext/>
      <w:keepLines/>
      <w:tabs>
        <w:tab w:val="left" w:pos="1440"/>
      </w:tabs>
      <w:snapToGrid w:val="0"/>
      <w:spacing w:before="240" w:after="120"/>
      <w:ind w:left="1440" w:hanging="1440"/>
      <w:outlineLvl w:val="7"/>
    </w:pPr>
    <w:rPr>
      <w:rFonts w:ascii="Times New Roman" w:hAnsi="Calibri" w:eastAsia="黑体" w:cs="Times New Roman"/>
      <w:b/>
      <w:kern w:val="0"/>
      <w:sz w:val="28"/>
      <w:szCs w:val="24"/>
    </w:rPr>
  </w:style>
  <w:style w:type="paragraph" w:styleId="11">
    <w:name w:val="heading 9"/>
    <w:basedOn w:val="1"/>
    <w:next w:val="8"/>
    <w:link w:val="61"/>
    <w:autoRedefine/>
    <w:qFormat/>
    <w:uiPriority w:val="9"/>
    <w:pPr>
      <w:keepNext/>
      <w:keepLines/>
      <w:tabs>
        <w:tab w:val="left" w:pos="1584"/>
      </w:tabs>
      <w:snapToGrid w:val="0"/>
      <w:spacing w:before="240" w:after="120"/>
      <w:ind w:left="1584" w:hanging="1584"/>
      <w:outlineLvl w:val="8"/>
    </w:pPr>
    <w:rPr>
      <w:rFonts w:ascii="Times New Roman" w:hAnsi="Calibri" w:eastAsia="黑体" w:cs="Times New Roman"/>
      <w:b/>
      <w:kern w:val="0"/>
      <w:sz w:val="28"/>
      <w:szCs w:val="24"/>
    </w:rPr>
  </w:style>
  <w:style w:type="character" w:default="1" w:styleId="46">
    <w:name w:val="Default Paragraph Font"/>
    <w:semiHidden/>
    <w:unhideWhenUsed/>
    <w:qFormat/>
    <w:uiPriority w:val="1"/>
  </w:style>
  <w:style w:type="table" w:default="1" w:styleId="4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8">
    <w:name w:val="模板正文"/>
    <w:basedOn w:val="1"/>
    <w:link w:val="100"/>
    <w:autoRedefine/>
    <w:qFormat/>
    <w:uiPriority w:val="0"/>
    <w:pPr>
      <w:wordWrap w:val="0"/>
      <w:autoSpaceDE w:val="0"/>
      <w:autoSpaceDN w:val="0"/>
      <w:adjustRightInd w:val="0"/>
      <w:spacing w:beforeLines="50" w:line="360" w:lineRule="auto"/>
      <w:ind w:firstLine="200" w:firstLineChars="200"/>
      <w:jc w:val="left"/>
    </w:pPr>
    <w:rPr>
      <w:rFonts w:ascii="宋体" w:eastAsia="仿宋"/>
      <w:sz w:val="24"/>
      <w:szCs w:val="21"/>
    </w:rPr>
  </w:style>
  <w:style w:type="paragraph" w:styleId="12">
    <w:name w:val="toc 7"/>
    <w:basedOn w:val="1"/>
    <w:next w:val="1"/>
    <w:autoRedefine/>
    <w:unhideWhenUsed/>
    <w:qFormat/>
    <w:uiPriority w:val="39"/>
    <w:pPr>
      <w:ind w:left="2520" w:leftChars="1200"/>
    </w:pPr>
  </w:style>
  <w:style w:type="paragraph" w:styleId="13">
    <w:name w:val="Normal Indent"/>
    <w:basedOn w:val="1"/>
    <w:autoRedefine/>
    <w:qFormat/>
    <w:uiPriority w:val="0"/>
    <w:pPr>
      <w:widowControl/>
      <w:autoSpaceDE w:val="0"/>
      <w:autoSpaceDN w:val="0"/>
      <w:adjustRightInd w:val="0"/>
      <w:ind w:firstLine="420" w:firstLineChars="200"/>
      <w:jc w:val="left"/>
    </w:pPr>
    <w:rPr>
      <w:rFonts w:ascii="宋体" w:hAnsi="Calibri" w:eastAsia="宋体" w:cs="Times New Roman"/>
      <w:kern w:val="0"/>
      <w:sz w:val="20"/>
      <w:szCs w:val="20"/>
    </w:rPr>
  </w:style>
  <w:style w:type="paragraph" w:styleId="14">
    <w:name w:val="caption"/>
    <w:basedOn w:val="1"/>
    <w:next w:val="1"/>
    <w:link w:val="89"/>
    <w:autoRedefine/>
    <w:qFormat/>
    <w:uiPriority w:val="0"/>
    <w:pPr>
      <w:autoSpaceDE w:val="0"/>
      <w:autoSpaceDN w:val="0"/>
      <w:adjustRightInd w:val="0"/>
      <w:spacing w:before="152" w:after="160"/>
      <w:jc w:val="left"/>
    </w:pPr>
    <w:rPr>
      <w:rFonts w:ascii="Arial" w:hAnsi="Arial" w:eastAsia="黑体" w:cs="Arial"/>
    </w:rPr>
  </w:style>
  <w:style w:type="paragraph" w:styleId="15">
    <w:name w:val="Document Map"/>
    <w:basedOn w:val="1"/>
    <w:link w:val="122"/>
    <w:autoRedefine/>
    <w:semiHidden/>
    <w:qFormat/>
    <w:uiPriority w:val="99"/>
    <w:pPr>
      <w:shd w:val="clear" w:color="auto" w:fill="000080"/>
      <w:autoSpaceDE w:val="0"/>
      <w:autoSpaceDN w:val="0"/>
      <w:adjustRightInd w:val="0"/>
      <w:jc w:val="left"/>
    </w:pPr>
    <w:rPr>
      <w:rFonts w:ascii="宋体" w:hAnsi="Times New Roman" w:eastAsia="宋体" w:cs="Times New Roman"/>
      <w:kern w:val="0"/>
      <w:sz w:val="24"/>
      <w:szCs w:val="24"/>
    </w:rPr>
  </w:style>
  <w:style w:type="paragraph" w:styleId="16">
    <w:name w:val="toa heading"/>
    <w:basedOn w:val="1"/>
    <w:next w:val="1"/>
    <w:autoRedefine/>
    <w:qFormat/>
    <w:uiPriority w:val="0"/>
    <w:pPr>
      <w:autoSpaceDE w:val="0"/>
      <w:autoSpaceDN w:val="0"/>
      <w:adjustRightInd w:val="0"/>
      <w:snapToGrid w:val="0"/>
      <w:spacing w:before="120" w:line="360" w:lineRule="auto"/>
    </w:pPr>
    <w:rPr>
      <w:rFonts w:ascii="Arial" w:hAnsi="Arial"/>
      <w:snapToGrid w:val="0"/>
      <w:color w:val="000000"/>
      <w:kern w:val="0"/>
      <w:szCs w:val="20"/>
    </w:rPr>
  </w:style>
  <w:style w:type="paragraph" w:styleId="17">
    <w:name w:val="annotation text"/>
    <w:basedOn w:val="1"/>
    <w:link w:val="169"/>
    <w:autoRedefine/>
    <w:unhideWhenUsed/>
    <w:qFormat/>
    <w:uiPriority w:val="99"/>
    <w:pPr>
      <w:jc w:val="left"/>
    </w:pPr>
    <w:rPr>
      <w:rFonts w:hint="eastAsia" w:ascii="等线" w:hAnsi="等线" w:eastAsia="等线" w:cs="Times New Roman"/>
    </w:rPr>
  </w:style>
  <w:style w:type="paragraph" w:styleId="18">
    <w:name w:val="Body Text 3"/>
    <w:basedOn w:val="1"/>
    <w:link w:val="162"/>
    <w:autoRedefine/>
    <w:qFormat/>
    <w:uiPriority w:val="0"/>
    <w:pPr>
      <w:autoSpaceDE w:val="0"/>
      <w:autoSpaceDN w:val="0"/>
      <w:adjustRightInd w:val="0"/>
      <w:ind w:right="-26"/>
      <w:jc w:val="center"/>
    </w:pPr>
    <w:rPr>
      <w:rFonts w:ascii="宋体" w:hAnsi="Times New Roman" w:eastAsia="宋体" w:cs="Times New Roman"/>
      <w:b/>
      <w:bCs/>
      <w:color w:val="3366FF"/>
      <w:sz w:val="52"/>
      <w:szCs w:val="52"/>
      <w:lang w:val="zh-CN"/>
    </w:rPr>
  </w:style>
  <w:style w:type="paragraph" w:styleId="19">
    <w:name w:val="Body Text"/>
    <w:basedOn w:val="1"/>
    <w:next w:val="1"/>
    <w:link w:val="124"/>
    <w:autoRedefine/>
    <w:qFormat/>
    <w:uiPriority w:val="99"/>
    <w:pPr>
      <w:autoSpaceDE w:val="0"/>
      <w:autoSpaceDN w:val="0"/>
      <w:adjustRightInd w:val="0"/>
      <w:ind w:right="-26"/>
      <w:jc w:val="center"/>
    </w:pPr>
    <w:rPr>
      <w:rFonts w:ascii="宋体" w:eastAsia="宋体"/>
      <w:b/>
      <w:bCs/>
      <w:sz w:val="84"/>
      <w:szCs w:val="84"/>
      <w:lang w:val="zh-CN"/>
    </w:rPr>
  </w:style>
  <w:style w:type="paragraph" w:styleId="20">
    <w:name w:val="Body Text Indent"/>
    <w:basedOn w:val="1"/>
    <w:link w:val="98"/>
    <w:autoRedefine/>
    <w:qFormat/>
    <w:uiPriority w:val="0"/>
    <w:pPr>
      <w:ind w:left="567" w:leftChars="270"/>
    </w:pPr>
    <w:rPr>
      <w:rFonts w:ascii="Times New Roman" w:hAnsi="Times New Roman" w:eastAsia="宋体" w:cs="Times New Roman"/>
      <w:szCs w:val="20"/>
    </w:rPr>
  </w:style>
  <w:style w:type="paragraph" w:styleId="21">
    <w:name w:val="toc 5"/>
    <w:basedOn w:val="1"/>
    <w:next w:val="1"/>
    <w:autoRedefine/>
    <w:unhideWhenUsed/>
    <w:qFormat/>
    <w:uiPriority w:val="39"/>
    <w:pPr>
      <w:ind w:left="1680" w:leftChars="800"/>
    </w:pPr>
  </w:style>
  <w:style w:type="paragraph" w:styleId="22">
    <w:name w:val="toc 3"/>
    <w:basedOn w:val="1"/>
    <w:next w:val="1"/>
    <w:autoRedefine/>
    <w:unhideWhenUsed/>
    <w:qFormat/>
    <w:uiPriority w:val="39"/>
    <w:pPr>
      <w:tabs>
        <w:tab w:val="right" w:leader="dot" w:pos="10144"/>
      </w:tabs>
      <w:ind w:left="840" w:leftChars="400"/>
    </w:pPr>
  </w:style>
  <w:style w:type="paragraph" w:styleId="23">
    <w:name w:val="Plain Text"/>
    <w:basedOn w:val="1"/>
    <w:link w:val="106"/>
    <w:autoRedefine/>
    <w:qFormat/>
    <w:uiPriority w:val="0"/>
    <w:rPr>
      <w:rFonts w:ascii="宋体" w:hAnsi="Courier New" w:eastAsia="宋体"/>
    </w:rPr>
  </w:style>
  <w:style w:type="paragraph" w:styleId="24">
    <w:name w:val="toc 8"/>
    <w:basedOn w:val="1"/>
    <w:next w:val="1"/>
    <w:autoRedefine/>
    <w:unhideWhenUsed/>
    <w:qFormat/>
    <w:uiPriority w:val="39"/>
    <w:pPr>
      <w:ind w:left="2940" w:leftChars="1400"/>
    </w:pPr>
  </w:style>
  <w:style w:type="paragraph" w:styleId="25">
    <w:name w:val="Date"/>
    <w:basedOn w:val="1"/>
    <w:next w:val="1"/>
    <w:link w:val="114"/>
    <w:autoRedefine/>
    <w:qFormat/>
    <w:uiPriority w:val="99"/>
    <w:pPr>
      <w:autoSpaceDE w:val="0"/>
      <w:autoSpaceDN w:val="0"/>
      <w:adjustRightInd w:val="0"/>
      <w:ind w:left="100" w:leftChars="2500"/>
      <w:jc w:val="left"/>
    </w:pPr>
    <w:rPr>
      <w:rFonts w:ascii="宋体" w:hAnsi="Times New Roman" w:eastAsia="宋体" w:cs="Times New Roman"/>
      <w:b/>
      <w:bCs/>
      <w:szCs w:val="21"/>
      <w:lang w:val="zh-CN"/>
    </w:rPr>
  </w:style>
  <w:style w:type="paragraph" w:styleId="26">
    <w:name w:val="Body Text Indent 2"/>
    <w:basedOn w:val="1"/>
    <w:link w:val="107"/>
    <w:autoRedefine/>
    <w:qFormat/>
    <w:uiPriority w:val="0"/>
    <w:pPr>
      <w:tabs>
        <w:tab w:val="left" w:pos="8640"/>
      </w:tabs>
      <w:ind w:left="1260"/>
    </w:pPr>
    <w:rPr>
      <w:rFonts w:ascii="宋体" w:hAnsi="Times New Roman" w:eastAsia="宋体" w:cs="Times New Roman"/>
      <w:szCs w:val="20"/>
    </w:rPr>
  </w:style>
  <w:style w:type="paragraph" w:styleId="27">
    <w:name w:val="Balloon Text"/>
    <w:basedOn w:val="1"/>
    <w:link w:val="80"/>
    <w:autoRedefine/>
    <w:qFormat/>
    <w:uiPriority w:val="0"/>
    <w:rPr>
      <w:rFonts w:ascii="Times New Roman" w:hAnsi="Times New Roman" w:eastAsia="宋体" w:cs="Times New Roman"/>
      <w:sz w:val="18"/>
      <w:szCs w:val="18"/>
    </w:rPr>
  </w:style>
  <w:style w:type="paragraph" w:styleId="28">
    <w:name w:val="footer"/>
    <w:basedOn w:val="1"/>
    <w:link w:val="209"/>
    <w:autoRedefine/>
    <w:qFormat/>
    <w:uiPriority w:val="99"/>
    <w:pPr>
      <w:tabs>
        <w:tab w:val="center" w:pos="4153"/>
        <w:tab w:val="right" w:pos="8306"/>
      </w:tabs>
      <w:autoSpaceDE w:val="0"/>
      <w:autoSpaceDN w:val="0"/>
      <w:adjustRightInd w:val="0"/>
      <w:snapToGrid w:val="0"/>
      <w:jc w:val="left"/>
    </w:pPr>
    <w:rPr>
      <w:rFonts w:ascii="宋体" w:eastAsia="宋体"/>
      <w:sz w:val="18"/>
      <w:szCs w:val="18"/>
    </w:rPr>
  </w:style>
  <w:style w:type="paragraph" w:styleId="29">
    <w:name w:val="header"/>
    <w:basedOn w:val="1"/>
    <w:link w:val="126"/>
    <w:autoRedefine/>
    <w:qFormat/>
    <w:uiPriority w:val="99"/>
    <w:pPr>
      <w:pBdr>
        <w:bottom w:val="single" w:color="auto" w:sz="6" w:space="1"/>
      </w:pBdr>
      <w:tabs>
        <w:tab w:val="center" w:pos="4153"/>
        <w:tab w:val="right" w:pos="8306"/>
      </w:tabs>
      <w:autoSpaceDE w:val="0"/>
      <w:autoSpaceDN w:val="0"/>
      <w:adjustRightInd w:val="0"/>
      <w:snapToGrid w:val="0"/>
      <w:jc w:val="center"/>
    </w:pPr>
    <w:rPr>
      <w:rFonts w:ascii="宋体" w:eastAsia="宋体"/>
      <w:sz w:val="18"/>
      <w:szCs w:val="18"/>
    </w:rPr>
  </w:style>
  <w:style w:type="paragraph" w:styleId="30">
    <w:name w:val="toc 1"/>
    <w:basedOn w:val="1"/>
    <w:next w:val="1"/>
    <w:autoRedefine/>
    <w:unhideWhenUsed/>
    <w:qFormat/>
    <w:uiPriority w:val="39"/>
  </w:style>
  <w:style w:type="paragraph" w:styleId="31">
    <w:name w:val="toc 4"/>
    <w:basedOn w:val="1"/>
    <w:next w:val="1"/>
    <w:autoRedefine/>
    <w:unhideWhenUsed/>
    <w:qFormat/>
    <w:uiPriority w:val="39"/>
    <w:pPr>
      <w:ind w:left="1260" w:leftChars="600"/>
    </w:pPr>
  </w:style>
  <w:style w:type="paragraph" w:styleId="32">
    <w:name w:val="List"/>
    <w:basedOn w:val="1"/>
    <w:autoRedefine/>
    <w:unhideWhenUsed/>
    <w:qFormat/>
    <w:uiPriority w:val="0"/>
    <w:pPr>
      <w:autoSpaceDE w:val="0"/>
      <w:autoSpaceDN w:val="0"/>
      <w:adjustRightInd w:val="0"/>
      <w:ind w:left="200" w:hanging="200" w:hangingChars="200"/>
      <w:contextualSpacing/>
      <w:jc w:val="left"/>
    </w:pPr>
    <w:rPr>
      <w:rFonts w:ascii="宋体" w:hAnsi="Calibri" w:eastAsia="宋体" w:cs="Times New Roman"/>
      <w:kern w:val="0"/>
      <w:sz w:val="24"/>
      <w:szCs w:val="24"/>
    </w:rPr>
  </w:style>
  <w:style w:type="paragraph" w:styleId="33">
    <w:name w:val="toc 6"/>
    <w:basedOn w:val="1"/>
    <w:next w:val="1"/>
    <w:autoRedefine/>
    <w:unhideWhenUsed/>
    <w:qFormat/>
    <w:uiPriority w:val="39"/>
    <w:pPr>
      <w:ind w:left="2100" w:leftChars="1000"/>
    </w:pPr>
  </w:style>
  <w:style w:type="paragraph" w:styleId="34">
    <w:name w:val="Body Text Indent 3"/>
    <w:basedOn w:val="1"/>
    <w:link w:val="160"/>
    <w:autoRedefine/>
    <w:qFormat/>
    <w:uiPriority w:val="0"/>
    <w:pPr>
      <w:autoSpaceDE w:val="0"/>
      <w:autoSpaceDN w:val="0"/>
      <w:adjustRightInd w:val="0"/>
      <w:spacing w:line="360" w:lineRule="auto"/>
      <w:ind w:firstLine="480" w:firstLineChars="200"/>
      <w:jc w:val="left"/>
    </w:pPr>
    <w:rPr>
      <w:rFonts w:ascii="宋体" w:hAnsi="Times New Roman" w:eastAsia="宋体" w:cs="Times New Roman"/>
      <w:kern w:val="0"/>
      <w:sz w:val="24"/>
      <w:szCs w:val="24"/>
    </w:rPr>
  </w:style>
  <w:style w:type="paragraph" w:styleId="35">
    <w:name w:val="toc 2"/>
    <w:basedOn w:val="1"/>
    <w:next w:val="1"/>
    <w:autoRedefine/>
    <w:unhideWhenUsed/>
    <w:qFormat/>
    <w:uiPriority w:val="39"/>
    <w:pPr>
      <w:ind w:left="420" w:leftChars="200"/>
    </w:pPr>
  </w:style>
  <w:style w:type="paragraph" w:styleId="36">
    <w:name w:val="toc 9"/>
    <w:basedOn w:val="1"/>
    <w:next w:val="1"/>
    <w:autoRedefine/>
    <w:unhideWhenUsed/>
    <w:qFormat/>
    <w:uiPriority w:val="39"/>
    <w:pPr>
      <w:ind w:left="3360" w:leftChars="1600"/>
    </w:pPr>
  </w:style>
  <w:style w:type="paragraph" w:styleId="37">
    <w:name w:val="Body Text 2"/>
    <w:basedOn w:val="1"/>
    <w:link w:val="149"/>
    <w:autoRedefine/>
    <w:qFormat/>
    <w:uiPriority w:val="0"/>
    <w:pPr>
      <w:tabs>
        <w:tab w:val="left" w:pos="0"/>
      </w:tabs>
      <w:spacing w:line="400" w:lineRule="atLeast"/>
    </w:pPr>
    <w:rPr>
      <w:rFonts w:ascii="Arial" w:hAnsi="Arial" w:eastAsia="宋体" w:cs="Times New Roman"/>
      <w:color w:val="000000"/>
      <w:szCs w:val="24"/>
    </w:rPr>
  </w:style>
  <w:style w:type="paragraph" w:styleId="38">
    <w:name w:val="HTML Preformatted"/>
    <w:basedOn w:val="1"/>
    <w:link w:val="92"/>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szCs w:val="21"/>
    </w:rPr>
  </w:style>
  <w:style w:type="paragraph" w:styleId="39">
    <w:name w:val="Normal (Web)"/>
    <w:basedOn w:val="1"/>
    <w:link w:val="99"/>
    <w:autoRedefine/>
    <w:qFormat/>
    <w:uiPriority w:val="0"/>
    <w:pPr>
      <w:widowControl/>
      <w:spacing w:before="100" w:beforeAutospacing="1" w:after="100" w:afterAutospacing="1"/>
      <w:jc w:val="left"/>
    </w:pPr>
    <w:rPr>
      <w:rFonts w:ascii="宋体" w:hAnsi="宋体"/>
      <w:sz w:val="15"/>
      <w:szCs w:val="15"/>
    </w:rPr>
  </w:style>
  <w:style w:type="paragraph" w:styleId="40">
    <w:name w:val="Title"/>
    <w:basedOn w:val="1"/>
    <w:next w:val="1"/>
    <w:link w:val="64"/>
    <w:autoRedefine/>
    <w:qFormat/>
    <w:uiPriority w:val="10"/>
    <w:pPr>
      <w:spacing w:before="120" w:after="60" w:line="300" w:lineRule="auto"/>
      <w:jc w:val="left"/>
      <w:outlineLvl w:val="0"/>
    </w:pPr>
    <w:rPr>
      <w:rFonts w:ascii="等线 Light" w:hAnsi="等线 Light" w:eastAsia="仿宋"/>
      <w:b/>
      <w:bCs/>
      <w:sz w:val="28"/>
      <w:szCs w:val="32"/>
    </w:rPr>
  </w:style>
  <w:style w:type="paragraph" w:styleId="41">
    <w:name w:val="annotation subject"/>
    <w:basedOn w:val="17"/>
    <w:next w:val="17"/>
    <w:link w:val="116"/>
    <w:autoRedefine/>
    <w:qFormat/>
    <w:uiPriority w:val="99"/>
    <w:pPr>
      <w:autoSpaceDE w:val="0"/>
      <w:autoSpaceDN w:val="0"/>
      <w:adjustRightInd w:val="0"/>
    </w:pPr>
    <w:rPr>
      <w:rFonts w:ascii="宋体" w:hAnsi="Times New Roman" w:eastAsia="宋体"/>
      <w:b/>
      <w:bCs/>
      <w:kern w:val="0"/>
      <w:sz w:val="24"/>
      <w:szCs w:val="24"/>
    </w:rPr>
  </w:style>
  <w:style w:type="paragraph" w:styleId="42">
    <w:name w:val="Body Text First Indent"/>
    <w:basedOn w:val="19"/>
    <w:link w:val="207"/>
    <w:autoRedefine/>
    <w:semiHidden/>
    <w:unhideWhenUsed/>
    <w:qFormat/>
    <w:uiPriority w:val="99"/>
    <w:pPr>
      <w:autoSpaceDE/>
      <w:autoSpaceDN/>
      <w:adjustRightInd/>
      <w:spacing w:after="120"/>
      <w:ind w:right="0" w:firstLine="420" w:firstLineChars="100"/>
      <w:jc w:val="both"/>
    </w:pPr>
    <w:rPr>
      <w:rFonts w:asciiTheme="minorHAnsi" w:eastAsiaTheme="minorEastAsia"/>
      <w:b w:val="0"/>
      <w:bCs w:val="0"/>
      <w:sz w:val="21"/>
      <w:szCs w:val="22"/>
      <w:lang w:val="en-US"/>
    </w:rPr>
  </w:style>
  <w:style w:type="paragraph" w:styleId="43">
    <w:name w:val="Body Text First Indent 2"/>
    <w:qFormat/>
    <w:uiPriority w:val="0"/>
    <w:pPr>
      <w:widowControl w:val="0"/>
      <w:tabs>
        <w:tab w:val="left" w:pos="1218"/>
        <w:tab w:val="left" w:pos="3544"/>
      </w:tabs>
      <w:adjustRightInd w:val="0"/>
      <w:snapToGrid w:val="0"/>
      <w:spacing w:line="300" w:lineRule="auto"/>
      <w:ind w:left="567" w:leftChars="270" w:firstLine="420"/>
      <w:jc w:val="both"/>
    </w:pPr>
    <w:rPr>
      <w:rFonts w:ascii="Times New Roman" w:hAnsi="Times New Roman" w:eastAsia="宋体" w:cs="Times New Roman"/>
      <w:kern w:val="2"/>
      <w:sz w:val="21"/>
      <w:szCs w:val="28"/>
      <w:lang w:val="en-US" w:eastAsia="zh-CN" w:bidi="ar-SA"/>
    </w:rPr>
  </w:style>
  <w:style w:type="table" w:styleId="45">
    <w:name w:val="Table Grid"/>
    <w:basedOn w:val="44"/>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autoRedefine/>
    <w:qFormat/>
    <w:uiPriority w:val="0"/>
    <w:rPr>
      <w:b/>
      <w:bCs/>
    </w:rPr>
  </w:style>
  <w:style w:type="character" w:styleId="48">
    <w:name w:val="FollowedHyperlink"/>
    <w:autoRedefine/>
    <w:unhideWhenUsed/>
    <w:qFormat/>
    <w:uiPriority w:val="99"/>
    <w:rPr>
      <w:color w:val="954F72"/>
      <w:u w:val="single"/>
    </w:rPr>
  </w:style>
  <w:style w:type="character" w:styleId="49">
    <w:name w:val="Emphasis"/>
    <w:autoRedefine/>
    <w:qFormat/>
    <w:uiPriority w:val="0"/>
    <w:rPr>
      <w:i/>
      <w:iCs/>
    </w:rPr>
  </w:style>
  <w:style w:type="character" w:styleId="50">
    <w:name w:val="Hyperlink"/>
    <w:autoRedefine/>
    <w:qFormat/>
    <w:uiPriority w:val="99"/>
    <w:rPr>
      <w:rFonts w:hint="default" w:ascii="Arial" w:hAnsi="Arial" w:cs="Arial"/>
      <w:color w:val="000000"/>
      <w:sz w:val="20"/>
      <w:szCs w:val="20"/>
      <w:u w:val="none"/>
    </w:rPr>
  </w:style>
  <w:style w:type="character" w:styleId="51">
    <w:name w:val="annotation reference"/>
    <w:basedOn w:val="46"/>
    <w:autoRedefine/>
    <w:qFormat/>
    <w:uiPriority w:val="99"/>
    <w:rPr>
      <w:sz w:val="21"/>
      <w:szCs w:val="21"/>
    </w:rPr>
  </w:style>
  <w:style w:type="paragraph" w:customStyle="1" w:styleId="52">
    <w:name w:val="首行缩进"/>
    <w:basedOn w:val="1"/>
    <w:autoRedefine/>
    <w:qFormat/>
    <w:uiPriority w:val="0"/>
    <w:pPr>
      <w:ind w:firstLine="480" w:firstLineChars="200"/>
    </w:pPr>
    <w:rPr>
      <w:lang w:val="zh-CN"/>
    </w:rPr>
  </w:style>
  <w:style w:type="character" w:customStyle="1" w:styleId="53">
    <w:name w:val="标题 1 字符"/>
    <w:basedOn w:val="46"/>
    <w:autoRedefine/>
    <w:qFormat/>
    <w:uiPriority w:val="0"/>
    <w:rPr>
      <w:b/>
      <w:bCs/>
      <w:kern w:val="44"/>
      <w:sz w:val="44"/>
      <w:szCs w:val="44"/>
    </w:rPr>
  </w:style>
  <w:style w:type="character" w:customStyle="1" w:styleId="54">
    <w:name w:val="标题 2 字符"/>
    <w:basedOn w:val="46"/>
    <w:link w:val="3"/>
    <w:autoRedefine/>
    <w:qFormat/>
    <w:uiPriority w:val="0"/>
    <w:rPr>
      <w:rFonts w:ascii="宋体" w:hAnsi="Calibri" w:eastAsia="宋体" w:cs="Times New Roman"/>
      <w:kern w:val="0"/>
      <w:sz w:val="24"/>
      <w:szCs w:val="24"/>
    </w:rPr>
  </w:style>
  <w:style w:type="character" w:customStyle="1" w:styleId="55">
    <w:name w:val="标题 3 字符"/>
    <w:basedOn w:val="46"/>
    <w:autoRedefine/>
    <w:qFormat/>
    <w:uiPriority w:val="0"/>
    <w:rPr>
      <w:b/>
      <w:bCs/>
      <w:sz w:val="32"/>
      <w:szCs w:val="32"/>
    </w:rPr>
  </w:style>
  <w:style w:type="character" w:customStyle="1" w:styleId="56">
    <w:name w:val="标题 4 字符"/>
    <w:basedOn w:val="46"/>
    <w:link w:val="5"/>
    <w:autoRedefine/>
    <w:qFormat/>
    <w:uiPriority w:val="9"/>
    <w:rPr>
      <w:rFonts w:ascii="Arial" w:hAnsi="Arial" w:eastAsia="黑体" w:cs="Times New Roman"/>
      <w:b/>
      <w:bCs/>
      <w:kern w:val="0"/>
      <w:sz w:val="28"/>
      <w:szCs w:val="28"/>
    </w:rPr>
  </w:style>
  <w:style w:type="character" w:customStyle="1" w:styleId="57">
    <w:name w:val="标题 5 字符"/>
    <w:basedOn w:val="46"/>
    <w:autoRedefine/>
    <w:qFormat/>
    <w:uiPriority w:val="9"/>
    <w:rPr>
      <w:b/>
      <w:bCs/>
      <w:sz w:val="28"/>
      <w:szCs w:val="28"/>
    </w:rPr>
  </w:style>
  <w:style w:type="character" w:customStyle="1" w:styleId="58">
    <w:name w:val="标题 6 字符"/>
    <w:basedOn w:val="46"/>
    <w:autoRedefine/>
    <w:qFormat/>
    <w:uiPriority w:val="0"/>
    <w:rPr>
      <w:rFonts w:asciiTheme="majorHAnsi" w:hAnsiTheme="majorHAnsi" w:eastAsiaTheme="majorEastAsia" w:cstheme="majorBidi"/>
      <w:b/>
      <w:bCs/>
      <w:sz w:val="24"/>
      <w:szCs w:val="24"/>
    </w:rPr>
  </w:style>
  <w:style w:type="character" w:customStyle="1" w:styleId="59">
    <w:name w:val="标题 7 字符"/>
    <w:basedOn w:val="46"/>
    <w:link w:val="9"/>
    <w:autoRedefine/>
    <w:qFormat/>
    <w:uiPriority w:val="9"/>
    <w:rPr>
      <w:rFonts w:ascii="Times New Roman" w:hAnsi="Calibri" w:eastAsia="黑体" w:cs="Times New Roman"/>
      <w:b/>
      <w:bCs/>
      <w:kern w:val="0"/>
      <w:sz w:val="28"/>
      <w:szCs w:val="24"/>
    </w:rPr>
  </w:style>
  <w:style w:type="character" w:customStyle="1" w:styleId="60">
    <w:name w:val="标题 8 字符"/>
    <w:basedOn w:val="46"/>
    <w:link w:val="10"/>
    <w:autoRedefine/>
    <w:qFormat/>
    <w:uiPriority w:val="9"/>
    <w:rPr>
      <w:rFonts w:ascii="Times New Roman" w:hAnsi="Calibri" w:eastAsia="黑体" w:cs="Times New Roman"/>
      <w:b/>
      <w:kern w:val="0"/>
      <w:sz w:val="28"/>
      <w:szCs w:val="24"/>
    </w:rPr>
  </w:style>
  <w:style w:type="character" w:customStyle="1" w:styleId="61">
    <w:name w:val="标题 9 字符"/>
    <w:basedOn w:val="46"/>
    <w:link w:val="11"/>
    <w:autoRedefine/>
    <w:qFormat/>
    <w:uiPriority w:val="9"/>
    <w:rPr>
      <w:rFonts w:ascii="Times New Roman" w:hAnsi="Calibri" w:eastAsia="黑体" w:cs="Times New Roman"/>
      <w:b/>
      <w:kern w:val="0"/>
      <w:sz w:val="28"/>
      <w:szCs w:val="24"/>
    </w:rPr>
  </w:style>
  <w:style w:type="character" w:customStyle="1" w:styleId="62">
    <w:name w:val="正文文本缩进 字符"/>
    <w:autoRedefine/>
    <w:qFormat/>
    <w:uiPriority w:val="0"/>
    <w:rPr>
      <w:rFonts w:ascii="Times New Roman" w:hAnsi="Times New Roman" w:eastAsia="宋体" w:cs="Times New Roman"/>
      <w:szCs w:val="20"/>
    </w:rPr>
  </w:style>
  <w:style w:type="character" w:customStyle="1" w:styleId="63">
    <w:name w:val="普通(网站) Char"/>
    <w:autoRedefine/>
    <w:qFormat/>
    <w:locked/>
    <w:uiPriority w:val="0"/>
    <w:rPr>
      <w:rFonts w:ascii="宋体" w:hAnsi="宋体"/>
      <w:sz w:val="15"/>
      <w:szCs w:val="15"/>
    </w:rPr>
  </w:style>
  <w:style w:type="character" w:customStyle="1" w:styleId="64">
    <w:name w:val="标题 字符1"/>
    <w:link w:val="40"/>
    <w:autoRedefine/>
    <w:qFormat/>
    <w:uiPriority w:val="10"/>
    <w:rPr>
      <w:rFonts w:ascii="等线 Light" w:hAnsi="等线 Light" w:eastAsia="仿宋"/>
      <w:b/>
      <w:bCs/>
      <w:sz w:val="28"/>
      <w:szCs w:val="32"/>
    </w:rPr>
  </w:style>
  <w:style w:type="character" w:customStyle="1" w:styleId="65">
    <w:name w:val="日期 Char"/>
    <w:autoRedefine/>
    <w:semiHidden/>
    <w:qFormat/>
    <w:uiPriority w:val="99"/>
    <w:rPr>
      <w:kern w:val="2"/>
      <w:sz w:val="21"/>
    </w:rPr>
  </w:style>
  <w:style w:type="character" w:customStyle="1" w:styleId="66">
    <w:name w:val="文档结构图 字符1"/>
    <w:autoRedefine/>
    <w:semiHidden/>
    <w:qFormat/>
    <w:uiPriority w:val="99"/>
    <w:rPr>
      <w:rFonts w:ascii="Microsoft YaHei UI" w:hAnsi="Calibri" w:eastAsia="Microsoft YaHei UI" w:cs="Times New Roman"/>
      <w:kern w:val="0"/>
      <w:sz w:val="18"/>
      <w:szCs w:val="18"/>
    </w:rPr>
  </w:style>
  <w:style w:type="character" w:customStyle="1" w:styleId="67">
    <w:name w:val="批注文字 Char"/>
    <w:autoRedefine/>
    <w:semiHidden/>
    <w:qFormat/>
    <w:uiPriority w:val="99"/>
    <w:rPr>
      <w:kern w:val="2"/>
      <w:sz w:val="21"/>
    </w:rPr>
  </w:style>
  <w:style w:type="character" w:customStyle="1" w:styleId="68">
    <w:name w:val="正文缩进2格 Char"/>
    <w:link w:val="69"/>
    <w:autoRedefine/>
    <w:qFormat/>
    <w:uiPriority w:val="0"/>
    <w:rPr>
      <w:rFonts w:ascii="仿宋_GB2312" w:hAnsi="宋体" w:eastAsia="仿宋_GB2312"/>
      <w:sz w:val="31"/>
      <w:szCs w:val="28"/>
    </w:rPr>
  </w:style>
  <w:style w:type="paragraph" w:customStyle="1" w:styleId="69">
    <w:name w:val="正文缩进2格"/>
    <w:basedOn w:val="1"/>
    <w:link w:val="68"/>
    <w:autoRedefine/>
    <w:qFormat/>
    <w:uiPriority w:val="0"/>
    <w:pPr>
      <w:spacing w:line="600" w:lineRule="exact"/>
      <w:ind w:firstLine="639" w:firstLineChars="206"/>
    </w:pPr>
    <w:rPr>
      <w:rFonts w:ascii="仿宋_GB2312" w:hAnsi="宋体" w:eastAsia="仿宋_GB2312"/>
      <w:sz w:val="31"/>
      <w:szCs w:val="28"/>
    </w:rPr>
  </w:style>
  <w:style w:type="character" w:customStyle="1" w:styleId="70">
    <w:name w:val="批注文字 字符"/>
    <w:autoRedefine/>
    <w:semiHidden/>
    <w:qFormat/>
    <w:uiPriority w:val="99"/>
    <w:rPr>
      <w:rFonts w:ascii="Times New Roman" w:hAnsi="Times New Roman"/>
      <w:kern w:val="2"/>
      <w:sz w:val="24"/>
      <w:szCs w:val="24"/>
    </w:rPr>
  </w:style>
  <w:style w:type="character" w:customStyle="1" w:styleId="71">
    <w:name w:val="正文文本缩进 Char"/>
    <w:autoRedefine/>
    <w:qFormat/>
    <w:uiPriority w:val="0"/>
    <w:rPr>
      <w:rFonts w:ascii="Times New Roman" w:hAnsi="Times New Roman" w:eastAsia="宋体" w:cs="Times New Roman"/>
      <w:szCs w:val="20"/>
      <w:lang w:val="en-US" w:eastAsia="zh-CN"/>
    </w:rPr>
  </w:style>
  <w:style w:type="character" w:customStyle="1" w:styleId="72">
    <w:name w:val="批注框文本 字符1"/>
    <w:autoRedefine/>
    <w:semiHidden/>
    <w:qFormat/>
    <w:uiPriority w:val="99"/>
    <w:rPr>
      <w:rFonts w:ascii="宋体" w:hAnsi="Calibri" w:eastAsia="宋体" w:cs="Times New Roman"/>
      <w:kern w:val="0"/>
      <w:sz w:val="18"/>
      <w:szCs w:val="18"/>
    </w:rPr>
  </w:style>
  <w:style w:type="character" w:customStyle="1" w:styleId="73">
    <w:name w:val="List Paragraph Char"/>
    <w:link w:val="74"/>
    <w:autoRedefine/>
    <w:qFormat/>
    <w:uiPriority w:val="34"/>
    <w:rPr>
      <w:rFonts w:ascii="Calibri" w:hAnsi="Calibri"/>
    </w:rPr>
  </w:style>
  <w:style w:type="paragraph" w:customStyle="1" w:styleId="74">
    <w:name w:val="列出段落1"/>
    <w:basedOn w:val="1"/>
    <w:link w:val="73"/>
    <w:autoRedefine/>
    <w:qFormat/>
    <w:uiPriority w:val="34"/>
    <w:pPr>
      <w:ind w:firstLine="420" w:firstLineChars="200"/>
    </w:pPr>
    <w:rPr>
      <w:rFonts w:ascii="Calibri" w:hAnsi="Calibri"/>
    </w:rPr>
  </w:style>
  <w:style w:type="character" w:customStyle="1" w:styleId="75">
    <w:name w:val="标书正文 字符"/>
    <w:link w:val="76"/>
    <w:autoRedefine/>
    <w:qFormat/>
    <w:uiPriority w:val="0"/>
    <w:rPr>
      <w:rFonts w:ascii="Calibri" w:hAnsi="Calibri" w:eastAsia="仿宋"/>
      <w:sz w:val="24"/>
      <w:szCs w:val="21"/>
    </w:rPr>
  </w:style>
  <w:style w:type="paragraph" w:customStyle="1" w:styleId="76">
    <w:name w:val="标书正文"/>
    <w:basedOn w:val="1"/>
    <w:link w:val="75"/>
    <w:autoRedefine/>
    <w:qFormat/>
    <w:uiPriority w:val="0"/>
    <w:pPr>
      <w:adjustRightInd w:val="0"/>
      <w:snapToGrid w:val="0"/>
      <w:spacing w:beforeLines="50" w:line="360" w:lineRule="auto"/>
      <w:ind w:firstLine="200" w:firstLineChars="200"/>
    </w:pPr>
    <w:rPr>
      <w:rFonts w:ascii="Calibri" w:hAnsi="Calibri" w:eastAsia="仿宋"/>
      <w:sz w:val="24"/>
      <w:szCs w:val="21"/>
    </w:rPr>
  </w:style>
  <w:style w:type="character" w:customStyle="1" w:styleId="77">
    <w:name w:val="正文文本 字符"/>
    <w:autoRedefine/>
    <w:semiHidden/>
    <w:qFormat/>
    <w:uiPriority w:val="99"/>
    <w:rPr>
      <w:rFonts w:ascii="Times New Roman" w:hAnsi="Times New Roman"/>
      <w:kern w:val="2"/>
      <w:sz w:val="24"/>
      <w:szCs w:val="24"/>
    </w:rPr>
  </w:style>
  <w:style w:type="character" w:customStyle="1" w:styleId="78">
    <w:name w:val="页脚 Char"/>
    <w:autoRedefine/>
    <w:qFormat/>
    <w:uiPriority w:val="0"/>
    <w:rPr>
      <w:kern w:val="2"/>
      <w:sz w:val="18"/>
      <w:szCs w:val="18"/>
    </w:rPr>
  </w:style>
  <w:style w:type="character" w:customStyle="1" w:styleId="79">
    <w:name w:val="neir1"/>
    <w:autoRedefine/>
    <w:qFormat/>
    <w:uiPriority w:val="0"/>
    <w:rPr>
      <w:rFonts w:hint="default" w:ascii="ˎ̥" w:hAnsi="ˎ̥"/>
      <w:color w:val="333333"/>
      <w:sz w:val="21"/>
      <w:szCs w:val="21"/>
      <w:u w:val="none"/>
    </w:rPr>
  </w:style>
  <w:style w:type="character" w:customStyle="1" w:styleId="80">
    <w:name w:val="批注框文本 字符"/>
    <w:link w:val="27"/>
    <w:autoRedefine/>
    <w:qFormat/>
    <w:uiPriority w:val="0"/>
    <w:rPr>
      <w:rFonts w:ascii="Times New Roman" w:hAnsi="Times New Roman" w:eastAsia="宋体" w:cs="Times New Roman"/>
      <w:sz w:val="18"/>
      <w:szCs w:val="18"/>
    </w:rPr>
  </w:style>
  <w:style w:type="character" w:customStyle="1" w:styleId="81">
    <w:name w:val="正文文本 3 字符1"/>
    <w:autoRedefine/>
    <w:semiHidden/>
    <w:qFormat/>
    <w:uiPriority w:val="99"/>
    <w:rPr>
      <w:rFonts w:ascii="宋体" w:hAnsi="Calibri" w:eastAsia="宋体" w:cs="Times New Roman"/>
      <w:kern w:val="0"/>
      <w:sz w:val="16"/>
      <w:szCs w:val="16"/>
    </w:rPr>
  </w:style>
  <w:style w:type="character" w:customStyle="1" w:styleId="82">
    <w:name w:val="正文文本 字符3"/>
    <w:autoRedefine/>
    <w:semiHidden/>
    <w:qFormat/>
    <w:uiPriority w:val="99"/>
    <w:rPr>
      <w:rFonts w:ascii="宋体" w:hAnsi="Calibri" w:eastAsia="宋体" w:cs="Times New Roman"/>
      <w:kern w:val="0"/>
      <w:sz w:val="24"/>
      <w:szCs w:val="24"/>
    </w:rPr>
  </w:style>
  <w:style w:type="character" w:customStyle="1" w:styleId="83">
    <w:name w:val="日期 字符1"/>
    <w:autoRedefine/>
    <w:semiHidden/>
    <w:qFormat/>
    <w:uiPriority w:val="99"/>
    <w:rPr>
      <w:rFonts w:ascii="宋体" w:hAnsi="Calibri" w:eastAsia="宋体" w:cs="Times New Roman"/>
      <w:kern w:val="0"/>
      <w:sz w:val="24"/>
      <w:szCs w:val="24"/>
    </w:rPr>
  </w:style>
  <w:style w:type="character" w:customStyle="1" w:styleId="84">
    <w:name w:val="页脚 Char2"/>
    <w:autoRedefine/>
    <w:qFormat/>
    <w:uiPriority w:val="99"/>
    <w:rPr>
      <w:rFonts w:ascii="宋体" w:eastAsia="宋体"/>
      <w:sz w:val="18"/>
      <w:szCs w:val="18"/>
    </w:rPr>
  </w:style>
  <w:style w:type="character" w:customStyle="1" w:styleId="85">
    <w:name w:val="吉奥正文 Char"/>
    <w:link w:val="86"/>
    <w:autoRedefine/>
    <w:qFormat/>
    <w:locked/>
    <w:uiPriority w:val="0"/>
    <w:rPr>
      <w:rFonts w:eastAsia="仿宋_GB2312"/>
      <w:sz w:val="28"/>
    </w:rPr>
  </w:style>
  <w:style w:type="paragraph" w:customStyle="1" w:styleId="86">
    <w:name w:val="吉奥正文"/>
    <w:basedOn w:val="1"/>
    <w:link w:val="85"/>
    <w:autoRedefine/>
    <w:qFormat/>
    <w:uiPriority w:val="0"/>
    <w:pPr>
      <w:adjustRightInd w:val="0"/>
      <w:snapToGrid w:val="0"/>
      <w:spacing w:before="120" w:line="360" w:lineRule="auto"/>
      <w:ind w:firstLine="200" w:firstLineChars="200"/>
      <w:textAlignment w:val="baseline"/>
    </w:pPr>
    <w:rPr>
      <w:rFonts w:eastAsia="仿宋_GB2312"/>
      <w:sz w:val="28"/>
    </w:rPr>
  </w:style>
  <w:style w:type="character" w:customStyle="1" w:styleId="87">
    <w:name w:val="页脚 Char1"/>
    <w:autoRedefine/>
    <w:qFormat/>
    <w:uiPriority w:val="99"/>
    <w:rPr>
      <w:rFonts w:ascii="宋体" w:hAnsi="Times New Roman" w:eastAsia="宋体" w:cs="Times New Roman"/>
      <w:kern w:val="0"/>
      <w:sz w:val="18"/>
      <w:szCs w:val="18"/>
    </w:rPr>
  </w:style>
  <w:style w:type="character" w:customStyle="1" w:styleId="88">
    <w:name w:val="标题 字符"/>
    <w:autoRedefine/>
    <w:qFormat/>
    <w:uiPriority w:val="10"/>
    <w:rPr>
      <w:rFonts w:ascii="Cambria" w:hAnsi="Cambria" w:eastAsia="宋体" w:cs="Times New Roman"/>
      <w:b/>
      <w:bCs/>
      <w:kern w:val="0"/>
      <w:sz w:val="32"/>
      <w:szCs w:val="32"/>
      <w:lang w:val="en-US" w:eastAsia="zh-CN"/>
    </w:rPr>
  </w:style>
  <w:style w:type="character" w:customStyle="1" w:styleId="89">
    <w:name w:val="题注 字符1"/>
    <w:link w:val="14"/>
    <w:autoRedefine/>
    <w:qFormat/>
    <w:uiPriority w:val="0"/>
    <w:rPr>
      <w:rFonts w:ascii="Arial" w:hAnsi="Arial" w:eastAsia="黑体" w:cs="Arial"/>
    </w:rPr>
  </w:style>
  <w:style w:type="character" w:customStyle="1" w:styleId="90">
    <w:name w:val="批注文字 字符2"/>
    <w:autoRedefine/>
    <w:qFormat/>
    <w:uiPriority w:val="99"/>
    <w:rPr>
      <w:rFonts w:ascii="宋体" w:hAnsi="Times New Roman" w:eastAsia="宋体" w:cs="Times New Roman"/>
      <w:kern w:val="0"/>
      <w:sz w:val="24"/>
      <w:szCs w:val="24"/>
    </w:rPr>
  </w:style>
  <w:style w:type="character" w:customStyle="1" w:styleId="91">
    <w:name w:val="批注主题 字符1"/>
    <w:autoRedefine/>
    <w:semiHidden/>
    <w:qFormat/>
    <w:uiPriority w:val="99"/>
    <w:rPr>
      <w:rFonts w:ascii="宋体" w:hAnsi="Calibri" w:eastAsia="宋体" w:cs="Times New Roman"/>
      <w:b/>
      <w:bCs/>
      <w:kern w:val="0"/>
      <w:sz w:val="24"/>
      <w:szCs w:val="24"/>
    </w:rPr>
  </w:style>
  <w:style w:type="character" w:customStyle="1" w:styleId="92">
    <w:name w:val="HTML 预设格式 字符"/>
    <w:link w:val="38"/>
    <w:autoRedefine/>
    <w:qFormat/>
    <w:uiPriority w:val="99"/>
    <w:rPr>
      <w:rFonts w:ascii="Arial" w:hAnsi="Arial" w:eastAsia="宋体" w:cs="Arial"/>
      <w:szCs w:val="21"/>
    </w:rPr>
  </w:style>
  <w:style w:type="character" w:customStyle="1" w:styleId="93">
    <w:name w:val="标题 3.1 Char"/>
    <w:link w:val="94"/>
    <w:autoRedefine/>
    <w:qFormat/>
    <w:uiPriority w:val="0"/>
    <w:rPr>
      <w:rFonts w:ascii="宋体" w:hAnsi="宋体"/>
      <w:b/>
      <w:bCs/>
      <w:sz w:val="32"/>
      <w:szCs w:val="32"/>
    </w:rPr>
  </w:style>
  <w:style w:type="paragraph" w:customStyle="1" w:styleId="94">
    <w:name w:val="标题 3.1"/>
    <w:basedOn w:val="4"/>
    <w:link w:val="93"/>
    <w:autoRedefine/>
    <w:qFormat/>
    <w:uiPriority w:val="0"/>
    <w:pPr>
      <w:keepNext/>
      <w:keepLines/>
      <w:pageBreakBefore/>
      <w:tabs>
        <w:tab w:val="left" w:pos="1440"/>
        <w:tab w:val="left" w:pos="1620"/>
      </w:tabs>
      <w:autoSpaceDE/>
      <w:autoSpaceDN/>
      <w:adjustRightInd/>
      <w:spacing w:before="260" w:after="260" w:line="600" w:lineRule="exact"/>
      <w:jc w:val="both"/>
    </w:pPr>
    <w:rPr>
      <w:rFonts w:hAnsi="宋体" w:eastAsiaTheme="minorEastAsia" w:cstheme="minorBidi"/>
      <w:b/>
      <w:bCs/>
      <w:kern w:val="2"/>
      <w:sz w:val="32"/>
      <w:szCs w:val="32"/>
    </w:rPr>
  </w:style>
  <w:style w:type="character" w:customStyle="1" w:styleId="95">
    <w:name w:val="HTML 预设格式 Char1"/>
    <w:autoRedefine/>
    <w:semiHidden/>
    <w:qFormat/>
    <w:uiPriority w:val="99"/>
    <w:rPr>
      <w:rFonts w:ascii="Courier New" w:hAnsi="Courier New" w:eastAsia="宋体" w:cs="Courier New"/>
      <w:kern w:val="0"/>
      <w:sz w:val="20"/>
      <w:szCs w:val="20"/>
    </w:rPr>
  </w:style>
  <w:style w:type="character" w:customStyle="1" w:styleId="96">
    <w:name w:val="批注文字 字符1"/>
    <w:autoRedefine/>
    <w:qFormat/>
    <w:uiPriority w:val="0"/>
    <w:rPr>
      <w:rFonts w:eastAsia="宋体"/>
      <w:kern w:val="2"/>
      <w:sz w:val="24"/>
      <w:szCs w:val="24"/>
      <w:lang w:val="en-US" w:eastAsia="zh-CN" w:bidi="ar-SA"/>
    </w:rPr>
  </w:style>
  <w:style w:type="character" w:customStyle="1" w:styleId="97">
    <w:name w:val="正文文本缩进 字符2"/>
    <w:autoRedefine/>
    <w:semiHidden/>
    <w:qFormat/>
    <w:uiPriority w:val="99"/>
    <w:rPr>
      <w:rFonts w:ascii="宋体" w:hAnsi="Calibri" w:eastAsia="宋体" w:cs="Times New Roman"/>
      <w:kern w:val="0"/>
      <w:sz w:val="24"/>
      <w:szCs w:val="24"/>
    </w:rPr>
  </w:style>
  <w:style w:type="character" w:customStyle="1" w:styleId="98">
    <w:name w:val="正文文本缩进 字符1"/>
    <w:link w:val="20"/>
    <w:autoRedefine/>
    <w:qFormat/>
    <w:uiPriority w:val="0"/>
    <w:rPr>
      <w:rFonts w:ascii="Times New Roman" w:hAnsi="Times New Roman" w:eastAsia="宋体" w:cs="Times New Roman"/>
      <w:szCs w:val="20"/>
    </w:rPr>
  </w:style>
  <w:style w:type="character" w:customStyle="1" w:styleId="99">
    <w:name w:val="普通(网站) 字符2"/>
    <w:link w:val="39"/>
    <w:autoRedefine/>
    <w:qFormat/>
    <w:locked/>
    <w:uiPriority w:val="0"/>
    <w:rPr>
      <w:rFonts w:ascii="宋体" w:hAnsi="宋体"/>
      <w:sz w:val="15"/>
      <w:szCs w:val="15"/>
    </w:rPr>
  </w:style>
  <w:style w:type="character" w:customStyle="1" w:styleId="100">
    <w:name w:val="模板正文 Char"/>
    <w:link w:val="8"/>
    <w:autoRedefine/>
    <w:qFormat/>
    <w:uiPriority w:val="0"/>
    <w:rPr>
      <w:rFonts w:ascii="宋体" w:eastAsia="仿宋"/>
      <w:sz w:val="24"/>
      <w:szCs w:val="21"/>
    </w:rPr>
  </w:style>
  <w:style w:type="character" w:customStyle="1" w:styleId="101">
    <w:name w:val="批注主题 Char"/>
    <w:autoRedefine/>
    <w:semiHidden/>
    <w:qFormat/>
    <w:uiPriority w:val="99"/>
    <w:rPr>
      <w:b/>
      <w:bCs/>
      <w:kern w:val="2"/>
      <w:sz w:val="21"/>
    </w:rPr>
  </w:style>
  <w:style w:type="character" w:customStyle="1" w:styleId="102">
    <w:name w:val="正文文本 Char1"/>
    <w:autoRedefine/>
    <w:qFormat/>
    <w:uiPriority w:val="0"/>
    <w:rPr>
      <w:rFonts w:ascii="宋体" w:hAnsi="Times New Roman" w:eastAsia="宋体" w:cs="Times New Roman"/>
      <w:kern w:val="0"/>
      <w:sz w:val="24"/>
      <w:szCs w:val="24"/>
    </w:rPr>
  </w:style>
  <w:style w:type="character" w:customStyle="1" w:styleId="103">
    <w:name w:val="正文文本 字符1"/>
    <w:autoRedefine/>
    <w:qFormat/>
    <w:uiPriority w:val="99"/>
    <w:rPr>
      <w:rFonts w:ascii="宋体" w:eastAsia="宋体"/>
      <w:b/>
      <w:bCs/>
      <w:sz w:val="84"/>
      <w:szCs w:val="84"/>
      <w:lang w:val="zh-CN"/>
    </w:rPr>
  </w:style>
  <w:style w:type="character" w:customStyle="1" w:styleId="104">
    <w:name w:val="标题 1 Char"/>
    <w:autoRedefine/>
    <w:qFormat/>
    <w:uiPriority w:val="9"/>
    <w:rPr>
      <w:rFonts w:ascii="宋体" w:hAnsi="Times New Roman" w:eastAsia="宋体" w:cs="Times New Roman"/>
      <w:kern w:val="0"/>
      <w:sz w:val="24"/>
      <w:szCs w:val="24"/>
    </w:rPr>
  </w:style>
  <w:style w:type="character" w:customStyle="1" w:styleId="105">
    <w:name w:val="正文文本 Char2"/>
    <w:autoRedefine/>
    <w:qFormat/>
    <w:uiPriority w:val="99"/>
    <w:rPr>
      <w:rFonts w:ascii="宋体" w:eastAsia="宋体"/>
      <w:b/>
      <w:bCs/>
      <w:sz w:val="84"/>
      <w:szCs w:val="84"/>
      <w:lang w:val="zh-CN"/>
    </w:rPr>
  </w:style>
  <w:style w:type="character" w:customStyle="1" w:styleId="106">
    <w:name w:val="纯文本 字符2"/>
    <w:link w:val="23"/>
    <w:autoRedefine/>
    <w:qFormat/>
    <w:uiPriority w:val="0"/>
    <w:rPr>
      <w:rFonts w:ascii="宋体" w:hAnsi="Courier New" w:eastAsia="宋体"/>
    </w:rPr>
  </w:style>
  <w:style w:type="character" w:customStyle="1" w:styleId="107">
    <w:name w:val="正文文本缩进 2 字符"/>
    <w:link w:val="26"/>
    <w:autoRedefine/>
    <w:qFormat/>
    <w:uiPriority w:val="0"/>
    <w:rPr>
      <w:rFonts w:ascii="宋体" w:hAnsi="Times New Roman" w:eastAsia="宋体" w:cs="Times New Roman"/>
      <w:szCs w:val="20"/>
    </w:rPr>
  </w:style>
  <w:style w:type="character" w:customStyle="1" w:styleId="108">
    <w:name w:val="HTML Markup"/>
    <w:autoRedefine/>
    <w:qFormat/>
    <w:uiPriority w:val="0"/>
    <w:rPr>
      <w:vanish/>
      <w:color w:val="FF0000"/>
    </w:rPr>
  </w:style>
  <w:style w:type="character" w:customStyle="1" w:styleId="109">
    <w:name w:val="页眉 Char1"/>
    <w:autoRedefine/>
    <w:qFormat/>
    <w:uiPriority w:val="0"/>
    <w:rPr>
      <w:rFonts w:ascii="宋体" w:hAnsi="Times New Roman" w:eastAsia="宋体" w:cs="Times New Roman"/>
      <w:kern w:val="0"/>
      <w:sz w:val="18"/>
      <w:szCs w:val="18"/>
    </w:rPr>
  </w:style>
  <w:style w:type="character" w:customStyle="1" w:styleId="110">
    <w:name w:val="font11"/>
    <w:autoRedefine/>
    <w:qFormat/>
    <w:uiPriority w:val="0"/>
    <w:rPr>
      <w:rFonts w:hint="eastAsia" w:ascii="宋体" w:hAnsi="宋体" w:eastAsia="宋体" w:cs="宋体"/>
      <w:color w:val="FF0000"/>
      <w:sz w:val="22"/>
      <w:szCs w:val="22"/>
      <w:u w:val="none"/>
    </w:rPr>
  </w:style>
  <w:style w:type="character" w:customStyle="1" w:styleId="111">
    <w:name w:val="style61"/>
    <w:autoRedefine/>
    <w:qFormat/>
    <w:uiPriority w:val="0"/>
    <w:rPr>
      <w:b/>
      <w:bCs/>
    </w:rPr>
  </w:style>
  <w:style w:type="character" w:customStyle="1" w:styleId="112">
    <w:name w:val="表头文字 Char"/>
    <w:link w:val="113"/>
    <w:autoRedefine/>
    <w:qFormat/>
    <w:uiPriority w:val="0"/>
    <w:rPr>
      <w:rFonts w:eastAsia="仿宋_GB2312"/>
      <w:b/>
      <w:sz w:val="28"/>
      <w:szCs w:val="21"/>
    </w:rPr>
  </w:style>
  <w:style w:type="paragraph" w:customStyle="1" w:styleId="113">
    <w:name w:val="表头文字"/>
    <w:basedOn w:val="1"/>
    <w:link w:val="112"/>
    <w:autoRedefine/>
    <w:qFormat/>
    <w:uiPriority w:val="0"/>
    <w:pPr>
      <w:adjustRightInd w:val="0"/>
      <w:snapToGrid w:val="0"/>
      <w:spacing w:before="120" w:line="360" w:lineRule="auto"/>
      <w:jc w:val="center"/>
      <w:textAlignment w:val="baseline"/>
    </w:pPr>
    <w:rPr>
      <w:rFonts w:eastAsia="仿宋_GB2312"/>
      <w:b/>
      <w:sz w:val="28"/>
      <w:szCs w:val="21"/>
    </w:rPr>
  </w:style>
  <w:style w:type="character" w:customStyle="1" w:styleId="114">
    <w:name w:val="日期 字符"/>
    <w:link w:val="25"/>
    <w:autoRedefine/>
    <w:qFormat/>
    <w:uiPriority w:val="99"/>
    <w:rPr>
      <w:rFonts w:ascii="宋体" w:hAnsi="Times New Roman" w:eastAsia="宋体" w:cs="Times New Roman"/>
      <w:b/>
      <w:bCs/>
      <w:szCs w:val="21"/>
      <w:lang w:val="zh-CN"/>
    </w:rPr>
  </w:style>
  <w:style w:type="character" w:customStyle="1" w:styleId="115">
    <w:name w:val="纯文本 Char1"/>
    <w:autoRedefine/>
    <w:qFormat/>
    <w:uiPriority w:val="0"/>
    <w:rPr>
      <w:rFonts w:ascii="宋体" w:hAnsi="Courier New" w:eastAsia="宋体" w:cs="Courier New"/>
      <w:kern w:val="0"/>
      <w:szCs w:val="21"/>
    </w:rPr>
  </w:style>
  <w:style w:type="character" w:customStyle="1" w:styleId="116">
    <w:name w:val="批注主题 字符"/>
    <w:link w:val="41"/>
    <w:autoRedefine/>
    <w:qFormat/>
    <w:uiPriority w:val="99"/>
    <w:rPr>
      <w:rFonts w:ascii="宋体" w:hAnsi="Times New Roman" w:eastAsia="宋体" w:cs="Times New Roman"/>
      <w:b/>
      <w:bCs/>
      <w:kern w:val="0"/>
      <w:sz w:val="24"/>
      <w:szCs w:val="24"/>
    </w:rPr>
  </w:style>
  <w:style w:type="character" w:customStyle="1" w:styleId="117">
    <w:name w:val="纯文本 字符"/>
    <w:autoRedefine/>
    <w:qFormat/>
    <w:uiPriority w:val="99"/>
    <w:rPr>
      <w:rFonts w:ascii="宋体" w:hAnsi="Courier New" w:eastAsia="宋体" w:cs="Times New Roman"/>
      <w:szCs w:val="20"/>
      <w:lang w:val="en-US" w:eastAsia="zh-CN"/>
    </w:rPr>
  </w:style>
  <w:style w:type="character" w:customStyle="1" w:styleId="118">
    <w:name w:val="font71"/>
    <w:autoRedefine/>
    <w:qFormat/>
    <w:uiPriority w:val="0"/>
    <w:rPr>
      <w:rFonts w:hint="eastAsia" w:ascii="宋体" w:hAnsi="宋体" w:eastAsia="宋体" w:cs="宋体"/>
      <w:color w:val="FF0000"/>
      <w:sz w:val="18"/>
      <w:szCs w:val="18"/>
      <w:u w:val="none"/>
    </w:rPr>
  </w:style>
  <w:style w:type="character" w:customStyle="1" w:styleId="119">
    <w:name w:val="font21"/>
    <w:autoRedefine/>
    <w:qFormat/>
    <w:uiPriority w:val="0"/>
    <w:rPr>
      <w:rFonts w:hint="eastAsia" w:ascii="宋体" w:hAnsi="宋体" w:eastAsia="宋体" w:cs="宋体"/>
      <w:b/>
      <w:color w:val="000000"/>
      <w:sz w:val="21"/>
      <w:szCs w:val="21"/>
      <w:u w:val="none"/>
    </w:rPr>
  </w:style>
  <w:style w:type="character" w:customStyle="1" w:styleId="120">
    <w:name w:val="纯文本 字符3"/>
    <w:autoRedefine/>
    <w:semiHidden/>
    <w:qFormat/>
    <w:uiPriority w:val="99"/>
    <w:rPr>
      <w:rFonts w:ascii="等线" w:hAnsi="Courier New" w:cs="Courier New"/>
      <w:kern w:val="0"/>
      <w:sz w:val="24"/>
      <w:szCs w:val="24"/>
    </w:rPr>
  </w:style>
  <w:style w:type="character" w:customStyle="1" w:styleId="121">
    <w:name w:val="font31"/>
    <w:autoRedefine/>
    <w:qFormat/>
    <w:uiPriority w:val="0"/>
    <w:rPr>
      <w:rFonts w:hint="eastAsia" w:ascii="宋体" w:hAnsi="宋体" w:eastAsia="宋体" w:cs="宋体"/>
      <w:color w:val="000000"/>
      <w:sz w:val="18"/>
      <w:szCs w:val="18"/>
      <w:u w:val="none"/>
    </w:rPr>
  </w:style>
  <w:style w:type="character" w:customStyle="1" w:styleId="122">
    <w:name w:val="文档结构图 字符"/>
    <w:link w:val="15"/>
    <w:autoRedefine/>
    <w:semiHidden/>
    <w:qFormat/>
    <w:uiPriority w:val="99"/>
    <w:rPr>
      <w:rFonts w:ascii="宋体" w:hAnsi="Times New Roman" w:eastAsia="宋体" w:cs="Times New Roman"/>
      <w:kern w:val="0"/>
      <w:sz w:val="24"/>
      <w:szCs w:val="24"/>
      <w:shd w:val="clear" w:color="auto" w:fill="000080"/>
    </w:rPr>
  </w:style>
  <w:style w:type="character" w:customStyle="1" w:styleId="123">
    <w:name w:val="普通(网站) 字符1"/>
    <w:autoRedefine/>
    <w:qFormat/>
    <w:locked/>
    <w:uiPriority w:val="0"/>
    <w:rPr>
      <w:rFonts w:ascii="宋体" w:hAnsi="宋体"/>
      <w:sz w:val="15"/>
      <w:szCs w:val="15"/>
    </w:rPr>
  </w:style>
  <w:style w:type="character" w:customStyle="1" w:styleId="124">
    <w:name w:val="正文文本 字符2"/>
    <w:link w:val="19"/>
    <w:autoRedefine/>
    <w:qFormat/>
    <w:uiPriority w:val="99"/>
    <w:rPr>
      <w:rFonts w:ascii="宋体" w:eastAsia="宋体"/>
      <w:b/>
      <w:bCs/>
      <w:sz w:val="84"/>
      <w:szCs w:val="84"/>
      <w:lang w:val="zh-CN"/>
    </w:rPr>
  </w:style>
  <w:style w:type="character" w:customStyle="1" w:styleId="125">
    <w:name w:val="标题 5 Char"/>
    <w:autoRedefine/>
    <w:semiHidden/>
    <w:qFormat/>
    <w:uiPriority w:val="9"/>
    <w:rPr>
      <w:b/>
      <w:bCs/>
      <w:kern w:val="2"/>
      <w:sz w:val="28"/>
      <w:szCs w:val="28"/>
    </w:rPr>
  </w:style>
  <w:style w:type="character" w:customStyle="1" w:styleId="126">
    <w:name w:val="页眉 字符"/>
    <w:link w:val="29"/>
    <w:autoRedefine/>
    <w:qFormat/>
    <w:uiPriority w:val="99"/>
    <w:rPr>
      <w:rFonts w:ascii="宋体" w:eastAsia="宋体"/>
      <w:sz w:val="18"/>
      <w:szCs w:val="18"/>
    </w:rPr>
  </w:style>
  <w:style w:type="character" w:customStyle="1" w:styleId="127">
    <w:name w:val="表格文字 Char"/>
    <w:link w:val="128"/>
    <w:autoRedefine/>
    <w:qFormat/>
    <w:uiPriority w:val="0"/>
    <w:rPr>
      <w:rFonts w:eastAsia="仿宋_GB2312"/>
      <w:sz w:val="28"/>
      <w:szCs w:val="24"/>
    </w:rPr>
  </w:style>
  <w:style w:type="paragraph" w:customStyle="1" w:styleId="128">
    <w:name w:val="表格文字"/>
    <w:basedOn w:val="1"/>
    <w:link w:val="127"/>
    <w:autoRedefine/>
    <w:qFormat/>
    <w:uiPriority w:val="0"/>
    <w:rPr>
      <w:rFonts w:eastAsia="仿宋_GB2312"/>
      <w:sz w:val="28"/>
      <w:szCs w:val="24"/>
    </w:rPr>
  </w:style>
  <w:style w:type="character" w:customStyle="1" w:styleId="129">
    <w:name w:val="标题 字符2"/>
    <w:autoRedefine/>
    <w:qFormat/>
    <w:uiPriority w:val="10"/>
    <w:rPr>
      <w:rFonts w:ascii="等线 Light" w:hAnsi="等线 Light" w:eastAsia="等线 Light" w:cs="Times New Roman"/>
      <w:b/>
      <w:bCs/>
      <w:kern w:val="0"/>
      <w:sz w:val="32"/>
      <w:szCs w:val="32"/>
    </w:rPr>
  </w:style>
  <w:style w:type="character" w:customStyle="1" w:styleId="130">
    <w:name w:val="正文缩进2格 Char Char"/>
    <w:autoRedefine/>
    <w:qFormat/>
    <w:uiPriority w:val="0"/>
    <w:rPr>
      <w:rFonts w:ascii="仿宋_GB2312" w:hAnsi="宋体" w:eastAsia="仿宋_GB2312"/>
      <w:kern w:val="2"/>
      <w:sz w:val="31"/>
      <w:szCs w:val="28"/>
      <w:lang w:val="en-US" w:eastAsia="zh-CN" w:bidi="ar-SA"/>
    </w:rPr>
  </w:style>
  <w:style w:type="character" w:customStyle="1" w:styleId="131">
    <w:name w:val="小 Char"/>
    <w:autoRedefine/>
    <w:qFormat/>
    <w:uiPriority w:val="0"/>
    <w:rPr>
      <w:rFonts w:ascii="宋体" w:hAnsi="Courier New" w:eastAsia="宋体"/>
      <w:kern w:val="2"/>
      <w:sz w:val="21"/>
      <w:lang w:val="en-US" w:eastAsia="zh-CN" w:bidi="ar-SA"/>
    </w:rPr>
  </w:style>
  <w:style w:type="character" w:customStyle="1" w:styleId="132">
    <w:name w:val="themebody1"/>
    <w:autoRedefine/>
    <w:qFormat/>
    <w:uiPriority w:val="0"/>
    <w:rPr>
      <w:color w:val="FFFFFF"/>
    </w:rPr>
  </w:style>
  <w:style w:type="character" w:customStyle="1" w:styleId="133">
    <w:name w:val="页脚 字符1"/>
    <w:autoRedefine/>
    <w:semiHidden/>
    <w:qFormat/>
    <w:uiPriority w:val="99"/>
    <w:rPr>
      <w:rFonts w:ascii="宋体" w:hAnsi="Calibri" w:eastAsia="宋体" w:cs="Times New Roman"/>
      <w:kern w:val="0"/>
      <w:sz w:val="18"/>
      <w:szCs w:val="18"/>
    </w:rPr>
  </w:style>
  <w:style w:type="character" w:customStyle="1" w:styleId="134">
    <w:name w:val="列出段落 字符"/>
    <w:link w:val="135"/>
    <w:autoRedefine/>
    <w:qFormat/>
    <w:uiPriority w:val="34"/>
    <w:rPr>
      <w:kern w:val="2"/>
      <w:sz w:val="21"/>
      <w:szCs w:val="22"/>
    </w:rPr>
  </w:style>
  <w:style w:type="paragraph" w:styleId="135">
    <w:name w:val="List Paragraph"/>
    <w:basedOn w:val="1"/>
    <w:link w:val="134"/>
    <w:autoRedefine/>
    <w:qFormat/>
    <w:uiPriority w:val="34"/>
    <w:pPr>
      <w:ind w:firstLine="420" w:firstLineChars="200"/>
    </w:pPr>
  </w:style>
  <w:style w:type="character" w:customStyle="1" w:styleId="136">
    <w:name w:val="正文文本 Char"/>
    <w:autoRedefine/>
    <w:qFormat/>
    <w:uiPriority w:val="99"/>
    <w:rPr>
      <w:rFonts w:ascii="宋体" w:eastAsia="宋体"/>
      <w:b/>
      <w:bCs/>
      <w:sz w:val="84"/>
      <w:szCs w:val="84"/>
      <w:lang w:val="zh-CN"/>
    </w:rPr>
  </w:style>
  <w:style w:type="character" w:customStyle="1" w:styleId="137">
    <w:name w:val="页眉 字符1"/>
    <w:autoRedefine/>
    <w:semiHidden/>
    <w:qFormat/>
    <w:uiPriority w:val="99"/>
    <w:rPr>
      <w:rFonts w:ascii="宋体" w:hAnsi="Calibri" w:eastAsia="宋体" w:cs="Times New Roman"/>
      <w:kern w:val="0"/>
      <w:sz w:val="18"/>
      <w:szCs w:val="18"/>
    </w:rPr>
  </w:style>
  <w:style w:type="character" w:customStyle="1" w:styleId="138">
    <w:name w:val="标题 5 字符1"/>
    <w:link w:val="6"/>
    <w:autoRedefine/>
    <w:qFormat/>
    <w:uiPriority w:val="9"/>
    <w:rPr>
      <w:rFonts w:ascii="宋体" w:hAnsi="Calibri" w:eastAsia="宋体" w:cs="Times New Roman"/>
      <w:b/>
      <w:bCs/>
      <w:kern w:val="0"/>
      <w:sz w:val="28"/>
      <w:szCs w:val="28"/>
    </w:rPr>
  </w:style>
  <w:style w:type="character" w:customStyle="1" w:styleId="139">
    <w:name w:val="keyfeatures1"/>
    <w:autoRedefine/>
    <w:qFormat/>
    <w:uiPriority w:val="0"/>
    <w:rPr>
      <w:rFonts w:hint="default" w:ascii="Arial" w:hAnsi="Arial" w:cs="Arial"/>
      <w:color w:val="003366"/>
      <w:sz w:val="17"/>
      <w:szCs w:val="17"/>
      <w:u w:val="none"/>
    </w:rPr>
  </w:style>
  <w:style w:type="character" w:customStyle="1" w:styleId="140">
    <w:name w:val="题注 字符"/>
    <w:autoRedefine/>
    <w:qFormat/>
    <w:uiPriority w:val="0"/>
    <w:rPr>
      <w:rFonts w:ascii="宋体" w:hAnsi="宋体" w:eastAsia="黑体" w:cs="Times New Roman"/>
      <w:b/>
      <w:szCs w:val="21"/>
    </w:rPr>
  </w:style>
  <w:style w:type="character" w:customStyle="1" w:styleId="141">
    <w:name w:val="标题 4 Char"/>
    <w:autoRedefine/>
    <w:qFormat/>
    <w:uiPriority w:val="0"/>
    <w:rPr>
      <w:rFonts w:ascii="宋体" w:hAnsi="宋体" w:eastAsia="宋体"/>
      <w:b/>
      <w:kern w:val="2"/>
      <w:sz w:val="21"/>
      <w:szCs w:val="24"/>
      <w:lang w:val="en-US" w:eastAsia="zh-CN" w:bidi="ar-SA"/>
    </w:rPr>
  </w:style>
  <w:style w:type="character" w:customStyle="1" w:styleId="142">
    <w:name w:val="批注文字 字符3"/>
    <w:autoRedefine/>
    <w:semiHidden/>
    <w:qFormat/>
    <w:uiPriority w:val="99"/>
    <w:rPr>
      <w:rFonts w:ascii="宋体" w:hAnsi="Calibri" w:eastAsia="宋体" w:cs="Times New Roman"/>
      <w:kern w:val="0"/>
      <w:sz w:val="24"/>
      <w:szCs w:val="24"/>
    </w:rPr>
  </w:style>
  <w:style w:type="character" w:customStyle="1" w:styleId="143">
    <w:name w:val="纯文本 字符1"/>
    <w:autoRedefine/>
    <w:qFormat/>
    <w:uiPriority w:val="0"/>
    <w:rPr>
      <w:rFonts w:ascii="宋体" w:hAnsi="Courier New" w:eastAsia="宋体"/>
      <w:kern w:val="2"/>
      <w:sz w:val="21"/>
      <w:szCs w:val="24"/>
      <w:lang w:val="en-US" w:eastAsia="zh-CN" w:bidi="ar-SA"/>
    </w:rPr>
  </w:style>
  <w:style w:type="character" w:customStyle="1" w:styleId="144">
    <w:name w:val="列出段落 Char1"/>
    <w:autoRedefine/>
    <w:qFormat/>
    <w:uiPriority w:val="34"/>
    <w:rPr>
      <w:rFonts w:ascii="宋体"/>
      <w:sz w:val="24"/>
      <w:szCs w:val="24"/>
    </w:rPr>
  </w:style>
  <w:style w:type="character" w:customStyle="1" w:styleId="145">
    <w:name w:val="彩色列表 - 着色 1 字符"/>
    <w:link w:val="146"/>
    <w:autoRedefine/>
    <w:qFormat/>
    <w:uiPriority w:val="0"/>
    <w:rPr>
      <w:rFonts w:ascii="Calibri" w:hAnsi="Calibri"/>
    </w:rPr>
  </w:style>
  <w:style w:type="paragraph" w:customStyle="1" w:styleId="146">
    <w:name w:val="彩色列表 - 着色 11"/>
    <w:basedOn w:val="1"/>
    <w:link w:val="145"/>
    <w:autoRedefine/>
    <w:qFormat/>
    <w:uiPriority w:val="0"/>
    <w:pPr>
      <w:ind w:firstLine="420" w:firstLineChars="200"/>
    </w:pPr>
    <w:rPr>
      <w:rFonts w:ascii="Calibri" w:hAnsi="Calibri"/>
    </w:rPr>
  </w:style>
  <w:style w:type="character" w:customStyle="1" w:styleId="147">
    <w:name w:val="纯文本 Char"/>
    <w:autoRedefine/>
    <w:qFormat/>
    <w:uiPriority w:val="0"/>
    <w:rPr>
      <w:rFonts w:ascii="宋体" w:hAnsi="Courier New" w:eastAsia="宋体" w:cs="Times New Roman"/>
      <w:szCs w:val="20"/>
    </w:rPr>
  </w:style>
  <w:style w:type="character" w:customStyle="1" w:styleId="148">
    <w:name w:val="标题 6 字符1"/>
    <w:link w:val="7"/>
    <w:autoRedefine/>
    <w:qFormat/>
    <w:uiPriority w:val="9"/>
    <w:rPr>
      <w:rFonts w:ascii="Times New Roman" w:hAnsi="Calibri" w:eastAsia="黑体" w:cs="Times New Roman"/>
      <w:b/>
      <w:bCs/>
      <w:kern w:val="0"/>
      <w:sz w:val="28"/>
      <w:szCs w:val="24"/>
    </w:rPr>
  </w:style>
  <w:style w:type="character" w:customStyle="1" w:styleId="149">
    <w:name w:val="正文文本 2 字符"/>
    <w:link w:val="37"/>
    <w:autoRedefine/>
    <w:qFormat/>
    <w:uiPriority w:val="0"/>
    <w:rPr>
      <w:rFonts w:ascii="Arial" w:hAnsi="Arial" w:eastAsia="宋体" w:cs="Times New Roman"/>
      <w:color w:val="000000"/>
      <w:szCs w:val="24"/>
    </w:rPr>
  </w:style>
  <w:style w:type="character" w:customStyle="1" w:styleId="150">
    <w:name w:val="标题 3 字符1"/>
    <w:link w:val="4"/>
    <w:autoRedefine/>
    <w:qFormat/>
    <w:uiPriority w:val="0"/>
    <w:rPr>
      <w:rFonts w:ascii="宋体" w:hAnsi="Calibri" w:eastAsia="宋体" w:cs="Times New Roman"/>
      <w:kern w:val="0"/>
      <w:sz w:val="24"/>
      <w:szCs w:val="24"/>
    </w:rPr>
  </w:style>
  <w:style w:type="character" w:customStyle="1" w:styleId="151">
    <w:name w:val="正文文本缩进 2 字符1"/>
    <w:autoRedefine/>
    <w:semiHidden/>
    <w:qFormat/>
    <w:uiPriority w:val="99"/>
    <w:rPr>
      <w:rFonts w:ascii="宋体" w:hAnsi="Calibri" w:eastAsia="宋体" w:cs="Times New Roman"/>
      <w:kern w:val="0"/>
      <w:sz w:val="24"/>
      <w:szCs w:val="24"/>
    </w:rPr>
  </w:style>
  <w:style w:type="character" w:customStyle="1" w:styleId="152">
    <w:name w:val="正文文本缩进 3 字符1"/>
    <w:autoRedefine/>
    <w:semiHidden/>
    <w:qFormat/>
    <w:uiPriority w:val="99"/>
    <w:rPr>
      <w:rFonts w:ascii="宋体" w:hAnsi="Calibri" w:eastAsia="宋体" w:cs="Times New Roman"/>
      <w:kern w:val="0"/>
      <w:sz w:val="16"/>
      <w:szCs w:val="16"/>
    </w:rPr>
  </w:style>
  <w:style w:type="character" w:customStyle="1" w:styleId="153">
    <w:name w:val="正文文本 2 字符1"/>
    <w:autoRedefine/>
    <w:semiHidden/>
    <w:qFormat/>
    <w:uiPriority w:val="99"/>
    <w:rPr>
      <w:rFonts w:ascii="宋体" w:hAnsi="Calibri" w:eastAsia="宋体" w:cs="Times New Roman"/>
      <w:kern w:val="0"/>
      <w:sz w:val="24"/>
      <w:szCs w:val="24"/>
    </w:rPr>
  </w:style>
  <w:style w:type="character" w:customStyle="1" w:styleId="154">
    <w:name w:val="eschoolnr"/>
    <w:autoRedefine/>
    <w:qFormat/>
    <w:uiPriority w:val="0"/>
    <w:rPr>
      <w:sz w:val="23"/>
      <w:szCs w:val="23"/>
    </w:rPr>
  </w:style>
  <w:style w:type="character" w:customStyle="1" w:styleId="155">
    <w:name w:val="访问过的超链接1"/>
    <w:autoRedefine/>
    <w:qFormat/>
    <w:uiPriority w:val="0"/>
    <w:rPr>
      <w:rFonts w:ascii="Arial" w:hAnsi="Arial" w:cs="Arial"/>
      <w:color w:val="000000"/>
      <w:sz w:val="20"/>
      <w:szCs w:val="20"/>
      <w:u w:val="none"/>
    </w:rPr>
  </w:style>
  <w:style w:type="character" w:customStyle="1" w:styleId="156">
    <w:name w:val="标题 1 字符1"/>
    <w:link w:val="2"/>
    <w:autoRedefine/>
    <w:qFormat/>
    <w:uiPriority w:val="0"/>
    <w:rPr>
      <w:rFonts w:ascii="宋体" w:hAnsi="Calibri" w:eastAsia="宋体" w:cs="Times New Roman"/>
      <w:kern w:val="0"/>
      <w:sz w:val="24"/>
      <w:szCs w:val="24"/>
    </w:rPr>
  </w:style>
  <w:style w:type="character" w:customStyle="1" w:styleId="157">
    <w:name w:val="批注文字 Char1"/>
    <w:autoRedefine/>
    <w:qFormat/>
    <w:uiPriority w:val="0"/>
    <w:rPr>
      <w:kern w:val="2"/>
      <w:sz w:val="21"/>
      <w:szCs w:val="24"/>
    </w:rPr>
  </w:style>
  <w:style w:type="character" w:customStyle="1" w:styleId="158">
    <w:name w:val="批注框文本 Char"/>
    <w:autoRedefine/>
    <w:semiHidden/>
    <w:qFormat/>
    <w:uiPriority w:val="99"/>
    <w:rPr>
      <w:kern w:val="2"/>
      <w:sz w:val="18"/>
      <w:szCs w:val="18"/>
    </w:rPr>
  </w:style>
  <w:style w:type="character" w:customStyle="1" w:styleId="159">
    <w:name w:val="DAS正文 Char"/>
    <w:autoRedefine/>
    <w:qFormat/>
    <w:uiPriority w:val="0"/>
    <w:rPr>
      <w:rFonts w:ascii="Verdana" w:hAnsi="Verdana" w:eastAsia="宋体"/>
      <w:kern w:val="2"/>
      <w:sz w:val="21"/>
      <w:szCs w:val="21"/>
      <w:lang w:val="en-US" w:eastAsia="zh-CN" w:bidi="ar-SA"/>
    </w:rPr>
  </w:style>
  <w:style w:type="character" w:customStyle="1" w:styleId="160">
    <w:name w:val="正文文本缩进 3 字符"/>
    <w:link w:val="34"/>
    <w:autoRedefine/>
    <w:qFormat/>
    <w:uiPriority w:val="0"/>
    <w:rPr>
      <w:rFonts w:ascii="宋体" w:hAnsi="Times New Roman" w:eastAsia="宋体" w:cs="Times New Roman"/>
      <w:kern w:val="0"/>
      <w:sz w:val="24"/>
      <w:szCs w:val="24"/>
    </w:rPr>
  </w:style>
  <w:style w:type="character" w:customStyle="1" w:styleId="161">
    <w:name w:val="页眉 Char"/>
    <w:autoRedefine/>
    <w:qFormat/>
    <w:uiPriority w:val="99"/>
    <w:rPr>
      <w:kern w:val="2"/>
      <w:sz w:val="18"/>
      <w:szCs w:val="18"/>
    </w:rPr>
  </w:style>
  <w:style w:type="character" w:customStyle="1" w:styleId="162">
    <w:name w:val="正文文本 3 字符"/>
    <w:link w:val="18"/>
    <w:autoRedefine/>
    <w:qFormat/>
    <w:uiPriority w:val="0"/>
    <w:rPr>
      <w:rFonts w:ascii="宋体" w:hAnsi="Times New Roman" w:eastAsia="宋体" w:cs="Times New Roman"/>
      <w:b/>
      <w:bCs/>
      <w:color w:val="3366FF"/>
      <w:sz w:val="52"/>
      <w:szCs w:val="52"/>
      <w:lang w:val="zh-CN"/>
    </w:rPr>
  </w:style>
  <w:style w:type="character" w:customStyle="1" w:styleId="163">
    <w:name w:val="HTML 预设格式 字符1"/>
    <w:autoRedefine/>
    <w:semiHidden/>
    <w:qFormat/>
    <w:uiPriority w:val="99"/>
    <w:rPr>
      <w:rFonts w:ascii="Courier New" w:hAnsi="Courier New" w:eastAsia="宋体" w:cs="Courier New"/>
      <w:kern w:val="0"/>
      <w:sz w:val="20"/>
      <w:szCs w:val="20"/>
    </w:rPr>
  </w:style>
  <w:style w:type="character" w:customStyle="1" w:styleId="164">
    <w:name w:val="彩色列表 - 强调文字颜色 1 Char"/>
    <w:link w:val="165"/>
    <w:autoRedefine/>
    <w:qFormat/>
    <w:uiPriority w:val="0"/>
    <w:rPr>
      <w:rFonts w:ascii="宋体"/>
      <w:sz w:val="24"/>
      <w:szCs w:val="24"/>
    </w:rPr>
  </w:style>
  <w:style w:type="paragraph" w:customStyle="1" w:styleId="165">
    <w:name w:val="彩色列表 - 强调文字颜色 11"/>
    <w:basedOn w:val="1"/>
    <w:link w:val="164"/>
    <w:autoRedefine/>
    <w:qFormat/>
    <w:uiPriority w:val="0"/>
    <w:pPr>
      <w:autoSpaceDE w:val="0"/>
      <w:autoSpaceDN w:val="0"/>
      <w:adjustRightInd w:val="0"/>
      <w:ind w:firstLine="420" w:firstLineChars="200"/>
      <w:jc w:val="left"/>
    </w:pPr>
    <w:rPr>
      <w:rFonts w:ascii="宋体"/>
      <w:sz w:val="24"/>
      <w:szCs w:val="24"/>
    </w:rPr>
  </w:style>
  <w:style w:type="character" w:customStyle="1" w:styleId="166">
    <w:name w:val="普通(网站) 字符"/>
    <w:autoRedefine/>
    <w:qFormat/>
    <w:locked/>
    <w:uiPriority w:val="99"/>
    <w:rPr>
      <w:rFonts w:ascii="宋体" w:hAnsi="宋体" w:eastAsia="宋体" w:cs="Times New Roman"/>
      <w:kern w:val="0"/>
      <w:sz w:val="15"/>
      <w:szCs w:val="15"/>
      <w:lang w:val="en-US" w:eastAsia="zh-CN"/>
    </w:rPr>
  </w:style>
  <w:style w:type="paragraph" w:customStyle="1" w:styleId="167">
    <w:name w:val="_Style 123"/>
    <w:basedOn w:val="1"/>
    <w:next w:val="135"/>
    <w:autoRedefine/>
    <w:qFormat/>
    <w:uiPriority w:val="34"/>
    <w:pPr>
      <w:spacing w:line="360" w:lineRule="auto"/>
      <w:ind w:firstLine="420" w:firstLineChars="200"/>
    </w:pPr>
    <w:rPr>
      <w:rFonts w:ascii="Calibri" w:hAnsi="Calibri" w:eastAsia="宋体" w:cs="Times New Roman"/>
    </w:rPr>
  </w:style>
  <w:style w:type="character" w:customStyle="1" w:styleId="168">
    <w:name w:val="纯文本 字符4"/>
    <w:basedOn w:val="46"/>
    <w:autoRedefine/>
    <w:semiHidden/>
    <w:qFormat/>
    <w:uiPriority w:val="99"/>
    <w:rPr>
      <w:rFonts w:hAnsi="Courier New" w:cs="Courier New" w:asciiTheme="minorEastAsia"/>
    </w:rPr>
  </w:style>
  <w:style w:type="character" w:customStyle="1" w:styleId="169">
    <w:name w:val="批注文字 字符4"/>
    <w:basedOn w:val="46"/>
    <w:link w:val="17"/>
    <w:autoRedefine/>
    <w:semiHidden/>
    <w:qFormat/>
    <w:uiPriority w:val="99"/>
  </w:style>
  <w:style w:type="character" w:customStyle="1" w:styleId="170">
    <w:name w:val="批注主题 字符2"/>
    <w:basedOn w:val="169"/>
    <w:autoRedefine/>
    <w:semiHidden/>
    <w:qFormat/>
    <w:uiPriority w:val="99"/>
    <w:rPr>
      <w:b/>
      <w:bCs/>
    </w:rPr>
  </w:style>
  <w:style w:type="character" w:customStyle="1" w:styleId="171">
    <w:name w:val="标题 字符3"/>
    <w:basedOn w:val="46"/>
    <w:autoRedefine/>
    <w:qFormat/>
    <w:uiPriority w:val="10"/>
    <w:rPr>
      <w:rFonts w:asciiTheme="majorHAnsi" w:hAnsiTheme="majorHAnsi" w:eastAsiaTheme="majorEastAsia" w:cstheme="majorBidi"/>
      <w:b/>
      <w:bCs/>
      <w:sz w:val="32"/>
      <w:szCs w:val="32"/>
    </w:rPr>
  </w:style>
  <w:style w:type="character" w:customStyle="1" w:styleId="172">
    <w:name w:val="正文文本缩进 字符3"/>
    <w:basedOn w:val="46"/>
    <w:autoRedefine/>
    <w:semiHidden/>
    <w:qFormat/>
    <w:uiPriority w:val="99"/>
  </w:style>
  <w:style w:type="character" w:customStyle="1" w:styleId="173">
    <w:name w:val="正文文本 字符4"/>
    <w:basedOn w:val="46"/>
    <w:autoRedefine/>
    <w:semiHidden/>
    <w:qFormat/>
    <w:uiPriority w:val="99"/>
  </w:style>
  <w:style w:type="character" w:customStyle="1" w:styleId="174">
    <w:name w:val="正文文本缩进 3 字符2"/>
    <w:basedOn w:val="46"/>
    <w:autoRedefine/>
    <w:semiHidden/>
    <w:qFormat/>
    <w:uiPriority w:val="99"/>
    <w:rPr>
      <w:sz w:val="16"/>
      <w:szCs w:val="16"/>
    </w:rPr>
  </w:style>
  <w:style w:type="character" w:customStyle="1" w:styleId="175">
    <w:name w:val="页眉 字符2"/>
    <w:basedOn w:val="46"/>
    <w:autoRedefine/>
    <w:semiHidden/>
    <w:qFormat/>
    <w:uiPriority w:val="99"/>
    <w:rPr>
      <w:sz w:val="18"/>
      <w:szCs w:val="18"/>
    </w:rPr>
  </w:style>
  <w:style w:type="character" w:customStyle="1" w:styleId="176">
    <w:name w:val="批注框文本 字符2"/>
    <w:basedOn w:val="46"/>
    <w:autoRedefine/>
    <w:semiHidden/>
    <w:qFormat/>
    <w:uiPriority w:val="99"/>
    <w:rPr>
      <w:sz w:val="18"/>
      <w:szCs w:val="18"/>
    </w:rPr>
  </w:style>
  <w:style w:type="character" w:customStyle="1" w:styleId="177">
    <w:name w:val="HTML 预设格式 字符2"/>
    <w:basedOn w:val="46"/>
    <w:autoRedefine/>
    <w:semiHidden/>
    <w:qFormat/>
    <w:uiPriority w:val="99"/>
    <w:rPr>
      <w:rFonts w:ascii="Courier New" w:hAnsi="Courier New" w:cs="Courier New"/>
      <w:sz w:val="20"/>
      <w:szCs w:val="20"/>
    </w:rPr>
  </w:style>
  <w:style w:type="character" w:customStyle="1" w:styleId="178">
    <w:name w:val="页脚 字符2"/>
    <w:basedOn w:val="46"/>
    <w:autoRedefine/>
    <w:semiHidden/>
    <w:qFormat/>
    <w:uiPriority w:val="99"/>
    <w:rPr>
      <w:sz w:val="18"/>
      <w:szCs w:val="18"/>
    </w:rPr>
  </w:style>
  <w:style w:type="character" w:customStyle="1" w:styleId="179">
    <w:name w:val="正文文本缩进 2 字符2"/>
    <w:basedOn w:val="46"/>
    <w:autoRedefine/>
    <w:semiHidden/>
    <w:qFormat/>
    <w:uiPriority w:val="99"/>
  </w:style>
  <w:style w:type="character" w:customStyle="1" w:styleId="180">
    <w:name w:val="正文文本 3 字符2"/>
    <w:basedOn w:val="46"/>
    <w:autoRedefine/>
    <w:semiHidden/>
    <w:qFormat/>
    <w:uiPriority w:val="99"/>
    <w:rPr>
      <w:sz w:val="16"/>
      <w:szCs w:val="16"/>
    </w:rPr>
  </w:style>
  <w:style w:type="character" w:customStyle="1" w:styleId="181">
    <w:name w:val="正文文本 2 字符2"/>
    <w:basedOn w:val="46"/>
    <w:autoRedefine/>
    <w:semiHidden/>
    <w:qFormat/>
    <w:uiPriority w:val="99"/>
  </w:style>
  <w:style w:type="paragraph" w:customStyle="1" w:styleId="182">
    <w:name w:val="WPSOffice手动目录 3"/>
    <w:autoRedefine/>
    <w:qFormat/>
    <w:uiPriority w:val="0"/>
    <w:pPr>
      <w:ind w:left="400" w:leftChars="400"/>
    </w:pPr>
    <w:rPr>
      <w:rFonts w:ascii="Calibri" w:hAnsi="Calibri" w:eastAsia="宋体" w:cs="Times New Roman"/>
      <w:lang w:val="en-US" w:eastAsia="zh-CN" w:bidi="ar-SA"/>
    </w:rPr>
  </w:style>
  <w:style w:type="paragraph" w:customStyle="1" w:styleId="183">
    <w:name w:val="列表段落1"/>
    <w:basedOn w:val="1"/>
    <w:autoRedefine/>
    <w:qFormat/>
    <w:uiPriority w:val="0"/>
    <w:pPr>
      <w:ind w:firstLine="420" w:firstLineChars="200"/>
    </w:pPr>
    <w:rPr>
      <w:rFonts w:ascii="Times New Roman" w:hAnsi="Times New Roman" w:eastAsia="宋体" w:cs="Times New Roman"/>
      <w:szCs w:val="20"/>
    </w:rPr>
  </w:style>
  <w:style w:type="character" w:customStyle="1" w:styleId="184">
    <w:name w:val="文档结构图 字符2"/>
    <w:basedOn w:val="46"/>
    <w:autoRedefine/>
    <w:semiHidden/>
    <w:qFormat/>
    <w:uiPriority w:val="99"/>
    <w:rPr>
      <w:rFonts w:ascii="Microsoft YaHei UI" w:eastAsia="Microsoft YaHei UI"/>
      <w:sz w:val="18"/>
      <w:szCs w:val="18"/>
    </w:rPr>
  </w:style>
  <w:style w:type="character" w:customStyle="1" w:styleId="185">
    <w:name w:val="日期 字符2"/>
    <w:basedOn w:val="46"/>
    <w:autoRedefine/>
    <w:semiHidden/>
    <w:qFormat/>
    <w:uiPriority w:val="99"/>
  </w:style>
  <w:style w:type="paragraph" w:customStyle="1" w:styleId="186">
    <w:name w:val="彩色底纹 - 强调文字颜色 11"/>
    <w:autoRedefine/>
    <w:semiHidden/>
    <w:qFormat/>
    <w:uiPriority w:val="99"/>
    <w:rPr>
      <w:rFonts w:ascii="宋体" w:hAnsi="Calibri" w:eastAsia="宋体" w:cs="Times New Roman"/>
      <w:sz w:val="24"/>
      <w:szCs w:val="24"/>
      <w:lang w:val="en-US" w:eastAsia="zh-CN" w:bidi="ar-SA"/>
    </w:rPr>
  </w:style>
  <w:style w:type="paragraph" w:customStyle="1" w:styleId="187">
    <w:name w:val="d"/>
    <w:basedOn w:val="1"/>
    <w:autoRedefine/>
    <w:qFormat/>
    <w:uiPriority w:val="0"/>
    <w:pPr>
      <w:overflowPunct w:val="0"/>
      <w:autoSpaceDE w:val="0"/>
      <w:autoSpaceDN w:val="0"/>
      <w:adjustRightInd w:val="0"/>
      <w:snapToGrid w:val="0"/>
      <w:spacing w:line="360" w:lineRule="auto"/>
      <w:ind w:firstLine="480" w:firstLineChars="200"/>
    </w:pPr>
    <w:rPr>
      <w:rFonts w:ascii="宋体" w:hAnsi="宋体" w:eastAsia="宋体" w:cs="Arial"/>
      <w:snapToGrid w:val="0"/>
      <w:kern w:val="0"/>
      <w:sz w:val="24"/>
      <w:szCs w:val="21"/>
    </w:rPr>
  </w:style>
  <w:style w:type="paragraph" w:customStyle="1" w:styleId="188">
    <w:name w:val="修订1"/>
    <w:autoRedefine/>
    <w:semiHidden/>
    <w:qFormat/>
    <w:uiPriority w:val="99"/>
    <w:rPr>
      <w:rFonts w:ascii="宋体" w:hAnsi="Calibri" w:eastAsia="宋体" w:cs="Times New Roman"/>
      <w:sz w:val="24"/>
      <w:szCs w:val="24"/>
      <w:lang w:val="en-US" w:eastAsia="zh-CN" w:bidi="ar-SA"/>
    </w:rPr>
  </w:style>
  <w:style w:type="paragraph" w:customStyle="1" w:styleId="189">
    <w:name w:val="图/图注"/>
    <w:basedOn w:val="8"/>
    <w:autoRedefine/>
    <w:qFormat/>
    <w:uiPriority w:val="0"/>
    <w:pPr>
      <w:wordWrap/>
      <w:autoSpaceDE/>
      <w:autoSpaceDN/>
      <w:adjustRightInd/>
      <w:spacing w:before="50"/>
      <w:ind w:firstLine="0" w:firstLineChars="0"/>
      <w:jc w:val="center"/>
    </w:pPr>
    <w:rPr>
      <w:rFonts w:ascii="Times New Roman" w:eastAsia="黑体"/>
      <w:b/>
      <w:sz w:val="21"/>
      <w:szCs w:val="22"/>
    </w:rPr>
  </w:style>
  <w:style w:type="paragraph" w:customStyle="1" w:styleId="190">
    <w:name w:val="Default"/>
    <w:autoRedefine/>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91">
    <w:name w:val="A."/>
    <w:basedOn w:val="1"/>
    <w:autoRedefine/>
    <w:qFormat/>
    <w:uiPriority w:val="0"/>
    <w:pPr>
      <w:widowControl/>
      <w:tabs>
        <w:tab w:val="left" w:pos="859"/>
        <w:tab w:val="left" w:pos="1200"/>
      </w:tabs>
      <w:spacing w:before="240" w:line="240" w:lineRule="atLeast"/>
      <w:ind w:left="859" w:hanging="453"/>
    </w:pPr>
    <w:rPr>
      <w:rFonts w:ascii="Times New Roman" w:hAnsi="Times New Roman" w:eastAsia="宋体" w:cs="Times New Roman"/>
      <w:sz w:val="24"/>
      <w:szCs w:val="24"/>
    </w:rPr>
  </w:style>
  <w:style w:type="paragraph" w:customStyle="1" w:styleId="192">
    <w:name w:val="Pa8"/>
    <w:basedOn w:val="1"/>
    <w:next w:val="1"/>
    <w:autoRedefine/>
    <w:qFormat/>
    <w:uiPriority w:val="99"/>
    <w:pPr>
      <w:autoSpaceDE w:val="0"/>
      <w:autoSpaceDN w:val="0"/>
      <w:adjustRightInd w:val="0"/>
      <w:spacing w:line="181" w:lineRule="atLeast"/>
      <w:jc w:val="left"/>
    </w:pPr>
    <w:rPr>
      <w:rFonts w:ascii="FrutigerNext LT Light" w:hAnsi="Calibri" w:eastAsia="FrutigerNext LT Light" w:cs="Times New Roman"/>
      <w:kern w:val="0"/>
      <w:sz w:val="24"/>
      <w:szCs w:val="24"/>
    </w:rPr>
  </w:style>
  <w:style w:type="paragraph" w:customStyle="1" w:styleId="193">
    <w:name w:val="p0"/>
    <w:basedOn w:val="1"/>
    <w:autoRedefine/>
    <w:qFormat/>
    <w:uiPriority w:val="0"/>
    <w:pPr>
      <w:widowControl/>
    </w:pPr>
    <w:rPr>
      <w:rFonts w:ascii="Times New Roman" w:hAnsi="Calibri" w:eastAsia="宋体" w:cs="Times New Roman"/>
      <w:kern w:val="0"/>
      <w:szCs w:val="20"/>
    </w:rPr>
  </w:style>
  <w:style w:type="paragraph" w:customStyle="1" w:styleId="194">
    <w:name w:val="Char Char Char Char Char Char"/>
    <w:basedOn w:val="1"/>
    <w:autoRedefine/>
    <w:qFormat/>
    <w:uiPriority w:val="0"/>
    <w:pPr>
      <w:widowControl/>
      <w:spacing w:after="160" w:line="240" w:lineRule="exact"/>
      <w:jc w:val="left"/>
    </w:pPr>
    <w:rPr>
      <w:rFonts w:ascii="Times New Roman" w:hAnsi="Times New Roman" w:eastAsia="宋体" w:cs="Times New Roman"/>
      <w:szCs w:val="24"/>
    </w:rPr>
  </w:style>
  <w:style w:type="paragraph" w:customStyle="1" w:styleId="195">
    <w:name w:val="Char"/>
    <w:basedOn w:val="1"/>
    <w:autoRedefine/>
    <w:qFormat/>
    <w:uiPriority w:val="0"/>
    <w:pPr>
      <w:widowControl/>
      <w:spacing w:after="160" w:line="240" w:lineRule="exact"/>
      <w:jc w:val="center"/>
    </w:pPr>
    <w:rPr>
      <w:rFonts w:ascii="Times New Roman" w:hAnsi="Times New Roman" w:eastAsia="宋体" w:cs="Times New Roman"/>
      <w:szCs w:val="24"/>
    </w:rPr>
  </w:style>
  <w:style w:type="paragraph" w:customStyle="1" w:styleId="196">
    <w:name w:val="网格表 32"/>
    <w:basedOn w:val="2"/>
    <w:next w:val="1"/>
    <w:autoRedefine/>
    <w:qFormat/>
    <w:uiPriority w:val="39"/>
    <w:pPr>
      <w:keepNext/>
      <w:keepLines/>
      <w:widowControl/>
      <w:autoSpaceDE/>
      <w:autoSpaceDN/>
      <w:adjustRightInd/>
      <w:spacing w:before="480" w:line="276" w:lineRule="auto"/>
      <w:outlineLvl w:val="9"/>
    </w:pPr>
    <w:rPr>
      <w:rFonts w:ascii="Cambria" w:hAnsi="Cambria"/>
      <w:b/>
      <w:bCs/>
      <w:color w:val="365F91"/>
      <w:sz w:val="28"/>
      <w:szCs w:val="28"/>
    </w:rPr>
  </w:style>
  <w:style w:type="paragraph" w:customStyle="1" w:styleId="197">
    <w:name w:val="WPSOffice手动目录 1"/>
    <w:autoRedefine/>
    <w:qFormat/>
    <w:uiPriority w:val="0"/>
    <w:rPr>
      <w:rFonts w:ascii="Calibri" w:hAnsi="Calibri" w:eastAsia="宋体" w:cs="Times New Roman"/>
      <w:lang w:val="en-US" w:eastAsia="zh-CN" w:bidi="ar-SA"/>
    </w:rPr>
  </w:style>
  <w:style w:type="paragraph" w:customStyle="1" w:styleId="198">
    <w:name w:val="_Style 69"/>
    <w:basedOn w:val="1"/>
    <w:next w:val="135"/>
    <w:autoRedefine/>
    <w:qFormat/>
    <w:uiPriority w:val="34"/>
    <w:pPr>
      <w:spacing w:line="360" w:lineRule="auto"/>
      <w:ind w:firstLine="420" w:firstLineChars="200"/>
    </w:pPr>
    <w:rPr>
      <w:rFonts w:ascii="Calibri" w:hAnsi="Calibri" w:eastAsia="宋体" w:cs="Times New Roman"/>
    </w:rPr>
  </w:style>
  <w:style w:type="paragraph" w:customStyle="1" w:styleId="199">
    <w:name w:val="中等深浅网格 2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00">
    <w:name w:val="保留正文"/>
    <w:basedOn w:val="19"/>
    <w:autoRedefine/>
    <w:qFormat/>
    <w:uiPriority w:val="0"/>
    <w:pPr>
      <w:keepNext/>
      <w:autoSpaceDE/>
      <w:autoSpaceDN/>
      <w:adjustRightInd/>
      <w:spacing w:after="160"/>
      <w:ind w:right="0"/>
      <w:jc w:val="both"/>
    </w:pPr>
    <w:rPr>
      <w:rFonts w:ascii="Times New Roman"/>
      <w:b w:val="0"/>
      <w:bCs w:val="0"/>
      <w:sz w:val="21"/>
      <w:szCs w:val="24"/>
      <w:lang w:val="en-US"/>
    </w:rPr>
  </w:style>
  <w:style w:type="paragraph" w:customStyle="1" w:styleId="201">
    <w:name w:val="彩色底纹 - 着色 11"/>
    <w:autoRedefine/>
    <w:semiHidden/>
    <w:qFormat/>
    <w:uiPriority w:val="99"/>
    <w:rPr>
      <w:rFonts w:ascii="宋体" w:hAnsi="Calibri" w:eastAsia="宋体" w:cs="Times New Roman"/>
      <w:sz w:val="24"/>
      <w:szCs w:val="24"/>
      <w:lang w:val="en-US" w:eastAsia="zh-CN" w:bidi="ar-SA"/>
    </w:rPr>
  </w:style>
  <w:style w:type="paragraph" w:customStyle="1" w:styleId="202">
    <w:name w:val="WPSOffice手动目录 2"/>
    <w:autoRedefine/>
    <w:qFormat/>
    <w:uiPriority w:val="0"/>
    <w:pPr>
      <w:ind w:left="200" w:leftChars="200"/>
    </w:pPr>
    <w:rPr>
      <w:rFonts w:ascii="Calibri" w:hAnsi="Calibri" w:eastAsia="宋体" w:cs="Times New Roman"/>
      <w:lang w:val="en-US" w:eastAsia="zh-CN" w:bidi="ar-SA"/>
    </w:rPr>
  </w:style>
  <w:style w:type="paragraph" w:customStyle="1" w:styleId="203">
    <w:name w:val="网格表 31"/>
    <w:basedOn w:val="2"/>
    <w:next w:val="1"/>
    <w:autoRedefine/>
    <w:unhideWhenUsed/>
    <w:qFormat/>
    <w:uiPriority w:val="39"/>
    <w:pPr>
      <w:keepNext/>
      <w:keepLines/>
      <w:widowControl/>
      <w:autoSpaceDE/>
      <w:autoSpaceDN/>
      <w:adjustRightInd/>
      <w:spacing w:before="480" w:line="276" w:lineRule="auto"/>
      <w:outlineLvl w:val="9"/>
    </w:pPr>
    <w:rPr>
      <w:rFonts w:ascii="Cambria" w:hAnsi="Cambria"/>
      <w:b/>
      <w:bCs/>
      <w:color w:val="365F91"/>
      <w:sz w:val="28"/>
      <w:szCs w:val="28"/>
    </w:rPr>
  </w:style>
  <w:style w:type="paragraph" w:customStyle="1" w:styleId="204">
    <w:name w:val="表格文字居中"/>
    <w:basedOn w:val="128"/>
    <w:autoRedefine/>
    <w:qFormat/>
    <w:uiPriority w:val="0"/>
    <w:pPr>
      <w:jc w:val="center"/>
    </w:pPr>
    <w:rPr>
      <w:rFonts w:cs="宋体"/>
      <w:szCs w:val="20"/>
    </w:rPr>
  </w:style>
  <w:style w:type="paragraph" w:customStyle="1" w:styleId="205">
    <w:name w:val="正文缩进4格"/>
    <w:basedOn w:val="69"/>
    <w:autoRedefine/>
    <w:qFormat/>
    <w:uiPriority w:val="0"/>
    <w:pPr>
      <w:spacing w:line="360" w:lineRule="auto"/>
      <w:ind w:left="964" w:leftChars="314" w:hanging="210" w:hangingChars="100"/>
    </w:pPr>
    <w:rPr>
      <w:rFonts w:ascii="宋体" w:eastAsia="宋体"/>
      <w:sz w:val="21"/>
      <w:szCs w:val="21"/>
      <w:lang w:val="zh-CN"/>
    </w:rPr>
  </w:style>
  <w:style w:type="paragraph" w:customStyle="1" w:styleId="206">
    <w:name w:val="版本说明标题"/>
    <w:basedOn w:val="1"/>
    <w:autoRedefine/>
    <w:qFormat/>
    <w:uiPriority w:val="0"/>
    <w:pPr>
      <w:adjustRightInd w:val="0"/>
      <w:snapToGrid w:val="0"/>
      <w:spacing w:beforeLines="50" w:afterLines="50"/>
      <w:ind w:firstLine="560"/>
      <w:jc w:val="center"/>
      <w:textAlignment w:val="baseline"/>
    </w:pPr>
    <w:rPr>
      <w:rFonts w:ascii="Times New Roman" w:hAnsi="Calibri" w:eastAsia="仿宋_GB2312" w:cs="Times New Roman"/>
      <w:b/>
      <w:color w:val="000000"/>
      <w:sz w:val="28"/>
      <w:szCs w:val="28"/>
    </w:rPr>
  </w:style>
  <w:style w:type="character" w:customStyle="1" w:styleId="207">
    <w:name w:val="正文首行缩进 字符"/>
    <w:basedOn w:val="124"/>
    <w:link w:val="42"/>
    <w:autoRedefine/>
    <w:semiHidden/>
    <w:qFormat/>
    <w:uiPriority w:val="99"/>
    <w:rPr>
      <w:rFonts w:ascii="宋体" w:eastAsia="宋体"/>
      <w:b w:val="0"/>
      <w:bCs w:val="0"/>
      <w:sz w:val="84"/>
      <w:szCs w:val="84"/>
      <w:lang w:val="zh-CN"/>
    </w:rPr>
  </w:style>
  <w:style w:type="paragraph" w:customStyle="1" w:styleId="208">
    <w:name w:val="修订2"/>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209">
    <w:name w:val="页脚 字符"/>
    <w:basedOn w:val="46"/>
    <w:link w:val="28"/>
    <w:autoRedefine/>
    <w:qFormat/>
    <w:uiPriority w:val="0"/>
    <w:rPr>
      <w:kern w:val="2"/>
      <w:sz w:val="18"/>
    </w:rPr>
  </w:style>
  <w:style w:type="paragraph" w:customStyle="1" w:styleId="210">
    <w:name w:val="Table Text"/>
    <w:basedOn w:val="1"/>
    <w:link w:val="211"/>
    <w:autoRedefine/>
    <w:qFormat/>
    <w:uiPriority w:val="0"/>
    <w:pPr>
      <w:topLinePunct/>
      <w:adjustRightInd w:val="0"/>
      <w:snapToGrid w:val="0"/>
      <w:spacing w:before="80" w:after="80" w:line="240" w:lineRule="atLeast"/>
      <w:jc w:val="left"/>
    </w:pPr>
    <w:rPr>
      <w:rFonts w:ascii="Times New Roman" w:hAnsi="Times New Roman" w:eastAsia="宋体" w:cs="Times New Roman"/>
      <w:kern w:val="0"/>
      <w:szCs w:val="21"/>
    </w:rPr>
  </w:style>
  <w:style w:type="character" w:customStyle="1" w:styleId="211">
    <w:name w:val="Table Text Char1"/>
    <w:basedOn w:val="46"/>
    <w:link w:val="210"/>
    <w:autoRedefine/>
    <w:qFormat/>
    <w:uiPriority w:val="0"/>
    <w:rPr>
      <w:rFonts w:hint="default" w:ascii="Arial" w:hAnsi="Arial" w:cs="Arial"/>
      <w:snapToGrid/>
      <w:sz w:val="21"/>
      <w:szCs w:val="21"/>
    </w:rPr>
  </w:style>
  <w:style w:type="table" w:customStyle="1" w:styleId="212">
    <w:name w:val="Table Normal"/>
    <w:basedOn w:val="44"/>
    <w:autoRedefine/>
    <w:semiHidden/>
    <w:qFormat/>
    <w:uiPriority w:val="0"/>
    <w:pPr>
      <w:widowControl w:val="0"/>
      <w:autoSpaceDE w:val="0"/>
      <w:autoSpaceDN w:val="0"/>
    </w:pPr>
    <w:rPr>
      <w:rFonts w:ascii="Calibri" w:hAnsi="Calibri" w:cs="Calibri"/>
      <w:sz w:val="22"/>
      <w:szCs w:val="22"/>
      <w:lang w:eastAsia="en-US"/>
    </w:rPr>
    <w:tblPr>
      <w:tblCellMar>
        <w:left w:w="0" w:type="dxa"/>
        <w:right w:w="0" w:type="dxa"/>
      </w:tblCellMar>
    </w:tblPr>
  </w:style>
  <w:style w:type="paragraph" w:customStyle="1" w:styleId="213">
    <w:name w:val="！正文"/>
    <w:basedOn w:val="1"/>
    <w:autoRedefine/>
    <w:qFormat/>
    <w:uiPriority w:val="0"/>
    <w:pPr>
      <w:spacing w:line="360" w:lineRule="auto"/>
      <w:ind w:firstLine="624" w:firstLineChars="200"/>
    </w:pPr>
    <w:rPr>
      <w:rFonts w:ascii="Times New Roman" w:hAnsi="Times New Roman" w:eastAsia="仿宋_GB2312" w:cs="Times New Roman"/>
      <w:bCs/>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187</Pages>
  <Words>23095</Words>
  <Characters>24525</Characters>
  <Lines>1</Lines>
  <Paragraphs>1</Paragraphs>
  <TotalTime>3</TotalTime>
  <ScaleCrop>false</ScaleCrop>
  <LinksUpToDate>false</LinksUpToDate>
  <CharactersWithSpaces>25005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2023-07-19T02:55:00Z</dcterms:created>
  <dc:creator>HS</dc:creator>
  <cp:lastModifiedBy>WPS_1528900434</cp:lastModifiedBy>
  <cp:lastPrinted>2025-06-26T09:08:00Z</cp:lastPrinted>
  <dcterms:modified xsi:type="dcterms:W3CDTF">2025-07-07T08:43:31Z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21791C22781449E986D3629F47718C6C_13</vt:lpwstr>
  </property>
  <property fmtid="{D5CDD505-2E9C-101B-9397-08002B2CF9AE}" pid="4" name="KSOTemplateDocerSaveRecord">
    <vt:lpwstr>eyJoZGlkIjoiNmJhZjUwZjZmOGI1OTkwYTQwYjA3YmMxNGQ1YTBlODYiLCJ1c2VySWQiOiIzNzgyNDAxOTUifQ==</vt:lpwstr>
  </property>
</Properties>
</file>