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default"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zh-CN"/>
        </w:rPr>
        <w:t>东莞市供水计量设施更新项目（2025年计量仪表采购）－超声波水表</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号：0832-SFCX25DG078A</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val="zh-CN"/>
        </w:rPr>
        <w:t>日</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pPr>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1449"/>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_Toc16250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en-US" w:eastAsia="zh-CN"/>
            </w:rPr>
            <w:t>第一篇 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_Toc16250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_Toc1454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_Toc1454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_Toc15180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_Toc32059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_Toc32059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_Toc3887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_Toc28882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_Toc12674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_Toc21008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_Toc14132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_Toc23301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_Toc23301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_Toc20088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_Toc25818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_Toc25818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_Toc28201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_Toc28201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_Toc22208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_Toc22208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_Toc24916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_Toc18728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_Toc15739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_Toc11664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_Toc11664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1"/>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_Toc22400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_Toc22400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_Toc4351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_Toc4351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41</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_Toc14073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_Toc14073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_Toc21092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_Toc21092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60</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pPr>
            <w:pStyle w:val="28"/>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_Toc24913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_Toc24913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132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pPr>
            <w:rPr>
              <w:color w:val="auto"/>
              <w:highlight w:val="none"/>
            </w:rPr>
          </w:pPr>
          <w:r>
            <w:rPr>
              <w:color w:val="auto"/>
              <w:highlight w:val="none"/>
            </w:rPr>
            <w:fldChar w:fldCharType="end"/>
          </w:r>
        </w:p>
      </w:sdtContent>
    </w:sdt>
    <w:p>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16250"/>
      <w:r>
        <w:rPr>
          <w:rFonts w:hint="eastAsia" w:ascii="宋体" w:hAnsi="宋体" w:eastAsia="宋体" w:cs="宋体"/>
          <w:b/>
          <w:bCs/>
          <w:color w:val="auto"/>
          <w:kern w:val="44"/>
          <w:sz w:val="32"/>
          <w:szCs w:val="32"/>
          <w:highlight w:val="none"/>
          <w:lang w:val="en-US" w:eastAsia="zh-CN"/>
        </w:rPr>
        <w:t>第一篇 招标公告</w:t>
      </w:r>
      <w:bookmarkEnd w:id="0"/>
    </w:p>
    <w:p>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东莞市供水计量设施更新项目（2025年计量仪表采购）－超声波水表</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0832-SFCX25DG078A</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kern w:val="2"/>
          <w:sz w:val="21"/>
          <w:szCs w:val="21"/>
          <w:highlight w:val="none"/>
          <w:lang w:val="zh-CN"/>
        </w:rPr>
        <w:t>东莞市水务集团供水有限公司现开展</w:t>
      </w:r>
      <w:r>
        <w:rPr>
          <w:rFonts w:hint="eastAsia" w:ascii="宋体" w:hAnsi="宋体" w:eastAsia="宋体" w:cs="Times New Roman"/>
          <w:color w:val="auto"/>
          <w:kern w:val="0"/>
          <w:szCs w:val="21"/>
          <w:highlight w:val="none"/>
          <w:lang w:eastAsia="zh-CN"/>
        </w:rPr>
        <w:t>东莞市供水计量设施更新项目（2025年计量仪表采购）－超声波水表</w:t>
      </w:r>
      <w:r>
        <w:rPr>
          <w:rFonts w:hint="eastAsia" w:ascii="宋体" w:hAnsi="宋体" w:eastAsia="宋体" w:cs="宋体"/>
          <w:color w:val="auto"/>
          <w:kern w:val="2"/>
          <w:sz w:val="21"/>
          <w:szCs w:val="21"/>
          <w:highlight w:val="none"/>
          <w:lang w:val="en-US" w:eastAsia="zh-CN"/>
        </w:rPr>
        <w:t>，通过公开招标的方式采购DN80-DN300超声波水表一批</w:t>
      </w:r>
      <w:r>
        <w:rPr>
          <w:rFonts w:hint="eastAsia" w:ascii="宋体" w:hAnsi="宋体" w:eastAsia="宋体" w:cs="Times New Roman"/>
          <w:color w:val="auto"/>
          <w:szCs w:val="21"/>
          <w:highlight w:val="none"/>
          <w:lang w:val="zh-CN"/>
        </w:rPr>
        <w:t>（具体内容详见：第三篇用户需求书）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60"/>
        <w:spacing w:line="360" w:lineRule="auto"/>
        <w:ind w:left="422" w:right="-29" w:rightChars="-14" w:hanging="422" w:hangingChars="200"/>
        <w:jc w:val="both"/>
        <w:rPr>
          <w:rFonts w:hint="default"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en-US" w:eastAsia="zh-CN"/>
        </w:rPr>
        <w:t>2.2 本项目投标人须为所投</w:t>
      </w:r>
      <w:r>
        <w:rPr>
          <w:rFonts w:hint="eastAsia" w:ascii="宋体" w:hAnsi="宋体" w:eastAsia="宋体"/>
          <w:b/>
          <w:color w:val="auto"/>
          <w:sz w:val="21"/>
          <w:szCs w:val="21"/>
          <w:highlight w:val="none"/>
          <w:lang w:val="en-US" w:eastAsia="zh-CN"/>
        </w:rPr>
        <w:t>超声波水表</w:t>
      </w:r>
      <w:r>
        <w:rPr>
          <w:rFonts w:hint="eastAsia" w:hAnsi="宋体" w:eastAsia="宋体"/>
          <w:b/>
          <w:color w:val="auto"/>
          <w:sz w:val="21"/>
          <w:szCs w:val="21"/>
          <w:highlight w:val="none"/>
          <w:lang w:val="en-US" w:eastAsia="zh-CN"/>
        </w:rPr>
        <w:t>的制造商，或为所投</w:t>
      </w:r>
      <w:r>
        <w:rPr>
          <w:rFonts w:hint="eastAsia" w:ascii="宋体" w:hAnsi="宋体" w:eastAsia="宋体"/>
          <w:b/>
          <w:color w:val="auto"/>
          <w:sz w:val="21"/>
          <w:szCs w:val="21"/>
          <w:highlight w:val="none"/>
          <w:lang w:val="en-US" w:eastAsia="zh-CN"/>
        </w:rPr>
        <w:t>超声波水表</w:t>
      </w:r>
      <w:r>
        <w:rPr>
          <w:rFonts w:hint="eastAsia" w:hAnsi="宋体" w:eastAsia="宋体"/>
          <w:b/>
          <w:color w:val="auto"/>
          <w:sz w:val="21"/>
          <w:szCs w:val="21"/>
          <w:highlight w:val="none"/>
          <w:lang w:val="en-US" w:eastAsia="zh-CN"/>
        </w:rPr>
        <w:t>制造商直接就本项目独家授权的经销商；</w:t>
      </w:r>
    </w:p>
    <w:p>
      <w:pPr>
        <w:pStyle w:val="160"/>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ascii="宋体" w:hAnsi="宋体" w:eastAsia="宋体"/>
          <w:b/>
          <w:color w:val="auto"/>
          <w:sz w:val="21"/>
          <w:szCs w:val="21"/>
          <w:highlight w:val="none"/>
          <w:lang w:val="en-US" w:eastAsia="zh-CN"/>
        </w:rPr>
        <w:t>超声波水表</w:t>
      </w:r>
      <w:r>
        <w:rPr>
          <w:rFonts w:hint="eastAsia" w:hAnsi="宋体" w:eastAsia="宋体"/>
          <w:b/>
          <w:color w:val="auto"/>
          <w:sz w:val="21"/>
          <w:szCs w:val="21"/>
          <w:highlight w:val="none"/>
          <w:lang w:val="en-US" w:eastAsia="zh-CN"/>
        </w:rPr>
        <w:t>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24</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24</w:t>
      </w:r>
      <w:r>
        <w:rPr>
          <w:rFonts w:hint="eastAsia" w:ascii="宋体" w:hAnsi="宋体" w:eastAsia="宋体" w:cs="Times New Roman"/>
          <w:bCs/>
          <w:color w:val="auto"/>
          <w:kern w:val="0"/>
          <w:szCs w:val="21"/>
          <w:highlight w:val="none"/>
        </w:rPr>
        <w:t>日</w:t>
      </w:r>
      <w:bookmarkStart w:id="687" w:name="_GoBack"/>
      <w:bookmarkEnd w:id="687"/>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东莞市南城街道鸿福西路81号国际商会大厦601室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本项目相关公告在以下媒介发布：广东省公共资源交易平台（ygp.gdzwfw.gov.cn）、中国招标投标公共服务平台（www.cebpubservice.com）、东莞市水务集团有限公司网（www.dgswjt.cn）、招标代理机构网站（www.sfcx.cn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：陈晃华</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宋体"/>
          <w:color w:val="auto"/>
          <w:highlight w:val="none"/>
          <w:lang w:val="en-US" w:eastAsia="zh-CN"/>
        </w:rPr>
        <w:t>0769-22689080</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50662847"/>
      <w:bookmarkStart w:id="4" w:name="_Toc486167661"/>
      <w:bookmarkStart w:id="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黎灼峰</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54"/>
      <w:bookmarkStart w:id="7" w:name="_Toc24735"/>
      <w:bookmarkStart w:id="8" w:name="_Toc12475"/>
      <w:bookmarkStart w:id="9"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6098"/>
      <w:bookmarkStart w:id="11" w:name="_Toc142508312"/>
      <w:bookmarkStart w:id="12" w:name="_Toc140596871"/>
      <w:bookmarkStart w:id="13" w:name="_Toc22004"/>
      <w:bookmarkStart w:id="14" w:name="_Toc15366_WPSOffice_Level2"/>
      <w:bookmarkStart w:id="15" w:name="_Toc450662848"/>
      <w:bookmarkStart w:id="16" w:name="_Toc30360"/>
      <w:bookmarkStart w:id="17" w:name="_Toc486167662"/>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16700"/>
      <w:bookmarkStart w:id="19" w:name="_Toc22130"/>
      <w:bookmarkStart w:id="20" w:name="_Toc21871"/>
      <w:bookmarkStart w:id="21" w:name="_Toc142508313"/>
      <w:bookmarkStart w:id="22" w:name="_Toc450662849"/>
      <w:bookmarkStart w:id="23" w:name="_Toc21710_WPSOffice_Level3"/>
      <w:bookmarkStart w:id="24"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27011"/>
      <w:bookmarkStart w:id="26" w:name="_Toc15180"/>
      <w:bookmarkStart w:id="27" w:name="_Toc486167664"/>
      <w:bookmarkStart w:id="28" w:name="_Toc450662850"/>
      <w:bookmarkStart w:id="29" w:name="_Toc80_WPSOffice_Level3"/>
      <w:bookmarkStart w:id="30" w:name="_Toc5550"/>
      <w:bookmarkStart w:id="31"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4257"/>
      <w:bookmarkStart w:id="33" w:name="_Toc32059"/>
      <w:bookmarkStart w:id="34" w:name="_Toc8199"/>
      <w:bookmarkStart w:id="35" w:name="_Toc23847_WPSOffice_Level3"/>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w:t>
      </w:r>
      <w:r>
        <w:rPr>
          <w:rFonts w:hint="eastAsia" w:ascii="宋体" w:hAnsi="宋体" w:eastAsia="宋体" w:cs="Times New Roman"/>
          <w:color w:val="auto"/>
          <w:kern w:val="0"/>
          <w:szCs w:val="21"/>
          <w:highlight w:val="none"/>
          <w:lang w:eastAsia="zh-CN"/>
        </w:rPr>
        <w:t>须</w:t>
      </w:r>
      <w:r>
        <w:rPr>
          <w:rFonts w:hint="eastAsia" w:ascii="宋体" w:hAnsi="宋体" w:eastAsia="宋体" w:cs="Times New Roman"/>
          <w:color w:val="auto"/>
          <w:kern w:val="0"/>
          <w:szCs w:val="21"/>
          <w:highlight w:val="none"/>
          <w:lang w:val="en-US" w:eastAsia="zh-CN"/>
        </w:rPr>
        <w:t>是</w:t>
      </w:r>
      <w:r>
        <w:rPr>
          <w:rFonts w:hint="eastAsia" w:ascii="宋体" w:hAnsi="宋体" w:eastAsia="宋体" w:cs="Times New Roman"/>
          <w:color w:val="auto"/>
          <w:kern w:val="0"/>
          <w:szCs w:val="21"/>
          <w:highlight w:val="none"/>
        </w:rPr>
        <w:t>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w:t>
      </w:r>
      <w:r>
        <w:rPr>
          <w:rFonts w:hint="eastAsia" w:ascii="宋体" w:hAnsi="宋体" w:eastAsia="宋体" w:cs="Times New Roman"/>
          <w:color w:val="auto"/>
          <w:kern w:val="0"/>
          <w:szCs w:val="21"/>
          <w:highlight w:val="none"/>
          <w:lang w:val="en-US" w:eastAsia="zh-CN"/>
        </w:rPr>
        <w:t>其它</w:t>
      </w:r>
      <w:r>
        <w:rPr>
          <w:rFonts w:hint="eastAsia" w:ascii="宋体" w:hAnsi="宋体" w:eastAsia="宋体" w:cs="Times New Roman"/>
          <w:color w:val="auto"/>
          <w:kern w:val="0"/>
          <w:szCs w:val="21"/>
          <w:highlight w:val="none"/>
        </w:rPr>
        <w:t>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23394"/>
      <w:bookmarkStart w:id="52" w:name="_Toc9658_WPSOffice_Level3"/>
      <w:bookmarkStart w:id="53" w:name="_Toc142508316"/>
      <w:bookmarkStart w:id="54" w:name="_Toc15238"/>
      <w:bookmarkStart w:id="55" w:name="_Toc2093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w:t>
      </w:r>
      <w:r>
        <w:rPr>
          <w:rFonts w:hint="eastAsia" w:ascii="宋体" w:hAnsi="宋体" w:eastAsia="宋体" w:cs="宋体"/>
          <w:color w:val="auto"/>
          <w:szCs w:val="21"/>
          <w:highlight w:val="none"/>
          <w:lang w:val="en-US" w:eastAsia="zh-CN"/>
        </w:rPr>
        <w:t>它</w:t>
      </w:r>
      <w:r>
        <w:rPr>
          <w:rFonts w:hint="eastAsia" w:ascii="宋体" w:hAnsi="宋体" w:eastAsia="宋体" w:cs="宋体"/>
          <w:color w:val="auto"/>
          <w:szCs w:val="21"/>
          <w:highlight w:val="none"/>
          <w:lang w:val="zh-CN"/>
        </w:rPr>
        <w:t>说明</w:t>
      </w:r>
      <w:bookmarkEnd w:id="51"/>
      <w:bookmarkEnd w:id="52"/>
      <w:bookmarkEnd w:id="53"/>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1977676"/>
      <w:bookmarkStart w:id="63"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2508317"/>
      <w:bookmarkStart w:id="65" w:name="_Toc30507_WPSOffice_Level2"/>
      <w:bookmarkStart w:id="66" w:name="_Toc450662853"/>
      <w:bookmarkStart w:id="67" w:name="_Toc1482"/>
      <w:bookmarkStart w:id="68" w:name="_Toc6222"/>
      <w:bookmarkStart w:id="69" w:name="_Toc140596876"/>
      <w:bookmarkStart w:id="70" w:name="_Toc9339"/>
      <w:bookmarkStart w:id="71" w:name="_Toc486167667"/>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31963"/>
      <w:bookmarkStart w:id="73" w:name="_Toc142508318"/>
      <w:bookmarkStart w:id="74" w:name="_Toc26635_WPSOffice_Level3"/>
      <w:bookmarkStart w:id="75" w:name="_Toc450662854"/>
      <w:bookmarkStart w:id="76" w:name="_Toc3887"/>
      <w:bookmarkStart w:id="77" w:name="_Toc28179"/>
      <w:bookmarkStart w:id="78"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东莞市供水计量设施更新项目（2025年计量仪表采购）－超声波水表</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由</w:t>
      </w:r>
      <w:r>
        <w:rPr>
          <w:rFonts w:hint="eastAsia" w:ascii="宋体" w:hAnsi="宋体" w:eastAsia="宋体" w:cs="Times New Roman"/>
          <w:color w:val="auto"/>
          <w:kern w:val="0"/>
          <w:szCs w:val="21"/>
          <w:highlight w:val="none"/>
        </w:rPr>
        <w:t>招标公告和招标文件及其补充、变更和澄清等一系列文件；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18407"/>
      <w:bookmarkStart w:id="80" w:name="_Toc2435"/>
      <w:bookmarkStart w:id="81" w:name="_Toc142508319"/>
      <w:bookmarkStart w:id="82" w:name="_Toc450662855"/>
      <w:bookmarkStart w:id="83" w:name="_Toc486167669"/>
      <w:bookmarkStart w:id="84" w:name="_Toc29125_WPSOffice_Level3"/>
      <w:bookmarkStart w:id="85" w:name="_Toc17998"/>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19618"/>
      <w:bookmarkStart w:id="87" w:name="_Toc450662856"/>
      <w:bookmarkStart w:id="88" w:name="_Toc17243"/>
      <w:bookmarkStart w:id="89" w:name="_Toc142508320"/>
      <w:bookmarkStart w:id="90" w:name="_Toc26320"/>
      <w:bookmarkStart w:id="91" w:name="_Toc486167670"/>
      <w:bookmarkStart w:id="92"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广东省公共资源交易平台（ygp.gdzwfw.gov.cn）</w:t>
      </w:r>
      <w:r>
        <w:rPr>
          <w:rFonts w:hint="eastAsia" w:ascii="宋体" w:hAnsi="宋体" w:eastAsia="宋体" w:cs="Times New Roman"/>
          <w:bCs/>
          <w:color w:val="auto"/>
          <w:szCs w:val="21"/>
          <w:highlight w:val="none"/>
          <w:lang w:eastAsia="zh-CN"/>
        </w:rPr>
        <w:t>、</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5"/>
          <w:rFonts w:ascii="宋体" w:hAnsi="宋体" w:eastAsia="宋体" w:cs="Times New Roman"/>
          <w:color w:val="auto"/>
          <w:sz w:val="21"/>
          <w:szCs w:val="21"/>
          <w:highlight w:val="none"/>
        </w:rPr>
        <w:t>www.dgswjt.cn）</w:t>
      </w:r>
      <w:r>
        <w:rPr>
          <w:rStyle w:val="45"/>
          <w:rFonts w:ascii="宋体" w:hAnsi="宋体" w:eastAsia="宋体" w:cs="Times New Roman"/>
          <w:color w:val="auto"/>
          <w:sz w:val="21"/>
          <w:szCs w:val="21"/>
          <w:highlight w:val="none"/>
          <w:lang w:val="zh-CN"/>
        </w:rPr>
        <w:t>、</w:t>
      </w:r>
      <w:r>
        <w:rPr>
          <w:rStyle w:val="45"/>
          <w:rFonts w:hint="eastAsia" w:ascii="宋体" w:hAnsi="宋体" w:eastAsia="宋体" w:cs="Times New Roman"/>
          <w:bCs/>
          <w:color w:val="auto"/>
          <w:kern w:val="0"/>
          <w:sz w:val="21"/>
          <w:szCs w:val="21"/>
          <w:highlight w:val="none"/>
        </w:rPr>
        <w:t>招标代理</w:t>
      </w:r>
      <w:r>
        <w:rPr>
          <w:rStyle w:val="45"/>
          <w:rFonts w:hint="eastAsia" w:ascii="宋体" w:hAnsi="宋体" w:eastAsia="宋体" w:cs="Times New Roman"/>
          <w:bCs/>
          <w:color w:val="auto"/>
          <w:kern w:val="0"/>
          <w:sz w:val="21"/>
          <w:szCs w:val="21"/>
          <w:highlight w:val="none"/>
          <w:lang w:val="en-US" w:eastAsia="zh-CN"/>
        </w:rPr>
        <w:t>机构</w:t>
      </w:r>
      <w:r>
        <w:rPr>
          <w:rStyle w:val="45"/>
          <w:rFonts w:hint="eastAsia" w:ascii="宋体" w:hAnsi="宋体" w:eastAsia="宋体" w:cs="Times New Roman"/>
          <w:bCs/>
          <w:color w:val="auto"/>
          <w:kern w:val="0"/>
          <w:sz w:val="21"/>
          <w:szCs w:val="21"/>
          <w:highlight w:val="none"/>
        </w:rPr>
        <w:t>网站（</w:t>
      </w:r>
      <w:r>
        <w:rPr>
          <w:rFonts w:hint="eastAsia" w:ascii="宋体" w:hAnsi="宋体" w:eastAsia="宋体" w:cs="Times New Roman"/>
          <w:bCs/>
          <w:color w:val="auto"/>
          <w:szCs w:val="21"/>
          <w:highlight w:val="none"/>
        </w:rPr>
        <w:t>www.sfcx.cn</w:t>
      </w:r>
      <w:r>
        <w:rPr>
          <w:rStyle w:val="45"/>
          <w:rFonts w:ascii="宋体" w:hAnsi="宋体" w:eastAsia="宋体" w:cs="Times New Roman"/>
          <w:bCs/>
          <w:color w:val="auto"/>
          <w:kern w:val="0"/>
          <w:sz w:val="21"/>
          <w:szCs w:val="21"/>
          <w:highlight w:val="none"/>
        </w:rPr>
        <w:t>）</w:t>
      </w:r>
      <w:r>
        <w:rPr>
          <w:rStyle w:val="45"/>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140596880"/>
      <w:bookmarkStart w:id="94" w:name="_Toc17379"/>
      <w:bookmarkStart w:id="95" w:name="_Toc29659_WPSOffice_Level2"/>
      <w:bookmarkStart w:id="96" w:name="_Toc142508321"/>
      <w:bookmarkStart w:id="97" w:name="_Toc486167671"/>
      <w:bookmarkStart w:id="98" w:name="_Toc450662857"/>
      <w:bookmarkStart w:id="99" w:name="_Toc6039"/>
      <w:bookmarkStart w:id="100" w:name="_Toc2222"/>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450662858"/>
      <w:bookmarkStart w:id="102" w:name="_Toc32367"/>
      <w:bookmarkStart w:id="103" w:name="_Toc25773"/>
      <w:bookmarkStart w:id="104" w:name="_Toc486167672"/>
      <w:bookmarkStart w:id="105" w:name="_Toc10015_WPSOffice_Level3"/>
      <w:bookmarkStart w:id="106" w:name="_Toc16966"/>
      <w:bookmarkStart w:id="107"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4729"/>
      <w:bookmarkStart w:id="109" w:name="_Toc486167673"/>
      <w:bookmarkStart w:id="110" w:name="_Toc142508323"/>
      <w:bookmarkStart w:id="111" w:name="_Toc1879"/>
      <w:bookmarkStart w:id="112" w:name="_Toc24916_WPSOffice_Level3"/>
      <w:bookmarkStart w:id="113" w:name="_Toc450662859"/>
      <w:bookmarkStart w:id="114" w:name="_Toc28882"/>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w:t>
      </w:r>
      <w:r>
        <w:rPr>
          <w:rFonts w:hint="eastAsia" w:ascii="宋体" w:hAnsi="宋体" w:eastAsia="宋体" w:cs="Times New Roman"/>
          <w:b/>
          <w:color w:val="auto"/>
          <w:kern w:val="0"/>
          <w:szCs w:val="21"/>
          <w:highlight w:val="none"/>
          <w:u w:val="single"/>
          <w:lang w:val="en-US" w:eastAsia="zh-CN"/>
        </w:rPr>
        <w:t>做</w:t>
      </w:r>
      <w:r>
        <w:rPr>
          <w:rFonts w:hint="eastAsia" w:ascii="宋体" w:hAnsi="宋体" w:eastAsia="宋体" w:cs="Times New Roman"/>
          <w:b/>
          <w:color w:val="auto"/>
          <w:kern w:val="0"/>
          <w:szCs w:val="21"/>
          <w:highlight w:val="none"/>
          <w:u w:val="single"/>
        </w:rPr>
        <w:t>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当前述制造商资格声明和制造商独家授权书是由境外品牌境外生产的所投超声波水表制造商通过境内的办事机构出具时，同时还须提供证明该机构作为境外品牌境外生产的所投超声波水表制造商在境内的办事机构的证明文件复印件[该证明文件可为显示其作为境外所投超声波水表制造商分公司的营业执照、或反映其作为境外所投超声波水表制造商子公司的章程（或出资证明、或反映出资人为境外所投超声波水表制造商的营业执照）或境外所投所投超声波水表制造商的书面证明或官网显示其关系的打印件]））；</w:t>
      </w:r>
    </w:p>
    <w:p>
      <w:pPr>
        <w:tabs>
          <w:tab w:val="left" w:pos="1276"/>
        </w:tabs>
        <w:spacing w:line="360" w:lineRule="auto"/>
        <w:ind w:left="283" w:hanging="283" w:hangingChars="135"/>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b/>
          <w:bCs/>
          <w:color w:val="auto"/>
          <w:szCs w:val="21"/>
          <w:highlight w:val="none"/>
          <w:lang w:val="en-US" w:eastAsia="zh-CN"/>
        </w:rPr>
        <w:t>超声波</w:t>
      </w:r>
      <w:r>
        <w:rPr>
          <w:rFonts w:hint="eastAsia" w:ascii="宋体" w:hAnsi="宋体" w:eastAsia="宋体"/>
          <w:b/>
          <w:bCs/>
          <w:color w:val="auto"/>
          <w:szCs w:val="21"/>
          <w:highlight w:val="none"/>
        </w:rPr>
        <w:t>水表在国内的销售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w:t>
      </w:r>
      <w:r>
        <w:rPr>
          <w:rFonts w:hint="eastAsia" w:ascii="宋体" w:hAnsi="宋体" w:eastAsia="宋体" w:cs="宋体"/>
          <w:color w:val="auto"/>
          <w:szCs w:val="21"/>
          <w:highlight w:val="none"/>
          <w:lang w:val="en-US" w:eastAsia="zh-CN"/>
        </w:rPr>
        <w:t>做</w:t>
      </w:r>
      <w:r>
        <w:rPr>
          <w:rFonts w:hint="eastAsia" w:ascii="宋体" w:hAnsi="宋体" w:eastAsia="宋体" w:cs="宋体"/>
          <w:color w:val="auto"/>
          <w:szCs w:val="21"/>
          <w:highlight w:val="none"/>
          <w:lang w:val="zh-CN"/>
        </w:rPr>
        <w:t>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w:t>
      </w:r>
      <w:r>
        <w:rPr>
          <w:rFonts w:hint="eastAsia" w:ascii="宋体" w:hAnsi="宋体" w:eastAsia="宋体" w:cs="宋体"/>
          <w:color w:val="auto"/>
          <w:sz w:val="21"/>
          <w:szCs w:val="21"/>
          <w:highlight w:val="none"/>
          <w:lang w:val="en-US" w:eastAsia="zh-CN"/>
        </w:rPr>
        <w:t>2.2.17</w:t>
      </w:r>
      <w:r>
        <w:rPr>
          <w:rFonts w:hint="eastAsia" w:ascii="宋体" w:hAnsi="宋体" w:eastAsia="宋体" w:cs="宋体"/>
          <w:color w:val="auto"/>
          <w:kern w:val="0"/>
          <w:szCs w:val="21"/>
          <w:highlight w:val="none"/>
          <w:lang w:val="en-US" w:eastAsia="zh-CN"/>
        </w:rPr>
        <w:t>”条款的承诺函；</w:t>
      </w:r>
    </w:p>
    <w:p>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w:t>
      </w:r>
    </w:p>
    <w:p>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w:t>
      </w:r>
    </w:p>
    <w:p>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w:t>
      </w:r>
    </w:p>
    <w:p>
      <w:pPr>
        <w:spacing w:line="360" w:lineRule="auto"/>
        <w:ind w:left="105" w:leftChars="0" w:hanging="105" w:hangingChars="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zh-CN" w:eastAsia="zh-CN"/>
        </w:rPr>
        <w:t>供货货物清单表；</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eastAsia="zh-CN"/>
        </w:rPr>
        <w:t>）研发能力及产品先进性；</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eastAsia="zh-CN"/>
        </w:rPr>
        <w:t>）投标产品的设计</w:t>
      </w:r>
      <w:r>
        <w:rPr>
          <w:rFonts w:hint="eastAsia" w:ascii="宋体" w:hAnsi="宋体" w:eastAsia="宋体" w:cs="宋体"/>
          <w:color w:val="auto"/>
          <w:kern w:val="0"/>
          <w:szCs w:val="21"/>
          <w:highlight w:val="none"/>
          <w:lang w:val="en-US" w:eastAsia="zh-CN"/>
        </w:rPr>
        <w:t>及</w:t>
      </w:r>
      <w:r>
        <w:rPr>
          <w:rFonts w:hint="eastAsia" w:ascii="宋体" w:hAnsi="宋体" w:eastAsia="宋体" w:cs="宋体"/>
          <w:color w:val="auto"/>
          <w:kern w:val="0"/>
          <w:szCs w:val="21"/>
          <w:highlight w:val="none"/>
          <w:lang w:val="zh-CN" w:eastAsia="zh-CN"/>
        </w:rPr>
        <w:t>性能；</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eastAsia="zh-CN"/>
        </w:rPr>
        <w:t>）生产制造能力；</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eastAsia="zh-CN"/>
        </w:rPr>
        <w:t>）供货及调试计划、进度保证措施；</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（7）售后服务方案；</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（8）</w:t>
      </w:r>
      <w:r>
        <w:rPr>
          <w:rFonts w:hint="eastAsia" w:ascii="宋体" w:hAnsi="宋体" w:eastAsia="宋体" w:cs="宋体"/>
          <w:color w:val="auto"/>
          <w:kern w:val="0"/>
          <w:szCs w:val="21"/>
          <w:highlight w:val="none"/>
          <w:lang w:eastAsia="zh-CN"/>
        </w:rPr>
        <w:t>售后服务</w:t>
      </w:r>
      <w:r>
        <w:rPr>
          <w:rFonts w:hint="eastAsia" w:ascii="宋体" w:hAnsi="宋体" w:eastAsia="宋体" w:cs="宋体"/>
          <w:color w:val="auto"/>
          <w:kern w:val="0"/>
          <w:szCs w:val="21"/>
          <w:highlight w:val="none"/>
          <w:lang w:val="zh-CN" w:eastAsia="zh-CN"/>
        </w:rPr>
        <w:t>响应时间承诺</w:t>
      </w:r>
    </w:p>
    <w:p>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eastAsia="zh-CN"/>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28739"/>
      <w:bookmarkStart w:id="116" w:name="_Toc8675_WPSOffice_Level3"/>
      <w:bookmarkStart w:id="117" w:name="_Toc6234"/>
      <w:bookmarkStart w:id="118" w:name="_Toc450662860"/>
      <w:bookmarkStart w:id="119" w:name="_Toc486167674"/>
      <w:bookmarkStart w:id="120" w:name="_Toc18697"/>
      <w:bookmarkStart w:id="121"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4385_WPSOffice_Level3"/>
      <w:bookmarkStart w:id="123" w:name="_Toc142508325"/>
      <w:bookmarkStart w:id="124" w:name="_Toc28822"/>
      <w:bookmarkStart w:id="125" w:name="_Toc486167675"/>
      <w:bookmarkStart w:id="126" w:name="_Toc6905"/>
      <w:bookmarkStart w:id="127" w:name="_Toc30740"/>
      <w:bookmarkStart w:id="128"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w:t>
      </w:r>
      <w:r>
        <w:rPr>
          <w:rFonts w:hint="eastAsia" w:ascii="宋体" w:hAnsi="宋体" w:eastAsia="宋体" w:cs="宋体"/>
          <w:b/>
          <w:bCs/>
          <w:color w:val="auto"/>
          <w:szCs w:val="21"/>
          <w:highlight w:val="none"/>
          <w:lang w:val="en-US" w:eastAsia="zh-CN"/>
        </w:rPr>
        <w:t>的超声波水表</w:t>
      </w:r>
      <w:r>
        <w:rPr>
          <w:rFonts w:hint="eastAsia" w:ascii="宋体" w:hAnsi="宋体" w:eastAsia="宋体" w:cs="宋体"/>
          <w:b/>
          <w:bCs/>
          <w:color w:val="auto"/>
          <w:szCs w:val="21"/>
          <w:highlight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暂定价是指不含本采购项目投标人的销项税额，包含了投标人完成合同义务（含投标人代缴代扣、分包及委外服务、安装、采购货物等所产生的价税）的其他全部费用。本采购项目的销项税额由招标人承担，不计入</w:t>
      </w:r>
      <w:r>
        <w:rPr>
          <w:rFonts w:hint="eastAsia" w:ascii="宋体" w:hAnsi="宋体" w:eastAsia="宋体" w:cs="Times New Roman"/>
          <w:color w:val="auto"/>
          <w:kern w:val="2"/>
          <w:sz w:val="21"/>
          <w:szCs w:val="21"/>
          <w:highlight w:val="none"/>
          <w:lang w:val="en-US" w:eastAsia="zh-CN" w:bidi="ar-SA"/>
        </w:rPr>
        <w:t>合同暂定价（不含销项税额）</w:t>
      </w:r>
      <w:r>
        <w:rPr>
          <w:rFonts w:hint="eastAsia" w:ascii="宋体" w:hAnsi="宋体" w:eastAsia="宋体" w:cs="Times New Roman"/>
          <w:color w:val="auto"/>
          <w:szCs w:val="21"/>
          <w:highlight w:val="none"/>
          <w:lang w:val="zh-CN"/>
        </w:rPr>
        <w:t>。合同暂定价（不含销项税额）为</w:t>
      </w:r>
      <w:r>
        <w:rPr>
          <w:rFonts w:hint="eastAsia" w:ascii="宋体" w:hAnsi="宋体" w:eastAsia="宋体" w:cs="Times New Roman"/>
          <w:color w:val="auto"/>
          <w:szCs w:val="21"/>
          <w:highlight w:val="none"/>
          <w:lang w:val="en-US" w:eastAsia="zh-CN"/>
        </w:rPr>
        <w:t>中标人</w:t>
      </w:r>
      <w:r>
        <w:rPr>
          <w:rFonts w:hint="eastAsia" w:ascii="宋体" w:hAnsi="宋体" w:eastAsia="宋体" w:cs="Times New Roman"/>
          <w:color w:val="auto"/>
          <w:szCs w:val="21"/>
          <w:highlight w:val="none"/>
          <w:lang w:val="zh-CN"/>
        </w:rPr>
        <w:t>完成应承担合同义务的全部费用，包括但不限于</w:t>
      </w:r>
      <w:r>
        <w:rPr>
          <w:rFonts w:hint="eastAsia" w:ascii="宋体" w:hAnsi="宋体" w:eastAsia="宋体" w:cs="宋体"/>
          <w:color w:val="auto"/>
          <w:kern w:val="0"/>
          <w:szCs w:val="21"/>
          <w:highlight w:val="none"/>
        </w:rPr>
        <w:t>：</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范围内所有水表及其附件的制造及系统集成、印刷费、检定、运输（至招标人指定的仓库或项目现场）、保险、装卸、远传调试，验收等费用；</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（2）按招标文件及合同要求提供各阶段的纸质和电子版技术资料，包括货物及其工艺所有制造方、使用方应支付的商标权、专利权和版权、设计或其他知识产权而需要向其他方支付的版税及其他相关费用；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）设备备品备件（含零配件）、设备拆装维修所需特殊专用工具购置费；</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）日常技术指导，免费的质保期保修服务，包括但不限于对设备的运行指导，免费维修、保修或更换配件，在设备出现严重故障、影响正常运行、修复有困难的情况下，对设备进行免费更换的费用；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val="zh-CN"/>
        </w:rPr>
        <w:t>清单虽未列出，但根据设计图纸或为满足设计功能所必需的设备材料购置费；</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zh-CN"/>
        </w:rPr>
        <w:t>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）法律法规、商业公认、招标文件规定由</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lang w:val="zh-CN"/>
        </w:rPr>
        <w:t>标人承担的其他费用。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，且不能为0</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或负数，折扣系数报价最多保留小数点后两位。投标人未按招标文件要求进行折扣系数报价的，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w:t>
      </w:r>
      <w:r>
        <w:rPr>
          <w:rStyle w:val="46"/>
          <w:rFonts w:hint="eastAsia" w:ascii="宋体" w:hAnsi="宋体" w:eastAsia="宋体" w:cs="宋体"/>
          <w:b/>
          <w:bCs/>
          <w:color w:val="auto"/>
          <w:highlight w:val="none"/>
          <w:u w:val="single"/>
          <w:lang w:val="en-US" w:eastAsia="zh-CN"/>
        </w:rPr>
        <w:t>6,439,840.84</w:t>
      </w:r>
      <w:r>
        <w:rPr>
          <w:rStyle w:val="46"/>
          <w:rFonts w:hint="eastAsia" w:ascii="宋体" w:hAnsi="宋体" w:eastAsia="宋体" w:cs="宋体"/>
          <w:b/>
          <w:bCs/>
          <w:color w:val="auto"/>
          <w:highlight w:val="none"/>
          <w:u w:val="single"/>
        </w:rPr>
        <w:t>元(大写</w:t>
      </w:r>
      <w:r>
        <w:rPr>
          <w:rStyle w:val="46"/>
          <w:rFonts w:hint="eastAsia" w:ascii="宋体" w:hAnsi="宋体" w:eastAsia="宋体" w:cs="宋体"/>
          <w:b/>
          <w:bCs/>
          <w:color w:val="auto"/>
          <w:highlight w:val="none"/>
          <w:u w:val="single"/>
          <w:lang w:eastAsia="zh-CN"/>
        </w:rPr>
        <w:t>：</w:t>
      </w:r>
      <w:r>
        <w:rPr>
          <w:rStyle w:val="46"/>
          <w:rFonts w:hint="eastAsia" w:ascii="宋体" w:hAnsi="宋体" w:eastAsia="宋体" w:cs="宋体"/>
          <w:b/>
          <w:bCs/>
          <w:color w:val="auto"/>
          <w:highlight w:val="none"/>
          <w:u w:val="single"/>
        </w:rPr>
        <w:t>人民币</w:t>
      </w:r>
      <w:r>
        <w:rPr>
          <w:rStyle w:val="46"/>
          <w:rFonts w:hint="eastAsia" w:ascii="宋体" w:hAnsi="宋体" w:eastAsia="宋体" w:cs="宋体"/>
          <w:b/>
          <w:bCs/>
          <w:color w:val="auto"/>
          <w:highlight w:val="none"/>
          <w:u w:val="single"/>
          <w:lang w:val="en-US" w:eastAsia="zh-CN"/>
        </w:rPr>
        <w:t>陆佰肆拾叁万玖仟捌佰肆拾元捌角肆分</w:t>
      </w:r>
      <w:r>
        <w:rPr>
          <w:rStyle w:val="46"/>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28777"/>
      <w:bookmarkStart w:id="130" w:name="_Toc12103"/>
      <w:bookmarkStart w:id="131" w:name="_Toc486167676"/>
      <w:bookmarkStart w:id="132" w:name="_Toc14068"/>
      <w:bookmarkStart w:id="133" w:name="_Toc30042_WPSOffice_Level3"/>
      <w:bookmarkStart w:id="134" w:name="_Toc450662862"/>
      <w:bookmarkStart w:id="135"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12674"/>
      <w:bookmarkStart w:id="137" w:name="_Toc142508327"/>
      <w:bookmarkStart w:id="138" w:name="_Toc21258"/>
      <w:bookmarkStart w:id="139" w:name="_Toc486167677"/>
      <w:bookmarkStart w:id="140" w:name="_Toc25596"/>
      <w:bookmarkStart w:id="141" w:name="_Toc450662863"/>
      <w:bookmarkStart w:id="142"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szCs w:val="21"/>
          <w:highlight w:val="none"/>
          <w:lang w:val="zh-CN"/>
        </w:rPr>
        <w:t>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30441"/>
      <w:bookmarkStart w:id="144" w:name="_Toc26154"/>
      <w:bookmarkStart w:id="145" w:name="_Toc142508328"/>
      <w:bookmarkStart w:id="146" w:name="_Toc9116"/>
      <w:bookmarkStart w:id="147" w:name="_Toc27771_WPSOffice_Level3"/>
      <w:bookmarkStart w:id="148" w:name="_Toc486167678"/>
      <w:bookmarkStart w:id="149"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4774"/>
      <w:bookmarkStart w:id="151" w:name="_Toc486167679"/>
      <w:bookmarkStart w:id="152" w:name="_Toc21008"/>
      <w:bookmarkStart w:id="153" w:name="_Toc5356_WPSOffice_Level3"/>
      <w:bookmarkStart w:id="154" w:name="_Toc4163"/>
      <w:bookmarkStart w:id="155"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128,000.00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壹拾贰万捌仟元整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0" w:leftChars="0" w:firstLine="420" w:firstLineChars="200"/>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开户名称：东莞市水务集团供水有限公司</w:t>
      </w:r>
    </w:p>
    <w:p>
      <w:pPr>
        <w:autoSpaceDE w:val="0"/>
        <w:autoSpaceDN w:val="0"/>
        <w:adjustRightInd w:val="0"/>
        <w:spacing w:line="360" w:lineRule="auto"/>
        <w:ind w:left="0" w:leftChars="0" w:firstLine="420" w:firstLineChars="20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开户银行：工商银行东莞城区支行</w:t>
      </w:r>
    </w:p>
    <w:p>
      <w:pPr>
        <w:autoSpaceDE w:val="0"/>
        <w:autoSpaceDN w:val="0"/>
        <w:adjustRightInd w:val="0"/>
        <w:spacing w:line="360" w:lineRule="auto"/>
        <w:ind w:left="0" w:leftChars="0" w:firstLine="420" w:firstLineChars="200"/>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银行账号：2010020119000060928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22649_WPSOffice_Level3"/>
      <w:bookmarkStart w:id="157" w:name="_Toc2942"/>
      <w:bookmarkStart w:id="158" w:name="_Toc486167680"/>
      <w:bookmarkStart w:id="159" w:name="_Toc2461"/>
      <w:bookmarkStart w:id="160" w:name="_Toc142508330"/>
      <w:bookmarkStart w:id="161" w:name="_Toc450662865"/>
      <w:bookmarkStart w:id="162"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358"/>
      <w:bookmarkStart w:id="164" w:name="_Toc26283"/>
      <w:bookmarkStart w:id="165" w:name="_Toc25637_WPSOffice_Level3"/>
      <w:bookmarkStart w:id="166" w:name="_Toc142508331"/>
      <w:bookmarkStart w:id="167" w:name="_Toc486167681"/>
      <w:bookmarkStart w:id="168" w:name="_Toc450662866"/>
      <w:bookmarkStart w:id="169" w:name="_Toc1331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70"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1345"/>
      <w:bookmarkStart w:id="172" w:name="_Toc140596891"/>
      <w:bookmarkStart w:id="173" w:name="_Toc22356_WPSOffice_Level2"/>
      <w:bookmarkStart w:id="174" w:name="_Toc486167682"/>
      <w:bookmarkStart w:id="175" w:name="_Toc142508332"/>
      <w:bookmarkStart w:id="176" w:name="_Toc17608"/>
      <w:bookmarkStart w:id="177" w:name="_Toc7949"/>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31579"/>
      <w:bookmarkStart w:id="179" w:name="_Toc12192_WPSOffice_Level3"/>
      <w:bookmarkStart w:id="180" w:name="_Toc486167683"/>
      <w:bookmarkStart w:id="181" w:name="_Toc14132"/>
      <w:bookmarkStart w:id="182" w:name="_Toc142508333"/>
      <w:bookmarkStart w:id="183" w:name="_Toc9900"/>
      <w:bookmarkStart w:id="184"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3384"/>
      <w:bookmarkStart w:id="186" w:name="_Toc29665_WPSOffice_Level3"/>
      <w:bookmarkStart w:id="187" w:name="_Toc32205"/>
      <w:bookmarkStart w:id="188" w:name="_Toc23301"/>
      <w:bookmarkStart w:id="189" w:name="_Toc142508334"/>
      <w:bookmarkStart w:id="190" w:name="_Toc450662869"/>
      <w:bookmarkStart w:id="191" w:name="_Toc4861676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486167685"/>
      <w:bookmarkStart w:id="193" w:name="_Toc450662870"/>
      <w:bookmarkStart w:id="194" w:name="_Toc19193"/>
      <w:bookmarkStart w:id="195" w:name="_Toc22431_WPSOffice_Level3"/>
      <w:bookmarkStart w:id="196" w:name="_Toc23091"/>
      <w:bookmarkStart w:id="197" w:name="_Toc142508335"/>
      <w:bookmarkStart w:id="198" w:name="_Toc6684"/>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6964"/>
      <w:bookmarkStart w:id="200" w:name="_Toc4883_WPSOffice_Level3"/>
      <w:bookmarkStart w:id="201" w:name="_Toc486167686"/>
      <w:bookmarkStart w:id="202" w:name="_Toc450662871"/>
      <w:bookmarkStart w:id="203" w:name="_Toc20088"/>
      <w:bookmarkStart w:id="204" w:name="_Toc142508336"/>
      <w:bookmarkStart w:id="205" w:name="_Toc15452"/>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40596896"/>
      <w:bookmarkStart w:id="207" w:name="_Toc6702"/>
      <w:bookmarkStart w:id="208" w:name="_Toc1049_WPSOffice_Level2"/>
      <w:bookmarkStart w:id="209" w:name="_Toc27648"/>
      <w:bookmarkStart w:id="210" w:name="_Toc486167687"/>
      <w:bookmarkStart w:id="211" w:name="_Toc450662872"/>
      <w:bookmarkStart w:id="212" w:name="_Toc18224"/>
      <w:bookmarkStart w:id="213" w:name="_Toc142508337"/>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29881"/>
      <w:bookmarkStart w:id="215" w:name="_Toc7078"/>
      <w:bookmarkStart w:id="216" w:name="_Toc450662873"/>
      <w:bookmarkStart w:id="217" w:name="_Toc7200"/>
      <w:bookmarkStart w:id="218" w:name="_Toc142508338"/>
      <w:bookmarkStart w:id="219" w:name="_Toc486167688"/>
      <w:bookmarkStart w:id="220"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zh-CN" w:eastAsia="zh-CN"/>
        </w:rPr>
        <w:t>最多</w:t>
      </w:r>
      <w:r>
        <w:rPr>
          <w:rFonts w:hint="eastAsia" w:ascii="宋体" w:hAnsi="宋体" w:eastAsia="宋体" w:cs="宋体"/>
          <w:color w:val="auto"/>
          <w:szCs w:val="21"/>
          <w:highlight w:val="none"/>
          <w:lang w:val="zh-CN"/>
        </w:rPr>
        <w:t>保留小数点后两位。对不同文字文本投标文件的解释发生异议的，以中文文本为准。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486167689"/>
      <w:bookmarkStart w:id="222" w:name="_Toc11072"/>
      <w:bookmarkStart w:id="223" w:name="_Toc142508339"/>
      <w:bookmarkStart w:id="224" w:name="_Toc12165_WPSOffice_Level3"/>
      <w:bookmarkStart w:id="225" w:name="_Toc2038"/>
      <w:bookmarkStart w:id="226" w:name="_Toc450662874"/>
      <w:bookmarkStart w:id="227" w:name="_Toc2581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28201"/>
      <w:bookmarkStart w:id="229" w:name="_Toc3748"/>
      <w:bookmarkStart w:id="230" w:name="_Toc833"/>
      <w:bookmarkStart w:id="231" w:name="_Toc142508340"/>
      <w:bookmarkStart w:id="232" w:name="_Toc450662875"/>
      <w:bookmarkStart w:id="233" w:name="_Toc486167690"/>
      <w:bookmarkStart w:id="234"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86167691"/>
      <w:bookmarkStart w:id="236" w:name="_Toc31399"/>
      <w:bookmarkStart w:id="237" w:name="_Toc28910_WPSOffice_Level3"/>
      <w:bookmarkStart w:id="238" w:name="_Toc830"/>
      <w:bookmarkStart w:id="239" w:name="_Toc142508341"/>
      <w:bookmarkStart w:id="240" w:name="_Toc450662876"/>
      <w:bookmarkStart w:id="241" w:name="_Toc1469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9436"/>
      <w:bookmarkStart w:id="243" w:name="_Toc338_WPSOffice_Level3"/>
      <w:bookmarkStart w:id="244" w:name="_Toc142508342"/>
      <w:bookmarkStart w:id="245" w:name="_Toc486167692"/>
      <w:bookmarkStart w:id="246" w:name="_Toc450662877"/>
      <w:bookmarkStart w:id="247" w:name="_Toc10130"/>
      <w:bookmarkStart w:id="248" w:name="_Toc82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1918096"/>
      <w:bookmarkStart w:id="251" w:name="_Toc522047355"/>
      <w:bookmarkStart w:id="252" w:name="_Toc18368_WPSOffice_Level3"/>
      <w:bookmarkStart w:id="253" w:name="_Toc142508343"/>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22208"/>
      <w:bookmarkStart w:id="255" w:name="_Toc26392"/>
      <w:bookmarkStart w:id="256"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18255"/>
      <w:bookmarkStart w:id="260" w:name="_Toc142508344"/>
      <w:bookmarkStart w:id="261" w:name="_Toc21460_WPSOffice_Level3"/>
      <w:bookmarkStart w:id="262" w:name="_Toc31279"/>
      <w:bookmarkStart w:id="263" w:name="_Toc2491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15841"/>
      <w:bookmarkStart w:id="265" w:name="_Toc25047"/>
      <w:bookmarkStart w:id="266" w:name="_Toc465358969"/>
      <w:bookmarkStart w:id="267" w:name="_Toc486167694"/>
      <w:bookmarkStart w:id="268" w:name="_Toc466882017"/>
      <w:bookmarkStart w:id="269" w:name="_Toc32498_WPSOffice_Level3"/>
      <w:bookmarkStart w:id="270" w:name="_Toc10642"/>
      <w:bookmarkStart w:id="271" w:name="_Toc14250834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1848_WPSOffice_Level3"/>
      <w:bookmarkStart w:id="273" w:name="_Toc465358970"/>
      <w:bookmarkStart w:id="274" w:name="_Toc486167695"/>
      <w:bookmarkStart w:id="275" w:name="_Toc4325"/>
      <w:bookmarkStart w:id="276" w:name="_Toc1562"/>
      <w:bookmarkStart w:id="277" w:name="_Toc142508346"/>
      <w:bookmarkStart w:id="278" w:name="_Toc26138"/>
      <w:bookmarkStart w:id="27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w:t>
      </w:r>
      <w:r>
        <w:rPr>
          <w:rFonts w:hint="eastAsia" w:ascii="宋体" w:hAnsi="宋体" w:eastAsia="宋体" w:cs="Times New Roman"/>
          <w:b/>
          <w:color w:val="auto"/>
          <w:kern w:val="0"/>
          <w:szCs w:val="21"/>
          <w:highlight w:val="none"/>
          <w:lang w:eastAsia="zh-CN"/>
        </w:rPr>
        <w:t>或</w:t>
      </w:r>
      <w:r>
        <w:rPr>
          <w:rFonts w:hint="eastAsia" w:ascii="宋体" w:hAnsi="宋体" w:eastAsia="宋体" w:cs="Times New Roman"/>
          <w:b/>
          <w:color w:val="auto"/>
          <w:kern w:val="0"/>
          <w:szCs w:val="21"/>
          <w:highlight w:val="none"/>
        </w:rPr>
        <w:t>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w:t>
      </w:r>
      <w:r>
        <w:rPr>
          <w:rFonts w:hint="eastAsia" w:ascii="宋体" w:hAnsi="宋体" w:eastAsia="宋体" w:cs="Times New Roman"/>
          <w:b/>
          <w:color w:val="auto"/>
          <w:kern w:val="0"/>
          <w:szCs w:val="21"/>
          <w:highlight w:val="none"/>
          <w:lang w:eastAsia="zh-CN"/>
        </w:rPr>
        <w:t>或</w:t>
      </w:r>
      <w:r>
        <w:rPr>
          <w:rFonts w:hint="eastAsia" w:ascii="宋体" w:hAnsi="宋体" w:eastAsia="宋体" w:cs="Times New Roman"/>
          <w:b/>
          <w:color w:val="auto"/>
          <w:kern w:val="0"/>
          <w:szCs w:val="21"/>
          <w:highlight w:val="none"/>
        </w:rPr>
        <w:t>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5358971"/>
      <w:bookmarkStart w:id="281"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0867_WPSOffice_Level3"/>
      <w:bookmarkStart w:id="283" w:name="_Toc142508347"/>
      <w:bookmarkStart w:id="284" w:name="_Toc26035"/>
      <w:bookmarkStart w:id="285" w:name="_Toc486167696"/>
      <w:bookmarkStart w:id="286" w:name="_Toc18728"/>
      <w:bookmarkStart w:id="287" w:name="_Toc14140"/>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42508348"/>
      <w:bookmarkStart w:id="290" w:name="_Toc16848_WPSOffice_Level2"/>
      <w:bookmarkStart w:id="291" w:name="_Toc140596907"/>
      <w:bookmarkStart w:id="292" w:name="_Toc486167697"/>
      <w:bookmarkStart w:id="293" w:name="_Toc19646"/>
      <w:bookmarkStart w:id="294" w:name="_Toc23395"/>
      <w:bookmarkStart w:id="295" w:name="_Toc18316"/>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450662881"/>
      <w:bookmarkStart w:id="297" w:name="_Toc6401_WPSOffice_Level3"/>
      <w:bookmarkStart w:id="298" w:name="_Toc486167698"/>
      <w:bookmarkStart w:id="299" w:name="_Toc6064"/>
      <w:bookmarkStart w:id="300" w:name="_Toc21588"/>
      <w:bookmarkStart w:id="301" w:name="_Toc25540"/>
      <w:bookmarkStart w:id="302" w:name="_Toc14250834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486167699"/>
      <w:bookmarkStart w:id="305" w:name="_Toc142508350"/>
      <w:bookmarkStart w:id="306" w:name="_Toc30848"/>
      <w:bookmarkStart w:id="307" w:name="_Toc16874"/>
      <w:bookmarkStart w:id="308" w:name="_Toc24266"/>
      <w:bookmarkStart w:id="309"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w:t>
      </w:r>
      <w:r>
        <w:rPr>
          <w:rFonts w:hint="eastAsia" w:ascii="宋体" w:hAnsi="宋体" w:eastAsia="宋体" w:cs="宋体"/>
          <w:i w:val="0"/>
          <w:iCs w:val="0"/>
          <w:color w:val="auto"/>
          <w:szCs w:val="21"/>
          <w:highlight w:val="none"/>
          <w:lang w:val="zh-CN"/>
        </w:rPr>
        <w:t>，招标代理机构通知落选的投标人其投标文件未被接受而不提原因。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11" w:name="_Toc9694_WPSOffice_Level3"/>
      <w:bookmarkStart w:id="312" w:name="_Toc142508351"/>
      <w:bookmarkStart w:id="313" w:name="_Toc32732"/>
      <w:bookmarkStart w:id="314" w:name="_Toc24946"/>
      <w:bookmarkStart w:id="315" w:name="_Toc15739"/>
      <w:bookmarkStart w:id="316" w:name="_Toc486167700"/>
      <w:r>
        <w:rPr>
          <w:rFonts w:hint="eastAsia" w:ascii="宋体" w:hAnsi="宋体" w:eastAsia="宋体" w:cs="宋体"/>
          <w:i w:val="0"/>
          <w:iCs w:val="0"/>
          <w:color w:val="auto"/>
          <w:szCs w:val="21"/>
          <w:highlight w:val="none"/>
        </w:rPr>
        <w:t>34</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签署合同</w:t>
      </w:r>
      <w:bookmarkEnd w:id="310"/>
      <w:bookmarkEnd w:id="311"/>
      <w:bookmarkEnd w:id="312"/>
      <w:bookmarkEnd w:id="313"/>
      <w:bookmarkEnd w:id="314"/>
      <w:bookmarkEnd w:id="315"/>
      <w:bookmarkEnd w:id="316"/>
    </w:p>
    <w:p>
      <w:pPr>
        <w:tabs>
          <w:tab w:val="left" w:pos="540"/>
        </w:tabs>
        <w:autoSpaceDE w:val="0"/>
        <w:autoSpaceDN w:val="0"/>
        <w:adjustRightInd w:val="0"/>
        <w:spacing w:line="360" w:lineRule="auto"/>
        <w:ind w:left="330" w:leftChars="-100" w:right="15" w:rightChars="7" w:hanging="540"/>
        <w:rPr>
          <w:rFonts w:ascii="宋体" w:hAnsi="宋体" w:eastAsia="宋体" w:cs="宋体"/>
          <w:i w:val="0"/>
          <w:iCs w:val="0"/>
          <w:color w:val="auto"/>
          <w:szCs w:val="21"/>
          <w:highlight w:val="none"/>
          <w:lang w:val="zh-CN"/>
        </w:rPr>
      </w:pPr>
      <w:r>
        <w:rPr>
          <w:rFonts w:hint="eastAsia" w:ascii="宋体" w:hAnsi="宋体" w:eastAsia="宋体" w:cs="宋体"/>
          <w:i w:val="0"/>
          <w:iCs w:val="0"/>
          <w:color w:val="auto"/>
          <w:szCs w:val="21"/>
          <w:highlight w:val="none"/>
        </w:rPr>
        <w:t>34</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zh-CN"/>
        </w:rPr>
        <w:tab/>
      </w:r>
      <w:r>
        <w:rPr>
          <w:rFonts w:hint="eastAsia" w:ascii="宋体" w:hAnsi="宋体" w:eastAsia="宋体" w:cs="Times New Roman"/>
          <w:b/>
          <w:i w:val="0"/>
          <w:iCs w:val="0"/>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i w:val="0"/>
          <w:iCs w:val="0"/>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34.2 在签署合同前，招标人可对中标人投标报价明细及附表内的算术性错误进行修正，修正原则为：</w:t>
      </w:r>
    </w:p>
    <w:p>
      <w:pPr>
        <w:autoSpaceDE/>
        <w:autoSpaceDN/>
        <w:adjustRightInd w:val="0"/>
        <w:snapToGrid w:val="0"/>
        <w:spacing w:line="360" w:lineRule="auto"/>
        <w:ind w:left="411" w:leftChars="170" w:hanging="54" w:hangingChars="26"/>
        <w:jc w:val="left"/>
        <w:rPr>
          <w:rFonts w:hint="eastAsia"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w:t>
      </w:r>
      <w:r>
        <w:rPr>
          <w:rFonts w:hint="eastAsia" w:ascii="宋体" w:hAnsi="宋体" w:eastAsia="宋体" w:cs="Times New Roman"/>
          <w:i w:val="0"/>
          <w:iCs w:val="0"/>
          <w:color w:val="auto"/>
          <w:szCs w:val="21"/>
          <w:highlight w:val="none"/>
          <w:lang w:val="en-US" w:eastAsia="zh-CN"/>
        </w:rPr>
        <w:t>1</w:t>
      </w:r>
      <w:r>
        <w:rPr>
          <w:rFonts w:hint="eastAsia" w:ascii="宋体" w:hAnsi="宋体" w:eastAsia="宋体" w:cs="Times New Roman"/>
          <w:i w:val="0"/>
          <w:iCs w:val="0"/>
          <w:color w:val="auto"/>
          <w:szCs w:val="21"/>
          <w:highlight w:val="none"/>
          <w:lang w:val="zh-CN"/>
        </w:rPr>
        <w:t>）当以数字表示的报价系数与以文字表示的报价系数不一致时，以文字表示的报价系数为准。</w:t>
      </w:r>
    </w:p>
    <w:p>
      <w:pPr>
        <w:autoSpaceDE/>
        <w:autoSpaceDN/>
        <w:adjustRightInd w:val="0"/>
        <w:snapToGrid w:val="0"/>
        <w:spacing w:line="360" w:lineRule="auto"/>
        <w:ind w:left="411" w:leftChars="170" w:hanging="54" w:hangingChars="26"/>
        <w:jc w:val="left"/>
        <w:rPr>
          <w:rFonts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w:t>
      </w:r>
      <w:r>
        <w:rPr>
          <w:rFonts w:hint="eastAsia" w:ascii="宋体" w:hAnsi="宋体" w:eastAsia="宋体" w:cs="Times New Roman"/>
          <w:i w:val="0"/>
          <w:iCs w:val="0"/>
          <w:color w:val="auto"/>
          <w:szCs w:val="21"/>
          <w:highlight w:val="none"/>
          <w:lang w:val="zh-CN" w:eastAsia="zh-CN"/>
        </w:rPr>
        <w:t>2</w:t>
      </w:r>
      <w:r>
        <w:rPr>
          <w:rFonts w:hint="eastAsia" w:ascii="宋体" w:hAnsi="宋体" w:eastAsia="宋体" w:cs="Times New Roman"/>
          <w:i w:val="0"/>
          <w:iCs w:val="0"/>
          <w:color w:val="auto"/>
          <w:szCs w:val="21"/>
          <w:highlight w:val="none"/>
          <w:lang w:val="zh-CN"/>
        </w:rPr>
        <w:t>）按前述修正原则排序依次进行修正至唯一值后的报价表经双方确认后，作为合同文件的组成部分。</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i w:val="0"/>
          <w:iCs w:val="0"/>
          <w:color w:val="auto"/>
          <w:szCs w:val="21"/>
          <w:highlight w:val="none"/>
        </w:rPr>
      </w:pPr>
      <w:bookmarkStart w:id="317" w:name="_Toc10513_WPSOffice_Level3"/>
      <w:bookmarkStart w:id="318" w:name="_Toc142508352"/>
      <w:bookmarkStart w:id="319" w:name="_Toc486167701"/>
      <w:bookmarkStart w:id="320" w:name="_Toc450662887"/>
    </w:p>
    <w:p>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21" w:name="_Toc24297"/>
      <w:bookmarkStart w:id="322" w:name="_Toc8873"/>
      <w:bookmarkStart w:id="323" w:name="_Toc18874"/>
      <w:r>
        <w:rPr>
          <w:rFonts w:hint="eastAsia" w:ascii="宋体" w:hAnsi="宋体" w:eastAsia="宋体" w:cs="宋体"/>
          <w:i w:val="0"/>
          <w:iCs w:val="0"/>
          <w:color w:val="auto"/>
          <w:szCs w:val="21"/>
          <w:highlight w:val="none"/>
        </w:rPr>
        <w:t>35</w:t>
      </w:r>
      <w:r>
        <w:rPr>
          <w:rFonts w:ascii="宋体" w:hAnsi="宋体" w:eastAsia="宋体" w:cs="宋体"/>
          <w:i w:val="0"/>
          <w:iCs w:val="0"/>
          <w:color w:val="auto"/>
          <w:szCs w:val="21"/>
          <w:highlight w:val="none"/>
        </w:rPr>
        <w:t xml:space="preserve"> </w:t>
      </w:r>
      <w:r>
        <w:rPr>
          <w:rFonts w:hint="eastAsia" w:ascii="宋体" w:hAnsi="宋体" w:eastAsia="宋体" w:cs="宋体"/>
          <w:i w:val="0"/>
          <w:iCs w:val="0"/>
          <w:color w:val="auto"/>
          <w:szCs w:val="21"/>
          <w:highlight w:val="none"/>
          <w:lang w:val="zh-CN"/>
        </w:rPr>
        <w:t>履约担保</w:t>
      </w:r>
      <w:bookmarkEnd w:id="317"/>
      <w:bookmarkEnd w:id="318"/>
      <w:bookmarkEnd w:id="319"/>
      <w:bookmarkEnd w:id="320"/>
      <w:bookmarkEnd w:id="321"/>
      <w:bookmarkEnd w:id="322"/>
      <w:bookmarkEnd w:id="323"/>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i w:val="0"/>
          <w:iCs w:val="0"/>
          <w:color w:val="auto"/>
          <w:szCs w:val="21"/>
          <w:highlight w:val="none"/>
          <w:lang w:val="zh-CN"/>
        </w:rPr>
      </w:pPr>
      <w:bookmarkStart w:id="324" w:name="_Toc466882025"/>
      <w:bookmarkStart w:id="325" w:name="_Toc465358977"/>
      <w:r>
        <w:rPr>
          <w:rFonts w:hint="eastAsia" w:ascii="宋体" w:hAnsi="宋体" w:eastAsia="宋体" w:cs="宋体"/>
          <w:bCs/>
          <w:i w:val="0"/>
          <w:iCs w:val="0"/>
          <w:color w:val="auto"/>
          <w:szCs w:val="21"/>
          <w:highlight w:val="none"/>
        </w:rPr>
        <w:t>35</w:t>
      </w:r>
      <w:r>
        <w:rPr>
          <w:rFonts w:hint="eastAsia" w:ascii="宋体" w:hAnsi="宋体" w:eastAsia="宋体" w:cs="宋体"/>
          <w:bCs/>
          <w:i w:val="0"/>
          <w:iCs w:val="0"/>
          <w:color w:val="auto"/>
          <w:szCs w:val="21"/>
          <w:highlight w:val="none"/>
          <w:lang w:val="zh-CN"/>
        </w:rPr>
        <w:t>.1</w:t>
      </w:r>
      <w:r>
        <w:rPr>
          <w:rFonts w:hint="eastAsia" w:ascii="宋体" w:hAnsi="宋体" w:eastAsia="宋体" w:cs="宋体"/>
          <w:b/>
          <w:bCs/>
          <w:i w:val="0"/>
          <w:iCs w:val="0"/>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其中，采用履约保证金（银行转账形式）的金额为合同暂定总价（含销项税额）的5%，采用不可撤销银行履约保函形式的金额为合同暂定总价（含销项税额）的8%，采用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形式的金额为合同暂定总价（含销项税额）的8%，采用担保公司履约担保书形式的金额为合同暂定总价（含销项税额）的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i w:val="0"/>
          <w:iCs w:val="0"/>
          <w:color w:val="auto"/>
          <w:kern w:val="0"/>
          <w:szCs w:val="24"/>
          <w:highlight w:val="none"/>
        </w:rPr>
        <w:t>合同履行过程中，中标人</w:t>
      </w:r>
      <w:r>
        <w:rPr>
          <w:rFonts w:hint="eastAsia" w:ascii="宋体" w:hAnsi="宋体" w:eastAsia="宋体" w:cs="Arial"/>
          <w:i w:val="0"/>
          <w:iCs w:val="0"/>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 xml:space="preserve">35.2 </w:t>
      </w:r>
      <w:r>
        <w:rPr>
          <w:rFonts w:hint="eastAsia" w:ascii="宋体" w:hAnsi="宋体" w:eastAsia="宋体" w:cs="Times New Roman"/>
          <w:i w:val="0"/>
          <w:iCs w:val="0"/>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i w:val="0"/>
          <w:iCs w:val="0"/>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1）</w:t>
      </w:r>
      <w:r>
        <w:rPr>
          <w:rFonts w:hint="eastAsia" w:ascii="宋体" w:hAnsi="宋体" w:eastAsia="宋体" w:cs="Times New Roman"/>
          <w:i w:val="0"/>
          <w:iCs w:val="0"/>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2）在合同履行期间，中标人</w:t>
      </w:r>
      <w:r>
        <w:rPr>
          <w:rFonts w:hint="eastAsia" w:ascii="宋体" w:hAnsi="宋体" w:eastAsia="宋体" w:cs="Times New Roman"/>
          <w:i w:val="0"/>
          <w:iCs w:val="0"/>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3）在合同履行期间，因中标人</w:t>
      </w:r>
      <w:r>
        <w:rPr>
          <w:rFonts w:hint="eastAsia" w:ascii="宋体" w:hAnsi="宋体" w:eastAsia="宋体" w:cs="Times New Roman"/>
          <w:i w:val="0"/>
          <w:iCs w:val="0"/>
          <w:color w:val="auto"/>
          <w:kern w:val="0"/>
          <w:szCs w:val="21"/>
          <w:highlight w:val="none"/>
        </w:rPr>
        <w:t>货物、</w:t>
      </w:r>
      <w:r>
        <w:rPr>
          <w:rFonts w:ascii="宋体" w:hAnsi="宋体" w:eastAsia="宋体" w:cs="Times New Roman"/>
          <w:i w:val="0"/>
          <w:iCs w:val="0"/>
          <w:color w:val="auto"/>
          <w:kern w:val="0"/>
          <w:szCs w:val="21"/>
          <w:highlight w:val="none"/>
        </w:rPr>
        <w:t>服务质量问题造成损害、侵权损失（包括但不限于招标人经济损失、第三人人身财产损失等）、</w:t>
      </w:r>
      <w:r>
        <w:rPr>
          <w:rFonts w:hint="eastAsia" w:ascii="宋体" w:hAnsi="宋体" w:eastAsia="宋体" w:cs="Times New Roman"/>
          <w:i w:val="0"/>
          <w:iCs w:val="0"/>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5）合同期内，中标人不能及时完成合同某项义务的，招标人有权提取履约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6）其他根据本合同约定或法律规定，招标人可启用履约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（1）</w:t>
      </w:r>
      <w:r>
        <w:rPr>
          <w:rFonts w:ascii="宋体" w:hAnsi="宋体" w:eastAsia="宋体" w:cs="Times New Roman"/>
          <w:i w:val="0"/>
          <w:iCs w:val="0"/>
          <w:color w:val="auto"/>
          <w:kern w:val="0"/>
          <w:szCs w:val="21"/>
          <w:highlight w:val="none"/>
        </w:rPr>
        <w:t>出具履约保函的银行必须是</w:t>
      </w:r>
      <w:r>
        <w:rPr>
          <w:rFonts w:hint="eastAsia" w:ascii="宋体" w:hAnsi="宋体" w:eastAsia="宋体" w:cs="Times New Roman"/>
          <w:i w:val="0"/>
          <w:iCs w:val="0"/>
          <w:color w:val="auto"/>
          <w:kern w:val="0"/>
          <w:szCs w:val="21"/>
          <w:highlight w:val="none"/>
        </w:rPr>
        <w:t>境内</w:t>
      </w:r>
      <w:r>
        <w:rPr>
          <w:rFonts w:ascii="宋体" w:hAnsi="宋体" w:eastAsia="宋体" w:cs="Times New Roman"/>
          <w:i w:val="0"/>
          <w:iCs w:val="0"/>
          <w:color w:val="auto"/>
          <w:kern w:val="0"/>
          <w:szCs w:val="21"/>
          <w:highlight w:val="none"/>
        </w:rPr>
        <w:t>支行一级以上机构，并经招标人同意，执行本款时所发生的费用由中标人</w:t>
      </w:r>
      <w:r>
        <w:rPr>
          <w:rFonts w:hint="eastAsia" w:ascii="宋体" w:hAnsi="宋体" w:eastAsia="宋体" w:cs="Times New Roman"/>
          <w:i w:val="0"/>
          <w:iCs w:val="0"/>
          <w:color w:val="auto"/>
          <w:kern w:val="0"/>
          <w:szCs w:val="21"/>
          <w:highlight w:val="none"/>
        </w:rPr>
        <w:t>承担</w:t>
      </w:r>
      <w:r>
        <w:rPr>
          <w:rFonts w:ascii="宋体" w:hAnsi="宋体" w:eastAsia="宋体" w:cs="Times New Roman"/>
          <w:i w:val="0"/>
          <w:iCs w:val="0"/>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（2）</w:t>
      </w:r>
      <w:r>
        <w:rPr>
          <w:rFonts w:ascii="宋体" w:hAnsi="宋体" w:eastAsia="宋体" w:cs="Times New Roman"/>
          <w:i w:val="0"/>
          <w:iCs w:val="0"/>
          <w:color w:val="auto"/>
          <w:kern w:val="0"/>
          <w:szCs w:val="21"/>
          <w:highlight w:val="none"/>
        </w:rPr>
        <w:t>履约担保格式应采用招标文件中提供的（格式参见第</w:t>
      </w:r>
      <w:r>
        <w:rPr>
          <w:rFonts w:hint="eastAsia" w:ascii="宋体" w:hAnsi="宋体" w:eastAsia="宋体" w:cs="Times New Roman"/>
          <w:i w:val="0"/>
          <w:iCs w:val="0"/>
          <w:color w:val="auto"/>
          <w:kern w:val="0"/>
          <w:szCs w:val="21"/>
          <w:highlight w:val="none"/>
        </w:rPr>
        <w:t>五篇</w:t>
      </w:r>
      <w:r>
        <w:rPr>
          <w:rFonts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rPr>
        <w:t>投标人如以履约保函（或履约保证保险或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履约担保书）形式提供履约担保的，投标前应当自行向其拟申请开具保函的银行（</w:t>
      </w:r>
      <w:r>
        <w:rPr>
          <w:rFonts w:hint="eastAsia" w:ascii="宋体" w:hAnsi="宋体" w:eastAsia="宋体" w:cs="Times New Roman"/>
          <w:i w:val="0"/>
          <w:iCs w:val="0"/>
          <w:color w:val="auto"/>
          <w:kern w:val="0"/>
          <w:szCs w:val="21"/>
          <w:highlight w:val="none"/>
          <w:lang w:val="en-US" w:eastAsia="zh-CN"/>
        </w:rPr>
        <w:t>或保险</w:t>
      </w:r>
      <w:r>
        <w:rPr>
          <w:rFonts w:hint="eastAsia" w:ascii="宋体" w:hAnsi="宋体" w:eastAsia="宋体" w:cs="Times New Roman"/>
          <w:i w:val="0"/>
          <w:iCs w:val="0"/>
          <w:color w:val="auto"/>
          <w:kern w:val="0"/>
          <w:szCs w:val="21"/>
          <w:highlight w:val="none"/>
        </w:rPr>
        <w:t>或担保）机构落实履约保函（或履约保证保险或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履约担保书）格式情况，以确保能按本招标文件规定的格式提供保函。</w:t>
      </w:r>
      <w:r>
        <w:rPr>
          <w:rFonts w:ascii="宋体" w:hAnsi="宋体" w:eastAsia="宋体" w:cs="Times New Roman"/>
          <w:i w:val="0"/>
          <w:iCs w:val="0"/>
          <w:color w:val="auto"/>
          <w:kern w:val="0"/>
          <w:szCs w:val="21"/>
          <w:highlight w:val="none"/>
        </w:rPr>
        <w:t>如使用其他格式的履约保函</w:t>
      </w:r>
      <w:r>
        <w:rPr>
          <w:rFonts w:hint="eastAsia" w:ascii="宋体" w:hAnsi="宋体" w:eastAsia="宋体" w:cs="Times New Roman"/>
          <w:i w:val="0"/>
          <w:iCs w:val="0"/>
          <w:color w:val="auto"/>
          <w:kern w:val="0"/>
          <w:szCs w:val="21"/>
          <w:highlight w:val="none"/>
        </w:rPr>
        <w:t>（或履约保证保险或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w:t>
      </w:r>
      <w:r>
        <w:rPr>
          <w:rFonts w:ascii="宋体" w:hAnsi="宋体" w:eastAsia="宋体" w:cs="Times New Roman"/>
          <w:i w:val="0"/>
          <w:iCs w:val="0"/>
          <w:color w:val="auto"/>
          <w:kern w:val="0"/>
          <w:szCs w:val="21"/>
          <w:highlight w:val="none"/>
        </w:rPr>
        <w:t>，须事先经招标人的书面</w:t>
      </w:r>
      <w:r>
        <w:rPr>
          <w:rFonts w:hint="eastAsia" w:ascii="宋体" w:hAnsi="宋体" w:eastAsia="宋体" w:cs="Times New Roman"/>
          <w:i w:val="0"/>
          <w:iCs w:val="0"/>
          <w:color w:val="auto"/>
          <w:kern w:val="0"/>
          <w:szCs w:val="21"/>
          <w:highlight w:val="none"/>
        </w:rPr>
        <w:t>同意</w:t>
      </w:r>
      <w:r>
        <w:rPr>
          <w:rFonts w:ascii="宋体" w:hAnsi="宋体" w:eastAsia="宋体" w:cs="Times New Roman"/>
          <w:i w:val="0"/>
          <w:iCs w:val="0"/>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3</w:t>
      </w:r>
      <w:r>
        <w:rPr>
          <w:rFonts w:hint="eastAsia" w:ascii="宋体" w:hAnsi="宋体" w:eastAsia="宋体" w:cs="Times New Roman"/>
          <w:i w:val="0"/>
          <w:iCs w:val="0"/>
          <w:color w:val="auto"/>
          <w:kern w:val="0"/>
          <w:szCs w:val="21"/>
          <w:highlight w:val="none"/>
        </w:rPr>
        <w:t>）提供担保的担保机构经济性质须为</w:t>
      </w:r>
      <w:r>
        <w:rPr>
          <w:rFonts w:hint="eastAsia" w:ascii="宋体" w:hAnsi="宋体" w:eastAsia="宋体" w:cs="Times New Roman"/>
          <w:i w:val="0"/>
          <w:iCs w:val="0"/>
          <w:color w:val="auto"/>
          <w:kern w:val="0"/>
          <w:szCs w:val="21"/>
          <w:highlight w:val="none"/>
          <w:lang w:val="en-US" w:eastAsia="zh-CN"/>
        </w:rPr>
        <w:t>东莞</w:t>
      </w:r>
      <w:r>
        <w:rPr>
          <w:rFonts w:hint="eastAsia" w:ascii="宋体" w:hAnsi="宋体" w:eastAsia="宋体" w:cs="Times New Roman"/>
          <w:i w:val="0"/>
          <w:iCs w:val="0"/>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i w:val="0"/>
          <w:iCs w:val="0"/>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（4）</w:t>
      </w:r>
      <w:r>
        <w:rPr>
          <w:rFonts w:ascii="宋体" w:hAnsi="宋体" w:eastAsia="宋体" w:cs="Times New Roman"/>
          <w:i w:val="0"/>
          <w:iCs w:val="0"/>
          <w:color w:val="auto"/>
          <w:kern w:val="0"/>
          <w:szCs w:val="21"/>
          <w:highlight w:val="none"/>
        </w:rPr>
        <w:t>如果</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人提交的履约担保的有效期届满时间先于招标文件、合同文件要求的，</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人应在原提交的履约担保有效期届满前15</w:t>
      </w:r>
      <w:r>
        <w:rPr>
          <w:rFonts w:hint="eastAsia" w:ascii="宋体" w:hAnsi="宋体" w:eastAsia="宋体" w:cs="Times New Roman"/>
          <w:i w:val="0"/>
          <w:iCs w:val="0"/>
          <w:color w:val="auto"/>
          <w:kern w:val="0"/>
          <w:szCs w:val="21"/>
          <w:highlight w:val="none"/>
        </w:rPr>
        <w:t>日</w:t>
      </w:r>
      <w:r>
        <w:rPr>
          <w:rFonts w:ascii="宋体" w:hAnsi="宋体" w:eastAsia="宋体" w:cs="Times New Roman"/>
          <w:i w:val="0"/>
          <w:iCs w:val="0"/>
          <w:color w:val="auto"/>
          <w:kern w:val="0"/>
          <w:szCs w:val="21"/>
          <w:highlight w:val="none"/>
        </w:rPr>
        <w:t>内，无条件办理</w:t>
      </w:r>
      <w:r>
        <w:rPr>
          <w:rFonts w:hint="eastAsia" w:ascii="宋体" w:hAnsi="宋体" w:eastAsia="宋体" w:cs="Times New Roman"/>
          <w:i w:val="0"/>
          <w:iCs w:val="0"/>
          <w:color w:val="auto"/>
          <w:kern w:val="0"/>
          <w:szCs w:val="21"/>
          <w:highlight w:val="none"/>
        </w:rPr>
        <w:t>符合招标人要求的</w:t>
      </w:r>
      <w:r>
        <w:rPr>
          <w:rFonts w:ascii="宋体" w:hAnsi="宋体" w:eastAsia="宋体" w:cs="Times New Roman"/>
          <w:i w:val="0"/>
          <w:iCs w:val="0"/>
          <w:color w:val="auto"/>
          <w:kern w:val="0"/>
          <w:szCs w:val="21"/>
          <w:highlight w:val="none"/>
        </w:rPr>
        <w:t>履约担保延期手续，否则视为</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人违约，</w:t>
      </w:r>
      <w:r>
        <w:rPr>
          <w:rFonts w:hint="eastAsia" w:ascii="宋体" w:hAnsi="宋体" w:eastAsia="宋体" w:cs="Times New Roman"/>
          <w:i w:val="0"/>
          <w:iCs w:val="0"/>
          <w:color w:val="auto"/>
          <w:kern w:val="0"/>
          <w:szCs w:val="21"/>
          <w:highlight w:val="none"/>
        </w:rPr>
        <w:t>招标</w:t>
      </w:r>
      <w:r>
        <w:rPr>
          <w:rFonts w:ascii="宋体" w:hAnsi="宋体" w:eastAsia="宋体" w:cs="Times New Roman"/>
          <w:i w:val="0"/>
          <w:iCs w:val="0"/>
          <w:color w:val="auto"/>
          <w:kern w:val="0"/>
          <w:szCs w:val="21"/>
          <w:highlight w:val="none"/>
        </w:rPr>
        <w:t>人有权</w:t>
      </w:r>
      <w:r>
        <w:rPr>
          <w:rFonts w:hint="eastAsia" w:ascii="宋体" w:hAnsi="宋体" w:eastAsia="宋体" w:cs="Times New Roman"/>
          <w:i w:val="0"/>
          <w:iCs w:val="0"/>
          <w:color w:val="auto"/>
          <w:kern w:val="0"/>
          <w:szCs w:val="21"/>
          <w:highlight w:val="none"/>
        </w:rPr>
        <w:t>在不可撤销银行履约保函或履约保证保险或担保公司履约担保书到期前</w:t>
      </w:r>
      <w:r>
        <w:rPr>
          <w:rFonts w:ascii="宋体" w:hAnsi="宋体" w:eastAsia="宋体" w:cs="Times New Roman"/>
          <w:i w:val="0"/>
          <w:iCs w:val="0"/>
          <w:color w:val="auto"/>
          <w:kern w:val="0"/>
          <w:szCs w:val="21"/>
          <w:highlight w:val="none"/>
        </w:rPr>
        <w:t>向出具履约</w:t>
      </w:r>
      <w:r>
        <w:rPr>
          <w:rFonts w:hint="eastAsia" w:ascii="宋体" w:hAnsi="宋体" w:eastAsia="宋体" w:cs="Times New Roman"/>
          <w:i w:val="0"/>
          <w:iCs w:val="0"/>
          <w:color w:val="auto"/>
          <w:kern w:val="0"/>
          <w:szCs w:val="21"/>
          <w:highlight w:val="none"/>
        </w:rPr>
        <w:t>担保的机构</w:t>
      </w:r>
      <w:r>
        <w:rPr>
          <w:rFonts w:ascii="宋体" w:hAnsi="宋体" w:eastAsia="宋体" w:cs="Times New Roman"/>
          <w:i w:val="0"/>
          <w:iCs w:val="0"/>
          <w:color w:val="auto"/>
          <w:kern w:val="0"/>
          <w:szCs w:val="21"/>
          <w:highlight w:val="none"/>
        </w:rPr>
        <w:t>提取履约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金。</w:t>
      </w:r>
      <w:r>
        <w:rPr>
          <w:rFonts w:hint="eastAsia" w:ascii="宋体" w:hAnsi="宋体" w:eastAsia="宋体" w:cs="Times New Roman"/>
          <w:i w:val="0"/>
          <w:iCs w:val="0"/>
          <w:color w:val="auto"/>
          <w:kern w:val="0"/>
          <w:szCs w:val="21"/>
          <w:highlight w:val="none"/>
        </w:rPr>
        <w:t>在不可撤销银行履约保函</w:t>
      </w:r>
      <w:r>
        <w:rPr>
          <w:rFonts w:hint="eastAsia" w:ascii="宋体" w:hAnsi="宋体" w:eastAsia="宋体" w:cs="Times New Roman"/>
          <w:i w:val="0"/>
          <w:iCs w:val="0"/>
          <w:color w:val="auto"/>
          <w:kern w:val="0"/>
          <w:szCs w:val="21"/>
          <w:highlight w:val="none"/>
          <w:lang w:eastAsia="zh-CN"/>
        </w:rPr>
        <w:t>（</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1"/>
          <w:highlight w:val="none"/>
          <w:lang w:val="en-US" w:eastAsia="zh-CN"/>
        </w:rPr>
        <w:t>或</w:t>
      </w:r>
      <w:r>
        <w:rPr>
          <w:rFonts w:hint="eastAsia" w:ascii="宋体" w:hAnsi="宋体" w:eastAsia="宋体" w:cs="Times New Roman"/>
          <w:i w:val="0"/>
          <w:iCs w:val="0"/>
          <w:color w:val="auto"/>
          <w:kern w:val="0"/>
          <w:szCs w:val="21"/>
          <w:highlight w:val="none"/>
        </w:rPr>
        <w:t>担保公司履约担保书</w:t>
      </w:r>
      <w:r>
        <w:rPr>
          <w:rFonts w:hint="eastAsia" w:ascii="宋体" w:hAnsi="宋体" w:eastAsia="宋体" w:cs="Times New Roman"/>
          <w:i w:val="0"/>
          <w:iCs w:val="0"/>
          <w:color w:val="auto"/>
          <w:kern w:val="0"/>
          <w:szCs w:val="21"/>
          <w:highlight w:val="none"/>
          <w:lang w:eastAsia="zh-CN"/>
        </w:rPr>
        <w:t>）</w:t>
      </w:r>
      <w:r>
        <w:rPr>
          <w:rFonts w:hint="eastAsia" w:ascii="宋体" w:hAnsi="宋体" w:eastAsia="宋体" w:cs="Times New Roman"/>
          <w:i w:val="0"/>
          <w:iCs w:val="0"/>
          <w:color w:val="auto"/>
          <w:kern w:val="0"/>
          <w:szCs w:val="21"/>
          <w:highlight w:val="none"/>
        </w:rPr>
        <w:t>到期后中标</w:t>
      </w:r>
      <w:r>
        <w:rPr>
          <w:rFonts w:ascii="宋体" w:hAnsi="宋体" w:eastAsia="宋体" w:cs="Times New Roman"/>
          <w:i w:val="0"/>
          <w:iCs w:val="0"/>
          <w:color w:val="auto"/>
          <w:kern w:val="0"/>
          <w:szCs w:val="21"/>
          <w:highlight w:val="none"/>
        </w:rPr>
        <w:t>人</w:t>
      </w:r>
      <w:r>
        <w:rPr>
          <w:rFonts w:hint="eastAsia" w:ascii="宋体" w:hAnsi="宋体" w:eastAsia="宋体" w:cs="Times New Roman"/>
          <w:i w:val="0"/>
          <w:iCs w:val="0"/>
          <w:color w:val="auto"/>
          <w:kern w:val="0"/>
          <w:szCs w:val="21"/>
          <w:highlight w:val="none"/>
        </w:rPr>
        <w:t>未按招标人要求重新提供的，招标人有权要求中标</w:t>
      </w:r>
      <w:r>
        <w:rPr>
          <w:rFonts w:ascii="宋体" w:hAnsi="宋体" w:eastAsia="宋体" w:cs="Times New Roman"/>
          <w:i w:val="0"/>
          <w:iCs w:val="0"/>
          <w:color w:val="auto"/>
          <w:kern w:val="0"/>
          <w:szCs w:val="21"/>
          <w:highlight w:val="none"/>
        </w:rPr>
        <w:t>人</w:t>
      </w:r>
      <w:r>
        <w:rPr>
          <w:rFonts w:hint="eastAsia" w:ascii="宋体" w:hAnsi="宋体" w:eastAsia="宋体" w:cs="Times New Roman"/>
          <w:i w:val="0"/>
          <w:iCs w:val="0"/>
          <w:color w:val="auto"/>
          <w:kern w:val="0"/>
          <w:szCs w:val="21"/>
          <w:highlight w:val="none"/>
        </w:rPr>
        <w:t>以履约担保金额为限承担违约金，违约金可直接从未付采购合同费用中扣除</w:t>
      </w:r>
      <w:r>
        <w:rPr>
          <w:rFonts w:ascii="宋体" w:hAnsi="宋体" w:eastAsia="宋体" w:cs="Times New Roman"/>
          <w:i w:val="0"/>
          <w:iCs w:val="0"/>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5</w:t>
      </w:r>
      <w:r>
        <w:rPr>
          <w:rFonts w:hint="eastAsia" w:ascii="宋体" w:hAnsi="宋体" w:eastAsia="宋体" w:cs="Times New Roman"/>
          <w:i w:val="0"/>
          <w:iCs w:val="0"/>
          <w:color w:val="auto"/>
          <w:kern w:val="0"/>
          <w:szCs w:val="21"/>
          <w:highlight w:val="none"/>
        </w:rPr>
        <w:t>）在合同履行过程中，不论何种原因导致履约担保金数额不符合招标文件要求的，中标人应当在</w:t>
      </w:r>
      <w:r>
        <w:rPr>
          <w:rFonts w:ascii="宋体" w:hAnsi="宋体" w:eastAsia="宋体" w:cs="Times New Roman"/>
          <w:i w:val="0"/>
          <w:iCs w:val="0"/>
          <w:color w:val="auto"/>
          <w:kern w:val="0"/>
          <w:szCs w:val="21"/>
          <w:highlight w:val="none"/>
        </w:rPr>
        <w:t>5日内予以补足。逾期不予补足的，</w:t>
      </w:r>
      <w:r>
        <w:rPr>
          <w:rFonts w:hint="eastAsia" w:ascii="宋体" w:hAnsi="宋体" w:eastAsia="宋体" w:cs="Times New Roman"/>
          <w:i w:val="0"/>
          <w:iCs w:val="0"/>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（6）</w:t>
      </w:r>
      <w:r>
        <w:rPr>
          <w:rFonts w:hint="eastAsia" w:ascii="宋体" w:hAnsi="宋体" w:eastAsia="宋体" w:cs="宋体"/>
          <w:color w:val="auto"/>
          <w:kern w:val="0"/>
          <w:szCs w:val="21"/>
          <w:highlight w:val="none"/>
        </w:rPr>
        <w:t>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可撤销银行履约保函（或履约保证保险或担保公司履约担保书）应从合同签订之日起至合同期限届满并完成全部供货验收合格后二十八（28）日内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35.5  中标人</w:t>
      </w:r>
      <w:r>
        <w:rPr>
          <w:rFonts w:ascii="宋体" w:hAnsi="宋体" w:eastAsia="宋体" w:cs="Times New Roman"/>
          <w:i w:val="0"/>
          <w:iCs w:val="0"/>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人的法人书面授权，不接受由私人账户</w:t>
      </w:r>
      <w:r>
        <w:rPr>
          <w:rFonts w:hint="eastAsia" w:ascii="宋体" w:hAnsi="宋体" w:eastAsia="宋体" w:cs="Times New Roman"/>
          <w:i w:val="0"/>
          <w:iCs w:val="0"/>
          <w:color w:val="auto"/>
          <w:kern w:val="0"/>
          <w:szCs w:val="21"/>
          <w:highlight w:val="none"/>
          <w:lang w:eastAsia="zh-CN"/>
        </w:rPr>
        <w:t>和</w:t>
      </w:r>
      <w:r>
        <w:rPr>
          <w:rFonts w:hint="eastAsia" w:ascii="宋体" w:hAnsi="宋体" w:eastAsia="宋体" w:cs="Times New Roman"/>
          <w:i w:val="0"/>
          <w:iCs w:val="0"/>
          <w:color w:val="auto"/>
          <w:kern w:val="0"/>
          <w:szCs w:val="21"/>
          <w:highlight w:val="none"/>
          <w:lang w:val="en-US" w:eastAsia="zh-CN"/>
        </w:rPr>
        <w:t>其它</w:t>
      </w:r>
      <w:r>
        <w:rPr>
          <w:rFonts w:hint="eastAsia" w:ascii="宋体" w:hAnsi="宋体" w:eastAsia="宋体" w:cs="Times New Roman"/>
          <w:i w:val="0"/>
          <w:iCs w:val="0"/>
          <w:color w:val="auto"/>
          <w:kern w:val="0"/>
          <w:szCs w:val="21"/>
          <w:highlight w:val="none"/>
          <w:lang w:eastAsia="zh-CN"/>
        </w:rPr>
        <w:t>单位</w:t>
      </w:r>
      <w:r>
        <w:rPr>
          <w:rFonts w:ascii="宋体" w:hAnsi="宋体" w:eastAsia="宋体" w:cs="Times New Roman"/>
          <w:i w:val="0"/>
          <w:iCs w:val="0"/>
          <w:color w:val="auto"/>
          <w:kern w:val="0"/>
          <w:szCs w:val="21"/>
          <w:highlight w:val="none"/>
        </w:rPr>
        <w:t>转入的保证金</w:t>
      </w:r>
      <w:r>
        <w:rPr>
          <w:rFonts w:hint="eastAsia" w:ascii="宋体" w:hAnsi="宋体" w:eastAsia="宋体" w:cs="Times New Roman"/>
          <w:i w:val="0"/>
          <w:iCs w:val="0"/>
          <w:color w:val="auto"/>
          <w:kern w:val="0"/>
          <w:szCs w:val="21"/>
          <w:highlight w:val="none"/>
        </w:rPr>
        <w:t>，也不接受现金形式提交</w:t>
      </w:r>
      <w:r>
        <w:rPr>
          <w:rFonts w:ascii="宋体" w:hAnsi="宋体" w:eastAsia="宋体" w:cs="Times New Roman"/>
          <w:i w:val="0"/>
          <w:iCs w:val="0"/>
          <w:color w:val="auto"/>
          <w:kern w:val="0"/>
          <w:szCs w:val="21"/>
          <w:highlight w:val="none"/>
        </w:rPr>
        <w:t>。履约保证金应以存入招标人指定的</w:t>
      </w:r>
      <w:r>
        <w:rPr>
          <w:rFonts w:hint="eastAsia" w:ascii="宋体" w:hAnsi="宋体" w:eastAsia="宋体" w:cs="Times New Roman"/>
          <w:i w:val="0"/>
          <w:iCs w:val="0"/>
          <w:color w:val="auto"/>
          <w:kern w:val="0"/>
          <w:szCs w:val="21"/>
          <w:highlight w:val="none"/>
        </w:rPr>
        <w:t>以下</w:t>
      </w:r>
      <w:r>
        <w:rPr>
          <w:rFonts w:ascii="宋体" w:hAnsi="宋体" w:eastAsia="宋体" w:cs="Times New Roman"/>
          <w:i w:val="0"/>
          <w:iCs w:val="0"/>
          <w:color w:val="auto"/>
          <w:kern w:val="0"/>
          <w:szCs w:val="21"/>
          <w:highlight w:val="none"/>
        </w:rPr>
        <w:t>银行账户为准</w:t>
      </w:r>
      <w:r>
        <w:rPr>
          <w:rFonts w:hint="eastAsia" w:ascii="宋体" w:hAnsi="宋体" w:eastAsia="宋体" w:cs="宋体"/>
          <w:i w:val="0"/>
          <w:iCs w:val="0"/>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东莞市水务集团供水有限公司</w:t>
      </w:r>
    </w:p>
    <w:p>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开户名称：东莞市水务集团供水有限公司</w:t>
      </w:r>
    </w:p>
    <w:p>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银行账号：4400 1778 8080 5999 9998</w:t>
      </w:r>
    </w:p>
    <w:p>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开户银行：建行东莞分行营业部</w:t>
      </w:r>
    </w:p>
    <w:p>
      <w:pPr>
        <w:autoSpaceDE w:val="0"/>
        <w:autoSpaceDN w:val="0"/>
        <w:adjustRightInd w:val="0"/>
        <w:spacing w:line="360" w:lineRule="auto"/>
        <w:ind w:left="420" w:leftChars="-100" w:hanging="630" w:hangingChars="30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35.6</w:t>
      </w:r>
      <w:r>
        <w:rPr>
          <w:rFonts w:ascii="宋体" w:hAnsi="宋体" w:eastAsia="宋体" w:cs="宋体"/>
          <w:i w:val="0"/>
          <w:iCs w:val="0"/>
          <w:color w:val="auto"/>
          <w:kern w:val="0"/>
          <w:szCs w:val="21"/>
          <w:highlight w:val="none"/>
        </w:rPr>
        <w:t xml:space="preserve">  </w:t>
      </w:r>
      <w:r>
        <w:rPr>
          <w:rFonts w:hint="eastAsia" w:ascii="宋体" w:hAnsi="宋体" w:eastAsia="宋体" w:cs="宋体"/>
          <w:i w:val="0"/>
          <w:iCs w:val="0"/>
          <w:color w:val="auto"/>
          <w:kern w:val="0"/>
          <w:szCs w:val="21"/>
          <w:highlight w:val="none"/>
        </w:rPr>
        <w:t>中标</w:t>
      </w:r>
      <w:r>
        <w:rPr>
          <w:rFonts w:hint="eastAsia" w:ascii="宋体" w:hAnsi="宋体" w:eastAsia="宋体" w:cs="Times New Roman"/>
          <w:i w:val="0"/>
          <w:iCs w:val="0"/>
          <w:color w:val="auto"/>
          <w:kern w:val="0"/>
          <w:szCs w:val="24"/>
          <w:highlight w:val="none"/>
        </w:rPr>
        <w:t>单位提交了履约担保后，当履约保证金转达招标人履约保证金账户后，</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人将履约保证金的汇款凭证用A4纸复印件（</w:t>
      </w:r>
      <w:r>
        <w:rPr>
          <w:rFonts w:hint="eastAsia" w:ascii="宋体" w:hAnsi="宋体" w:eastAsia="宋体" w:cs="Times New Roman"/>
          <w:bCs/>
          <w:i w:val="0"/>
          <w:iCs w:val="0"/>
          <w:color w:val="auto"/>
          <w:kern w:val="0"/>
          <w:szCs w:val="24"/>
          <w:highlight w:val="none"/>
        </w:rPr>
        <w:t>注明</w:t>
      </w:r>
      <w:r>
        <w:rPr>
          <w:rFonts w:hint="eastAsia" w:ascii="宋体" w:hAnsi="宋体" w:eastAsia="宋体" w:cs="Times New Roman"/>
          <w:bCs/>
          <w:i w:val="0"/>
          <w:iCs w:val="0"/>
          <w:color w:val="auto"/>
          <w:szCs w:val="21"/>
          <w:highlight w:val="none"/>
          <w:lang w:val="zh-CN"/>
        </w:rPr>
        <w:t>招标</w:t>
      </w:r>
      <w:r>
        <w:rPr>
          <w:rFonts w:hint="eastAsia" w:ascii="宋体" w:hAnsi="宋体" w:eastAsia="宋体" w:cs="Times New Roman"/>
          <w:bCs/>
          <w:i w:val="0"/>
          <w:iCs w:val="0"/>
          <w:color w:val="auto"/>
          <w:kern w:val="0"/>
          <w:szCs w:val="24"/>
          <w:highlight w:val="none"/>
        </w:rPr>
        <w:t>编号</w:t>
      </w:r>
      <w:r>
        <w:rPr>
          <w:rFonts w:hint="eastAsia" w:ascii="宋体" w:hAnsi="宋体" w:eastAsia="宋体" w:cs="Times New Roman"/>
          <w:i w:val="0"/>
          <w:iCs w:val="0"/>
          <w:color w:val="auto"/>
          <w:kern w:val="0"/>
          <w:szCs w:val="24"/>
          <w:highlight w:val="none"/>
        </w:rPr>
        <w:t>）一式二份并加盖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人的公章送招标代理机构，[或当中标人采取不可撤销银行履约保函（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或担保公司履约担保书）的方式缴纳履约担保时，中标人将不可撤销银行履约保函（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或担保公司履约担保书）原件</w:t>
      </w:r>
      <w:r>
        <w:rPr>
          <w:rFonts w:hint="eastAsia" w:ascii="宋体" w:hAnsi="宋体" w:eastAsia="宋体" w:cs="Times New Roman"/>
          <w:i w:val="0"/>
          <w:iCs w:val="0"/>
          <w:color w:val="auto"/>
          <w:szCs w:val="21"/>
          <w:highlight w:val="none"/>
          <w:lang w:val="zh-CN"/>
        </w:rPr>
        <w:t>交给招标人，由招标人在</w:t>
      </w:r>
      <w:r>
        <w:rPr>
          <w:rFonts w:hint="eastAsia" w:ascii="宋体" w:hAnsi="宋体" w:eastAsia="宋体" w:cs="Times New Roman"/>
          <w:i w:val="0"/>
          <w:iCs w:val="0"/>
          <w:color w:val="auto"/>
          <w:kern w:val="0"/>
          <w:szCs w:val="24"/>
          <w:highlight w:val="none"/>
        </w:rPr>
        <w:t>履约保函一式两份复印件上</w:t>
      </w:r>
      <w:r>
        <w:rPr>
          <w:rFonts w:hint="eastAsia" w:ascii="宋体" w:hAnsi="宋体" w:eastAsia="宋体" w:cs="Times New Roman"/>
          <w:i w:val="0"/>
          <w:iCs w:val="0"/>
          <w:color w:val="auto"/>
          <w:szCs w:val="21"/>
          <w:highlight w:val="none"/>
          <w:lang w:val="zh-CN"/>
        </w:rPr>
        <w:t>注明“原件已收”及签收人、日期后，中标人在每份复印件上</w:t>
      </w:r>
      <w:r>
        <w:rPr>
          <w:rFonts w:hint="eastAsia" w:ascii="宋体" w:hAnsi="宋体" w:eastAsia="宋体" w:cs="Times New Roman"/>
          <w:i w:val="0"/>
          <w:iCs w:val="0"/>
          <w:color w:val="auto"/>
          <w:kern w:val="0"/>
          <w:szCs w:val="24"/>
          <w:highlight w:val="none"/>
        </w:rPr>
        <w:t>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w:t>
      </w:r>
      <w:r>
        <w:rPr>
          <w:rFonts w:hint="eastAsia" w:ascii="宋体" w:hAnsi="宋体" w:eastAsia="宋体" w:cs="宋体"/>
          <w:i w:val="0"/>
          <w:iCs w:val="0"/>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4"/>
          <w:highlight w:val="none"/>
        </w:rPr>
      </w:pPr>
      <w:r>
        <w:rPr>
          <w:rFonts w:hint="eastAsia" w:ascii="宋体" w:hAnsi="宋体" w:eastAsia="宋体" w:cs="Times New Roman"/>
          <w:i w:val="0"/>
          <w:iCs w:val="0"/>
          <w:color w:val="auto"/>
          <w:kern w:val="0"/>
          <w:szCs w:val="24"/>
          <w:highlight w:val="none"/>
        </w:rPr>
        <w:t>35.7</w:t>
      </w:r>
      <w:r>
        <w:rPr>
          <w:rFonts w:ascii="宋体" w:hAnsi="宋体" w:eastAsia="宋体" w:cs="Times New Roman"/>
          <w:i w:val="0"/>
          <w:iCs w:val="0"/>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在合同期限届满并完成全部供货验收合格后二十八（28）日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26" w:name="_Toc142508353"/>
      <w:bookmarkStart w:id="327" w:name="_Toc486167702"/>
      <w:bookmarkStart w:id="328" w:name="_Toc13033"/>
      <w:bookmarkStart w:id="329" w:name="_Toc7962"/>
      <w:bookmarkStart w:id="330" w:name="_Toc21389"/>
      <w:r>
        <w:rPr>
          <w:rFonts w:hint="eastAsia" w:ascii="宋体" w:hAnsi="宋体" w:eastAsia="宋体" w:cs="宋体"/>
          <w:i w:val="0"/>
          <w:iCs w:val="0"/>
          <w:color w:val="auto"/>
          <w:szCs w:val="21"/>
          <w:highlight w:val="none"/>
        </w:rPr>
        <w:t>36</w:t>
      </w:r>
      <w:r>
        <w:rPr>
          <w:rFonts w:hint="eastAsia" w:ascii="宋体" w:hAnsi="宋体" w:eastAsia="宋体" w:cs="宋体"/>
          <w:i w:val="0"/>
          <w:iCs w:val="0"/>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pPr>
        <w:autoSpaceDE w:val="0"/>
        <w:autoSpaceDN w:val="0"/>
        <w:adjustRightInd w:val="0"/>
        <w:spacing w:line="360" w:lineRule="auto"/>
        <w:ind w:left="328" w:leftChars="-114" w:hanging="567" w:hangingChars="27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36.1</w:t>
      </w:r>
      <w:r>
        <w:rPr>
          <w:rFonts w:ascii="宋体" w:hAnsi="宋体" w:eastAsia="宋体" w:cs="宋体"/>
          <w:i w:val="0"/>
          <w:iCs w:val="0"/>
          <w:color w:val="auto"/>
          <w:kern w:val="0"/>
          <w:szCs w:val="21"/>
          <w:highlight w:val="none"/>
        </w:rPr>
        <w:t xml:space="preserve"> </w:t>
      </w:r>
      <w:r>
        <w:rPr>
          <w:rFonts w:hint="eastAsia" w:ascii="宋体" w:hAnsi="宋体" w:eastAsia="宋体" w:cs="宋体"/>
          <w:i w:val="0"/>
          <w:iCs w:val="0"/>
          <w:color w:val="auto"/>
          <w:kern w:val="0"/>
          <w:szCs w:val="21"/>
          <w:highlight w:val="none"/>
        </w:rPr>
        <w:t>合同履行中</w:t>
      </w:r>
      <w:r>
        <w:rPr>
          <w:rFonts w:ascii="宋体" w:hAnsi="宋体" w:eastAsia="宋体" w:cs="宋体"/>
          <w:i w:val="0"/>
          <w:iCs w:val="0"/>
          <w:color w:val="auto"/>
          <w:kern w:val="0"/>
          <w:szCs w:val="21"/>
          <w:highlight w:val="none"/>
        </w:rPr>
        <w:t>，</w:t>
      </w:r>
      <w:r>
        <w:rPr>
          <w:rFonts w:hint="eastAsia" w:ascii="宋体" w:hAnsi="宋体" w:eastAsia="宋体" w:cs="宋体"/>
          <w:i w:val="0"/>
          <w:iCs w:val="0"/>
          <w:color w:val="auto"/>
          <w:kern w:val="0"/>
          <w:szCs w:val="21"/>
          <w:highlight w:val="none"/>
        </w:rPr>
        <w:t>招标</w:t>
      </w:r>
      <w:r>
        <w:rPr>
          <w:rFonts w:ascii="宋体" w:hAnsi="宋体" w:eastAsia="宋体" w:cs="宋体"/>
          <w:i w:val="0"/>
          <w:iCs w:val="0"/>
          <w:color w:val="auto"/>
          <w:kern w:val="0"/>
          <w:szCs w:val="21"/>
          <w:highlight w:val="none"/>
        </w:rPr>
        <w:t>人</w:t>
      </w:r>
      <w:r>
        <w:rPr>
          <w:rFonts w:hint="eastAsia" w:ascii="宋体" w:hAnsi="宋体" w:eastAsia="宋体" w:cs="宋体"/>
          <w:i w:val="0"/>
          <w:iCs w:val="0"/>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331"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32" w:name="_Toc14372"/>
      <w:bookmarkStart w:id="333" w:name="_Toc486167703"/>
      <w:bookmarkStart w:id="334" w:name="_Toc11444"/>
      <w:bookmarkStart w:id="335" w:name="_Toc28921_WPSOffice_Level3"/>
      <w:bookmarkStart w:id="336" w:name="_Toc3026"/>
      <w:bookmarkStart w:id="337" w:name="_Toc142508354"/>
      <w:r>
        <w:rPr>
          <w:rFonts w:hint="eastAsia" w:ascii="宋体" w:hAnsi="宋体" w:eastAsia="宋体" w:cs="宋体"/>
          <w:i w:val="0"/>
          <w:iCs w:val="0"/>
          <w:color w:val="auto"/>
          <w:szCs w:val="21"/>
          <w:highlight w:val="none"/>
        </w:rPr>
        <w:t>37</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中标服务费</w:t>
      </w:r>
      <w:bookmarkEnd w:id="331"/>
      <w:bookmarkEnd w:id="332"/>
      <w:bookmarkEnd w:id="333"/>
      <w:bookmarkEnd w:id="334"/>
      <w:bookmarkEnd w:id="335"/>
      <w:bookmarkEnd w:id="336"/>
      <w:bookmarkEnd w:id="337"/>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 中标人应按3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.2款规定在领取《中标通知书》原件之前向招标代理机构一次性交纳中标服务费（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参照国家计委《关于印发〈招标代理服务收费管理暂行办法〉的通知》（计价格〔2002〕1980号）及《国家发展改革委关于降低部分建设项目收费标准规范收费行为等有关问题的通知》（发改价格〔2011〕534号）等标准的80%计算。以本项目的合同暂定价（不含销项税额）为计费额，本项目业务性质：按</w:t>
      </w:r>
      <w:r>
        <w:rPr>
          <w:rFonts w:hint="eastAsia" w:ascii="宋体" w:hAnsi="宋体" w:eastAsia="宋体" w:cs="宋体"/>
          <w:color w:val="auto"/>
          <w:szCs w:val="21"/>
          <w:highlight w:val="none"/>
          <w:lang w:val="en-US" w:eastAsia="zh-CN"/>
        </w:rPr>
        <w:t>货物类</w:t>
      </w:r>
      <w:r>
        <w:rPr>
          <w:rFonts w:hint="eastAsia" w:ascii="宋体" w:hAnsi="宋体" w:eastAsia="宋体" w:cs="宋体"/>
          <w:color w:val="auto"/>
          <w:szCs w:val="21"/>
          <w:highlight w:val="none"/>
          <w:lang w:val="zh-CN"/>
        </w:rPr>
        <w:t>招标代理服务收费）。</w:t>
      </w:r>
    </w:p>
    <w:p>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val="en-US" w:eastAsia="zh-CN"/>
        </w:rPr>
        <w:t>三方诚信招标有限公司</w:t>
      </w:r>
      <w:r>
        <w:rPr>
          <w:rFonts w:hint="eastAsia" w:ascii="宋体" w:hAnsi="宋体" w:eastAsia="宋体" w:cs="宋体"/>
          <w:color w:val="auto"/>
          <w:szCs w:val="21"/>
          <w:highlight w:val="none"/>
        </w:rPr>
        <w:t>东莞分公司</w:t>
      </w:r>
    </w:p>
    <w:p>
      <w:pPr>
        <w:autoSpaceDE w:val="0"/>
        <w:autoSpaceDN w:val="0"/>
        <w:adjustRightInd w:val="0"/>
        <w:spacing w:line="360" w:lineRule="auto"/>
        <w:ind w:left="357" w:leftChars="-100" w:hanging="567" w:hangingChars="270"/>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lang w:val="en-US" w:eastAsia="zh-CN"/>
        </w:rPr>
        <w:t>20100021309900018461</w:t>
      </w:r>
    </w:p>
    <w:p>
      <w:pPr>
        <w:autoSpaceDE w:val="0"/>
        <w:autoSpaceDN w:val="0"/>
        <w:adjustRightInd w:val="0"/>
        <w:spacing w:line="360" w:lineRule="auto"/>
        <w:ind w:left="357" w:leftChars="-100" w:hanging="567" w:hangingChars="27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lang w:val="en-US" w:eastAsia="zh-CN"/>
        </w:rPr>
        <w:t>中国工商银行东莞市分行</w:t>
      </w:r>
    </w:p>
    <w:p>
      <w:pPr>
        <w:autoSpaceDE w:val="0"/>
        <w:autoSpaceDN w:val="0"/>
        <w:adjustRightInd w:val="0"/>
        <w:spacing w:line="360" w:lineRule="auto"/>
        <w:ind w:left="357" w:leftChars="-100" w:hanging="567" w:hangingChars="270"/>
        <w:jc w:val="left"/>
        <w:rPr>
          <w:rFonts w:hint="eastAsia" w:ascii="宋体" w:hAnsi="宋体" w:eastAsia="宋体" w:cs="宋体"/>
          <w:i w:val="0"/>
          <w:iCs w:val="0"/>
          <w:color w:val="auto"/>
          <w:kern w:val="0"/>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.4 </w:t>
      </w:r>
      <w:r>
        <w:rPr>
          <w:rFonts w:ascii="宋体" w:hAnsi="宋体" w:eastAsia="宋体" w:cs="宋体"/>
          <w:color w:val="auto"/>
          <w:szCs w:val="21"/>
          <w:highlight w:val="none"/>
        </w:rPr>
        <w:t>中标人如未按第3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.2款规定办理，将不予退还其投标保证金</w:t>
      </w:r>
      <w:r>
        <w:rPr>
          <w:rFonts w:hint="eastAsia" w:ascii="宋体" w:hAnsi="宋体" w:eastAsia="宋体" w:cs="宋体"/>
          <w:color w:val="auto"/>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338"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39" w:name="_Toc26292"/>
      <w:bookmarkStart w:id="340" w:name="_Toc16761"/>
      <w:bookmarkStart w:id="341" w:name="_Toc142508355"/>
      <w:bookmarkStart w:id="342" w:name="_Toc6764_WPSOffice_Level3"/>
      <w:bookmarkStart w:id="343" w:name="_Toc486167704"/>
      <w:bookmarkStart w:id="344" w:name="_Toc11664"/>
      <w:r>
        <w:rPr>
          <w:rFonts w:hint="eastAsia" w:ascii="宋体" w:hAnsi="宋体" w:eastAsia="宋体" w:cs="宋体"/>
          <w:i w:val="0"/>
          <w:iCs w:val="0"/>
          <w:color w:val="auto"/>
          <w:szCs w:val="21"/>
          <w:highlight w:val="none"/>
        </w:rPr>
        <w:t>38</w:t>
      </w:r>
      <w:r>
        <w:rPr>
          <w:rFonts w:hint="eastAsia" w:ascii="宋体" w:hAnsi="宋体" w:eastAsia="宋体" w:cs="宋体"/>
          <w:i w:val="0"/>
          <w:iCs w:val="0"/>
          <w:color w:val="auto"/>
          <w:szCs w:val="21"/>
          <w:highlight w:val="none"/>
          <w:lang w:val="zh-CN"/>
        </w:rPr>
        <w:t xml:space="preserve"> 发票</w:t>
      </w:r>
      <w:bookmarkEnd w:id="338"/>
      <w:bookmarkEnd w:id="339"/>
      <w:bookmarkEnd w:id="340"/>
      <w:bookmarkEnd w:id="341"/>
      <w:bookmarkEnd w:id="342"/>
      <w:bookmarkEnd w:id="343"/>
      <w:bookmarkEnd w:id="344"/>
    </w:p>
    <w:p>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lang w:val="zh-CN"/>
        </w:rPr>
      </w:pPr>
      <w:r>
        <w:rPr>
          <w:rFonts w:hint="eastAsia" w:ascii="宋体" w:hAnsi="宋体" w:eastAsia="宋体" w:cs="宋体"/>
          <w:i w:val="0"/>
          <w:iCs w:val="0"/>
          <w:color w:val="auto"/>
          <w:szCs w:val="21"/>
          <w:highlight w:val="none"/>
        </w:rPr>
        <w:t>38</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en-US" w:eastAsia="zh-CN"/>
        </w:rPr>
        <w:t xml:space="preserve"> </w:t>
      </w:r>
      <w:r>
        <w:rPr>
          <w:rFonts w:hint="eastAsia" w:ascii="宋体" w:hAnsi="宋体" w:eastAsia="宋体" w:cs="Times New Roman"/>
          <w:i w:val="0"/>
          <w:iCs w:val="0"/>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该项目获得中标的中标人在执行合同过程中，向招标人出具的发票必须是由中标人开具，不得以其他单位或个人名义出具，本项目中标人向招标人出具的发票类型为增值税普通发票。</w:t>
      </w:r>
      <w:bookmarkStart w:id="345" w:name="_Toc31106_WPSOffice_Level3"/>
      <w:bookmarkStart w:id="346" w:name="_Toc486167705"/>
    </w:p>
    <w:p>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i w:val="0"/>
          <w:iCs w:val="0"/>
          <w:color w:val="auto"/>
          <w:szCs w:val="21"/>
          <w:highlight w:val="none"/>
        </w:rPr>
      </w:pPr>
      <w:bookmarkStart w:id="347" w:name="_Toc142508356"/>
      <w:bookmarkStart w:id="348" w:name="_Toc16304"/>
      <w:bookmarkStart w:id="349" w:name="_Toc17751"/>
      <w:bookmarkStart w:id="350" w:name="_Toc4658"/>
      <w:r>
        <w:rPr>
          <w:rFonts w:ascii="宋体" w:hAnsi="宋体" w:eastAsia="宋体" w:cs="宋体"/>
          <w:b/>
          <w:i w:val="0"/>
          <w:iCs w:val="0"/>
          <w:color w:val="auto"/>
          <w:szCs w:val="21"/>
          <w:highlight w:val="none"/>
        </w:rPr>
        <w:t>39 招标相关补充约定</w:t>
      </w:r>
      <w:bookmarkEnd w:id="347"/>
      <w:bookmarkEnd w:id="348"/>
      <w:bookmarkEnd w:id="349"/>
      <w:bookmarkEnd w:id="350"/>
    </w:p>
    <w:p>
      <w:pPr>
        <w:autoSpaceDE w:val="0"/>
        <w:autoSpaceDN w:val="0"/>
        <w:adjustRightInd w:val="0"/>
        <w:snapToGrid w:val="0"/>
        <w:spacing w:line="360" w:lineRule="auto"/>
        <w:ind w:left="317" w:leftChars="-100" w:hanging="527" w:hangingChars="250"/>
        <w:jc w:val="left"/>
        <w:rPr>
          <w:rFonts w:ascii="宋体" w:hAnsi="宋体" w:eastAsia="宋体" w:cs="Times New Roman"/>
          <w:b/>
          <w:i w:val="0"/>
          <w:iCs w:val="0"/>
          <w:color w:val="auto"/>
          <w:szCs w:val="21"/>
          <w:highlight w:val="none"/>
        </w:rPr>
      </w:pPr>
      <w:r>
        <w:rPr>
          <w:rFonts w:ascii="宋体" w:hAnsi="宋体" w:eastAsia="宋体" w:cs="Times New Roman"/>
          <w:b/>
          <w:i w:val="0"/>
          <w:iCs w:val="0"/>
          <w:color w:val="auto"/>
          <w:szCs w:val="21"/>
          <w:highlight w:val="none"/>
        </w:rPr>
        <w:t>39.1</w:t>
      </w:r>
      <w:r>
        <w:rPr>
          <w:rFonts w:ascii="宋体" w:hAnsi="宋体" w:eastAsia="宋体" w:cs="Times New Roman"/>
          <w:b/>
          <w:i w:val="0"/>
          <w:iCs w:val="0"/>
          <w:color w:val="auto"/>
          <w:szCs w:val="21"/>
          <w:highlight w:val="none"/>
        </w:rPr>
        <w:tab/>
      </w:r>
      <w:r>
        <w:rPr>
          <w:rFonts w:ascii="宋体" w:hAnsi="宋体" w:eastAsia="宋体" w:cs="Times New Roman"/>
          <w:b/>
          <w:i w:val="0"/>
          <w:iCs w:val="0"/>
          <w:color w:val="auto"/>
          <w:szCs w:val="21"/>
          <w:highlight w:val="none"/>
        </w:rPr>
        <w:t>本项目投标人须知第2条所述行政处罚信息，以开标</w:t>
      </w:r>
      <w:r>
        <w:rPr>
          <w:rFonts w:hint="eastAsia" w:ascii="宋体" w:hAnsi="宋体" w:eastAsia="宋体" w:cs="Times New Roman"/>
          <w:b/>
          <w:i w:val="0"/>
          <w:iCs w:val="0"/>
          <w:color w:val="auto"/>
          <w:szCs w:val="21"/>
          <w:highlight w:val="none"/>
          <w:lang w:val="en-US" w:eastAsia="zh-CN"/>
        </w:rPr>
        <w:t>当天</w:t>
      </w:r>
      <w:r>
        <w:rPr>
          <w:rFonts w:ascii="宋体" w:hAnsi="宋体" w:eastAsia="宋体" w:cs="Times New Roman"/>
          <w:b/>
          <w:i w:val="0"/>
          <w:iCs w:val="0"/>
          <w:color w:val="auto"/>
          <w:szCs w:val="21"/>
          <w:highlight w:val="none"/>
        </w:rPr>
        <w:t>在“信用中国”网站（www.creditchina.gov.cn）查询结果为准</w:t>
      </w:r>
      <w:r>
        <w:rPr>
          <w:rFonts w:hint="eastAsia" w:ascii="宋体" w:hAnsi="宋体" w:eastAsia="宋体" w:cs="Times New Roman"/>
          <w:b/>
          <w:i w:val="0"/>
          <w:iCs w:val="0"/>
          <w:color w:val="auto"/>
          <w:szCs w:val="21"/>
          <w:highlight w:val="none"/>
        </w:rPr>
        <w:t>，或以司法、仲裁机构等出具的生效文件予以认定,时间以认定文件的落款时间为准</w:t>
      </w:r>
      <w:r>
        <w:rPr>
          <w:rFonts w:ascii="宋体" w:hAnsi="宋体" w:eastAsia="宋体" w:cs="Times New Roman"/>
          <w:b/>
          <w:i w:val="0"/>
          <w:iCs w:val="0"/>
          <w:color w:val="auto"/>
          <w:szCs w:val="21"/>
          <w:highlight w:val="none"/>
        </w:rPr>
        <w:t>。开标结束后，有关投标单位的行政处罚信息，以</w:t>
      </w:r>
      <w:r>
        <w:rPr>
          <w:rFonts w:hint="eastAsia" w:ascii="宋体" w:hAnsi="宋体" w:eastAsia="宋体" w:cs="Times New Roman"/>
          <w:b/>
          <w:i w:val="0"/>
          <w:iCs w:val="0"/>
          <w:color w:val="auto"/>
          <w:szCs w:val="21"/>
          <w:highlight w:val="none"/>
          <w:lang w:val="en-US" w:eastAsia="zh-CN"/>
        </w:rPr>
        <w:t>开标当天查询</w:t>
      </w:r>
      <w:r>
        <w:rPr>
          <w:rFonts w:ascii="宋体" w:hAnsi="宋体" w:eastAsia="宋体" w:cs="Times New Roman"/>
          <w:b/>
          <w:i w:val="0"/>
          <w:iCs w:val="0"/>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bCs/>
          <w:i w:val="0"/>
          <w:iCs w:val="0"/>
          <w:color w:val="auto"/>
          <w:kern w:val="44"/>
          <w:sz w:val="32"/>
          <w:szCs w:val="32"/>
          <w:highlight w:val="none"/>
          <w:lang w:val="zh-CN"/>
        </w:rPr>
      </w:pPr>
      <w:bookmarkStart w:id="351" w:name="_Toc26725"/>
      <w:bookmarkStart w:id="352" w:name="_Toc142508357"/>
      <w:bookmarkStart w:id="353" w:name="_Toc25568"/>
      <w:bookmarkStart w:id="354" w:name="_Toc10481"/>
      <w:r>
        <w:rPr>
          <w:rFonts w:ascii="宋体" w:hAnsi="宋体" w:eastAsia="宋体" w:cs="宋体"/>
          <w:i w:val="0"/>
          <w:iCs w:val="0"/>
          <w:color w:val="auto"/>
          <w:szCs w:val="21"/>
          <w:highlight w:val="none"/>
        </w:rPr>
        <w:t>40</w:t>
      </w:r>
      <w:r>
        <w:rPr>
          <w:rFonts w:hint="eastAsia" w:ascii="宋体" w:hAnsi="宋体" w:eastAsia="宋体" w:cs="宋体"/>
          <w:i w:val="0"/>
          <w:iCs w:val="0"/>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pPr>
        <w:pageBreakBefore/>
        <w:numPr>
          <w:ilvl w:val="-1"/>
          <w:numId w:val="0"/>
        </w:numPr>
        <w:tabs>
          <w:tab w:val="left" w:pos="1080"/>
        </w:tabs>
        <w:autoSpaceDE w:val="0"/>
        <w:autoSpaceDN w:val="0"/>
        <w:adjustRightInd w:val="0"/>
        <w:spacing w:line="360" w:lineRule="auto"/>
        <w:ind w:left="357" w:leftChars="-100" w:hanging="567"/>
        <w:jc w:val="center"/>
        <w:outlineLvl w:val="0"/>
        <w:rPr>
          <w:rFonts w:ascii="宋体" w:hAnsi="宋体" w:eastAsia="宋体" w:cs="宋体"/>
          <w:b/>
          <w:bCs/>
          <w:i w:val="0"/>
          <w:iCs w:val="0"/>
          <w:color w:val="auto"/>
          <w:kern w:val="44"/>
          <w:sz w:val="32"/>
          <w:szCs w:val="32"/>
          <w:highlight w:val="none"/>
          <w:lang w:val="zh-CN"/>
        </w:rPr>
      </w:pPr>
      <w:bookmarkStart w:id="355" w:name="_Toc28218"/>
      <w:bookmarkStart w:id="356" w:name="_Toc450662891"/>
      <w:bookmarkStart w:id="357" w:name="_Toc142508358"/>
      <w:bookmarkStart w:id="358" w:name="_Toc22400"/>
      <w:bookmarkStart w:id="359" w:name="_Toc27939_WPSOffice_Level1"/>
      <w:bookmarkStart w:id="360" w:name="_Toc486167706"/>
      <w:bookmarkStart w:id="361" w:name="_Toc4217"/>
      <w:r>
        <w:rPr>
          <w:rFonts w:hint="eastAsia" w:ascii="宋体" w:hAnsi="宋体" w:eastAsia="宋体" w:cs="宋体"/>
          <w:b/>
          <w:bCs/>
          <w:i w:val="0"/>
          <w:iCs w:val="0"/>
          <w:color w:val="auto"/>
          <w:kern w:val="44"/>
          <w:sz w:val="32"/>
          <w:szCs w:val="32"/>
          <w:highlight w:val="none"/>
          <w:lang w:val="en-US" w:eastAsia="zh-CN"/>
        </w:rPr>
        <w:t>第三篇</w:t>
      </w:r>
      <w:r>
        <w:rPr>
          <w:rFonts w:hint="eastAsia" w:ascii="宋体" w:hAnsi="宋体" w:eastAsia="宋体" w:cs="宋体"/>
          <w:b/>
          <w:bCs/>
          <w:i w:val="0"/>
          <w:iCs w:val="0"/>
          <w:color w:val="auto"/>
          <w:kern w:val="44"/>
          <w:sz w:val="32"/>
          <w:szCs w:val="32"/>
          <w:highlight w:val="none"/>
          <w:lang w:val="zh-CN" w:eastAsia="zh-CN"/>
        </w:rPr>
        <w:t xml:space="preserve"> </w:t>
      </w:r>
      <w:r>
        <w:rPr>
          <w:rFonts w:hint="eastAsia" w:ascii="宋体" w:hAnsi="宋体" w:eastAsia="宋体" w:cs="宋体"/>
          <w:b/>
          <w:bCs/>
          <w:i w:val="0"/>
          <w:iCs w:val="0"/>
          <w:color w:val="auto"/>
          <w:kern w:val="44"/>
          <w:sz w:val="32"/>
          <w:szCs w:val="32"/>
          <w:highlight w:val="none"/>
          <w:lang w:val="zh-CN"/>
        </w:rPr>
        <w:t>用户需求书</w:t>
      </w:r>
      <w:bookmarkEnd w:id="355"/>
      <w:bookmarkEnd w:id="356"/>
      <w:bookmarkEnd w:id="357"/>
      <w:bookmarkEnd w:id="358"/>
      <w:bookmarkEnd w:id="359"/>
      <w:bookmarkEnd w:id="360"/>
      <w:bookmarkEnd w:id="361"/>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项目概况</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根据《中华人民共和国计量法》《饮用冷水水表检定规程》《东莞市城市供水管理办法》等法律法规要求，为</w:t>
      </w:r>
      <w:r>
        <w:rPr>
          <w:rFonts w:hint="eastAsia" w:ascii="宋体" w:hAnsi="宋体" w:eastAsia="宋体" w:cs="宋体"/>
          <w:color w:val="auto"/>
          <w:kern w:val="2"/>
          <w:sz w:val="21"/>
          <w:szCs w:val="21"/>
          <w:highlight w:val="none"/>
          <w:lang w:val="en-US" w:eastAsia="zh-CN"/>
        </w:rPr>
        <w:t>保障供水计量合法依规，提升智能水表覆盖率，推进水表轮换及供水计量智能化</w:t>
      </w:r>
      <w:r>
        <w:rPr>
          <w:rFonts w:hint="eastAsia" w:ascii="宋体" w:hAnsi="宋体" w:eastAsia="宋体" w:cs="宋体"/>
          <w:color w:val="auto"/>
          <w:kern w:val="2"/>
          <w:sz w:val="21"/>
          <w:szCs w:val="21"/>
          <w:highlight w:val="none"/>
          <w:lang w:val="zh-CN"/>
        </w:rPr>
        <w:t>，东莞市水务集团供水有限公司现开展</w:t>
      </w:r>
      <w:r>
        <w:rPr>
          <w:rFonts w:hint="eastAsia" w:ascii="宋体" w:hAnsi="宋体" w:eastAsia="宋体" w:cs="宋体"/>
          <w:color w:val="auto"/>
          <w:kern w:val="2"/>
          <w:sz w:val="21"/>
          <w:szCs w:val="21"/>
          <w:highlight w:val="none"/>
          <w:lang w:val="en-US" w:eastAsia="zh-CN"/>
        </w:rPr>
        <w:t>东莞市供水计量设施更新项目-2025年计量仪表采购（超声波水表）</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en-US" w:eastAsia="zh-CN"/>
        </w:rPr>
        <w:t>80</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DN3</w:t>
      </w:r>
      <w:r>
        <w:rPr>
          <w:rFonts w:hint="eastAsia" w:ascii="宋体" w:hAnsi="宋体" w:eastAsia="宋体" w:cs="宋体"/>
          <w:color w:val="auto"/>
          <w:kern w:val="2"/>
          <w:sz w:val="21"/>
          <w:szCs w:val="21"/>
          <w:highlight w:val="none"/>
          <w:lang w:val="zh-CN"/>
        </w:rPr>
        <w:t>00</w:t>
      </w:r>
      <w:r>
        <w:rPr>
          <w:rFonts w:hint="eastAsia" w:ascii="宋体" w:hAnsi="宋体" w:eastAsia="宋体" w:cs="宋体"/>
          <w:color w:val="auto"/>
          <w:kern w:val="2"/>
          <w:sz w:val="21"/>
          <w:szCs w:val="21"/>
          <w:highlight w:val="none"/>
          <w:lang w:val="en-US" w:eastAsia="zh-CN"/>
        </w:rPr>
        <w:t>超声波水表</w:t>
      </w:r>
      <w:r>
        <w:rPr>
          <w:rFonts w:hint="eastAsia" w:ascii="宋体" w:hAnsi="宋体" w:eastAsia="宋体" w:cs="宋体"/>
          <w:color w:val="auto"/>
          <w:kern w:val="2"/>
          <w:sz w:val="21"/>
          <w:szCs w:val="21"/>
          <w:highlight w:val="none"/>
          <w:lang w:val="zh-CN"/>
        </w:rPr>
        <w:t>一批，暂定数量为</w:t>
      </w:r>
      <w:r>
        <w:rPr>
          <w:rFonts w:hint="eastAsia" w:ascii="宋体" w:hAnsi="宋体" w:eastAsia="宋体" w:cs="宋体"/>
          <w:color w:val="auto"/>
          <w:sz w:val="21"/>
          <w:szCs w:val="21"/>
          <w:highlight w:val="none"/>
          <w:lang w:val="en-US" w:eastAsia="zh-CN"/>
        </w:rPr>
        <w:t>2598</w:t>
      </w:r>
      <w:r>
        <w:rPr>
          <w:rFonts w:hint="eastAsia" w:ascii="宋体" w:hAnsi="宋体" w:eastAsia="宋体" w:cs="宋体"/>
          <w:color w:val="auto"/>
          <w:sz w:val="21"/>
          <w:szCs w:val="21"/>
          <w:highlight w:val="none"/>
        </w:rPr>
        <w:t>台</w:t>
      </w:r>
      <w:r>
        <w:rPr>
          <w:rFonts w:hint="eastAsia" w:ascii="宋体" w:hAnsi="宋体" w:eastAsia="宋体" w:cs="宋体"/>
          <w:color w:val="auto"/>
          <w:kern w:val="2"/>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本用户需求书采购清单中的货物数量为暂定数量，仅为便于投标人投标报价使用，不作为招标人最终采购数量的保证。</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的最终采购数量以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实际采购且经</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验收合格的货物数量为准，</w:t>
      </w:r>
      <w:r>
        <w:rPr>
          <w:rFonts w:hint="eastAsia" w:ascii="宋体" w:hAnsi="宋体" w:eastAsia="宋体" w:cs="宋体"/>
          <w:color w:val="auto"/>
          <w:kern w:val="2"/>
          <w:sz w:val="21"/>
          <w:szCs w:val="21"/>
          <w:highlight w:val="none"/>
          <w:lang w:val="en-US"/>
        </w:rPr>
        <w:t>按实结算。供货期为</w:t>
      </w:r>
      <w:r>
        <w:rPr>
          <w:rFonts w:hint="eastAsia" w:ascii="宋体" w:hAnsi="宋体" w:eastAsia="宋体" w:cs="宋体"/>
          <w:color w:val="auto"/>
          <w:kern w:val="2"/>
          <w:sz w:val="21"/>
          <w:szCs w:val="21"/>
          <w:highlight w:val="none"/>
          <w:lang w:val="en-US" w:eastAsia="zh-CN"/>
        </w:rPr>
        <w:t>自</w:t>
      </w:r>
      <w:r>
        <w:rPr>
          <w:rFonts w:hint="eastAsia" w:ascii="宋体" w:hAnsi="宋体" w:eastAsia="宋体" w:cs="宋体"/>
          <w:color w:val="auto"/>
          <w:kern w:val="2"/>
          <w:sz w:val="21"/>
          <w:szCs w:val="21"/>
          <w:highlight w:val="none"/>
          <w:lang w:val="en-US"/>
        </w:rPr>
        <w:t>合同签订之日起</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rPr>
        <w:t>年。在供货期内，中标人不得因招标人实际采购数量的减少或增加而要求提供任何形式的补偿或赔偿，或要求招标人按暂定数量采购相应货物。</w:t>
      </w:r>
    </w:p>
    <w:p>
      <w:pPr>
        <w:pStyle w:val="29"/>
        <w:keepNext w:val="0"/>
        <w:keepLines w:val="0"/>
        <w:pageBreakBefore w:val="0"/>
        <w:tabs>
          <w:tab w:val="left" w:pos="567"/>
        </w:tabs>
        <w:kinsoku/>
        <w:wordWrap/>
        <w:topLinePunct w:val="0"/>
        <w:bidi w:val="0"/>
        <w:adjustRightInd w:val="0"/>
        <w:snapToGrid w:val="0"/>
        <w:spacing w:before="0" w:beforeAutospacing="0" w:after="0" w:line="360" w:lineRule="auto"/>
        <w:ind w:left="0" w:leftChars="0" w:right="0"/>
        <w:jc w:val="both"/>
        <w:outlineLvl w:val="9"/>
        <w:rPr>
          <w:rFonts w:hint="eastAsia" w:ascii="宋体" w:hAnsi="宋体" w:eastAsia="宋体" w:cs="宋体"/>
          <w:bCs w:val="0"/>
          <w:color w:val="auto"/>
          <w:sz w:val="21"/>
          <w:szCs w:val="21"/>
          <w:highlight w:val="none"/>
          <w:lang w:val="en-US" w:eastAsia="zh-CN"/>
        </w:rPr>
      </w:pPr>
      <w:bookmarkStart w:id="362" w:name="_Toc21124"/>
      <w:bookmarkStart w:id="363" w:name="_Toc14902"/>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一</w:t>
      </w:r>
      <w:r>
        <w:rPr>
          <w:rFonts w:hint="eastAsia" w:ascii="宋体" w:hAnsi="宋体" w:eastAsia="宋体" w:cs="宋体"/>
          <w:b/>
          <w:bCs/>
          <w:color w:val="auto"/>
          <w:kern w:val="2"/>
          <w:sz w:val="21"/>
          <w:szCs w:val="21"/>
          <w:highlight w:val="none"/>
          <w:lang w:val="zh-CN"/>
        </w:rPr>
        <w:t>、总体要求</w:t>
      </w:r>
      <w:bookmarkEnd w:id="362"/>
      <w:bookmarkEnd w:id="363"/>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本次采购项目的水表为全新产品，在中国境内可依常规安全合法使用，符合中华人民共和国国家安全质量标准、环保标准或行业标准，适用于自来水行业的居民饮用水计量使用。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须遵循的法律、法规、标准和规范（包含但不局限于以下内容，另本要求中提及的规范标准等如非最新版本，应以最新版本为准）：</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GB/T778-2018《饮用冷水水表和热水水表》标准</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JJG162-2019中华人民共和国国家计量检定规程《冷水水表》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17219《生活饮用水输配水设备及防护材料的安全性评价标准》</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CJ266-2008《饮用水冷水水表安全规则》</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CJ/T188-2018《户用计量仪表数据传输技术条件》 </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25480-2010《仪器仪表运输、贮存基本环境条件及试验方法》</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CJ/T224-2012《电子远传水表》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CJ/T535《物联网水表》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GB/T4208-2017《外壳防护等级（IP代码）》</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434-2013《超声波水表》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供货清单</w:t>
      </w:r>
    </w:p>
    <w:tbl>
      <w:tblPr>
        <w:tblStyle w:val="3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1500"/>
        <w:gridCol w:w="1500"/>
        <w:gridCol w:w="1500"/>
        <w:gridCol w:w="1501"/>
        <w:gridCol w:w="2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3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3" w:type="pct"/>
            <w:vMerge w:val="restart"/>
            <w:tcBorders>
              <w:top w:val="single" w:color="000000" w:sz="4" w:space="0"/>
              <w:left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缩径超声波水表  </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588</w:t>
            </w:r>
          </w:p>
        </w:tc>
        <w:tc>
          <w:tcPr>
            <w:tcW w:w="1381" w:type="pct"/>
            <w:vMerge w:val="restart"/>
            <w:tcBorders>
              <w:top w:val="single" w:color="000000" w:sz="4" w:space="0"/>
              <w:left w:val="single" w:color="000000" w:sz="4" w:space="0"/>
              <w:right w:val="single" w:color="000000" w:sz="4" w:space="0"/>
              <w:tl2br w:val="nil"/>
              <w:tr2bl w:val="nil"/>
            </w:tcBorders>
            <w:noWrap/>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240" w:lineRule="auto"/>
              <w:ind w:right="0"/>
              <w:jc w:val="left"/>
              <w:textAlignment w:val="center"/>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Cs w:val="0"/>
                <w:color w:val="auto"/>
                <w:kern w:val="0"/>
                <w:sz w:val="21"/>
                <w:szCs w:val="21"/>
                <w:highlight w:val="none"/>
                <w:lang w:val="en-US" w:eastAsia="zh-CN" w:bidi="ar"/>
              </w:rPr>
              <w:t>1.配件要求：每台超声波水表需包含1套远传模块和2个垫圈，不含法兰。</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240" w:lineRule="auto"/>
              <w:ind w:right="0"/>
              <w:jc w:val="left"/>
              <w:textAlignment w:val="center"/>
              <w:rPr>
                <w:rFonts w:hint="eastAsia" w:ascii="宋体" w:hAnsi="宋体" w:eastAsia="宋体" w:cs="宋体"/>
                <w:bCs w:val="0"/>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left"/>
              <w:textAlignment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u w:val="none"/>
                <w:lang w:val="en-US" w:eastAsia="zh-CN" w:bidi="ar"/>
              </w:rPr>
              <w:t>2.由中标人负责执行首次检定工作，含运输费、装卸费和水表检定费。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779</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314</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23" w:type="pct"/>
            <w:vMerge w:val="continue"/>
            <w:tcBorders>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3" w:type="pct"/>
            <w:vMerge w:val="restart"/>
            <w:tcBorders>
              <w:top w:val="single" w:color="000000" w:sz="4" w:space="0"/>
              <w:left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通径超声波水表</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111</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23" w:type="pct"/>
            <w:vMerge w:val="continue"/>
            <w:tcBorders>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381" w:type="pct"/>
            <w:vMerge w:val="continue"/>
            <w:tcBorders>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447" w:type="pct"/>
            <w:gridSpan w:val="2"/>
            <w:tcBorders>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汇总</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2598</w:t>
            </w:r>
          </w:p>
        </w:tc>
        <w:tc>
          <w:tcPr>
            <w:tcW w:w="1381" w:type="pct"/>
            <w:tcBorders>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bCs w:val="0"/>
          <w:color w:val="auto"/>
          <w:sz w:val="21"/>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b/>
          <w:bCs/>
          <w:color w:val="auto"/>
          <w:kern w:val="2"/>
          <w:sz w:val="21"/>
          <w:szCs w:val="21"/>
          <w:highlight w:val="none"/>
          <w:lang w:val="en-US" w:eastAsia="zh-CN"/>
        </w:rPr>
      </w:pPr>
      <w:bookmarkStart w:id="364" w:name="_Toc13989"/>
      <w:bookmarkStart w:id="365" w:name="_Toc8620"/>
      <w:r>
        <w:rPr>
          <w:rFonts w:hint="eastAsia" w:ascii="宋体" w:hAnsi="宋体" w:eastAsia="宋体" w:cs="宋体"/>
          <w:b/>
          <w:bCs/>
          <w:color w:val="auto"/>
          <w:kern w:val="2"/>
          <w:sz w:val="21"/>
          <w:szCs w:val="21"/>
          <w:highlight w:val="none"/>
          <w:lang w:val="en-US" w:eastAsia="zh-CN"/>
        </w:rPr>
        <w:t>二</w:t>
      </w:r>
      <w:r>
        <w:rPr>
          <w:rFonts w:hint="eastAsia" w:ascii="宋体" w:hAnsi="宋体" w:eastAsia="宋体" w:cs="宋体"/>
          <w:b/>
          <w:bCs/>
          <w:color w:val="auto"/>
          <w:kern w:val="2"/>
          <w:sz w:val="21"/>
          <w:szCs w:val="21"/>
          <w:highlight w:val="none"/>
          <w:lang w:val="zh-CN"/>
        </w:rPr>
        <w:t>、水表技术要求</w:t>
      </w:r>
      <w:bookmarkEnd w:id="364"/>
      <w:bookmarkEnd w:id="365"/>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基本要求</w:t>
      </w:r>
      <w:r>
        <w:rPr>
          <w:rFonts w:hint="eastAsia" w:ascii="宋体" w:hAnsi="宋体" w:eastAsia="宋体" w:cs="宋体"/>
          <w:color w:val="auto"/>
          <w:kern w:val="0"/>
          <w:sz w:val="21"/>
          <w:szCs w:val="21"/>
          <w:highlight w:val="none"/>
        </w:rPr>
        <w:t>：</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介质温度范围：0-30℃。</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工作环境温度范围：0-55℃。</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.1.3</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防护等级：IP68。</w:t>
      </w:r>
    </w:p>
    <w:p>
      <w:pPr>
        <w:pStyle w:val="210"/>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电磁环境等级：</w:t>
      </w:r>
      <w:r>
        <w:rPr>
          <w:rFonts w:hint="eastAsia" w:ascii="宋体" w:hAnsi="宋体" w:eastAsia="宋体" w:cs="宋体"/>
          <w:color w:val="auto"/>
          <w:kern w:val="0"/>
          <w:sz w:val="21"/>
          <w:szCs w:val="21"/>
          <w:highlight w:val="none"/>
          <w:lang w:val="en-US" w:eastAsia="zh-CN"/>
        </w:rPr>
        <w:t>E2级</w:t>
      </w:r>
      <w:r>
        <w:rPr>
          <w:rFonts w:hint="eastAsia" w:ascii="宋体" w:hAnsi="宋体" w:eastAsia="宋体" w:cs="宋体"/>
          <w:color w:val="auto"/>
          <w:kern w:val="0"/>
          <w:sz w:val="21"/>
          <w:szCs w:val="21"/>
          <w:highlight w:val="none"/>
        </w:rPr>
        <w:t>。</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 基表</w:t>
      </w:r>
      <w:r>
        <w:rPr>
          <w:rFonts w:hint="eastAsia" w:ascii="宋体" w:hAnsi="宋体" w:eastAsia="宋体" w:cs="宋体"/>
          <w:color w:val="auto"/>
          <w:kern w:val="0"/>
          <w:sz w:val="21"/>
          <w:szCs w:val="21"/>
          <w:highlight w:val="none"/>
        </w:rPr>
        <w:t>：</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1 </w:t>
      </w:r>
      <w:r>
        <w:rPr>
          <w:rFonts w:hint="eastAsia" w:ascii="宋体" w:hAnsi="宋体" w:eastAsia="宋体" w:cs="宋体"/>
          <w:color w:val="auto"/>
          <w:kern w:val="0"/>
          <w:sz w:val="21"/>
          <w:szCs w:val="21"/>
          <w:highlight w:val="none"/>
        </w:rPr>
        <w:t>压力等级：</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MAP10。</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2 </w:t>
      </w:r>
      <w:r>
        <w:rPr>
          <w:rFonts w:hint="eastAsia" w:ascii="宋体" w:hAnsi="宋体" w:eastAsia="宋体" w:cs="宋体"/>
          <w:b w:val="0"/>
          <w:bCs w:val="0"/>
          <w:color w:val="auto"/>
          <w:kern w:val="0"/>
          <w:sz w:val="21"/>
          <w:szCs w:val="21"/>
          <w:highlight w:val="none"/>
        </w:rPr>
        <w:t>水表准确度等级：2级。</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sz w:val="21"/>
          <w:szCs w:val="21"/>
          <w:highlight w:val="none"/>
        </w:rPr>
        <w:t>超声波原理计量，结构形式为管道式多声道超声波水表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声道数量不少于2个声道</w:t>
      </w:r>
      <w:r>
        <w:rPr>
          <w:rFonts w:hint="eastAsia" w:ascii="宋体" w:hAnsi="宋体" w:eastAsia="宋体" w:cs="宋体"/>
          <w:color w:val="auto"/>
          <w:sz w:val="21"/>
          <w:szCs w:val="21"/>
          <w:highlight w:val="none"/>
          <w:lang w:eastAsia="zh-CN"/>
        </w:rPr>
        <w:t>。</w:t>
      </w:r>
    </w:p>
    <w:p>
      <w:pPr>
        <w:pStyle w:val="210"/>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365"/>
        <w:gridCol w:w="1857"/>
        <w:gridCol w:w="2227"/>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w:t>
            </w:r>
          </w:p>
        </w:tc>
        <w:tc>
          <w:tcPr>
            <w:tcW w:w="1365"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公称口径</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DN(mm)</w:t>
            </w:r>
          </w:p>
        </w:tc>
        <w:tc>
          <w:tcPr>
            <w:tcW w:w="1857"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Q3（m³/h）</w:t>
            </w:r>
          </w:p>
        </w:tc>
        <w:tc>
          <w:tcPr>
            <w:tcW w:w="2227"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常用流量/最小流量</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Q3/Q1</w:t>
            </w:r>
          </w:p>
        </w:tc>
        <w:tc>
          <w:tcPr>
            <w:tcW w:w="2212"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分界流量/最小流量Q2/Q1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超声波水表（缩径）</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超声波水表（通径）</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85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222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bl>
    <w:p>
      <w:pPr>
        <w:pStyle w:val="210"/>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5 </w:t>
      </w:r>
      <w:r>
        <w:rPr>
          <w:rFonts w:hint="eastAsia" w:ascii="宋体" w:hAnsi="宋体" w:eastAsia="宋体" w:cs="宋体"/>
          <w:color w:val="auto"/>
          <w:kern w:val="0"/>
          <w:sz w:val="21"/>
          <w:szCs w:val="21"/>
          <w:highlight w:val="none"/>
        </w:rPr>
        <w:t>与饮用水接触的水表设备和防护材料不得污染水质，须符合《生活饮用水输配水设备及防护材料卫生安全评价标准》的卫生安全要求。</w:t>
      </w:r>
    </w:p>
    <w:p>
      <w:pPr>
        <w:pStyle w:val="210"/>
        <w:spacing w:line="360" w:lineRule="auto"/>
        <w:ind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2.2.6 水表应印有“东莞水务集团供水公司L0G0+客服热线96968”字样（具体样式中标后由招标人提供），其中印刷费计入投标报价。</w:t>
      </w:r>
    </w:p>
    <w:p>
      <w:pPr>
        <w:pStyle w:val="210"/>
        <w:spacing w:line="360" w:lineRule="auto"/>
        <w:ind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水表外壳、指示装置或铭牌、不可分离的表盖上，应集中或分散标明计量参数、流向箭头、公称口径、制造年月和编号等信息。</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7 </w:t>
      </w:r>
      <w:r>
        <w:rPr>
          <w:rFonts w:hint="eastAsia" w:ascii="宋体" w:hAnsi="宋体" w:eastAsia="宋体" w:cs="宋体"/>
          <w:color w:val="auto"/>
          <w:kern w:val="0"/>
          <w:sz w:val="21"/>
          <w:szCs w:val="21"/>
          <w:highlight w:val="none"/>
        </w:rPr>
        <w:t>尺寸要求：</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2489"/>
        <w:gridCol w:w="1321"/>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w:t>
            </w:r>
          </w:p>
        </w:tc>
        <w:tc>
          <w:tcPr>
            <w:tcW w:w="1200"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公称口径</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DN(mm)</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长度(mm)</w:t>
            </w:r>
          </w:p>
        </w:tc>
        <w:tc>
          <w:tcPr>
            <w:tcW w:w="1173"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法兰连接</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螺栓孔数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w:t>
            </w:r>
          </w:p>
        </w:tc>
        <w:tc>
          <w:tcPr>
            <w:tcW w:w="1200"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1173"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0"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173"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0"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1173"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0"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1173"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0"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1173"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0"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173"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r>
    </w:tbl>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环境等级：</w:t>
      </w:r>
      <w:r>
        <w:rPr>
          <w:rFonts w:hint="eastAsia" w:ascii="宋体" w:hAnsi="宋体" w:eastAsia="宋体" w:cs="宋体"/>
          <w:color w:val="auto"/>
          <w:kern w:val="0"/>
          <w:sz w:val="21"/>
          <w:szCs w:val="21"/>
          <w:highlight w:val="none"/>
          <w:lang w:val="en-US" w:eastAsia="zh-CN"/>
        </w:rPr>
        <w:t>C级或</w:t>
      </w:r>
      <w:r>
        <w:rPr>
          <w:rFonts w:hint="eastAsia" w:ascii="宋体" w:hAnsi="宋体" w:eastAsia="宋体" w:cs="宋体"/>
          <w:color w:val="auto"/>
          <w:kern w:val="0"/>
          <w:sz w:val="21"/>
          <w:szCs w:val="21"/>
          <w:highlight w:val="none"/>
        </w:rPr>
        <w:t>O级（安装在室外的固定水表）。</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9 </w:t>
      </w:r>
      <w:r>
        <w:rPr>
          <w:rFonts w:hint="eastAsia" w:ascii="宋体" w:hAnsi="宋体" w:eastAsia="宋体" w:cs="宋体"/>
          <w:color w:val="auto"/>
          <w:sz w:val="21"/>
          <w:szCs w:val="21"/>
          <w:highlight w:val="none"/>
        </w:rPr>
        <w:t>采用法兰连接，连接件必须符合建设部CJ266-2008承压件尺寸和重量要求。</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2.2.10 </w:t>
      </w:r>
      <w:r>
        <w:rPr>
          <w:rFonts w:hint="eastAsia" w:ascii="宋体" w:hAnsi="宋体" w:eastAsia="宋体" w:cs="宋体"/>
          <w:color w:val="auto"/>
          <w:kern w:val="0"/>
          <w:sz w:val="21"/>
          <w:szCs w:val="21"/>
          <w:highlight w:val="none"/>
        </w:rPr>
        <w:t>表体材质为不锈钢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lang w:val="en-US" w:eastAsia="zh-CN"/>
        </w:rPr>
        <w:t>不低于304不锈钢</w:t>
      </w:r>
      <w:r>
        <w:rPr>
          <w:rFonts w:hint="eastAsia" w:ascii="宋体" w:hAnsi="宋体" w:eastAsia="宋体" w:cs="宋体"/>
          <w:color w:val="auto"/>
          <w:kern w:val="0"/>
          <w:sz w:val="21"/>
          <w:szCs w:val="21"/>
          <w:highlight w:val="none"/>
          <w:lang w:eastAsia="zh-CN"/>
        </w:rPr>
        <w:t>）。</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2.2.11 </w:t>
      </w:r>
      <w:r>
        <w:rPr>
          <w:rFonts w:hint="eastAsia" w:ascii="宋体" w:hAnsi="宋体" w:eastAsia="宋体" w:cs="宋体"/>
          <w:color w:val="auto"/>
          <w:sz w:val="21"/>
          <w:szCs w:val="21"/>
          <w:highlight w:val="none"/>
        </w:rPr>
        <w:t>支持正反向测量，可显示正反向瞬时和累计流量，以及计量异常等报警代码。需具有报警功能（电池低压报警、更换电池报警、空管报警）。</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2.2.12 </w:t>
      </w:r>
      <w:r>
        <w:rPr>
          <w:rFonts w:hint="eastAsia" w:ascii="宋体" w:hAnsi="宋体" w:eastAsia="宋体" w:cs="宋体"/>
          <w:color w:val="auto"/>
          <w:kern w:val="0"/>
          <w:sz w:val="21"/>
          <w:szCs w:val="21"/>
          <w:highlight w:val="none"/>
        </w:rPr>
        <w:t>累计流量数显至少9位，主界面应可显示：正向累计流量、正向瞬时流量、反向累计流量、反向瞬时流量、电池电量低信号提示或电池使用时间（单位：小时）提示、报警显示等。其中主界面可同屏或翻屏显示正向累计流量、正向瞬时流量和异常提示信息（包括电池电压、更换电池报警、空管报警等），其余数据可在次级菜单显示。</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2.2.13 </w:t>
      </w:r>
      <w:r>
        <w:rPr>
          <w:rFonts w:hint="eastAsia" w:ascii="宋体" w:hAnsi="宋体" w:eastAsia="宋体" w:cs="宋体"/>
          <w:color w:val="auto"/>
          <w:sz w:val="21"/>
          <w:szCs w:val="21"/>
          <w:highlight w:val="none"/>
        </w:rPr>
        <w:t>内置锂电池，无须外部供电，锂电池</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寿命至少为</w:t>
      </w:r>
      <w:r>
        <w:rPr>
          <w:rFonts w:hint="eastAsia" w:ascii="宋体" w:hAnsi="宋体" w:eastAsia="宋体" w:cs="宋体"/>
          <w:color w:val="auto"/>
          <w:sz w:val="21"/>
          <w:szCs w:val="21"/>
          <w:highlight w:val="none"/>
          <w:lang w:val="en-US" w:eastAsia="zh-CN"/>
        </w:rPr>
        <w:t>6年，且</w:t>
      </w:r>
      <w:r>
        <w:rPr>
          <w:rFonts w:hint="eastAsia" w:ascii="宋体" w:hAnsi="宋体" w:eastAsia="宋体" w:cs="宋体"/>
          <w:color w:val="auto"/>
          <w:sz w:val="21"/>
          <w:szCs w:val="21"/>
          <w:highlight w:val="none"/>
        </w:rPr>
        <w:t>必须采取安全保护措施，保证电池不发生爆炸或自燃。</w:t>
      </w:r>
    </w:p>
    <w:p>
      <w:pPr>
        <w:keepNext w:val="0"/>
        <w:keepLines w:val="0"/>
        <w:pageBreakBefore w:val="0"/>
        <w:widowControl/>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2.2.14 </w:t>
      </w:r>
      <w:r>
        <w:rPr>
          <w:rFonts w:hint="eastAsia" w:ascii="宋体" w:hAnsi="宋体" w:eastAsia="宋体" w:cs="宋体"/>
          <w:color w:val="auto"/>
          <w:sz w:val="21"/>
          <w:szCs w:val="21"/>
          <w:highlight w:val="none"/>
        </w:rPr>
        <w:t>声道探头（换能器）具备抗积垢能力。</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2.2.15 </w:t>
      </w:r>
      <w:r>
        <w:rPr>
          <w:rFonts w:hint="eastAsia" w:ascii="宋体" w:hAnsi="宋体" w:eastAsia="宋体" w:cs="宋体"/>
          <w:color w:val="auto"/>
          <w:sz w:val="21"/>
          <w:szCs w:val="21"/>
          <w:highlight w:val="none"/>
        </w:rPr>
        <w:t>数据通讯接口RS485（mod-bus协议）。</w:t>
      </w:r>
    </w:p>
    <w:p>
      <w:pPr>
        <w:keepNext w:val="0"/>
        <w:keepLines w:val="0"/>
        <w:pageBreakBefore w:val="0"/>
        <w:widowControl/>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xml:space="preserve">2.2.16 </w:t>
      </w:r>
      <w:r>
        <w:rPr>
          <w:rFonts w:hint="eastAsia" w:ascii="宋体" w:hAnsi="宋体" w:eastAsia="宋体" w:cs="宋体"/>
          <w:color w:val="auto"/>
          <w:sz w:val="21"/>
          <w:szCs w:val="21"/>
          <w:highlight w:val="none"/>
        </w:rPr>
        <w:t>防盗、防破解功能：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（1）投标人提供的设备必须具有严密的外观设计，保证设备不能被轻易拆解，装有铅封等显示被拆解破坏的标识；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（2）投标人应保证设备所测量和存储的数据不能被破解修改；投标人不得将对设备进行调试的后台密码告知任何人员（包括招标人人员）；</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（3）基表声道所在的封盖部位，作一次性封死，不能拆除。如遇暴力拆解，则在水表主界面显示报警标识。</w:t>
      </w:r>
    </w:p>
    <w:p>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420" w:firstLineChars="200"/>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★2.2.17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b w:val="0"/>
          <w:bCs w:val="0"/>
          <w:color w:val="auto"/>
          <w:sz w:val="21"/>
          <w:szCs w:val="21"/>
          <w:highlight w:val="none"/>
          <w:lang w:val="en-US" w:eastAsia="zh-CN"/>
        </w:rPr>
        <w:t>。</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kern w:val="0"/>
          <w:sz w:val="21"/>
          <w:szCs w:val="21"/>
          <w:highlight w:val="none"/>
        </w:rPr>
        <w:t>远传模块要求：</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远传模块</w:t>
      </w:r>
      <w:r>
        <w:rPr>
          <w:rFonts w:hint="eastAsia" w:ascii="宋体" w:hAnsi="宋体" w:eastAsia="宋体" w:cs="宋体"/>
          <w:color w:val="auto"/>
          <w:kern w:val="0"/>
          <w:sz w:val="21"/>
          <w:szCs w:val="21"/>
          <w:highlight w:val="none"/>
          <w:lang w:val="en-US" w:eastAsia="zh-CN"/>
        </w:rPr>
        <w:t>可拆卸</w:t>
      </w:r>
      <w:r>
        <w:rPr>
          <w:rFonts w:hint="eastAsia" w:ascii="宋体" w:hAnsi="宋体" w:eastAsia="宋体" w:cs="宋体"/>
          <w:color w:val="auto"/>
          <w:kern w:val="0"/>
          <w:sz w:val="21"/>
          <w:szCs w:val="21"/>
          <w:highlight w:val="none"/>
        </w:rPr>
        <w:t>，直接安装在水表上，要求安装牢固可靠，</w:t>
      </w:r>
      <w:r>
        <w:rPr>
          <w:rFonts w:hint="eastAsia" w:ascii="宋体" w:hAnsi="宋体" w:eastAsia="宋体" w:cs="宋体"/>
          <w:color w:val="auto"/>
          <w:sz w:val="21"/>
          <w:szCs w:val="21"/>
          <w:highlight w:val="none"/>
        </w:rPr>
        <w:t>远传模块</w:t>
      </w:r>
      <w:r>
        <w:rPr>
          <w:rFonts w:hint="eastAsia" w:ascii="宋体" w:hAnsi="宋体" w:eastAsia="宋体" w:cs="宋体"/>
          <w:color w:val="auto"/>
          <w:sz w:val="21"/>
          <w:szCs w:val="21"/>
          <w:highlight w:val="none"/>
          <w:lang w:val="en-US" w:eastAsia="zh-CN"/>
        </w:rPr>
        <w:t>与基表</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rPr>
        <w:t>结合应无妨碍检定和读数的缺陷，拆除远传模块应不影响水表固有的计量性能。</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通讯</w:t>
      </w:r>
      <w:r>
        <w:rPr>
          <w:rFonts w:hint="eastAsia" w:ascii="宋体" w:hAnsi="宋体" w:eastAsia="宋体" w:cs="宋体"/>
          <w:color w:val="auto"/>
          <w:kern w:val="0"/>
          <w:sz w:val="21"/>
          <w:szCs w:val="21"/>
          <w:highlight w:val="none"/>
        </w:rPr>
        <w:t>电池：锂电池，在上报频次为2次/日时，保证可连续使用≥</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年，且必须采取安全保护措施，保证电池不发生爆炸或自燃，</w:t>
      </w:r>
      <w:r>
        <w:rPr>
          <w:rFonts w:hint="eastAsia" w:ascii="宋体" w:hAnsi="宋体" w:eastAsia="宋体" w:cs="宋体"/>
          <w:color w:val="auto"/>
          <w:sz w:val="21"/>
          <w:szCs w:val="21"/>
          <w:highlight w:val="none"/>
        </w:rPr>
        <w:t>使用寿命未达到</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年的，由供商应负责免费更换电池。</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数据存储：采集周期为15分钟/次时，可存储数据≥30天，当存储介质存满时，新采集的数据自动覆盖最早数据。</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 ，抄读准确率≥99%</w:t>
      </w:r>
      <w:r>
        <w:rPr>
          <w:rFonts w:hint="eastAsia" w:ascii="宋体" w:hAnsi="宋体" w:eastAsia="宋体" w:cs="宋体"/>
          <w:b/>
          <w:bCs/>
          <w:color w:val="auto"/>
          <w:kern w:val="0"/>
          <w:sz w:val="21"/>
          <w:szCs w:val="21"/>
          <w:highlight w:val="none"/>
        </w:rPr>
        <w:t>（投标人提供相关水表用户使用情况及证明材料）</w:t>
      </w:r>
      <w:r>
        <w:rPr>
          <w:rFonts w:hint="eastAsia" w:ascii="宋体" w:hAnsi="宋体" w:eastAsia="宋体" w:cs="宋体"/>
          <w:color w:val="auto"/>
          <w:kern w:val="0"/>
          <w:sz w:val="21"/>
          <w:szCs w:val="21"/>
          <w:highlight w:val="none"/>
        </w:rPr>
        <w:t>。</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6 </w:t>
      </w:r>
      <w:r>
        <w:rPr>
          <w:rFonts w:hint="eastAsia" w:ascii="宋体" w:hAnsi="宋体" w:eastAsia="宋体" w:cs="宋体"/>
          <w:color w:val="auto"/>
          <w:kern w:val="0"/>
          <w:sz w:val="21"/>
          <w:szCs w:val="21"/>
          <w:highlight w:val="none"/>
        </w:rPr>
        <w:t>远程模块</w:t>
      </w:r>
      <w:r>
        <w:rPr>
          <w:rFonts w:hint="eastAsia" w:ascii="宋体" w:hAnsi="宋体" w:eastAsia="宋体" w:cs="宋体"/>
          <w:color w:val="auto"/>
          <w:sz w:val="21"/>
          <w:szCs w:val="21"/>
          <w:highlight w:val="none"/>
        </w:rPr>
        <w:t>须印有统一的识别标识及设备编号，</w:t>
      </w:r>
      <w:r>
        <w:rPr>
          <w:rFonts w:hint="eastAsia" w:ascii="宋体" w:hAnsi="宋体" w:eastAsia="宋体" w:cs="宋体"/>
          <w:color w:val="auto"/>
          <w:kern w:val="0"/>
          <w:sz w:val="21"/>
          <w:szCs w:val="21"/>
          <w:highlight w:val="none"/>
        </w:rPr>
        <w:t>其组件、外壳和连接线材应采用阻燃材质。</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7 </w:t>
      </w:r>
      <w:r>
        <w:rPr>
          <w:rFonts w:hint="eastAsia" w:ascii="宋体" w:hAnsi="宋体" w:eastAsia="宋体" w:cs="宋体"/>
          <w:b w:val="0"/>
          <w:bCs w:val="0"/>
          <w:color w:val="auto"/>
          <w:kern w:val="0"/>
          <w:sz w:val="21"/>
          <w:szCs w:val="21"/>
          <w:highlight w:val="none"/>
        </w:rPr>
        <w:t>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0"/>
          <w:sz w:val="21"/>
          <w:szCs w:val="21"/>
          <w:highlight w:val="none"/>
        </w:rPr>
        <w:t>（需提供产品说明书和相关承诺文件）</w:t>
      </w:r>
      <w:r>
        <w:rPr>
          <w:rFonts w:hint="eastAsia" w:ascii="宋体" w:hAnsi="宋体" w:eastAsia="宋体" w:cs="宋体"/>
          <w:b w:val="0"/>
          <w:bCs w:val="0"/>
          <w:color w:val="auto"/>
          <w:kern w:val="0"/>
          <w:sz w:val="21"/>
          <w:szCs w:val="21"/>
          <w:highlight w:val="none"/>
        </w:rPr>
        <w:t>。</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若处于NB-IOT信号接收不利点，投标人应采取措施，例如与运营商协调网络优化、转用4G移动通讯网络等方法，提升网络性能质量，确保数据传输成功率达到要求。采取措施所发生的所有费用，由投标人负责。</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远传参数设置：可通过有线连接、手机蓝牙连接或近端手持终端设备进行参数设置和远传设备调试。</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10 </w:t>
      </w:r>
      <w:r>
        <w:rPr>
          <w:rFonts w:hint="eastAsia" w:ascii="宋体" w:hAnsi="宋体" w:eastAsia="宋体" w:cs="宋体"/>
          <w:b w:val="0"/>
          <w:bCs w:val="0"/>
          <w:color w:val="auto"/>
          <w:kern w:val="0"/>
          <w:sz w:val="21"/>
          <w:szCs w:val="21"/>
          <w:highlight w:val="none"/>
        </w:rPr>
        <w:t>远传模块的通讯协议需符合招标人物联网终端传输规约的有关要求</w:t>
      </w:r>
      <w:r>
        <w:rPr>
          <w:rFonts w:hint="eastAsia" w:ascii="宋体" w:hAnsi="宋体" w:eastAsia="宋体" w:cs="宋体"/>
          <w:b/>
          <w:bCs/>
          <w:color w:val="auto"/>
          <w:kern w:val="0"/>
          <w:sz w:val="21"/>
          <w:szCs w:val="21"/>
          <w:highlight w:val="none"/>
        </w:rPr>
        <w:t>（需提供相关承诺文件）</w:t>
      </w:r>
      <w:r>
        <w:rPr>
          <w:rFonts w:hint="eastAsia" w:ascii="宋体" w:hAnsi="宋体" w:eastAsia="宋体" w:cs="宋体"/>
          <w:b w:val="0"/>
          <w:bCs w:val="0"/>
          <w:color w:val="auto"/>
          <w:kern w:val="0"/>
          <w:sz w:val="21"/>
          <w:szCs w:val="21"/>
          <w:highlight w:val="none"/>
        </w:rPr>
        <w:t>。</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11 </w:t>
      </w:r>
      <w:r>
        <w:rPr>
          <w:rFonts w:hint="eastAsia" w:ascii="宋体" w:hAnsi="宋体" w:eastAsia="宋体" w:cs="宋体"/>
          <w:b w:val="0"/>
          <w:bCs w:val="0"/>
          <w:color w:val="auto"/>
          <w:kern w:val="0"/>
          <w:sz w:val="21"/>
          <w:szCs w:val="21"/>
          <w:highlight w:val="none"/>
        </w:rPr>
        <w:t>平台对接：所有数据按招标人要求无缝融合到招标人</w:t>
      </w:r>
      <w:r>
        <w:rPr>
          <w:rFonts w:hint="eastAsia" w:ascii="宋体" w:hAnsi="宋体" w:eastAsia="宋体" w:cs="宋体"/>
          <w:b w:val="0"/>
          <w:bCs w:val="0"/>
          <w:color w:val="auto"/>
          <w:kern w:val="0"/>
          <w:sz w:val="21"/>
          <w:szCs w:val="21"/>
          <w:highlight w:val="none"/>
          <w:lang w:val="en-US" w:eastAsia="zh-CN"/>
        </w:rPr>
        <w:t>智能水表</w:t>
      </w:r>
      <w:r>
        <w:rPr>
          <w:rFonts w:hint="eastAsia" w:ascii="宋体" w:hAnsi="宋体" w:eastAsia="宋体" w:cs="宋体"/>
          <w:b w:val="0"/>
          <w:bCs w:val="0"/>
          <w:color w:val="auto"/>
          <w:kern w:val="0"/>
          <w:sz w:val="21"/>
          <w:szCs w:val="21"/>
          <w:highlight w:val="none"/>
        </w:rPr>
        <w:t>管理系统，</w:t>
      </w:r>
      <w:r>
        <w:rPr>
          <w:rFonts w:hint="eastAsia" w:ascii="宋体" w:hAnsi="宋体" w:eastAsia="宋体" w:cs="宋体"/>
          <w:b w:val="0"/>
          <w:bCs w:val="0"/>
          <w:color w:val="auto"/>
          <w:kern w:val="0"/>
          <w:sz w:val="21"/>
          <w:szCs w:val="21"/>
          <w:highlight w:val="none"/>
          <w:lang w:val="en-US" w:eastAsia="zh-CN"/>
        </w:rPr>
        <w:t>中标人需</w:t>
      </w:r>
      <w:r>
        <w:rPr>
          <w:rFonts w:hint="eastAsia" w:ascii="宋体" w:hAnsi="宋体" w:eastAsia="宋体" w:cs="宋体"/>
          <w:b w:val="0"/>
          <w:bCs w:val="0"/>
          <w:color w:val="auto"/>
          <w:kern w:val="0"/>
          <w:sz w:val="21"/>
          <w:szCs w:val="21"/>
          <w:highlight w:val="none"/>
        </w:rPr>
        <w:t>无偿</w:t>
      </w:r>
      <w:r>
        <w:rPr>
          <w:rFonts w:hint="eastAsia" w:ascii="宋体" w:hAnsi="宋体" w:eastAsia="宋体" w:cs="宋体"/>
          <w:b w:val="0"/>
          <w:bCs w:val="0"/>
          <w:color w:val="auto"/>
          <w:kern w:val="0"/>
          <w:sz w:val="21"/>
          <w:szCs w:val="21"/>
          <w:highlight w:val="none"/>
          <w:lang w:val="en-US" w:eastAsia="zh-CN"/>
        </w:rPr>
        <w:t>配合远传水表的</w:t>
      </w:r>
      <w:r>
        <w:rPr>
          <w:rFonts w:hint="eastAsia" w:ascii="宋体" w:hAnsi="宋体" w:eastAsia="宋体" w:cs="宋体"/>
          <w:b w:val="0"/>
          <w:bCs w:val="0"/>
          <w:color w:val="auto"/>
          <w:kern w:val="0"/>
          <w:sz w:val="21"/>
          <w:szCs w:val="21"/>
          <w:highlight w:val="none"/>
        </w:rPr>
        <w:t>接入工作</w:t>
      </w:r>
      <w:r>
        <w:rPr>
          <w:rFonts w:hint="eastAsia" w:ascii="宋体" w:hAnsi="宋体" w:eastAsia="宋体" w:cs="宋体"/>
          <w:b/>
          <w:bCs/>
          <w:color w:val="auto"/>
          <w:kern w:val="0"/>
          <w:sz w:val="21"/>
          <w:szCs w:val="21"/>
          <w:highlight w:val="none"/>
        </w:rPr>
        <w:t>（需提供可无缝接入</w:t>
      </w:r>
      <w:r>
        <w:rPr>
          <w:rFonts w:hint="eastAsia" w:ascii="宋体" w:hAnsi="宋体" w:eastAsia="宋体" w:cs="宋体"/>
          <w:b/>
          <w:bCs/>
          <w:color w:val="auto"/>
          <w:kern w:val="0"/>
          <w:sz w:val="21"/>
          <w:szCs w:val="21"/>
          <w:highlight w:val="none"/>
          <w:lang w:val="en-US" w:eastAsia="zh-CN"/>
        </w:rPr>
        <w:t>招</w:t>
      </w:r>
      <w:r>
        <w:rPr>
          <w:rFonts w:hint="eastAsia" w:ascii="宋体" w:hAnsi="宋体" w:eastAsia="宋体" w:cs="宋体"/>
          <w:b/>
          <w:bCs/>
          <w:color w:val="auto"/>
          <w:kern w:val="0"/>
          <w:sz w:val="21"/>
          <w:szCs w:val="21"/>
          <w:highlight w:val="none"/>
        </w:rPr>
        <w:t>标人所指定的系统管理平台的承诺函）</w:t>
      </w:r>
      <w:r>
        <w:rPr>
          <w:rFonts w:hint="eastAsia" w:ascii="宋体" w:hAnsi="宋体" w:eastAsia="宋体" w:cs="宋体"/>
          <w:b w:val="0"/>
          <w:bCs w:val="0"/>
          <w:color w:val="auto"/>
          <w:kern w:val="0"/>
          <w:sz w:val="21"/>
          <w:szCs w:val="21"/>
          <w:highlight w:val="none"/>
        </w:rPr>
        <w:t>。</w:t>
      </w:r>
    </w:p>
    <w:p>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三、</w:t>
      </w:r>
      <w:r>
        <w:rPr>
          <w:rFonts w:hint="eastAsia" w:ascii="宋体" w:hAnsi="宋体" w:eastAsia="宋体" w:cs="宋体"/>
          <w:b/>
          <w:bCs/>
          <w:color w:val="auto"/>
          <w:kern w:val="2"/>
          <w:sz w:val="21"/>
          <w:szCs w:val="21"/>
          <w:highlight w:val="none"/>
          <w:lang w:val="zh-CN"/>
        </w:rPr>
        <w:t>物联网终端传输规约要求</w:t>
      </w:r>
    </w:p>
    <w:p>
      <w:pPr>
        <w:pStyle w:val="12"/>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投标人的投标产品需符合招标人物联网终端传输规约要求，包括但不限于以下协议框架、应用数据结构等，其他相关要求可于中标后咨询招标人。</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lang w:eastAsia="zh-CN"/>
        </w:rPr>
        <w:t>协议框架</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3.1.1 </w:t>
      </w:r>
      <w:r>
        <w:rPr>
          <w:rFonts w:hint="eastAsia" w:ascii="宋体" w:hAnsi="宋体" w:eastAsia="宋体" w:cs="宋体"/>
          <w:color w:val="auto"/>
          <w:sz w:val="21"/>
          <w:szCs w:val="21"/>
          <w:highlight w:val="none"/>
          <w:lang w:eastAsia="zh-CN"/>
        </w:rPr>
        <w:t>上行框架</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上行框架规定了所有从设备端发往平台端的数据帧的基础格式，结构如下：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帧起始符（68H）</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帧长度</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从帧起始符（68H）至帧结束符（16H）之间的字节总数，不含68H和16H。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帧标识</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是否加密1bit、是否分帧2bit、帧序号4bit、是否包含运行参数段1bit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协议版本 </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主版本4bit、子版本4bit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表码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帧确认符（68H）</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运行参数段</w:t>
            </w: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设备标识</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包含设备工作模式（1Bit）、设备类型（7Bit）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设备电压</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接收功率</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信噪比</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覆盖等级</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小区ID</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IMEI标识</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SIM标识</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指令MID</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指令标识，高字节在前，发起方生成，接收方原码返回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功能数据段</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变长</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由功能码决定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帧校验</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帧结束符（16H）</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3.1.2 </w:t>
      </w:r>
      <w:r>
        <w:rPr>
          <w:rFonts w:hint="eastAsia" w:ascii="宋体" w:hAnsi="宋体" w:eastAsia="宋体" w:cs="宋体"/>
          <w:color w:val="auto"/>
          <w:sz w:val="21"/>
          <w:szCs w:val="21"/>
          <w:highlight w:val="none"/>
          <w:lang w:eastAsia="zh-CN"/>
        </w:rPr>
        <w:t>下行框架</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下行框架规定了所有从平台端发往设备端的数据帧的基础格式，结构如下：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帧起始符（68H）</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帧长度</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从帧起始符（68H）开始至帧结束符（16H）之间的字节总数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帧标识</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协议版本 </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帧确认符（68H）</w:t>
            </w:r>
          </w:p>
        </w:tc>
        <w:tc>
          <w:tcPr>
            <w:tcW w:w="109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指令MID</w:t>
            </w:r>
          </w:p>
        </w:tc>
        <w:tc>
          <w:tcPr>
            <w:tcW w:w="109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指令标识，高字节在前，发起方生成，接收方原码返回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功能数据段</w:t>
            </w:r>
          </w:p>
        </w:tc>
        <w:tc>
          <w:tcPr>
            <w:tcW w:w="1095"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变长</w:t>
            </w:r>
          </w:p>
        </w:tc>
        <w:tc>
          <w:tcPr>
            <w:tcW w:w="4730"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由功能码决定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帧校验</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帧结束符（16H）</w:t>
            </w:r>
          </w:p>
        </w:tc>
        <w:tc>
          <w:tcPr>
            <w:tcW w:w="10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 帧长度</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帧长度由2字节表示，高字节在前，低字节在后。帧长度包含从帧起始符（68H，不含）开始至帧结束符（16H，不含）之间的字节总数。</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 帧标识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帧标识由1个字节表示，各二进制位组织格式如下：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运行参数段标志</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是否加密标志</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分帧标识1</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分帧标识2</w:t>
            </w:r>
          </w:p>
        </w:tc>
        <w:tc>
          <w:tcPr>
            <w:tcW w:w="4608" w:type="dxa"/>
            <w:gridSpan w:val="4"/>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帧流水号</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运行参数段标志：1表示该帧数据包含运行参数数据段，0表示不含运行参数数据段。运行参数段中包含设备信息和信号信息等，详见运行参数段章节。</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是否加密标志：1表示功能数据段已加密，0表示未加密。本协议规定使用AES-128/ECB/PKCS7Padding对数据进行加解密。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分帧标识：由2个位组成，当数据量较大需要拆分为多帧传输时，每一帧都必须包含完整的帧组织框架（即每一帧都必须能够被独立解析）。</w:t>
      </w:r>
    </w:p>
    <w:p>
      <w:pPr>
        <w:keepNext w:val="0"/>
        <w:keepLines w:val="0"/>
        <w:pageBreakBefore w:val="0"/>
        <w:kinsoku/>
        <w:wordWrap/>
        <w:overflowPunct/>
        <w:topLinePunct w:val="0"/>
        <w:bidi w:val="0"/>
        <w:adjustRightInd w:val="0"/>
        <w:snapToGrid w:val="0"/>
        <w:spacing w:beforeAutospacing="0"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分帧标识组合含义见下表：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20"/>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分帧标识1</w:t>
            </w:r>
          </w:p>
        </w:tc>
        <w:tc>
          <w:tcPr>
            <w:tcW w:w="1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分帧标识2</w:t>
            </w:r>
          </w:p>
        </w:tc>
        <w:tc>
          <w:tcPr>
            <w:tcW w:w="36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36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传输分为多帧，当前为中间帧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6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传输分为多帧，当前为结束帧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36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传输分为多帧，当前为第1帧，还有后续帧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6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未分帧</w:t>
            </w:r>
          </w:p>
        </w:tc>
      </w:tr>
    </w:tbl>
    <w:p>
      <w:pPr>
        <w:pStyle w:val="18"/>
        <w:keepNext w:val="0"/>
        <w:keepLines w:val="0"/>
        <w:pageBreakBefore w:val="0"/>
        <w:kinsoku/>
        <w:wordWrap/>
        <w:topLinePunct w:val="0"/>
        <w:bidi w:val="0"/>
        <w:adjustRightInd w:val="0"/>
        <w:snapToGrid w:val="0"/>
        <w:spacing w:beforeAutospacing="0" w:line="360" w:lineRule="auto"/>
        <w:ind w:left="420" w:leftChars="0" w:right="0" w:firstLine="420" w:firstLineChars="0"/>
        <w:rPr>
          <w:rFonts w:hint="eastAsia" w:ascii="宋体" w:hAnsi="宋体" w:eastAsia="宋体" w:cs="宋体"/>
          <w:b w:val="0"/>
          <w:bCs w:val="0"/>
          <w:color w:val="auto"/>
          <w:sz w:val="21"/>
          <w:szCs w:val="21"/>
          <w:highlight w:val="none"/>
          <w:lang w:val="en-US" w:eastAsia="zh-CN"/>
        </w:rPr>
      </w:pP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帧流水号：由4个位组成，取值0~15。用于标识数据帧通信流水号，终端每执行一次发送流水号加1，超过15后归0。</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注意：重发数据帧流水号也应该加1，数据帧应使用指令MID来进行标识。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 协议版本</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协议版本号用于兼容性识别，版本号由1个字节组成，其中高4位表示主版本号，低4位表示子版本号。</w:t>
      </w:r>
    </w:p>
    <w:p>
      <w:pPr>
        <w:pStyle w:val="18"/>
        <w:keepNext w:val="0"/>
        <w:keepLines w:val="0"/>
        <w:pageBreakBefore w:val="0"/>
        <w:kinsoku/>
        <w:wordWrap/>
        <w:topLinePunct w:val="0"/>
        <w:bidi w:val="0"/>
        <w:adjustRightInd w:val="0"/>
        <w:snapToGrid w:val="0"/>
        <w:spacing w:beforeAutospacing="0" w:line="360" w:lineRule="auto"/>
        <w:ind w:right="0" w:firstLine="425" w:firstLineChars="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必须正确上报该版本号信息，通信帧中版本号应使用该协议当前版本号。</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608" w:type="dxa"/>
            <w:gridSpan w:val="4"/>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主版本号</w:t>
            </w:r>
          </w:p>
        </w:tc>
        <w:tc>
          <w:tcPr>
            <w:tcW w:w="4608" w:type="dxa"/>
            <w:gridSpan w:val="4"/>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子版本号</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在协议版本更新和修订时涉及到原数据结构调整的将更新主版本号，不影响原数据结构或不影响原主要指令的修订将更新子版本号。</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 设备地址</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设备地址由8字节的BCD码组成，设备地址规范如下图所示，不同类型设备需注意各部分代表不同含义。</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厂商代码（1字节BCD）+年份（1字节BCD）+6字节BCD</w:t>
      </w:r>
    </w:p>
    <w:p>
      <w:pPr>
        <w:pStyle w:val="18"/>
        <w:keepNext w:val="0"/>
        <w:keepLines w:val="0"/>
        <w:pageBreakBefore w:val="0"/>
        <w:kinsoku/>
        <w:wordWrap/>
        <w:topLinePunct w:val="0"/>
        <w:bidi w:val="0"/>
        <w:adjustRightInd w:val="0"/>
        <w:snapToGrid w:val="0"/>
        <w:spacing w:beforeAutospacing="0" w:line="360" w:lineRule="auto"/>
        <w:ind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4248150" cy="431165"/>
            <wp:effectExtent l="0" t="0" r="0"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rcRect t="31413"/>
                    <a:stretch>
                      <a:fillRect/>
                    </a:stretch>
                  </pic:blipFill>
                  <pic:spPr>
                    <a:xfrm>
                      <a:off x="0" y="0"/>
                      <a:ext cx="4248150" cy="431165"/>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◆设备为一体式水表（设备类型代码：1、2）：</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【2位厂商代码】：水表厂商代码，由信息部统一管理和分配；</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【2位年份】：水表出厂年份；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【12位厂家自编BCD码】：水表表码，与表身码、表头显示码一致；</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◆设备为分体式远传终端（采集智能水表）（设备类型代码：5）：</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【2位厂商代码】：远传终端厂商代码，由信息部统一管理和分配；</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【2位年份】：远传终端出厂年份；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◆其它远传设备：</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【2位厂商代码】：设备厂商代码，由信息部统一管理和分配；</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【2位年份】：设备出厂年份；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【12位厂家自编BCD码】：设备出厂编号；</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3.1.7 功能码</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功能码由1个字节组成，功能码决定数据段内容。部分功能码没有数据段。下表中的功能代码为十进制表示值。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892"/>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功能码用途</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保留</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主动上报数据指令</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数据查询指令</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告警上报指令</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设置终端时钟</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设置历史数据存盘间隔</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设置主动上报参数</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设置数据中心地址</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设置终端工作模式</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设置终端地址</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设置加密标志</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查询历史数据存盘间隔</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查询主动上报参数</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58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查询数据中心地址</w:t>
            </w:r>
          </w:p>
        </w:tc>
        <w:tc>
          <w:tcPr>
            <w:tcW w:w="201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3.1.8 运行参数段</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运行参数段用于传输设备当前工作参数数据，包括电压、信号等数据。运行参数段是一个可选数据段，是否包含运行参数段由帧标识字节中的最高位进行标识。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在分帧传输时首帧必须包含运行参数段，后续帧可以不包含运行参数段。</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运行参数段中，设备不具备条件的参数信息使用0填充。</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设备标识由1个字节组成，其中最高位表示设备工作模式，低7位表示设备类型。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5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8064" w:type="dxa"/>
            <w:gridSpan w:val="7"/>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设备类型代码</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工作模式：0表示设备处于休眠工作模式，1表示设备处于长期在线待命状态。</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设备类型代码：表示设备种类代码，代码表见附录A。</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66" w:name="_Toc23730"/>
      <w:r>
        <w:rPr>
          <w:rFonts w:hint="eastAsia" w:ascii="宋体" w:hAnsi="宋体" w:eastAsia="宋体" w:cs="宋体"/>
          <w:color w:val="auto"/>
          <w:sz w:val="21"/>
          <w:szCs w:val="21"/>
          <w:highlight w:val="none"/>
          <w:lang w:val="en-US" w:eastAsia="zh-CN"/>
        </w:rPr>
        <w:t>（2）设备电压</w:t>
      </w:r>
      <w:bookmarkEnd w:id="366"/>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2字节组成，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示例： 02H E8H = 744 * 0.01 =7.44V</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67" w:name="_Toc23015"/>
      <w:r>
        <w:rPr>
          <w:rFonts w:hint="eastAsia" w:ascii="宋体" w:hAnsi="宋体" w:eastAsia="宋体" w:cs="宋体"/>
          <w:color w:val="auto"/>
          <w:sz w:val="21"/>
          <w:szCs w:val="21"/>
          <w:highlight w:val="none"/>
          <w:lang w:val="en-US" w:eastAsia="zh-CN"/>
        </w:rPr>
        <w:t>（3）信号强度</w:t>
      </w:r>
      <w:bookmarkEnd w:id="367"/>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信号强度（CSQ）由1字节组成。</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68" w:name="_Toc25234"/>
      <w:r>
        <w:rPr>
          <w:rFonts w:hint="eastAsia" w:ascii="宋体" w:hAnsi="宋体" w:eastAsia="宋体" w:cs="宋体"/>
          <w:color w:val="auto"/>
          <w:sz w:val="21"/>
          <w:szCs w:val="21"/>
          <w:highlight w:val="none"/>
          <w:lang w:val="en-US" w:eastAsia="zh-CN"/>
        </w:rPr>
        <w:t>（4）接收功率</w:t>
      </w:r>
      <w:bookmarkEnd w:id="368"/>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信号接收功率（RSRP）由2字节组成，高字节在前，低字节在后。</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69" w:name="_Toc27935"/>
      <w:r>
        <w:rPr>
          <w:rFonts w:hint="eastAsia" w:ascii="宋体" w:hAnsi="宋体" w:eastAsia="宋体" w:cs="宋体"/>
          <w:color w:val="auto"/>
          <w:sz w:val="21"/>
          <w:szCs w:val="21"/>
          <w:highlight w:val="none"/>
          <w:lang w:val="en-US" w:eastAsia="zh-CN"/>
        </w:rPr>
        <w:t>（5）信噪比</w:t>
      </w:r>
      <w:bookmarkEnd w:id="369"/>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信噪比（SNR）由2字节组成，高字节在前，低字节在后。</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70" w:name="_Toc12151"/>
      <w:r>
        <w:rPr>
          <w:rFonts w:hint="eastAsia" w:ascii="宋体" w:hAnsi="宋体" w:eastAsia="宋体" w:cs="宋体"/>
          <w:color w:val="auto"/>
          <w:sz w:val="21"/>
          <w:szCs w:val="21"/>
          <w:highlight w:val="none"/>
          <w:lang w:val="en-US" w:eastAsia="zh-CN"/>
        </w:rPr>
        <w:t>（6）覆盖等级</w:t>
      </w:r>
      <w:bookmarkEnd w:id="370"/>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覆盖等级（ECL）由1字节组成。</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71" w:name="_Toc4961"/>
      <w:r>
        <w:rPr>
          <w:rFonts w:hint="eastAsia" w:ascii="宋体" w:hAnsi="宋体" w:eastAsia="宋体" w:cs="宋体"/>
          <w:color w:val="auto"/>
          <w:sz w:val="21"/>
          <w:szCs w:val="21"/>
          <w:highlight w:val="none"/>
          <w:lang w:val="en-US" w:eastAsia="zh-CN"/>
        </w:rPr>
        <w:t>（7）小区ID</w:t>
      </w:r>
      <w:bookmarkEnd w:id="371"/>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小区ID（PCI）由4字节组成，高字节在前，低字节在后。</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72" w:name="_Toc13312"/>
      <w:r>
        <w:rPr>
          <w:rFonts w:hint="eastAsia" w:ascii="宋体" w:hAnsi="宋体" w:eastAsia="宋体" w:cs="宋体"/>
          <w:color w:val="auto"/>
          <w:sz w:val="21"/>
          <w:szCs w:val="21"/>
          <w:highlight w:val="none"/>
          <w:lang w:val="en-US" w:eastAsia="zh-CN"/>
        </w:rPr>
        <w:t>（8）IMEI标识</w:t>
      </w:r>
      <w:bookmarkEnd w:id="372"/>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IMEI标识由8字节BCD组成。</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73" w:name="_Toc17792"/>
      <w:r>
        <w:rPr>
          <w:rFonts w:hint="eastAsia" w:ascii="宋体" w:hAnsi="宋体" w:eastAsia="宋体" w:cs="宋体"/>
          <w:color w:val="auto"/>
          <w:sz w:val="21"/>
          <w:szCs w:val="21"/>
          <w:highlight w:val="none"/>
          <w:lang w:val="en-US" w:eastAsia="zh-CN"/>
        </w:rPr>
        <w:t>（9）SIM标识</w:t>
      </w:r>
      <w:bookmarkEnd w:id="373"/>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SIM标识由10字节BCD组成，即ICCID。</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74" w:name="_Toc28056"/>
      <w:r>
        <w:rPr>
          <w:rFonts w:hint="eastAsia" w:ascii="宋体" w:hAnsi="宋体" w:eastAsia="宋体" w:cs="宋体"/>
          <w:color w:val="auto"/>
          <w:sz w:val="21"/>
          <w:szCs w:val="21"/>
          <w:highlight w:val="none"/>
          <w:lang w:val="en-US" w:eastAsia="zh-CN"/>
        </w:rPr>
        <w:t>3.1.9 指令MID</w:t>
      </w:r>
      <w:bookmarkEnd w:id="374"/>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指令MID用于识别指令任务，该值由发起方生成，接收方原码返回。指令重发MID不变。功能码01数据帧MID保持为0。</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75" w:name="_Toc31612"/>
      <w:r>
        <w:rPr>
          <w:rFonts w:hint="eastAsia" w:ascii="宋体" w:hAnsi="宋体" w:eastAsia="宋体" w:cs="宋体"/>
          <w:color w:val="auto"/>
          <w:sz w:val="21"/>
          <w:szCs w:val="21"/>
          <w:highlight w:val="none"/>
          <w:lang w:val="en-US" w:eastAsia="zh-CN"/>
        </w:rPr>
        <w:t>3.1.10 功能数据段</w:t>
      </w:r>
      <w:bookmarkEnd w:id="375"/>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整体协议框架中规定功能数据段为可变数据格式，数据格式和长度由功能码决定。详见第5章功能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376" w:name="_Toc11126"/>
      <w:r>
        <w:rPr>
          <w:rFonts w:hint="eastAsia" w:ascii="宋体" w:hAnsi="宋体" w:eastAsia="宋体" w:cs="宋体"/>
          <w:color w:val="auto"/>
          <w:sz w:val="21"/>
          <w:szCs w:val="21"/>
          <w:highlight w:val="none"/>
          <w:lang w:val="en-US" w:eastAsia="zh-CN"/>
        </w:rPr>
        <w:t>3.1.11 帧校验</w:t>
      </w:r>
      <w:bookmarkEnd w:id="376"/>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pPr>
        <w:pStyle w:val="18"/>
        <w:keepNext w:val="0"/>
        <w:keepLines w:val="0"/>
        <w:pageBreakBefore w:val="0"/>
        <w:kinsoku/>
        <w:wordWrap/>
        <w:topLinePunct w:val="0"/>
        <w:bidi w:val="0"/>
        <w:adjustRightInd w:val="0"/>
        <w:snapToGrid w:val="0"/>
        <w:spacing w:beforeAutospacing="0" w:line="360" w:lineRule="auto"/>
        <w:ind w:right="0"/>
        <w:rPr>
          <w:rFonts w:hint="eastAsia" w:ascii="宋体" w:hAnsi="宋体" w:eastAsia="宋体" w:cs="宋体"/>
          <w:b w:val="0"/>
          <w:bCs w:val="0"/>
          <w:color w:val="auto"/>
          <w:sz w:val="21"/>
          <w:szCs w:val="21"/>
          <w:highlight w:val="none"/>
          <w:lang w:val="en-US" w:eastAsia="zh-CN"/>
        </w:rPr>
      </w:pP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应用数据结构</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 功能码01（主动上报数据指令）</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功能码01用于设备主动周期性上报历史或实时数据，该功能码由设备端主动发起。</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数据类型1数据</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数据类型2数据</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平台当前时间</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备注：设备可通过NB模组实现与基站时钟校准，也可使用该下行数据中的平台当前时间进行时钟校准。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 功能码02（数据查询指令）</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功能码02由平台主动发起，用于向设备查询某一时间节点的历史数据或实时数据。</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备注：当数据起始时间6字节BCD全部为0时返回设备当时内存实时数据，并且上报数据段中的时间为设备当前时间。</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数据类型1数据</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数据类型2数据</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备注：指令执行失败则数据段全部字节置FF、并且不用上发数据类型数据段。</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 功能码03（告警上报指令）</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告警上报指令由设备主动发起。</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事件代码</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高字节在前，每个二进制位代表一种事件类型。事件代码表见附录B</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平台当前时间</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 功能码04（设置终端时钟）</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设备可通过NB模组实现时钟同步，也可通过上报数据时平台回复的下行数据帧中的时间实现时钟同步。</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除以上两种方式外本协议提供了手动设置终端时钟的方式来实现时钟同步，注意：在指令可能被缓存或滞后下发的场景下谨慎使用该方式。</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 功能码05（设置历史数据存盘间隔）</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 功能码06（设置主动上报参数）</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小时部分</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分钟部分</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上发间隔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离散值</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秒，高字节在前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本次设置值的生效时间，高字节在前。</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0表示永久应用该设置值，大于0表示临时应用X分钟后自动恢复原配置。</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字段说明：</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【上发间隔】：即设备拨号上报数据的间隔；</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【数据间隔】：即上报的数据帧中每个数据的间隔时间；</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【离散值】：凌晨5点至7点系上位机平台数据运算时间，因此所有终端设备的上报都应离散到0点至5点之间。设置为0或项目补充要求中未明确规定时缺省离散算法如下：</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H(小时部分) ＝ 终端地址最后1位数字 % 5 </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M(分钟部分) ＝ 终端地址后第2位至后第4位 % 60</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S(秒钟部分) ＝ 厂商随机产生</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最终离散后上报时间点：H:M:S</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（说明：%为取余数操作）</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示例：终端地址：1020000000056789</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H(小时部分) ＝ 9 % 5 ＝4</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678 % 60 ＝18</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【生效时长】：用于指示本次配置的有效时长，用于临时加快数据上报频率。</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关联配置：</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对上发间隔和数据间隔的配置修改应能自动调整数据存盘间隔时间。</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小时部分</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分钟部分</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上发间隔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数据间隔</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离散值</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秒，高字节在前</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 功能码07（设置数据中心地址）</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2330"/>
        <w:gridCol w:w="2334"/>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23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当设备支持多数据中心时使用该序号区分设置的是哪个中心地址。注意：序号0为默认数据中心，其它序号为备用中心</w:t>
            </w:r>
          </w:p>
        </w:tc>
        <w:tc>
          <w:tcPr>
            <w:tcW w:w="2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数据中心地址</w:t>
            </w:r>
          </w:p>
        </w:tc>
        <w:tc>
          <w:tcPr>
            <w:tcW w:w="233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不定长</w:t>
            </w:r>
          </w:p>
        </w:tc>
        <w:tc>
          <w:tcPr>
            <w:tcW w:w="23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ASCII，以\0结束</w:t>
            </w:r>
          </w:p>
        </w:tc>
        <w:tc>
          <w:tcPr>
            <w:tcW w:w="2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123.123.123.123:5000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http://www.dsc.com:5000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当设备支持多数据中心时使用该序号区分设置的是哪个中心地址。注意：序号0为默认数据中心，其它序号为备用中心</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数据中心地址</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不定长</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ASCII，以\0结束</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 功能码08（设置工作模式）</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0表示设备处于休眠工作模式，1表示设备处于长期在线待命状态。</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本次设置值的生效时间，高字节在前。</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0表示永久应用该设置值，大于0表示临时应用X分钟数后自动恢复原配置。</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 功能码09（设置设备地址）</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设置设备地址指令用于非NB水表应用场景，NB水表表码通常不允许修改，所以NB水表不需实现该指令。</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BCD码，符合4.1.6章节中设备地址相关规则</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 功能码10（设置加密标志）</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加密标志</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取值1表示设备启用数据段加密，0表示不加密</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新密钥</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16字节ASCII</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全为FF表示使用缺省密钥（即不修改密钥）</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注意：新密钥全为FF表示仅修改加密标志，不修改密钥；</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加密标志</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新密钥</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16字节ASCII</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注意</w:t>
      </w:r>
      <w:r>
        <w:rPr>
          <w:rFonts w:hint="eastAsia" w:ascii="宋体" w:hAnsi="宋体" w:eastAsia="宋体" w:cs="宋体"/>
          <w:b w:val="0"/>
          <w:bCs w:val="0"/>
          <w:color w:val="auto"/>
          <w:sz w:val="21"/>
          <w:szCs w:val="21"/>
          <w:highlight w:val="none"/>
          <w:lang w:val="en-US" w:eastAsia="zh-CN"/>
        </w:rPr>
        <w:t>点：远程更新密钥时，本次配置指令的上行确认帧应使用原密钥进行加密，上位机平台在收到更新成功确认后正式启用新密钥对后续下行帧加密。</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3.2.11 功能码11（查询历史数据存盘间隔）</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同功能码05数据格式。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3.2.12功能码12（查询主动上报参数）</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同功能码06数据格式。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3.2.13功能码13（查询数据中心地址）</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数据内容</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字节数</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说明</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default"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序号</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default"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1字节</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当设备支持多数据中心时使用该序号区分查询的是哪个中心地址。注意：序号0为默认数据中心，其它序号为备用中心</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0</w:t>
            </w:r>
          </w:p>
        </w:tc>
      </w:tr>
    </w:tbl>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pPr>
        <w:pStyle w:val="37"/>
        <w:keepNext w:val="0"/>
        <w:keepLines w:val="0"/>
        <w:pageBreakBefore w:val="0"/>
        <w:kinsoku/>
        <w:wordWrap/>
        <w:topLinePunct w:val="0"/>
        <w:bidi w:val="0"/>
        <w:adjustRightInd w:val="0"/>
        <w:snapToGrid w:val="0"/>
        <w:spacing w:beforeAutospacing="0" w:after="0" w:line="360" w:lineRule="auto"/>
        <w:ind w:left="0" w:leftChars="0" w:right="0"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同功能码07数据格式。</w:t>
      </w:r>
    </w:p>
    <w:p>
      <w:pPr>
        <w:pStyle w:val="37"/>
        <w:keepNext w:val="0"/>
        <w:keepLines w:val="0"/>
        <w:pageBreakBefore w:val="0"/>
        <w:kinsoku/>
        <w:wordWrap/>
        <w:topLinePunct w:val="0"/>
        <w:bidi w:val="0"/>
        <w:adjustRightInd w:val="0"/>
        <w:snapToGrid w:val="0"/>
        <w:spacing w:beforeAutospacing="0" w:after="0" w:line="360" w:lineRule="auto"/>
        <w:ind w:left="0" w:leftChars="0" w:right="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3.3规约附录</w:t>
      </w:r>
    </w:p>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4"/>
        <w:rPr>
          <w:rFonts w:hint="eastAsia" w:ascii="宋体" w:hAnsi="宋体" w:eastAsia="宋体" w:cs="宋体"/>
          <w:b w:val="0"/>
          <w:bCs w:val="0"/>
          <w:color w:val="auto"/>
          <w:sz w:val="21"/>
          <w:szCs w:val="21"/>
          <w:highlight w:val="none"/>
          <w:lang w:val="en-US" w:eastAsia="zh-CN"/>
        </w:rPr>
      </w:pPr>
      <w:bookmarkStart w:id="377" w:name="_Toc21604"/>
      <w:bookmarkStart w:id="378" w:name="_Toc23044"/>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rPr>
        <w:t>A</w:t>
      </w:r>
      <w:bookmarkEnd w:id="377"/>
      <w:bookmarkEnd w:id="378"/>
    </w:p>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rPr>
      </w:pPr>
      <w:bookmarkStart w:id="379" w:name="_Toc17615"/>
      <w:bookmarkStart w:id="380" w:name="_Toc32221"/>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设备类型代码表</w:t>
      </w:r>
      <w:r>
        <w:rPr>
          <w:rFonts w:hint="eastAsia" w:ascii="宋体" w:hAnsi="宋体" w:eastAsia="宋体" w:cs="宋体"/>
          <w:b w:val="0"/>
          <w:bCs w:val="0"/>
          <w:color w:val="auto"/>
          <w:sz w:val="21"/>
          <w:szCs w:val="21"/>
          <w:highlight w:val="none"/>
        </w:rPr>
        <w:t>）</w:t>
      </w:r>
      <w:bookmarkEnd w:id="379"/>
      <w:bookmarkEnd w:id="380"/>
    </w:p>
    <w:tbl>
      <w:tblPr>
        <w:tblStyle w:val="39"/>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类型代码</w:t>
            </w:r>
          </w:p>
        </w:tc>
        <w:tc>
          <w:tcPr>
            <w:tcW w:w="446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w:t>
            </w:r>
          </w:p>
        </w:tc>
        <w:tc>
          <w:tcPr>
            <w:tcW w:w="1945"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446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系统保留</w:t>
            </w:r>
          </w:p>
        </w:tc>
        <w:tc>
          <w:tcPr>
            <w:tcW w:w="1945"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6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一体式小口径水表</w:t>
            </w:r>
          </w:p>
        </w:tc>
        <w:tc>
          <w:tcPr>
            <w:tcW w:w="1945"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6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一体式大口径水表</w:t>
            </w:r>
          </w:p>
        </w:tc>
        <w:tc>
          <w:tcPr>
            <w:tcW w:w="1945"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46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分体式小口径水表</w:t>
            </w:r>
          </w:p>
        </w:tc>
        <w:tc>
          <w:tcPr>
            <w:tcW w:w="1945"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46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分体式大口径水表</w:t>
            </w:r>
          </w:p>
        </w:tc>
        <w:tc>
          <w:tcPr>
            <w:tcW w:w="1945"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46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分体式远传终端（采集智能水表）</w:t>
            </w:r>
          </w:p>
        </w:tc>
        <w:tc>
          <w:tcPr>
            <w:tcW w:w="1945"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461"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一体式中口径水表</w:t>
            </w:r>
          </w:p>
        </w:tc>
        <w:tc>
          <w:tcPr>
            <w:tcW w:w="1945"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rPr>
      </w:pPr>
      <w:bookmarkStart w:id="381" w:name="_Toc31020"/>
      <w:bookmarkStart w:id="382" w:name="_Toc1473"/>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故障代码编排规范</w:t>
      </w:r>
      <w:r>
        <w:rPr>
          <w:rFonts w:hint="eastAsia" w:ascii="宋体" w:hAnsi="宋体" w:eastAsia="宋体" w:cs="宋体"/>
          <w:b w:val="0"/>
          <w:bCs w:val="0"/>
          <w:color w:val="auto"/>
          <w:sz w:val="21"/>
          <w:szCs w:val="21"/>
          <w:highlight w:val="none"/>
        </w:rPr>
        <w:t>）</w:t>
      </w:r>
      <w:bookmarkEnd w:id="381"/>
      <w:bookmarkEnd w:id="382"/>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每种故障对应以下故障代码表中的一个比特位（Bit）,存在故障则该位置1，否则置0。</w:t>
      </w: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drawing>
          <wp:inline distT="0" distB="0" distL="114300" distR="114300">
            <wp:extent cx="5630545" cy="664210"/>
            <wp:effectExtent l="0" t="0" r="8255" b="2540"/>
            <wp:docPr id="9"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ZB5$%8IU%ZB`O~JC2UA0ZX"/>
                    <pic:cNvPicPr>
                      <a:picLocks noChangeAspect="1"/>
                    </pic:cNvPicPr>
                  </pic:nvPicPr>
                  <pic:blipFill>
                    <a:blip r:embed="rId12"/>
                    <a:stretch>
                      <a:fillRect/>
                    </a:stretch>
                  </pic:blipFill>
                  <pic:spPr>
                    <a:xfrm>
                      <a:off x="0" y="0"/>
                      <a:ext cx="5630545" cy="664210"/>
                    </a:xfrm>
                    <a:prstGeom prst="rect">
                      <a:avLst/>
                    </a:prstGeom>
                    <a:noFill/>
                    <a:ln>
                      <a:noFill/>
                    </a:ln>
                  </pic:spPr>
                </pic:pic>
              </a:graphicData>
            </a:graphic>
          </wp:inline>
        </w:drawing>
      </w:r>
    </w:p>
    <w:p>
      <w:pPr>
        <w:pStyle w:val="37"/>
        <w:keepNext w:val="0"/>
        <w:keepLines w:val="0"/>
        <w:pageBreakBefore w:val="0"/>
        <w:kinsoku/>
        <w:wordWrap/>
        <w:topLinePunct w:val="0"/>
        <w:bidi w:val="0"/>
        <w:adjustRightInd w:val="0"/>
        <w:snapToGrid w:val="0"/>
        <w:spacing w:beforeAutospacing="0" w:after="0" w:line="360" w:lineRule="auto"/>
        <w:ind w:left="300" w:right="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故障代码位序示意图（共64个位，对应编码中的bit0至bit63）</w:t>
      </w:r>
    </w:p>
    <w:p>
      <w:pPr>
        <w:pStyle w:val="37"/>
        <w:keepNext w:val="0"/>
        <w:keepLines w:val="0"/>
        <w:pageBreakBefore w:val="0"/>
        <w:kinsoku/>
        <w:wordWrap/>
        <w:topLinePunct w:val="0"/>
        <w:bidi w:val="0"/>
        <w:adjustRightInd w:val="0"/>
        <w:snapToGrid w:val="0"/>
        <w:spacing w:beforeAutospacing="0" w:after="0" w:line="360" w:lineRule="auto"/>
        <w:ind w:left="300" w:right="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故障代码表（位号1对应下位机编程中下标为0的Bit0）：</w:t>
      </w:r>
    </w:p>
    <w:tbl>
      <w:tblPr>
        <w:tblStyle w:val="39"/>
        <w:tblW w:w="4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267"/>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字节号</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位号</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流量过载报警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流量上限报警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流量下限报警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流量限制报警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总量报警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低电预警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低电报警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电极偏差报警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高直流电压（电池电源）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高直流电压（任何电源类型）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线圈电流错误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外部电池故障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测温探头短路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测温探头断路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水温超范围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信号强度过弱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增益报警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E2PROM损坏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坏/电路板异常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换能器故障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空管报警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低阻抗报警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泄漏报警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压力测量故障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GPS定位故障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水表通信故障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ABB内部报警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MID（只读）开关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传感器常见故障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传感器和换能器之间通讯故障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绝缘错误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励磁报警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励磁线圈断开报警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脉冲过载报警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前置放大器过载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声波接收超时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输出脉冲溢出报警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数据库校验和错误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未连接传感器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未连接线圈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消费间隔报警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信号捕获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RTU与水表通信故障（485通信故障）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磁干扰报警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电子模块分离报警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拆盖报警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更换电池报警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bl>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4"/>
        <w:rPr>
          <w:rFonts w:hint="eastAsia" w:ascii="宋体" w:hAnsi="宋体" w:eastAsia="宋体" w:cs="宋体"/>
          <w:b w:val="0"/>
          <w:bCs w:val="0"/>
          <w:color w:val="auto"/>
          <w:sz w:val="21"/>
          <w:szCs w:val="21"/>
          <w:highlight w:val="none"/>
          <w:lang w:val="en-US" w:eastAsia="zh-CN"/>
        </w:rPr>
      </w:pPr>
      <w:bookmarkStart w:id="383" w:name="_Hlt83052354"/>
      <w:bookmarkEnd w:id="383"/>
      <w:bookmarkStart w:id="384" w:name="_Hlt81904847"/>
      <w:bookmarkEnd w:id="384"/>
      <w:bookmarkStart w:id="385" w:name="_Hlt83052982"/>
      <w:bookmarkEnd w:id="385"/>
      <w:bookmarkStart w:id="386" w:name="_Hlt83109267"/>
      <w:bookmarkEnd w:id="386"/>
      <w:bookmarkStart w:id="387" w:name="_Hlt110397250"/>
      <w:bookmarkEnd w:id="387"/>
      <w:bookmarkStart w:id="388" w:name="_Hlt83882565"/>
      <w:bookmarkEnd w:id="388"/>
      <w:bookmarkStart w:id="389" w:name="_Hlt83101431"/>
      <w:bookmarkEnd w:id="389"/>
      <w:r>
        <w:rPr>
          <w:rFonts w:hint="eastAsia" w:ascii="宋体" w:hAnsi="宋体" w:eastAsia="宋体" w:cs="宋体"/>
          <w:b w:val="0"/>
          <w:bCs w:val="0"/>
          <w:color w:val="auto"/>
          <w:sz w:val="21"/>
          <w:szCs w:val="21"/>
          <w:highlight w:val="none"/>
        </w:rPr>
        <w:br w:type="page"/>
      </w:r>
      <w:bookmarkStart w:id="390" w:name="_Toc17817"/>
      <w:bookmarkStart w:id="391" w:name="_Toc25484"/>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bookmarkEnd w:id="390"/>
      <w:bookmarkEnd w:id="391"/>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jc w:val="center"/>
        <w:textAlignment w:val="auto"/>
        <w:outlineLvl w:val="9"/>
        <w:rPr>
          <w:rFonts w:hint="eastAsia" w:ascii="宋体" w:hAnsi="宋体" w:eastAsia="宋体" w:cs="宋体"/>
          <w:b w:val="0"/>
          <w:bCs w:val="0"/>
          <w:color w:val="auto"/>
          <w:sz w:val="21"/>
          <w:szCs w:val="21"/>
          <w:highlight w:val="none"/>
        </w:rPr>
      </w:pPr>
      <w:bookmarkStart w:id="392" w:name="_Toc4659"/>
      <w:bookmarkStart w:id="393" w:name="_Toc7416"/>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bookmarkEnd w:id="392"/>
      <w:bookmarkEnd w:id="393"/>
    </w:p>
    <w:tbl>
      <w:tblPr>
        <w:tblStyle w:val="3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数据段代码（TAG）</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第一时段数据(VALUE)</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第N时段数据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正向瞬时流量（单位：立方米/小时）</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反向瞬时流量（单位：立方米/小时）</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正向累计行度（单位：立方米）</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反向累计行度（单位：立方米）</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净累计行度（单位：立方米）</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扩展数据段</w:t>
            </w: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阀门状态</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电池电压（备注4）</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温度</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35H</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GPS经纬度（备注2）</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8字节浮点数（经度）+8字节浮点数（纬度）</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（经纬度固定只传1个时刻数）</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（经纬度固定只传1个时刻数）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水质数据段</w:t>
            </w: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pH</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浊度</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8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余氯</w:t>
            </w:r>
          </w:p>
        </w:tc>
        <w:tc>
          <w:tcPr>
            <w:tcW w:w="17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bl>
    <w:p>
      <w:pPr>
        <w:pStyle w:val="18"/>
        <w:keepNext w:val="0"/>
        <w:keepLines w:val="0"/>
        <w:pageBreakBefore w:val="0"/>
        <w:kinsoku/>
        <w:wordWrap/>
        <w:topLinePunct w:val="0"/>
        <w:bidi w:val="0"/>
        <w:adjustRightInd w:val="0"/>
        <w:snapToGrid w:val="0"/>
        <w:spacing w:beforeAutospacing="0" w:line="360" w:lineRule="auto"/>
        <w:ind w:right="0"/>
        <w:jc w:val="both"/>
        <w:rPr>
          <w:rFonts w:hint="eastAsia" w:ascii="宋体" w:hAnsi="宋体" w:eastAsia="宋体" w:cs="宋体"/>
          <w:b w:val="0"/>
          <w:bCs w:val="0"/>
          <w:color w:val="auto"/>
          <w:sz w:val="21"/>
          <w:szCs w:val="21"/>
          <w:highlight w:val="none"/>
        </w:rPr>
      </w:pPr>
    </w:p>
    <w:p>
      <w:pPr>
        <w:pStyle w:val="18"/>
        <w:keepNext w:val="0"/>
        <w:keepLines w:val="0"/>
        <w:pageBreakBefore w:val="0"/>
        <w:kinsoku/>
        <w:wordWrap/>
        <w:topLinePunct w:val="0"/>
        <w:bidi w:val="0"/>
        <w:adjustRightInd w:val="0"/>
        <w:snapToGrid w:val="0"/>
        <w:spacing w:beforeAutospacing="0" w:line="360" w:lineRule="auto"/>
        <w:ind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161"/>
        <w:gridCol w:w="1107"/>
        <w:gridCol w:w="992"/>
        <w:gridCol w:w="1384"/>
        <w:gridCol w:w="12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数据段代码</w:t>
            </w:r>
          </w:p>
        </w:tc>
        <w:tc>
          <w:tcPr>
            <w:tcW w:w="11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c>
          <w:tcPr>
            <w:tcW w:w="1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通道总数</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通道号</w:t>
            </w:r>
          </w:p>
        </w:tc>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第一时段数据</w:t>
            </w:r>
          </w:p>
        </w:tc>
        <w:tc>
          <w:tcPr>
            <w:tcW w:w="127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2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第N时段数据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通用数据段</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0AH</w:t>
            </w:r>
          </w:p>
        </w:tc>
        <w:tc>
          <w:tcPr>
            <w:tcW w:w="11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模拟量</w:t>
            </w:r>
          </w:p>
        </w:tc>
        <w:tc>
          <w:tcPr>
            <w:tcW w:w="1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27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2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0BH</w:t>
            </w:r>
          </w:p>
        </w:tc>
        <w:tc>
          <w:tcPr>
            <w:tcW w:w="11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脉冲量</w:t>
            </w:r>
          </w:p>
        </w:tc>
        <w:tc>
          <w:tcPr>
            <w:tcW w:w="1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127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12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0CH</w:t>
            </w:r>
          </w:p>
        </w:tc>
        <w:tc>
          <w:tcPr>
            <w:tcW w:w="11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开关量</w:t>
            </w:r>
          </w:p>
        </w:tc>
        <w:tc>
          <w:tcPr>
            <w:tcW w:w="1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tc>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c>
          <w:tcPr>
            <w:tcW w:w="127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c>
          <w:tcPr>
            <w:tcW w:w="12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0DH</w:t>
            </w:r>
          </w:p>
        </w:tc>
        <w:tc>
          <w:tcPr>
            <w:tcW w:w="11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w:t>
            </w:r>
          </w:p>
        </w:tc>
        <w:tc>
          <w:tcPr>
            <w:tcW w:w="1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c>
          <w:tcPr>
            <w:tcW w:w="127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c>
          <w:tcPr>
            <w:tcW w:w="12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0FH</w:t>
            </w:r>
          </w:p>
        </w:tc>
        <w:tc>
          <w:tcPr>
            <w:tcW w:w="11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127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12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10H</w:t>
            </w:r>
          </w:p>
        </w:tc>
        <w:tc>
          <w:tcPr>
            <w:tcW w:w="11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27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2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11H</w:t>
            </w:r>
          </w:p>
        </w:tc>
        <w:tc>
          <w:tcPr>
            <w:tcW w:w="11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8字节长整型</w:t>
            </w:r>
          </w:p>
        </w:tc>
        <w:tc>
          <w:tcPr>
            <w:tcW w:w="1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27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2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备注1：单位为摄氏度，数值倍率为0.1，例如：数据值315*0.1＝31.5℃；</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备注2：单位为度，东经为正，西经为负，北纬为正，南纬为负。GPS经纬度值占用字节较多，因此每帧数据中只包含一个时刻值即可；</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备注3：若通道总数小于等于8 ，此字节数为1；若通道总数大于8小于等于16此字节数为2。第一个字节的bit0-bit7表示第1—8开关量通道值；第二字节的bit0-bit7表示第9—16开关量通道值；；</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备注4：高字节在前，低字节在后。设备上发时将电压放大100倍后使用整型传输，上位机解码时将数值还原。示例：02H E8H = 744 * 0.01 =7.44V。</w:t>
      </w:r>
    </w:p>
    <w:p>
      <w:pPr>
        <w:pStyle w:val="37"/>
        <w:keepNext w:val="0"/>
        <w:keepLines w:val="0"/>
        <w:pageBreakBefore w:val="0"/>
        <w:kinsoku/>
        <w:wordWrap/>
        <w:topLinePunct w:val="0"/>
        <w:bidi w:val="0"/>
        <w:adjustRightInd w:val="0"/>
        <w:snapToGrid w:val="0"/>
        <w:spacing w:beforeAutospacing="0" w:after="0" w:line="360" w:lineRule="auto"/>
        <w:ind w:left="0" w:leftChars="0" w:right="0" w:firstLine="0" w:firstLineChars="0"/>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四、售后服务及质保期</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投标人须保证对招标人具有完善的售后服务体系。投标人须配合远程设备的通讯调试；</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投标人须提供技术文件资料，包括但不限于在远传调试、移交过程中需要的技术资料、上下行接口文件材料及服务；</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投标人负责向招标人有关人员提供技术培训，使其能对设备进行日常的维护保养及能对一般故障进行维修，并向培训人员提供详细的操作手册、技术维修及调试参数等相关资料；</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投标人须有稳定的售后服务体系，接到招标人的售后需求需在6小时以内做出响应；如需到现场处理，投标人需在接到招标人通知后24小时内到达现场进行处理。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 超声波水表整表（含配套远传模块、计量电池、通讯电池和通讯资费）质保期为6年，</w:t>
      </w:r>
      <w:r>
        <w:rPr>
          <w:rFonts w:hint="eastAsia" w:ascii="宋体" w:hAnsi="宋体" w:eastAsia="宋体" w:cs="宋体"/>
          <w:b w:val="0"/>
          <w:bCs w:val="0"/>
          <w:color w:val="auto"/>
          <w:sz w:val="21"/>
          <w:szCs w:val="21"/>
          <w:highlight w:val="none"/>
          <w:lang w:val="en-US" w:eastAsia="zh-CN"/>
        </w:rPr>
        <w:t>按每批次货物送达招标人指定地点交货验收合格并开具发票之日起算。</w:t>
      </w:r>
      <w:r>
        <w:rPr>
          <w:rFonts w:hint="eastAsia" w:ascii="宋体" w:hAnsi="宋体" w:eastAsia="宋体" w:cs="宋体"/>
          <w:color w:val="auto"/>
          <w:sz w:val="21"/>
          <w:szCs w:val="21"/>
          <w:highlight w:val="none"/>
          <w:lang w:val="en-US" w:eastAsia="zh-CN"/>
        </w:rPr>
        <w:t>质保期内，投标人对货物进行免费保修。</w:t>
      </w:r>
    </w:p>
    <w:p>
      <w:pPr>
        <w:pStyle w:val="37"/>
        <w:keepNext w:val="0"/>
        <w:keepLines w:val="0"/>
        <w:pageBreakBefore w:val="0"/>
        <w:kinsoku/>
        <w:wordWrap/>
        <w:topLinePunct w:val="0"/>
        <w:bidi w:val="0"/>
        <w:adjustRightInd w:val="0"/>
        <w:snapToGrid w:val="0"/>
        <w:spacing w:beforeAutospacing="0" w:after="0" w:line="360" w:lineRule="auto"/>
        <w:ind w:left="0" w:leftChars="0" w:right="0" w:firstLine="0" w:firstLineChars="0"/>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五、货款结算方式</w:t>
      </w:r>
    </w:p>
    <w:p>
      <w:pPr>
        <w:pStyle w:val="37"/>
        <w:keepNext w:val="0"/>
        <w:keepLines w:val="0"/>
        <w:pageBreakBefore w:val="0"/>
        <w:kinsoku/>
        <w:wordWrap/>
        <w:topLinePunct w:val="0"/>
        <w:bidi w:val="0"/>
        <w:adjustRightInd w:val="0"/>
        <w:snapToGrid w:val="0"/>
        <w:spacing w:beforeAutospacing="0" w:after="0" w:line="360" w:lineRule="auto"/>
        <w:ind w:left="0" w:leftChars="0" w:right="0"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p>
    <w:p>
      <w:pPr>
        <w:pStyle w:val="38"/>
        <w:rPr>
          <w:rFonts w:hint="eastAsia"/>
          <w:color w:val="auto"/>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六、货款支付方式</w:t>
      </w:r>
    </w:p>
    <w:p>
      <w:pPr>
        <w:keepNext w:val="0"/>
        <w:keepLines w:val="0"/>
        <w:pageBreakBefore w:val="0"/>
        <w:widowControl w:val="0"/>
        <w:numPr>
          <w:ilvl w:val="1"/>
          <w:numId w:val="0"/>
        </w:numPr>
        <w:kinsoku/>
        <w:wordWrap/>
        <w:overflowPunct/>
        <w:topLinePunct w:val="0"/>
        <w:bidi w:val="0"/>
        <w:adjustRightInd w:val="0"/>
        <w:snapToGrid w:val="0"/>
        <w:spacing w:beforeAutospacing="0" w:line="360" w:lineRule="auto"/>
        <w:ind w:left="0" w:leftChars="0" w:right="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1、招标人发出单笔《供货通知单》后，在收到投标人按本项目合同约定提供与本批次货款等额的订单保函并经招标人财务人员审核合格后30个工作日内，招标人支付至该批货物货款总额（含销项税额）的100%。</w:t>
      </w:r>
    </w:p>
    <w:p>
      <w:pPr>
        <w:keepNext w:val="0"/>
        <w:keepLines w:val="0"/>
        <w:pageBreakBefore w:val="0"/>
        <w:widowControl w:val="0"/>
        <w:kinsoku/>
        <w:wordWrap/>
        <w:overflowPunct/>
        <w:topLinePunct w:val="0"/>
        <w:bidi w:val="0"/>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bookmarkStart w:id="394" w:name="_Toc508"/>
      <w:bookmarkStart w:id="395" w:name="_Toc5687"/>
      <w:r>
        <w:rPr>
          <w:rFonts w:hint="eastAsia" w:ascii="宋体" w:hAnsi="宋体" w:eastAsia="宋体" w:cs="宋体"/>
          <w:b w:val="0"/>
          <w:bCs w:val="0"/>
          <w:color w:val="auto"/>
          <w:sz w:val="21"/>
          <w:szCs w:val="21"/>
          <w:highlight w:val="none"/>
          <w:lang w:val="en-US" w:eastAsia="zh-CN"/>
        </w:rPr>
        <w:t>2、如果依合同中标人应支付违约金或赔偿或其他费用的，招标人有权从上述应支付给中标人的款项中直接扣除，不足部分招标人有权要求中标人另行补足。</w:t>
      </w:r>
      <w:bookmarkEnd w:id="394"/>
      <w:bookmarkEnd w:id="395"/>
    </w:p>
    <w:p>
      <w:pPr>
        <w:ind w:firstLine="420" w:firstLineChars="200"/>
        <w:rPr>
          <w:rFonts w:hint="eastAsia" w:ascii="宋体" w:hAnsi="宋体" w:eastAsia="宋体" w:cs="宋体"/>
          <w:b w:val="0"/>
          <w:bCs w:val="0"/>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七、预算表</w:t>
      </w:r>
    </w:p>
    <w:tbl>
      <w:tblPr>
        <w:tblStyle w:val="3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
        <w:gridCol w:w="942"/>
        <w:gridCol w:w="975"/>
        <w:gridCol w:w="3121"/>
        <w:gridCol w:w="552"/>
        <w:gridCol w:w="759"/>
        <w:gridCol w:w="1767"/>
        <w:gridCol w:w="1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5"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名称</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口径规格</w:t>
            </w:r>
          </w:p>
        </w:tc>
        <w:tc>
          <w:tcPr>
            <w:tcW w:w="15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技术指标</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单位</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数量</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不含税预算综合单价（元）</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1 </w:t>
            </w:r>
          </w:p>
        </w:tc>
        <w:tc>
          <w:tcPr>
            <w:tcW w:w="454" w:type="pct"/>
            <w:vMerge w:val="restart"/>
            <w:tcBorders>
              <w:top w:val="single" w:color="000000" w:sz="4" w:space="0"/>
              <w:left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缩径超声波水表 </w:t>
            </w:r>
          </w:p>
        </w:tc>
        <w:tc>
          <w:tcPr>
            <w:tcW w:w="47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505" w:type="pct"/>
            <w:vMerge w:val="restart"/>
            <w:tcBorders>
              <w:top w:val="single" w:color="000000" w:sz="4" w:space="0"/>
              <w:left w:val="single" w:color="000000" w:sz="4" w:space="0"/>
              <w:right w:val="single" w:color="000000" w:sz="4" w:space="0"/>
            </w:tcBorders>
            <w:shd w:val="clear" w:color="FDE9D9" w:fill="FFFFFF"/>
            <w:noWrap w:val="0"/>
            <w:vAlign w:val="center"/>
          </w:tcPr>
          <w:p>
            <w:pPr>
              <w:keepNext w:val="0"/>
              <w:keepLines w:val="0"/>
              <w:widowControl/>
              <w:suppressLineNumbers w:val="0"/>
              <w:jc w:val="lef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1.配件要求：每台超声波水表需包含1套远传模块和2个垫圈，不含法兰;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2.表体材质为不锈钢；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3.内置锂电池，无须外部供电;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4.具体详见用户需求书.</w:t>
            </w:r>
          </w:p>
        </w:tc>
        <w:tc>
          <w:tcPr>
            <w:tcW w:w="2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588</w:t>
            </w:r>
          </w:p>
        </w:tc>
        <w:tc>
          <w:tcPr>
            <w:tcW w:w="852"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2018.22</w:t>
            </w:r>
          </w:p>
        </w:tc>
        <w:tc>
          <w:tcPr>
            <w:tcW w:w="72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1186713.36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2 </w:t>
            </w:r>
          </w:p>
        </w:tc>
        <w:tc>
          <w:tcPr>
            <w:tcW w:w="454"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505" w:type="pct"/>
            <w:vMerge w:val="continue"/>
            <w:tcBorders>
              <w:left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779</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2272.32</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1770137.28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3 </w:t>
            </w:r>
          </w:p>
        </w:tc>
        <w:tc>
          <w:tcPr>
            <w:tcW w:w="454"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505" w:type="pct"/>
            <w:vMerge w:val="continue"/>
            <w:tcBorders>
              <w:left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314</w:t>
            </w:r>
          </w:p>
        </w:tc>
        <w:tc>
          <w:tcPr>
            <w:tcW w:w="852"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2751.77</w:t>
            </w:r>
          </w:p>
        </w:tc>
        <w:tc>
          <w:tcPr>
            <w:tcW w:w="72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864055.78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4 </w:t>
            </w:r>
          </w:p>
        </w:tc>
        <w:tc>
          <w:tcPr>
            <w:tcW w:w="454"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505" w:type="pct"/>
            <w:vMerge w:val="continue"/>
            <w:tcBorders>
              <w:left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76</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3482.98</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264706.48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454" w:type="pct"/>
            <w:vMerge w:val="continue"/>
            <w:tcBorders>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1505" w:type="pct"/>
            <w:vMerge w:val="continue"/>
            <w:tcBorders>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23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4203.20</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96673.6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6 </w:t>
            </w:r>
          </w:p>
        </w:tc>
        <w:tc>
          <w:tcPr>
            <w:tcW w:w="454" w:type="pct"/>
            <w:vMerge w:val="restart"/>
            <w:tcBorders>
              <w:top w:val="single" w:color="000000" w:sz="4" w:space="0"/>
              <w:left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通径超声波水表 </w:t>
            </w:r>
          </w:p>
        </w:tc>
        <w:tc>
          <w:tcPr>
            <w:tcW w:w="47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505" w:type="pct"/>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lef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1.配件要求：每台超声波水表需包含1套远传模块和2个垫圈，不含法兰;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2.表体材质为不锈钢；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3.内置锂电池，无须外部供电;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4.具体详见用户需求书.</w:t>
            </w:r>
          </w:p>
        </w:tc>
        <w:tc>
          <w:tcPr>
            <w:tcW w:w="2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160</w:t>
            </w:r>
          </w:p>
        </w:tc>
        <w:tc>
          <w:tcPr>
            <w:tcW w:w="852"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2089.78</w:t>
            </w:r>
          </w:p>
        </w:tc>
        <w:tc>
          <w:tcPr>
            <w:tcW w:w="72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334364.8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7 </w:t>
            </w:r>
          </w:p>
        </w:tc>
        <w:tc>
          <w:tcPr>
            <w:tcW w:w="454"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505"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249</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2322.84</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578387.16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8 </w:t>
            </w:r>
          </w:p>
        </w:tc>
        <w:tc>
          <w:tcPr>
            <w:tcW w:w="454"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505"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250</w:t>
            </w:r>
          </w:p>
        </w:tc>
        <w:tc>
          <w:tcPr>
            <w:tcW w:w="852"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2822.22</w:t>
            </w:r>
          </w:p>
        </w:tc>
        <w:tc>
          <w:tcPr>
            <w:tcW w:w="72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705555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9 </w:t>
            </w:r>
          </w:p>
        </w:tc>
        <w:tc>
          <w:tcPr>
            <w:tcW w:w="454"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505"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111</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3487.51</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387113.61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10</w:t>
            </w:r>
          </w:p>
        </w:tc>
        <w:tc>
          <w:tcPr>
            <w:tcW w:w="454"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DN250</w:t>
            </w:r>
          </w:p>
        </w:tc>
        <w:tc>
          <w:tcPr>
            <w:tcW w:w="1505"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15</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4533.60</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68004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11</w:t>
            </w:r>
          </w:p>
        </w:tc>
        <w:tc>
          <w:tcPr>
            <w:tcW w:w="454" w:type="pct"/>
            <w:vMerge w:val="continue"/>
            <w:tcBorders>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1505" w:type="pct"/>
            <w:vMerge w:val="continue"/>
            <w:tcBorders>
              <w:top w:val="single" w:color="000000" w:sz="4" w:space="0"/>
              <w:left w:val="single" w:color="000000" w:sz="4" w:space="0"/>
              <w:bottom w:val="single" w:color="auto"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33</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5579.69</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184129.77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汇总</w:t>
            </w:r>
          </w:p>
        </w:tc>
        <w:tc>
          <w:tcPr>
            <w:tcW w:w="454"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b w:val="0"/>
                <w:bCs/>
                <w:i w:val="0"/>
                <w:iCs w:val="0"/>
                <w:color w:val="auto"/>
                <w:sz w:val="21"/>
                <w:szCs w:val="21"/>
                <w:highlight w:val="none"/>
                <w:u w:val="none"/>
              </w:rPr>
            </w:pPr>
          </w:p>
        </w:tc>
        <w:tc>
          <w:tcPr>
            <w:tcW w:w="1505" w:type="pct"/>
            <w:tcBorders>
              <w:top w:val="single" w:color="auto"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1"/>
                <w:szCs w:val="21"/>
                <w:highlight w:val="none"/>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rPr>
              <w:t>2598</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1"/>
                <w:szCs w:val="21"/>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6439840.84</w:t>
            </w:r>
          </w:p>
        </w:tc>
      </w:tr>
    </w:tbl>
    <w:p>
      <w:pPr>
        <w:rPr>
          <w:color w:val="auto"/>
          <w:highlight w:val="none"/>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b w:val="0"/>
          <w:bCs/>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96" w:name="_Toc32534"/>
      <w:bookmarkStart w:id="397" w:name="_Toc142508359"/>
      <w:bookmarkStart w:id="398" w:name="_Toc450662892"/>
      <w:bookmarkStart w:id="399" w:name="_Toc486167707"/>
      <w:bookmarkStart w:id="400" w:name="_Toc4351"/>
      <w:bookmarkStart w:id="401" w:name="_Toc11281_WPSOffice_Level1"/>
      <w:bookmarkStart w:id="402" w:name="_Toc19477"/>
      <w:bookmarkStart w:id="403" w:name="_Toc773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96"/>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东莞市供水计量设施更新项目（2025年计量仪表采购）－超声波水表</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w:t>
      </w:r>
      <w:r>
        <w:rPr>
          <w:rFonts w:hint="eastAsia" w:ascii="宋体" w:hAnsi="宋体" w:eastAsia="宋体" w:cs="Times New Roman"/>
          <w:b/>
          <w:bCs/>
          <w:color w:val="auto"/>
          <w:kern w:val="0"/>
          <w:sz w:val="24"/>
          <w:szCs w:val="21"/>
          <w:highlight w:val="none"/>
          <w:lang w:val="en-US" w:eastAsia="zh-CN"/>
        </w:rPr>
        <w:t xml:space="preserve">    </w:t>
      </w:r>
      <w:r>
        <w:rPr>
          <w:rFonts w:hint="eastAsia" w:ascii="宋体" w:hAnsi="宋体" w:eastAsia="宋体" w:cs="Times New Roman"/>
          <w:b/>
          <w:bCs/>
          <w:color w:val="auto"/>
          <w:kern w:val="0"/>
          <w:sz w:val="24"/>
          <w:szCs w:val="21"/>
          <w:highlight w:val="none"/>
        </w:rPr>
        <w:t>）</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东莞市水务集团供水有限公司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p>
    <w:p>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autoSpaceDE w:val="0"/>
        <w:autoSpaceDN w:val="0"/>
        <w:adjustRightInd w:val="0"/>
        <w:jc w:val="left"/>
        <w:rPr>
          <w:rFonts w:ascii="宋体" w:hAnsi="宋体" w:eastAsia="宋体" w:cs="宋体"/>
          <w:b/>
          <w:bCs/>
          <w:color w:val="auto"/>
          <w:kern w:val="0"/>
          <w:sz w:val="28"/>
          <w:szCs w:val="28"/>
          <w:highlight w:val="none"/>
        </w:rPr>
      </w:pPr>
    </w:p>
    <w:p>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pPr>
        <w:keepNext w:val="0"/>
        <w:keepLines w:val="0"/>
        <w:pageBreakBefore w:val="0"/>
        <w:widowControl w:val="0"/>
        <w:kinsoku/>
        <w:wordWrap/>
        <w:overflowPunct/>
        <w:topLinePunct w:val="0"/>
        <w:bidi w:val="0"/>
        <w:adjustRightInd w:val="0"/>
        <w:snapToGrid w:val="0"/>
        <w:spacing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single"/>
        </w:rPr>
        <w:t>东莞市水务集团供水有限公司</w:t>
      </w:r>
    </w:p>
    <w:p>
      <w:pPr>
        <w:keepNext w:val="0"/>
        <w:keepLines w:val="0"/>
        <w:pageBreakBefore w:val="0"/>
        <w:widowControl w:val="0"/>
        <w:kinsoku/>
        <w:wordWrap/>
        <w:overflowPunct/>
        <w:topLinePunct w:val="0"/>
        <w:bidi w:val="0"/>
        <w:adjustRightInd w:val="0"/>
        <w:snapToGrid w:val="0"/>
        <w:spacing w:line="360" w:lineRule="auto"/>
        <w:ind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日公示的</w:t>
      </w:r>
      <w:r>
        <w:rPr>
          <w:rFonts w:hint="eastAsia" w:ascii="宋体" w:hAnsi="宋体" w:eastAsia="宋体" w:cs="宋体"/>
          <w:color w:val="auto"/>
          <w:sz w:val="21"/>
          <w:szCs w:val="21"/>
          <w:highlight w:val="none"/>
          <w:u w:val="single"/>
        </w:rPr>
        <w:t xml:space="preserve"> 东莞市供水计量设施更新项目（2025年计量仪表采购）－超声波水表</w:t>
      </w:r>
      <w:r>
        <w:rPr>
          <w:rFonts w:hint="eastAsia" w:ascii="宋体" w:hAnsi="宋体" w:eastAsia="宋体" w:cs="宋体"/>
          <w:color w:val="auto"/>
          <w:sz w:val="21"/>
          <w:szCs w:val="21"/>
          <w:highlight w:val="none"/>
        </w:rPr>
        <w:t>中标结果（招标编号：</w:t>
      </w:r>
      <w:r>
        <w:rPr>
          <w:rFonts w:hint="eastAsia" w:ascii="宋体" w:hAnsi="宋体" w:eastAsia="宋体" w:cs="宋体"/>
          <w:color w:val="auto"/>
          <w:sz w:val="21"/>
          <w:szCs w:val="21"/>
          <w:highlight w:val="none"/>
          <w:u w:val="single"/>
        </w:rPr>
        <w:t>0832-SFCX25DG078A</w:t>
      </w:r>
      <w:r>
        <w:rPr>
          <w:rFonts w:hint="eastAsia" w:ascii="宋体" w:hAnsi="宋体" w:eastAsia="宋体" w:cs="宋体"/>
          <w:color w:val="auto"/>
          <w:sz w:val="21"/>
          <w:szCs w:val="21"/>
          <w:highlight w:val="none"/>
        </w:rPr>
        <w:t>）和招标文件的要求，经双方协商一致，签订本合同。</w:t>
      </w:r>
    </w:p>
    <w:p>
      <w:pPr>
        <w:keepNext w:val="0"/>
        <w:keepLines w:val="0"/>
        <w:pageBreakBefore w:val="0"/>
        <w:widowControl w:val="0"/>
        <w:kinsoku/>
        <w:wordWrap/>
        <w:overflowPunct/>
        <w:topLinePunct w:val="0"/>
        <w:bidi w:val="0"/>
        <w:adjustRightInd w:val="0"/>
        <w:snapToGrid w:val="0"/>
        <w:spacing w:line="360" w:lineRule="auto"/>
        <w:ind w:right="0" w:firstLine="373" w:firstLineChars="177"/>
        <w:rPr>
          <w:rFonts w:hint="eastAsia" w:ascii="宋体" w:hAnsi="宋体" w:eastAsia="宋体" w:cs="宋体"/>
          <w:b/>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清单：详见附件。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乙方知悉并同意：本合同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清单中的采购数量为暂定数量，仅为便于计算合同暂定价使用，不作为甲方最终采购数量的保证。</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最终采购数量</w:t>
      </w:r>
      <w:r>
        <w:rPr>
          <w:rFonts w:hint="eastAsia" w:ascii="宋体" w:hAnsi="宋体" w:eastAsia="宋体" w:cs="宋体"/>
          <w:color w:val="auto"/>
          <w:szCs w:val="21"/>
          <w:highlight w:val="none"/>
        </w:rPr>
        <w:t>以甲方实际采购</w:t>
      </w:r>
      <w:r>
        <w:rPr>
          <w:rFonts w:hint="eastAsia" w:ascii="Times New Roman" w:hAnsi="Times New Roman" w:eastAsia="宋体" w:cs="Times New Roman"/>
          <w:color w:val="auto"/>
          <w:szCs w:val="21"/>
          <w:highlight w:val="none"/>
          <w:lang w:val="en-US" w:eastAsia="zh-CN"/>
        </w:rPr>
        <w:t>且经甲方验收合格的货物</w:t>
      </w:r>
      <w:r>
        <w:rPr>
          <w:rFonts w:hint="eastAsia" w:ascii="Times New Roman" w:hAnsi="Times New Roman" w:eastAsia="宋体" w:cs="Times New Roman"/>
          <w:color w:val="auto"/>
          <w:szCs w:val="21"/>
          <w:highlight w:val="none"/>
        </w:rPr>
        <w:t>数量为准</w:t>
      </w:r>
      <w:r>
        <w:rPr>
          <w:rFonts w:hint="eastAsia" w:ascii="宋体" w:hAnsi="宋体" w:eastAsia="宋体" w:cs="宋体"/>
          <w:color w:val="auto"/>
          <w:szCs w:val="21"/>
          <w:highlight w:val="none"/>
        </w:rPr>
        <w:t>，按实结算。</w:t>
      </w:r>
      <w:r>
        <w:rPr>
          <w:rFonts w:hint="eastAsia" w:ascii="宋体" w:hAnsi="宋体" w:eastAsia="宋体" w:cs="宋体"/>
          <w:color w:val="auto"/>
          <w:kern w:val="2"/>
          <w:sz w:val="21"/>
          <w:szCs w:val="21"/>
          <w:highlight w:val="none"/>
          <w:lang w:val="en-US"/>
        </w:rPr>
        <w:t>供货期为</w:t>
      </w:r>
      <w:r>
        <w:rPr>
          <w:rFonts w:hint="eastAsia" w:ascii="宋体" w:hAnsi="宋体" w:eastAsia="宋体" w:cs="宋体"/>
          <w:color w:val="auto"/>
          <w:kern w:val="2"/>
          <w:sz w:val="21"/>
          <w:szCs w:val="21"/>
          <w:highlight w:val="none"/>
          <w:lang w:val="en-US" w:eastAsia="zh-CN"/>
        </w:rPr>
        <w:t>自</w:t>
      </w:r>
      <w:r>
        <w:rPr>
          <w:rFonts w:hint="eastAsia" w:ascii="宋体" w:hAnsi="宋体" w:eastAsia="宋体" w:cs="宋体"/>
          <w:color w:val="auto"/>
          <w:kern w:val="2"/>
          <w:sz w:val="21"/>
          <w:szCs w:val="21"/>
          <w:highlight w:val="none"/>
          <w:lang w:val="en-US"/>
        </w:rPr>
        <w:t>合同签订之日起</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rPr>
        <w:t>年。</w:t>
      </w:r>
      <w:r>
        <w:rPr>
          <w:rFonts w:hint="eastAsia" w:ascii="宋体" w:hAnsi="宋体" w:eastAsia="宋体" w:cs="宋体"/>
          <w:color w:val="auto"/>
          <w:szCs w:val="21"/>
          <w:highlight w:val="none"/>
        </w:rPr>
        <w:t>在供货期内，乙方不得因甲方实际采购数量的减少或增加而要求甲方作出任何形式的补偿或赔偿，或要求甲方按暂定数量采购相应货物。</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合同暂定价</w:t>
      </w:r>
    </w:p>
    <w:p>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1、本合同价采用折扣系数，本项目执行的中标折扣系数为：</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。合同履约过程中，</w:t>
      </w:r>
      <w:r>
        <w:rPr>
          <w:rFonts w:hint="eastAsia" w:ascii="宋体" w:hAnsi="宋体" w:eastAsia="宋体" w:cs="宋体"/>
          <w:color w:val="auto"/>
          <w:kern w:val="2"/>
          <w:sz w:val="21"/>
          <w:szCs w:val="21"/>
          <w:highlight w:val="none"/>
          <w:lang w:val="en-US" w:eastAsia="zh-CN" w:bidi="ar-SA"/>
        </w:rPr>
        <w:t>按货物清单中不含税中标综合单价以</w:t>
      </w:r>
      <w:r>
        <w:rPr>
          <w:rFonts w:hint="eastAsia" w:ascii="Times New Roman" w:hAnsi="Times New Roman" w:eastAsia="宋体" w:cs="Times New Roman"/>
          <w:color w:val="auto"/>
          <w:szCs w:val="21"/>
          <w:highlight w:val="none"/>
        </w:rPr>
        <w:t>甲方实际采购</w:t>
      </w:r>
      <w:r>
        <w:rPr>
          <w:rFonts w:hint="eastAsia" w:ascii="Times New Roman" w:hAnsi="Times New Roman" w:eastAsia="宋体" w:cs="Times New Roman"/>
          <w:color w:val="auto"/>
          <w:szCs w:val="21"/>
          <w:highlight w:val="none"/>
          <w:lang w:val="en-US" w:eastAsia="zh-CN"/>
        </w:rPr>
        <w:t>且经甲方验收合格的货物</w:t>
      </w:r>
      <w:r>
        <w:rPr>
          <w:rFonts w:hint="eastAsia" w:ascii="宋体" w:hAnsi="宋体" w:eastAsia="宋体" w:cs="宋体"/>
          <w:color w:val="auto"/>
          <w:kern w:val="2"/>
          <w:sz w:val="21"/>
          <w:szCs w:val="21"/>
          <w:highlight w:val="none"/>
          <w:lang w:val="en-US" w:eastAsia="zh-CN" w:bidi="ar-SA"/>
        </w:rPr>
        <w:t>数量进行结算</w:t>
      </w:r>
      <w:r>
        <w:rPr>
          <w:rFonts w:hint="eastAsia" w:ascii="宋体" w:hAnsi="宋体" w:eastAsia="宋体" w:cs="Times New Roman"/>
          <w:color w:val="auto"/>
          <w:kern w:val="2"/>
          <w:sz w:val="21"/>
          <w:szCs w:val="21"/>
          <w:highlight w:val="none"/>
          <w:lang w:val="en-US" w:eastAsia="zh-CN" w:bidi="ar-SA"/>
        </w:rPr>
        <w:t>：不含税中标综合单价=不含税预算综合单价×中标折扣系数，以</w:t>
      </w:r>
      <w:r>
        <w:rPr>
          <w:rFonts w:hint="eastAsia" w:ascii="Times New Roman" w:hAnsi="Times New Roman" w:eastAsia="宋体" w:cs="Times New Roman"/>
          <w:color w:val="auto"/>
          <w:szCs w:val="21"/>
          <w:highlight w:val="none"/>
        </w:rPr>
        <w:t>甲方实际采购</w:t>
      </w:r>
      <w:r>
        <w:rPr>
          <w:rFonts w:hint="eastAsia" w:ascii="Times New Roman" w:hAnsi="Times New Roman" w:eastAsia="宋体" w:cs="Times New Roman"/>
          <w:color w:val="auto"/>
          <w:szCs w:val="21"/>
          <w:highlight w:val="none"/>
          <w:lang w:val="en-US" w:eastAsia="zh-CN"/>
        </w:rPr>
        <w:t>且经甲方验收合格的货物</w:t>
      </w:r>
      <w:r>
        <w:rPr>
          <w:rFonts w:hint="eastAsia" w:ascii="宋体" w:hAnsi="宋体" w:eastAsia="宋体" w:cs="Times New Roman"/>
          <w:color w:val="auto"/>
          <w:kern w:val="2"/>
          <w:sz w:val="21"/>
          <w:szCs w:val="21"/>
          <w:highlight w:val="none"/>
          <w:lang w:val="en-US" w:eastAsia="zh-CN" w:bidi="ar-SA"/>
        </w:rPr>
        <w:t>数量进行结算，不含税中标综合单价出现小数点，保留小数点后两位，从小数点后第3位四舍五入，具体不含税预算综合单价详见附件《用户需求书》。对应招标时暂列采购数量清单计算的合同暂定价（即销售额，不含销项税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）。在本合同履行过程中，合同暂定价（即销售额，不含乙方销项税额）不随法律法规政策、物价人工调整而进行调整，未经甲方书面确认，乙方无权增加任何费用。</w:t>
      </w:r>
    </w:p>
    <w:p>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2、依法计得并根据本合同约定确定的销项税额由甲方承担。根据《中华人民共和国增值税暂行条例》（国务院令第691号修订版）及当前税务部门的相关规定，本合同项目的增值税税率为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，对应暂定的销项税额为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在本合同履行过程中，税收政策变动导致增值税税率调整，依法应调整销项税额的，依法调整；但因乙方未按合同约定完成供货、未根据合同约定提供合法、完整的请款资料、项目验收不合格导致的返工或退货、项目验收合格前的非正常损耗等原因导致销项税额增加的，相应损失由乙方承担。</w:t>
      </w:r>
    </w:p>
    <w:p>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因乙方未按法定税率计算税额或未根据本合同约定出具对应税额的增值税普通发票等乙方原因导致甲方多支付税额的，乙方必须退还甲方，给甲方造成损失的，乙方须向甲方赔偿相应损失。</w:t>
      </w:r>
    </w:p>
    <w:p>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3、合同暂定总价（含销项税额）合计为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）（详见附件），如合同履行期间根据本条第2项规定调整销项税额的，则结算时合同暂定总价（含销项税额）合计对应调整。</w:t>
      </w:r>
    </w:p>
    <w:p>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4、合同暂定价（不含销项税额）为乙方完成合同义务的全部费用，包括但不限于：</w:t>
      </w:r>
    </w:p>
    <w:p>
      <w:pP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Times New Roman"/>
          <w:color w:val="auto"/>
          <w:szCs w:val="21"/>
          <w:highlight w:val="none"/>
        </w:rPr>
        <w:t>（1）</w:t>
      </w:r>
      <w:r>
        <w:rPr>
          <w:rFonts w:hint="eastAsia" w:ascii="Times New Roman" w:hAnsi="Times New Roman" w:eastAsia="宋体" w:cs="Times New Roman"/>
          <w:color w:val="auto"/>
          <w:szCs w:val="21"/>
          <w:highlight w:val="none"/>
        </w:rPr>
        <w:t>合同</w:t>
      </w:r>
      <w:r>
        <w:rPr>
          <w:rFonts w:hint="eastAsia" w:ascii="宋体" w:hAnsi="宋体" w:eastAsia="宋体" w:cs="Times New Roman"/>
          <w:color w:val="auto"/>
          <w:szCs w:val="21"/>
          <w:highlight w:val="none"/>
        </w:rPr>
        <w:t>供货范围内所有水表及其附件的制造及系统集成、</w:t>
      </w:r>
      <w:r>
        <w:rPr>
          <w:rFonts w:hint="eastAsia" w:ascii="宋体" w:hAnsi="宋体" w:eastAsia="宋体" w:cs="Times New Roman"/>
          <w:color w:val="auto"/>
          <w:szCs w:val="21"/>
          <w:highlight w:val="none"/>
          <w:lang w:val="en-US" w:eastAsia="zh-CN"/>
        </w:rPr>
        <w:t>印刷费、</w:t>
      </w:r>
      <w:r>
        <w:rPr>
          <w:rFonts w:hint="eastAsia" w:ascii="宋体" w:hAnsi="宋体" w:eastAsia="宋体" w:cs="Times New Roman"/>
          <w:color w:val="auto"/>
          <w:szCs w:val="21"/>
          <w:highlight w:val="none"/>
        </w:rPr>
        <w:t>检定、运输（至</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指定的仓库或</w:t>
      </w:r>
      <w:r>
        <w:rPr>
          <w:rFonts w:hint="eastAsia" w:ascii="Times New Roman" w:hAnsi="Times New Roman" w:eastAsia="宋体" w:cs="Times New Roman"/>
          <w:color w:val="auto"/>
          <w:szCs w:val="24"/>
          <w:highlight w:val="none"/>
          <w:lang w:eastAsia="zh-CN"/>
        </w:rPr>
        <w:t>项目</w:t>
      </w:r>
      <w:r>
        <w:rPr>
          <w:rFonts w:hint="eastAsia" w:ascii="宋体" w:hAnsi="宋体" w:eastAsia="宋体" w:cs="Times New Roman"/>
          <w:color w:val="auto"/>
          <w:szCs w:val="21"/>
          <w:highlight w:val="none"/>
        </w:rPr>
        <w:t>现场）、保险、装卸、远传调试，验收等费用</w:t>
      </w:r>
      <w:r>
        <w:rPr>
          <w:rFonts w:hint="eastAsia" w:ascii="宋体" w:hAnsi="宋体" w:eastAsia="宋体" w:cs="Times New Roman"/>
          <w:color w:val="auto"/>
          <w:szCs w:val="21"/>
          <w:highlight w:val="none"/>
          <w:lang w:val="zh-CN"/>
        </w:rPr>
        <w:t>；</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pPr>
        <w:adjustRightInd w:val="0"/>
        <w:snapToGrid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Times New Roman" w:hAnsi="Times New Roman" w:eastAsia="宋体" w:cs="Times New Roman"/>
          <w:color w:val="auto"/>
          <w:szCs w:val="21"/>
          <w:highlight w:val="none"/>
        </w:rPr>
        <w:t>验收时为达到相关标准而可能增加的、不合格货物更换、零配件更换等费用</w:t>
      </w:r>
      <w:r>
        <w:rPr>
          <w:rFonts w:hint="eastAsia" w:ascii="宋体" w:hAnsi="宋体" w:eastAsia="宋体" w:cs="Times New Roman"/>
          <w:color w:val="auto"/>
          <w:szCs w:val="21"/>
          <w:highlight w:val="none"/>
          <w:lang w:val="zh-CN"/>
        </w:rPr>
        <w:t>；</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（4）设备备品备件（含零配件）、设备拆装维修所需特殊专用工具购置费；</w:t>
      </w:r>
    </w:p>
    <w:p>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Times New Roman" w:hAnsi="Times New Roman" w:eastAsia="宋体" w:cs="Times New Roman"/>
          <w:color w:val="auto"/>
          <w:szCs w:val="21"/>
          <w:highlight w:val="none"/>
        </w:rPr>
        <w:t>日常技术指导，免费的质保期保修服务，包括但不限于对设备的运行指导，免费维修、保修或更换配件，在设备出现严重故障、影响正常运行、修复有困难的情况下，对设备进行免费更换的费用；</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（6）招标</w:t>
      </w:r>
      <w:r>
        <w:rPr>
          <w:rFonts w:hint="eastAsia" w:ascii="宋体" w:hAnsi="宋体" w:eastAsia="宋体" w:cs="Times New Roman"/>
          <w:color w:val="auto"/>
          <w:szCs w:val="21"/>
          <w:highlight w:val="none"/>
          <w:lang w:eastAsia="zh-CN"/>
        </w:rPr>
        <w:t>供货清单</w:t>
      </w:r>
      <w:r>
        <w:rPr>
          <w:rFonts w:hint="eastAsia" w:ascii="宋体" w:hAnsi="宋体" w:eastAsia="宋体" w:cs="Times New Roman"/>
          <w:color w:val="auto"/>
          <w:szCs w:val="21"/>
          <w:highlight w:val="none"/>
        </w:rPr>
        <w:t>虽未列出，但根据设计图纸或为满足设计功能所必需的设备材料购置费；</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（7）合理利润、</w:t>
      </w:r>
      <w:r>
        <w:rPr>
          <w:rFonts w:hint="eastAsia" w:ascii="Times New Roman" w:hAnsi="宋体" w:eastAsia="宋体" w:cs="Times New Roman"/>
          <w:color w:val="auto"/>
          <w:szCs w:val="21"/>
          <w:highlight w:val="none"/>
          <w:lang w:val="zh-CN"/>
        </w:rPr>
        <w:t>乙方销项税额以外的税费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中标服务费</w:t>
      </w:r>
      <w:r>
        <w:rPr>
          <w:rFonts w:hint="eastAsia" w:ascii="宋体" w:hAnsi="宋体" w:eastAsia="宋体" w:cs="Times New Roman"/>
          <w:color w:val="auto"/>
          <w:szCs w:val="21"/>
          <w:highlight w:val="none"/>
        </w:rPr>
        <w:t>等；</w:t>
      </w:r>
    </w:p>
    <w:p>
      <w:pPr>
        <w:adjustRightInd w:val="0"/>
        <w:snapToGrid w:val="0"/>
        <w:spacing w:line="360" w:lineRule="auto"/>
        <w:ind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（8）法律法规、</w:t>
      </w:r>
      <w:r>
        <w:rPr>
          <w:rFonts w:hint="eastAsia" w:ascii="宋体" w:hAnsi="宋体" w:eastAsia="宋体" w:cs="Times New Roman"/>
          <w:color w:val="auto"/>
          <w:szCs w:val="21"/>
          <w:highlight w:val="none"/>
          <w:lang w:val="zh-CN"/>
        </w:rPr>
        <w:t>商业公认、招标文件规定由乙方承担的其他费用。</w:t>
      </w:r>
    </w:p>
    <w:p>
      <w:pPr>
        <w:widowControl w:val="0"/>
        <w:tabs>
          <w:tab w:val="left" w:pos="0"/>
        </w:tabs>
        <w:adjustRightInd w:val="0"/>
        <w:snapToGrid w:val="0"/>
        <w:spacing w:line="360" w:lineRule="auto"/>
        <w:ind w:firstLine="420"/>
        <w:jc w:val="both"/>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执行合同过程中如发现有任何货物（含配件、技术资料等）漏项或短缺，虽然在乙方的投标报价表中并未列入，但为保证合同设备的性能、满足招标文件要求功能的正常运行要求所必须的，均应由乙方负责将所缺的货物补齐，其费用包括在合同价中。需补齐的货物，乙方应在接到甲方通知之日起</w:t>
      </w:r>
      <w:r>
        <w:rPr>
          <w:rFonts w:ascii="宋体" w:hAnsi="宋体" w:eastAsia="宋体" w:cs="Times New Roman"/>
          <w:color w:val="auto"/>
          <w:kern w:val="2"/>
          <w:sz w:val="21"/>
          <w:szCs w:val="21"/>
          <w:highlight w:val="none"/>
          <w:lang w:val="en-US" w:eastAsia="zh-CN" w:bidi="ar-SA"/>
        </w:rPr>
        <w:t>10</w:t>
      </w:r>
      <w:r>
        <w:rPr>
          <w:rFonts w:hint="eastAsia" w:ascii="宋体" w:hAnsi="宋体" w:eastAsia="宋体" w:cs="Times New Roman"/>
          <w:color w:val="auto"/>
          <w:kern w:val="2"/>
          <w:sz w:val="21"/>
          <w:szCs w:val="21"/>
          <w:highlight w:val="none"/>
          <w:lang w:val="en-US" w:eastAsia="zh-CN" w:bidi="ar-SA"/>
        </w:rPr>
        <w:t>日内交齐，否则将视为逾期交货。</w:t>
      </w:r>
    </w:p>
    <w:p>
      <w:pPr>
        <w:tabs>
          <w:tab w:val="left" w:pos="0"/>
        </w:tabs>
        <w:adjustRightInd w:val="0"/>
        <w:snapToGrid w:val="0"/>
        <w:spacing w:line="360" w:lineRule="auto"/>
        <w:ind w:firstLine="422" w:firstLineChars="200"/>
        <w:textAlignment w:val="baseline"/>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合同组成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含用户需求书）、答疑文件、投标文件及相关承诺、协议等均为本合同不可分割之一部分，与本合同同具法律效力，该等文件与本合同正文约定不一致的，以合同正文约定为准，本合同正文未约定的，前述该等文件有约定的，按该等文件执行。</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技术要求</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保证所提供货物均为采用合格材料和工艺制成的全新一手的未使用过的原装产品，并完全符合甲方招标文件“用户需求书”中要求及乙方投标文件承诺的质量、规格标准；同时乙方所提供货物，必须符合国家有关法律法规和</w:t>
      </w:r>
      <w:r>
        <w:rPr>
          <w:rFonts w:hint="eastAsia" w:ascii="宋体" w:hAnsi="宋体" w:eastAsia="宋体" w:cs="Times New Roman"/>
          <w:color w:val="auto"/>
          <w:szCs w:val="21"/>
          <w:highlight w:val="none"/>
          <w:lang w:val="en-US" w:eastAsia="zh-CN"/>
        </w:rPr>
        <w:t>生态环境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市场监督等</w:t>
      </w:r>
      <w:r>
        <w:rPr>
          <w:rFonts w:hint="eastAsia" w:ascii="宋体" w:hAnsi="宋体" w:eastAsia="宋体" w:cs="Times New Roman"/>
          <w:color w:val="auto"/>
          <w:szCs w:val="21"/>
          <w:highlight w:val="none"/>
        </w:rPr>
        <w:t>主管部门要求及甲方的技术要求，不存在侵犯第三人知识产权及其他合法权益的情况，</w:t>
      </w:r>
      <w:r>
        <w:rPr>
          <w:rFonts w:hint="eastAsia" w:ascii="Times New Roman" w:hAnsi="宋体" w:eastAsia="宋体" w:cs="Times New Roman"/>
          <w:color w:val="auto"/>
          <w:szCs w:val="21"/>
          <w:highlight w:val="none"/>
        </w:rPr>
        <w:t>否则</w:t>
      </w:r>
      <w:r>
        <w:rPr>
          <w:rFonts w:hint="eastAsia" w:ascii="Times New Roman" w:hAnsi="宋体" w:eastAsia="宋体" w:cs="Times New Roman"/>
          <w:color w:val="auto"/>
          <w:szCs w:val="21"/>
          <w:highlight w:val="none"/>
          <w:lang w:eastAsia="zh-Hans"/>
        </w:rPr>
        <w:t>甲方有权单方解除本合同</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不予返还履约担保且要求乙方按合同</w:t>
      </w:r>
      <w:r>
        <w:rPr>
          <w:rFonts w:hint="eastAsia" w:ascii="Times New Roman" w:hAnsi="宋体" w:eastAsia="宋体" w:cs="Times New Roman"/>
          <w:color w:val="auto"/>
          <w:szCs w:val="21"/>
          <w:highlight w:val="none"/>
        </w:rPr>
        <w:t>暂定</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rPr>
        <w:t>价（含销项税额）</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【30】%</w:t>
      </w:r>
      <w:r>
        <w:rPr>
          <w:rFonts w:hint="eastAsia" w:ascii="Times New Roman" w:hAnsi="宋体" w:eastAsia="宋体" w:cs="Times New Roman"/>
          <w:color w:val="auto"/>
          <w:szCs w:val="21"/>
          <w:highlight w:val="none"/>
          <w:lang w:eastAsia="zh-Hans"/>
        </w:rPr>
        <w:t>承担违约责任</w:t>
      </w:r>
      <w:r>
        <w:rPr>
          <w:rFonts w:hint="eastAsia" w:ascii="宋体" w:hAnsi="宋体" w:eastAsia="宋体" w:cs="Times New Roman"/>
          <w:color w:val="auto"/>
          <w:szCs w:val="21"/>
          <w:highlight w:val="none"/>
        </w:rPr>
        <w:t>。乙方应当提供货物的质量检验单位出具的检验报告原件（检验报告合格）、出厂合格证明材料、产品性能使用说明书，并具备主管部门的质量认证文件等。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质量保证</w:t>
      </w:r>
    </w:p>
    <w:p>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eastAsia="zh-Hans"/>
        </w:rPr>
      </w:pPr>
      <w:r>
        <w:rPr>
          <w:rFonts w:hint="eastAsia" w:ascii="Times New Roman" w:hAnsi="宋体" w:eastAsia="宋体" w:cs="Times New Roman"/>
          <w:color w:val="auto"/>
          <w:sz w:val="21"/>
          <w:szCs w:val="21"/>
          <w:highlight w:val="none"/>
          <w:lang w:eastAsia="zh-Hans"/>
        </w:rPr>
        <w:t>1、货物质量应符合国家及行业标准、通常标准及厂方出厂标准，并符合《用户需求书》及本合同文件技术标准和</w:t>
      </w:r>
      <w:r>
        <w:rPr>
          <w:rFonts w:hint="eastAsia" w:ascii="Times New Roman" w:hAnsi="宋体" w:eastAsia="宋体" w:cs="Times New Roman"/>
          <w:color w:val="auto"/>
          <w:sz w:val="21"/>
          <w:szCs w:val="21"/>
          <w:highlight w:val="none"/>
          <w:lang w:val="en-US" w:eastAsia="zh-CN"/>
        </w:rPr>
        <w:t>技术</w:t>
      </w:r>
      <w:r>
        <w:rPr>
          <w:rFonts w:hint="eastAsia" w:ascii="Times New Roman" w:hAnsi="宋体" w:eastAsia="宋体" w:cs="Times New Roman"/>
          <w:color w:val="auto"/>
          <w:sz w:val="21"/>
          <w:szCs w:val="21"/>
          <w:highlight w:val="none"/>
          <w:lang w:eastAsia="zh-Hans"/>
        </w:rPr>
        <w:t>要求，完全满足甲方的实际使用需要。详细技术要求按照技术规范的标准执行，质量合格无瑕疵（详见附件：《用户需求书》）。</w:t>
      </w:r>
    </w:p>
    <w:p>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eastAsia="zh-Hans"/>
        </w:rPr>
      </w:pPr>
      <w:r>
        <w:rPr>
          <w:rFonts w:hint="eastAsia" w:ascii="Times New Roman" w:hAnsi="宋体" w:eastAsia="宋体" w:cs="Times New Roman"/>
          <w:color w:val="auto"/>
          <w:sz w:val="21"/>
          <w:szCs w:val="21"/>
          <w:highlight w:val="none"/>
          <w:lang w:eastAsia="zh-Hans"/>
        </w:rPr>
        <w:t>2、乙方在供应货物同时，应向甲方提供产品合格证及使用说明书</w:t>
      </w:r>
      <w:r>
        <w:rPr>
          <w:rFonts w:hint="eastAsia" w:ascii="Times New Roman" w:hAnsi="宋体" w:eastAsia="宋体" w:cs="Times New Roman"/>
          <w:color w:val="auto"/>
          <w:sz w:val="21"/>
          <w:szCs w:val="21"/>
          <w:highlight w:val="none"/>
          <w:u w:val="none"/>
          <w:lang w:eastAsia="zh-Hans"/>
        </w:rPr>
        <w:t xml:space="preserve"> 一 </w:t>
      </w:r>
      <w:r>
        <w:rPr>
          <w:rFonts w:hint="eastAsia" w:ascii="Times New Roman" w:hAnsi="宋体" w:eastAsia="宋体" w:cs="Times New Roman"/>
          <w:color w:val="auto"/>
          <w:sz w:val="21"/>
          <w:szCs w:val="21"/>
          <w:highlight w:val="none"/>
          <w:lang w:eastAsia="zh-Hans"/>
        </w:rPr>
        <w:t>份及相应的配件、备品、备件。</w:t>
      </w:r>
    </w:p>
    <w:p>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eastAsia="zh-Hans"/>
        </w:rPr>
      </w:pPr>
      <w:r>
        <w:rPr>
          <w:rFonts w:hint="eastAsia" w:ascii="Times New Roman" w:hAnsi="宋体" w:eastAsia="宋体" w:cs="Times New Roman"/>
          <w:color w:val="auto"/>
          <w:sz w:val="21"/>
          <w:szCs w:val="21"/>
          <w:highlight w:val="none"/>
          <w:lang w:eastAsia="zh-Hans"/>
        </w:rPr>
        <w:t>3、</w:t>
      </w:r>
      <w:r>
        <w:rPr>
          <w:rFonts w:hint="eastAsia" w:ascii="宋体" w:hAnsi="宋体" w:eastAsia="宋体" w:cs="宋体"/>
          <w:color w:val="auto"/>
          <w:sz w:val="21"/>
          <w:szCs w:val="21"/>
          <w:highlight w:val="none"/>
          <w:lang w:val="en-US" w:eastAsia="zh-CN"/>
        </w:rPr>
        <w:t>DN80~DN300超声波水表整表（含配套远传模块、计量电池、通讯电池和通讯资费）质保期为6年，</w:t>
      </w:r>
      <w:r>
        <w:rPr>
          <w:rFonts w:hint="eastAsia" w:ascii="宋体" w:hAnsi="宋体" w:eastAsia="宋体" w:cs="宋体"/>
          <w:color w:val="auto"/>
          <w:highlight w:val="none"/>
        </w:rPr>
        <w:t>按每批次</w:t>
      </w:r>
      <w:r>
        <w:rPr>
          <w:rFonts w:hint="eastAsia" w:ascii="Times New Roman" w:hAnsi="宋体" w:eastAsia="宋体" w:cs="Times New Roman"/>
          <w:color w:val="auto"/>
          <w:sz w:val="21"/>
          <w:szCs w:val="21"/>
          <w:highlight w:val="none"/>
          <w:lang w:eastAsia="zh-Hans"/>
        </w:rPr>
        <w:t>货物送达甲方指定地点</w:t>
      </w:r>
      <w:r>
        <w:rPr>
          <w:rFonts w:hint="eastAsia" w:ascii="Times New Roman" w:hAnsi="宋体" w:eastAsia="宋体" w:cs="Times New Roman"/>
          <w:color w:val="auto"/>
          <w:sz w:val="21"/>
          <w:szCs w:val="21"/>
          <w:highlight w:val="none"/>
          <w:lang w:eastAsia="zh-CN"/>
        </w:rPr>
        <w:t>交货</w:t>
      </w:r>
      <w:r>
        <w:rPr>
          <w:rFonts w:hint="eastAsia" w:ascii="Times New Roman" w:hAnsi="宋体" w:eastAsia="宋体" w:cs="Times New Roman"/>
          <w:color w:val="auto"/>
          <w:sz w:val="21"/>
          <w:szCs w:val="21"/>
          <w:highlight w:val="none"/>
          <w:lang w:eastAsia="zh-Hans"/>
        </w:rPr>
        <w:t>验收合格</w:t>
      </w:r>
      <w:r>
        <w:rPr>
          <w:rFonts w:hint="eastAsia" w:ascii="Times New Roman" w:hAnsi="宋体" w:eastAsia="宋体" w:cs="Times New Roman"/>
          <w:color w:val="auto"/>
          <w:sz w:val="21"/>
          <w:szCs w:val="21"/>
          <w:highlight w:val="none"/>
          <w:lang w:eastAsia="zh-CN"/>
        </w:rPr>
        <w:t>并开具发票</w:t>
      </w:r>
      <w:r>
        <w:rPr>
          <w:rFonts w:hint="eastAsia" w:ascii="Times New Roman" w:hAnsi="宋体" w:eastAsia="宋体" w:cs="Times New Roman"/>
          <w:color w:val="auto"/>
          <w:sz w:val="21"/>
          <w:szCs w:val="21"/>
          <w:highlight w:val="none"/>
          <w:lang w:eastAsia="zh-Hans"/>
        </w:rPr>
        <w:t>之日算起。质保期内，乙方对货物进行免费保修。</w:t>
      </w:r>
    </w:p>
    <w:p>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val="en-GB" w:eastAsia="zh-Hans"/>
        </w:rPr>
      </w:pPr>
      <w:r>
        <w:rPr>
          <w:rFonts w:hint="eastAsia" w:ascii="Times New Roman" w:hAnsi="宋体" w:eastAsia="宋体" w:cs="Times New Roman"/>
          <w:color w:val="auto"/>
          <w:sz w:val="21"/>
          <w:szCs w:val="21"/>
          <w:highlight w:val="none"/>
          <w:lang w:val="en-GB" w:eastAsia="zh-Hans"/>
        </w:rPr>
        <w:t>4、质保期内，若乙方提供的货物出现质量问题，经1次维修仍不能正常使用的，乙方应在7天内免费给予更换，因不能正常使用而给甲方或第三方造成的损失，乙方应承担因货物质量问题而造成的一切经济损失。</w:t>
      </w:r>
    </w:p>
    <w:p>
      <w:pPr>
        <w:adjustRightInd w:val="0"/>
        <w:snapToGrid w:val="0"/>
        <w:spacing w:line="360" w:lineRule="auto"/>
        <w:ind w:firstLine="371" w:firstLineChars="177"/>
        <w:rPr>
          <w:rFonts w:hint="default"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5、</w:t>
      </w:r>
      <w:r>
        <w:rPr>
          <w:rFonts w:hint="eastAsia" w:ascii="Times New Roman" w:hAnsi="宋体" w:eastAsia="宋体" w:cs="Times New Roman"/>
          <w:color w:val="auto"/>
          <w:sz w:val="21"/>
          <w:szCs w:val="21"/>
          <w:highlight w:val="none"/>
          <w:lang w:eastAsia="zh-Hans"/>
        </w:rPr>
        <w:t>质保期内</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若乙方</w:t>
      </w:r>
      <w:r>
        <w:rPr>
          <w:rFonts w:hint="eastAsia" w:ascii="Times New Roman" w:hAnsi="宋体" w:eastAsia="宋体" w:cs="Times New Roman"/>
          <w:color w:val="auto"/>
          <w:sz w:val="21"/>
          <w:szCs w:val="21"/>
          <w:highlight w:val="none"/>
          <w:lang w:eastAsia="zh-Hans"/>
        </w:rPr>
        <w:t>接到</w:t>
      </w:r>
      <w:r>
        <w:rPr>
          <w:rFonts w:hint="eastAsia" w:ascii="Times New Roman" w:hAnsi="宋体" w:eastAsia="宋体" w:cs="Times New Roman"/>
          <w:color w:val="auto"/>
          <w:sz w:val="21"/>
          <w:szCs w:val="21"/>
          <w:highlight w:val="none"/>
          <w:lang w:val="en-US" w:eastAsia="zh-CN"/>
        </w:rPr>
        <w:t>甲方</w:t>
      </w:r>
      <w:r>
        <w:rPr>
          <w:rFonts w:hint="eastAsia" w:ascii="Times New Roman" w:hAnsi="宋体" w:eastAsia="宋体" w:cs="Times New Roman"/>
          <w:color w:val="auto"/>
          <w:sz w:val="21"/>
          <w:szCs w:val="21"/>
          <w:highlight w:val="none"/>
          <w:lang w:eastAsia="zh-Hans"/>
        </w:rPr>
        <w:t>售后通知</w:t>
      </w:r>
      <w:r>
        <w:rPr>
          <w:rFonts w:hint="eastAsia" w:ascii="Times New Roman" w:hAnsi="宋体" w:eastAsia="宋体" w:cs="Times New Roman"/>
          <w:color w:val="auto"/>
          <w:sz w:val="21"/>
          <w:szCs w:val="21"/>
          <w:highlight w:val="none"/>
          <w:lang w:val="en-US" w:eastAsia="zh-CN"/>
        </w:rPr>
        <w:t>须</w:t>
      </w:r>
      <w:r>
        <w:rPr>
          <w:rFonts w:hint="eastAsia" w:ascii="Times New Roman" w:hAnsi="宋体" w:eastAsia="宋体" w:cs="Times New Roman"/>
          <w:color w:val="auto"/>
          <w:sz w:val="21"/>
          <w:szCs w:val="21"/>
          <w:highlight w:val="none"/>
          <w:lang w:eastAsia="zh-Hans"/>
        </w:rPr>
        <w:t>在</w:t>
      </w:r>
      <w:r>
        <w:rPr>
          <w:rFonts w:hint="eastAsia" w:ascii="Times New Roman" w:hAnsi="宋体" w:eastAsia="宋体" w:cs="Times New Roman"/>
          <w:color w:val="auto"/>
          <w:sz w:val="21"/>
          <w:szCs w:val="21"/>
          <w:highlight w:val="none"/>
          <w:u w:val="none"/>
          <w:lang w:eastAsia="zh-CN"/>
        </w:rPr>
        <w:t xml:space="preserve"> </w:t>
      </w:r>
      <w:r>
        <w:rPr>
          <w:rFonts w:hint="eastAsia" w:ascii="Times New Roman" w:hAnsi="宋体" w:eastAsia="宋体" w:cs="Times New Roman"/>
          <w:color w:val="auto"/>
          <w:sz w:val="21"/>
          <w:szCs w:val="21"/>
          <w:highlight w:val="none"/>
          <w:u w:val="none"/>
          <w:lang w:val="en-US" w:eastAsia="zh-CN"/>
        </w:rPr>
        <w:t xml:space="preserve">  </w:t>
      </w:r>
      <w:r>
        <w:rPr>
          <w:rFonts w:hint="eastAsia" w:ascii="Times New Roman" w:hAnsi="宋体" w:eastAsia="宋体" w:cs="Times New Roman"/>
          <w:color w:val="auto"/>
          <w:sz w:val="21"/>
          <w:szCs w:val="21"/>
          <w:highlight w:val="none"/>
          <w:lang w:eastAsia="zh-Hans"/>
        </w:rPr>
        <w:t>小时以内做出响应</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如甲方</w:t>
      </w:r>
      <w:r>
        <w:rPr>
          <w:rFonts w:hint="eastAsia" w:ascii="Times New Roman" w:hAnsi="宋体" w:eastAsia="宋体" w:cs="Times New Roman"/>
          <w:color w:val="auto"/>
          <w:sz w:val="21"/>
          <w:szCs w:val="21"/>
          <w:highlight w:val="none"/>
          <w:lang w:eastAsia="zh-Hans"/>
        </w:rPr>
        <w:t>要求到现场处理的，</w:t>
      </w:r>
      <w:r>
        <w:rPr>
          <w:rFonts w:hint="eastAsia" w:ascii="Times New Roman" w:hAnsi="宋体" w:eastAsia="宋体" w:cs="Times New Roman"/>
          <w:color w:val="auto"/>
          <w:sz w:val="21"/>
          <w:szCs w:val="21"/>
          <w:highlight w:val="none"/>
          <w:lang w:val="en-US" w:eastAsia="zh-CN"/>
        </w:rPr>
        <w:t>须在接到甲方通知后</w:t>
      </w:r>
      <w:r>
        <w:rPr>
          <w:rFonts w:hint="eastAsia" w:ascii="Times New Roman" w:hAnsi="宋体" w:eastAsia="宋体" w:cs="Times New Roman"/>
          <w:color w:val="auto"/>
          <w:sz w:val="21"/>
          <w:szCs w:val="21"/>
          <w:highlight w:val="none"/>
          <w:u w:val="none"/>
          <w:lang w:val="en-US" w:eastAsia="zh-CN"/>
        </w:rPr>
        <w:t xml:space="preserve">   </w:t>
      </w:r>
      <w:r>
        <w:rPr>
          <w:rFonts w:hint="eastAsia" w:ascii="Times New Roman" w:hAnsi="宋体" w:eastAsia="宋体" w:cs="Times New Roman"/>
          <w:color w:val="auto"/>
          <w:sz w:val="21"/>
          <w:szCs w:val="21"/>
          <w:highlight w:val="none"/>
          <w:u w:val="single"/>
          <w:lang w:val="en-US" w:eastAsia="zh-CN"/>
        </w:rPr>
        <w:t>小时</w:t>
      </w:r>
      <w:r>
        <w:rPr>
          <w:rFonts w:hint="eastAsia" w:ascii="Times New Roman" w:hAnsi="宋体" w:eastAsia="宋体" w:cs="Times New Roman"/>
          <w:color w:val="auto"/>
          <w:sz w:val="21"/>
          <w:szCs w:val="21"/>
          <w:highlight w:val="none"/>
          <w:lang w:eastAsia="zh-Hans"/>
        </w:rPr>
        <w:t>内到达现场进行处理</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如超出规定时间的，</w:t>
      </w:r>
      <w:r>
        <w:rPr>
          <w:rFonts w:hint="eastAsia" w:ascii="宋体" w:hAnsi="宋体" w:eastAsia="宋体" w:cs="Times New Roman"/>
          <w:color w:val="auto"/>
          <w:szCs w:val="21"/>
          <w:highlight w:val="none"/>
        </w:rPr>
        <w:t>按本合同第</w:t>
      </w:r>
      <w:r>
        <w:rPr>
          <w:rFonts w:hint="eastAsia" w:ascii="宋体" w:hAnsi="宋体" w:eastAsia="宋体" w:cs="Times New Roman"/>
          <w:color w:val="auto"/>
          <w:szCs w:val="21"/>
          <w:highlight w:val="none"/>
          <w:lang w:val="en-US" w:eastAsia="zh-CN"/>
        </w:rPr>
        <w:t>十八</w:t>
      </w:r>
      <w:r>
        <w:rPr>
          <w:rFonts w:hint="eastAsia" w:ascii="宋体" w:hAnsi="宋体" w:eastAsia="宋体" w:cs="Times New Roman"/>
          <w:color w:val="auto"/>
          <w:szCs w:val="21"/>
          <w:highlight w:val="none"/>
        </w:rPr>
        <w:t>条第</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款追究违约责任</w:t>
      </w:r>
      <w:r>
        <w:rPr>
          <w:rFonts w:hint="eastAsia" w:ascii="Times New Roman" w:hAnsi="宋体" w:eastAsia="宋体" w:cs="Times New Roman"/>
          <w:color w:val="auto"/>
          <w:sz w:val="21"/>
          <w:szCs w:val="21"/>
          <w:highlight w:val="none"/>
          <w:lang w:val="en-US" w:eastAsia="zh-CN"/>
        </w:rPr>
        <w:t>。</w:t>
      </w:r>
    </w:p>
    <w:p>
      <w:p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 w:val="21"/>
          <w:szCs w:val="21"/>
          <w:highlight w:val="none"/>
          <w:lang w:val="en-US" w:eastAsia="zh-CN"/>
        </w:rPr>
        <w:t>6</w:t>
      </w:r>
      <w:r>
        <w:rPr>
          <w:rFonts w:hint="eastAsia" w:ascii="Times New Roman" w:hAnsi="宋体" w:eastAsia="宋体" w:cs="Times New Roman"/>
          <w:color w:val="auto"/>
          <w:sz w:val="21"/>
          <w:szCs w:val="21"/>
          <w:highlight w:val="none"/>
          <w:lang w:eastAsia="zh-Hans"/>
        </w:rPr>
        <w:t>、甲方在使用货物时所遇技术问题或修改通讯对接协议、系统功能模块等，乙方应按甲方要求及时向甲方无偿提供服务。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包装、运输与装卸</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1、本合同项下货物的包装均应有良好的防湿、防锈、防潮、防雨、防腐及防碰撞的措施，且货物的包装、运输、装卸方式均应符合国家及行业相关标准的规定。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3、每件包装箱内，应附有装箱单、合格证、产品出厂质量合格证明书、技术说明以及甲方要求的其他合格证明文件或资料。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5、凡由于包装不良、运输方式不当或非法运输造成的事故、损失、行政处罚和由此产生的其他全部费用均由乙方全部承担。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6、运输、装卸过程中发生的货物毁损、灭失等所有相关风险由乙方自行承担。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保险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一旦上述货物发生保险事故，乙方除依法向保险人请求赔偿保险金外，应继续依约向甲方提供满足项目要求的货物，由此造成交货期延误的，乙方应按合同第</w:t>
      </w:r>
      <w:r>
        <w:rPr>
          <w:rFonts w:hint="eastAsia" w:ascii="宋体" w:hAnsi="宋体" w:eastAsia="宋体" w:cs="宋体"/>
          <w:color w:val="auto"/>
          <w:szCs w:val="21"/>
          <w:highlight w:val="none"/>
          <w:lang w:val="en-US" w:eastAsia="zh-CN"/>
        </w:rPr>
        <w:t>十八</w:t>
      </w:r>
      <w:r>
        <w:rPr>
          <w:rFonts w:hint="eastAsia" w:ascii="宋体" w:hAnsi="宋体" w:eastAsia="宋体" w:cs="宋体"/>
          <w:color w:val="auto"/>
          <w:szCs w:val="21"/>
          <w:highlight w:val="none"/>
        </w:rPr>
        <w:t>条第1款约定承担违约责任。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交货约定</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1、交货时间：根据甲方</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货通知，按时分批交货。乙方承诺按接到甲方《</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货通知单》之日起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180</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日历天内，将该批货物交付至甲方指定地点。</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2、交货地点、方式</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①交货地点为：甲方所在地仓库（或项目所在地）。</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甲方如需变更交货地点，甲方应在原定的最后交货日前提前三天以上通知乙方。乙方负责将货物送至甲方指定位置</w:t>
      </w:r>
      <w:r>
        <w:rPr>
          <w:rFonts w:hint="eastAsia" w:ascii="宋体" w:hAnsi="宋体" w:eastAsia="宋体" w:cs="Times New Roman"/>
          <w:color w:val="auto"/>
          <w:sz w:val="21"/>
          <w:szCs w:val="21"/>
          <w:highlight w:val="none"/>
          <w:lang w:bidi="ar"/>
        </w:rPr>
        <w:t>，</w:t>
      </w:r>
      <w:r>
        <w:rPr>
          <w:rFonts w:hint="eastAsia" w:ascii="宋体" w:hAnsi="宋体" w:eastAsia="宋体" w:cs="Times New Roman"/>
          <w:bCs w:val="0"/>
          <w:color w:val="auto"/>
          <w:sz w:val="21"/>
          <w:szCs w:val="21"/>
          <w:highlight w:val="none"/>
        </w:rPr>
        <w:t>货物到达交货地点发生的吊卸</w:t>
      </w:r>
      <w:r>
        <w:rPr>
          <w:rFonts w:hint="eastAsia" w:ascii="宋体" w:hAnsi="宋体" w:eastAsia="宋体" w:cs="Times New Roman"/>
          <w:bCs w:val="0"/>
          <w:color w:val="auto"/>
          <w:sz w:val="21"/>
          <w:szCs w:val="21"/>
          <w:highlight w:val="none"/>
          <w:lang w:eastAsia="zh-CN"/>
        </w:rPr>
        <w:t>、</w:t>
      </w:r>
      <w:r>
        <w:rPr>
          <w:rFonts w:hint="eastAsia" w:ascii="宋体" w:hAnsi="宋体" w:eastAsia="宋体" w:cs="Times New Roman"/>
          <w:bCs w:val="0"/>
          <w:color w:val="auto"/>
          <w:sz w:val="21"/>
          <w:szCs w:val="21"/>
          <w:highlight w:val="none"/>
          <w:lang w:val="en-US" w:eastAsia="zh-CN"/>
        </w:rPr>
        <w:t>搬运等</w:t>
      </w:r>
      <w:r>
        <w:rPr>
          <w:rFonts w:hint="eastAsia" w:ascii="宋体" w:hAnsi="宋体" w:eastAsia="宋体" w:cs="Times New Roman"/>
          <w:bCs w:val="0"/>
          <w:color w:val="auto"/>
          <w:sz w:val="21"/>
          <w:szCs w:val="21"/>
          <w:highlight w:val="none"/>
        </w:rPr>
        <w:t>费用由</w:t>
      </w:r>
      <w:r>
        <w:rPr>
          <w:rFonts w:hint="eastAsia" w:ascii="宋体" w:hAnsi="宋体" w:eastAsia="宋体" w:cs="Times New Roman"/>
          <w:bCs w:val="0"/>
          <w:color w:val="auto"/>
          <w:sz w:val="21"/>
          <w:szCs w:val="21"/>
          <w:highlight w:val="none"/>
          <w:lang w:val="en-US" w:eastAsia="zh-CN"/>
        </w:rPr>
        <w:t>乙</w:t>
      </w:r>
      <w:r>
        <w:rPr>
          <w:rFonts w:hint="eastAsia" w:ascii="宋体" w:hAnsi="宋体" w:eastAsia="宋体" w:cs="Times New Roman"/>
          <w:bCs w:val="0"/>
          <w:color w:val="auto"/>
          <w:sz w:val="21"/>
          <w:szCs w:val="21"/>
          <w:highlight w:val="none"/>
        </w:rPr>
        <w:t>方负责。</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②调试：乙方应负责完成交货调试工作。甲方有权向乙方提出进行现场调试的要求，一旦提出，乙方应在甲方通知要求的时间到甲方现场对货物进行调试，并在开始调试之日起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3</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日内调试完毕。本合同未列明但货物安装、调试及正常使用所必须的相关配件、辅助设备等，乙方须免费提供，</w:t>
      </w:r>
      <w:r>
        <w:rPr>
          <w:rFonts w:hint="eastAsia" w:ascii="宋体" w:hAnsi="宋体" w:eastAsia="宋体" w:cs="宋体"/>
          <w:color w:val="auto"/>
          <w:sz w:val="21"/>
          <w:szCs w:val="21"/>
          <w:highlight w:val="none"/>
        </w:rPr>
        <w:t>调试费用</w:t>
      </w:r>
      <w:r>
        <w:rPr>
          <w:rFonts w:hint="eastAsia" w:ascii="宋体" w:hAnsi="宋体" w:eastAsia="宋体" w:cs="Times New Roman"/>
          <w:color w:val="auto"/>
          <w:sz w:val="21"/>
          <w:szCs w:val="21"/>
          <w:highlight w:val="none"/>
        </w:rPr>
        <w:t>已包含在合同价款内。如乙方未按合同约定及甲方要求进行调试的，甲方有权在下一批次应付款中直接扣减相关费用，乙方对此无异议。</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在货物安放至甲方指定位置移</w:t>
      </w:r>
      <w:r>
        <w:rPr>
          <w:rFonts w:hint="eastAsia" w:ascii="宋体" w:hAnsi="宋体" w:eastAsia="宋体" w:cs="宋体"/>
          <w:color w:val="auto"/>
          <w:sz w:val="21"/>
          <w:szCs w:val="21"/>
          <w:highlight w:val="none"/>
        </w:rPr>
        <w:t>交甲方并经交货验收合格前（即在质量跟踪卡或送货单上签收交货验收合格前），货物的毁损、灭失的风险和责任以及与交货有关的所有费</w:t>
      </w:r>
      <w:r>
        <w:rPr>
          <w:rFonts w:hint="eastAsia" w:ascii="宋体" w:hAnsi="宋体" w:eastAsia="宋体" w:cs="Times New Roman"/>
          <w:color w:val="auto"/>
          <w:sz w:val="21"/>
          <w:szCs w:val="21"/>
          <w:highlight w:val="none"/>
        </w:rPr>
        <w:t>用均由乙方承担。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验收</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1、货物到达交货地点后，甲方按送货单清点无缺件，按照本合同约定查看相关单证和资料无缺漏，外观包装无破损后，甲乙双方即时</w:t>
      </w:r>
      <w:r>
        <w:rPr>
          <w:rFonts w:hint="eastAsia" w:ascii="宋体" w:hAnsi="宋体" w:eastAsia="宋体" w:cs="Times New Roman"/>
          <w:color w:val="auto"/>
          <w:sz w:val="21"/>
          <w:szCs w:val="21"/>
          <w:highlight w:val="none"/>
          <w:lang w:val="en-US" w:eastAsia="zh-CN"/>
        </w:rPr>
        <w:t>进行交货</w:t>
      </w:r>
      <w:r>
        <w:rPr>
          <w:rFonts w:hint="eastAsia" w:ascii="宋体" w:hAnsi="宋体" w:eastAsia="宋体" w:cs="Times New Roman"/>
          <w:color w:val="auto"/>
          <w:sz w:val="21"/>
          <w:szCs w:val="21"/>
          <w:highlight w:val="none"/>
        </w:rPr>
        <w:t>验收，验收后双方代表签字确认验收结果。在验收中若发现货物有短缺破损或与合同文件不符的其他情况，甲方有权拒收货物，乙方承担全部责任。验收所需的费用（如有）由乙方承担。</w:t>
      </w:r>
    </w:p>
    <w:p>
      <w:pPr>
        <w:adjustRightInd w:val="0"/>
        <w:snapToGrid w:val="0"/>
        <w:spacing w:line="360" w:lineRule="auto"/>
        <w:ind w:firstLine="371" w:firstLineChars="177"/>
        <w:rPr>
          <w:rFonts w:hint="eastAsia" w:ascii="宋体" w:hAnsi="宋体" w:eastAsia="宋体" w:cs="Times New Roman"/>
          <w:color w:val="auto"/>
          <w:sz w:val="21"/>
          <w:szCs w:val="21"/>
          <w:highlight w:val="none"/>
          <w:lang w:eastAsia="zh-TW"/>
        </w:rPr>
      </w:pPr>
      <w:r>
        <w:rPr>
          <w:rFonts w:hint="eastAsia" w:ascii="宋体" w:hAnsi="宋体" w:eastAsia="宋体" w:cs="Times New Roman"/>
          <w:color w:val="auto"/>
          <w:sz w:val="21"/>
          <w:szCs w:val="21"/>
          <w:highlight w:val="none"/>
        </w:rPr>
        <w:t>2、交货验收合格的，货物到货后开箱时应由甲乙双方代表检查验收合格签字</w:t>
      </w:r>
      <w:r>
        <w:rPr>
          <w:rFonts w:hint="eastAsia" w:ascii="宋体" w:hAnsi="宋体" w:eastAsia="宋体" w:cs="Times New Roman"/>
          <w:color w:val="auto"/>
          <w:sz w:val="21"/>
          <w:szCs w:val="21"/>
          <w:highlight w:val="none"/>
          <w:lang w:eastAsia="zh-CN"/>
        </w:rPr>
        <w:t>。</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如乙方提供的货物与本合同文件要求不符，甲方有权要求退货或换货，乙方无条件接受退货、换货，并承担由此发生的一切费用和损失。乙方实际交货时间以乙方最终提交合格货物时间为准。</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不合格情形严重或不合格货物价款超过货物总价款的</w:t>
      </w:r>
      <w:r>
        <w:rPr>
          <w:rFonts w:hint="eastAsia" w:ascii="宋体" w:hAnsi="宋体" w:eastAsia="宋体" w:cs="Times New Roman"/>
          <w:color w:val="auto"/>
          <w:sz w:val="21"/>
          <w:szCs w:val="21"/>
          <w:highlight w:val="none"/>
          <w:u w:val="none"/>
        </w:rPr>
        <w:t xml:space="preserve"> 10</w:t>
      </w:r>
      <w:r>
        <w:rPr>
          <w:rFonts w:hint="eastAsia" w:ascii="宋体" w:hAnsi="宋体" w:eastAsia="宋体" w:cs="Times New Roman"/>
          <w:color w:val="auto"/>
          <w:sz w:val="21"/>
          <w:szCs w:val="21"/>
          <w:highlight w:val="none"/>
        </w:rPr>
        <w:t xml:space="preserve"> %的，甲方可解除本合同，因货物不合格而造成的一切损失（包括直接和间接损失，以及造成甲方、第三方人身、财产损害）均由乙方赔偿。</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验收按本合同文件要求及国家及行业有关规定、规范进行。验收时如发现所交付的货物有短缺、次品、损坏或其它不符合本合同规定之情形者，甲方做出详尽的现场记录，经乙方现场确认，此现场记录或备忘录为乙方应依甲方要求作补缺、更换损坏部件、退换货、解除合同、索赔等的有效证据。因货物不符合本合同要求而产生的一切费用、损失等均由乙方承担。</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5、甲方在验收时直至在使用过程中，如甲方认为货物存在质量问题的，乙方应按本合同第</w:t>
      </w:r>
      <w:r>
        <w:rPr>
          <w:rFonts w:hint="eastAsia" w:ascii="宋体" w:hAnsi="宋体" w:eastAsia="宋体" w:cs="Times New Roman"/>
          <w:color w:val="auto"/>
          <w:sz w:val="21"/>
          <w:szCs w:val="21"/>
          <w:highlight w:val="none"/>
          <w:lang w:eastAsia="zh-CN"/>
        </w:rPr>
        <w:t>十</w:t>
      </w:r>
      <w:r>
        <w:rPr>
          <w:rFonts w:hint="eastAsia" w:ascii="宋体" w:hAnsi="宋体" w:eastAsia="宋体" w:cs="Times New Roman"/>
          <w:color w:val="auto"/>
          <w:sz w:val="21"/>
          <w:szCs w:val="21"/>
          <w:highlight w:val="none"/>
          <w:lang w:val="en-US" w:eastAsia="zh-CN"/>
        </w:rPr>
        <w:t>八</w:t>
      </w:r>
      <w:r>
        <w:rPr>
          <w:rFonts w:hint="eastAsia" w:ascii="宋体" w:hAnsi="宋体" w:eastAsia="宋体" w:cs="Times New Roman"/>
          <w:color w:val="auto"/>
          <w:sz w:val="21"/>
          <w:szCs w:val="21"/>
          <w:highlight w:val="none"/>
        </w:rPr>
        <w:t>条约定承担违约责任；如果甲乙双方对货物质量有争议的，</w:t>
      </w:r>
      <w:r>
        <w:rPr>
          <w:rFonts w:hint="eastAsia" w:ascii="宋体" w:hAnsi="宋体" w:eastAsia="宋体" w:cs="Times New Roman"/>
          <w:color w:val="auto"/>
          <w:szCs w:val="21"/>
          <w:highlight w:val="none"/>
        </w:rPr>
        <w:t>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r>
        <w:rPr>
          <w:rFonts w:hint="eastAsia" w:ascii="宋体" w:hAnsi="宋体" w:eastAsia="宋体" w:cs="Times New Roman"/>
          <w:color w:val="auto"/>
          <w:sz w:val="21"/>
          <w:szCs w:val="21"/>
          <w:highlight w:val="none"/>
        </w:rPr>
        <w:t>。</w:t>
      </w:r>
    </w:p>
    <w:p>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首次检定义务：乙方在交货的同时，必须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否则，甲方有权</w:t>
      </w:r>
      <w:r>
        <w:rPr>
          <w:rFonts w:hint="default" w:ascii="宋体" w:hAnsi="宋体" w:eastAsia="宋体" w:cs="宋体"/>
          <w:b w:val="0"/>
          <w:bCs w:val="0"/>
          <w:color w:val="auto"/>
          <w:sz w:val="21"/>
          <w:szCs w:val="21"/>
          <w:highlight w:val="none"/>
          <w:lang w:val="en-US" w:eastAsia="zh-CN"/>
        </w:rPr>
        <w:t>拒收</w:t>
      </w:r>
      <w:r>
        <w:rPr>
          <w:rFonts w:hint="eastAsia" w:ascii="宋体" w:hAnsi="宋体" w:eastAsia="宋体" w:cs="宋体"/>
          <w:b w:val="0"/>
          <w:bCs w:val="0"/>
          <w:color w:val="auto"/>
          <w:sz w:val="21"/>
          <w:szCs w:val="21"/>
          <w:highlight w:val="none"/>
          <w:lang w:val="en-US" w:eastAsia="zh-CN"/>
        </w:rPr>
        <w:t>货物，乙方承担全部责任。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价款的支付</w:t>
      </w:r>
    </w:p>
    <w:p>
      <w:pPr>
        <w:adjustRightInd w:val="0"/>
        <w:snapToGrid w:val="0"/>
        <w:spacing w:line="360" w:lineRule="auto"/>
        <w:ind w:firstLine="371" w:firstLineChars="177"/>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1、甲方发出单笔《供货通知单》后，在收到乙方按本合同约定提供与本批次货款等额的订单保函并经甲方财务人员审核合格后30个工作日内，甲方支付至该批货物货款总额（含销项税额）的100%。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2、如果依合同乙方应支付违约金或赔偿或其他费用的，甲方有权从上述应支付给乙方的款项中直接扣除，不足部分甲方有权要求乙方另行补足。</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2" w:firstLineChars="200"/>
        <w:jc w:val="both"/>
        <w:textAlignment w:val="baseline"/>
        <w:outlineLvl w:val="9"/>
        <w:rPr>
          <w:rFonts w:hint="eastAsia" w:ascii="宋体" w:hAnsi="宋体" w:eastAsia="宋体" w:cs="宋体"/>
          <w:b/>
          <w:color w:val="auto"/>
          <w:kern w:val="2"/>
          <w:sz w:val="21"/>
          <w:szCs w:val="21"/>
          <w:highlight w:val="none"/>
          <w:lang w:val="en-US" w:eastAsia="zh-CN" w:bidi="ar-SA"/>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2" w:firstLineChars="200"/>
        <w:jc w:val="both"/>
        <w:textAlignment w:val="baseline"/>
        <w:outlineLvl w:val="1"/>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第十一条 技术服务和培训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（1）乙方应及时提供与本合同设备有关的安装、调试、验收、试验、运行、检修等相应的技术指导、技术配合、技术培训等全过程的服务。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（2）甲方有权将乙方所提供的一切与本合同设备有关的资料分发给与本项目有关的各方，并不由此而构成任何侵权，亦无需事先取得乙方的同意，但双方不得向任何与本项目无关的第三方提供。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须对一切与本合同有关（包括外购）的供货、设备及技术接口、技术服务等问题负全部责任。凡与本合同设备相连接的其它设备装置，乙方有提供接口和技术配合的义务，并不由此而向甲方主张发生合同价格以外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（4）由于乙方技术服务人员对安装的疏忽和错误以及乙方未按要求派人指导而造成的直接损失应由乙方负责。造成甲方损失的，乙方需足额赔偿。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2、人员培训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（1）现场培训：指在安装、调试和检测期间，乙方根据甲方需求提供现场安装指导，并派专人对维护操作人员进行培训，务必使这些受训人员能胜任这些设备的检查、调试和维护工作。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（2）培训地点规模及时间：由甲方指定，乙方应提前 15 日提供完整的书面培训计划和方案，列明提供培训的技术人员名单及资质，以及培训完成后甲方人员可达到的水平等。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（3）培训内容：乙方为甲方免费提供操作及维护培训，主要内容为货物的基本结构、性能、主要部件的构造及原理，日常使用操作、保养与管理，常见故障的原因分析与排除，紧急情况的处理等。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（4）培训费用：培训费用由乙方承担，该费用已包含在合同价中。</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履约担保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履约保证金（银行转账形式）金额为合同暂定</w:t>
      </w:r>
      <w:r>
        <w:rPr>
          <w:rFonts w:hint="eastAsia" w:ascii="宋体" w:hAnsi="宋体" w:eastAsia="宋体" w:cs="宋体"/>
          <w:bCs/>
          <w:color w:val="auto"/>
          <w:szCs w:val="21"/>
          <w:highlight w:val="none"/>
          <w:u w:val="single"/>
        </w:rPr>
        <w:t>总</w:t>
      </w:r>
      <w:r>
        <w:rPr>
          <w:rFonts w:hint="eastAsia" w:ascii="宋体" w:hAnsi="宋体" w:eastAsia="宋体" w:cs="宋体"/>
          <w:color w:val="auto"/>
          <w:szCs w:val="21"/>
          <w:highlight w:val="none"/>
          <w:u w:val="single"/>
        </w:rPr>
        <w:t>价（含销项税额）的5%；</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不可撤销银行履约保函金额为合同暂定</w:t>
      </w:r>
      <w:r>
        <w:rPr>
          <w:rFonts w:hint="eastAsia" w:ascii="宋体" w:hAnsi="宋体" w:eastAsia="宋体" w:cs="宋体"/>
          <w:bCs/>
          <w:color w:val="auto"/>
          <w:szCs w:val="21"/>
          <w:highlight w:val="none"/>
          <w:u w:val="single"/>
        </w:rPr>
        <w:t>总</w:t>
      </w:r>
      <w:r>
        <w:rPr>
          <w:rFonts w:hint="eastAsia" w:ascii="宋体" w:hAnsi="宋体" w:eastAsia="宋体" w:cs="宋体"/>
          <w:color w:val="auto"/>
          <w:szCs w:val="21"/>
          <w:highlight w:val="none"/>
          <w:u w:val="single"/>
        </w:rPr>
        <w:t>价（含销项税额）的8%；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履约保证保险</w:t>
      </w:r>
      <w:r>
        <w:rPr>
          <w:rFonts w:hint="eastAsia" w:ascii="宋体" w:hAnsi="宋体" w:eastAsia="宋体" w:cs="宋体"/>
          <w:color w:val="auto"/>
          <w:sz w:val="21"/>
          <w:szCs w:val="21"/>
          <w:highlight w:val="none"/>
          <w:u w:val="single"/>
        </w:rPr>
        <w:t>金额为合同暂定</w:t>
      </w:r>
      <w:r>
        <w:rPr>
          <w:rFonts w:hint="eastAsia" w:ascii="宋体" w:hAnsi="宋体" w:eastAsia="宋体" w:cs="宋体"/>
          <w:bCs/>
          <w:color w:val="auto"/>
          <w:sz w:val="21"/>
          <w:szCs w:val="21"/>
          <w:highlight w:val="none"/>
          <w:u w:val="single"/>
        </w:rPr>
        <w:t>总</w:t>
      </w:r>
      <w:r>
        <w:rPr>
          <w:rFonts w:hint="eastAsia" w:ascii="宋体" w:hAnsi="宋体" w:eastAsia="宋体" w:cs="宋体"/>
          <w:color w:val="auto"/>
          <w:sz w:val="21"/>
          <w:szCs w:val="21"/>
          <w:highlight w:val="none"/>
          <w:u w:val="single"/>
        </w:rPr>
        <w:t>价（含销项税额）的8%；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担保公司履约担保书金额为合同暂定</w:t>
      </w:r>
      <w:r>
        <w:rPr>
          <w:rFonts w:hint="eastAsia" w:ascii="宋体" w:hAnsi="宋体" w:eastAsia="宋体" w:cs="宋体"/>
          <w:bCs/>
          <w:color w:val="auto"/>
          <w:szCs w:val="21"/>
          <w:highlight w:val="none"/>
          <w:u w:val="single"/>
        </w:rPr>
        <w:t>总</w:t>
      </w:r>
      <w:r>
        <w:rPr>
          <w:rFonts w:hint="eastAsia" w:ascii="宋体" w:hAnsi="宋体" w:eastAsia="宋体" w:cs="宋体"/>
          <w:color w:val="auto"/>
          <w:szCs w:val="21"/>
          <w:highlight w:val="none"/>
          <w:u w:val="single"/>
        </w:rPr>
        <w:t>价（含销项税额）的10%</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2、履约担保用于</w:t>
      </w:r>
      <w:r>
        <w:rPr>
          <w:rFonts w:hint="eastAsia" w:ascii="宋体" w:hAnsi="宋体" w:eastAsia="宋体" w:cs="宋体"/>
          <w:color w:val="auto"/>
          <w:szCs w:val="21"/>
          <w:highlight w:val="none"/>
          <w:lang w:val="en-US" w:eastAsia="zh-CN"/>
        </w:rPr>
        <w:t>补偿</w:t>
      </w:r>
      <w:r>
        <w:rPr>
          <w:rFonts w:hint="eastAsia" w:ascii="宋体" w:hAnsi="宋体" w:eastAsia="宋体" w:cs="宋体"/>
          <w:color w:val="auto"/>
          <w:szCs w:val="21"/>
          <w:highlight w:val="none"/>
        </w:rPr>
        <w:t>甲方因乙方不能</w:t>
      </w:r>
      <w:r>
        <w:rPr>
          <w:rFonts w:hint="eastAsia" w:ascii="宋体" w:hAnsi="宋体" w:eastAsia="宋体" w:cs="宋体"/>
          <w:color w:val="auto"/>
          <w:szCs w:val="21"/>
          <w:highlight w:val="none"/>
          <w:lang w:val="en-US" w:eastAsia="zh-CN"/>
        </w:rPr>
        <w:t>完全履行</w:t>
      </w:r>
      <w:r>
        <w:rPr>
          <w:rFonts w:hint="eastAsia" w:ascii="宋体" w:hAnsi="宋体" w:eastAsia="宋体" w:cs="宋体"/>
          <w:color w:val="auto"/>
          <w:szCs w:val="21"/>
          <w:highlight w:val="none"/>
        </w:rPr>
        <w:t>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szCs w:val="21"/>
          <w:highlight w:val="none"/>
        </w:rPr>
        <w:t>如发生下列任一情况时，甲方除有权依合同追究违约责任外，还有权</w:t>
      </w:r>
      <w:r>
        <w:rPr>
          <w:rFonts w:hint="eastAsia" w:ascii="宋体" w:hAnsi="宋体" w:eastAsia="宋体" w:cs="Times New Roman"/>
          <w:color w:val="auto"/>
          <w:kern w:val="0"/>
          <w:szCs w:val="21"/>
          <w:highlight w:val="none"/>
        </w:rPr>
        <w:t>提取</w:t>
      </w:r>
      <w:r>
        <w:rPr>
          <w:rFonts w:hint="eastAsia" w:ascii="宋体" w:hAnsi="宋体" w:eastAsia="宋体" w:cs="宋体"/>
          <w:color w:val="auto"/>
          <w:szCs w:val="21"/>
          <w:highlight w:val="none"/>
        </w:rPr>
        <w:t>履约担保</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进行相应处理：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（1）乙方将合同项下的</w:t>
      </w:r>
      <w:r>
        <w:rPr>
          <w:rFonts w:hint="eastAsia" w:ascii="宋体" w:hAnsi="宋体" w:eastAsia="宋体" w:cs="宋体"/>
          <w:color w:val="auto"/>
          <w:szCs w:val="21"/>
          <w:highlight w:val="none"/>
          <w:lang w:val="en-US" w:eastAsia="zh-CN"/>
        </w:rPr>
        <w:t>乙方的</w:t>
      </w:r>
      <w:r>
        <w:rPr>
          <w:rFonts w:hint="eastAsia" w:ascii="宋体" w:hAnsi="宋体" w:eastAsia="宋体" w:cs="宋体"/>
          <w:color w:val="auto"/>
          <w:szCs w:val="21"/>
          <w:highlight w:val="none"/>
        </w:rPr>
        <w:t>权利义务全部转让给第三方，或未经甲方书面同意将部分权利义务转让给第三方的，甲方有权没收其履约担保。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ascii="宋体" w:hAnsi="宋体" w:eastAsia="宋体" w:cs="Times New Roman"/>
          <w:color w:val="auto"/>
          <w:kern w:val="0"/>
          <w:szCs w:val="21"/>
          <w:highlight w:val="none"/>
        </w:rPr>
        <w:t>在合同履行期间，因</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质量</w:t>
      </w:r>
      <w:r>
        <w:rPr>
          <w:rFonts w:hint="eastAsia" w:ascii="宋体" w:hAnsi="宋体" w:eastAsia="宋体" w:cs="Times New Roman"/>
          <w:color w:val="auto"/>
          <w:kern w:val="0"/>
          <w:szCs w:val="21"/>
          <w:highlight w:val="none"/>
          <w:lang w:val="en-US" w:eastAsia="zh-CN"/>
        </w:rPr>
        <w:t>或安装或运行等</w:t>
      </w:r>
      <w:r>
        <w:rPr>
          <w:rFonts w:ascii="宋体" w:hAnsi="宋体" w:eastAsia="宋体" w:cs="Times New Roman"/>
          <w:color w:val="auto"/>
          <w:kern w:val="0"/>
          <w:szCs w:val="21"/>
          <w:highlight w:val="none"/>
        </w:rPr>
        <w:t>问题造成损害、侵权损失（包括但不限于</w:t>
      </w:r>
      <w:r>
        <w:rPr>
          <w:rFonts w:hint="eastAsia" w:ascii="宋体" w:hAnsi="宋体" w:eastAsia="宋体" w:cs="Times New Roman"/>
          <w:color w:val="auto"/>
          <w:kern w:val="0"/>
          <w:szCs w:val="21"/>
          <w:highlight w:val="none"/>
          <w:lang w:val="en-US" w:eastAsia="zh-CN"/>
        </w:rPr>
        <w:t>甲方</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w:t>
      </w:r>
      <w:r>
        <w:rPr>
          <w:rFonts w:hint="eastAsia" w:ascii="宋体" w:hAnsi="宋体" w:eastAsia="宋体" w:cs="宋体"/>
          <w:color w:val="auto"/>
          <w:szCs w:val="21"/>
          <w:highlight w:val="none"/>
        </w:rPr>
        <w:t>设备</w:t>
      </w:r>
      <w:r>
        <w:rPr>
          <w:rFonts w:hint="eastAsia" w:ascii="宋体" w:hAnsi="宋体" w:eastAsia="宋体" w:cs="Times New Roman"/>
          <w:color w:val="auto"/>
          <w:kern w:val="0"/>
          <w:szCs w:val="21"/>
          <w:highlight w:val="none"/>
        </w:rPr>
        <w:t>供应商货款（含第三方劳务费用等）或与其所雇用员工发生劳资纠纷、上访、闹事或其他影响</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有权使用履约担保予以支付或作出相应处理，由此产生的一切法律后果由</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）在合同履行期间，乙方违约产生的违约金、赔偿、罚款或其他应付费用等款项，甲方有权直接从应付而未付货物款项中扣除或使用履约担保予以支付。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）合同期内，乙方不能及时完成某项合同义务的，甲方有权使用履约担保用于处理该项工作。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）其他根据本合同约定或法律规定，甲方可使用履约担保的情形。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 w:val="21"/>
          <w:szCs w:val="21"/>
          <w:highlight w:val="none"/>
        </w:rPr>
        <w:t>乙方</w:t>
      </w:r>
      <w:r>
        <w:rPr>
          <w:rFonts w:hint="eastAsia" w:ascii="宋体" w:hAnsi="宋体" w:eastAsia="宋体" w:cs="宋体"/>
          <w:color w:val="auto"/>
          <w:kern w:val="0"/>
          <w:szCs w:val="21"/>
          <w:highlight w:val="none"/>
        </w:rPr>
        <w:t>以履约保证金（银行转账形式）提供</w:t>
      </w:r>
      <w:r>
        <w:rPr>
          <w:rFonts w:hint="eastAsia" w:ascii="宋体" w:hAnsi="宋体" w:eastAsia="宋体" w:cs="宋体"/>
          <w:color w:val="auto"/>
          <w:sz w:val="21"/>
          <w:szCs w:val="21"/>
          <w:highlight w:val="none"/>
        </w:rPr>
        <w:t>履约担保的，</w:t>
      </w:r>
      <w:r>
        <w:rPr>
          <w:rFonts w:hint="eastAsia" w:ascii="宋体" w:hAnsi="宋体" w:eastAsia="宋体" w:cs="宋体"/>
          <w:color w:val="auto"/>
          <w:kern w:val="0"/>
          <w:szCs w:val="21"/>
          <w:highlight w:val="none"/>
        </w:rPr>
        <w:t>在合同期限届满并完成全部供货验收合格后二十八（28）日</w:t>
      </w:r>
      <w:r>
        <w:rPr>
          <w:rFonts w:hint="eastAsia" w:ascii="宋体" w:hAnsi="宋体" w:eastAsia="宋体" w:cs="宋体"/>
          <w:color w:val="auto"/>
          <w:szCs w:val="21"/>
          <w:highlight w:val="none"/>
        </w:rPr>
        <w:t>后，经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确认，</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可向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提交退回履约担保的申请。</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审核无异议后，办理履约担保退还手续，退回时一律以银行转账的形式无息退回到</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w:t>
      </w:r>
      <w:r>
        <w:rPr>
          <w:rFonts w:hint="eastAsia" w:ascii="宋体" w:hAnsi="宋体" w:eastAsia="宋体" w:cs="宋体"/>
          <w:color w:val="auto"/>
          <w:szCs w:val="21"/>
          <w:highlight w:val="none"/>
          <w:lang w:eastAsia="zh-CN"/>
        </w:rPr>
        <w:t>应从合同签订之日起至合同期限届满并完成全部供货验收合格后二十八（28）日内保持有效</w:t>
      </w:r>
      <w:r>
        <w:rPr>
          <w:rFonts w:hint="eastAsia" w:ascii="宋体" w:hAnsi="宋体" w:eastAsia="宋体" w:cs="宋体"/>
          <w:color w:val="auto"/>
          <w:szCs w:val="21"/>
          <w:highlight w:val="none"/>
        </w:rPr>
        <w:t>。如不可撤销银行履约保函或履约保证保险或担保公司履约担保书在规定有效期届满时而货物尚未全部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在合同履行期间应保证履约担保有效及金额符合招标文件要求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因合同内容变更、保证金使用等原因导致履约担保金额不满足招标文件要求的，乙方应当在履约担保金额不足之日起15天内予以补足；如违反的，甲方有权按</w:t>
      </w:r>
      <w:r>
        <w:rPr>
          <w:rFonts w:hint="eastAsia" w:ascii="宋体" w:hAnsi="宋体" w:eastAsia="宋体" w:cs="宋体"/>
          <w:color w:val="auto"/>
          <w:szCs w:val="21"/>
          <w:highlight w:val="none"/>
          <w:lang w:val="en-US" w:eastAsia="zh-CN"/>
        </w:rPr>
        <w:t>需补</w:t>
      </w:r>
      <w:r>
        <w:rPr>
          <w:rFonts w:hint="eastAsia" w:ascii="宋体" w:hAnsi="宋体" w:eastAsia="宋体" w:cs="宋体"/>
          <w:color w:val="auto"/>
          <w:szCs w:val="21"/>
          <w:highlight w:val="none"/>
        </w:rPr>
        <w:t>足部分金额为限要求乙方承担违约金，违约金可直接从应付而未付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款中扣除。</w:t>
      </w:r>
    </w:p>
    <w:p>
      <w:pPr>
        <w:rPr>
          <w:rFonts w:hint="eastAsia"/>
          <w:color w:val="auto"/>
          <w:highlight w:val="none"/>
        </w:rPr>
      </w:pPr>
    </w:p>
    <w:p>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三</w:t>
      </w:r>
      <w:r>
        <w:rPr>
          <w:rFonts w:hint="eastAsia" w:ascii="宋体" w:hAnsi="宋体" w:eastAsia="宋体" w:cs="Times New Roman"/>
          <w:b/>
          <w:color w:val="auto"/>
          <w:szCs w:val="21"/>
          <w:highlight w:val="none"/>
        </w:rPr>
        <w:t>条 订单全款独立</w:t>
      </w:r>
      <w:r>
        <w:rPr>
          <w:rFonts w:hint="eastAsia" w:ascii="宋体" w:hAnsi="宋体" w:eastAsia="宋体" w:cs="Times New Roman"/>
          <w:b/>
          <w:color w:val="auto"/>
          <w:szCs w:val="21"/>
          <w:highlight w:val="none"/>
          <w:lang w:val="en-US" w:eastAsia="zh-CN"/>
        </w:rPr>
        <w:t>银行</w:t>
      </w:r>
      <w:r>
        <w:rPr>
          <w:rFonts w:hint="eastAsia" w:ascii="宋体" w:hAnsi="宋体" w:eastAsia="宋体" w:cs="Times New Roman"/>
          <w:b/>
          <w:color w:val="auto"/>
          <w:szCs w:val="21"/>
          <w:highlight w:val="none"/>
        </w:rPr>
        <w:t>保函</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1、保函开立义务</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rPr>
        <w:t>应在</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发出</w:t>
      </w:r>
      <w:r>
        <w:rPr>
          <w:rFonts w:hint="eastAsia" w:ascii="宋体" w:hAnsi="宋体" w:eastAsia="宋体" w:cs="Times New Roman"/>
          <w:b w:val="0"/>
          <w:bCs/>
          <w:color w:val="auto"/>
          <w:szCs w:val="21"/>
          <w:highlight w:val="none"/>
          <w:lang w:val="en-US" w:eastAsia="zh-CN"/>
        </w:rPr>
        <w:t>每批货物的供货通知单</w:t>
      </w:r>
      <w:r>
        <w:rPr>
          <w:rFonts w:hint="eastAsia" w:ascii="宋体" w:hAnsi="宋体" w:eastAsia="宋体" w:cs="Times New Roman"/>
          <w:b w:val="0"/>
          <w:bCs/>
          <w:color w:val="auto"/>
          <w:szCs w:val="21"/>
          <w:highlight w:val="none"/>
        </w:rPr>
        <w:t>后【</w:t>
      </w:r>
      <w:r>
        <w:rPr>
          <w:rFonts w:hint="eastAsia" w:ascii="宋体" w:hAnsi="宋体" w:eastAsia="宋体" w:cs="Times New Roman"/>
          <w:b w:val="0"/>
          <w:bCs/>
          <w:color w:val="auto"/>
          <w:szCs w:val="21"/>
          <w:highlight w:val="none"/>
          <w:lang w:eastAsia="zh-CN"/>
        </w:rPr>
        <w:t>3</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】个</w:t>
      </w:r>
      <w:r>
        <w:rPr>
          <w:rFonts w:hint="eastAsia" w:ascii="宋体" w:hAnsi="宋体" w:eastAsia="宋体" w:cs="Times New Roman"/>
          <w:b w:val="0"/>
          <w:bCs/>
          <w:color w:val="auto"/>
          <w:szCs w:val="21"/>
          <w:highlight w:val="none"/>
          <w:lang w:val="en-US" w:eastAsia="zh-CN"/>
        </w:rPr>
        <w:t>自然</w:t>
      </w:r>
      <w:r>
        <w:rPr>
          <w:rFonts w:hint="eastAsia" w:ascii="宋体" w:hAnsi="宋体" w:eastAsia="宋体" w:cs="Times New Roman"/>
          <w:b w:val="0"/>
          <w:bCs/>
          <w:color w:val="auto"/>
          <w:szCs w:val="21"/>
          <w:highlight w:val="none"/>
        </w:rPr>
        <w:t>日内，向</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提交符合附件格式要求的、不可撤销的见索即付独立保函（下称“</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保函”），且须满足：</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 开立银行：国有商业银行或全国性股份制商业银行；</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 保函金额：与该</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载明的货款总额100%等值</w:t>
      </w:r>
      <w:r>
        <w:rPr>
          <w:rFonts w:hint="eastAsia" w:ascii="宋体" w:hAnsi="宋体" w:eastAsia="宋体" w:cs="Times New Roman"/>
          <w:color w:val="auto"/>
          <w:sz w:val="21"/>
          <w:szCs w:val="21"/>
          <w:highlight w:val="none"/>
          <w:lang w:val="en-US" w:eastAsia="zh-CN"/>
        </w:rPr>
        <w:t>（含销项税额）</w:t>
      </w:r>
      <w:r>
        <w:rPr>
          <w:rFonts w:hint="eastAsia" w:ascii="宋体" w:hAnsi="宋体" w:eastAsia="宋体" w:cs="Times New Roman"/>
          <w:b w:val="0"/>
          <w:bCs/>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(3) 生效时间：与</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生效日同步。</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保函核心条款要求</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受益人是</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，有效期为</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约定的供货期至货物验收合格后</w:t>
      </w:r>
      <w:r>
        <w:rPr>
          <w:rFonts w:hint="eastAsia" w:ascii="宋体" w:hAnsi="宋体" w:eastAsia="宋体" w:cs="Times New Roman"/>
          <w:color w:val="auto"/>
          <w:szCs w:val="21"/>
          <w:highlight w:val="none"/>
          <w:lang w:eastAsia="zh-CN"/>
        </w:rPr>
        <w:t>二十八（28）日</w:t>
      </w:r>
      <w:r>
        <w:rPr>
          <w:rFonts w:hint="eastAsia" w:ascii="宋体" w:hAnsi="宋体" w:eastAsia="宋体" w:cs="Times New Roman"/>
          <w:b w:val="0"/>
          <w:bCs/>
          <w:color w:val="auto"/>
          <w:szCs w:val="21"/>
          <w:highlight w:val="none"/>
        </w:rPr>
        <w:t>，担保范围是</w:t>
      </w:r>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rPr>
        <w:t>履行该</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项下</w:t>
      </w:r>
      <w:r>
        <w:rPr>
          <w:rFonts w:hint="eastAsia" w:ascii="宋体" w:hAnsi="宋体" w:eastAsia="宋体" w:cs="Times New Roman"/>
          <w:b w:val="0"/>
          <w:bCs/>
          <w:color w:val="auto"/>
          <w:szCs w:val="21"/>
          <w:highlight w:val="none"/>
          <w:lang w:eastAsia="zh-CN"/>
        </w:rPr>
        <w:t>的</w:t>
      </w:r>
      <w:r>
        <w:rPr>
          <w:rFonts w:hint="eastAsia" w:ascii="宋体" w:hAnsi="宋体" w:eastAsia="宋体" w:cs="Times New Roman"/>
          <w:b w:val="0"/>
          <w:bCs/>
          <w:color w:val="auto"/>
          <w:szCs w:val="21"/>
          <w:highlight w:val="none"/>
          <w:lang w:val="en-US" w:eastAsia="zh-CN"/>
        </w:rPr>
        <w:t>按时按量</w:t>
      </w:r>
      <w:r>
        <w:rPr>
          <w:rFonts w:hint="eastAsia" w:ascii="宋体" w:hAnsi="宋体" w:eastAsia="宋体" w:cs="Times New Roman"/>
          <w:b w:val="0"/>
          <w:bCs/>
          <w:color w:val="auto"/>
          <w:szCs w:val="21"/>
          <w:highlight w:val="none"/>
        </w:rPr>
        <w:t>供货</w:t>
      </w:r>
      <w:r>
        <w:rPr>
          <w:rFonts w:hint="eastAsia" w:ascii="宋体" w:hAnsi="宋体" w:eastAsia="宋体" w:cs="Times New Roman"/>
          <w:b w:val="0"/>
          <w:bCs/>
          <w:color w:val="auto"/>
          <w:szCs w:val="21"/>
          <w:highlight w:val="none"/>
          <w:lang w:val="en-US" w:eastAsia="zh-CN"/>
        </w:rPr>
        <w:t>义务且全部货物经甲方验收合格</w:t>
      </w: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保函一经开立，未经</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书面同意不得修改或撤销。</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3、付款与</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保函的绑定规则</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 xml:space="preserve">(1) </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仅在收到有效</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保函后，方支付该</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对应的全额货款；</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 xml:space="preserve">(2) </w:t>
      </w:r>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rPr>
        <w:t>未按时提交合规</w:t>
      </w:r>
      <w:r>
        <w:rPr>
          <w:rFonts w:hint="eastAsia" w:ascii="宋体" w:hAnsi="宋体" w:eastAsia="宋体" w:cs="Times New Roman"/>
          <w:b w:val="0"/>
          <w:bCs/>
          <w:color w:val="auto"/>
          <w:szCs w:val="21"/>
          <w:highlight w:val="none"/>
          <w:lang w:eastAsia="zh-CN"/>
        </w:rPr>
        <w:t>的</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保函的，</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有权暂停支付该</w:t>
      </w:r>
      <w:r>
        <w:rPr>
          <w:rFonts w:hint="eastAsia" w:ascii="宋体" w:hAnsi="宋体" w:eastAsia="宋体" w:cs="Times New Roman"/>
          <w:b w:val="0"/>
          <w:bCs/>
          <w:color w:val="auto"/>
          <w:szCs w:val="21"/>
          <w:highlight w:val="none"/>
          <w:lang w:val="en-US" w:eastAsia="zh-CN"/>
        </w:rPr>
        <w:t>供货通知单项下的</w:t>
      </w:r>
      <w:r>
        <w:rPr>
          <w:rFonts w:hint="eastAsia" w:ascii="宋体" w:hAnsi="宋体" w:eastAsia="宋体" w:cs="Times New Roman"/>
          <w:b w:val="0"/>
          <w:bCs/>
          <w:color w:val="auto"/>
          <w:szCs w:val="21"/>
          <w:highlight w:val="none"/>
        </w:rPr>
        <w:t>货款并暂停后续供货安排直至保函补正。</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4、保函的解除与动态管理</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 自动解除：</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完成</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项下全部货物交付并经</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验收合格后</w:t>
      </w:r>
      <w:r>
        <w:rPr>
          <w:rFonts w:hint="eastAsia" w:ascii="宋体" w:hAnsi="宋体" w:eastAsia="宋体" w:cs="Times New Roman"/>
          <w:color w:val="auto"/>
          <w:szCs w:val="21"/>
          <w:highlight w:val="none"/>
          <w:lang w:eastAsia="zh-CN"/>
        </w:rPr>
        <w:t>二十八（28）日</w:t>
      </w: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保函自动失效；</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 延期要求：如</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保函有效期届满而订单义务未履行完毕，供应商须提前15日办理</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保函延期或替换新保函，否则采购人有权立即索赔；</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(3) 累计保函：针对多批次小额订单，经</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书面同意，</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可开立覆盖连续【3】个月订单总额的滚动保函，但单</w:t>
      </w:r>
      <w:r>
        <w:rPr>
          <w:rFonts w:hint="eastAsia" w:ascii="宋体" w:hAnsi="宋体" w:eastAsia="宋体" w:cs="Times New Roman"/>
          <w:b w:val="0"/>
          <w:bCs/>
          <w:color w:val="auto"/>
          <w:szCs w:val="21"/>
          <w:highlight w:val="none"/>
          <w:lang w:eastAsia="zh-CN"/>
        </w:rPr>
        <w:t>个</w:t>
      </w:r>
      <w:r>
        <w:rPr>
          <w:rFonts w:hint="eastAsia" w:ascii="宋体" w:hAnsi="宋体" w:eastAsia="宋体" w:cs="Times New Roman"/>
          <w:color w:val="auto"/>
          <w:szCs w:val="21"/>
          <w:highlight w:val="none"/>
          <w:lang w:val="en-US" w:eastAsia="zh-CN"/>
        </w:rPr>
        <w:t>供货通知单</w:t>
      </w:r>
      <w:r>
        <w:rPr>
          <w:rFonts w:hint="eastAsia" w:ascii="宋体" w:hAnsi="宋体" w:eastAsia="宋体" w:cs="Times New Roman"/>
          <w:b w:val="0"/>
          <w:bCs/>
          <w:color w:val="auto"/>
          <w:szCs w:val="21"/>
          <w:highlight w:val="none"/>
        </w:rPr>
        <w:t>付款前仍需完成该</w:t>
      </w:r>
      <w:r>
        <w:rPr>
          <w:rFonts w:hint="eastAsia" w:ascii="宋体" w:hAnsi="宋体" w:eastAsia="宋体" w:cs="Times New Roman"/>
          <w:color w:val="auto"/>
          <w:szCs w:val="21"/>
          <w:highlight w:val="none"/>
          <w:lang w:val="en-US" w:eastAsia="zh-CN"/>
        </w:rPr>
        <w:t>供货通知单</w:t>
      </w:r>
      <w:r>
        <w:rPr>
          <w:rFonts w:hint="eastAsia" w:ascii="宋体" w:hAnsi="宋体" w:eastAsia="宋体" w:cs="Times New Roman"/>
          <w:b w:val="0"/>
          <w:bCs/>
          <w:color w:val="auto"/>
          <w:szCs w:val="21"/>
          <w:highlight w:val="none"/>
        </w:rPr>
        <w:t>在保函中的金额绑定登记。</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rPr>
        <w:t>未履行本条项下</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保函开立、延期或金额绑定义务的：</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 按该</w:t>
      </w:r>
      <w:r>
        <w:rPr>
          <w:rFonts w:hint="eastAsia" w:ascii="宋体" w:hAnsi="宋体" w:eastAsia="宋体" w:cs="Times New Roman"/>
          <w:color w:val="auto"/>
          <w:szCs w:val="21"/>
          <w:highlight w:val="none"/>
          <w:lang w:val="en-US" w:eastAsia="zh-CN"/>
        </w:rPr>
        <w:t>供货通知单</w:t>
      </w:r>
      <w:r>
        <w:rPr>
          <w:rFonts w:hint="eastAsia" w:ascii="宋体" w:hAnsi="宋体" w:eastAsia="宋体" w:cs="Times New Roman"/>
          <w:b w:val="0"/>
          <w:bCs/>
          <w:color w:val="auto"/>
          <w:szCs w:val="21"/>
          <w:highlight w:val="none"/>
        </w:rPr>
        <w:t>金额的【</w:t>
      </w:r>
      <w:r>
        <w:rPr>
          <w:rFonts w:hint="eastAsia" w:ascii="宋体" w:hAnsi="宋体" w:eastAsia="宋体" w:cs="Times New Roman"/>
          <w:b w:val="0"/>
          <w:bCs/>
          <w:color w:val="auto"/>
          <w:szCs w:val="21"/>
          <w:highlight w:val="none"/>
          <w:lang w:eastAsia="zh-CN"/>
        </w:rPr>
        <w:t>5</w:t>
      </w:r>
      <w:r>
        <w:rPr>
          <w:rFonts w:hint="eastAsia" w:ascii="宋体" w:hAnsi="宋体" w:eastAsia="宋体" w:cs="Times New Roman"/>
          <w:b w:val="0"/>
          <w:bCs/>
          <w:color w:val="auto"/>
          <w:szCs w:val="21"/>
          <w:highlight w:val="none"/>
          <w:lang w:val="en-US" w:eastAsia="zh-CN"/>
        </w:rPr>
        <w:t>‰</w:t>
      </w:r>
      <w:r>
        <w:rPr>
          <w:rFonts w:hint="eastAsia" w:ascii="宋体" w:hAnsi="宋体" w:eastAsia="宋体" w:cs="Times New Roman"/>
          <w:b w:val="0"/>
          <w:bCs/>
          <w:color w:val="auto"/>
          <w:szCs w:val="21"/>
          <w:highlight w:val="none"/>
        </w:rPr>
        <w:t>】/日向</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371" w:firstLineChars="177"/>
        <w:textAlignment w:val="auto"/>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 xml:space="preserve">(2) </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有权</w:t>
      </w:r>
      <w:r>
        <w:rPr>
          <w:rFonts w:hint="eastAsia" w:ascii="宋体" w:hAnsi="宋体" w:eastAsia="宋体" w:cs="Times New Roman"/>
          <w:b w:val="0"/>
          <w:bCs/>
          <w:color w:val="auto"/>
          <w:szCs w:val="21"/>
          <w:highlight w:val="none"/>
          <w:lang w:val="en-US" w:eastAsia="zh-CN"/>
        </w:rPr>
        <w:t>终止</w:t>
      </w:r>
      <w:r>
        <w:rPr>
          <w:rFonts w:hint="eastAsia" w:ascii="宋体" w:hAnsi="宋体" w:eastAsia="宋体" w:cs="Times New Roman"/>
          <w:b w:val="0"/>
          <w:bCs/>
          <w:color w:val="auto"/>
          <w:szCs w:val="21"/>
          <w:highlight w:val="none"/>
        </w:rPr>
        <w:t>该</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并追索</w:t>
      </w:r>
      <w:r>
        <w:rPr>
          <w:rFonts w:hint="eastAsia" w:ascii="宋体" w:hAnsi="宋体" w:eastAsia="宋体" w:cs="Times New Roman"/>
          <w:b w:val="0"/>
          <w:bCs/>
          <w:color w:val="auto"/>
          <w:szCs w:val="21"/>
          <w:highlight w:val="none"/>
          <w:lang w:val="en-US" w:eastAsia="zh-CN"/>
        </w:rPr>
        <w:t>供货通知单项下</w:t>
      </w:r>
      <w:r>
        <w:rPr>
          <w:rFonts w:hint="eastAsia" w:ascii="宋体" w:hAnsi="宋体" w:eastAsia="宋体" w:cs="Times New Roman"/>
          <w:b w:val="0"/>
          <w:bCs/>
          <w:color w:val="auto"/>
          <w:szCs w:val="21"/>
          <w:highlight w:val="none"/>
        </w:rPr>
        <w:t>已付货款</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如有</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rPr>
        <w:t>及资金占用成本（按LPR的150%计息）。</w:t>
      </w:r>
    </w:p>
    <w:p>
      <w:pPr>
        <w:rPr>
          <w:rFonts w:hint="eastAsia"/>
          <w:color w:val="auto"/>
          <w:highlight w:val="none"/>
        </w:rPr>
      </w:pPr>
    </w:p>
    <w:p>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 xml:space="preserve">第十四条 </w:t>
      </w:r>
      <w:r>
        <w:rPr>
          <w:rFonts w:hint="eastAsia" w:ascii="宋体" w:hAnsi="宋体" w:eastAsia="宋体" w:cs="Times New Roman"/>
          <w:b/>
          <w:color w:val="auto"/>
          <w:szCs w:val="21"/>
          <w:highlight w:val="none"/>
        </w:rPr>
        <w:t>技术资料</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用户需求书》的要求向甲方提供完整的所有供货设备的必要技术资料。乙方必须保证技术资料符合安装需求，如因乙方提供的技术资料错误导致设备无法安装的，由此造成的一切损失由乙方承担。具体技术资料要求按照招标文件用户需求书的规定执行。</w:t>
      </w:r>
    </w:p>
    <w:p>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2、乙方在设备交货的同时应提供最终设备的全套（简体中文，如是外文应附中文译本）资料（含纸质和电子文件）给甲方，包括但不限于：  </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（1）完整的装箱单、产品出厂检验合格证；</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（2）产品说明书；</w:t>
      </w:r>
    </w:p>
    <w:p>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东莞市</w:t>
      </w:r>
      <w:r>
        <w:rPr>
          <w:rFonts w:hint="eastAsia" w:ascii="宋体" w:hAnsi="宋体" w:eastAsia="宋体" w:cs="Times New Roman"/>
          <w:color w:val="auto"/>
          <w:szCs w:val="21"/>
          <w:highlight w:val="none"/>
        </w:rPr>
        <w:t>法定</w:t>
      </w:r>
      <w:r>
        <w:rPr>
          <w:rFonts w:hint="eastAsia" w:ascii="宋体" w:hAnsi="宋体" w:eastAsia="宋体" w:cs="Times New Roman"/>
          <w:color w:val="auto"/>
          <w:szCs w:val="21"/>
          <w:highlight w:val="none"/>
          <w:lang w:val="en-US" w:eastAsia="zh-CN"/>
        </w:rPr>
        <w:t>水表</w:t>
      </w:r>
      <w:r>
        <w:rPr>
          <w:rFonts w:hint="eastAsia" w:ascii="宋体" w:hAnsi="宋体" w:eastAsia="宋体" w:cs="Times New Roman"/>
          <w:color w:val="auto"/>
          <w:szCs w:val="21"/>
          <w:highlight w:val="none"/>
        </w:rPr>
        <w:t>计量检定机构出具的检定合格证书</w:t>
      </w:r>
      <w:r>
        <w:rPr>
          <w:rFonts w:hint="eastAsia" w:ascii="宋体" w:hAnsi="宋体" w:eastAsia="宋体" w:cs="宋体"/>
          <w:b w:val="0"/>
          <w:bCs w:val="0"/>
          <w:color w:val="auto"/>
          <w:sz w:val="21"/>
          <w:szCs w:val="21"/>
          <w:highlight w:val="none"/>
          <w:lang w:val="en-US" w:eastAsia="zh-CN"/>
        </w:rPr>
        <w:t>（超出东莞市法定水表检定机构检测能力范围的，须由上级主管部门指定的水表检定机构出具检定合格证书）</w:t>
      </w:r>
      <w:r>
        <w:rPr>
          <w:rFonts w:hint="eastAsia" w:ascii="宋体" w:hAnsi="宋体" w:eastAsia="宋体" w:cs="Times New Roman"/>
          <w:color w:val="auto"/>
          <w:szCs w:val="21"/>
          <w:highlight w:val="none"/>
        </w:rPr>
        <w:t>；</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（4）与货物使用、维护或检验等所需的相关其他文件；</w:t>
      </w:r>
    </w:p>
    <w:p>
      <w:pPr>
        <w:adjustRightInd w:val="0"/>
        <w:snapToGrid w:val="0"/>
        <w:spacing w:line="360" w:lineRule="auto"/>
        <w:ind w:firstLine="371" w:firstLineChars="177"/>
        <w:rPr>
          <w:rFonts w:hint="eastAsia" w:ascii="宋体" w:hAnsi="宋体" w:eastAsia="宋体" w:cs="Times New Roman"/>
          <w:b w:val="0"/>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条 权利保证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乙方应保证合同项下提供的货物不侵犯任何第三方的专利、商标、版权以及其它权利，否则，乙方须承担因此产生的全部责任及费用，如因此造成甲方损失的，乙方应予以赔偿。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一方因不可抗力（指战争、动乱、瘟疫、洪水、地震或其他灾害，以及其他不可预见、不可防止并不能避免或克服的事件）引起的履行延迟或履行不能的，不需承担违约责任。但受不可抗力影响的一方应于不可抗力发生后</w:t>
      </w:r>
      <w:r>
        <w:rPr>
          <w:rFonts w:hint="eastAsia" w:ascii="宋体" w:hAnsi="宋体" w:eastAsia="宋体" w:cs="宋体"/>
          <w:color w:val="auto"/>
          <w:szCs w:val="21"/>
          <w:highlight w:val="none"/>
          <w:u w:val="single"/>
        </w:rPr>
        <w:t>7</w:t>
      </w:r>
      <w:r>
        <w:rPr>
          <w:rFonts w:hint="eastAsia" w:ascii="宋体" w:hAnsi="宋体" w:eastAsia="宋体" w:cs="宋体"/>
          <w:color w:val="auto"/>
          <w:szCs w:val="21"/>
          <w:highlight w:val="none"/>
        </w:rPr>
        <w:t>日内书面通知另一方，并在不可抗力事件发生后 7 日内，</w:t>
      </w:r>
      <w:r>
        <w:rPr>
          <w:rFonts w:hint="eastAsia" w:ascii="宋体" w:hAnsi="宋体" w:eastAsia="宋体" w:cs="Times New Roman"/>
          <w:color w:val="auto"/>
          <w:szCs w:val="21"/>
          <w:highlight w:val="none"/>
        </w:rPr>
        <w:t>提供</w:t>
      </w:r>
      <w:r>
        <w:rPr>
          <w:rFonts w:hint="eastAsia" w:ascii="宋体" w:hAnsi="宋体" w:eastAsia="宋体" w:cs="Times New Roman"/>
          <w:color w:val="auto"/>
          <w:szCs w:val="21"/>
          <w:highlight w:val="none"/>
          <w:lang w:val="en-US" w:eastAsia="zh-CN"/>
        </w:rPr>
        <w:t>书面</w:t>
      </w:r>
      <w:r>
        <w:rPr>
          <w:rFonts w:hint="eastAsia" w:ascii="宋体" w:hAnsi="宋体" w:eastAsia="宋体" w:cs="Times New Roman"/>
          <w:color w:val="auto"/>
          <w:szCs w:val="21"/>
          <w:highlight w:val="none"/>
        </w:rPr>
        <w:t>证明</w:t>
      </w:r>
      <w:r>
        <w:rPr>
          <w:rFonts w:hint="eastAsia" w:ascii="宋体" w:hAnsi="宋体" w:eastAsia="宋体" w:cs="Times New Roman"/>
          <w:color w:val="auto"/>
          <w:szCs w:val="21"/>
          <w:highlight w:val="none"/>
          <w:lang w:val="en-US" w:eastAsia="zh-CN"/>
        </w:rPr>
        <w:t>材料,</w:t>
      </w:r>
      <w:r>
        <w:rPr>
          <w:rFonts w:hint="eastAsia" w:ascii="宋体" w:hAnsi="宋体" w:eastAsia="宋体" w:cs="宋体"/>
          <w:color w:val="auto"/>
          <w:szCs w:val="21"/>
          <w:highlight w:val="none"/>
        </w:rPr>
        <w:t>并应采取措施防止对方损失进一步扩大，如未采取相应措施导致另一方损失扩大的，受不可抗力影响一方应就扩大损失部分承担赔偿责任。如果不可抗力事件发生后，乙方不能按甲方的最迟交货期交货，则甲方有权解除本合同并不承担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七</w:t>
      </w:r>
      <w:r>
        <w:rPr>
          <w:rFonts w:hint="eastAsia" w:ascii="宋体" w:hAnsi="宋体" w:eastAsia="宋体" w:cs="宋体"/>
          <w:b/>
          <w:color w:val="auto"/>
          <w:szCs w:val="21"/>
          <w:highlight w:val="none"/>
        </w:rPr>
        <w:t>条 索赔</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未在7日内作出答复的，视为乙方同意甲方的索赔通知及按通知所确定的款项向甲方理赔。乙方根据合同约定应承担更换或退货责任的，乙方应立即根据本合同的约定承担免费更换或退货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 7 日内将退货货物运回，返还甲方已支付的全部货款，并承担因此产生的全部费用，以及赔偿因此给甲方造成的损失。</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）当甲方损失无法计算时，乙方同意按合同暂定</w:t>
      </w:r>
      <w:r>
        <w:rPr>
          <w:rFonts w:hint="eastAsia" w:ascii="宋体" w:hAnsi="宋体" w:eastAsia="宋体" w:cs="宋体"/>
          <w:bCs/>
          <w:color w:val="auto"/>
          <w:szCs w:val="21"/>
          <w:highlight w:val="none"/>
        </w:rPr>
        <w:t>总</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含销项税额</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的20%计算赔偿金。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）索赔金额、甲方损失以及因索赔所发生的费用，甲方有权启动履约担保支付或从未付货款中直接扣除。</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违约责任</w:t>
      </w:r>
    </w:p>
    <w:p>
      <w:pPr>
        <w:adjustRightInd w:val="0"/>
        <w:snapToGrid w:val="0"/>
        <w:spacing w:line="360" w:lineRule="auto"/>
        <w:ind w:firstLine="371" w:firstLineChars="177"/>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、乙方未</w:t>
      </w:r>
      <w:r>
        <w:rPr>
          <w:rFonts w:hint="eastAsia" w:ascii="宋体" w:hAnsi="宋体" w:eastAsia="宋体" w:cs="Times New Roman"/>
          <w:color w:val="auto"/>
          <w:szCs w:val="21"/>
          <w:highlight w:val="none"/>
          <w:lang w:val="en-US" w:eastAsia="zh-CN"/>
        </w:rPr>
        <w:t>按供货通知单</w:t>
      </w:r>
      <w:r>
        <w:rPr>
          <w:rFonts w:hint="eastAsia" w:ascii="宋体" w:hAnsi="宋体" w:eastAsia="宋体" w:cs="Times New Roman"/>
          <w:color w:val="auto"/>
          <w:szCs w:val="21"/>
          <w:highlight w:val="none"/>
        </w:rPr>
        <w:t>约定的时间完成交货（部分交货视为未完成交货），或未在规定的时间内承担相应的更换、退货责任的，每逾期一日，应按合同暂定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的5‰向甲方支付违约金。乙方逾期超过_</w:t>
      </w:r>
      <w:r>
        <w:rPr>
          <w:rFonts w:hint="eastAsia" w:ascii="宋体" w:hAnsi="宋体" w:eastAsia="宋体" w:cs="Times New Roman"/>
          <w:color w:val="auto"/>
          <w:szCs w:val="21"/>
          <w:highlight w:val="none"/>
          <w:u w:val="single"/>
        </w:rPr>
        <w:t>30</w:t>
      </w:r>
      <w:r>
        <w:rPr>
          <w:rFonts w:hint="eastAsia" w:ascii="宋体" w:hAnsi="宋体" w:eastAsia="宋体" w:cs="Times New Roman"/>
          <w:color w:val="auto"/>
          <w:szCs w:val="21"/>
          <w:highlight w:val="none"/>
        </w:rPr>
        <w:t>_日的，甲方可单方解除本合同，无论甲方是否解除本合同，乙方除支付前述逾期违约金外，还应按合同暂定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的5%向甲方支付赔偿金。</w:t>
      </w:r>
      <w:r>
        <w:rPr>
          <w:rFonts w:hint="eastAsia" w:ascii="Times New Roman" w:hAnsi="宋体" w:eastAsia="宋体" w:cs="Times New Roman"/>
          <w:color w:val="auto"/>
          <w:szCs w:val="21"/>
          <w:highlight w:val="none"/>
        </w:rPr>
        <w:t>该部分金额不足以弥补甲方损失的，甲方还有权另行追偿。</w:t>
      </w:r>
    </w:p>
    <w:p>
      <w:pPr>
        <w:adjustRightInd w:val="0"/>
        <w:snapToGrid w:val="0"/>
        <w:spacing w:line="360" w:lineRule="auto"/>
        <w:ind w:firstLine="371" w:firstLineChars="177"/>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、乙方所交货物（包括但不限于品种、型号、规格、质量、性能）不符合合同规定的，甲方有权拒收，并要求乙方免费予以更换或退货，同时乙方应向甲方支付该批货款金额</w:t>
      </w:r>
      <w:r>
        <w:rPr>
          <w:rFonts w:hint="eastAsia" w:ascii="宋体" w:hAnsi="宋体" w:eastAsia="宋体" w:cs="Times New Roman"/>
          <w:color w:val="auto"/>
          <w:szCs w:val="21"/>
          <w:highlight w:val="none"/>
          <w:u w:val="non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rPr>
        <w:t>的5%的违约金。若因乙方原因导致乙方无法按照本合同约定供货的，甲方有权单方解除合同，且有权要求乙方支付合同暂定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w:t>
      </w:r>
      <w:r>
        <w:rPr>
          <w:rFonts w:ascii="Times New Roman" w:hAnsi="宋体" w:eastAsia="宋体" w:cs="Times New Roman"/>
          <w:color w:val="auto"/>
          <w:szCs w:val="21"/>
          <w:highlight w:val="none"/>
        </w:rPr>
        <w:t>20</w:t>
      </w: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的违约金。</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、乙方未按约定履行培训或售后服务义务的，甲方有权要求限期改正，如逾期仍未改正的，甲方有权解除合同，且剩余款项无需再支付，同时甲方有权没收履约担保。</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、无论是否在质保期内，因货物质量问题发生安全事故或引起其他损失、造成不良后果的，乙方应承担全部责任及损失赔偿。</w:t>
      </w:r>
    </w:p>
    <w:p>
      <w:pPr>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Times New Roman" w:hAnsi="宋体" w:eastAsia="宋体" w:cs="Times New Roman"/>
          <w:color w:val="auto"/>
          <w:szCs w:val="21"/>
          <w:highlight w:val="none"/>
          <w:lang w:eastAsia="zh-Hans"/>
        </w:rPr>
        <w:t>货物质量存在问题的，如甲方选择继续要货，乙方须在甲方指定的期限内交付符合合同质量标准的货物（甲方验收确认合格后，由乙方提回原不合格货物），因此构成迟延交货的，乙方并须承担迟延交货违约责任</w:t>
      </w:r>
      <w:r>
        <w:rPr>
          <w:rFonts w:hint="eastAsia" w:ascii="Times New Roman" w:hAnsi="宋体" w:eastAsia="宋体" w:cs="Times New Roman"/>
          <w:color w:val="auto"/>
          <w:szCs w:val="21"/>
          <w:highlight w:val="none"/>
          <w:lang w:eastAsia="zh-CN"/>
        </w:rPr>
        <w:t>，即每逾期一日，乙方应按合同</w:t>
      </w:r>
      <w:r>
        <w:rPr>
          <w:rFonts w:hint="eastAsia" w:ascii="Times New Roman" w:hAnsi="宋体" w:eastAsia="宋体" w:cs="Times New Roman"/>
          <w:color w:val="auto"/>
          <w:szCs w:val="21"/>
          <w:highlight w:val="none"/>
          <w:lang w:val="en-US" w:eastAsia="zh-CN"/>
        </w:rPr>
        <w:t>暂定</w:t>
      </w:r>
      <w:r>
        <w:rPr>
          <w:rFonts w:hint="eastAsia" w:ascii="Times New Roman" w:hAnsi="宋体" w:eastAsia="宋体" w:cs="Times New Roman"/>
          <w:color w:val="auto"/>
          <w:szCs w:val="21"/>
          <w:highlight w:val="none"/>
          <w:lang w:eastAsia="zh-CN"/>
        </w:rPr>
        <w:t>总价</w:t>
      </w:r>
      <w:r>
        <w:rPr>
          <w:rFonts w:hint="eastAsia" w:ascii="宋体" w:hAnsi="宋体" w:eastAsia="宋体" w:cs="Times New Roman"/>
          <w:color w:val="auto"/>
          <w:szCs w:val="21"/>
          <w:highlight w:val="none"/>
          <w:u w:val="non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none"/>
        </w:rPr>
        <w:t>）</w:t>
      </w:r>
      <w:r>
        <w:rPr>
          <w:rFonts w:hint="eastAsia" w:ascii="Times New Roman" w:hAnsi="宋体" w:eastAsia="宋体" w:cs="Times New Roman"/>
          <w:color w:val="auto"/>
          <w:szCs w:val="21"/>
          <w:highlight w:val="none"/>
          <w:lang w:eastAsia="zh-CN"/>
        </w:rPr>
        <w:t>的【5</w:t>
      </w:r>
      <w:r>
        <w:rPr>
          <w:rFonts w:hint="eastAsia" w:ascii="宋体" w:hAnsi="宋体" w:eastAsia="宋体" w:cs="Times New Roman"/>
          <w:color w:val="auto"/>
          <w:szCs w:val="21"/>
          <w:highlight w:val="none"/>
        </w:rPr>
        <w:t>‰</w:t>
      </w:r>
      <w:r>
        <w:rPr>
          <w:rFonts w:hint="eastAsia" w:ascii="Times New Roman" w:hAnsi="宋体" w:eastAsia="宋体" w:cs="Times New Roman"/>
          <w:color w:val="auto"/>
          <w:szCs w:val="21"/>
          <w:highlight w:val="none"/>
          <w:lang w:eastAsia="zh-CN"/>
        </w:rPr>
        <w:t>】向甲方支付违约金。乙方逾期超过30 日的，甲方可单方解除本合同，无论甲方是否解除本合同，乙方除支付前述逾期违约金外，还应按合同</w:t>
      </w:r>
      <w:r>
        <w:rPr>
          <w:rFonts w:hint="eastAsia" w:ascii="Times New Roman" w:hAnsi="宋体" w:eastAsia="宋体" w:cs="Times New Roman"/>
          <w:color w:val="auto"/>
          <w:szCs w:val="21"/>
          <w:highlight w:val="none"/>
          <w:lang w:val="en-US" w:eastAsia="zh-CN"/>
        </w:rPr>
        <w:t>暂定</w:t>
      </w:r>
      <w:r>
        <w:rPr>
          <w:rFonts w:hint="eastAsia" w:ascii="Times New Roman" w:hAnsi="宋体" w:eastAsia="宋体" w:cs="Times New Roman"/>
          <w:color w:val="auto"/>
          <w:szCs w:val="21"/>
          <w:highlight w:val="none"/>
          <w:lang w:eastAsia="zh-CN"/>
        </w:rPr>
        <w:t>总价（含</w:t>
      </w:r>
      <w:r>
        <w:rPr>
          <w:rFonts w:hint="eastAsia" w:ascii="Times New Roman" w:hAnsi="宋体" w:eastAsia="宋体" w:cs="Times New Roman"/>
          <w:color w:val="auto"/>
          <w:szCs w:val="21"/>
          <w:highlight w:val="none"/>
        </w:rPr>
        <w:t>销项税额</w:t>
      </w:r>
      <w:r>
        <w:rPr>
          <w:rFonts w:hint="eastAsia" w:ascii="Times New Roman" w:hAnsi="宋体" w:eastAsia="宋体" w:cs="Times New Roman"/>
          <w:color w:val="auto"/>
          <w:szCs w:val="21"/>
          <w:highlight w:val="none"/>
          <w:lang w:eastAsia="zh-CN"/>
        </w:rPr>
        <w:t>）的【5</w:t>
      </w:r>
      <w:r>
        <w:rPr>
          <w:rFonts w:hint="eastAsia" w:ascii="宋体" w:hAnsi="宋体" w:eastAsia="宋体" w:cs="Times New Roman"/>
          <w:color w:val="auto"/>
          <w:szCs w:val="21"/>
          <w:highlight w:val="none"/>
        </w:rPr>
        <w:t>‰</w:t>
      </w:r>
      <w:r>
        <w:rPr>
          <w:rFonts w:hint="eastAsia" w:ascii="Times New Roman" w:hAnsi="宋体" w:eastAsia="宋体" w:cs="Times New Roman"/>
          <w:color w:val="auto"/>
          <w:szCs w:val="21"/>
          <w:highlight w:val="none"/>
          <w:lang w:eastAsia="zh-CN"/>
        </w:rPr>
        <w:t>】向甲方支付赔偿金。该部分金额不足以弥补甲方损失的，甲方还有权另行追偿</w:t>
      </w:r>
      <w:r>
        <w:rPr>
          <w:rFonts w:hint="eastAsia" w:ascii="Times New Roman" w:hAnsi="宋体" w:eastAsia="宋体" w:cs="Times New Roman"/>
          <w:color w:val="auto"/>
          <w:szCs w:val="21"/>
          <w:highlight w:val="none"/>
          <w:lang w:eastAsia="zh-Hans"/>
        </w:rPr>
        <w:t>。甲方决定解除合同的，或货物内在质量存在问题，造成甲方或第三人损失的，乙方须负责赔偿因此而造成甲方的一切损失（包括直接和间接损失，以及造成甲方、第三方人身、财产损害）。</w:t>
      </w:r>
    </w:p>
    <w:p>
      <w:pPr>
        <w:snapToGrid w:val="0"/>
        <w:spacing w:line="360" w:lineRule="auto"/>
        <w:ind w:firstLine="371" w:firstLineChars="177"/>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 w:val="21"/>
          <w:szCs w:val="21"/>
          <w:highlight w:val="none"/>
          <w:lang w:val="en-US" w:eastAsia="zh-CN"/>
        </w:rPr>
        <w:t>6、在</w:t>
      </w:r>
      <w:r>
        <w:rPr>
          <w:rFonts w:hint="eastAsia" w:ascii="Times New Roman" w:hAnsi="宋体" w:eastAsia="宋体" w:cs="Times New Roman"/>
          <w:color w:val="auto"/>
          <w:sz w:val="21"/>
          <w:szCs w:val="21"/>
          <w:highlight w:val="none"/>
          <w:lang w:eastAsia="zh-Hans"/>
        </w:rPr>
        <w:t>质保期内</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乙方</w:t>
      </w:r>
      <w:r>
        <w:rPr>
          <w:rFonts w:hint="eastAsia" w:ascii="Times New Roman" w:hAnsi="宋体" w:eastAsia="宋体" w:cs="Times New Roman"/>
          <w:color w:val="auto"/>
          <w:sz w:val="21"/>
          <w:szCs w:val="21"/>
          <w:highlight w:val="none"/>
          <w:lang w:eastAsia="zh-Hans"/>
        </w:rPr>
        <w:t>接到</w:t>
      </w:r>
      <w:r>
        <w:rPr>
          <w:rFonts w:hint="eastAsia" w:ascii="Times New Roman" w:hAnsi="宋体" w:eastAsia="宋体" w:cs="Times New Roman"/>
          <w:color w:val="auto"/>
          <w:sz w:val="21"/>
          <w:szCs w:val="21"/>
          <w:highlight w:val="none"/>
          <w:lang w:val="en-US" w:eastAsia="zh-CN"/>
        </w:rPr>
        <w:t>甲方</w:t>
      </w:r>
      <w:r>
        <w:rPr>
          <w:rFonts w:hint="eastAsia" w:ascii="Times New Roman" w:hAnsi="宋体" w:eastAsia="宋体" w:cs="Times New Roman"/>
          <w:color w:val="auto"/>
          <w:sz w:val="21"/>
          <w:szCs w:val="21"/>
          <w:highlight w:val="none"/>
          <w:lang w:eastAsia="zh-Hans"/>
        </w:rPr>
        <w:t>售后通知并要求到现场处理的，</w:t>
      </w:r>
      <w:r>
        <w:rPr>
          <w:rFonts w:hint="eastAsia" w:ascii="Times New Roman" w:hAnsi="宋体" w:eastAsia="宋体" w:cs="Times New Roman"/>
          <w:color w:val="auto"/>
          <w:szCs w:val="21"/>
          <w:highlight w:val="none"/>
          <w:lang w:eastAsia="zh-Hans"/>
        </w:rPr>
        <w:t>乙方须</w:t>
      </w:r>
      <w:r>
        <w:rPr>
          <w:rFonts w:hint="eastAsia" w:ascii="宋体" w:hAnsi="宋体" w:eastAsia="宋体" w:cs="Times New Roman"/>
          <w:color w:val="auto"/>
          <w:szCs w:val="21"/>
          <w:highlight w:val="none"/>
        </w:rPr>
        <w:t>按本合同第</w:t>
      </w:r>
      <w:r>
        <w:rPr>
          <w:rFonts w:hint="eastAsia" w:ascii="宋体" w:hAnsi="宋体" w:eastAsia="宋体" w:cs="Times New Roman"/>
          <w:color w:val="auto"/>
          <w:szCs w:val="21"/>
          <w:highlight w:val="none"/>
          <w:lang w:val="en-US" w:eastAsia="zh-CN"/>
        </w:rPr>
        <w:t>五</w:t>
      </w:r>
      <w:r>
        <w:rPr>
          <w:rFonts w:hint="eastAsia" w:ascii="宋体" w:hAnsi="宋体" w:eastAsia="宋体" w:cs="Times New Roman"/>
          <w:color w:val="auto"/>
          <w:szCs w:val="21"/>
          <w:highlight w:val="none"/>
        </w:rPr>
        <w:t>条第</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款</w:t>
      </w:r>
      <w:r>
        <w:rPr>
          <w:rFonts w:hint="eastAsia" w:ascii="宋体" w:hAnsi="宋体" w:eastAsia="宋体" w:cs="Times New Roman"/>
          <w:color w:val="auto"/>
          <w:szCs w:val="21"/>
          <w:highlight w:val="none"/>
          <w:lang w:val="en-US" w:eastAsia="zh-CN"/>
        </w:rPr>
        <w:t>时间规定到达现场</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Cs w:val="21"/>
          <w:highlight w:val="none"/>
          <w:lang w:val="en-US" w:eastAsia="zh-CN"/>
        </w:rPr>
        <w:t>若</w:t>
      </w:r>
      <w:r>
        <w:rPr>
          <w:rFonts w:hint="default" w:ascii="Times New Roman" w:hAnsi="宋体" w:eastAsia="宋体" w:cs="Times New Roman"/>
          <w:color w:val="auto"/>
          <w:szCs w:val="21"/>
          <w:highlight w:val="none"/>
          <w:lang w:val="en-US" w:eastAsia="zh-CN"/>
        </w:rPr>
        <w:t>迟延</w:t>
      </w:r>
      <w:r>
        <w:rPr>
          <w:rFonts w:hint="eastAsia" w:ascii="Times New Roman" w:hAnsi="宋体" w:eastAsia="宋体" w:cs="Times New Roman"/>
          <w:color w:val="auto"/>
          <w:szCs w:val="21"/>
          <w:highlight w:val="none"/>
          <w:lang w:val="en-US" w:eastAsia="zh-CN"/>
        </w:rPr>
        <w:t>到达现场</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 w:val="21"/>
          <w:szCs w:val="21"/>
          <w:highlight w:val="none"/>
          <w:lang w:val="en-US" w:eastAsia="zh-CN"/>
        </w:rPr>
        <w:t>，</w:t>
      </w:r>
      <w:r>
        <w:rPr>
          <w:rFonts w:hint="eastAsia" w:ascii="Times New Roman" w:hAnsi="宋体" w:eastAsia="宋体" w:cs="Times New Roman"/>
          <w:color w:val="auto"/>
          <w:szCs w:val="21"/>
          <w:highlight w:val="none"/>
          <w:lang w:eastAsia="zh-Hans"/>
        </w:rPr>
        <w:t>乙方并须承担</w:t>
      </w:r>
      <w:r>
        <w:rPr>
          <w:rFonts w:hint="eastAsia" w:ascii="Times New Roman" w:hAnsi="宋体" w:eastAsia="宋体" w:cs="Times New Roman"/>
          <w:color w:val="auto"/>
          <w:szCs w:val="21"/>
          <w:highlight w:val="none"/>
          <w:lang w:val="en-US" w:eastAsia="zh-CN"/>
        </w:rPr>
        <w:t>逾期</w:t>
      </w:r>
      <w:r>
        <w:rPr>
          <w:rFonts w:hint="eastAsia" w:ascii="Times New Roman" w:hAnsi="宋体" w:eastAsia="宋体" w:cs="Times New Roman"/>
          <w:color w:val="auto"/>
          <w:szCs w:val="21"/>
          <w:highlight w:val="none"/>
          <w:lang w:eastAsia="zh-Hans"/>
        </w:rPr>
        <w:t>违约责任</w:t>
      </w:r>
      <w:r>
        <w:rPr>
          <w:rFonts w:hint="eastAsia" w:ascii="Times New Roman" w:hAnsi="宋体" w:eastAsia="宋体" w:cs="Times New Roman"/>
          <w:color w:val="auto"/>
          <w:szCs w:val="21"/>
          <w:highlight w:val="none"/>
          <w:lang w:eastAsia="zh-CN"/>
        </w:rPr>
        <w:t>，即每逾期一</w:t>
      </w:r>
      <w:r>
        <w:rPr>
          <w:rFonts w:hint="eastAsia" w:ascii="Times New Roman" w:hAnsi="宋体" w:eastAsia="宋体" w:cs="Times New Roman"/>
          <w:color w:val="auto"/>
          <w:szCs w:val="21"/>
          <w:highlight w:val="none"/>
          <w:lang w:val="en-US" w:eastAsia="zh-CN"/>
        </w:rPr>
        <w:t>次</w:t>
      </w:r>
      <w:r>
        <w:rPr>
          <w:rFonts w:hint="eastAsia" w:ascii="Times New Roman" w:hAnsi="宋体" w:eastAsia="宋体" w:cs="Times New Roman"/>
          <w:color w:val="auto"/>
          <w:szCs w:val="21"/>
          <w:highlight w:val="none"/>
          <w:lang w:eastAsia="zh-CN"/>
        </w:rPr>
        <w:t>，乙方应按合同</w:t>
      </w:r>
      <w:r>
        <w:rPr>
          <w:rFonts w:hint="eastAsia" w:ascii="Times New Roman" w:hAnsi="宋体" w:eastAsia="宋体" w:cs="Times New Roman"/>
          <w:color w:val="auto"/>
          <w:szCs w:val="21"/>
          <w:highlight w:val="none"/>
          <w:lang w:val="en-US" w:eastAsia="zh-CN"/>
        </w:rPr>
        <w:t>暂定</w:t>
      </w:r>
      <w:r>
        <w:rPr>
          <w:rFonts w:hint="eastAsia" w:ascii="Times New Roman" w:hAnsi="宋体" w:eastAsia="宋体" w:cs="Times New Roman"/>
          <w:color w:val="auto"/>
          <w:szCs w:val="21"/>
          <w:highlight w:val="none"/>
          <w:lang w:eastAsia="zh-CN"/>
        </w:rPr>
        <w:t>总价（含</w:t>
      </w:r>
      <w:r>
        <w:rPr>
          <w:rFonts w:hint="eastAsia" w:ascii="Times New Roman" w:hAnsi="宋体" w:eastAsia="宋体" w:cs="Times New Roman"/>
          <w:color w:val="auto"/>
          <w:szCs w:val="21"/>
          <w:highlight w:val="none"/>
        </w:rPr>
        <w:t>销项税额</w:t>
      </w:r>
      <w:r>
        <w:rPr>
          <w:rFonts w:hint="eastAsia" w:ascii="Times New Roman" w:hAnsi="宋体" w:eastAsia="宋体" w:cs="Times New Roman"/>
          <w:color w:val="auto"/>
          <w:szCs w:val="21"/>
          <w:highlight w:val="none"/>
          <w:lang w:eastAsia="zh-CN"/>
        </w:rPr>
        <w:t>）的【5</w:t>
      </w:r>
      <w:r>
        <w:rPr>
          <w:rFonts w:hint="eastAsia" w:ascii="宋体" w:hAnsi="宋体" w:eastAsia="宋体" w:cs="Times New Roman"/>
          <w:color w:val="auto"/>
          <w:szCs w:val="21"/>
          <w:highlight w:val="none"/>
        </w:rPr>
        <w:t>‰</w:t>
      </w:r>
      <w:r>
        <w:rPr>
          <w:rFonts w:hint="eastAsia" w:ascii="Times New Roman" w:hAnsi="宋体" w:eastAsia="宋体" w:cs="Times New Roman"/>
          <w:color w:val="auto"/>
          <w:szCs w:val="21"/>
          <w:highlight w:val="none"/>
          <w:lang w:eastAsia="zh-CN"/>
        </w:rPr>
        <w:t>】向甲方支付违约金，该部分金额不足以弥补甲方损失的，甲方还有权另行追偿；</w:t>
      </w:r>
      <w:r>
        <w:rPr>
          <w:rFonts w:hint="eastAsia" w:ascii="Times New Roman" w:hAnsi="宋体" w:eastAsia="宋体" w:cs="Times New Roman"/>
          <w:color w:val="auto"/>
          <w:szCs w:val="21"/>
          <w:highlight w:val="none"/>
          <w:lang w:val="en-US" w:eastAsia="zh-CN"/>
        </w:rPr>
        <w:t>同时，若因逾期到达现场进行售后而</w:t>
      </w:r>
      <w:r>
        <w:rPr>
          <w:rFonts w:hint="eastAsia" w:ascii="Times New Roman" w:hAnsi="宋体" w:eastAsia="宋体" w:cs="Times New Roman"/>
          <w:color w:val="auto"/>
          <w:szCs w:val="21"/>
          <w:highlight w:val="none"/>
          <w:lang w:eastAsia="zh-Hans"/>
        </w:rPr>
        <w:t>造成甲方或第三人损失的，乙方须负责赔偿因此而造成甲方的一切损失（包括直接和间接损失，以及造成甲方、第三方人身、财产损害）。</w:t>
      </w:r>
    </w:p>
    <w:p>
      <w:pPr>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CN"/>
        </w:rPr>
        <w:t>7</w:t>
      </w:r>
      <w:r>
        <w:rPr>
          <w:rFonts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eastAsia="zh-Hans"/>
        </w:rPr>
        <w:t>在本合同履行期限内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乙方未经甲方书面同意即将本合同约定项下的全部项目或部分项目转包给第三方的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甲方有权单方解除本合同且要求乙方按合同</w:t>
      </w:r>
      <w:r>
        <w:rPr>
          <w:rFonts w:hint="eastAsia" w:ascii="Times New Roman" w:hAnsi="宋体" w:eastAsia="宋体" w:cs="Times New Roman"/>
          <w:color w:val="auto"/>
          <w:szCs w:val="21"/>
          <w:highlight w:val="none"/>
        </w:rPr>
        <w:t>暂定</w:t>
      </w:r>
      <w:r>
        <w:rPr>
          <w:rFonts w:hint="eastAsia" w:ascii="宋体" w:hAnsi="宋体" w:eastAsia="宋体" w:cs="Times New Roman"/>
          <w:color w:val="auto"/>
          <w:szCs w:val="21"/>
          <w:highlight w:val="none"/>
        </w:rPr>
        <w:t>总</w:t>
      </w:r>
      <w:r>
        <w:rPr>
          <w:rFonts w:hint="eastAsia" w:ascii="Times New Roman"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Hans"/>
        </w:rPr>
        <w:t>承担违约责任</w:t>
      </w:r>
      <w:r>
        <w:rPr>
          <w:rFonts w:ascii="Times New Roman" w:hAnsi="宋体" w:eastAsia="宋体" w:cs="Times New Roman"/>
          <w:color w:val="auto"/>
          <w:szCs w:val="21"/>
          <w:highlight w:val="none"/>
          <w:lang w:eastAsia="zh-Hans"/>
        </w:rPr>
        <w:t>。</w:t>
      </w:r>
    </w:p>
    <w:p>
      <w:pPr>
        <w:snapToGrid w:val="0"/>
        <w:spacing w:line="360" w:lineRule="auto"/>
        <w:ind w:firstLine="371" w:firstLineChars="177"/>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8、质保期内，如货物发生质量问题导致不能正常使用的，在收到甲方通知后，乙方须在7天内免费为甲方解决货物故障或无偿更换货物，否则，乙方须按出现质量问题货物款项的200%（含</w:t>
      </w:r>
      <w:r>
        <w:rPr>
          <w:rFonts w:hint="eastAsia" w:ascii="Times New Roman" w:hAnsi="宋体" w:eastAsia="宋体" w:cs="Times New Roman"/>
          <w:color w:val="auto"/>
          <w:szCs w:val="21"/>
          <w:highlight w:val="none"/>
        </w:rPr>
        <w:t>销项税额</w:t>
      </w:r>
      <w:r>
        <w:rPr>
          <w:rFonts w:hint="eastAsia" w:ascii="Times New Roman" w:hAnsi="宋体" w:eastAsia="宋体" w:cs="Times New Roman"/>
          <w:color w:val="auto"/>
          <w:szCs w:val="21"/>
          <w:highlight w:val="none"/>
          <w:lang w:val="en-US" w:eastAsia="zh-CN"/>
        </w:rPr>
        <w:t>）进行赔付给甲方。乙方逾期未支付的，每逾期 10 日加收未赔付款项【20%】的违约金，且甲方有权在未支付款项中扣除赔付款项。</w:t>
      </w:r>
    </w:p>
    <w:p>
      <w:pPr>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CN"/>
        </w:rPr>
        <w:t>9</w:t>
      </w: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eastAsia="zh-Hans"/>
        </w:rPr>
        <w:t>乙方违反本合同任意一项约定</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均视为乙方严重违约</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甲方有权单方解除本合同</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CN"/>
        </w:rPr>
        <w:t>不予退还</w:t>
      </w:r>
      <w:r>
        <w:rPr>
          <w:rFonts w:hint="eastAsia" w:ascii="Times New Roman" w:hAnsi="宋体" w:eastAsia="宋体" w:cs="Times New Roman"/>
          <w:color w:val="auto"/>
          <w:szCs w:val="21"/>
          <w:highlight w:val="none"/>
          <w:lang w:eastAsia="zh-Hans"/>
        </w:rPr>
        <w:t>履约</w:t>
      </w:r>
      <w:r>
        <w:rPr>
          <w:rFonts w:hint="eastAsia" w:ascii="Times New Roman" w:hAnsi="宋体" w:eastAsia="宋体" w:cs="Times New Roman"/>
          <w:color w:val="auto"/>
          <w:szCs w:val="21"/>
          <w:highlight w:val="none"/>
        </w:rPr>
        <w:t>担保</w:t>
      </w:r>
      <w:r>
        <w:rPr>
          <w:rFonts w:hint="eastAsia" w:ascii="Times New Roman" w:hAnsi="宋体" w:eastAsia="宋体" w:cs="Times New Roman"/>
          <w:color w:val="auto"/>
          <w:szCs w:val="21"/>
          <w:highlight w:val="none"/>
          <w:lang w:eastAsia="zh-Hans"/>
        </w:rPr>
        <w:t>且要求乙方按合同</w:t>
      </w:r>
      <w:r>
        <w:rPr>
          <w:rFonts w:hint="eastAsia" w:ascii="Times New Roman" w:hAnsi="宋体" w:eastAsia="宋体" w:cs="Times New Roman"/>
          <w:color w:val="auto"/>
          <w:szCs w:val="21"/>
          <w:highlight w:val="none"/>
        </w:rPr>
        <w:t>暂定</w:t>
      </w:r>
      <w:r>
        <w:rPr>
          <w:rFonts w:hint="eastAsia" w:ascii="宋体" w:hAnsi="宋体" w:eastAsia="宋体" w:cs="Times New Roman"/>
          <w:color w:val="auto"/>
          <w:szCs w:val="21"/>
          <w:highlight w:val="none"/>
        </w:rPr>
        <w:t>总</w:t>
      </w:r>
      <w:r>
        <w:rPr>
          <w:rFonts w:hint="eastAsia" w:ascii="Times New Roman"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Hans"/>
        </w:rPr>
        <w:t>承担违约责任</w:t>
      </w:r>
      <w:r>
        <w:rPr>
          <w:rFonts w:ascii="Times New Roman" w:hAnsi="宋体" w:eastAsia="宋体" w:cs="Times New Roman"/>
          <w:color w:val="auto"/>
          <w:szCs w:val="21"/>
          <w:highlight w:val="none"/>
          <w:lang w:eastAsia="zh-Hans"/>
        </w:rPr>
        <w:t>。</w:t>
      </w:r>
    </w:p>
    <w:p>
      <w:pPr>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CN"/>
        </w:rPr>
        <w:t>10</w:t>
      </w: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eastAsia="zh-Hans"/>
        </w:rPr>
        <w:t>因乙方违反本合同约定导致甲方权益受损的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甲方为维护自身权益所支付的所有费用均由乙方承担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包括但不限于甲方为此支付的</w:t>
      </w:r>
      <w:r>
        <w:rPr>
          <w:rFonts w:hint="eastAsia" w:ascii="Times New Roman" w:hAnsi="宋体" w:eastAsia="宋体" w:cs="Times New Roman"/>
          <w:color w:val="auto"/>
          <w:szCs w:val="21"/>
          <w:highlight w:val="none"/>
        </w:rPr>
        <w:t>诉讼费、律师费、鉴定费、公证费、交通住宿费</w:t>
      </w:r>
      <w:r>
        <w:rPr>
          <w:rFonts w:hint="eastAsia" w:ascii="宋体" w:hAnsi="宋体" w:eastAsia="宋体" w:cs="Times New Roman"/>
          <w:color w:val="auto"/>
          <w:szCs w:val="21"/>
          <w:highlight w:val="none"/>
        </w:rPr>
        <w:t>、财产保全责任保险费、调查取证费</w:t>
      </w:r>
      <w:r>
        <w:rPr>
          <w:rFonts w:hint="eastAsia" w:ascii="Times New Roman" w:hAnsi="宋体" w:eastAsia="宋体" w:cs="Times New Roman"/>
          <w:color w:val="auto"/>
          <w:szCs w:val="21"/>
          <w:highlight w:val="none"/>
        </w:rPr>
        <w:t>等全部</w:t>
      </w:r>
      <w:r>
        <w:rPr>
          <w:rFonts w:hint="eastAsia" w:ascii="Times New Roman" w:hAnsi="宋体" w:eastAsia="宋体" w:cs="Times New Roman"/>
          <w:color w:val="auto"/>
          <w:szCs w:val="21"/>
          <w:highlight w:val="none"/>
          <w:lang w:eastAsia="zh-Hans"/>
        </w:rPr>
        <w:t>费用</w:t>
      </w:r>
      <w:r>
        <w:rPr>
          <w:rFonts w:ascii="Times New Roman" w:hAnsi="宋体" w:eastAsia="宋体" w:cs="Times New Roman"/>
          <w:color w:val="auto"/>
          <w:szCs w:val="21"/>
          <w:highlight w:val="none"/>
          <w:lang w:eastAsia="zh-Hans"/>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争议解决</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双方在履约中发生争执和分歧，双方应通过友好协商解决，如不能通过友好协商解决的，双方同意向</w:t>
      </w:r>
      <w:r>
        <w:rPr>
          <w:rFonts w:hint="eastAsia" w:ascii="宋体" w:hAnsi="宋体" w:eastAsia="宋体" w:cs="Times New Roman"/>
          <w:color w:val="auto"/>
          <w:szCs w:val="21"/>
          <w:highlight w:val="none"/>
          <w:lang w:val="en-US" w:eastAsia="zh-CN"/>
        </w:rPr>
        <w:t>甲方所在地有管辖权的人民</w:t>
      </w:r>
      <w:r>
        <w:rPr>
          <w:rFonts w:hint="eastAsia" w:ascii="宋体" w:hAnsi="宋体" w:eastAsia="宋体" w:cs="Times New Roman"/>
          <w:color w:val="auto"/>
          <w:szCs w:val="21"/>
          <w:highlight w:val="none"/>
        </w:rPr>
        <w:t>法院提起诉讼解决。</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二十</w:t>
      </w:r>
      <w:r>
        <w:rPr>
          <w:rFonts w:hint="eastAsia" w:ascii="宋体" w:hAnsi="宋体" w:eastAsia="宋体" w:cs="宋体"/>
          <w:b/>
          <w:color w:val="auto"/>
          <w:szCs w:val="21"/>
          <w:highlight w:val="none"/>
        </w:rPr>
        <w:t>条 其他</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1、在本合同履行过程中，乙方不得消极怠工或拒不履行合同义务（包括但不限于交货、指导及配合安装、调试、培训、技术支持、售后、现场配合等等），否则将视为乙方违约，除按本合同第</w:t>
      </w:r>
      <w:r>
        <w:rPr>
          <w:rFonts w:hint="eastAsia" w:ascii="宋体" w:hAnsi="宋体" w:eastAsia="宋体" w:cs="Times New Roman"/>
          <w:color w:val="auto"/>
          <w:szCs w:val="21"/>
          <w:highlight w:val="none"/>
          <w:lang w:val="en-US" w:eastAsia="zh-CN"/>
        </w:rPr>
        <w:t>十八</w:t>
      </w:r>
      <w:r>
        <w:rPr>
          <w:rFonts w:hint="eastAsia" w:ascii="宋体" w:hAnsi="宋体" w:eastAsia="宋体" w:cs="Times New Roman"/>
          <w:color w:val="auto"/>
          <w:szCs w:val="21"/>
          <w:highlight w:val="none"/>
        </w:rPr>
        <w:t>条第</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款追究违约责任外，甲方仍有权就违约事宜向乙方提出改正的通知，如在甲方限期内乙方仍拒不改正的，甲方有权单方解除合同，要求其按合同暂定总价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20%</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支付违约金，并有权依法委托有资质的第三方继续履行本合同义务，由此造成的一切损失（包括但不限于再行采购的费用、委托第三人继续履行时超出本合同费用部分等）由乙方全部承担。</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、合同履约过程中，若发现</w:t>
      </w:r>
      <w:r>
        <w:rPr>
          <w:rFonts w:hint="eastAsia" w:ascii="宋体" w:hAnsi="宋体" w:eastAsia="宋体" w:cs="Times New Roman"/>
          <w:color w:val="auto"/>
          <w:szCs w:val="21"/>
          <w:highlight w:val="none"/>
          <w:lang w:val="zh-CN"/>
        </w:rPr>
        <w:t>同一种货物存在有选择性的报价或不是固定的报价的，或存在</w:t>
      </w:r>
      <w:r>
        <w:rPr>
          <w:rFonts w:hint="eastAsia" w:ascii="宋体" w:hAnsi="宋体" w:eastAsia="宋体" w:cs="Times New Roman"/>
          <w:color w:val="auto"/>
          <w:szCs w:val="21"/>
          <w:highlight w:val="none"/>
        </w:rPr>
        <w:t>多种理解方式的情况发生时，按最有利甲方的方式解释。</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、在合同履行期间，若发现乙方投标文件更改或删除了招标文件用户需求书</w:t>
      </w:r>
      <w:r>
        <w:rPr>
          <w:rFonts w:hint="eastAsia" w:ascii="宋体" w:hAnsi="宋体" w:eastAsia="宋体" w:cs="Times New Roman"/>
          <w:color w:val="auto"/>
          <w:szCs w:val="21"/>
          <w:highlight w:val="none"/>
          <w:lang w:eastAsia="zh-CN"/>
        </w:rPr>
        <w:t>供货</w:t>
      </w:r>
      <w:r>
        <w:rPr>
          <w:rFonts w:hint="eastAsia" w:ascii="宋体" w:hAnsi="宋体" w:eastAsia="宋体" w:cs="Times New Roman"/>
          <w:color w:val="auto"/>
          <w:szCs w:val="21"/>
          <w:highlight w:val="none"/>
        </w:rPr>
        <w:t>清单内的项目或数量等情况时，并不能免除乙方按照图纸、标准与规范实施合同的任何责任，并将视为该项费用已包括在合同价款内，甲方不另行向乙方支付费用。</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、本合同壹式</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份，甲方执</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份，乙方执</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份，招标代理机构</w:t>
      </w:r>
      <w:r>
        <w:rPr>
          <w:rFonts w:hint="eastAsia" w:ascii="宋体" w:hAnsi="宋体" w:eastAsia="宋体" w:cs="Times New Roman"/>
          <w:color w:val="auto"/>
          <w:szCs w:val="21"/>
          <w:highlight w:val="none"/>
          <w:u w:val="single"/>
        </w:rPr>
        <w:t xml:space="preserve"> 壹 </w:t>
      </w:r>
      <w:r>
        <w:rPr>
          <w:rFonts w:hint="eastAsia" w:ascii="宋体" w:hAnsi="宋体" w:eastAsia="宋体" w:cs="Times New Roman"/>
          <w:color w:val="auto"/>
          <w:szCs w:val="21"/>
          <w:highlight w:val="none"/>
        </w:rPr>
        <w:t>份均具有同等法律效力。</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、本合同自甲乙双方</w:t>
      </w:r>
      <w:r>
        <w:rPr>
          <w:rFonts w:hint="eastAsia" w:ascii="Times New Roman" w:hAnsi="宋体" w:eastAsia="宋体" w:cs="Times New Roman"/>
          <w:color w:val="auto"/>
          <w:szCs w:val="21"/>
          <w:highlight w:val="none"/>
        </w:rPr>
        <w:t>法定代表人或负责人</w:t>
      </w:r>
      <w:r>
        <w:rPr>
          <w:rFonts w:hint="eastAsia" w:ascii="宋体" w:hAnsi="宋体" w:eastAsia="宋体" w:cs="Times New Roman"/>
          <w:color w:val="auto"/>
          <w:szCs w:val="21"/>
          <w:highlight w:val="none"/>
        </w:rPr>
        <w:t>签字并盖章之日起生效，至全部合同义务履行完毕时终止。</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、本合同及相关</w:t>
      </w:r>
      <w:r>
        <w:rPr>
          <w:rFonts w:hint="eastAsia" w:ascii="宋体" w:hAnsi="宋体" w:eastAsia="宋体" w:cs="Times New Roman"/>
          <w:b/>
          <w:color w:val="auto"/>
          <w:szCs w:val="21"/>
          <w:highlight w:val="none"/>
        </w:rPr>
        <w:t>招投标文件</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中标通知书、履约担保</w:t>
      </w:r>
      <w:r>
        <w:rPr>
          <w:rFonts w:hint="eastAsia" w:ascii="宋体" w:hAnsi="宋体" w:eastAsia="宋体" w:cs="Times New Roman"/>
          <w:color w:val="auto"/>
          <w:szCs w:val="21"/>
          <w:highlight w:val="none"/>
        </w:rPr>
        <w:t>等作为本合同附件均为合同的有效组成部分，与本合同同具法律效力。合同条款与附件、招标文件、用户需求书、投标文件等其他文件不一致的，</w:t>
      </w:r>
      <w:r>
        <w:rPr>
          <w:rFonts w:ascii="宋体" w:hAnsi="宋体" w:eastAsia="宋体" w:cs="Times New Roman"/>
          <w:color w:val="auto"/>
          <w:szCs w:val="21"/>
          <w:highlight w:val="none"/>
        </w:rPr>
        <w:t>以有利于甲方的条款为准。</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ascii="宋体" w:hAnsi="宋体" w:eastAsia="宋体" w:cs="Times New Roman"/>
          <w:color w:val="auto"/>
          <w:szCs w:val="21"/>
          <w:highlight w:val="none"/>
        </w:rPr>
        <w:t>、本合同未尽事宜，由双方协商处理。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附件：1.用户需求书</w:t>
      </w:r>
    </w:p>
    <w:p>
      <w:pPr>
        <w:adjustRightInd w:val="0"/>
        <w:snapToGrid w:val="0"/>
        <w:spacing w:line="360" w:lineRule="auto"/>
        <w:ind w:left="0" w:leftChars="0" w:firstLine="1058" w:firstLineChars="50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2.采购</w:t>
      </w:r>
      <w:r>
        <w:rPr>
          <w:rFonts w:hint="eastAsia" w:ascii="宋体" w:hAnsi="宋体" w:eastAsia="宋体" w:cs="Times New Roman"/>
          <w:color w:val="auto"/>
          <w:szCs w:val="21"/>
          <w:highlight w:val="none"/>
          <w:lang w:eastAsia="zh-CN"/>
        </w:rPr>
        <w:t>清单</w:t>
      </w:r>
    </w:p>
    <w:p>
      <w:pPr>
        <w:adjustRightInd w:val="0"/>
        <w:snapToGrid w:val="0"/>
        <w:spacing w:line="360" w:lineRule="auto"/>
        <w:ind w:left="0" w:leftChars="0" w:firstLine="1058" w:firstLineChars="504"/>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lang w:eastAsia="zh-CN"/>
        </w:rPr>
        <w:t>东莞市水务集团供水有限公司货物到货验收表</w:t>
      </w:r>
    </w:p>
    <w:p>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.中标通知书</w:t>
      </w:r>
    </w:p>
    <w:p>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.廉洁协议书</w:t>
      </w:r>
    </w:p>
    <w:p>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.履约担保</w:t>
      </w:r>
    </w:p>
    <w:p>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p>
    <w:p>
      <w:pPr>
        <w:adjustRightInd w:val="0"/>
        <w:snapToGrid w:val="0"/>
        <w:spacing w:line="360" w:lineRule="auto"/>
        <w:ind w:firstLine="373" w:firstLineChars="177"/>
        <w:rPr>
          <w:rFonts w:hint="eastAsia" w:ascii="宋体" w:hAnsi="宋体" w:eastAsia="宋体" w:cs="Times New Roman"/>
          <w:b/>
          <w:color w:val="auto"/>
          <w:szCs w:val="21"/>
          <w:highlight w:val="none"/>
        </w:rPr>
      </w:pPr>
    </w:p>
    <w:p>
      <w:pPr>
        <w:adjustRightInd w:val="0"/>
        <w:snapToGrid w:val="0"/>
        <w:spacing w:line="360" w:lineRule="auto"/>
        <w:ind w:firstLine="371" w:firstLineChars="177"/>
        <w:rPr>
          <w:rFonts w:hint="eastAsia" w:ascii="宋体" w:hAnsi="宋体" w:eastAsia="宋体" w:cs="Times New Roman"/>
          <w:b/>
          <w:color w:val="auto"/>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pPr>
        <w:adjustRightInd w:val="0"/>
        <w:snapToGrid w:val="0"/>
        <w:spacing w:line="360" w:lineRule="auto"/>
        <w:ind w:firstLine="373" w:firstLineChars="177"/>
        <w:rPr>
          <w:rFonts w:hint="eastAsia" w:ascii="宋体" w:hAnsi="宋体" w:eastAsia="宋体" w:cs="Times New Roman"/>
          <w:b/>
          <w:color w:val="auto"/>
          <w:szCs w:val="21"/>
          <w:highlight w:val="none"/>
        </w:rPr>
      </w:pPr>
    </w:p>
    <w:p>
      <w:pPr>
        <w:adjustRightInd w:val="0"/>
        <w:snapToGrid w:val="0"/>
        <w:spacing w:line="360" w:lineRule="auto"/>
        <w:ind w:firstLine="373" w:firstLineChars="177"/>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甲方(买方)：</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 xml:space="preserve"> 乙方(卖方)：</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                    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                                  地址：</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                                  电话：</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                                  传真：</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开户银行：</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银行账户：                              银行账户：</w:t>
      </w:r>
    </w:p>
    <w:p>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银行账号：                              银行账号：</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签约日期：     年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月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日</w:t>
      </w:r>
    </w:p>
    <w:p>
      <w:pPr>
        <w:pStyle w:val="37"/>
        <w:ind w:left="0" w:leftChars="0" w:firstLine="0" w:firstLineChars="0"/>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p>
      <w:pPr>
        <w:widowControl/>
        <w:spacing w:after="0" w:line="24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pPr>
        <w:spacing w:line="360" w:lineRule="auto"/>
        <w:outlineLvl w:val="3"/>
        <w:rPr>
          <w:rFonts w:hint="eastAsia" w:ascii="宋体" w:hAnsi="宋体" w:eastAsia="宋体"/>
          <w:b/>
          <w:color w:val="auto"/>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采购</w:t>
      </w:r>
      <w:r>
        <w:rPr>
          <w:rFonts w:hint="eastAsia" w:ascii="宋体" w:hAnsi="宋体" w:eastAsia="宋体" w:cs="宋体"/>
          <w:b/>
          <w:color w:val="auto"/>
          <w:szCs w:val="21"/>
          <w:highlight w:val="none"/>
          <w:lang w:eastAsia="zh-CN"/>
        </w:rPr>
        <w:t>清单》</w:t>
      </w:r>
      <w:r>
        <w:rPr>
          <w:rFonts w:hint="eastAsia" w:ascii="宋体" w:hAnsi="宋体" w:eastAsia="宋体"/>
          <w:b/>
          <w:color w:val="auto"/>
          <w:highlight w:val="none"/>
        </w:rPr>
        <w:t>（模版）</w:t>
      </w:r>
    </w:p>
    <w:p>
      <w:pPr>
        <w:spacing w:line="360" w:lineRule="auto"/>
        <w:outlineLvl w:val="3"/>
        <w:rPr>
          <w:rFonts w:hint="eastAsia" w:ascii="宋体" w:hAnsi="宋体" w:eastAsia="宋体" w:cs="宋体"/>
          <w:b/>
          <w:color w:val="auto"/>
          <w:szCs w:val="21"/>
          <w:highlight w:val="none"/>
          <w:lang w:eastAsia="zh-CN"/>
        </w:rPr>
      </w:pPr>
      <w:r>
        <w:rPr>
          <w:rFonts w:hint="eastAsia" w:ascii="宋体" w:hAnsi="宋体" w:eastAsia="宋体"/>
          <w:b/>
          <w:color w:val="auto"/>
          <w:highlight w:val="none"/>
        </w:rPr>
        <w:t>（注：该模版内容届时以合同签订为准）</w:t>
      </w:r>
    </w:p>
    <w:p>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eastAsia="zh-CN"/>
        </w:rPr>
        <w:t>清单</w:t>
      </w:r>
    </w:p>
    <w:tbl>
      <w:tblPr>
        <w:tblStyle w:val="3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054"/>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序号</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货物名称</w:t>
            </w:r>
          </w:p>
        </w:tc>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品牌</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产地</w:t>
            </w: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lang w:eastAsia="zh-CN"/>
              </w:rPr>
            </w:pPr>
            <w:r>
              <w:rPr>
                <w:rFonts w:hint="eastAsia" w:ascii="宋体" w:hAnsi="宋体" w:eastAsia="宋体"/>
                <w:b/>
                <w:bCs/>
                <w:color w:val="auto"/>
                <w:highlight w:val="none"/>
              </w:rPr>
              <w:t>规格</w:t>
            </w:r>
            <w:r>
              <w:rPr>
                <w:rFonts w:hint="eastAsia" w:ascii="宋体" w:hAnsi="宋体" w:eastAsia="宋体"/>
                <w:b/>
                <w:bCs/>
                <w:color w:val="auto"/>
                <w:highlight w:val="none"/>
                <w:lang w:val="en-US" w:eastAsia="zh-CN"/>
              </w:rPr>
              <w:t>参数</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暂定数量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生产厂家</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不含税预算综合单价（元）</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w:t>
            </w:r>
            <w:r>
              <w:rPr>
                <w:rFonts w:hint="eastAsia" w:ascii="宋体" w:hAnsi="宋体" w:eastAsia="宋体"/>
                <w:b/>
                <w:bCs/>
                <w:color w:val="auto"/>
                <w:highlight w:val="none"/>
                <w:lang w:val="en-US" w:eastAsia="zh-CN"/>
              </w:rPr>
              <w:t>中标</w:t>
            </w:r>
            <w:r>
              <w:rPr>
                <w:rFonts w:hint="eastAsia" w:ascii="宋体" w:hAnsi="宋体" w:eastAsia="宋体"/>
                <w:b/>
                <w:bCs/>
                <w:color w:val="auto"/>
                <w:highlight w:val="none"/>
              </w:rPr>
              <w:t>综合单价（元）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1</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4</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5</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20"/>
                <w:szCs w:val="20"/>
                <w:highlight w:val="none"/>
              </w:rPr>
              <w:t>...</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bl>
    <w:p>
      <w:pPr>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附件3：东莞市水务集团供水有限公司货物到货验收表</w:t>
      </w:r>
    </w:p>
    <w:p>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东莞市水务集团</w:t>
      </w:r>
      <w:r>
        <w:rPr>
          <w:rFonts w:hint="eastAsia" w:ascii="Times New Roman" w:hAnsi="Times New Roman" w:eastAsia="方正小标宋简体" w:cs="Times New Roman"/>
          <w:b w:val="0"/>
          <w:bCs/>
          <w:color w:val="auto"/>
          <w:spacing w:val="-10"/>
          <w:kern w:val="2"/>
          <w:sz w:val="44"/>
          <w:szCs w:val="44"/>
          <w:highlight w:val="none"/>
          <w:lang w:val="en-US" w:eastAsia="zh-CN" w:bidi="ar-SA"/>
        </w:rPr>
        <w:t>供水有限公司</w:t>
      </w: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9"/>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306"/>
        <w:gridCol w:w="3371"/>
        <w:gridCol w:w="206"/>
        <w:gridCol w:w="698"/>
        <w:gridCol w:w="1108"/>
        <w:gridCol w:w="3681"/>
      </w:tblGrid>
      <w:tr>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东莞市供水计量设施更新项目(2025年计量仪表采购)－</w:t>
            </w:r>
            <w:r>
              <w:rPr>
                <w:rFonts w:hint="eastAsia" w:ascii="Times New Roman" w:hAnsi="Times New Roman" w:eastAsia="仿宋_GB2312" w:cs="Times New Roman"/>
                <w:b w:val="0"/>
                <w:bCs/>
                <w:snapToGrid/>
                <w:color w:val="auto"/>
                <w:kern w:val="0"/>
                <w:sz w:val="22"/>
                <w:szCs w:val="22"/>
                <w:highlight w:val="none"/>
                <w:lang w:eastAsia="zh-CN"/>
              </w:rPr>
              <w:t>超声波</w:t>
            </w:r>
            <w:r>
              <w:rPr>
                <w:rFonts w:hint="default" w:ascii="Times New Roman" w:hAnsi="Times New Roman" w:eastAsia="仿宋_GB2312" w:cs="Times New Roman"/>
                <w:b w:val="0"/>
                <w:bCs/>
                <w:snapToGrid/>
                <w:color w:val="auto"/>
                <w:kern w:val="0"/>
                <w:sz w:val="22"/>
                <w:szCs w:val="22"/>
                <w:highlight w:val="none"/>
                <w:lang w:eastAsia="zh-CN"/>
              </w:rPr>
              <w:t>水表</w:t>
            </w:r>
          </w:p>
        </w:tc>
      </w:tr>
      <w:tr>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pPr>
              <w:pStyle w:val="18"/>
              <w:rPr>
                <w:rFonts w:hint="default"/>
                <w:color w:val="auto"/>
                <w:highlight w:val="none"/>
                <w:lang w:eastAsia="zh-CN"/>
              </w:rPr>
            </w:pPr>
          </w:p>
          <w:p>
            <w:pPr>
              <w:rPr>
                <w:rFonts w:hint="default"/>
                <w:color w:val="auto"/>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pPr>
        <w:pStyle w:val="37"/>
        <w:ind w:left="0" w:leftChars="0" w:firstLine="0" w:firstLineChars="0"/>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附件5：廉洁协议书</w:t>
      </w:r>
    </w:p>
    <w:p>
      <w:pPr>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sz w:val="28"/>
          <w:szCs w:val="28"/>
          <w:highlight w:val="none"/>
        </w:rPr>
        <w:t>廉洁协议书</w:t>
      </w:r>
    </w:p>
    <w:p>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项目名称：东莞市供水计量设施更新项目（2025年计量仪表采购）－超声波水表（招标编号：0832-SFCX25DG078A）</w:t>
      </w: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甲方（业主单位）： </w:t>
      </w: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(一)举报受理部门: 东莞市水务集团有限公司纪检监察部。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jcsi@dgswit.cn.</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(四)信访地址: 广东省东莞市东城街道育华路 1 号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份，甲、乙双方上级主管部门各执</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u w:val="single"/>
          <w:lang w:val="en-US" w:eastAsia="zh-CN"/>
        </w:rPr>
        <w:t xml:space="preserve"> </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法定代表（或负责）人：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甲方代表：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乙方代表：</w:t>
      </w: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  月  日</w:t>
      </w:r>
    </w:p>
    <w:p>
      <w:pPr>
        <w:spacing w:line="360" w:lineRule="auto"/>
        <w:rPr>
          <w:rFonts w:hint="eastAsia" w:ascii="宋体" w:hAnsi="宋体" w:eastAsia="宋体" w:cs="宋体"/>
          <w:color w:val="auto"/>
          <w:sz w:val="21"/>
          <w:szCs w:val="21"/>
          <w:highlight w:val="none"/>
        </w:rPr>
      </w:pP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p>
    <w:p>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一、不可撤销银行履约保函格式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pPr>
        <w:numPr>
          <w:ilvl w:val="0"/>
          <w:numId w:val="0"/>
        </w:numPr>
        <w:outlineLvl w:val="9"/>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三、担保公司履约担保书格式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pPr>
        <w:autoSpaceDE w:val="0"/>
        <w:autoSpaceDN w:val="0"/>
        <w:adjustRightInd w:val="0"/>
        <w:spacing w:line="360" w:lineRule="auto"/>
        <w:jc w:val="left"/>
        <w:rPr>
          <w:rFonts w:hint="eastAsia"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br w:type="page"/>
      </w:r>
    </w:p>
    <w:p>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四</w:t>
      </w:r>
      <w:r>
        <w:rPr>
          <w:rFonts w:hint="eastAsia" w:ascii="宋体" w:hAnsi="宋体" w:eastAsia="宋体" w:cs="Times New Roman"/>
          <w:b/>
          <w:color w:val="auto"/>
          <w:kern w:val="0"/>
          <w:sz w:val="28"/>
          <w:szCs w:val="28"/>
          <w:highlight w:val="none"/>
        </w:rPr>
        <w:t>、订单全款独立银行保函格式</w:t>
      </w:r>
    </w:p>
    <w:p>
      <w:pPr>
        <w:autoSpaceDE w:val="0"/>
        <w:autoSpaceDN w:val="0"/>
        <w:jc w:val="center"/>
        <w:rPr>
          <w:rFonts w:ascii="宋体" w:hAnsi="宋体" w:eastAsia="宋体"/>
          <w:b/>
          <w:color w:val="auto"/>
          <w:kern w:val="0"/>
          <w:sz w:val="30"/>
          <w:szCs w:val="30"/>
          <w:highlight w:val="none"/>
        </w:rPr>
      </w:pPr>
      <w:r>
        <w:rPr>
          <w:rFonts w:hint="eastAsia" w:ascii="宋体" w:hAnsi="宋体" w:eastAsia="宋体"/>
          <w:b/>
          <w:color w:val="auto"/>
          <w:kern w:val="0"/>
          <w:sz w:val="30"/>
          <w:szCs w:val="30"/>
          <w:highlight w:val="none"/>
        </w:rPr>
        <w:t>订单全款独立</w:t>
      </w:r>
      <w:r>
        <w:rPr>
          <w:rFonts w:hint="eastAsia" w:ascii="宋体" w:hAnsi="宋体" w:eastAsia="宋体"/>
          <w:b/>
          <w:color w:val="auto"/>
          <w:kern w:val="0"/>
          <w:sz w:val="30"/>
          <w:szCs w:val="30"/>
          <w:highlight w:val="none"/>
          <w:lang w:val="en-US" w:eastAsia="zh-CN"/>
        </w:rPr>
        <w:t>银行</w:t>
      </w:r>
      <w:r>
        <w:rPr>
          <w:rFonts w:hint="eastAsia" w:ascii="宋体" w:hAnsi="宋体" w:eastAsia="宋体"/>
          <w:b/>
          <w:color w:val="auto"/>
          <w:kern w:val="0"/>
          <w:sz w:val="30"/>
          <w:szCs w:val="30"/>
          <w:highlight w:val="none"/>
        </w:rPr>
        <w:t>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pStyle w:val="37"/>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pPr>
        <w:pStyle w:val="37"/>
        <w:ind w:firstLineChars="200"/>
        <w:rPr>
          <w:rFonts w:ascii="宋体" w:hAnsi="宋体" w:eastAsia="宋体"/>
          <w:color w:val="auto"/>
          <w:szCs w:val="21"/>
          <w:highlight w:val="none"/>
        </w:rPr>
      </w:pPr>
    </w:p>
    <w:p>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（项目名称）采购合同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，并保证申请人有权获得按合同约定为保证项目按时完成的由受益人支付的</w:t>
      </w:r>
      <w:r>
        <w:rPr>
          <w:rFonts w:hint="eastAsia" w:ascii="宋体" w:hAnsi="宋体" w:eastAsia="宋体"/>
          <w:color w:val="auto"/>
          <w:szCs w:val="21"/>
          <w:highlight w:val="none"/>
          <w:lang w:val="en-US" w:eastAsia="zh-CN"/>
        </w:rPr>
        <w:t>订单货</w:t>
      </w:r>
      <w:r>
        <w:rPr>
          <w:rFonts w:ascii="宋体" w:hAnsi="宋体" w:eastAsia="宋体"/>
          <w:color w:val="auto"/>
          <w:szCs w:val="21"/>
          <w:highlight w:val="none"/>
        </w:rPr>
        <w:t>款；受益人在合同中要求申请人应通过经认可的银行提交合同指定的与</w:t>
      </w:r>
      <w:r>
        <w:rPr>
          <w:rFonts w:hint="eastAsia" w:ascii="宋体" w:hAnsi="宋体" w:eastAsia="宋体"/>
          <w:color w:val="auto"/>
          <w:szCs w:val="21"/>
          <w:highlight w:val="none"/>
        </w:rPr>
        <w:t>采购订单载明的货款总额100%等值</w:t>
      </w:r>
      <w:r>
        <w:rPr>
          <w:rFonts w:ascii="宋体" w:hAnsi="宋体" w:eastAsia="宋体"/>
          <w:color w:val="auto"/>
          <w:szCs w:val="21"/>
          <w:highlight w:val="none"/>
        </w:rPr>
        <w:t>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w:t>
      </w:r>
      <w:r>
        <w:rPr>
          <w:rFonts w:hint="eastAsia" w:ascii="宋体" w:hAnsi="宋体" w:eastAsia="宋体"/>
          <w:color w:val="auto"/>
          <w:szCs w:val="21"/>
          <w:highlight w:val="none"/>
        </w:rPr>
        <w:t>受益人出具本保函原件且提出因</w:t>
      </w:r>
      <w:r>
        <w:rPr>
          <w:rFonts w:hint="eastAsia" w:ascii="宋体" w:hAnsi="宋体" w:eastAsia="宋体"/>
          <w:color w:val="auto"/>
          <w:szCs w:val="21"/>
          <w:highlight w:val="none"/>
          <w:lang w:val="en-US" w:eastAsia="zh-CN"/>
        </w:rPr>
        <w:t>申</w:t>
      </w:r>
      <w:r>
        <w:rPr>
          <w:rFonts w:hint="eastAsia" w:ascii="宋体" w:hAnsi="宋体" w:eastAsia="宋体"/>
          <w:color w:val="auto"/>
          <w:szCs w:val="21"/>
          <w:highlight w:val="none"/>
        </w:rPr>
        <w:t>请人没有履行上述合同规定，而要求我方承担保证责任后，在</w:t>
      </w:r>
      <w:r>
        <w:rPr>
          <w:rFonts w:ascii="宋体" w:hAnsi="宋体" w:eastAsia="宋体"/>
          <w:color w:val="auto"/>
          <w:szCs w:val="21"/>
          <w:highlight w:val="none"/>
        </w:rPr>
        <w:t xml:space="preserve">担保金额额度内偿还或偿清受益人因该项违约或违背所造成的经济损失（无论该事实是否成立），并在接到受益人要求的第 10 </w:t>
      </w:r>
      <w:r>
        <w:rPr>
          <w:rFonts w:hint="eastAsia" w:ascii="宋体" w:hAnsi="宋体" w:eastAsia="宋体"/>
          <w:color w:val="auto"/>
          <w:szCs w:val="21"/>
          <w:highlight w:val="none"/>
          <w:lang w:val="en-US" w:eastAsia="zh-CN"/>
        </w:rPr>
        <w:t>个自然日</w:t>
      </w:r>
      <w:r>
        <w:rPr>
          <w:rFonts w:ascii="宋体" w:hAnsi="宋体" w:eastAsia="宋体"/>
          <w:color w:val="auto"/>
          <w:szCs w:val="21"/>
          <w:highlight w:val="none"/>
        </w:rPr>
        <w:t>内予以支付。</w:t>
      </w:r>
    </w:p>
    <w:p>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pPr>
        <w:pStyle w:val="37"/>
        <w:spacing w:line="360" w:lineRule="auto"/>
        <w:ind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本保函</w:t>
      </w:r>
      <w:r>
        <w:rPr>
          <w:rFonts w:hint="eastAsia" w:ascii="宋体" w:hAnsi="宋体" w:eastAsia="宋体"/>
          <w:color w:val="auto"/>
          <w:szCs w:val="21"/>
          <w:highlight w:val="none"/>
          <w:lang w:val="en-US" w:eastAsia="zh-CN"/>
        </w:rPr>
        <w:t>在采购订单项下全部货物交付并经受益人验收合格后第</w:t>
      </w:r>
      <w:r>
        <w:rPr>
          <w:rFonts w:hint="eastAsia" w:ascii="宋体" w:hAnsi="宋体" w:eastAsia="宋体" w:cs="Times New Roman"/>
          <w:color w:val="auto"/>
          <w:szCs w:val="21"/>
          <w:highlight w:val="none"/>
          <w:lang w:val="en-US" w:eastAsia="zh-CN"/>
        </w:rPr>
        <w:t>28</w:t>
      </w:r>
      <w:r>
        <w:rPr>
          <w:rFonts w:hint="eastAsia" w:ascii="宋体" w:hAnsi="宋体" w:eastAsia="宋体" w:cs="Times New Roman"/>
          <w:color w:val="auto"/>
          <w:szCs w:val="21"/>
          <w:highlight w:val="none"/>
        </w:rPr>
        <w:t>个自然日</w:t>
      </w:r>
      <w:r>
        <w:rPr>
          <w:rFonts w:hint="eastAsia" w:ascii="宋体" w:hAnsi="宋体" w:eastAsia="宋体"/>
          <w:color w:val="auto"/>
          <w:szCs w:val="21"/>
          <w:highlight w:val="none"/>
          <w:lang w:val="en-US" w:eastAsia="zh-CN"/>
        </w:rPr>
        <w:t>起失效。</w:t>
      </w:r>
    </w:p>
    <w:p>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法定代表人或其授权的代理人：       （签字或盖私章）      </w:t>
      </w:r>
    </w:p>
    <w:p>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日期：   年    月   日</w:t>
      </w:r>
    </w:p>
    <w:p>
      <w:pPr>
        <w:rPr>
          <w:color w:val="auto"/>
          <w:highlight w:val="none"/>
        </w:rPr>
      </w:pPr>
    </w:p>
    <w:bookmarkEnd w:id="397"/>
    <w:bookmarkEnd w:id="398"/>
    <w:bookmarkEnd w:id="399"/>
    <w:bookmarkEnd w:id="400"/>
    <w:bookmarkEnd w:id="401"/>
    <w:bookmarkEnd w:id="402"/>
    <w:bookmarkEnd w:id="403"/>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4" w:name="_Toc32761_WPSOffice_Level1"/>
      <w:bookmarkStart w:id="405" w:name="_Toc8165"/>
      <w:bookmarkStart w:id="406" w:name="_Toc21092"/>
      <w:bookmarkStart w:id="407" w:name="_Toc12794"/>
      <w:bookmarkStart w:id="408" w:name="_Toc486167708"/>
      <w:bookmarkStart w:id="409" w:name="_Toc142508361"/>
      <w:bookmarkStart w:id="410" w:name="_Toc450662895"/>
      <w:r>
        <w:rPr>
          <w:rFonts w:hint="eastAsia" w:ascii="宋体" w:hAnsi="宋体" w:eastAsia="宋体" w:cs="宋体"/>
          <w:b/>
          <w:bCs/>
          <w:color w:val="auto"/>
          <w:kern w:val="44"/>
          <w:sz w:val="32"/>
          <w:szCs w:val="32"/>
          <w:highlight w:val="none"/>
          <w:lang w:val="zh-CN"/>
        </w:rPr>
        <w:t>第六篇 投标文件格式</w:t>
      </w:r>
      <w:bookmarkEnd w:id="404"/>
      <w:bookmarkEnd w:id="405"/>
      <w:bookmarkEnd w:id="406"/>
      <w:bookmarkEnd w:id="407"/>
      <w:bookmarkEnd w:id="408"/>
      <w:bookmarkEnd w:id="409"/>
      <w:bookmarkEnd w:id="410"/>
    </w:p>
    <w:p>
      <w:pPr>
        <w:pStyle w:val="20"/>
        <w:spacing w:line="360" w:lineRule="auto"/>
        <w:jc w:val="center"/>
        <w:rPr>
          <w:rFonts w:hint="eastAsia" w:ascii="宋体" w:hAnsi="宋体" w:eastAsia="宋体" w:cs="宋体"/>
          <w:b/>
          <w:color w:val="auto"/>
          <w:kern w:val="0"/>
          <w:sz w:val="32"/>
          <w:szCs w:val="32"/>
          <w:highlight w:val="none"/>
        </w:rPr>
      </w:pPr>
      <w:bookmarkStart w:id="411" w:name="_Toc1977721"/>
      <w:bookmarkStart w:id="412" w:name="_Toc486167709"/>
      <w:bookmarkStart w:id="413" w:name="_Toc533708121"/>
      <w:bookmarkStart w:id="414" w:name="_Toc102860067"/>
      <w:bookmarkStart w:id="415" w:name="_Toc102860411"/>
      <w:bookmarkStart w:id="416" w:name="_Toc104991868"/>
      <w:bookmarkStart w:id="417" w:name="_Toc142508362"/>
      <w:bookmarkStart w:id="418" w:name="_Toc140596921"/>
      <w:bookmarkStart w:id="419" w:name="_Toc21133_WPSOffice_Level2"/>
      <w:bookmarkStart w:id="420" w:name="_Toc94107202"/>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861" w:type="pct"/>
            <w:vAlign w:val="center"/>
          </w:tcPr>
          <w:p>
            <w:pP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21" w:name="_Toc18706"/>
      <w:bookmarkStart w:id="422" w:name="_Toc13331"/>
      <w:bookmarkStart w:id="423" w:name="_Toc22445"/>
      <w:r>
        <w:rPr>
          <w:rFonts w:hint="eastAsia" w:ascii="宋体" w:hAnsi="宋体" w:eastAsia="宋体" w:cs="宋体"/>
          <w:b/>
          <w:color w:val="auto"/>
          <w:kern w:val="0"/>
          <w:sz w:val="32"/>
          <w:szCs w:val="32"/>
          <w:highlight w:val="none"/>
        </w:rPr>
        <w:t>一、投标函格式</w:t>
      </w:r>
      <w:bookmarkEnd w:id="411"/>
      <w:bookmarkEnd w:id="412"/>
      <w:bookmarkEnd w:id="413"/>
      <w:bookmarkEnd w:id="414"/>
      <w:bookmarkEnd w:id="415"/>
      <w:bookmarkEnd w:id="416"/>
      <w:bookmarkEnd w:id="417"/>
      <w:bookmarkEnd w:id="418"/>
      <w:bookmarkEnd w:id="419"/>
      <w:bookmarkEnd w:id="420"/>
      <w:bookmarkEnd w:id="421"/>
      <w:bookmarkEnd w:id="422"/>
      <w:bookmarkEnd w:id="423"/>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424" w:name="_Toc16695_WPSOffice_Level3"/>
      <w:r>
        <w:rPr>
          <w:rFonts w:hint="eastAsia" w:ascii="宋体" w:hAnsi="宋体" w:eastAsia="宋体" w:cs="宋体"/>
          <w:b/>
          <w:bCs/>
          <w:color w:val="auto"/>
          <w:sz w:val="30"/>
          <w:szCs w:val="30"/>
          <w:highlight w:val="none"/>
          <w:lang w:val="zh-CN"/>
        </w:rPr>
        <w:t>投 标 函</w:t>
      </w:r>
      <w:bookmarkEnd w:id="424"/>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东莞市供水计量设施更新项目（2025年计量仪表采购）－超声波水表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0832-SFCX25DG078A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0832-SFCX25DG078A</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szCs w:val="21"/>
          <w:highlight w:val="none"/>
          <w:lang w:val="zh-CN"/>
        </w:rPr>
        <w:t>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5" w:name="_Toc28613_WPSOffice_Level2"/>
      <w:bookmarkStart w:id="426" w:name="_Toc102860068"/>
      <w:bookmarkStart w:id="427" w:name="_Toc533708122"/>
      <w:bookmarkStart w:id="428" w:name="_Toc486167710"/>
      <w:bookmarkStart w:id="429" w:name="_Toc140596922"/>
      <w:bookmarkStart w:id="430" w:name="_Toc8696"/>
      <w:bookmarkStart w:id="431" w:name="_Toc1977722"/>
      <w:bookmarkStart w:id="432" w:name="_Toc102860412"/>
      <w:bookmarkStart w:id="433" w:name="_Toc94107203"/>
      <w:bookmarkStart w:id="434" w:name="_Toc142508363"/>
      <w:bookmarkStart w:id="435" w:name="_Toc26795"/>
      <w:bookmarkStart w:id="436" w:name="_Toc104991869"/>
      <w:bookmarkStart w:id="437" w:name="_Toc21602"/>
      <w:r>
        <w:rPr>
          <w:rFonts w:hint="eastAsia" w:ascii="宋体" w:hAnsi="宋体" w:eastAsia="宋体" w:cs="宋体"/>
          <w:b/>
          <w:color w:val="auto"/>
          <w:kern w:val="0"/>
          <w:sz w:val="32"/>
          <w:szCs w:val="32"/>
          <w:highlight w:val="none"/>
        </w:rPr>
        <w:t>二、投标承诺书格式</w:t>
      </w:r>
      <w:bookmarkEnd w:id="425"/>
      <w:bookmarkEnd w:id="426"/>
      <w:bookmarkEnd w:id="427"/>
      <w:bookmarkEnd w:id="428"/>
      <w:bookmarkEnd w:id="429"/>
      <w:bookmarkEnd w:id="430"/>
      <w:bookmarkEnd w:id="431"/>
      <w:bookmarkEnd w:id="432"/>
      <w:bookmarkEnd w:id="433"/>
      <w:bookmarkEnd w:id="434"/>
      <w:bookmarkEnd w:id="435"/>
      <w:bookmarkEnd w:id="436"/>
      <w:bookmarkEnd w:id="437"/>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东莞市供水计量设施更新项目（2025年计量仪表采购）－超声波水表</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0832-SFCX25DG078A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438" w:name="_Toc316896755"/>
      <w:bookmarkStart w:id="439" w:name="_Toc311032584"/>
      <w:bookmarkStart w:id="440" w:name="_Toc326768876"/>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41" w:name="_Toc140596923"/>
      <w:bookmarkStart w:id="442" w:name="_Toc102860413"/>
      <w:bookmarkStart w:id="443" w:name="_Toc94107204"/>
      <w:bookmarkStart w:id="444" w:name="_Toc82182546"/>
      <w:bookmarkStart w:id="445" w:name="_Toc12590"/>
      <w:bookmarkStart w:id="446" w:name="_Toc142508364"/>
      <w:bookmarkStart w:id="447" w:name="_Toc104991870"/>
      <w:bookmarkStart w:id="448" w:name="_Toc86764083"/>
      <w:bookmarkStart w:id="449" w:name="_Toc16135"/>
      <w:bookmarkStart w:id="450" w:name="_Toc102860069"/>
      <w:bookmarkStart w:id="451" w:name="_Toc9778"/>
      <w:bookmarkStart w:id="452" w:name="_Toc7024_WPSOffice_Level2"/>
      <w:bookmarkStart w:id="453" w:name="_Toc486167711"/>
      <w:bookmarkStart w:id="454" w:name="_Toc1977723"/>
      <w:bookmarkStart w:id="455" w:name="_Toc533708123"/>
      <w:r>
        <w:rPr>
          <w:rFonts w:hint="eastAsia" w:ascii="宋体" w:hAnsi="宋体" w:eastAsia="宋体" w:cs="宋体"/>
          <w:b/>
          <w:color w:val="auto"/>
          <w:kern w:val="44"/>
          <w:sz w:val="32"/>
          <w:szCs w:val="32"/>
          <w:highlight w:val="none"/>
        </w:rPr>
        <w:t>三、供货及/或提供服务过程承诺函格式</w:t>
      </w:r>
      <w:bookmarkEnd w:id="441"/>
      <w:bookmarkEnd w:id="442"/>
      <w:bookmarkEnd w:id="443"/>
      <w:bookmarkEnd w:id="444"/>
      <w:bookmarkEnd w:id="445"/>
      <w:bookmarkEnd w:id="446"/>
      <w:bookmarkEnd w:id="447"/>
      <w:bookmarkEnd w:id="448"/>
      <w:bookmarkEnd w:id="449"/>
      <w:bookmarkEnd w:id="450"/>
      <w:bookmarkEnd w:id="451"/>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东莞市供水计量设施更新项目（2025年计量仪表采购）－超声波水表</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0832-SFCX25DG078A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工作场所活动，我方作业人员擅自到作业区域以外的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6" w:name="_Toc82182547"/>
      <w:bookmarkStart w:id="457" w:name="_Toc94107205"/>
      <w:bookmarkStart w:id="458" w:name="_Toc142508365"/>
      <w:bookmarkStart w:id="459" w:name="_Toc102860070"/>
      <w:bookmarkStart w:id="460" w:name="_Toc86764084"/>
      <w:bookmarkStart w:id="461" w:name="_Toc104991871"/>
      <w:bookmarkStart w:id="462" w:name="_Toc102860414"/>
      <w:bookmarkStart w:id="463" w:name="_Toc140596924"/>
      <w:bookmarkStart w:id="464" w:name="_Toc3993"/>
      <w:bookmarkStart w:id="465" w:name="_Toc2428"/>
      <w:bookmarkStart w:id="466" w:name="_Toc6287"/>
      <w:r>
        <w:rPr>
          <w:rFonts w:hint="eastAsia" w:ascii="宋体" w:hAnsi="宋体" w:eastAsia="宋体" w:cs="宋体"/>
          <w:b/>
          <w:color w:val="auto"/>
          <w:kern w:val="44"/>
          <w:sz w:val="32"/>
          <w:szCs w:val="32"/>
          <w:highlight w:val="none"/>
        </w:rPr>
        <w:t>四</w:t>
      </w:r>
      <w:bookmarkEnd w:id="456"/>
      <w:bookmarkEnd w:id="457"/>
      <w:bookmarkEnd w:id="458"/>
      <w:bookmarkEnd w:id="459"/>
      <w:bookmarkEnd w:id="460"/>
      <w:bookmarkEnd w:id="461"/>
      <w:bookmarkEnd w:id="462"/>
      <w:bookmarkEnd w:id="463"/>
      <w:bookmarkStart w:id="467" w:name="_Toc94107206"/>
      <w:bookmarkStart w:id="468" w:name="_Toc102860071"/>
      <w:bookmarkStart w:id="469" w:name="_Toc104991872"/>
      <w:bookmarkStart w:id="470" w:name="_Toc140596925"/>
      <w:bookmarkStart w:id="471" w:name="_Toc102860415"/>
      <w:bookmarkStart w:id="472" w:name="_Toc142508366"/>
      <w:r>
        <w:rPr>
          <w:rFonts w:hint="eastAsia" w:ascii="宋体" w:hAnsi="宋体" w:eastAsia="宋体" w:cs="宋体"/>
          <w:b/>
          <w:color w:val="auto"/>
          <w:kern w:val="0"/>
          <w:sz w:val="32"/>
          <w:szCs w:val="32"/>
          <w:highlight w:val="none"/>
        </w:rPr>
        <w:t>、投标报价表格式</w:t>
      </w:r>
      <w:bookmarkEnd w:id="452"/>
      <w:bookmarkEnd w:id="453"/>
      <w:bookmarkEnd w:id="454"/>
      <w:bookmarkEnd w:id="455"/>
      <w:bookmarkEnd w:id="464"/>
      <w:bookmarkEnd w:id="465"/>
      <w:bookmarkEnd w:id="466"/>
      <w:bookmarkEnd w:id="467"/>
      <w:bookmarkEnd w:id="468"/>
      <w:bookmarkEnd w:id="469"/>
      <w:bookmarkEnd w:id="470"/>
      <w:bookmarkEnd w:id="471"/>
      <w:bookmarkEnd w:id="472"/>
    </w:p>
    <w:p>
      <w:pPr>
        <w:spacing w:line="360" w:lineRule="auto"/>
        <w:jc w:val="both"/>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4.1 投标报价表</w:t>
      </w:r>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东莞市供水计量设施更新项目（2025年计量仪表采购）－超声波水表</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0832-SFCX25DG078A</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909"/>
        <w:gridCol w:w="3094"/>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36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49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366"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东莞市供水计量设施更新项目（2025年计量仪表采购）－超声波水表</w:t>
            </w:r>
          </w:p>
        </w:tc>
        <w:tc>
          <w:tcPr>
            <w:tcW w:w="1491" w:type="pct"/>
            <w:tcBorders>
              <w:top w:val="single" w:color="auto" w:sz="4" w:space="0"/>
              <w:left w:val="single" w:color="auto" w:sz="4" w:space="0"/>
              <w:right w:val="single" w:color="auto" w:sz="4" w:space="0"/>
            </w:tcBorders>
            <w:vAlign w:val="center"/>
          </w:tcPr>
          <w:p>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pPr>
              <w:pStyle w:val="15"/>
              <w:snapToGrid/>
              <w:spacing w:before="0"/>
              <w:jc w:val="center"/>
              <w:rPr>
                <w:rFonts w:hint="eastAsia" w:eastAsia="宋体"/>
                <w:color w:val="auto"/>
                <w:highlight w:val="none"/>
                <w:lang w:val="en-US" w:eastAsia="zh-CN"/>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（1）本项目的投标报价采用统一折扣系数报价，合同履约过程中，采购清单中</w:t>
      </w:r>
      <w:r>
        <w:rPr>
          <w:rFonts w:hint="eastAsia" w:ascii="宋体" w:hAnsi="宋体" w:eastAsia="宋体" w:cs="宋体"/>
          <w:b/>
          <w:color w:val="auto"/>
          <w:sz w:val="21"/>
          <w:szCs w:val="21"/>
          <w:highlight w:val="none"/>
          <w:lang w:val="en-US" w:eastAsia="zh-CN"/>
        </w:rPr>
        <w:t>超声波水表</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73" w:name="_Toc102860074"/>
      <w:bookmarkStart w:id="474" w:name="_Toc104991875"/>
      <w:bookmarkStart w:id="475" w:name="_Toc102860418"/>
      <w:bookmarkStart w:id="476" w:name="_Toc140596928"/>
      <w:bookmarkStart w:id="477" w:name="_Toc142508369"/>
      <w:bookmarkStart w:id="478" w:name="_Toc17628"/>
      <w:bookmarkStart w:id="479" w:name="_Toc18828"/>
      <w:bookmarkStart w:id="480" w:name="_Toc1977725"/>
      <w:bookmarkStart w:id="481" w:name="_Toc24015"/>
      <w:bookmarkStart w:id="482" w:name="_Toc94107209"/>
      <w:bookmarkStart w:id="483" w:name="_Toc533708124"/>
      <w:bookmarkStart w:id="484" w:name="_Toc20759_WPSOffice_Level2"/>
      <w:bookmarkStart w:id="485"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73"/>
      <w:bookmarkEnd w:id="474"/>
      <w:bookmarkEnd w:id="475"/>
      <w:bookmarkEnd w:id="476"/>
      <w:bookmarkEnd w:id="477"/>
      <w:bookmarkEnd w:id="478"/>
      <w:bookmarkEnd w:id="479"/>
      <w:bookmarkEnd w:id="480"/>
      <w:bookmarkEnd w:id="481"/>
      <w:bookmarkEnd w:id="482"/>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6" w:name="_Toc102860419"/>
      <w:bookmarkStart w:id="487" w:name="_Toc140596929"/>
      <w:bookmarkStart w:id="488" w:name="_Toc31420"/>
      <w:bookmarkStart w:id="489" w:name="_Toc102860075"/>
      <w:bookmarkStart w:id="490" w:name="_Toc28382"/>
      <w:bookmarkStart w:id="491" w:name="_Toc21681"/>
      <w:bookmarkStart w:id="492" w:name="_Toc94107210"/>
      <w:bookmarkStart w:id="493" w:name="_Toc104991876"/>
      <w:bookmarkStart w:id="494" w:name="_Toc142508370"/>
      <w:bookmarkStart w:id="495"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6"/>
      <w:bookmarkEnd w:id="487"/>
      <w:bookmarkEnd w:id="488"/>
      <w:bookmarkEnd w:id="489"/>
      <w:bookmarkEnd w:id="490"/>
      <w:bookmarkEnd w:id="491"/>
      <w:bookmarkEnd w:id="492"/>
      <w:bookmarkEnd w:id="493"/>
      <w:bookmarkEnd w:id="494"/>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6" w:name="_Toc102860420"/>
      <w:bookmarkStart w:id="497" w:name="_Toc94107211"/>
      <w:bookmarkStart w:id="498" w:name="_Toc26345"/>
      <w:bookmarkStart w:id="499" w:name="_Toc104991877"/>
      <w:bookmarkStart w:id="500" w:name="_Toc26822"/>
      <w:bookmarkStart w:id="501" w:name="_Toc9489"/>
      <w:bookmarkStart w:id="502" w:name="_Toc140596930"/>
      <w:bookmarkStart w:id="503" w:name="_Toc142508371"/>
      <w:bookmarkStart w:id="504" w:name="_Toc10286007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6"/>
      <w:bookmarkEnd w:id="497"/>
      <w:bookmarkEnd w:id="498"/>
      <w:bookmarkEnd w:id="499"/>
      <w:bookmarkEnd w:id="500"/>
      <w:bookmarkEnd w:id="501"/>
      <w:bookmarkEnd w:id="502"/>
      <w:bookmarkEnd w:id="503"/>
      <w:bookmarkEnd w:id="504"/>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05" w:name="_Toc644"/>
      <w:bookmarkStart w:id="506" w:name="_Toc102860421"/>
      <w:bookmarkStart w:id="507" w:name="_Toc142508372"/>
      <w:bookmarkStart w:id="508" w:name="_Toc94107212"/>
      <w:bookmarkStart w:id="509" w:name="_Toc104991878"/>
      <w:bookmarkStart w:id="510" w:name="_Toc102860077"/>
      <w:bookmarkStart w:id="511" w:name="_Toc140596931"/>
      <w:bookmarkStart w:id="512" w:name="_Toc21657"/>
      <w:bookmarkStart w:id="513" w:name="_Toc140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05"/>
      <w:bookmarkEnd w:id="506"/>
      <w:bookmarkEnd w:id="507"/>
      <w:bookmarkEnd w:id="508"/>
      <w:bookmarkEnd w:id="509"/>
      <w:bookmarkEnd w:id="510"/>
      <w:bookmarkEnd w:id="511"/>
      <w:bookmarkEnd w:id="512"/>
      <w:bookmarkEnd w:id="513"/>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3"/>
      <w:bookmarkEnd w:id="484"/>
      <w:bookmarkEnd w:id="485"/>
      <w:bookmarkEnd w:id="495"/>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14" w:name="_Toc11033_WPSOffice_Level3"/>
      <w:r>
        <w:rPr>
          <w:rFonts w:hint="eastAsia" w:ascii="宋体" w:hAnsi="宋体" w:eastAsia="宋体" w:cs="宋体"/>
          <w:b/>
          <w:color w:val="auto"/>
          <w:sz w:val="30"/>
          <w:szCs w:val="30"/>
          <w:highlight w:val="none"/>
        </w:rPr>
        <w:t>法定代</w:t>
      </w:r>
      <w:bookmarkStart w:id="515" w:name="_Toc36971359"/>
      <w:bookmarkStart w:id="516" w:name="_Toc45995270"/>
      <w:r>
        <w:rPr>
          <w:rFonts w:hint="eastAsia" w:ascii="宋体" w:hAnsi="宋体" w:eastAsia="宋体" w:cs="宋体"/>
          <w:b/>
          <w:color w:val="auto"/>
          <w:sz w:val="30"/>
          <w:szCs w:val="30"/>
          <w:highlight w:val="none"/>
        </w:rPr>
        <w:t>表人身份证明书</w:t>
      </w:r>
      <w:bookmarkEnd w:id="514"/>
    </w:p>
    <w:bookmarkEnd w:id="515"/>
    <w:bookmarkEnd w:id="516"/>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8"/>
      <w:bookmarkEnd w:id="439"/>
      <w:bookmarkEnd w:id="440"/>
      <w:bookmarkStart w:id="517" w:name="_Toc6240_WPSOffice_Level2"/>
      <w:bookmarkStart w:id="518" w:name="_Toc533708125"/>
      <w:bookmarkStart w:id="519" w:name="_Toc486167713"/>
      <w:bookmarkStart w:id="520" w:name="_Toc1977727"/>
      <w:r>
        <w:rPr>
          <w:rFonts w:hint="eastAsia" w:ascii="宋体" w:hAnsi="宋体" w:eastAsia="宋体" w:cs="宋体"/>
          <w:b/>
          <w:color w:val="auto"/>
          <w:szCs w:val="24"/>
          <w:highlight w:val="none"/>
        </w:rPr>
        <w:t>（2）法定代表人授权书格式</w:t>
      </w:r>
      <w:bookmarkEnd w:id="517"/>
      <w:bookmarkEnd w:id="518"/>
      <w:bookmarkEnd w:id="519"/>
      <w:bookmarkEnd w:id="520"/>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21" w:name="_Toc29146_WPSOffice_Level3"/>
      <w:r>
        <w:rPr>
          <w:rFonts w:hint="eastAsia" w:ascii="宋体" w:hAnsi="宋体" w:eastAsia="宋体" w:cs="宋体"/>
          <w:b/>
          <w:bCs/>
          <w:color w:val="auto"/>
          <w:sz w:val="30"/>
          <w:szCs w:val="30"/>
          <w:highlight w:val="none"/>
          <w:lang w:val="zh-CN"/>
        </w:rPr>
        <w:t>法定代表人授权书</w:t>
      </w:r>
      <w:bookmarkEnd w:id="521"/>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东莞市供水计量设施更新项目（2025年计量仪表采购）－超声波水表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0832-SFCX25DG078A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lang w:eastAsia="zh-CN"/>
        </w:rPr>
        <w:sectPr>
          <w:footerReference r:id="rId8" w:type="first"/>
          <w:footerReference r:id="rId7"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r>
        <w:rPr>
          <w:rFonts w:hint="eastAsia" w:ascii="宋体" w:hAnsi="宋体" w:eastAsia="宋体" w:cs="宋体"/>
          <w:b/>
          <w:color w:val="auto"/>
          <w:szCs w:val="24"/>
          <w:highlight w:val="none"/>
          <w:lang w:eastAsia="zh-CN"/>
        </w:rPr>
        <w:t>。</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522" w:name="_Toc619"/>
      <w:bookmarkStart w:id="523" w:name="_Toc9814"/>
      <w:bookmarkStart w:id="524" w:name="_Toc31100"/>
      <w:bookmarkStart w:id="525" w:name="_Toc8338"/>
      <w:bookmarkStart w:id="526" w:name="_Toc30070"/>
      <w:bookmarkStart w:id="527" w:name="_Toc94107214"/>
      <w:bookmarkStart w:id="528" w:name="_Toc142508373"/>
      <w:bookmarkStart w:id="529" w:name="_Toc140596933"/>
      <w:bookmarkStart w:id="530" w:name="_Toc1977730"/>
      <w:bookmarkStart w:id="531" w:name="_Toc104991880"/>
      <w:r>
        <w:rPr>
          <w:rFonts w:hint="eastAsia" w:ascii="宋体" w:hAnsi="宋体" w:eastAsia="宋体" w:cs="宋体"/>
          <w:b/>
          <w:color w:val="auto"/>
          <w:kern w:val="0"/>
          <w:sz w:val="30"/>
          <w:szCs w:val="30"/>
          <w:highlight w:val="none"/>
          <w:lang w:val="en-US" w:eastAsia="zh-CN"/>
        </w:rPr>
        <w:t xml:space="preserve">5.4 </w:t>
      </w:r>
      <w:bookmarkEnd w:id="522"/>
      <w:bookmarkEnd w:id="523"/>
      <w:r>
        <w:rPr>
          <w:rFonts w:hint="eastAsia" w:ascii="宋体" w:hAnsi="宋体" w:eastAsia="宋体" w:cs="宋体"/>
          <w:b/>
          <w:color w:val="auto"/>
          <w:kern w:val="0"/>
          <w:sz w:val="30"/>
          <w:szCs w:val="30"/>
          <w:highlight w:val="none"/>
          <w:lang w:val="en-US" w:eastAsia="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当前述制造商资格声明和制造商独家授权书是由境外品牌境外生产的所投超声波水表制造商通过境内的办事机构出具时，同时还须提供证明该机构作为境外品牌境外生产的所投超声波水表制造商在境内的办事机构的证明文件复印件[该证明文件可为显示其作为境外所投超声波水表制造商分公司的营业执照、或反映其作为境外所投超声波水表制造商子公司的章程（或出资证明、或反映出资人为境外所投超声波水表制造商的营业执照）或境外所投所投超声波水表制造商的书面证明或官网显示其关系的打印件]）</w:t>
      </w:r>
    </w:p>
    <w:p>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pPr>
        <w:autoSpaceDE/>
        <w:autoSpaceDN/>
        <w:adjustRightInd/>
        <w:spacing w:line="240" w:lineRule="auto"/>
        <w:jc w:val="left"/>
        <w:rPr>
          <w:rFonts w:hint="eastAsia" w:ascii="宋体" w:hAnsi="宋体" w:eastAsia="宋体" w:cs="宋体"/>
          <w:b/>
          <w:bCs/>
          <w:color w:val="auto"/>
          <w:sz w:val="30"/>
          <w:szCs w:val="30"/>
          <w:highlight w:val="none"/>
          <w:lang w:val="zh-CN" w:bidi="ar"/>
        </w:rPr>
      </w:pPr>
      <w:r>
        <w:rPr>
          <w:rFonts w:hint="eastAsia" w:ascii="宋体" w:hAnsi="宋体" w:eastAsia="宋体" w:cs="宋体"/>
          <w:b/>
          <w:bCs/>
          <w:color w:val="auto"/>
          <w:sz w:val="30"/>
          <w:szCs w:val="30"/>
          <w:highlight w:val="none"/>
          <w:lang w:val="zh-CN" w:bidi="ar"/>
        </w:rPr>
        <w:br w:type="page"/>
      </w:r>
    </w:p>
    <w:p>
      <w:pPr>
        <w:autoSpaceDE w:val="0"/>
        <w:autoSpaceDN w:val="0"/>
        <w:adjustRightInd w:val="0"/>
        <w:spacing w:line="360" w:lineRule="auto"/>
        <w:jc w:val="center"/>
        <w:rPr>
          <w:rFonts w:hint="eastAsia"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val="zh-CN" w:bidi="ar"/>
        </w:rPr>
        <w:t>（2）</w:t>
      </w:r>
      <w:r>
        <w:rPr>
          <w:rFonts w:hint="eastAsia" w:ascii="宋体" w:hAnsi="宋体" w:eastAsia="宋体" w:cs="宋体"/>
          <w:b/>
          <w:bCs/>
          <w:color w:val="auto"/>
          <w:sz w:val="30"/>
          <w:szCs w:val="30"/>
          <w:highlight w:val="none"/>
          <w:lang w:bidi="ar"/>
        </w:rPr>
        <w:t>制造商资格声明</w:t>
      </w:r>
    </w:p>
    <w:p>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val="en-US" w:eastAsia="zh-CN"/>
        </w:rPr>
        <w:t>所投</w:t>
      </w:r>
      <w:r>
        <w:rPr>
          <w:rFonts w:hint="eastAsia" w:ascii="宋体" w:hAnsi="宋体" w:eastAsia="宋体" w:cs="宋体"/>
          <w:b/>
          <w:color w:val="auto"/>
          <w:sz w:val="21"/>
          <w:szCs w:val="21"/>
          <w:highlight w:val="none"/>
          <w:u w:val="single"/>
        </w:rPr>
        <w:t>超声波水表的生产制造商通过境内的办事机构</w:t>
      </w:r>
      <w:r>
        <w:rPr>
          <w:rFonts w:hint="eastAsia" w:ascii="宋体" w:hAnsi="宋体" w:eastAsia="宋体" w:cs="宋体"/>
          <w:b/>
          <w:color w:val="auto"/>
          <w:kern w:val="2"/>
          <w:sz w:val="21"/>
          <w:szCs w:val="21"/>
          <w:highlight w:val="none"/>
          <w:u w:val="single"/>
        </w:rPr>
        <w:t>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pPr>
        <w:numPr>
          <w:ilvl w:val="0"/>
          <w:numId w:val="2"/>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制造商代表姓名、联系电话和地址：</w:t>
      </w:r>
    </w:p>
    <w:p>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境内办事机构代表姓名、联系电话和地址：</w:t>
      </w:r>
    </w:p>
    <w:p>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pPr>
        <w:numPr>
          <w:ilvl w:val="0"/>
          <w:numId w:val="2"/>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 产品制造商制造投标货物的主要设备、设施及有关情况：</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01"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r>
    </w:tbl>
    <w:p>
      <w:pPr>
        <w:spacing w:line="360" w:lineRule="auto"/>
        <w:ind w:right="-26"/>
        <w:rPr>
          <w:rFonts w:hint="eastAsia" w:ascii="宋体" w:hAnsi="宋体" w:eastAsia="宋体" w:cs="宋体"/>
          <w:b/>
          <w:bCs/>
          <w:color w:val="auto"/>
          <w:kern w:val="2"/>
          <w:sz w:val="21"/>
          <w:szCs w:val="21"/>
          <w:highlight w:val="none"/>
        </w:rPr>
      </w:pPr>
    </w:p>
    <w:p>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pPr>
              <w:spacing w:line="360" w:lineRule="auto"/>
              <w:rPr>
                <w:rFonts w:hint="eastAsia" w:ascii="宋体" w:hAnsi="宋体" w:eastAsia="宋体" w:cs="宋体"/>
                <w:color w:val="auto"/>
                <w:sz w:val="21"/>
                <w:szCs w:val="21"/>
                <w:highlight w:val="none"/>
              </w:rPr>
            </w:pPr>
          </w:p>
        </w:tc>
        <w:tc>
          <w:tcPr>
            <w:tcW w:w="3100"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pPr>
              <w:spacing w:line="360" w:lineRule="auto"/>
              <w:jc w:val="center"/>
              <w:rPr>
                <w:rFonts w:hint="eastAsia" w:ascii="宋体" w:hAnsi="宋体" w:eastAsia="宋体" w:cs="宋体"/>
                <w:color w:val="auto"/>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pPr>
              <w:snapToGrid w:val="0"/>
              <w:spacing w:line="360" w:lineRule="auto"/>
              <w:ind w:left="342"/>
              <w:jc w:val="center"/>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pPr>
              <w:snapToGrid w:val="0"/>
              <w:spacing w:line="360" w:lineRule="auto"/>
              <w:ind w:left="357"/>
              <w:jc w:val="center"/>
              <w:rPr>
                <w:rFonts w:hint="eastAsia" w:ascii="宋体" w:hAnsi="宋体" w:eastAsia="宋体" w:cs="宋体"/>
                <w:snapToGrid w:val="0"/>
                <w:color w:val="auto"/>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pPr>
              <w:snapToGrid w:val="0"/>
              <w:spacing w:line="360" w:lineRule="auto"/>
              <w:ind w:left="357"/>
              <w:jc w:val="center"/>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pPr>
              <w:snapToGrid w:val="0"/>
              <w:spacing w:line="360" w:lineRule="auto"/>
              <w:ind w:left="357"/>
              <w:jc w:val="center"/>
              <w:rPr>
                <w:rFonts w:hint="eastAsia" w:ascii="宋体" w:hAnsi="宋体" w:eastAsia="宋体" w:cs="宋体"/>
                <w:snapToGrid w:val="0"/>
                <w:color w:val="auto"/>
                <w:sz w:val="21"/>
                <w:szCs w:val="21"/>
                <w:highlight w:val="none"/>
              </w:rPr>
            </w:pPr>
          </w:p>
        </w:tc>
      </w:tr>
    </w:tbl>
    <w:p>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pPr>
        <w:autoSpaceDE/>
        <w:autoSpaceDN/>
        <w:adjustRightInd/>
        <w:spacing w:line="360" w:lineRule="auto"/>
        <w:jc w:val="both"/>
        <w:rPr>
          <w:rFonts w:hint="eastAsia" w:ascii="宋体" w:hAnsi="宋体" w:eastAsia="宋体" w:cs="宋体"/>
          <w:color w:val="auto"/>
          <w:kern w:val="2"/>
          <w:sz w:val="21"/>
          <w:szCs w:val="21"/>
          <w:highlight w:val="none"/>
        </w:rPr>
      </w:pPr>
    </w:p>
    <w:p>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autoSpaceDE/>
        <w:autoSpaceDN/>
        <w:adjustRightInd/>
        <w:spacing w:line="360" w:lineRule="auto"/>
        <w:rPr>
          <w:rFonts w:hint="eastAsia" w:ascii="宋体" w:hAnsi="宋体" w:eastAsia="宋体" w:cs="宋体"/>
          <w:b/>
          <w:color w:val="auto"/>
          <w:kern w:val="2"/>
          <w:sz w:val="21"/>
          <w:szCs w:val="21"/>
          <w:highlight w:val="none"/>
        </w:rPr>
      </w:pPr>
    </w:p>
    <w:p>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pPr>
        <w:autoSpaceDE w:val="0"/>
        <w:autoSpaceDN w:val="0"/>
        <w:adjustRightInd w:val="0"/>
        <w:spacing w:line="360" w:lineRule="auto"/>
        <w:jc w:val="center"/>
        <w:rPr>
          <w:rFonts w:ascii="Times New Roman" w:hAnsi="宋体" w:eastAsia="宋体" w:cs="Times New Roman"/>
          <w:b/>
          <w:bCs/>
          <w:color w:val="auto"/>
          <w:sz w:val="30"/>
          <w:szCs w:val="30"/>
          <w:highlight w:val="none"/>
          <w:lang w:bidi="ar"/>
        </w:rPr>
      </w:pPr>
      <w:r>
        <w:rPr>
          <w:rFonts w:ascii="Times New Roman" w:hAnsi="宋体" w:eastAsia="宋体" w:cs="Times New Roman"/>
          <w:b/>
          <w:bCs/>
          <w:color w:val="auto"/>
          <w:sz w:val="30"/>
          <w:szCs w:val="30"/>
          <w:highlight w:val="none"/>
          <w:lang w:bidi="ar"/>
        </w:rPr>
        <w:br w:type="page"/>
      </w:r>
    </w:p>
    <w:p>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w:t>
      </w:r>
      <w:r>
        <w:rPr>
          <w:rFonts w:hint="eastAsia" w:ascii="Times New Roman" w:hAnsi="Times New Roman" w:eastAsia="宋体" w:cs="Times New Roman"/>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）制造商售后服务承诺函及独家授权书</w:t>
      </w:r>
    </w:p>
    <w:p>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致：东莞市水务集团供水有限公司</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Times New Roman"/>
          <w:b/>
          <w:bCs/>
          <w:color w:val="auto"/>
          <w:kern w:val="0"/>
          <w:szCs w:val="21"/>
          <w:highlight w:val="none"/>
          <w:lang w:eastAsia="zh-CN"/>
        </w:rPr>
        <w:t>东莞市供水计量设施更新项目（2025年计量仪表采购）－超声波水表</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0832-SFCX25DG078A</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bl>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致：东莞市水务集团供水有限公司</w:t>
      </w:r>
    </w:p>
    <w:p>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Times New Roman"/>
          <w:color w:val="auto"/>
          <w:kern w:val="0"/>
          <w:szCs w:val="21"/>
          <w:highlight w:val="none"/>
          <w:lang w:eastAsia="zh-CN"/>
        </w:rPr>
        <w:t>东莞市供水计量设施更新项目（2025年计量仪表采购）－超声波水表</w:t>
      </w:r>
      <w:r>
        <w:rPr>
          <w:rFonts w:hint="eastAsia" w:ascii="宋体" w:hAnsi="宋体" w:eastAsia="宋体" w:cs="宋体"/>
          <w:color w:val="auto"/>
          <w:kern w:val="0"/>
          <w:szCs w:val="21"/>
          <w:highlight w:val="none"/>
          <w:u w:val="single"/>
          <w:lang w:bidi="ar"/>
        </w:rPr>
        <w:t>（招标编号：</w:t>
      </w:r>
      <w:r>
        <w:rPr>
          <w:rFonts w:hint="eastAsia" w:ascii="宋体" w:hAnsi="宋体" w:eastAsia="宋体" w:cs="宋体"/>
          <w:color w:val="auto"/>
          <w:kern w:val="0"/>
          <w:szCs w:val="21"/>
          <w:highlight w:val="none"/>
          <w:u w:val="single"/>
          <w:lang w:eastAsia="zh-CN" w:bidi="ar"/>
        </w:rPr>
        <w:t>0832-SFCX25DG078A</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bCs/>
          <w:color w:val="auto"/>
          <w:kern w:val="0"/>
          <w:szCs w:val="21"/>
          <w:highlight w:val="none"/>
          <w:lang w:eastAsia="zh-CN" w:bidi="ar"/>
        </w:rPr>
        <w:t>东莞市供水计量设施更新项目（2025年计量仪表采购）－超声波水表</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0832-SFCX25DG078A</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pPr>
        <w:snapToGrid w:val="0"/>
        <w:spacing w:before="120" w:beforeLines="50" w:after="120" w:afterLines="50"/>
        <w:ind w:firstLine="0" w:firstLineChars="0"/>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 xml:space="preserve"> 备注：投标文件正本内必须提供原件。</w:t>
      </w:r>
    </w:p>
    <w:p>
      <w:pPr>
        <w:rPr>
          <w:rFonts w:hint="eastAsia"/>
          <w:color w:val="auto"/>
          <w:highlight w:val="none"/>
          <w:lang w:val="en-US" w:eastAsia="zh-CN"/>
        </w:rPr>
      </w:pPr>
    </w:p>
    <w:p>
      <w:pPr>
        <w:pStyle w:val="4"/>
        <w:pageBreakBefore/>
        <w:spacing w:line="360" w:lineRule="auto"/>
        <w:rPr>
          <w:rFonts w:hint="eastAsia" w:hAnsi="宋体" w:eastAsia="宋体"/>
          <w:b/>
          <w:color w:val="auto"/>
          <w:sz w:val="30"/>
          <w:szCs w:val="30"/>
          <w:highlight w:val="none"/>
          <w:lang w:val="zh-CN" w:eastAsia="zh-CN"/>
        </w:rPr>
      </w:pPr>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524"/>
      <w:bookmarkEnd w:id="525"/>
      <w:bookmarkEnd w:id="526"/>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lang w:val="en-US" w:eastAsia="zh-CN"/>
        </w:rPr>
        <w:t>超声波</w:t>
      </w:r>
      <w:r>
        <w:rPr>
          <w:rFonts w:hint="eastAsia" w:ascii="宋体" w:hAnsi="宋体" w:eastAsia="宋体"/>
          <w:b/>
          <w:bCs/>
          <w:color w:val="auto"/>
          <w:sz w:val="32"/>
          <w:szCs w:val="32"/>
          <w:highlight w:val="none"/>
        </w:rPr>
        <w:t>水表在国内的销售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r>
        <w:rPr>
          <w:rFonts w:hint="eastAsia" w:hAnsi="宋体"/>
          <w:b/>
          <w:bCs/>
          <w:color w:val="auto"/>
          <w:sz w:val="32"/>
          <w:szCs w:val="32"/>
          <w:highlight w:val="none"/>
          <w:lang w:eastAsia="zh-CN"/>
        </w:rPr>
        <w:t>】</w:t>
      </w:r>
    </w:p>
    <w:p>
      <w:pPr>
        <w:spacing w:line="360" w:lineRule="auto"/>
        <w:rPr>
          <w:rFonts w:hAnsi="宋体"/>
          <w:color w:val="auto"/>
          <w:szCs w:val="21"/>
          <w:highlight w:val="none"/>
          <w:lang w:val="zh-CN"/>
        </w:rPr>
      </w:pPr>
    </w:p>
    <w:tbl>
      <w:tblPr>
        <w:tblStyle w:val="39"/>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987"/>
        <w:gridCol w:w="1284"/>
        <w:gridCol w:w="1252"/>
        <w:gridCol w:w="983"/>
        <w:gridCol w:w="901"/>
        <w:gridCol w:w="955"/>
        <w:gridCol w:w="1262"/>
        <w:gridCol w:w="8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1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pPr>
        <w:spacing w:line="360" w:lineRule="auto"/>
        <w:ind w:left="-2"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（2）业绩须同时提供①</w:t>
      </w:r>
      <w:r>
        <w:rPr>
          <w:rFonts w:hint="eastAsia" w:ascii="宋体" w:hAnsi="宋体" w:eastAsia="宋体" w:cs="宋体"/>
          <w:color w:val="auto"/>
          <w:szCs w:val="21"/>
          <w:highlight w:val="none"/>
          <w:lang w:val="en-US" w:eastAsia="zh-CN"/>
        </w:rPr>
        <w:t>超声波</w:t>
      </w:r>
      <w:r>
        <w:rPr>
          <w:rFonts w:hint="eastAsia" w:ascii="宋体" w:hAnsi="宋体" w:eastAsia="宋体" w:cs="宋体"/>
          <w:color w:val="auto"/>
          <w:szCs w:val="21"/>
          <w:highlight w:val="none"/>
          <w:lang w:val="zh-CN"/>
        </w:rPr>
        <w:t>水表销售合同复印件（合同卖方为投标人，需显示合同买方公章）；②已供货产品任意一张发票复印件（发票开具日期须在本项目招标公告发布之日前）；</w:t>
      </w:r>
    </w:p>
    <w:p>
      <w:pPr>
        <w:tabs>
          <w:tab w:val="left" w:pos="567"/>
        </w:tabs>
        <w:autoSpaceDE w:val="0"/>
        <w:autoSpaceDN w:val="0"/>
        <w:adjustRightInd w:val="0"/>
        <w:spacing w:line="360" w:lineRule="auto"/>
        <w:jc w:val="left"/>
        <w:outlineLvl w:val="9"/>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）若合同无法反映评审条件（合同签订日期为2022年1月1日或以后，合同标的必须包含</w:t>
      </w:r>
      <w:r>
        <w:rPr>
          <w:rFonts w:hint="eastAsia" w:ascii="宋体" w:hAnsi="宋体" w:eastAsia="宋体" w:cs="宋体"/>
          <w:color w:val="auto"/>
          <w:szCs w:val="21"/>
          <w:highlight w:val="none"/>
          <w:lang w:val="en-US" w:eastAsia="zh-CN"/>
        </w:rPr>
        <w:t>超声波</w:t>
      </w:r>
      <w:r>
        <w:rPr>
          <w:rFonts w:hint="eastAsia" w:ascii="宋体" w:hAnsi="宋体" w:eastAsia="宋体" w:cs="宋体"/>
          <w:b w:val="0"/>
          <w:bCs/>
          <w:color w:val="auto"/>
          <w:szCs w:val="21"/>
          <w:highlight w:val="none"/>
          <w:lang w:val="zh-CN"/>
        </w:rPr>
        <w:t>水表）的，还需提供产品购买方出具的书面补充说明文件复印件作为辅助证明（需显示购买方公章）；</w:t>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pPr>
        <w:rPr>
          <w:rFonts w:ascii="宋体" w:hAnsi="宋体" w:eastAsia="宋体" w:cs="宋体"/>
          <w:b/>
          <w:color w:val="auto"/>
          <w:kern w:val="0"/>
          <w:sz w:val="30"/>
          <w:szCs w:val="30"/>
          <w:highlight w:val="none"/>
        </w:rPr>
      </w:pPr>
    </w:p>
    <w:p>
      <w:pPr>
        <w:rPr>
          <w:rFonts w:hint="eastAsia" w:ascii="宋体" w:hAnsi="宋体" w:eastAsia="宋体" w:cs="宋体"/>
          <w:b/>
          <w:color w:val="auto"/>
          <w:kern w:val="0"/>
          <w:sz w:val="30"/>
          <w:szCs w:val="30"/>
          <w:highlight w:val="none"/>
          <w:lang w:val="en-US" w:eastAsia="zh-CN"/>
        </w:rPr>
      </w:pPr>
      <w:r>
        <w:rPr>
          <w:rFonts w:ascii="宋体" w:hAnsi="宋体" w:eastAsia="宋体" w:cs="宋体"/>
          <w:b/>
          <w:color w:val="auto"/>
          <w:kern w:val="0"/>
          <w:sz w:val="30"/>
          <w:szCs w:val="30"/>
          <w:highlight w:val="none"/>
        </w:rPr>
        <w:br w:type="page"/>
      </w:r>
      <w:bookmarkStart w:id="532" w:name="_Toc73"/>
      <w:bookmarkStart w:id="533" w:name="_Toc31879"/>
      <w:bookmarkStart w:id="534" w:name="_Toc8979"/>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27"/>
      <w:bookmarkEnd w:id="528"/>
      <w:bookmarkEnd w:id="529"/>
      <w:bookmarkEnd w:id="530"/>
      <w:bookmarkEnd w:id="531"/>
      <w:bookmarkEnd w:id="532"/>
      <w:bookmarkEnd w:id="533"/>
      <w:bookmarkEnd w:id="534"/>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35" w:name="_Toc2031_WPSOffice_Level2"/>
      <w:bookmarkStart w:id="536" w:name="_Toc142508374"/>
      <w:bookmarkStart w:id="537" w:name="_Toc533708126"/>
      <w:bookmarkStart w:id="538" w:name="_Toc102860079"/>
      <w:bookmarkStart w:id="539" w:name="_Toc1977731"/>
      <w:bookmarkStart w:id="540" w:name="_Toc140596934"/>
      <w:bookmarkStart w:id="541" w:name="_Toc13237"/>
      <w:bookmarkStart w:id="542" w:name="_Toc102860423"/>
      <w:bookmarkStart w:id="543" w:name="_Toc94107215"/>
      <w:bookmarkStart w:id="544" w:name="_Toc104991881"/>
      <w:bookmarkStart w:id="545" w:name="_Toc486167714"/>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46" w:name="_Toc11148"/>
      <w:bookmarkStart w:id="547" w:name="_Toc1634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5"/>
      <w:bookmarkEnd w:id="536"/>
      <w:bookmarkEnd w:id="537"/>
      <w:bookmarkEnd w:id="538"/>
      <w:bookmarkEnd w:id="539"/>
      <w:bookmarkEnd w:id="540"/>
      <w:bookmarkEnd w:id="541"/>
      <w:bookmarkEnd w:id="542"/>
      <w:bookmarkEnd w:id="543"/>
      <w:bookmarkEnd w:id="544"/>
      <w:bookmarkEnd w:id="545"/>
      <w:bookmarkEnd w:id="546"/>
      <w:bookmarkEnd w:id="54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48" w:name="_Toc2773_WPSOffice_Level3"/>
      <w:r>
        <w:rPr>
          <w:rFonts w:hint="eastAsia" w:ascii="宋体" w:hAnsi="宋体" w:eastAsia="宋体" w:cs="宋体"/>
          <w:b/>
          <w:bCs/>
          <w:color w:val="auto"/>
          <w:sz w:val="30"/>
          <w:szCs w:val="30"/>
          <w:highlight w:val="none"/>
          <w:lang w:val="zh-CN"/>
        </w:rPr>
        <w:t>投标人基本情况一览表</w:t>
      </w:r>
      <w:bookmarkEnd w:id="548"/>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9" w:name="_Toc140596935"/>
      <w:bookmarkStart w:id="550" w:name="_Toc142508375"/>
      <w:bookmarkStart w:id="551" w:name="_Toc94107216"/>
      <w:bookmarkStart w:id="552" w:name="_Toc20486"/>
      <w:bookmarkStart w:id="553" w:name="_Toc3711"/>
      <w:bookmarkStart w:id="554" w:name="_Toc102860424"/>
      <w:bookmarkStart w:id="555" w:name="_Toc4495"/>
      <w:bookmarkStart w:id="556" w:name="_Toc104991882"/>
      <w:bookmarkStart w:id="557" w:name="_Toc102860080"/>
      <w:bookmarkStart w:id="558" w:name="_Toc486167715"/>
      <w:bookmarkStart w:id="559" w:name="_Toc9051_WPSOffice_Level2"/>
      <w:bookmarkStart w:id="560" w:name="_Toc1977733"/>
      <w:bookmarkStart w:id="561"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49"/>
      <w:bookmarkEnd w:id="550"/>
      <w:bookmarkEnd w:id="551"/>
      <w:bookmarkEnd w:id="552"/>
      <w:bookmarkEnd w:id="553"/>
      <w:bookmarkEnd w:id="554"/>
      <w:bookmarkEnd w:id="555"/>
      <w:bookmarkEnd w:id="556"/>
      <w:bookmarkEnd w:id="557"/>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pStyle w:val="37"/>
        <w:ind w:left="0" w:leftChars="0" w:firstLine="0" w:firstLineChars="0"/>
        <w:rPr>
          <w:color w:val="auto"/>
          <w:highlight w:val="none"/>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58"/>
    <w:bookmarkEnd w:id="559"/>
    <w:bookmarkEnd w:id="560"/>
    <w:bookmarkEnd w:id="561"/>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62" w:name="_Toc4831"/>
      <w:bookmarkStart w:id="563" w:name="_Toc15551"/>
      <w:bookmarkStart w:id="564" w:name="_Toc533708130"/>
      <w:bookmarkStart w:id="565" w:name="_Toc140596936"/>
      <w:bookmarkStart w:id="566" w:name="_Toc486167716"/>
      <w:bookmarkStart w:id="567" w:name="_Toc102860425"/>
      <w:bookmarkStart w:id="568" w:name="_Toc94107217"/>
      <w:bookmarkStart w:id="569" w:name="_Toc1977736"/>
      <w:bookmarkStart w:id="570" w:name="_Toc142508376"/>
      <w:bookmarkStart w:id="571" w:name="_Toc20034"/>
      <w:bookmarkStart w:id="572" w:name="_Toc104991883"/>
      <w:bookmarkStart w:id="573" w:name="_Toc739_WPSOffice_Level2"/>
      <w:bookmarkStart w:id="574" w:name="_Toc10286008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62"/>
      <w:bookmarkEnd w:id="563"/>
      <w:bookmarkEnd w:id="564"/>
      <w:bookmarkEnd w:id="565"/>
      <w:bookmarkEnd w:id="566"/>
      <w:bookmarkEnd w:id="567"/>
      <w:bookmarkEnd w:id="568"/>
      <w:bookmarkEnd w:id="569"/>
      <w:bookmarkEnd w:id="570"/>
      <w:bookmarkEnd w:id="571"/>
      <w:bookmarkEnd w:id="572"/>
      <w:bookmarkEnd w:id="573"/>
      <w:bookmarkEnd w:id="574"/>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75" w:name="_Toc26412_WPSOffice_Level3"/>
      <w:r>
        <w:rPr>
          <w:rFonts w:hint="eastAsia" w:ascii="宋体" w:hAnsi="宋体" w:eastAsia="宋体" w:cs="宋体"/>
          <w:b/>
          <w:bCs/>
          <w:color w:val="auto"/>
          <w:kern w:val="0"/>
          <w:sz w:val="28"/>
          <w:szCs w:val="30"/>
          <w:highlight w:val="none"/>
          <w:lang w:val="zh-CN"/>
        </w:rPr>
        <w:t>东莞市供水计量设施更新项目（2025年计量仪表采购）－超声波水表合同条款偏离表</w:t>
      </w:r>
      <w:bookmarkEnd w:id="575"/>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合同项目</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合同暂定价</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合同组成</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技术要求</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质量保证</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包装、运输与装卸</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保险</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交货约定</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验收</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价款的支付</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技术服务和培训</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履约担保</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订单全款独立银行保函</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14</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十四</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技术资料</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十五</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权利保证</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16</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十六</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不可抗力</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十七</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索赔</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8</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十八</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违约责任</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19</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十九</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争议解决</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20</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二十</w:t>
            </w:r>
            <w:r>
              <w:rPr>
                <w:rFonts w:hint="eastAsia" w:ascii="宋体" w:hAnsi="宋体" w:eastAsia="宋体" w:cs="宋体"/>
                <w:color w:val="auto"/>
                <w:kern w:val="0"/>
                <w:szCs w:val="21"/>
                <w:highlight w:val="none"/>
              </w:rPr>
              <w:t>条</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其他</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21</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附件2</w:t>
            </w:r>
          </w:p>
        </w:tc>
        <w:tc>
          <w:tcPr>
            <w:tcW w:w="305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东莞市水务集团供水有限公司货物到货验收表</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22</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廉洁协议书</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23</w:t>
            </w:r>
          </w:p>
        </w:tc>
        <w:tc>
          <w:tcPr>
            <w:tcW w:w="1425" w:type="dxa"/>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一</w:t>
            </w:r>
          </w:p>
        </w:tc>
        <w:tc>
          <w:tcPr>
            <w:tcW w:w="3055" w:type="dxa"/>
            <w:vAlign w:val="center"/>
          </w:tcPr>
          <w:p>
            <w:pPr>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24</w:t>
            </w:r>
          </w:p>
        </w:tc>
        <w:tc>
          <w:tcPr>
            <w:tcW w:w="1425" w:type="dxa"/>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二</w:t>
            </w:r>
          </w:p>
        </w:tc>
        <w:tc>
          <w:tcPr>
            <w:tcW w:w="3055" w:type="dxa"/>
            <w:vAlign w:val="center"/>
          </w:tcPr>
          <w:p>
            <w:pPr>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25</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val="en-US" w:eastAsia="zh-CN"/>
              </w:rPr>
              <w:t>订单全款独立银行保函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6" w:name="_Toc4165"/>
      <w:bookmarkStart w:id="577" w:name="_Toc104991884"/>
      <w:bookmarkStart w:id="578" w:name="_Toc13348"/>
      <w:bookmarkStart w:id="579" w:name="_Toc2075"/>
      <w:bookmarkStart w:id="580" w:name="_Toc94107218"/>
      <w:bookmarkStart w:id="581" w:name="_Toc140596937"/>
      <w:bookmarkStart w:id="582" w:name="_Toc142508377"/>
      <w:bookmarkStart w:id="583" w:name="_Toc102860426"/>
      <w:bookmarkStart w:id="584" w:name="_Toc102860082"/>
      <w:bookmarkStart w:id="585" w:name="_Toc27980_WPSOffice_Level2"/>
      <w:bookmarkStart w:id="586"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76"/>
      <w:bookmarkEnd w:id="577"/>
      <w:bookmarkEnd w:id="578"/>
      <w:bookmarkEnd w:id="579"/>
      <w:bookmarkEnd w:id="580"/>
      <w:bookmarkEnd w:id="581"/>
      <w:bookmarkEnd w:id="582"/>
      <w:bookmarkEnd w:id="583"/>
      <w:bookmarkEnd w:id="584"/>
    </w:p>
    <w:p>
      <w:pPr>
        <w:autoSpaceDE w:val="0"/>
        <w:autoSpaceDN w:val="0"/>
        <w:adjustRightInd w:val="0"/>
        <w:spacing w:line="360" w:lineRule="auto"/>
        <w:ind w:left="0" w:leftChars="0" w:right="-145" w:rightChars="-69" w:firstLine="0" w:firstLineChars="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w:t>
      </w:r>
      <w:r>
        <w:rPr>
          <w:rFonts w:hint="eastAsia" w:ascii="宋体" w:hAnsi="宋体" w:eastAsia="宋体" w:cs="Times New Roman"/>
          <w:b/>
          <w:bCs/>
          <w:color w:val="auto"/>
          <w:sz w:val="30"/>
          <w:szCs w:val="30"/>
          <w:highlight w:val="none"/>
          <w:lang w:val="en-US" w:eastAsia="zh-CN"/>
        </w:rPr>
        <w:t>以来投标品牌超声波水表在国内的销售</w:t>
      </w:r>
      <w:r>
        <w:rPr>
          <w:rFonts w:hint="eastAsia" w:ascii="宋体" w:hAnsi="宋体" w:eastAsia="宋体" w:cs="Times New Roman"/>
          <w:b/>
          <w:bCs/>
          <w:color w:val="auto"/>
          <w:sz w:val="30"/>
          <w:szCs w:val="30"/>
          <w:highlight w:val="none"/>
          <w:lang w:val="zh-CN"/>
        </w:rPr>
        <w:t>业绩表</w:t>
      </w:r>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（签订合同的时间要求为2022年1月1日或以后）</w:t>
      </w:r>
    </w:p>
    <w:tbl>
      <w:tblPr>
        <w:tblStyle w:val="3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4"/>
        <w:gridCol w:w="816"/>
        <w:gridCol w:w="1061"/>
        <w:gridCol w:w="1036"/>
        <w:gridCol w:w="1347"/>
        <w:gridCol w:w="1347"/>
        <w:gridCol w:w="814"/>
        <w:gridCol w:w="747"/>
        <w:gridCol w:w="791"/>
        <w:gridCol w:w="1040"/>
        <w:gridCol w:w="6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w:t>
      </w:r>
      <w:r>
        <w:rPr>
          <w:rFonts w:hint="eastAsia" w:ascii="宋体" w:hAnsi="宋体" w:eastAsia="宋体" w:cs="Times New Roman"/>
          <w:b/>
          <w:bCs/>
          <w:color w:val="auto"/>
          <w:szCs w:val="24"/>
          <w:highlight w:val="none"/>
          <w:lang w:val="en-US" w:eastAsia="zh-CN"/>
        </w:rPr>
        <w:t>单项</w:t>
      </w:r>
      <w:r>
        <w:rPr>
          <w:rFonts w:hint="eastAsia" w:ascii="宋体" w:hAnsi="宋体" w:eastAsia="宋体" w:cs="Times New Roman"/>
          <w:b/>
          <w:bCs/>
          <w:color w:val="auto"/>
          <w:szCs w:val="24"/>
          <w:highlight w:val="none"/>
        </w:rPr>
        <w:t>合同的业绩可以同时在资格业绩和评分业绩重复放置</w:t>
      </w:r>
      <w:r>
        <w:rPr>
          <w:rFonts w:hint="eastAsia" w:ascii="宋体" w:hAnsi="宋体" w:eastAsia="宋体" w:cs="Times New Roman"/>
          <w:b/>
          <w:bCs/>
          <w:color w:val="auto"/>
          <w:szCs w:val="24"/>
          <w:highlight w:val="none"/>
          <w:lang w:eastAsia="zh-CN"/>
        </w:rPr>
        <w:t>；</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w:t>
      </w:r>
      <w:r>
        <w:rPr>
          <w:rFonts w:hint="eastAsia" w:ascii="宋体" w:hAnsi="宋体" w:eastAsia="宋体" w:cs="Times New Roman"/>
          <w:color w:val="auto"/>
          <w:szCs w:val="24"/>
          <w:highlight w:val="none"/>
          <w:lang w:val="en-US" w:eastAsia="zh-CN"/>
        </w:rPr>
        <w:t>①</w:t>
      </w:r>
      <w:r>
        <w:rPr>
          <w:rFonts w:hint="eastAsia" w:ascii="宋体" w:hAnsi="宋体" w:eastAsia="宋体" w:cs="Times New Roman"/>
          <w:color w:val="auto"/>
          <w:szCs w:val="24"/>
          <w:highlight w:val="none"/>
          <w:lang w:val="zh-CN"/>
        </w:rPr>
        <w:t>投标品牌超声波水表销售合同复印件（合同卖方可为投标品牌超声波水表的制造商，也可为投标品牌超声波水表的代理商/经销商，需显示合同买方公章），</w:t>
      </w:r>
      <w:r>
        <w:rPr>
          <w:rFonts w:hint="eastAsia" w:ascii="宋体" w:hAnsi="宋体" w:eastAsia="宋体" w:cs="Times New Roman"/>
          <w:color w:val="auto"/>
          <w:szCs w:val="24"/>
          <w:highlight w:val="none"/>
          <w:lang w:val="en-US" w:eastAsia="zh-CN"/>
        </w:rPr>
        <w:t>②</w:t>
      </w:r>
      <w:r>
        <w:rPr>
          <w:rFonts w:hint="eastAsia" w:ascii="宋体" w:hAnsi="宋体" w:eastAsia="宋体" w:cs="Times New Roman"/>
          <w:color w:val="auto"/>
          <w:szCs w:val="24"/>
          <w:highlight w:val="none"/>
          <w:lang w:val="zh-CN"/>
        </w:rPr>
        <w:t>已供货产品任意一张发票复印件（发票开具日期须在本项目招标公告发布之日前），否则不得分；</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合同无法反映评分条件（合同签订日期为2022年1月1日或以后，合同标的必须包含投标品牌超声波水表、合同金额）的，还需提供产品购买方出具的书面补充说明文件复印件作为辅助证明（需显示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）若业绩为框架式协议或资格入围无明确金额的合同，必须同时提供合同期限内已供货发票金额统计表和发票复印件。</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3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p>
        </w:tc>
      </w:tr>
    </w:tbl>
    <w:p>
      <w:pPr>
        <w:snapToGrid w:val="0"/>
        <w:spacing w:line="360" w:lineRule="auto"/>
        <w:ind w:left="491" w:leftChars="-57" w:hanging="611" w:hangingChars="291"/>
        <w:rPr>
          <w:rFonts w:hint="eastAsia" w:ascii="宋体" w:hAnsi="宋体" w:eastAsia="宋体" w:cs="宋体"/>
          <w:color w:val="auto"/>
          <w:sz w:val="21"/>
          <w:szCs w:val="21"/>
          <w:highlight w:val="none"/>
        </w:rPr>
      </w:pPr>
    </w:p>
    <w:p>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（2）发票抬头应为合同买方，收款人应为投标人，且发票名目、所属时期应与合同约定内容一致，否则不计分。</w:t>
      </w:r>
    </w:p>
    <w:p>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rPr>
        <w:t>（3）发票合计金额视为投标人所提供该项供货业绩的供货金额，并按此金额进行评审。</w:t>
      </w:r>
    </w:p>
    <w:p>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85"/>
    <w:bookmarkEnd w:id="586"/>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87" w:name="_Toc102860083"/>
      <w:bookmarkStart w:id="588" w:name="_Toc140596938"/>
      <w:bookmarkStart w:id="589" w:name="_Toc9649"/>
      <w:bookmarkStart w:id="590" w:name="_Toc102860427"/>
      <w:bookmarkStart w:id="591" w:name="_Toc13822"/>
      <w:bookmarkStart w:id="592" w:name="_Toc18175_WPSOffice_Level2"/>
      <w:bookmarkStart w:id="593" w:name="_Toc486167719"/>
      <w:bookmarkStart w:id="594" w:name="_Toc104991885"/>
      <w:bookmarkStart w:id="595" w:name="_Toc1977737"/>
      <w:bookmarkStart w:id="596" w:name="_Toc11745"/>
      <w:bookmarkStart w:id="597" w:name="_Toc94107220"/>
      <w:bookmarkStart w:id="598" w:name="_Toc533708132"/>
      <w:bookmarkStart w:id="599" w:name="_Toc142508378"/>
      <w:r>
        <w:rPr>
          <w:rFonts w:hint="eastAsia" w:ascii="宋体" w:hAnsi="宋体" w:eastAsia="宋体" w:cs="宋体"/>
          <w:b/>
          <w:bCs/>
          <w:color w:val="auto"/>
          <w:kern w:val="0"/>
          <w:sz w:val="32"/>
          <w:szCs w:val="32"/>
          <w:highlight w:val="none"/>
          <w:lang w:val="zh-CN"/>
        </w:rPr>
        <w:t>十、投标保证金汇入情况说明</w:t>
      </w:r>
      <w:bookmarkEnd w:id="587"/>
      <w:bookmarkEnd w:id="588"/>
      <w:bookmarkEnd w:id="589"/>
      <w:bookmarkEnd w:id="590"/>
      <w:bookmarkEnd w:id="591"/>
      <w:bookmarkEnd w:id="592"/>
      <w:bookmarkEnd w:id="593"/>
      <w:bookmarkEnd w:id="594"/>
      <w:bookmarkEnd w:id="595"/>
      <w:bookmarkEnd w:id="596"/>
      <w:bookmarkEnd w:id="597"/>
      <w:bookmarkEnd w:id="598"/>
      <w:bookmarkEnd w:id="599"/>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00" w:name="_Toc31832_WPSOffice_Level3"/>
      <w:r>
        <w:rPr>
          <w:rFonts w:hint="eastAsia" w:ascii="宋体" w:hAnsi="宋体" w:eastAsia="宋体" w:cs="宋体"/>
          <w:b/>
          <w:bCs/>
          <w:color w:val="auto"/>
          <w:kern w:val="0"/>
          <w:sz w:val="24"/>
          <w:szCs w:val="24"/>
          <w:highlight w:val="none"/>
        </w:rPr>
        <w:t>投标保证金汇入情况说明</w:t>
      </w:r>
      <w:bookmarkEnd w:id="600"/>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东莞市供水计量设施更新项目（2025年计量仪表采购）－超声波水表</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0832-SFCX25DG078A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601" w:name="_Toc26208_WPSOffice_Level3"/>
      <w:r>
        <w:rPr>
          <w:rFonts w:hint="eastAsia" w:ascii="宋体" w:hAnsi="宋体" w:eastAsia="宋体" w:cs="宋体"/>
          <w:b/>
          <w:bCs/>
          <w:color w:val="auto"/>
          <w:szCs w:val="21"/>
          <w:highlight w:val="none"/>
        </w:rPr>
        <w:t>附：1、我方投标保证金汇款凭证（复印件）</w:t>
      </w:r>
      <w:bookmarkEnd w:id="601"/>
    </w:p>
    <w:p>
      <w:pPr>
        <w:spacing w:line="360" w:lineRule="auto"/>
        <w:ind w:left="340" w:leftChars="162" w:firstLine="839" w:firstLineChars="398"/>
        <w:rPr>
          <w:rFonts w:ascii="宋体" w:hAnsi="宋体" w:eastAsia="宋体" w:cs="宋体"/>
          <w:b/>
          <w:bCs/>
          <w:color w:val="auto"/>
          <w:szCs w:val="21"/>
          <w:highlight w:val="none"/>
        </w:rPr>
      </w:pPr>
      <w:bookmarkStart w:id="602" w:name="_Toc12992_WPSOffice_Level3"/>
      <w:r>
        <w:rPr>
          <w:rFonts w:hint="eastAsia" w:ascii="宋体" w:hAnsi="宋体" w:eastAsia="宋体" w:cs="宋体"/>
          <w:b/>
          <w:bCs/>
          <w:color w:val="auto"/>
          <w:szCs w:val="21"/>
          <w:highlight w:val="none"/>
        </w:rPr>
        <w:t>2、我方基本账户开户许可证（复印件）</w:t>
      </w:r>
      <w:bookmarkEnd w:id="602"/>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603" w:name="_Toc486167721"/>
    </w:p>
    <w:p>
      <w:pPr>
        <w:spacing w:line="360" w:lineRule="auto"/>
        <w:ind w:firstLine="424" w:firstLineChars="202"/>
        <w:rPr>
          <w:rFonts w:ascii="宋体" w:hAnsi="宋体" w:eastAsia="宋体" w:cs="宋体"/>
          <w:color w:val="auto"/>
          <w:szCs w:val="24"/>
          <w:highlight w:val="none"/>
        </w:rPr>
      </w:pPr>
      <w:bookmarkStart w:id="604"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bookmarkStart w:id="605" w:name="_Toc140596939"/>
      <w:bookmarkStart w:id="606" w:name="_Toc104991886"/>
      <w:bookmarkStart w:id="607" w:name="_Toc24135"/>
      <w:bookmarkStart w:id="608" w:name="_Toc142508379"/>
      <w:bookmarkStart w:id="609" w:name="_Toc16292"/>
      <w:bookmarkStart w:id="610" w:name="_Toc18032"/>
      <w:bookmarkStart w:id="611" w:name="_Toc102860084"/>
      <w:bookmarkStart w:id="612" w:name="_Toc102860428"/>
      <w:bookmarkStart w:id="613" w:name="_Toc1977738"/>
      <w:bookmarkStart w:id="614" w:name="_Toc941072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w:t>
      </w:r>
      <w:r>
        <w:rPr>
          <w:rFonts w:hint="eastAsia" w:ascii="宋体" w:hAnsi="宋体" w:eastAsia="宋体" w:cs="宋体"/>
          <w:b/>
          <w:bCs/>
          <w:color w:val="auto"/>
          <w:kern w:val="0"/>
          <w:sz w:val="32"/>
          <w:szCs w:val="32"/>
          <w:highlight w:val="none"/>
          <w:lang w:val="en-US" w:eastAsia="zh-CN"/>
        </w:rPr>
        <w:t>做</w:t>
      </w:r>
      <w:r>
        <w:rPr>
          <w:rFonts w:hint="eastAsia" w:ascii="宋体" w:hAnsi="宋体" w:eastAsia="宋体" w:cs="宋体"/>
          <w:b/>
          <w:bCs/>
          <w:color w:val="auto"/>
          <w:kern w:val="0"/>
          <w:sz w:val="32"/>
          <w:szCs w:val="32"/>
          <w:highlight w:val="none"/>
          <w:lang w:val="zh-CN"/>
        </w:rPr>
        <w:t>强制要求）</w:t>
      </w:r>
      <w:bookmarkEnd w:id="605"/>
      <w:bookmarkEnd w:id="606"/>
      <w:bookmarkEnd w:id="607"/>
      <w:bookmarkEnd w:id="608"/>
      <w:bookmarkEnd w:id="609"/>
      <w:bookmarkEnd w:id="610"/>
      <w:bookmarkEnd w:id="611"/>
      <w:bookmarkEnd w:id="612"/>
      <w:bookmarkEnd w:id="613"/>
      <w:bookmarkEnd w:id="614"/>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15" w:name="_Toc102860429"/>
      <w:bookmarkStart w:id="616" w:name="_Toc140596940"/>
      <w:bookmarkStart w:id="617" w:name="_Toc94107222"/>
      <w:bookmarkStart w:id="618" w:name="_Toc104991887"/>
      <w:bookmarkStart w:id="619" w:name="_Toc15051"/>
      <w:bookmarkStart w:id="620" w:name="_Toc102860085"/>
      <w:bookmarkStart w:id="621" w:name="_Toc142508380"/>
      <w:bookmarkStart w:id="622" w:name="_Toc9447"/>
      <w:bookmarkStart w:id="623" w:name="_Toc14341"/>
      <w:bookmarkStart w:id="624" w:name="_Toc197773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04"/>
      <w:bookmarkEnd w:id="615"/>
      <w:bookmarkEnd w:id="616"/>
      <w:bookmarkEnd w:id="617"/>
      <w:bookmarkEnd w:id="618"/>
      <w:bookmarkEnd w:id="619"/>
      <w:bookmarkEnd w:id="620"/>
      <w:bookmarkEnd w:id="621"/>
      <w:bookmarkEnd w:id="622"/>
      <w:bookmarkEnd w:id="623"/>
      <w:bookmarkEnd w:id="624"/>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w:t>
      </w:r>
      <w:r>
        <w:rPr>
          <w:rFonts w:hint="eastAsia" w:ascii="宋体" w:hAnsi="宋体" w:eastAsia="宋体" w:cs="宋体"/>
          <w:color w:val="auto"/>
          <w:sz w:val="21"/>
          <w:szCs w:val="21"/>
          <w:highlight w:val="none"/>
          <w:lang w:val="en-US" w:eastAsia="zh-CN"/>
        </w:rPr>
        <w:t>2.2.17</w:t>
      </w:r>
      <w:r>
        <w:rPr>
          <w:rFonts w:hint="eastAsia" w:ascii="宋体" w:hAnsi="宋体" w:eastAsia="宋体" w:cs="宋体"/>
          <w:color w:val="auto"/>
          <w:kern w:val="0"/>
          <w:szCs w:val="21"/>
          <w:highlight w:val="none"/>
          <w:lang w:val="en-US" w:eastAsia="zh-CN"/>
        </w:rPr>
        <w:t>”条款的承诺函（投标人自行编写）；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2）关于“★2.3.7”条款的产品说明书和承诺函（投标人自行编写）；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3）关于“★2.3.10”条款的承诺函（投标人自行编写）；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”条款的证明材料（投标人提供相关水表用户使用情况及证明材料）；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（3）研发能力及产品先进性；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（4）投标产品的设计及性能；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（5）生产制造能力；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售后服务</w:t>
      </w:r>
      <w:r>
        <w:rPr>
          <w:rFonts w:hint="eastAsia" w:ascii="宋体" w:hAnsi="宋体" w:eastAsia="宋体" w:cs="宋体"/>
          <w:color w:val="auto"/>
          <w:kern w:val="0"/>
          <w:szCs w:val="21"/>
          <w:highlight w:val="none"/>
        </w:rPr>
        <w:t>响应时间承诺</w:t>
      </w:r>
      <w:r>
        <w:rPr>
          <w:rFonts w:hint="eastAsia" w:ascii="宋体" w:hAnsi="宋体" w:eastAsia="宋体" w:cs="宋体"/>
          <w:color w:val="auto"/>
          <w:kern w:val="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861" w:type="pct"/>
            <w:vAlign w:val="center"/>
          </w:tcPr>
          <w:p>
            <w:pP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03"/>
      <w:bookmarkStart w:id="625" w:name="_Toc1977740"/>
      <w:bookmarkStart w:id="626" w:name="_Toc104991888"/>
      <w:bookmarkStart w:id="627" w:name="_Toc1558"/>
      <w:bookmarkStart w:id="628" w:name="_Toc533708135"/>
      <w:bookmarkStart w:id="629" w:name="_Toc94107223"/>
      <w:bookmarkStart w:id="630" w:name="_Toc140596941"/>
      <w:bookmarkStart w:id="631" w:name="_Toc12047"/>
      <w:bookmarkStart w:id="632" w:name="_Toc102860430"/>
      <w:bookmarkStart w:id="633" w:name="_Toc142508381"/>
      <w:bookmarkStart w:id="634" w:name="_Toc20630"/>
      <w:bookmarkStart w:id="635" w:name="_Toc10286008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25"/>
      <w:bookmarkEnd w:id="626"/>
      <w:bookmarkEnd w:id="627"/>
      <w:bookmarkEnd w:id="628"/>
      <w:bookmarkEnd w:id="629"/>
      <w:bookmarkEnd w:id="630"/>
      <w:bookmarkEnd w:id="631"/>
      <w:bookmarkEnd w:id="632"/>
      <w:bookmarkEnd w:id="633"/>
      <w:bookmarkEnd w:id="634"/>
      <w:bookmarkEnd w:id="635"/>
    </w:p>
    <w:p>
      <w:pPr>
        <w:spacing w:before="120" w:after="120" w:line="360" w:lineRule="auto"/>
        <w:jc w:val="center"/>
        <w:rPr>
          <w:rFonts w:ascii="宋体" w:hAnsi="宋体" w:eastAsia="宋体" w:cs="Times New Roman"/>
          <w:color w:val="auto"/>
          <w:kern w:val="0"/>
          <w:szCs w:val="21"/>
          <w:highlight w:val="none"/>
        </w:rPr>
      </w:pPr>
      <w:bookmarkStart w:id="636" w:name="_Toc17449_WPSOffice_Level3"/>
      <w:r>
        <w:rPr>
          <w:rFonts w:hint="eastAsia" w:ascii="宋体" w:hAnsi="宋体" w:eastAsia="宋体" w:cs="宋体"/>
          <w:b/>
          <w:color w:val="auto"/>
          <w:kern w:val="0"/>
          <w:sz w:val="30"/>
          <w:szCs w:val="30"/>
          <w:highlight w:val="none"/>
          <w:lang w:val="zh-CN"/>
        </w:rPr>
        <w:t>用户需求偏离表</w:t>
      </w:r>
      <w:bookmarkEnd w:id="636"/>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361"/>
        <w:gridCol w:w="1147"/>
        <w:gridCol w:w="6072"/>
        <w:gridCol w:w="900"/>
        <w:gridCol w:w="900"/>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 w:type="pct"/>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654" w:type="pct"/>
            <w:gridSpan w:val="3"/>
            <w:vAlign w:val="center"/>
          </w:tcPr>
          <w:p>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72" w:type="pct"/>
            <w:gridSpan w:val="3"/>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 w:type="pct"/>
            <w:vMerge w:val="continue"/>
            <w:vAlign w:val="center"/>
          </w:tcPr>
          <w:p>
            <w:pPr>
              <w:keepNext/>
              <w:keepLines/>
              <w:spacing w:line="400" w:lineRule="exact"/>
              <w:jc w:val="center"/>
              <w:outlineLvl w:val="0"/>
              <w:rPr>
                <w:rFonts w:ascii="宋体" w:hAnsi="宋体" w:eastAsia="宋体" w:cs="宋体"/>
                <w:color w:val="auto"/>
                <w:kern w:val="0"/>
                <w:sz w:val="18"/>
                <w:szCs w:val="18"/>
                <w:highlight w:val="none"/>
              </w:rPr>
            </w:pPr>
          </w:p>
        </w:tc>
        <w:tc>
          <w:tcPr>
            <w:tcW w:w="174"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553" w:type="pct"/>
            <w:vAlign w:val="center"/>
          </w:tcPr>
          <w:p>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927"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sz w:val="21"/>
                <w:szCs w:val="21"/>
                <w:highlight w:val="none"/>
              </w:rPr>
              <w:t>具体内容</w:t>
            </w:r>
          </w:p>
        </w:tc>
        <w:tc>
          <w:tcPr>
            <w:tcW w:w="433"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33"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04"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1</w:t>
            </w:r>
          </w:p>
        </w:tc>
        <w:tc>
          <w:tcPr>
            <w:tcW w:w="17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一</w:t>
            </w:r>
          </w:p>
        </w:tc>
        <w:tc>
          <w:tcPr>
            <w:tcW w:w="5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zh-CN" w:eastAsia="zh-CN"/>
              </w:rPr>
              <w:t>总体要求</w:t>
            </w:r>
          </w:p>
        </w:tc>
        <w:tc>
          <w:tcPr>
            <w:tcW w:w="2927" w:type="pct"/>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一</w:t>
            </w:r>
            <w:r>
              <w:rPr>
                <w:rFonts w:hint="eastAsia" w:ascii="宋体" w:hAnsi="宋体" w:eastAsia="宋体" w:cs="宋体"/>
                <w:b/>
                <w:bCs/>
                <w:color w:val="auto"/>
                <w:kern w:val="2"/>
                <w:sz w:val="21"/>
                <w:szCs w:val="21"/>
                <w:highlight w:val="none"/>
                <w:lang w:val="zh-CN"/>
              </w:rPr>
              <w:t>、总体要求</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本次采购项目的水表为全新产品，在中国境内可依常规安全合法使用，符合中华人民共和国国家安全质量标准、环保标准或行业标准，适用于自来水行业的居民饮用水计量使用。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须遵循的法律、法规、标准和规范（包含但不局限于以下内容，另本要求中提及的规范标准等如非最新版本，应以最新版本为准）：</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GB/T778-2018《饮用冷水水表和热水水表》标准</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JJG162-2019中华人民共和国国家计量检定规程《冷水水表》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17219《生活饮用水输配水设备及防护材料的安全性评价标准》</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CJ266-2008《饮用水冷水水表安全规则》</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CJ/T188-2018《户用计量仪表数据传输技术条件》 </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25480-2010《仪器仪表运输、贮存基本环境条件及试验方法》</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CJ/T224-2012《电子远传水表》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CJ/T535《物联网水表》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GB/T4208-2017《外壳防护等级（IP代码）》</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434-2013《超声波水表》</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供货清单</w:t>
            </w:r>
          </w:p>
          <w:tbl>
            <w:tblPr>
              <w:tblStyle w:val="39"/>
              <w:tblW w:w="388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7"/>
              <w:gridCol w:w="657"/>
              <w:gridCol w:w="657"/>
              <w:gridCol w:w="657"/>
              <w:gridCol w:w="657"/>
              <w:gridCol w:w="1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3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3" w:type="pct"/>
                  <w:vMerge w:val="restart"/>
                  <w:tcBorders>
                    <w:top w:val="single" w:color="000000" w:sz="4" w:space="0"/>
                    <w:left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缩径超声波水表  </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588</w:t>
                  </w:r>
                </w:p>
              </w:tc>
              <w:tc>
                <w:tcPr>
                  <w:tcW w:w="1381" w:type="pct"/>
                  <w:vMerge w:val="restart"/>
                  <w:tcBorders>
                    <w:top w:val="single" w:color="000000" w:sz="4" w:space="0"/>
                    <w:left w:val="single" w:color="000000" w:sz="4" w:space="0"/>
                    <w:right w:val="single" w:color="000000" w:sz="4" w:space="0"/>
                    <w:tl2br w:val="nil"/>
                    <w:tr2bl w:val="nil"/>
                  </w:tcBorders>
                  <w:noWrap/>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240" w:lineRule="auto"/>
                    <w:ind w:right="0"/>
                    <w:jc w:val="left"/>
                    <w:textAlignment w:val="center"/>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Cs w:val="0"/>
                      <w:color w:val="auto"/>
                      <w:kern w:val="0"/>
                      <w:sz w:val="21"/>
                      <w:szCs w:val="21"/>
                      <w:highlight w:val="none"/>
                      <w:lang w:val="en-US" w:eastAsia="zh-CN" w:bidi="ar"/>
                    </w:rPr>
                    <w:t>1.配件要求：每台超声波水表需包含1套远传模块和2个垫圈，不含法兰。</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240" w:lineRule="auto"/>
                    <w:ind w:right="0"/>
                    <w:jc w:val="left"/>
                    <w:textAlignment w:val="center"/>
                    <w:rPr>
                      <w:rFonts w:hint="eastAsia" w:ascii="宋体" w:hAnsi="宋体" w:eastAsia="宋体" w:cs="宋体"/>
                      <w:bCs w:val="0"/>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left"/>
                    <w:textAlignment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u w:val="none"/>
                      <w:lang w:val="en-US" w:eastAsia="zh-CN" w:bidi="ar"/>
                    </w:rPr>
                    <w:t>2.由中标人负责执行首次检定工作，含运输费、装卸费和水表检定费。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779</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314</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23" w:type="pct"/>
                  <w:vMerge w:val="continue"/>
                  <w:tcBorders>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3" w:type="pct"/>
                  <w:vMerge w:val="restart"/>
                  <w:tcBorders>
                    <w:top w:val="single" w:color="000000" w:sz="4" w:space="0"/>
                    <w:left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通径超声波水表</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111</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723" w:type="pct"/>
                  <w:vMerge w:val="continue"/>
                  <w:tcBorders>
                    <w:left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381" w:type="pct"/>
                  <w:vMerge w:val="continue"/>
                  <w:tcBorders>
                    <w:left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23" w:type="pct"/>
                  <w:vMerge w:val="continue"/>
                  <w:tcBorders>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381" w:type="pct"/>
                  <w:vMerge w:val="continue"/>
                  <w:tcBorders>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447" w:type="pct"/>
                  <w:gridSpan w:val="2"/>
                  <w:tcBorders>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汇总</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2598</w:t>
                  </w:r>
                </w:p>
              </w:tc>
              <w:tc>
                <w:tcPr>
                  <w:tcW w:w="1381" w:type="pct"/>
                  <w:tcBorders>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ageBreakBefore w:val="0"/>
              <w:widowControl w:val="0"/>
              <w:kinsoku/>
              <w:wordWrap/>
              <w:overflowPunct/>
              <w:topLinePunct w:val="0"/>
              <w:bidi w:val="0"/>
              <w:adjustRightInd w:val="0"/>
              <w:snapToGrid/>
              <w:spacing w:line="240" w:lineRule="auto"/>
              <w:textAlignment w:val="auto"/>
              <w:rPr>
                <w:rFonts w:hint="default" w:ascii="宋体" w:hAnsi="宋体" w:eastAsia="宋体" w:cs="Times New Roman"/>
                <w:b w:val="0"/>
                <w:bCs/>
                <w:color w:val="auto"/>
                <w:sz w:val="18"/>
                <w:szCs w:val="18"/>
                <w:highlight w:val="none"/>
                <w:lang w:val="en-US" w:eastAsia="zh-CN"/>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二</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水表技术要求</w:t>
            </w:r>
          </w:p>
        </w:tc>
        <w:tc>
          <w:tcPr>
            <w:tcW w:w="2927" w:type="pct"/>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二</w:t>
            </w:r>
            <w:r>
              <w:rPr>
                <w:rFonts w:hint="eastAsia" w:ascii="宋体" w:hAnsi="宋体" w:eastAsia="宋体" w:cs="宋体"/>
                <w:b/>
                <w:bCs/>
                <w:color w:val="auto"/>
                <w:kern w:val="2"/>
                <w:sz w:val="21"/>
                <w:szCs w:val="21"/>
                <w:highlight w:val="none"/>
                <w:lang w:val="zh-CN"/>
              </w:rPr>
              <w:t>、水表技术要求</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基本要求</w:t>
            </w:r>
            <w:r>
              <w:rPr>
                <w:rFonts w:hint="eastAsia" w:ascii="宋体" w:hAnsi="宋体" w:eastAsia="宋体" w:cs="宋体"/>
                <w:color w:val="auto"/>
                <w:kern w:val="0"/>
                <w:sz w:val="21"/>
                <w:szCs w:val="21"/>
                <w:highlight w:val="none"/>
              </w:rPr>
              <w:t>：</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介质温度范围：0-30℃。</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工作环境温度范围：0-55℃。</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.1.3</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防护等级：IP68。</w:t>
            </w:r>
          </w:p>
          <w:p>
            <w:pPr>
              <w:pStyle w:val="210"/>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电磁环境等级：</w:t>
            </w:r>
            <w:r>
              <w:rPr>
                <w:rFonts w:hint="eastAsia" w:ascii="宋体" w:hAnsi="宋体" w:eastAsia="宋体" w:cs="宋体"/>
                <w:color w:val="auto"/>
                <w:kern w:val="0"/>
                <w:sz w:val="21"/>
                <w:szCs w:val="21"/>
                <w:highlight w:val="none"/>
                <w:lang w:val="en-US" w:eastAsia="zh-CN"/>
              </w:rPr>
              <w:t>E2级</w:t>
            </w:r>
            <w:r>
              <w:rPr>
                <w:rFonts w:hint="eastAsia" w:ascii="宋体" w:hAnsi="宋体" w:eastAsia="宋体" w:cs="宋体"/>
                <w:color w:val="auto"/>
                <w:kern w:val="0"/>
                <w:sz w:val="21"/>
                <w:szCs w:val="21"/>
                <w:highlight w:val="none"/>
              </w:rPr>
              <w:t>。</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 基表</w:t>
            </w:r>
            <w:r>
              <w:rPr>
                <w:rFonts w:hint="eastAsia" w:ascii="宋体" w:hAnsi="宋体" w:eastAsia="宋体" w:cs="宋体"/>
                <w:color w:val="auto"/>
                <w:kern w:val="0"/>
                <w:sz w:val="21"/>
                <w:szCs w:val="21"/>
                <w:highlight w:val="none"/>
              </w:rPr>
              <w:t>：</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1 </w:t>
            </w:r>
            <w:r>
              <w:rPr>
                <w:rFonts w:hint="eastAsia" w:ascii="宋体" w:hAnsi="宋体" w:eastAsia="宋体" w:cs="宋体"/>
                <w:color w:val="auto"/>
                <w:kern w:val="0"/>
                <w:sz w:val="21"/>
                <w:szCs w:val="21"/>
                <w:highlight w:val="none"/>
              </w:rPr>
              <w:t>压力等级：</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MAP10。</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2 </w:t>
            </w:r>
            <w:r>
              <w:rPr>
                <w:rFonts w:hint="eastAsia" w:ascii="宋体" w:hAnsi="宋体" w:eastAsia="宋体" w:cs="宋体"/>
                <w:b w:val="0"/>
                <w:bCs w:val="0"/>
                <w:color w:val="auto"/>
                <w:kern w:val="0"/>
                <w:sz w:val="21"/>
                <w:szCs w:val="21"/>
                <w:highlight w:val="none"/>
              </w:rPr>
              <w:t>水表准确度等级：2级。</w:t>
            </w:r>
          </w:p>
          <w:p>
            <w:pPr>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sz w:val="21"/>
                <w:szCs w:val="21"/>
                <w:highlight w:val="none"/>
              </w:rPr>
              <w:t>超声波原理计量，结构形式为管道式多声道超声波水表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声道数量不少于2个声道</w:t>
            </w:r>
            <w:r>
              <w:rPr>
                <w:rFonts w:hint="eastAsia" w:ascii="宋体" w:hAnsi="宋体" w:eastAsia="宋体" w:cs="宋体"/>
                <w:color w:val="auto"/>
                <w:sz w:val="21"/>
                <w:szCs w:val="21"/>
                <w:highlight w:val="none"/>
                <w:lang w:eastAsia="zh-CN"/>
              </w:rPr>
              <w:t>。</w:t>
            </w:r>
          </w:p>
          <w:p>
            <w:pPr>
              <w:pStyle w:val="210"/>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4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61"/>
              <w:gridCol w:w="899"/>
              <w:gridCol w:w="1079"/>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87"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w:t>
                  </w:r>
                </w:p>
              </w:tc>
              <w:tc>
                <w:tcPr>
                  <w:tcW w:w="661"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公称口径</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DN(mm)</w:t>
                  </w:r>
                </w:p>
              </w:tc>
              <w:tc>
                <w:tcPr>
                  <w:tcW w:w="899"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Q3（m³/h）</w:t>
                  </w:r>
                </w:p>
              </w:tc>
              <w:tc>
                <w:tcPr>
                  <w:tcW w:w="1079"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常用流量/最小流量</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Q3/Q1</w:t>
                  </w:r>
                </w:p>
              </w:tc>
              <w:tc>
                <w:tcPr>
                  <w:tcW w:w="1071"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分界流量/最小流量Q2/Q1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超声波水表（缩径）</w:t>
                  </w: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超声波水表（通径）</w:t>
                  </w: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8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89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10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7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bl>
          <w:p>
            <w:pPr>
              <w:pStyle w:val="210"/>
              <w:keepNext w:val="0"/>
              <w:keepLines w:val="0"/>
              <w:pageBreakBefore w:val="0"/>
              <w:kinsoku/>
              <w:wordWrap/>
              <w:topLinePunct w:val="0"/>
              <w:bidi w:val="0"/>
              <w:adjustRightInd w:val="0"/>
              <w:snapToGrid w:val="0"/>
              <w:spacing w:beforeAutospacing="0" w:line="360" w:lineRule="auto"/>
              <w:ind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5 </w:t>
            </w:r>
            <w:r>
              <w:rPr>
                <w:rFonts w:hint="eastAsia" w:ascii="宋体" w:hAnsi="宋体" w:eastAsia="宋体" w:cs="宋体"/>
                <w:color w:val="auto"/>
                <w:kern w:val="0"/>
                <w:sz w:val="21"/>
                <w:szCs w:val="21"/>
                <w:highlight w:val="none"/>
              </w:rPr>
              <w:t>与饮用水接触的水表设备和防护材料不得污染水质，须符合《生活饮用水输配水设备及防护材料卫生安全评价标准》的卫生安全要求。</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★2.2.6 水表应印有“东莞水务集团供水公司L0G0+客服热线96968”字样</w:t>
            </w:r>
            <w:r>
              <w:rPr>
                <w:rFonts w:hint="eastAsia" w:ascii="宋体" w:hAnsi="宋体" w:eastAsia="宋体" w:cs="宋体"/>
                <w:color w:val="auto"/>
                <w:kern w:val="2"/>
                <w:sz w:val="21"/>
                <w:szCs w:val="21"/>
                <w:highlight w:val="none"/>
                <w:lang w:val="en-US" w:eastAsia="zh-CN"/>
              </w:rPr>
              <w:t>（具体样式中标后由招标人提供）</w:t>
            </w:r>
            <w:r>
              <w:rPr>
                <w:rFonts w:hint="eastAsia" w:ascii="宋体" w:hAnsi="宋体" w:eastAsia="宋体" w:cs="宋体"/>
                <w:color w:val="auto"/>
                <w:kern w:val="0"/>
                <w:sz w:val="21"/>
                <w:szCs w:val="21"/>
                <w:highlight w:val="none"/>
                <w:lang w:val="en-US" w:eastAsia="zh-CN"/>
              </w:rPr>
              <w:t>，其中印刷费计入投标报价。</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水表外壳、指示装置或铭牌、不可分离的表盖上，应集中或分散标明计量参数、流向箭头、公称口径、制造年月和编号等信息。</w:t>
            </w:r>
          </w:p>
          <w:p>
            <w:pPr>
              <w:pStyle w:val="210"/>
              <w:keepNext w:val="0"/>
              <w:keepLines w:val="0"/>
              <w:pageBreakBefore w:val="0"/>
              <w:kinsoku/>
              <w:wordWrap/>
              <w:topLinePunct w:val="0"/>
              <w:bidi w:val="0"/>
              <w:adjustRightInd w:val="0"/>
              <w:snapToGrid w:val="0"/>
              <w:spacing w:beforeAutospacing="0" w:line="360" w:lineRule="auto"/>
              <w:ind w:right="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7 </w:t>
            </w:r>
            <w:r>
              <w:rPr>
                <w:rFonts w:hint="eastAsia" w:ascii="宋体" w:hAnsi="宋体" w:eastAsia="宋体" w:cs="宋体"/>
                <w:color w:val="auto"/>
                <w:kern w:val="0"/>
                <w:sz w:val="21"/>
                <w:szCs w:val="21"/>
                <w:highlight w:val="none"/>
              </w:rPr>
              <w:t>尺寸要求：</w:t>
            </w:r>
          </w:p>
          <w:tbl>
            <w:tblPr>
              <w:tblStyle w:val="39"/>
              <w:tblW w:w="45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273"/>
              <w:gridCol w:w="675"/>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8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w:t>
                  </w:r>
                </w:p>
              </w:tc>
              <w:tc>
                <w:tcPr>
                  <w:tcW w:w="1201"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公称口径</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DN(mm)</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长度(mm)</w:t>
                  </w:r>
                </w:p>
              </w:tc>
              <w:tc>
                <w:tcPr>
                  <w:tcW w:w="117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法兰连接</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螺栓孔数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w:t>
                  </w:r>
                </w:p>
              </w:tc>
              <w:tc>
                <w:tcPr>
                  <w:tcW w:w="1201"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117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1"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17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1"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117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1"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117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1"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117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9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01"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63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17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r>
          </w:tbl>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环境等级：</w:t>
            </w:r>
            <w:r>
              <w:rPr>
                <w:rFonts w:hint="eastAsia" w:ascii="宋体" w:hAnsi="宋体" w:eastAsia="宋体" w:cs="宋体"/>
                <w:color w:val="auto"/>
                <w:kern w:val="0"/>
                <w:sz w:val="21"/>
                <w:szCs w:val="21"/>
                <w:highlight w:val="none"/>
                <w:lang w:val="en-US" w:eastAsia="zh-CN"/>
              </w:rPr>
              <w:t>C级或</w:t>
            </w:r>
            <w:r>
              <w:rPr>
                <w:rFonts w:hint="eastAsia" w:ascii="宋体" w:hAnsi="宋体" w:eastAsia="宋体" w:cs="宋体"/>
                <w:color w:val="auto"/>
                <w:kern w:val="0"/>
                <w:sz w:val="21"/>
                <w:szCs w:val="21"/>
                <w:highlight w:val="none"/>
              </w:rPr>
              <w:t>O级（安装在室外的固定水表）。</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9 </w:t>
            </w:r>
            <w:r>
              <w:rPr>
                <w:rFonts w:hint="eastAsia" w:ascii="宋体" w:hAnsi="宋体" w:eastAsia="宋体" w:cs="宋体"/>
                <w:color w:val="auto"/>
                <w:sz w:val="21"/>
                <w:szCs w:val="21"/>
                <w:highlight w:val="none"/>
              </w:rPr>
              <w:t>采用法兰连接，连接件必须符合建设部CJ266-2008承压件尺寸和重量要求。</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2.2.10 </w:t>
            </w:r>
            <w:r>
              <w:rPr>
                <w:rFonts w:hint="eastAsia" w:ascii="宋体" w:hAnsi="宋体" w:eastAsia="宋体" w:cs="宋体"/>
                <w:color w:val="auto"/>
                <w:kern w:val="0"/>
                <w:sz w:val="21"/>
                <w:szCs w:val="21"/>
                <w:highlight w:val="none"/>
              </w:rPr>
              <w:t>表体材质为不锈钢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lang w:val="en-US" w:eastAsia="zh-CN"/>
              </w:rPr>
              <w:t>不低于304不锈钢</w:t>
            </w:r>
            <w:r>
              <w:rPr>
                <w:rFonts w:hint="eastAsia" w:ascii="宋体" w:hAnsi="宋体" w:eastAsia="宋体" w:cs="宋体"/>
                <w:color w:val="auto"/>
                <w:kern w:val="0"/>
                <w:sz w:val="21"/>
                <w:szCs w:val="21"/>
                <w:highlight w:val="none"/>
                <w:lang w:eastAsia="zh-CN"/>
              </w:rPr>
              <w:t>）。</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2.2.11 </w:t>
            </w:r>
            <w:r>
              <w:rPr>
                <w:rFonts w:hint="eastAsia" w:ascii="宋体" w:hAnsi="宋体" w:eastAsia="宋体" w:cs="宋体"/>
                <w:color w:val="auto"/>
                <w:sz w:val="21"/>
                <w:szCs w:val="21"/>
                <w:highlight w:val="none"/>
              </w:rPr>
              <w:t>支持正反向测量，可显示正反向瞬时和累计流量，以及计量异常等报警代码。需具有报警功能（电池低压报警、更换电池报警、空管报警）。</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2.2.12 </w:t>
            </w:r>
            <w:r>
              <w:rPr>
                <w:rFonts w:hint="eastAsia" w:ascii="宋体" w:hAnsi="宋体" w:eastAsia="宋体" w:cs="宋体"/>
                <w:color w:val="auto"/>
                <w:kern w:val="0"/>
                <w:sz w:val="21"/>
                <w:szCs w:val="21"/>
                <w:highlight w:val="none"/>
              </w:rPr>
              <w:t>累计流量数显至少9位，主界面应可显示：正向累计流量、正向瞬时流量、反向累计流量、反向瞬时流量、电池电量低信号提示或电池使用时间（单位：小时）提示、报警显示等。其中主界面可同屏或翻屏显示正向累计流量、正向瞬时流量和异常提示信息（包括电池电压、更换电池报警、空管报警等），其余数据可在次级菜单显示。</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2.2.13 </w:t>
            </w:r>
            <w:r>
              <w:rPr>
                <w:rFonts w:hint="eastAsia" w:ascii="宋体" w:hAnsi="宋体" w:eastAsia="宋体" w:cs="宋体"/>
                <w:color w:val="auto"/>
                <w:sz w:val="21"/>
                <w:szCs w:val="21"/>
                <w:highlight w:val="none"/>
              </w:rPr>
              <w:t>内置锂电池，无须外部供电，锂电池</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寿命至少为</w:t>
            </w:r>
            <w:r>
              <w:rPr>
                <w:rFonts w:hint="eastAsia" w:ascii="宋体" w:hAnsi="宋体" w:eastAsia="宋体" w:cs="宋体"/>
                <w:color w:val="auto"/>
                <w:sz w:val="21"/>
                <w:szCs w:val="21"/>
                <w:highlight w:val="none"/>
                <w:lang w:val="en-US" w:eastAsia="zh-CN"/>
              </w:rPr>
              <w:t>6年，且</w:t>
            </w:r>
            <w:r>
              <w:rPr>
                <w:rFonts w:hint="eastAsia" w:ascii="宋体" w:hAnsi="宋体" w:eastAsia="宋体" w:cs="宋体"/>
                <w:color w:val="auto"/>
                <w:sz w:val="21"/>
                <w:szCs w:val="21"/>
                <w:highlight w:val="none"/>
              </w:rPr>
              <w:t>必须采取安全保护措施，保证电池不发生爆炸或自燃。</w:t>
            </w:r>
          </w:p>
          <w:p>
            <w:pPr>
              <w:keepNext w:val="0"/>
              <w:keepLines w:val="0"/>
              <w:pageBreakBefore w:val="0"/>
              <w:widowControl/>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2.2.14 </w:t>
            </w:r>
            <w:r>
              <w:rPr>
                <w:rFonts w:hint="eastAsia" w:ascii="宋体" w:hAnsi="宋体" w:eastAsia="宋体" w:cs="宋体"/>
                <w:color w:val="auto"/>
                <w:sz w:val="21"/>
                <w:szCs w:val="21"/>
                <w:highlight w:val="none"/>
              </w:rPr>
              <w:t>声道探头（换能器）具备抗积垢能力。</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2.2.15 </w:t>
            </w:r>
            <w:r>
              <w:rPr>
                <w:rFonts w:hint="eastAsia" w:ascii="宋体" w:hAnsi="宋体" w:eastAsia="宋体" w:cs="宋体"/>
                <w:color w:val="auto"/>
                <w:sz w:val="21"/>
                <w:szCs w:val="21"/>
                <w:highlight w:val="none"/>
              </w:rPr>
              <w:t>数据通讯接口RS485（mod-bus协议）。</w:t>
            </w:r>
          </w:p>
          <w:p>
            <w:pPr>
              <w:keepNext w:val="0"/>
              <w:keepLines w:val="0"/>
              <w:pageBreakBefore w:val="0"/>
              <w:widowControl/>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xml:space="preserve">2.2.16 </w:t>
            </w:r>
            <w:r>
              <w:rPr>
                <w:rFonts w:hint="eastAsia" w:ascii="宋体" w:hAnsi="宋体" w:eastAsia="宋体" w:cs="宋体"/>
                <w:color w:val="auto"/>
                <w:sz w:val="21"/>
                <w:szCs w:val="21"/>
                <w:highlight w:val="none"/>
              </w:rPr>
              <w:t>防盗、防破解功能：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（1）投标人提供的设备必须具有严密的外观设计，保证设备不能被轻易拆解，装有铅封等显示被拆解破坏的标识；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（2）投标人应保证设备所测量和存储的数据不能被破解修改；投标人不得将对设备进行调试的后台密码告知任何人员（包括招标人人员）；</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（3）基表声道所在的封盖部位，作一次性封死，不能拆除。如遇暴力拆解，则在水表主界面显示报警标识。</w:t>
            </w:r>
          </w:p>
          <w:p>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420" w:firstLineChars="200"/>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★2.2.17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b w:val="0"/>
                <w:bCs w:val="0"/>
                <w:color w:val="auto"/>
                <w:sz w:val="21"/>
                <w:szCs w:val="21"/>
                <w:highlight w:val="none"/>
                <w:lang w:val="en-US" w:eastAsia="zh-CN"/>
              </w:rPr>
              <w:t>。</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kern w:val="0"/>
                <w:sz w:val="21"/>
                <w:szCs w:val="21"/>
                <w:highlight w:val="none"/>
              </w:rPr>
              <w:t>远传模块要求：</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远传模块</w:t>
            </w:r>
            <w:r>
              <w:rPr>
                <w:rFonts w:hint="eastAsia" w:ascii="宋体" w:hAnsi="宋体" w:eastAsia="宋体" w:cs="宋体"/>
                <w:color w:val="auto"/>
                <w:kern w:val="0"/>
                <w:sz w:val="21"/>
                <w:szCs w:val="21"/>
                <w:highlight w:val="none"/>
                <w:lang w:val="en-US" w:eastAsia="zh-CN"/>
              </w:rPr>
              <w:t>可拆卸</w:t>
            </w:r>
            <w:r>
              <w:rPr>
                <w:rFonts w:hint="eastAsia" w:ascii="宋体" w:hAnsi="宋体" w:eastAsia="宋体" w:cs="宋体"/>
                <w:color w:val="auto"/>
                <w:kern w:val="0"/>
                <w:sz w:val="21"/>
                <w:szCs w:val="21"/>
                <w:highlight w:val="none"/>
              </w:rPr>
              <w:t>，直接安装在水表上，要求安装牢固可靠，</w:t>
            </w:r>
            <w:r>
              <w:rPr>
                <w:rFonts w:hint="eastAsia" w:ascii="宋体" w:hAnsi="宋体" w:eastAsia="宋体" w:cs="宋体"/>
                <w:color w:val="auto"/>
                <w:sz w:val="21"/>
                <w:szCs w:val="21"/>
                <w:highlight w:val="none"/>
              </w:rPr>
              <w:t>远传模块</w:t>
            </w:r>
            <w:r>
              <w:rPr>
                <w:rFonts w:hint="eastAsia" w:ascii="宋体" w:hAnsi="宋体" w:eastAsia="宋体" w:cs="宋体"/>
                <w:color w:val="auto"/>
                <w:sz w:val="21"/>
                <w:szCs w:val="21"/>
                <w:highlight w:val="none"/>
                <w:lang w:val="en-US" w:eastAsia="zh-CN"/>
              </w:rPr>
              <w:t>与基表</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rPr>
              <w:t>结合应无妨碍检定和读数的缺陷，拆除远传模块应不影响水表固有的计量性能。</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通讯</w:t>
            </w:r>
            <w:r>
              <w:rPr>
                <w:rFonts w:hint="eastAsia" w:ascii="宋体" w:hAnsi="宋体" w:eastAsia="宋体" w:cs="宋体"/>
                <w:color w:val="auto"/>
                <w:kern w:val="0"/>
                <w:sz w:val="21"/>
                <w:szCs w:val="21"/>
                <w:highlight w:val="none"/>
              </w:rPr>
              <w:t>电池：锂电池，在上报频次为2次/日时，保证可连续使用≥</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年，且必须采取安全保护措施，保证电池不发生爆炸或自燃，</w:t>
            </w:r>
            <w:r>
              <w:rPr>
                <w:rFonts w:hint="eastAsia" w:ascii="宋体" w:hAnsi="宋体" w:eastAsia="宋体" w:cs="宋体"/>
                <w:color w:val="auto"/>
                <w:sz w:val="21"/>
                <w:szCs w:val="21"/>
                <w:highlight w:val="none"/>
              </w:rPr>
              <w:t>使用寿命未达到</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年的，由供商应负责免费更换电池。</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数据存储：采集周期为15分钟/次时，可存储数据≥30天，当存储介质存满时，新采集的数据自动覆盖最早数据。</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 ，抄读准确率≥99%</w:t>
            </w:r>
            <w:r>
              <w:rPr>
                <w:rFonts w:hint="eastAsia" w:ascii="宋体" w:hAnsi="宋体" w:eastAsia="宋体" w:cs="宋体"/>
                <w:b/>
                <w:bCs/>
                <w:color w:val="auto"/>
                <w:kern w:val="0"/>
                <w:sz w:val="21"/>
                <w:szCs w:val="21"/>
                <w:highlight w:val="none"/>
              </w:rPr>
              <w:t>（投标人提供相关水表用户使用情况及证明材料）</w:t>
            </w:r>
            <w:r>
              <w:rPr>
                <w:rFonts w:hint="eastAsia" w:ascii="宋体" w:hAnsi="宋体" w:eastAsia="宋体" w:cs="宋体"/>
                <w:color w:val="auto"/>
                <w:kern w:val="0"/>
                <w:sz w:val="21"/>
                <w:szCs w:val="21"/>
                <w:highlight w:val="none"/>
              </w:rPr>
              <w:t>。</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6 </w:t>
            </w:r>
            <w:r>
              <w:rPr>
                <w:rFonts w:hint="eastAsia" w:ascii="宋体" w:hAnsi="宋体" w:eastAsia="宋体" w:cs="宋体"/>
                <w:color w:val="auto"/>
                <w:kern w:val="0"/>
                <w:sz w:val="21"/>
                <w:szCs w:val="21"/>
                <w:highlight w:val="none"/>
              </w:rPr>
              <w:t>远程模块</w:t>
            </w:r>
            <w:r>
              <w:rPr>
                <w:rFonts w:hint="eastAsia" w:ascii="宋体" w:hAnsi="宋体" w:eastAsia="宋体" w:cs="宋体"/>
                <w:color w:val="auto"/>
                <w:sz w:val="21"/>
                <w:szCs w:val="21"/>
                <w:highlight w:val="none"/>
              </w:rPr>
              <w:t>须印有统一的识别标识及设备编号，</w:t>
            </w:r>
            <w:r>
              <w:rPr>
                <w:rFonts w:hint="eastAsia" w:ascii="宋体" w:hAnsi="宋体" w:eastAsia="宋体" w:cs="宋体"/>
                <w:color w:val="auto"/>
                <w:kern w:val="0"/>
                <w:sz w:val="21"/>
                <w:szCs w:val="21"/>
                <w:highlight w:val="none"/>
              </w:rPr>
              <w:t>其组件、外壳和连接线材应采用阻燃材质。</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7 </w:t>
            </w:r>
            <w:r>
              <w:rPr>
                <w:rFonts w:hint="eastAsia" w:ascii="宋体" w:hAnsi="宋体" w:eastAsia="宋体" w:cs="宋体"/>
                <w:b w:val="0"/>
                <w:bCs w:val="0"/>
                <w:color w:val="auto"/>
                <w:kern w:val="0"/>
                <w:sz w:val="21"/>
                <w:szCs w:val="21"/>
                <w:highlight w:val="none"/>
              </w:rPr>
              <w:t>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0"/>
                <w:sz w:val="21"/>
                <w:szCs w:val="21"/>
                <w:highlight w:val="none"/>
              </w:rPr>
              <w:t>（需提供产品说明书和相关承诺文件）</w:t>
            </w:r>
            <w:r>
              <w:rPr>
                <w:rFonts w:hint="eastAsia" w:ascii="宋体" w:hAnsi="宋体" w:eastAsia="宋体" w:cs="宋体"/>
                <w:b w:val="0"/>
                <w:bCs w:val="0"/>
                <w:color w:val="auto"/>
                <w:kern w:val="0"/>
                <w:sz w:val="21"/>
                <w:szCs w:val="21"/>
                <w:highlight w:val="none"/>
              </w:rPr>
              <w:t>。</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若处于NB-IOT信号接收不利点，投标人应采取措施，例如与运营商协调网络优化、转用4G移动通讯网络等方法，提升网络性能质量，确保数据传输成功率达到要求。采取措施所发生的所有费用，由投标人负责。</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远传参数设置：可通过有线连接、手机蓝牙连接或近端手持终端设备进行参数设置和远传设备调试。</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10 </w:t>
            </w:r>
            <w:r>
              <w:rPr>
                <w:rFonts w:hint="eastAsia" w:ascii="宋体" w:hAnsi="宋体" w:eastAsia="宋体" w:cs="宋体"/>
                <w:b w:val="0"/>
                <w:bCs w:val="0"/>
                <w:color w:val="auto"/>
                <w:kern w:val="0"/>
                <w:sz w:val="21"/>
                <w:szCs w:val="21"/>
                <w:highlight w:val="none"/>
              </w:rPr>
              <w:t>远传模块的通讯协议需符合招标人物联网终端传输规约的有关要求</w:t>
            </w:r>
            <w:r>
              <w:rPr>
                <w:rFonts w:hint="eastAsia" w:ascii="宋体" w:hAnsi="宋体" w:eastAsia="宋体" w:cs="宋体"/>
                <w:b/>
                <w:bCs/>
                <w:color w:val="auto"/>
                <w:kern w:val="0"/>
                <w:sz w:val="21"/>
                <w:szCs w:val="21"/>
                <w:highlight w:val="none"/>
              </w:rPr>
              <w:t>（需提供相关承诺文件）</w:t>
            </w:r>
            <w:r>
              <w:rPr>
                <w:rFonts w:hint="eastAsia" w:ascii="宋体" w:hAnsi="宋体" w:eastAsia="宋体" w:cs="宋体"/>
                <w:b w:val="0"/>
                <w:bCs w:val="0"/>
                <w:color w:val="auto"/>
                <w:kern w:val="0"/>
                <w:sz w:val="21"/>
                <w:szCs w:val="21"/>
                <w:highlight w:val="none"/>
              </w:rPr>
              <w:t>。</w:t>
            </w:r>
          </w:p>
          <w:p>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11 </w:t>
            </w:r>
            <w:r>
              <w:rPr>
                <w:rFonts w:hint="eastAsia" w:ascii="宋体" w:hAnsi="宋体" w:eastAsia="宋体" w:cs="宋体"/>
                <w:b w:val="0"/>
                <w:bCs w:val="0"/>
                <w:color w:val="auto"/>
                <w:kern w:val="0"/>
                <w:sz w:val="21"/>
                <w:szCs w:val="21"/>
                <w:highlight w:val="none"/>
              </w:rPr>
              <w:t>平台对接：所有数据按招标人要求无缝融合到招标人</w:t>
            </w:r>
            <w:r>
              <w:rPr>
                <w:rFonts w:hint="eastAsia" w:ascii="宋体" w:hAnsi="宋体" w:eastAsia="宋体" w:cs="宋体"/>
                <w:b w:val="0"/>
                <w:bCs w:val="0"/>
                <w:color w:val="auto"/>
                <w:kern w:val="0"/>
                <w:sz w:val="21"/>
                <w:szCs w:val="21"/>
                <w:highlight w:val="none"/>
                <w:lang w:val="en-US" w:eastAsia="zh-CN"/>
              </w:rPr>
              <w:t>智能水表</w:t>
            </w:r>
            <w:r>
              <w:rPr>
                <w:rFonts w:hint="eastAsia" w:ascii="宋体" w:hAnsi="宋体" w:eastAsia="宋体" w:cs="宋体"/>
                <w:b w:val="0"/>
                <w:bCs w:val="0"/>
                <w:color w:val="auto"/>
                <w:kern w:val="0"/>
                <w:sz w:val="21"/>
                <w:szCs w:val="21"/>
                <w:highlight w:val="none"/>
              </w:rPr>
              <w:t>管理系统，</w:t>
            </w:r>
            <w:r>
              <w:rPr>
                <w:rFonts w:hint="eastAsia" w:ascii="宋体" w:hAnsi="宋体" w:eastAsia="宋体" w:cs="宋体"/>
                <w:b w:val="0"/>
                <w:bCs w:val="0"/>
                <w:color w:val="auto"/>
                <w:kern w:val="0"/>
                <w:sz w:val="21"/>
                <w:szCs w:val="21"/>
                <w:highlight w:val="none"/>
                <w:lang w:val="en-US" w:eastAsia="zh-CN"/>
              </w:rPr>
              <w:t>中标人需</w:t>
            </w:r>
            <w:r>
              <w:rPr>
                <w:rFonts w:hint="eastAsia" w:ascii="宋体" w:hAnsi="宋体" w:eastAsia="宋体" w:cs="宋体"/>
                <w:b w:val="0"/>
                <w:bCs w:val="0"/>
                <w:color w:val="auto"/>
                <w:kern w:val="0"/>
                <w:sz w:val="21"/>
                <w:szCs w:val="21"/>
                <w:highlight w:val="none"/>
              </w:rPr>
              <w:t>无偿</w:t>
            </w:r>
            <w:r>
              <w:rPr>
                <w:rFonts w:hint="eastAsia" w:ascii="宋体" w:hAnsi="宋体" w:eastAsia="宋体" w:cs="宋体"/>
                <w:b w:val="0"/>
                <w:bCs w:val="0"/>
                <w:color w:val="auto"/>
                <w:kern w:val="0"/>
                <w:sz w:val="21"/>
                <w:szCs w:val="21"/>
                <w:highlight w:val="none"/>
                <w:lang w:val="en-US" w:eastAsia="zh-CN"/>
              </w:rPr>
              <w:t>配合远传水表的</w:t>
            </w:r>
            <w:r>
              <w:rPr>
                <w:rFonts w:hint="eastAsia" w:ascii="宋体" w:hAnsi="宋体" w:eastAsia="宋体" w:cs="宋体"/>
                <w:b w:val="0"/>
                <w:bCs w:val="0"/>
                <w:color w:val="auto"/>
                <w:kern w:val="0"/>
                <w:sz w:val="21"/>
                <w:szCs w:val="21"/>
                <w:highlight w:val="none"/>
              </w:rPr>
              <w:t>接入工作</w:t>
            </w:r>
            <w:r>
              <w:rPr>
                <w:rFonts w:hint="eastAsia" w:ascii="宋体" w:hAnsi="宋体" w:eastAsia="宋体" w:cs="宋体"/>
                <w:b/>
                <w:bCs/>
                <w:color w:val="auto"/>
                <w:kern w:val="0"/>
                <w:sz w:val="21"/>
                <w:szCs w:val="21"/>
                <w:highlight w:val="none"/>
              </w:rPr>
              <w:t>（需提供可无缝接入中标人所指定的系统管理平台的承诺函）</w:t>
            </w:r>
            <w:r>
              <w:rPr>
                <w:rFonts w:hint="eastAsia" w:ascii="宋体" w:hAnsi="宋体" w:eastAsia="宋体" w:cs="宋体"/>
                <w:b w:val="0"/>
                <w:bCs w:val="0"/>
                <w:color w:val="auto"/>
                <w:kern w:val="0"/>
                <w:sz w:val="21"/>
                <w:szCs w:val="21"/>
                <w:highlight w:val="none"/>
              </w:rPr>
              <w:t>。</w:t>
            </w:r>
          </w:p>
          <w:p>
            <w:pPr>
              <w:pStyle w:val="210"/>
              <w:keepNext w:val="0"/>
              <w:keepLines w:val="0"/>
              <w:pageBreakBefore w:val="0"/>
              <w:kinsoku/>
              <w:wordWrap/>
              <w:overflowPunct/>
              <w:topLinePunct w:val="0"/>
              <w:bidi w:val="0"/>
              <w:adjustRightInd w:val="0"/>
              <w:snapToGrid w:val="0"/>
              <w:spacing w:beforeAutospacing="0" w:line="360" w:lineRule="auto"/>
              <w:ind w:right="0" w:firstLine="360" w:firstLineChars="200"/>
              <w:textAlignment w:val="auto"/>
              <w:rPr>
                <w:rFonts w:ascii="宋体" w:hAnsi="宋体" w:eastAsia="宋体"/>
                <w:b w:val="0"/>
                <w:bCs/>
                <w:color w:val="auto"/>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三</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物联网终端传输规约要求</w:t>
            </w:r>
          </w:p>
        </w:tc>
        <w:tc>
          <w:tcPr>
            <w:tcW w:w="2927" w:type="pct"/>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三、</w:t>
            </w:r>
            <w:r>
              <w:rPr>
                <w:rFonts w:hint="eastAsia" w:ascii="宋体" w:hAnsi="宋体" w:eastAsia="宋体" w:cs="宋体"/>
                <w:b/>
                <w:bCs/>
                <w:color w:val="auto"/>
                <w:kern w:val="2"/>
                <w:sz w:val="21"/>
                <w:szCs w:val="21"/>
                <w:highlight w:val="none"/>
                <w:lang w:val="zh-CN"/>
              </w:rPr>
              <w:t>物联网终端传输规约要求</w:t>
            </w:r>
          </w:p>
          <w:p>
            <w:pPr>
              <w:pStyle w:val="12"/>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投标人的投标产品需符合招标人物联网终端传输规约要求，包括但不限于以下协议框架、应用数据结构等，其他相关要求可于中标后咨询招标人。</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lang w:eastAsia="zh-CN"/>
              </w:rPr>
              <w:t>协议框架</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3.1.1 </w:t>
            </w:r>
            <w:r>
              <w:rPr>
                <w:rFonts w:hint="eastAsia" w:ascii="宋体" w:hAnsi="宋体" w:eastAsia="宋体" w:cs="宋体"/>
                <w:color w:val="auto"/>
                <w:sz w:val="21"/>
                <w:szCs w:val="21"/>
                <w:highlight w:val="none"/>
                <w:lang w:eastAsia="zh-CN"/>
              </w:rPr>
              <w:t>上行框架</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上行框架规定了所有从设备端发往平台端的数据帧的基础格式，结构如下：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696"/>
              <w:gridCol w:w="658"/>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帧起始符（68H）</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帧长度</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从帧起始符（68H）至帧结束符（16H）之间的字节总数，不含68H和16H。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帧标识</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是否加密1bit、是否分帧2bit、帧序号4bit、是否包含运行参数段1bit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协议版本 </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主版本4bit、子版本4bit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表码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帧确认符（68H）</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运行参数段</w:t>
                  </w: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设备标识</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包含设备工作模式（1Bit）、设备类型（7Bit）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设备电压</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接收功率</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信噪比</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覆盖等级</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小区ID</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IMEI标识</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9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SIM标识</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指令MID</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指令标识，高字节在前，发起方生成，接收方原码返回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功能数据段</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变长</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由功能码决定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帧校验</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137"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帧结束符（16H）</w:t>
                  </w:r>
                </w:p>
              </w:tc>
              <w:tc>
                <w:tcPr>
                  <w:tcW w:w="65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84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3.1.2 </w:t>
            </w:r>
            <w:r>
              <w:rPr>
                <w:rFonts w:hint="eastAsia" w:ascii="宋体" w:hAnsi="宋体" w:eastAsia="宋体" w:cs="宋体"/>
                <w:color w:val="auto"/>
                <w:sz w:val="21"/>
                <w:szCs w:val="21"/>
                <w:highlight w:val="none"/>
                <w:lang w:eastAsia="zh-CN"/>
              </w:rPr>
              <w:t>下行框架</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下行框架规定了所有从平台端发往设备端的数据帧的基础格式，结构如下：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579"/>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帧起始符（68H）</w:t>
                  </w:r>
                </w:p>
              </w:tc>
              <w:tc>
                <w:tcPr>
                  <w:tcW w:w="5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50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帧长度</w:t>
                  </w:r>
                </w:p>
              </w:tc>
              <w:tc>
                <w:tcPr>
                  <w:tcW w:w="5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250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从帧起始符（68H）开始至帧结束符（16H）之间的字节总数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帧标识</w:t>
                  </w:r>
                </w:p>
              </w:tc>
              <w:tc>
                <w:tcPr>
                  <w:tcW w:w="5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50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协议版本 </w:t>
                  </w:r>
                </w:p>
              </w:tc>
              <w:tc>
                <w:tcPr>
                  <w:tcW w:w="5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50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5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250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5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50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帧确认符（68H）</w:t>
                  </w:r>
                </w:p>
              </w:tc>
              <w:tc>
                <w:tcPr>
                  <w:tcW w:w="57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50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指令MID</w:t>
                  </w:r>
                </w:p>
              </w:tc>
              <w:tc>
                <w:tcPr>
                  <w:tcW w:w="57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250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指令标识，高字节在前，发起方生成，接收方原码返回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9"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功能数据段</w:t>
                  </w:r>
                </w:p>
              </w:tc>
              <w:tc>
                <w:tcPr>
                  <w:tcW w:w="579"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变长</w:t>
                  </w:r>
                </w:p>
              </w:tc>
              <w:tc>
                <w:tcPr>
                  <w:tcW w:w="2501"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由功能码决定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帧校验</w:t>
                  </w:r>
                </w:p>
              </w:tc>
              <w:tc>
                <w:tcPr>
                  <w:tcW w:w="5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50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8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帧结束符（16H）</w:t>
                  </w:r>
                </w:p>
              </w:tc>
              <w:tc>
                <w:tcPr>
                  <w:tcW w:w="57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250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 帧长度</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帧长度由2字节表示，高字节在前，低字节在后。帧长度包含从帧起始符（68H，不含）开始至帧结束符（16H，不含）之间的字节总数。</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 帧标识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帧标识由1个字节表示，各二进制位组织格式如下：</w:t>
            </w:r>
          </w:p>
          <w:tbl>
            <w:tblPr>
              <w:tblStyle w:val="40"/>
              <w:tblW w:w="5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运行参数段标志</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是否加密标志</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分帧标识1</w:t>
                  </w:r>
                </w:p>
              </w:tc>
              <w:tc>
                <w:tcPr>
                  <w:tcW w:w="6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分帧标识2</w:t>
                  </w:r>
                </w:p>
              </w:tc>
              <w:tc>
                <w:tcPr>
                  <w:tcW w:w="2720" w:type="dxa"/>
                  <w:gridSpan w:val="4"/>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帧流水号</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运行参数段标志：1表示该帧数据包含运行参数数据段，0表示不含运行参数数据段。运行参数段中包含设备信息和信号信息等，详见运行参数段章节。</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是否加密标志：1表示功能数据段已加密，0表示未加密。本协议规定使用AES-128/ECB/PKCS7Padding对数据进行加解密。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分帧标识：由2个位组成，当数据量较大需要拆分为多帧传输时，每一帧都必须包含完整的帧组织框架（即每一帧都必须能够被独立解析）。</w:t>
            </w:r>
          </w:p>
          <w:p>
            <w:pPr>
              <w:keepNext w:val="0"/>
              <w:keepLines w:val="0"/>
              <w:pageBreakBefore w:val="0"/>
              <w:kinsoku/>
              <w:wordWrap/>
              <w:overflowPunct/>
              <w:topLinePunct w:val="0"/>
              <w:bidi w:val="0"/>
              <w:adjustRightInd w:val="0"/>
              <w:snapToGrid w:val="0"/>
              <w:spacing w:beforeAutospacing="0"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分帧标识组合含义见下表：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46"/>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分帧标识1</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分帧标识2</w:t>
                  </w:r>
                </w:p>
              </w:tc>
              <w:tc>
                <w:tcPr>
                  <w:tcW w:w="286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286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传输分为多帧，当前为中间帧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6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传输分为多帧，当前为结束帧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286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传输分为多帧，当前为第1帧，还有后续帧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6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未分帧</w:t>
                  </w:r>
                </w:p>
              </w:tc>
            </w:tr>
          </w:tbl>
          <w:p>
            <w:pPr>
              <w:pStyle w:val="18"/>
              <w:keepNext w:val="0"/>
              <w:keepLines w:val="0"/>
              <w:pageBreakBefore w:val="0"/>
              <w:kinsoku/>
              <w:wordWrap/>
              <w:topLinePunct w:val="0"/>
              <w:bidi w:val="0"/>
              <w:adjustRightInd w:val="0"/>
              <w:snapToGrid w:val="0"/>
              <w:spacing w:beforeAutospacing="0" w:line="360" w:lineRule="auto"/>
              <w:ind w:left="420" w:leftChars="0" w:right="0" w:firstLine="420" w:firstLineChars="0"/>
              <w:rPr>
                <w:rFonts w:hint="eastAsia" w:ascii="宋体" w:hAnsi="宋体" w:eastAsia="宋体" w:cs="宋体"/>
                <w:b w:val="0"/>
                <w:bCs w:val="0"/>
                <w:color w:val="auto"/>
                <w:sz w:val="21"/>
                <w:szCs w:val="21"/>
                <w:highlight w:val="none"/>
                <w:lang w:val="en-US" w:eastAsia="zh-CN"/>
              </w:rPr>
            </w:pP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帧流水号：由4个位组成，取值0~15。用于标识数据帧通信流水号，终端每执行一次发送流水号加1，超过15后归0。</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注意：重发数据帧流水号也应该加1，数据帧应使用指令MID来进行标识。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 协议版本</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协议版本号用于兼容性识别，版本号由1个字节组成，其中高4位表示主版本号，低4位表示子版本号。</w:t>
            </w:r>
          </w:p>
          <w:p>
            <w:pPr>
              <w:pStyle w:val="18"/>
              <w:keepNext w:val="0"/>
              <w:keepLines w:val="0"/>
              <w:pageBreakBefore w:val="0"/>
              <w:kinsoku/>
              <w:wordWrap/>
              <w:topLinePunct w:val="0"/>
              <w:bidi w:val="0"/>
              <w:adjustRightInd w:val="0"/>
              <w:snapToGrid w:val="0"/>
              <w:spacing w:beforeAutospacing="0" w:line="360" w:lineRule="auto"/>
              <w:ind w:right="0" w:firstLine="425" w:firstLineChars="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必须正确上报该版本号信息，通信帧中版本号应使用该协议当前版本号。</w:t>
            </w:r>
          </w:p>
          <w:tbl>
            <w:tblPr>
              <w:tblStyle w:val="40"/>
              <w:tblW w:w="5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7"/>
              <w:gridCol w:w="717"/>
              <w:gridCol w:w="717"/>
              <w:gridCol w:w="717"/>
              <w:gridCol w:w="717"/>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7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868" w:type="dxa"/>
                  <w:gridSpan w:val="4"/>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主版本号</w:t>
                  </w:r>
                </w:p>
              </w:tc>
              <w:tc>
                <w:tcPr>
                  <w:tcW w:w="2868" w:type="dxa"/>
                  <w:gridSpan w:val="4"/>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子版本号</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在协议版本更新和修订时涉及到原数据结构调整的将更新主版本号，不影响原数据结构或不影响原主要指令的修订将更新子版本号。</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 设备地址</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设备地址由8字节的BCD码组成，设备地址规范如下图所示，不同类型设备需注意各部分代表不同含义。</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厂商代码（1字节BCD）+年份（1字节BCD）+6字节BCD</w:t>
            </w:r>
          </w:p>
          <w:p>
            <w:pPr>
              <w:pStyle w:val="18"/>
              <w:keepNext w:val="0"/>
              <w:keepLines w:val="0"/>
              <w:pageBreakBefore w:val="0"/>
              <w:kinsoku/>
              <w:wordWrap/>
              <w:topLinePunct w:val="0"/>
              <w:bidi w:val="0"/>
              <w:adjustRightInd w:val="0"/>
              <w:snapToGrid w:val="0"/>
              <w:spacing w:beforeAutospacing="0" w:line="360" w:lineRule="auto"/>
              <w:ind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3429635" cy="431165"/>
                  <wp:effectExtent l="0" t="0" r="18415"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
                          <a:srcRect t="31413"/>
                          <a:stretch>
                            <a:fillRect/>
                          </a:stretch>
                        </pic:blipFill>
                        <pic:spPr>
                          <a:xfrm>
                            <a:off x="0" y="0"/>
                            <a:ext cx="3429635" cy="431165"/>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◆设备为一体式水表（设备类型代码：1、2）：</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【2位厂商代码】：水表厂商代码，由信息部统一管理和分配；</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【2位年份】：水表出厂年份；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【12位厂家自编BCD码】：水表表码，与表身码、表头显示码一致；</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◆设备为分体式远传终端（采集智能水表）（设备类型代码：5）：</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【2位厂商代码】：远传终端厂商代码，由信息部统一管理和分配；</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【2位年份】：远传终端出厂年份；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◆其它远传设备：</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【2位厂商代码】：设备厂商代码，由信息部统一管理和分配；</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【2位年份】：设备出厂年份；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【12位厂家自编BCD码】：设备出厂编号；</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3.1.7 功能码</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功能码由1个字节组成，功能码决定数据段内容。部分功能码没有数据段。下表中的功能代码为十进制表示值。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451"/>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功能码用途</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保留</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主动上报数据指令</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数据查询指令</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告警上报指令</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设置终端时钟</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设置历史数据存盘间隔</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设置主动上报参数</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设置数据中心地址</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设置终端工作模式</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设置终端地址</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设置加密标志</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查询历史数据存盘间隔</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查询主动上报参数</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3451"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查询数据中心地址</w:t>
                  </w:r>
                </w:p>
              </w:tc>
              <w:tc>
                <w:tcPr>
                  <w:tcW w:w="117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3.1.8 运行参数段</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运行参数段用于传输设备当前工作参数数据，包括电压、信号等数据。运行参数段是一个可选数据段，是否包含运行参数段由帧标识字节中的最高位进行标识。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在分帧传输时首帧必须包含运行参数段，后续帧可以不包含运行参数段。</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运行参数段中，设备不具备条件的参数信息使用0填充。</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设备标识由1个字节组成，其中最高位表示设备工作模式，低7位表示设备类型。</w:t>
            </w:r>
          </w:p>
          <w:tbl>
            <w:tblPr>
              <w:tblStyle w:val="40"/>
              <w:tblW w:w="4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17"/>
              <w:gridCol w:w="617"/>
              <w:gridCol w:w="617"/>
              <w:gridCol w:w="617"/>
              <w:gridCol w:w="617"/>
              <w:gridCol w:w="617"/>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4319" w:type="dxa"/>
                  <w:gridSpan w:val="7"/>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设备类型代码</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工作模式：0表示设备处于休眠工作模式，1表示设备处于长期在线待命状态。</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设备类型代码：表示设备种类代码，代码表见附录A。</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（2）设备电压</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2字节组成，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示例： 02H E8H = 744 * 0.01 =7.44V</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（3）信号强度</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信号强度（CSQ）由1字节组成。</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（4）接收功率</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信号接收功率（RSRP）由2字节组成，高字节在前，低字节在后。</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（5）信噪比</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信噪比（SNR）由2字节组成，高字节在前，低字节在后。</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（6）覆盖等级</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覆盖等级（ECL）由1字节组成。</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（7）小区ID</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小区ID（PCI）由4字节组成，高字节在前，低字节在后。</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（8）IMEI标识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IMEI标识由8字节BCD组成。</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（9）SIM标识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SIM标识由10字节BCD组成，即ICCID。</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3.1.9 指令MID</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指令MID用于识别指令任务，该值由发起方生成，接收方原码返回。指令重发MID不变。功能码01数据帧MID保持为0。</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3.1.10 功能数据段</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整体协议框架中规定功能数据段为可变数据格式，数据格式和长度由功能码决定。详见第5章功能</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3.1.11 帧校验</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pPr>
              <w:pStyle w:val="18"/>
              <w:keepNext w:val="0"/>
              <w:keepLines w:val="0"/>
              <w:pageBreakBefore w:val="0"/>
              <w:kinsoku/>
              <w:wordWrap/>
              <w:topLinePunct w:val="0"/>
              <w:bidi w:val="0"/>
              <w:adjustRightInd w:val="0"/>
              <w:snapToGrid w:val="0"/>
              <w:spacing w:beforeAutospacing="0" w:line="360" w:lineRule="auto"/>
              <w:ind w:right="0"/>
              <w:rPr>
                <w:rFonts w:hint="eastAsia" w:ascii="宋体" w:hAnsi="宋体" w:eastAsia="宋体" w:cs="宋体"/>
                <w:b w:val="0"/>
                <w:bCs w:val="0"/>
                <w:color w:val="auto"/>
                <w:sz w:val="21"/>
                <w:szCs w:val="21"/>
                <w:highlight w:val="none"/>
                <w:lang w:val="en-US" w:eastAsia="zh-CN"/>
              </w:rPr>
            </w:pP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应用数据结构</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 功能码01（主动上报数据指令）</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功能码01用于设备主动周期性上报历史或实时数据，该功能码由设备端主动发起。</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（1）上行数据段格式</w:t>
            </w:r>
          </w:p>
          <w:tbl>
            <w:tblPr>
              <w:tblStyle w:val="40"/>
              <w:tblW w:w="5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19"/>
              <w:gridCol w:w="1362"/>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21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3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82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121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13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182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121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82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121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3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182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数据类型1数据</w:t>
                  </w:r>
                </w:p>
              </w:tc>
              <w:tc>
                <w:tcPr>
                  <w:tcW w:w="121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182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数据类型2数据</w:t>
                  </w:r>
                </w:p>
              </w:tc>
              <w:tc>
                <w:tcPr>
                  <w:tcW w:w="121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182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21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82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0"/>
              <w:gridCol w:w="14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5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45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45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45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45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平台当前时间</w:t>
                  </w:r>
                </w:p>
              </w:tc>
              <w:tc>
                <w:tcPr>
                  <w:tcW w:w="145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145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145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备注：设备可通过NB模组实现与基站时钟校准，也可使用该下行数据中的平台当前时间进行时钟校准。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 功能码02（数据查询指令）</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功能码02由平台主动发起，用于向设备查询某一时间节点的历史数据或实时数据。</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12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备注：当数据起始时间6字节BCD全部为0时返回设备当时内存实时数据，并且上报数据段中的时间为设备当前时间。</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35"/>
              <w:gridCol w:w="143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数据类型1数据</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数据类型2数据</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备注：指令执行失败则数据段全部字节置FF、并且不用上发数据类型数据段。</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 功能码03（告警上报指令）</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告警上报指令由设备主动发起。</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15"/>
              <w:gridCol w:w="1415"/>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事件代码</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高字节在前，每个二进制位代表一种事件类型。事件代码表见附录B</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380"/>
              <w:gridCol w:w="138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3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3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3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3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平台当前时间</w:t>
                  </w:r>
                </w:p>
              </w:tc>
              <w:tc>
                <w:tcPr>
                  <w:tcW w:w="13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13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13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 功能码04（设置终端时钟）</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设备可通过NB模组实现时钟同步，也可通过上报数据时平台回复的下行数据帧中的时间实现时钟同步。</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除以上两种方式外本协议提供了手动设置终端时钟的方式来实现时钟同步，注意：在指令可能被缓存或滞后下发的场景下谨慎使用该方式。</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15"/>
              <w:gridCol w:w="1415"/>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141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390"/>
              <w:gridCol w:w="13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39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39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39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9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w:t>
                  </w:r>
                </w:p>
              </w:tc>
              <w:tc>
                <w:tcPr>
                  <w:tcW w:w="139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139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139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 功能码05（设置历史数据存盘间隔）</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3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3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3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间隔</w:t>
                  </w:r>
                </w:p>
              </w:tc>
              <w:tc>
                <w:tcPr>
                  <w:tcW w:w="13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3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13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4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4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4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4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间隔</w:t>
                  </w:r>
                </w:p>
              </w:tc>
              <w:tc>
                <w:tcPr>
                  <w:tcW w:w="14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4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144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 功能码06（设置主动上报参数）</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00"/>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小时部分</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分钟部分</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上发间隔</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数据间隔</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离散值</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秒，高字节在前</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本次设置值的生效时间，高字节在前。</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0表示永久应用该设置值，大于0表示临时应用X分钟后自动恢复原配置。</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字段说明：</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【上发间隔】：即设备拨号上报数据的间隔；</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【数据间隔】：即上报的数据帧中每个数据的间隔时间；</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【离散值】：凌晨5点至7点系上位机平台数据运算时间，因此所有终端设备的上报都应离散到0点至5点之间。设置为0或项目补充要求中未明确规定时缺省离散算法如下：</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H(小时部分) ＝ 终端地址最后1位数字 % 5 </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M(分钟部分) ＝ 终端地址后第2位至后第4位 % 60</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S(秒钟部分) ＝ 厂商随机产生</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最终离散后上报时间点：H:M:S</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（说明：%为取余数操作）</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示例：终端地址：1020000000056789</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H(小时部分) ＝ 9 % 5 ＝4</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678 % 60 ＝18</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【生效时长】：用于指示本次配置的有效时长，用于临时加快数据上报频率。</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关联配置：</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对上发间隔和数据间隔的配置修改应能自动调整数据存盘间隔时间。</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385"/>
              <w:gridCol w:w="138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小时部分</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分钟部分</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上发间隔</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数据间隔</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离散值</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秒，高字节在前</w:t>
                  </w:r>
                </w:p>
              </w:tc>
              <w:tc>
                <w:tcPr>
                  <w:tcW w:w="1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 功能码07（设置数据中心地址）</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2"/>
              <w:gridCol w:w="106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0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0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08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jc w:val="center"/>
              </w:trPr>
              <w:tc>
                <w:tcPr>
                  <w:tcW w:w="106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10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0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当设备支持多数据中心时使用该序号区分设置的是哪个中心地址。注意：序号0为默认数据中心，其它序号为备用中心</w:t>
                  </w:r>
                </w:p>
              </w:tc>
              <w:tc>
                <w:tcPr>
                  <w:tcW w:w="108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06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数据中心地址</w:t>
                  </w:r>
                </w:p>
              </w:tc>
              <w:tc>
                <w:tcPr>
                  <w:tcW w:w="10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不定长</w:t>
                  </w:r>
                </w:p>
              </w:tc>
              <w:tc>
                <w:tcPr>
                  <w:tcW w:w="10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ASCII，以\0结束</w:t>
                  </w:r>
                </w:p>
              </w:tc>
              <w:tc>
                <w:tcPr>
                  <w:tcW w:w="108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123.123.123.123:5000</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http://www.dsc.com:5000</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295"/>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当设备支持多数据中心时使用该序号区分设置的是哪个中心地址。注意：序号0为默认数据中心，其它序号为备用中心</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数据中心地址</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不定长</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ASCII，以\0结束</w:t>
                  </w:r>
                </w:p>
              </w:tc>
              <w:tc>
                <w:tcPr>
                  <w:tcW w:w="129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 功能码08（设置工作模式）</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460"/>
              <w:gridCol w:w="1460"/>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0表示设备处于休眠工作模式，1表示设备处于长期在线待命状态。</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本次设置值的生效时间，高字节在前。</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0表示永久应用该设置值，大于0表示临时应用X分钟数后自动恢复原配置。</w:t>
                  </w:r>
                </w:p>
              </w:tc>
              <w:tc>
                <w:tcPr>
                  <w:tcW w:w="146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80"/>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128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 功能码09（设置设备地址）</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设置设备地址指令用于非NB水表应用场景，NB水表表码通常不允许修改，所以NB水表不需实现该指令。</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00"/>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BCD码，符合4.1.6章节中设备地址相关规则</w:t>
                  </w:r>
                </w:p>
              </w:tc>
              <w:tc>
                <w:tcPr>
                  <w:tcW w:w="110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370"/>
              <w:gridCol w:w="137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3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3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3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13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3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137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 功能码10（设置加密标志）</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25"/>
              <w:gridCol w:w="1325"/>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加密标志</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取值1表示设备启用数据段加密，0表示不加密</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新密钥</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16字节ASCII</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全为FF表示使用缺省密钥（即不修改密钥）</w:t>
                  </w:r>
                </w:p>
              </w:tc>
              <w:tc>
                <w:tcPr>
                  <w:tcW w:w="132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注意：新密钥全为FF表示仅修改加密标志，不修改密钥；</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65"/>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加密标志</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新密钥</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16字节ASCII</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136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注意</w:t>
            </w:r>
            <w:r>
              <w:rPr>
                <w:rFonts w:hint="eastAsia" w:ascii="宋体" w:hAnsi="宋体" w:eastAsia="宋体" w:cs="宋体"/>
                <w:b w:val="0"/>
                <w:bCs w:val="0"/>
                <w:color w:val="auto"/>
                <w:sz w:val="21"/>
                <w:szCs w:val="21"/>
                <w:highlight w:val="none"/>
                <w:lang w:val="en-US" w:eastAsia="zh-CN"/>
              </w:rPr>
              <w:t>点：远程更新密钥时，本次配置指令的上行确认帧应使用原密钥进行加密，上位机平台在收到更新成功确认后正式启用新密钥对后续下行帧加密。</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3.2.11 功能码11（查询历史数据存盘间隔）</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同功能码05数据格式。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3.2.12功能码12（查询主动上报参数）</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同功能码06数据格式。</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3.2.13功能码13（查询数据中心地址）</w:t>
            </w:r>
          </w:p>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20"/>
              <w:gridCol w:w="183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数据内容</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字节数</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说明</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default"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序号</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default"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1字节</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当设备支持多数据中心时使用该序号区分查询的是哪个中心地址。注意：序号0为默认数据中心，其它序号为备用中心</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0</w:t>
                  </w:r>
                </w:p>
              </w:tc>
            </w:tr>
          </w:tbl>
          <w:p>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pPr>
              <w:pStyle w:val="37"/>
              <w:keepNext w:val="0"/>
              <w:keepLines w:val="0"/>
              <w:pageBreakBefore w:val="0"/>
              <w:kinsoku/>
              <w:wordWrap/>
              <w:topLinePunct w:val="0"/>
              <w:bidi w:val="0"/>
              <w:adjustRightInd w:val="0"/>
              <w:snapToGrid w:val="0"/>
              <w:spacing w:beforeAutospacing="0" w:after="0" w:line="360" w:lineRule="auto"/>
              <w:ind w:left="0" w:leftChars="0" w:right="0"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同功能码07数据格式。</w:t>
            </w:r>
          </w:p>
          <w:p>
            <w:pPr>
              <w:pStyle w:val="37"/>
              <w:keepNext w:val="0"/>
              <w:keepLines w:val="0"/>
              <w:pageBreakBefore w:val="0"/>
              <w:kinsoku/>
              <w:wordWrap/>
              <w:topLinePunct w:val="0"/>
              <w:bidi w:val="0"/>
              <w:adjustRightInd w:val="0"/>
              <w:snapToGrid w:val="0"/>
              <w:spacing w:beforeAutospacing="0" w:after="0" w:line="360" w:lineRule="auto"/>
              <w:ind w:left="0" w:leftChars="0" w:right="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3.3规约附录</w:t>
            </w:r>
          </w:p>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rPr>
              <w:t>A</w:t>
            </w:r>
          </w:p>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设备类型代码表</w:t>
            </w:r>
            <w:r>
              <w:rPr>
                <w:rFonts w:hint="eastAsia" w:ascii="宋体" w:hAnsi="宋体" w:eastAsia="宋体" w:cs="宋体"/>
                <w:b w:val="0"/>
                <w:bCs w:val="0"/>
                <w:color w:val="auto"/>
                <w:sz w:val="21"/>
                <w:szCs w:val="21"/>
                <w:highlight w:val="none"/>
              </w:rPr>
              <w:t>）</w:t>
            </w:r>
          </w:p>
          <w:tbl>
            <w:tblPr>
              <w:tblStyle w:val="39"/>
              <w:tblW w:w="4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2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类型代码</w:t>
                  </w:r>
                </w:p>
              </w:tc>
              <w:tc>
                <w:tcPr>
                  <w:tcW w:w="272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w:t>
                  </w:r>
                </w:p>
              </w:tc>
              <w:tc>
                <w:tcPr>
                  <w:tcW w:w="119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272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系统保留</w:t>
                  </w:r>
                </w:p>
              </w:tc>
              <w:tc>
                <w:tcPr>
                  <w:tcW w:w="119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72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一体式小口径水表</w:t>
                  </w:r>
                </w:p>
              </w:tc>
              <w:tc>
                <w:tcPr>
                  <w:tcW w:w="119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72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一体式大口径水表</w:t>
                  </w:r>
                </w:p>
              </w:tc>
              <w:tc>
                <w:tcPr>
                  <w:tcW w:w="119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72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分体式小口径水表</w:t>
                  </w:r>
                </w:p>
              </w:tc>
              <w:tc>
                <w:tcPr>
                  <w:tcW w:w="119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72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分体式大口径水表</w:t>
                  </w:r>
                </w:p>
              </w:tc>
              <w:tc>
                <w:tcPr>
                  <w:tcW w:w="119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72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分体式远传终端（采集智能水表）</w:t>
                  </w:r>
                </w:p>
              </w:tc>
              <w:tc>
                <w:tcPr>
                  <w:tcW w:w="119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4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729"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一体式中口径水表</w:t>
                  </w:r>
                </w:p>
              </w:tc>
              <w:tc>
                <w:tcPr>
                  <w:tcW w:w="1190" w:type="dxa"/>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故障代码编排规范</w:t>
            </w:r>
            <w:r>
              <w:rPr>
                <w:rFonts w:hint="eastAsia" w:ascii="宋体" w:hAnsi="宋体" w:eastAsia="宋体" w:cs="宋体"/>
                <w:b w:val="0"/>
                <w:bCs w:val="0"/>
                <w:color w:val="auto"/>
                <w:sz w:val="21"/>
                <w:szCs w:val="21"/>
                <w:highlight w:val="none"/>
              </w:rPr>
              <w:t>）</w:t>
            </w: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每种故障对应以下故障代码表中的一个比特位（Bit）,存在故障则该位置1，否则置0。</w:t>
            </w:r>
          </w:p>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drawing>
                <wp:inline distT="0" distB="0" distL="114300" distR="114300">
                  <wp:extent cx="3288665" cy="387985"/>
                  <wp:effectExtent l="0" t="0" r="6985" b="12065"/>
                  <wp:docPr id="11"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ZB5$%8IU%ZB`O~JC2UA0ZX"/>
                          <pic:cNvPicPr>
                            <a:picLocks noChangeAspect="1"/>
                          </pic:cNvPicPr>
                        </pic:nvPicPr>
                        <pic:blipFill>
                          <a:blip r:embed="rId12"/>
                          <a:stretch>
                            <a:fillRect/>
                          </a:stretch>
                        </pic:blipFill>
                        <pic:spPr>
                          <a:xfrm>
                            <a:off x="0" y="0"/>
                            <a:ext cx="3288665" cy="387985"/>
                          </a:xfrm>
                          <a:prstGeom prst="rect">
                            <a:avLst/>
                          </a:prstGeom>
                          <a:noFill/>
                          <a:ln>
                            <a:noFill/>
                          </a:ln>
                        </pic:spPr>
                      </pic:pic>
                    </a:graphicData>
                  </a:graphic>
                </wp:inline>
              </w:drawing>
            </w:r>
          </w:p>
          <w:p>
            <w:pPr>
              <w:pStyle w:val="37"/>
              <w:keepNext w:val="0"/>
              <w:keepLines w:val="0"/>
              <w:pageBreakBefore w:val="0"/>
              <w:kinsoku/>
              <w:wordWrap/>
              <w:topLinePunct w:val="0"/>
              <w:bidi w:val="0"/>
              <w:adjustRightInd w:val="0"/>
              <w:snapToGrid w:val="0"/>
              <w:spacing w:beforeAutospacing="0" w:after="0" w:line="360" w:lineRule="auto"/>
              <w:ind w:left="300" w:right="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故障代码位序示意图（共64个位，对应编码中的bit0至bit63）</w:t>
            </w:r>
          </w:p>
          <w:p>
            <w:pPr>
              <w:pStyle w:val="37"/>
              <w:keepNext w:val="0"/>
              <w:keepLines w:val="0"/>
              <w:pageBreakBefore w:val="0"/>
              <w:kinsoku/>
              <w:wordWrap/>
              <w:topLinePunct w:val="0"/>
              <w:bidi w:val="0"/>
              <w:adjustRightInd w:val="0"/>
              <w:snapToGrid w:val="0"/>
              <w:spacing w:beforeAutospacing="0" w:after="0" w:line="360" w:lineRule="auto"/>
              <w:ind w:left="300" w:right="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故障代码表（位号1对应下位机编程中下标为0的Bit0）：</w:t>
            </w:r>
          </w:p>
          <w:tbl>
            <w:tblPr>
              <w:tblStyle w:val="39"/>
              <w:tblW w:w="4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14"/>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字节号</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位号</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流量过载报警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流量上限报警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流量下限报警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流量限制报警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总量报警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低电预警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低电报警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电极偏差报警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高直流电压（电池电源）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高直流电压（任何电源类型）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线圈电流错误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外部电池故障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测温探头短路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测温探头断路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水温超范围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信号强度过弱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增益报警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E2PROM损坏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坏/电路板异常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换能器故障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空管报警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低阻抗报警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泄漏报警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压力测量故障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GPS定位故障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水表通信故障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ABB内部报警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MID（只读）开关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传感器常见故障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传感器和换能器之间通讯故障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绝缘错误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励磁报警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励磁线圈断开报警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脉冲过载报警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前置放大器过载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声波接收超时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输出脉冲溢出报警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数据库校验和错误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未连接传感器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未连接线圈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消费间隔报警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信号捕获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RTU与水表通信故障（485通信故障）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磁干扰报警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电子模块分离报警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拆盖报警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更换电池报警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361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bl>
          <w:p>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p>
          <w:tbl>
            <w:tblPr>
              <w:tblStyle w:val="39"/>
              <w:tblW w:w="5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645"/>
              <w:gridCol w:w="1138"/>
              <w:gridCol w:w="1046"/>
              <w:gridCol w:w="1059"/>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数据段代码（TAG）</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第一时段数据(VALUE)</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第N时段数据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8"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正向瞬时流量（单位：立方米/小时）</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反向瞬时流量（单位：立方米/小时）</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正向累计行度（单位：立方米）</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反向累计行度（单位：立方米）</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净累计行度（单位：立方米）</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扩展数据段</w:t>
                  </w: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阀门状态</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电池电压（备注4）</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温度</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35H</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GPS经纬度（备注2）</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8字节浮点数（经度）+8字节浮点数（纬度）</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（经纬度固定只传1个时刻数）</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（经纬度固定只传1个时刻数）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水质数据段</w:t>
                  </w: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pH</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浊度</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13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余氯</w:t>
                  </w:r>
                </w:p>
              </w:tc>
              <w:tc>
                <w:tcPr>
                  <w:tcW w:w="10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5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01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bl>
          <w:p>
            <w:pPr>
              <w:pStyle w:val="18"/>
              <w:keepNext w:val="0"/>
              <w:keepLines w:val="0"/>
              <w:pageBreakBefore w:val="0"/>
              <w:kinsoku/>
              <w:wordWrap/>
              <w:topLinePunct w:val="0"/>
              <w:bidi w:val="0"/>
              <w:adjustRightInd w:val="0"/>
              <w:snapToGrid w:val="0"/>
              <w:spacing w:beforeAutospacing="0" w:line="360" w:lineRule="auto"/>
              <w:ind w:right="0"/>
              <w:jc w:val="both"/>
              <w:rPr>
                <w:rFonts w:hint="eastAsia" w:ascii="宋体" w:hAnsi="宋体" w:eastAsia="宋体" w:cs="宋体"/>
                <w:b w:val="0"/>
                <w:bCs w:val="0"/>
                <w:color w:val="auto"/>
                <w:sz w:val="21"/>
                <w:szCs w:val="21"/>
                <w:highlight w:val="none"/>
              </w:rPr>
            </w:pPr>
          </w:p>
          <w:p>
            <w:pPr>
              <w:pStyle w:val="18"/>
              <w:keepNext w:val="0"/>
              <w:keepLines w:val="0"/>
              <w:pageBreakBefore w:val="0"/>
              <w:kinsoku/>
              <w:wordWrap/>
              <w:topLinePunct w:val="0"/>
              <w:bidi w:val="0"/>
              <w:adjustRightInd w:val="0"/>
              <w:snapToGrid w:val="0"/>
              <w:spacing w:beforeAutospacing="0" w:line="360" w:lineRule="auto"/>
              <w:ind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546"/>
              <w:gridCol w:w="639"/>
              <w:gridCol w:w="610"/>
              <w:gridCol w:w="546"/>
              <w:gridCol w:w="762"/>
              <w:gridCol w:w="703"/>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数据段代码</w:t>
                  </w:r>
                </w:p>
              </w:tc>
              <w:tc>
                <w:tcPr>
                  <w:tcW w:w="6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c>
                <w:tcPr>
                  <w:tcW w:w="6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通道总数</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通道号</w:t>
                  </w:r>
                </w:p>
              </w:tc>
              <w:tc>
                <w:tcPr>
                  <w:tcW w:w="7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第一时段数据</w:t>
                  </w:r>
                </w:p>
              </w:tc>
              <w:tc>
                <w:tcPr>
                  <w:tcW w:w="70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第N时段数据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46"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通用数据段</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0AH</w:t>
                  </w:r>
                </w:p>
              </w:tc>
              <w:tc>
                <w:tcPr>
                  <w:tcW w:w="6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模拟量</w:t>
                  </w:r>
                </w:p>
              </w:tc>
              <w:tc>
                <w:tcPr>
                  <w:tcW w:w="6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7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70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6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4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0BH</w:t>
                  </w:r>
                </w:p>
              </w:tc>
              <w:tc>
                <w:tcPr>
                  <w:tcW w:w="6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脉冲量</w:t>
                  </w:r>
                </w:p>
              </w:tc>
              <w:tc>
                <w:tcPr>
                  <w:tcW w:w="6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7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70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6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4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0CH</w:t>
                  </w:r>
                </w:p>
              </w:tc>
              <w:tc>
                <w:tcPr>
                  <w:tcW w:w="6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开关量</w:t>
                  </w:r>
                </w:p>
              </w:tc>
              <w:tc>
                <w:tcPr>
                  <w:tcW w:w="6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tc>
              <w:tc>
                <w:tcPr>
                  <w:tcW w:w="7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c>
                <w:tcPr>
                  <w:tcW w:w="70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c>
                <w:tcPr>
                  <w:tcW w:w="6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4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0DH</w:t>
                  </w:r>
                </w:p>
              </w:tc>
              <w:tc>
                <w:tcPr>
                  <w:tcW w:w="6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w:t>
                  </w:r>
                </w:p>
              </w:tc>
              <w:tc>
                <w:tcPr>
                  <w:tcW w:w="6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7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c>
                <w:tcPr>
                  <w:tcW w:w="70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c>
                <w:tcPr>
                  <w:tcW w:w="6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0FH</w:t>
                  </w:r>
                </w:p>
              </w:tc>
              <w:tc>
                <w:tcPr>
                  <w:tcW w:w="6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6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7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70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6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10H</w:t>
                  </w:r>
                </w:p>
              </w:tc>
              <w:tc>
                <w:tcPr>
                  <w:tcW w:w="6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6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7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70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6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4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11H</w:t>
                  </w:r>
                </w:p>
              </w:tc>
              <w:tc>
                <w:tcPr>
                  <w:tcW w:w="63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8字节长整型</w:t>
                  </w:r>
                </w:p>
              </w:tc>
              <w:tc>
                <w:tcPr>
                  <w:tcW w:w="61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546"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76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70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6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备注1：单位为摄氏度，数值倍率为0.1，例如：数据值315*0.1＝31.5℃；</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备注2：单位为度，东经为正，西经为负，北纬为正，南纬为负。GPS经纬度值占用字节较多，因此每帧数据中只包含一个时刻值即可；</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备注3：若通道总数小于等于8 ，此字节数为1；若通道总数大于8小于等于16此字节数为2。第一个字节的bit0-bit7表示第1—8开关量通道值；第二字节的bit0-bit7表示第9—16开关量通道值；；</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备注4：高字节在前，低字节在后。设备上发时将电压放大100倍后使用整型传输，上位机解码时将数值还原。示例：02H E8H = 744 * 0.01 =7.44V。</w:t>
            </w:r>
          </w:p>
          <w:p>
            <w:pPr>
              <w:pageBreakBefore w:val="0"/>
              <w:widowControl w:val="0"/>
              <w:kinsoku/>
              <w:wordWrap/>
              <w:overflowPunct/>
              <w:topLinePunct w:val="0"/>
              <w:bidi w:val="0"/>
              <w:snapToGrid/>
              <w:spacing w:line="240" w:lineRule="auto"/>
              <w:textAlignment w:val="auto"/>
              <w:rPr>
                <w:rFonts w:ascii="宋体" w:hAnsi="宋体" w:eastAsia="宋体"/>
                <w:b w:val="0"/>
                <w:bCs/>
                <w:color w:val="auto"/>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四</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售后服务及质保期</w:t>
            </w:r>
          </w:p>
        </w:tc>
        <w:tc>
          <w:tcPr>
            <w:tcW w:w="2927" w:type="pct"/>
            <w:vAlign w:val="center"/>
          </w:tcPr>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四、售后服务及质保期</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投标人须保证对招标人具有完善的售后服务体系。投标人须配合远程设备的通讯调试；</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投标人须提供技术文件资料，包括但不限于在远传调试、移交过程中需要的技术资料、上下行接口文件材料及服务；</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投标人负责向招标人有关人员提供技术培训，使其能对设备进行日常的维护保养及能对一般故障进行维修，并向培训人员提供详细的操作手册、技术维修及调试参数等相关资料；</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投标人须有稳定的售后服务体系，接到招标人的售后需求需在6小时以内做出响应；如需到现场处理，投标人需在接到招标人通知后24小时内到达现场进行处理。</w:t>
            </w:r>
          </w:p>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 超声波水表整表（含配套远传模块、计量电池、通讯电池和通讯资费）质保期为6年，</w:t>
            </w:r>
            <w:r>
              <w:rPr>
                <w:rFonts w:hint="eastAsia" w:ascii="宋体" w:hAnsi="宋体" w:eastAsia="宋体" w:cs="宋体"/>
                <w:b w:val="0"/>
                <w:bCs w:val="0"/>
                <w:color w:val="auto"/>
                <w:sz w:val="21"/>
                <w:szCs w:val="21"/>
                <w:highlight w:val="none"/>
                <w:lang w:val="en-US" w:eastAsia="zh-CN"/>
              </w:rPr>
              <w:t>按每批次货物送达招标人指定地点交货验收合格并开具发票之日算起。</w:t>
            </w:r>
            <w:r>
              <w:rPr>
                <w:rFonts w:hint="eastAsia" w:ascii="宋体" w:hAnsi="宋体" w:eastAsia="宋体" w:cs="宋体"/>
                <w:color w:val="auto"/>
                <w:sz w:val="21"/>
                <w:szCs w:val="21"/>
                <w:highlight w:val="none"/>
                <w:lang w:val="en-US" w:eastAsia="zh-CN"/>
              </w:rPr>
              <w:t>质保期内，投标人对货物进行免费保修。</w:t>
            </w:r>
          </w:p>
          <w:p>
            <w:pPr>
              <w:keepNext w:val="0"/>
              <w:keepLines w:val="0"/>
              <w:pageBreakBefore w:val="0"/>
              <w:kinsoku/>
              <w:wordWrap/>
              <w:overflowPunct/>
              <w:topLinePunct w:val="0"/>
              <w:bidi w:val="0"/>
              <w:adjustRightInd w:val="0"/>
              <w:snapToGrid w:val="0"/>
              <w:spacing w:beforeAutospacing="0" w:line="360" w:lineRule="auto"/>
              <w:ind w:right="0" w:firstLine="360" w:firstLineChars="200"/>
              <w:textAlignment w:val="auto"/>
              <w:rPr>
                <w:rFonts w:hint="default" w:ascii="宋体" w:hAnsi="宋体" w:eastAsia="宋体"/>
                <w:b w:val="0"/>
                <w:bCs/>
                <w:color w:val="auto"/>
                <w:sz w:val="18"/>
                <w:szCs w:val="18"/>
                <w:highlight w:val="none"/>
                <w:lang w:val="en-US" w:eastAsia="zh-CN"/>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五</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货款结算方式</w:t>
            </w:r>
          </w:p>
        </w:tc>
        <w:tc>
          <w:tcPr>
            <w:tcW w:w="2927" w:type="pct"/>
            <w:vAlign w:val="center"/>
          </w:tcPr>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五、货款结算方式</w:t>
            </w:r>
          </w:p>
          <w:p>
            <w:pPr>
              <w:pStyle w:val="37"/>
              <w:keepNext w:val="0"/>
              <w:keepLines w:val="0"/>
              <w:pageBreakBefore w:val="0"/>
              <w:kinsoku/>
              <w:wordWrap/>
              <w:topLinePunct w:val="0"/>
              <w:bidi w:val="0"/>
              <w:adjustRightInd w:val="0"/>
              <w:snapToGrid w:val="0"/>
              <w:spacing w:beforeAutospacing="0" w:after="0" w:line="360" w:lineRule="auto"/>
              <w:ind w:left="0" w:leftChars="0" w:right="0"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p>
          <w:p>
            <w:pPr>
              <w:keepNext w:val="0"/>
              <w:keepLines w:val="0"/>
              <w:pageBreakBefore w:val="0"/>
              <w:kinsoku/>
              <w:wordWrap/>
              <w:overflowPunct/>
              <w:topLinePunct w:val="0"/>
              <w:bidi w:val="0"/>
              <w:adjustRightInd w:val="0"/>
              <w:snapToGrid w:val="0"/>
              <w:spacing w:beforeAutospacing="0" w:line="360" w:lineRule="auto"/>
              <w:ind w:right="0" w:firstLine="360" w:firstLineChars="200"/>
              <w:textAlignment w:val="auto"/>
              <w:rPr>
                <w:rFonts w:hint="eastAsia" w:ascii="宋体" w:hAnsi="宋体" w:eastAsia="宋体"/>
                <w:b w:val="0"/>
                <w:bCs/>
                <w:color w:val="auto"/>
                <w:sz w:val="18"/>
                <w:szCs w:val="18"/>
                <w:highlight w:val="none"/>
                <w:lang w:val="en-US" w:eastAsia="zh-CN"/>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六</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货款支付方式</w:t>
            </w:r>
          </w:p>
        </w:tc>
        <w:tc>
          <w:tcPr>
            <w:tcW w:w="2927" w:type="pct"/>
            <w:vAlign w:val="center"/>
          </w:tcPr>
          <w:p>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六、货款支付方式</w:t>
            </w:r>
          </w:p>
          <w:p>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1、招标人发出单笔《供货通知单》后，在收到投标人按本项目合同约定提供</w:t>
            </w:r>
            <w:r>
              <w:rPr>
                <w:rFonts w:hint="eastAsia" w:ascii="宋体" w:hAnsi="宋体" w:eastAsia="宋体" w:cs="Times New Roman"/>
                <w:color w:val="auto"/>
                <w:sz w:val="21"/>
                <w:szCs w:val="21"/>
                <w:highlight w:val="none"/>
                <w:lang w:val="en-US" w:eastAsia="zh-CN"/>
              </w:rPr>
              <w:t>与本批次货款等额</w:t>
            </w:r>
            <w:r>
              <w:rPr>
                <w:rFonts w:hint="eastAsia"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订单保函并经招标人财务人员审核合格后30个工作日内，招标人支付至该批货物货款总额（含销项税额）的100%。</w:t>
            </w:r>
          </w:p>
          <w:p>
            <w:pPr>
              <w:ind w:firstLine="420" w:firstLineChars="200"/>
              <w:rPr>
                <w:rFonts w:hint="eastAsia"/>
                <w:color w:val="auto"/>
                <w:highlight w:val="none"/>
                <w:lang w:val="en-US" w:eastAsia="zh-CN"/>
              </w:rPr>
            </w:pPr>
            <w:r>
              <w:rPr>
                <w:rFonts w:hint="eastAsia" w:ascii="宋体" w:hAnsi="宋体" w:eastAsia="宋体" w:cs="宋体"/>
                <w:b w:val="0"/>
                <w:bCs w:val="0"/>
                <w:color w:val="auto"/>
                <w:sz w:val="21"/>
                <w:szCs w:val="21"/>
                <w:highlight w:val="none"/>
                <w:lang w:val="en-US" w:eastAsia="zh-CN"/>
              </w:rPr>
              <w:t>2、如果依合同投标人应支付违约金或赔偿或其他费用的，招标人有权从上述应支付给投标人的款项中直接扣除，不足部分招标人有权要求投标人另行补足。</w:t>
            </w:r>
          </w:p>
          <w:p>
            <w:pPr>
              <w:keepNext w:val="0"/>
              <w:keepLines w:val="0"/>
              <w:pageBreakBefore w:val="0"/>
              <w:kinsoku/>
              <w:wordWrap/>
              <w:overflowPunct/>
              <w:topLinePunct w:val="0"/>
              <w:bidi w:val="0"/>
              <w:adjustRightInd w:val="0"/>
              <w:snapToGrid w:val="0"/>
              <w:spacing w:beforeAutospacing="0" w:line="360" w:lineRule="auto"/>
              <w:ind w:right="0" w:firstLine="360" w:firstLineChars="200"/>
              <w:textAlignment w:val="auto"/>
              <w:rPr>
                <w:rFonts w:hint="eastAsia" w:ascii="宋体" w:hAnsi="宋体" w:eastAsia="宋体"/>
                <w:b w:val="0"/>
                <w:bCs/>
                <w:color w:val="auto"/>
                <w:sz w:val="18"/>
                <w:szCs w:val="18"/>
                <w:highlight w:val="none"/>
                <w:lang w:val="en-US" w:eastAsia="zh-CN"/>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七</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预算表</w:t>
            </w:r>
          </w:p>
        </w:tc>
        <w:tc>
          <w:tcPr>
            <w:tcW w:w="2927" w:type="pct"/>
            <w:vAlign w:val="center"/>
          </w:tcPr>
          <w:p>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en-US" w:eastAsia="zh-CN"/>
              </w:rPr>
              <w:t>、预算表</w:t>
            </w:r>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
              <w:gridCol w:w="540"/>
              <w:gridCol w:w="559"/>
              <w:gridCol w:w="1770"/>
              <w:gridCol w:w="320"/>
              <w:gridCol w:w="437"/>
              <w:gridCol w:w="1007"/>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73"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序号</w:t>
                  </w:r>
                </w:p>
              </w:tc>
              <w:tc>
                <w:tcPr>
                  <w:tcW w:w="4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名称</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口径规格</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技术指标</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单位</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数量</w:t>
                  </w:r>
                </w:p>
              </w:tc>
              <w:tc>
                <w:tcPr>
                  <w:tcW w:w="8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不含税预算综合单价（元）</w:t>
                  </w:r>
                </w:p>
              </w:tc>
              <w:tc>
                <w:tcPr>
                  <w:tcW w:w="6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1 </w:t>
                  </w:r>
                </w:p>
              </w:tc>
              <w:tc>
                <w:tcPr>
                  <w:tcW w:w="461" w:type="pct"/>
                  <w:vMerge w:val="restart"/>
                  <w:tcBorders>
                    <w:top w:val="single" w:color="000000" w:sz="4" w:space="0"/>
                    <w:left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缩径超声波水表 </w:t>
                  </w:r>
                </w:p>
              </w:tc>
              <w:tc>
                <w:tcPr>
                  <w:tcW w:w="477"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510" w:type="pct"/>
                  <w:vMerge w:val="restart"/>
                  <w:tcBorders>
                    <w:top w:val="single" w:color="000000" w:sz="4" w:space="0"/>
                    <w:left w:val="single" w:color="000000" w:sz="4" w:space="0"/>
                    <w:right w:val="single" w:color="000000" w:sz="4" w:space="0"/>
                  </w:tcBorders>
                  <w:shd w:val="clear" w:color="FDE9D9" w:fill="FFFFFF"/>
                  <w:noWrap w:val="0"/>
                  <w:vAlign w:val="center"/>
                </w:tcPr>
                <w:p>
                  <w:pPr>
                    <w:keepNext w:val="0"/>
                    <w:keepLines w:val="0"/>
                    <w:widowControl/>
                    <w:suppressLineNumbers w:val="0"/>
                    <w:jc w:val="lef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1.配件要求：每台超声波水表需包含1套远传模块和2个垫圈，不含法兰;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2.表体材质为不锈钢；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3.内置锂电池，无须外部供电;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4.具体详见用户需求书.</w:t>
                  </w:r>
                </w:p>
              </w:tc>
              <w:tc>
                <w:tcPr>
                  <w:tcW w:w="27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588</w:t>
                  </w:r>
                </w:p>
              </w:tc>
              <w:tc>
                <w:tcPr>
                  <w:tcW w:w="100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2018.22</w:t>
                  </w:r>
                </w:p>
              </w:tc>
              <w:tc>
                <w:tcPr>
                  <w:tcW w:w="786"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1186713.36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2 </w:t>
                  </w:r>
                </w:p>
              </w:tc>
              <w:tc>
                <w:tcPr>
                  <w:tcW w:w="461"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510" w:type="pct"/>
                  <w:vMerge w:val="continue"/>
                  <w:tcBorders>
                    <w:left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779</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2272.32</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1770137.28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3 </w:t>
                  </w:r>
                </w:p>
              </w:tc>
              <w:tc>
                <w:tcPr>
                  <w:tcW w:w="461"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510" w:type="pct"/>
                  <w:vMerge w:val="continue"/>
                  <w:tcBorders>
                    <w:left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314</w:t>
                  </w:r>
                </w:p>
              </w:tc>
              <w:tc>
                <w:tcPr>
                  <w:tcW w:w="100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2751.77</w:t>
                  </w:r>
                </w:p>
              </w:tc>
              <w:tc>
                <w:tcPr>
                  <w:tcW w:w="786"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864055.78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4 </w:t>
                  </w:r>
                </w:p>
              </w:tc>
              <w:tc>
                <w:tcPr>
                  <w:tcW w:w="461"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510" w:type="pct"/>
                  <w:vMerge w:val="continue"/>
                  <w:tcBorders>
                    <w:left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76</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3482.98</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264706.48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461" w:type="pct"/>
                  <w:vMerge w:val="continue"/>
                  <w:tcBorders>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1510" w:type="pct"/>
                  <w:vMerge w:val="continue"/>
                  <w:tcBorders>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23</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4203.20</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96673.6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73"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6 </w:t>
                  </w:r>
                </w:p>
              </w:tc>
              <w:tc>
                <w:tcPr>
                  <w:tcW w:w="461" w:type="pct"/>
                  <w:vMerge w:val="restart"/>
                  <w:tcBorders>
                    <w:top w:val="single" w:color="000000" w:sz="4" w:space="0"/>
                    <w:left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通径超声波水表 </w:t>
                  </w:r>
                </w:p>
              </w:tc>
              <w:tc>
                <w:tcPr>
                  <w:tcW w:w="477"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510" w:type="pct"/>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lef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1.配件要求：每台超声波水表需包含1套远传模块和2个垫圈，不含法兰;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2.表体材质为不锈钢；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3.内置锂电池，无须外部供电;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4.具体详见用户需求书.</w:t>
                  </w:r>
                </w:p>
              </w:tc>
              <w:tc>
                <w:tcPr>
                  <w:tcW w:w="27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160</w:t>
                  </w:r>
                </w:p>
              </w:tc>
              <w:tc>
                <w:tcPr>
                  <w:tcW w:w="100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2089.78</w:t>
                  </w:r>
                </w:p>
              </w:tc>
              <w:tc>
                <w:tcPr>
                  <w:tcW w:w="786"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334364.8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7 </w:t>
                  </w:r>
                </w:p>
              </w:tc>
              <w:tc>
                <w:tcPr>
                  <w:tcW w:w="461"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510"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249</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2322.84</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578387.16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8 </w:t>
                  </w:r>
                </w:p>
              </w:tc>
              <w:tc>
                <w:tcPr>
                  <w:tcW w:w="461"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510"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250</w:t>
                  </w:r>
                </w:p>
              </w:tc>
              <w:tc>
                <w:tcPr>
                  <w:tcW w:w="100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2822.22</w:t>
                  </w:r>
                </w:p>
              </w:tc>
              <w:tc>
                <w:tcPr>
                  <w:tcW w:w="786"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705555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9 </w:t>
                  </w:r>
                </w:p>
              </w:tc>
              <w:tc>
                <w:tcPr>
                  <w:tcW w:w="461"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510"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111</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3487.51</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387113.61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10</w:t>
                  </w:r>
                </w:p>
              </w:tc>
              <w:tc>
                <w:tcPr>
                  <w:tcW w:w="461" w:type="pct"/>
                  <w:vMerge w:val="continue"/>
                  <w:tcBorders>
                    <w:left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DN250</w:t>
                  </w:r>
                </w:p>
              </w:tc>
              <w:tc>
                <w:tcPr>
                  <w:tcW w:w="1510"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4533.60</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68004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11</w:t>
                  </w:r>
                </w:p>
              </w:tc>
              <w:tc>
                <w:tcPr>
                  <w:tcW w:w="461" w:type="pct"/>
                  <w:vMerge w:val="continue"/>
                  <w:tcBorders>
                    <w:left w:val="single" w:color="000000" w:sz="4" w:space="0"/>
                    <w:bottom w:val="single" w:color="000000" w:sz="4" w:space="0"/>
                    <w:right w:val="single" w:color="000000" w:sz="4" w:space="0"/>
                  </w:tcBorders>
                  <w:shd w:val="clear" w:color="FDE9D9" w:fill="FFFFFF"/>
                  <w:noWrap w:val="0"/>
                  <w:vAlign w:val="center"/>
                </w:tcPr>
                <w:p>
                  <w:pPr>
                    <w:jc w:val="cente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1510" w:type="pct"/>
                  <w:vMerge w:val="continue"/>
                  <w:tcBorders>
                    <w:top w:val="single" w:color="000000" w:sz="4" w:space="0"/>
                    <w:left w:val="single" w:color="000000" w:sz="4" w:space="0"/>
                    <w:bottom w:val="single" w:color="auto"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lang w:val="en-US" w:eastAsia="zh-CN"/>
                    </w:rPr>
                    <w:t>33</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sz w:val="21"/>
                      <w:szCs w:val="21"/>
                      <w:highlight w:val="none"/>
                      <w:u w:val="none"/>
                      <w:lang w:val="en-US" w:eastAsia="zh-CN"/>
                    </w:rPr>
                    <w:t>5579.69</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184129.77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汇总</w:t>
                  </w:r>
                </w:p>
              </w:tc>
              <w:tc>
                <w:tcPr>
                  <w:tcW w:w="461"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pPr>
                    <w:rPr>
                      <w:rFonts w:hint="eastAsia" w:ascii="宋体" w:hAnsi="宋体" w:eastAsia="宋体" w:cs="宋体"/>
                      <w:b w:val="0"/>
                      <w:i w:val="0"/>
                      <w:iCs w:val="0"/>
                      <w:color w:val="auto"/>
                      <w:sz w:val="21"/>
                      <w:szCs w:val="21"/>
                      <w:highlight w:val="none"/>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b w:val="0"/>
                      <w:bCs/>
                      <w:i w:val="0"/>
                      <w:iCs w:val="0"/>
                      <w:color w:val="auto"/>
                      <w:sz w:val="21"/>
                      <w:szCs w:val="21"/>
                      <w:highlight w:val="none"/>
                      <w:u w:val="none"/>
                    </w:rPr>
                  </w:pPr>
                </w:p>
              </w:tc>
              <w:tc>
                <w:tcPr>
                  <w:tcW w:w="1510" w:type="pct"/>
                  <w:tcBorders>
                    <w:top w:val="single" w:color="auto" w:sz="4" w:space="0"/>
                    <w:left w:val="single" w:color="000000" w:sz="4" w:space="0"/>
                    <w:bottom w:val="single" w:color="000000" w:sz="4" w:space="0"/>
                    <w:right w:val="single" w:color="000000" w:sz="4" w:space="0"/>
                  </w:tcBorders>
                  <w:shd w:val="clear" w:color="FDE9D9" w:fill="FFFFFF"/>
                  <w:noWrap w:val="0"/>
                  <w:vAlign w:val="center"/>
                </w:tcPr>
                <w:p>
                  <w:pPr>
                    <w:jc w:val="left"/>
                    <w:rPr>
                      <w:rFonts w:hint="eastAsia" w:ascii="宋体" w:hAnsi="宋体" w:eastAsia="宋体" w:cs="宋体"/>
                      <w:b w:val="0"/>
                      <w:i w:val="0"/>
                      <w:iCs w:val="0"/>
                      <w:color w:val="auto"/>
                      <w:sz w:val="21"/>
                      <w:szCs w:val="21"/>
                      <w:highlight w:val="none"/>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1"/>
                      <w:szCs w:val="21"/>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sz w:val="21"/>
                      <w:szCs w:val="21"/>
                      <w:highlight w:val="none"/>
                      <w:u w:val="none"/>
                    </w:rPr>
                    <w:t>2598</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1"/>
                      <w:szCs w:val="21"/>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6439840.84</w:t>
                  </w:r>
                </w:p>
              </w:tc>
            </w:tr>
          </w:tbl>
          <w:p>
            <w:pPr>
              <w:rPr>
                <w:color w:val="auto"/>
                <w:highlight w:val="none"/>
              </w:rPr>
            </w:pPr>
          </w:p>
          <w:p>
            <w:pPr>
              <w:pageBreakBefore w:val="0"/>
              <w:widowControl w:val="0"/>
              <w:kinsoku/>
              <w:wordWrap/>
              <w:overflowPunct/>
              <w:topLinePunct w:val="0"/>
              <w:bidi w:val="0"/>
              <w:snapToGrid/>
              <w:spacing w:line="240" w:lineRule="auto"/>
              <w:textAlignment w:val="auto"/>
              <w:rPr>
                <w:rFonts w:hint="eastAsia" w:ascii="宋体" w:hAnsi="宋体" w:eastAsia="宋体"/>
                <w:b w:val="0"/>
                <w:bCs/>
                <w:color w:val="auto"/>
                <w:sz w:val="18"/>
                <w:szCs w:val="18"/>
                <w:highlight w:val="none"/>
                <w:lang w:val="en-US" w:eastAsia="zh-CN"/>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7" w:type="pct"/>
            <w:gridSpan w:val="4"/>
            <w:vAlign w:val="center"/>
          </w:tcPr>
          <w:p>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b w:val="0"/>
                <w:bCs/>
                <w:color w:val="auto"/>
                <w:kern w:val="0"/>
                <w:sz w:val="18"/>
                <w:szCs w:val="18"/>
                <w:highlight w:val="none"/>
              </w:rPr>
            </w:pPr>
            <w:r>
              <w:rPr>
                <w:rFonts w:hint="eastAsia" w:ascii="宋体" w:hAnsi="宋体" w:eastAsia="宋体" w:cs="宋体"/>
                <w:color w:val="auto"/>
                <w:sz w:val="21"/>
                <w:szCs w:val="21"/>
                <w:highlight w:val="none"/>
              </w:rPr>
              <w:t>用户需求书★技术参数条款汇总</w:t>
            </w:r>
          </w:p>
        </w:tc>
        <w:tc>
          <w:tcPr>
            <w:tcW w:w="1172" w:type="pct"/>
            <w:gridSpan w:val="3"/>
            <w:vAlign w:val="center"/>
          </w:tcPr>
          <w:p>
            <w:pPr>
              <w:keepNext/>
              <w:keepLines/>
              <w:pageBreakBefore w:val="0"/>
              <w:widowControl w:val="0"/>
              <w:kinsoku/>
              <w:wordWrap/>
              <w:overflowPunct/>
              <w:topLinePunct w:val="0"/>
              <w:bidi w:val="0"/>
              <w:snapToGrid/>
              <w:spacing w:line="240" w:lineRule="auto"/>
              <w:jc w:val="both"/>
              <w:textAlignment w:val="auto"/>
              <w:outlineLvl w:val="2"/>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Merge w:val="restar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宋体"/>
                <w:color w:val="auto"/>
                <w:sz w:val="21"/>
                <w:szCs w:val="21"/>
                <w:highlight w:val="none"/>
              </w:rPr>
              <w:t>水表技术要求</w:t>
            </w:r>
          </w:p>
        </w:tc>
        <w:tc>
          <w:tcPr>
            <w:tcW w:w="2927" w:type="pct"/>
            <w:vAlign w:val="center"/>
          </w:tcPr>
          <w:p>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防护等级：IP68。</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Merge w:val="continue"/>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水表准确度等级：2级。</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Merge w:val="continue"/>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pStyle w:val="210"/>
              <w:keepNext w:val="0"/>
              <w:keepLines w:val="0"/>
              <w:pageBreakBefore w:val="0"/>
              <w:kinsoku/>
              <w:wordWrap/>
              <w:topLinePunct w:val="0"/>
              <w:bidi w:val="0"/>
              <w:adjustRightInd w:val="0"/>
              <w:snapToGrid w:val="0"/>
              <w:spacing w:beforeAutospacing="0" w:line="360" w:lineRule="auto"/>
              <w:ind w:left="0" w:leftChars="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634"/>
              <w:gridCol w:w="863"/>
              <w:gridCol w:w="1035"/>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w:t>
                  </w:r>
                </w:p>
              </w:tc>
              <w:tc>
                <w:tcPr>
                  <w:tcW w:w="634"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公称口径</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DN(mm)</w:t>
                  </w:r>
                </w:p>
              </w:tc>
              <w:tc>
                <w:tcPr>
                  <w:tcW w:w="863"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Q3（m³/h）</w:t>
                  </w:r>
                </w:p>
              </w:tc>
              <w:tc>
                <w:tcPr>
                  <w:tcW w:w="1035"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常用流量/最小流量</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Q3/Q1</w:t>
                  </w:r>
                </w:p>
              </w:tc>
              <w:tc>
                <w:tcPr>
                  <w:tcW w:w="1028" w:type="dxa"/>
                  <w:noWrap/>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分界流量/最小流量Q2/Q1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超声波水表（缩径）</w:t>
                  </w: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超声波水表（通径）</w:t>
                  </w: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86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103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02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bl>
          <w:p>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Merge w:val="continue"/>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★2.2.6 水表应印有“东莞水务集团供水公司L0G0+客服热线96968”字样</w:t>
            </w:r>
            <w:r>
              <w:rPr>
                <w:rFonts w:hint="eastAsia" w:ascii="宋体" w:hAnsi="宋体" w:eastAsia="宋体" w:cs="宋体"/>
                <w:color w:val="auto"/>
                <w:kern w:val="2"/>
                <w:sz w:val="21"/>
                <w:szCs w:val="21"/>
                <w:highlight w:val="none"/>
                <w:lang w:val="en-US" w:eastAsia="zh-CN"/>
              </w:rPr>
              <w:t>（具体样式中标后由招标人提供）</w:t>
            </w:r>
            <w:r>
              <w:rPr>
                <w:rFonts w:hint="eastAsia" w:ascii="宋体" w:hAnsi="宋体" w:eastAsia="宋体" w:cs="宋体"/>
                <w:color w:val="auto"/>
                <w:sz w:val="21"/>
                <w:szCs w:val="21"/>
                <w:highlight w:val="none"/>
                <w:lang w:val="en-US" w:eastAsia="zh-CN"/>
              </w:rPr>
              <w:t>，其中印刷费计入投标报价。</w:t>
            </w:r>
          </w:p>
          <w:p>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水表外壳、指示装置或铭牌、不可分离的表盖上，应集中或分散标明计量参数、流向箭头、公称口径、制造年月和编号等信息。</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Merge w:val="continue"/>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★2.2.17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color w:val="auto"/>
                <w:sz w:val="21"/>
                <w:szCs w:val="21"/>
                <w:highlight w:val="none"/>
                <w:lang w:val="en-US" w:eastAsia="zh-CN"/>
              </w:rPr>
              <w:t>）。</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Merge w:val="continue"/>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★2.3.7 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Merge w:val="continue"/>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★2.3.10 远传模块的通讯协议需符合招标人物联网终端传输规约的有关要求（需提供相关承诺文件）。</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Merge w:val="continue"/>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★2.3.11 平台对接：所有数据按招标人要求无缝融合到招标人智能水表管理系统，中标人需无偿配合远传水表的接入工作（需提供可无缝接入中标人所指定的系统管理平台的承诺函）。</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vAlign w:val="center"/>
          </w:tcPr>
          <w:p>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b w:val="0"/>
                <w:bCs/>
                <w:color w:val="auto"/>
                <w:kern w:val="0"/>
                <w:sz w:val="18"/>
                <w:szCs w:val="18"/>
                <w:highlight w:val="none"/>
              </w:rPr>
            </w:pPr>
            <w:r>
              <w:rPr>
                <w:rFonts w:hint="eastAsia" w:ascii="宋体" w:hAnsi="宋体" w:eastAsia="宋体" w:cs="宋体"/>
                <w:color w:val="auto"/>
                <w:sz w:val="21"/>
                <w:szCs w:val="21"/>
                <w:highlight w:val="none"/>
              </w:rPr>
              <w:t>用户需求书</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技术参数条款汇总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宋体"/>
                <w:color w:val="auto"/>
                <w:sz w:val="21"/>
                <w:szCs w:val="21"/>
                <w:highlight w:val="none"/>
              </w:rPr>
              <w:t>水表技术要求</w:t>
            </w:r>
          </w:p>
        </w:tc>
        <w:tc>
          <w:tcPr>
            <w:tcW w:w="2927" w:type="pct"/>
            <w:vAlign w:val="center"/>
          </w:tcPr>
          <w:p>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电磁环境等级：</w:t>
            </w:r>
            <w:r>
              <w:rPr>
                <w:rFonts w:hint="eastAsia" w:ascii="宋体" w:hAnsi="宋体" w:eastAsia="宋体" w:cs="宋体"/>
                <w:color w:val="auto"/>
                <w:kern w:val="0"/>
                <w:sz w:val="21"/>
                <w:szCs w:val="21"/>
                <w:highlight w:val="none"/>
                <w:lang w:val="en-US" w:eastAsia="zh-CN"/>
              </w:rPr>
              <w:t>E2级</w:t>
            </w:r>
            <w:r>
              <w:rPr>
                <w:rFonts w:hint="eastAsia" w:ascii="宋体" w:hAnsi="宋体" w:eastAsia="宋体" w:cs="宋体"/>
                <w:color w:val="auto"/>
                <w:kern w:val="0"/>
                <w:sz w:val="21"/>
                <w:szCs w:val="21"/>
                <w:highlight w:val="none"/>
              </w:rPr>
              <w:t>。</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174"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5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27" w:type="pct"/>
            <w:vAlign w:val="center"/>
          </w:tcPr>
          <w:p>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 ，抄读准确率≥99%</w:t>
            </w:r>
            <w:r>
              <w:rPr>
                <w:rFonts w:hint="eastAsia" w:ascii="宋体" w:hAnsi="宋体" w:eastAsia="宋体" w:cs="宋体"/>
                <w:b/>
                <w:bCs/>
                <w:color w:val="auto"/>
                <w:kern w:val="0"/>
                <w:sz w:val="21"/>
                <w:szCs w:val="21"/>
                <w:highlight w:val="none"/>
              </w:rPr>
              <w:t>（投标人提供相关水表用户使用情况及证明材料）</w:t>
            </w:r>
            <w:r>
              <w:rPr>
                <w:rFonts w:hint="eastAsia" w:ascii="宋体" w:hAnsi="宋体" w:eastAsia="宋体" w:cs="宋体"/>
                <w:color w:val="auto"/>
                <w:kern w:val="0"/>
                <w:sz w:val="21"/>
                <w:szCs w:val="21"/>
                <w:highlight w:val="none"/>
              </w:rPr>
              <w:t>。</w:t>
            </w: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33"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或“</w:t>
      </w:r>
      <w:r>
        <w:rPr>
          <w:rFonts w:hint="eastAsia" w:ascii="宋体" w:hAnsi="宋体" w:eastAsia="宋体" w:cs="宋体"/>
          <w:color w:val="auto"/>
          <w:kern w:val="0"/>
          <w:sz w:val="21"/>
          <w:szCs w:val="21"/>
          <w:highlight w:val="none"/>
        </w:rPr>
        <w:t>▲</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条款须逐条逐项、如实地填写“偏离情况”，未填写“★”条款</w:t>
      </w:r>
      <w:r>
        <w:rPr>
          <w:rFonts w:hint="eastAsia" w:ascii="宋体" w:hAnsi="宋体" w:eastAsia="宋体" w:cs="宋体"/>
          <w:b/>
          <w:color w:val="auto"/>
          <w:szCs w:val="21"/>
          <w:highlight w:val="none"/>
          <w:u w:val="single"/>
          <w:lang w:val="en-US" w:eastAsia="zh-CN"/>
        </w:rPr>
        <w:t>及“</w:t>
      </w:r>
      <w:r>
        <w:rPr>
          <w:rFonts w:hint="eastAsia" w:ascii="宋体" w:hAnsi="宋体" w:eastAsia="宋体" w:cs="宋体"/>
          <w:color w:val="auto"/>
          <w:kern w:val="0"/>
          <w:sz w:val="21"/>
          <w:szCs w:val="21"/>
          <w:highlight w:val="none"/>
        </w:rPr>
        <w:t>▲</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ind w:left="645" w:leftChars="0" w:hanging="645" w:hangingChars="306"/>
        <w:rPr>
          <w:rFonts w:hint="eastAsia"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w:t>
      </w:r>
      <w:r>
        <w:rPr>
          <w:rFonts w:hint="eastAsia" w:ascii="宋体" w:hAnsi="宋体" w:eastAsia="宋体" w:cs="Times New Roman"/>
          <w:b/>
          <w:color w:val="auto"/>
          <w:kern w:val="0"/>
          <w:szCs w:val="21"/>
          <w:highlight w:val="none"/>
          <w:u w:val="single"/>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pPr>
        <w:spacing w:line="360" w:lineRule="auto"/>
        <w:ind w:left="689" w:leftChars="18" w:hanging="651" w:hangingChars="270"/>
        <w:rPr>
          <w:rFonts w:ascii="宋体" w:hAnsi="宋体" w:eastAsia="宋体" w:cs="Times New Roman"/>
          <w:b/>
          <w:color w:val="auto"/>
          <w:kern w:val="0"/>
          <w:sz w:val="24"/>
          <w:szCs w:val="21"/>
          <w:highlight w:val="none"/>
          <w:u w:val="single"/>
          <w:lang w:val="zh-CN"/>
        </w:rPr>
      </w:pP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bookmarkStart w:id="637" w:name="_Toc94107224"/>
      <w:bookmarkStart w:id="638" w:name="_Toc20665"/>
      <w:bookmarkStart w:id="639" w:name="_Toc28623"/>
      <w:bookmarkStart w:id="640" w:name="_Toc102860087"/>
      <w:bookmarkStart w:id="641" w:name="_Toc102860431"/>
      <w:bookmarkStart w:id="642" w:name="_Toc104991889"/>
      <w:bookmarkStart w:id="643" w:name="_Toc142508382"/>
      <w:bookmarkStart w:id="644" w:name="_Toc140596942"/>
    </w:p>
    <w:bookmarkEnd w:id="637"/>
    <w:bookmarkEnd w:id="638"/>
    <w:bookmarkEnd w:id="639"/>
    <w:bookmarkEnd w:id="640"/>
    <w:bookmarkEnd w:id="641"/>
    <w:bookmarkEnd w:id="642"/>
    <w:bookmarkEnd w:id="643"/>
    <w:bookmarkEnd w:id="644"/>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eastAsia="zh-CN"/>
        </w:rPr>
      </w:pPr>
      <w:bookmarkStart w:id="645" w:name="_Toc6926"/>
      <w:bookmarkStart w:id="646" w:name="_Toc102860094"/>
      <w:bookmarkStart w:id="647" w:name="_Toc142508389"/>
      <w:bookmarkStart w:id="648" w:name="_Toc104991896"/>
      <w:bookmarkStart w:id="649" w:name="_Toc140596949"/>
      <w:bookmarkStart w:id="650" w:name="_Toc102860438"/>
      <w:bookmarkStart w:id="651" w:name="_Toc533708139"/>
      <w:r>
        <w:rPr>
          <w:rFonts w:hint="eastAsia" w:ascii="宋体" w:hAnsi="宋体" w:eastAsia="宋体" w:cs="宋体"/>
          <w:b/>
          <w:bCs/>
          <w:color w:val="auto"/>
          <w:sz w:val="30"/>
          <w:szCs w:val="30"/>
          <w:highlight w:val="none"/>
          <w:lang w:val="en-US" w:eastAsia="zh-CN"/>
        </w:rPr>
        <w:t>12.1.1</w:t>
      </w:r>
      <w:r>
        <w:rPr>
          <w:rFonts w:hint="eastAsia" w:ascii="宋体" w:hAnsi="宋体" w:eastAsia="宋体" w:cs="宋体"/>
          <w:b/>
          <w:bCs/>
          <w:color w:val="auto"/>
          <w:sz w:val="30"/>
          <w:szCs w:val="30"/>
          <w:highlight w:val="none"/>
        </w:rPr>
        <w:t xml:space="preserve"> 首次检定：</w:t>
      </w:r>
      <w:r>
        <w:rPr>
          <w:rFonts w:hint="eastAsia" w:ascii="宋体" w:hAnsi="宋体" w:eastAsia="宋体" w:cs="宋体"/>
          <w:b/>
          <w:bCs/>
          <w:color w:val="auto"/>
          <w:sz w:val="30"/>
          <w:szCs w:val="30"/>
          <w:highlight w:val="none"/>
          <w:lang w:val="en-US" w:eastAsia="zh-CN"/>
        </w:rPr>
        <w:t>中标</w:t>
      </w:r>
      <w:r>
        <w:rPr>
          <w:rFonts w:hint="eastAsia" w:ascii="宋体" w:hAnsi="宋体" w:eastAsia="宋体" w:cs="宋体"/>
          <w:b/>
          <w:bCs/>
          <w:color w:val="auto"/>
          <w:sz w:val="30"/>
          <w:szCs w:val="30"/>
          <w:highlight w:val="none"/>
        </w:rPr>
        <w:t>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投标阶段需就上述事项提供相关承诺文件）</w:t>
      </w:r>
      <w:r>
        <w:rPr>
          <w:rFonts w:hint="eastAsia" w:ascii="宋体" w:hAnsi="宋体" w:eastAsia="宋体" w:cs="宋体"/>
          <w:b/>
          <w:bCs/>
          <w:color w:val="auto"/>
          <w:sz w:val="30"/>
          <w:szCs w:val="30"/>
          <w:highlight w:val="none"/>
          <w:lang w:eastAsia="zh-CN"/>
        </w:rPr>
        <w:t>。</w:t>
      </w:r>
    </w:p>
    <w:p>
      <w:pPr>
        <w:rPr>
          <w:rFonts w:hint="eastAsia"/>
          <w:color w:val="auto"/>
          <w:highlight w:val="none"/>
          <w:lang w:val="en-US" w:eastAsia="zh-CN"/>
        </w:rPr>
      </w:pP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12.1.2 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p>
    <w:p>
      <w:pPr>
        <w:rPr>
          <w:rFonts w:hint="eastAsia"/>
          <w:color w:val="auto"/>
          <w:highlight w:val="none"/>
          <w:lang w:val="en-US" w:eastAsia="zh-CN"/>
        </w:rPr>
      </w:pPr>
      <w:r>
        <w:rPr>
          <w:rFonts w:hint="eastAsia"/>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12.1.3 远传模块的通讯协议需符合招标人物联网终端传输规约的有关要求（需提供相关承诺文件）。</w:t>
      </w:r>
    </w:p>
    <w:p>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12.1.4 平台对接：所有数据按招标人要求无缝融合到招标人智能水表管理系统，中标人需无偿配合远传水表的接入工作（需提供可无缝接入中标人所指定的系统管理平台的承诺函）。</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kern w:val="2"/>
          <w:sz w:val="30"/>
          <w:szCs w:val="30"/>
          <w:highlight w:val="none"/>
          <w:lang w:val="en-US" w:eastAsia="zh-CN"/>
        </w:rPr>
        <w:t>12.1.5 日</w:t>
      </w:r>
      <w:r>
        <w:rPr>
          <w:rFonts w:hint="eastAsia" w:ascii="宋体" w:hAnsi="宋体" w:eastAsia="宋体" w:cs="宋体"/>
          <w:b/>
          <w:bCs/>
          <w:color w:val="auto"/>
          <w:kern w:val="2"/>
          <w:sz w:val="30"/>
          <w:szCs w:val="30"/>
          <w:highlight w:val="none"/>
        </w:rPr>
        <w:t>数据传输成功率≥99% ，抄读准确率≥99%（投标人提供相关水表用户使用情况及证明材料）。</w:t>
      </w:r>
    </w:p>
    <w:p>
      <w:pPr>
        <w:pStyle w:val="18"/>
        <w:rPr>
          <w:rFonts w:hint="eastAsia" w:ascii="宋体" w:hAnsi="宋体" w:eastAsia="宋体" w:cs="宋体"/>
          <w:b/>
          <w:color w:val="auto"/>
          <w:kern w:val="0"/>
          <w:sz w:val="30"/>
          <w:szCs w:val="30"/>
          <w:highlight w:val="none"/>
          <w:lang w:val="en-US" w:eastAsia="zh-CN"/>
        </w:rPr>
      </w:pPr>
    </w:p>
    <w:p>
      <w:pPr>
        <w:pStyle w:val="37"/>
        <w:rPr>
          <w:rFonts w:hint="eastAsia" w:ascii="宋体" w:hAnsi="宋体" w:eastAsia="宋体" w:cs="宋体"/>
          <w:b/>
          <w:color w:val="auto"/>
          <w:kern w:val="0"/>
          <w:sz w:val="30"/>
          <w:szCs w:val="30"/>
          <w:highlight w:val="none"/>
          <w:lang w:val="en-US" w:eastAsia="zh-CN"/>
        </w:rPr>
      </w:pPr>
    </w:p>
    <w:p>
      <w:pPr>
        <w:pStyle w:val="38"/>
        <w:rPr>
          <w:rFonts w:hint="eastAsia" w:ascii="宋体" w:hAnsi="宋体" w:eastAsia="宋体" w:cs="宋体"/>
          <w:b/>
          <w:color w:val="auto"/>
          <w:kern w:val="0"/>
          <w:sz w:val="30"/>
          <w:szCs w:val="30"/>
          <w:highlight w:val="none"/>
          <w:lang w:val="en-US" w:eastAsia="zh-CN"/>
        </w:rPr>
      </w:pPr>
    </w:p>
    <w:p>
      <w:pPr>
        <w:pStyle w:val="12"/>
        <w:rPr>
          <w:rFonts w:hint="eastAsia"/>
          <w:color w:val="auto"/>
          <w:highlight w:val="none"/>
          <w:lang w:val="en-US" w:eastAsia="zh-CN"/>
        </w:rPr>
      </w:pP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12.2 供货货物清单表格式</w:t>
      </w:r>
    </w:p>
    <w:p>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12"/>
        <w:gridCol w:w="1093"/>
        <w:gridCol w:w="1037"/>
        <w:gridCol w:w="1170"/>
        <w:gridCol w:w="1093"/>
        <w:gridCol w:w="1093"/>
        <w:gridCol w:w="1093"/>
        <w:gridCol w:w="1093"/>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72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2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口径规格</w:t>
            </w:r>
          </w:p>
        </w:tc>
        <w:tc>
          <w:tcPr>
            <w:tcW w:w="52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2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2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52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23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1 </w:t>
            </w:r>
          </w:p>
        </w:tc>
        <w:tc>
          <w:tcPr>
            <w:tcW w:w="729" w:type="pct"/>
            <w:vMerge w:val="restart"/>
            <w:tcBorders>
              <w:top w:val="single" w:color="auto" w:sz="4" w:space="0"/>
              <w:left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 xml:space="preserve">缩径超声波水表 </w:t>
            </w:r>
          </w:p>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588</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2 </w:t>
            </w:r>
          </w:p>
        </w:tc>
        <w:tc>
          <w:tcPr>
            <w:tcW w:w="729" w:type="pct"/>
            <w:vMerge w:val="continue"/>
            <w:tcBorders>
              <w:left w:val="single" w:color="auto" w:sz="4" w:space="0"/>
              <w:right w:val="single" w:color="auto" w:sz="4" w:space="0"/>
            </w:tcBorders>
            <w:noWrap w:val="0"/>
            <w:vAlign w:val="top"/>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779</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3 </w:t>
            </w:r>
          </w:p>
        </w:tc>
        <w:tc>
          <w:tcPr>
            <w:tcW w:w="729" w:type="pct"/>
            <w:vMerge w:val="continue"/>
            <w:tcBorders>
              <w:left w:val="single" w:color="auto" w:sz="4" w:space="0"/>
              <w:right w:val="single" w:color="auto" w:sz="4" w:space="0"/>
            </w:tcBorders>
            <w:noWrap w:val="0"/>
            <w:vAlign w:val="top"/>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314</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4 </w:t>
            </w:r>
          </w:p>
        </w:tc>
        <w:tc>
          <w:tcPr>
            <w:tcW w:w="729" w:type="pct"/>
            <w:vMerge w:val="continue"/>
            <w:tcBorders>
              <w:left w:val="single" w:color="auto" w:sz="4" w:space="0"/>
              <w:right w:val="single" w:color="auto" w:sz="4" w:space="0"/>
            </w:tcBorders>
            <w:noWrap w:val="0"/>
            <w:vAlign w:val="top"/>
          </w:tcPr>
          <w:p>
            <w:pPr>
              <w:autoSpaceDE w:val="0"/>
              <w:autoSpaceDN w:val="0"/>
              <w:adjustRightInd w:val="0"/>
              <w:spacing w:line="400" w:lineRule="exact"/>
              <w:jc w:val="center"/>
              <w:rPr>
                <w:rFonts w:ascii="宋体" w:hAnsi="宋体" w:eastAsia="宋体"/>
                <w:color w:val="auto"/>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76</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729" w:type="pct"/>
            <w:vMerge w:val="continue"/>
            <w:tcBorders>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center"/>
              <w:rPr>
                <w:rFonts w:ascii="宋体" w:hAnsi="宋体" w:eastAsia="宋体"/>
                <w:color w:val="auto"/>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23</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6 </w:t>
            </w:r>
          </w:p>
        </w:tc>
        <w:tc>
          <w:tcPr>
            <w:tcW w:w="729" w:type="pct"/>
            <w:vMerge w:val="restart"/>
            <w:tcBorders>
              <w:top w:val="single" w:color="auto" w:sz="4" w:space="0"/>
              <w:left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 xml:space="preserve">通径超声波水表 </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160</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7 </w:t>
            </w:r>
          </w:p>
        </w:tc>
        <w:tc>
          <w:tcPr>
            <w:tcW w:w="729" w:type="pct"/>
            <w:vMerge w:val="continue"/>
            <w:tcBorders>
              <w:left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249</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8 </w:t>
            </w:r>
          </w:p>
        </w:tc>
        <w:tc>
          <w:tcPr>
            <w:tcW w:w="729" w:type="pct"/>
            <w:vMerge w:val="continue"/>
            <w:tcBorders>
              <w:left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250</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9 </w:t>
            </w:r>
          </w:p>
        </w:tc>
        <w:tc>
          <w:tcPr>
            <w:tcW w:w="729" w:type="pct"/>
            <w:vMerge w:val="continue"/>
            <w:tcBorders>
              <w:left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111</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10</w:t>
            </w:r>
          </w:p>
        </w:tc>
        <w:tc>
          <w:tcPr>
            <w:tcW w:w="729" w:type="pct"/>
            <w:vMerge w:val="continue"/>
            <w:tcBorders>
              <w:left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DN250</w:t>
            </w:r>
          </w:p>
        </w:tc>
        <w:tc>
          <w:tcPr>
            <w:tcW w:w="52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15</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11</w:t>
            </w:r>
          </w:p>
        </w:tc>
        <w:tc>
          <w:tcPr>
            <w:tcW w:w="729" w:type="pct"/>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52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i w:val="0"/>
                <w:iCs w:val="0"/>
                <w:color w:val="auto"/>
                <w:sz w:val="21"/>
                <w:szCs w:val="21"/>
                <w:highlight w:val="none"/>
                <w:u w:val="none"/>
                <w:lang w:val="en-US" w:eastAsia="zh-CN"/>
              </w:rPr>
              <w:t>33</w:t>
            </w: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pPr>
        <w:outlineLvl w:val="9"/>
        <w:rPr>
          <w:rFonts w:hint="eastAsia" w:ascii="宋体" w:hAnsi="宋体" w:eastAsia="宋体" w:cs="宋体"/>
          <w:b/>
          <w:color w:val="auto"/>
          <w:kern w:val="0"/>
          <w:sz w:val="30"/>
          <w:szCs w:val="30"/>
          <w:highlight w:val="none"/>
          <w:lang w:val="en-US" w:eastAsia="zh-CN"/>
        </w:rPr>
      </w:pPr>
    </w:p>
    <w:p>
      <w:pPr>
        <w:outlineLvl w:val="9"/>
        <w:rPr>
          <w:rFonts w:hint="eastAsia" w:ascii="宋体" w:hAnsi="宋体" w:eastAsia="宋体" w:cs="宋体"/>
          <w:b/>
          <w:color w:val="auto"/>
          <w:kern w:val="0"/>
          <w:sz w:val="30"/>
          <w:szCs w:val="30"/>
          <w:highlight w:val="none"/>
          <w:lang w:val="en-US" w:eastAsia="zh-CN"/>
        </w:rPr>
      </w:pP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12.3 研发能力及产品先进性</w:t>
      </w:r>
    </w:p>
    <w:p>
      <w:pPr>
        <w:spacing w:line="360" w:lineRule="auto"/>
        <w:outlineLvl w:val="9"/>
        <w:rPr>
          <w:rFonts w:hint="eastAsia" w:ascii="宋体" w:hAnsi="宋体" w:eastAsia="宋体" w:cs="宋体"/>
          <w:b/>
          <w:bCs/>
          <w:color w:val="auto"/>
          <w:kern w:val="2"/>
          <w:sz w:val="21"/>
          <w:szCs w:val="21"/>
          <w:highlight w:val="none"/>
          <w:lang w:val="en-US" w:eastAsia="zh-CN" w:bidi="ar-SA"/>
        </w:rPr>
      </w:pPr>
    </w:p>
    <w:p>
      <w:pPr>
        <w:spacing w:line="360" w:lineRule="auto"/>
        <w:outlineLvl w:val="9"/>
        <w:rPr>
          <w:rFonts w:hint="default" w:asciiTheme="minorHAnsi" w:hAnsiTheme="minorHAnsi" w:eastAsiaTheme="minorEastAsia" w:cstheme="minorBidi"/>
          <w:b w:val="0"/>
          <w:color w:val="auto"/>
          <w:kern w:val="2"/>
          <w:sz w:val="21"/>
          <w:szCs w:val="22"/>
          <w:highlight w:val="none"/>
          <w:lang w:val="en-US" w:eastAsia="zh-CN"/>
        </w:rPr>
      </w:pPr>
      <w:r>
        <w:rPr>
          <w:rFonts w:hint="eastAsia" w:ascii="宋体" w:hAnsi="宋体" w:eastAsia="宋体" w:cs="宋体"/>
          <w:b/>
          <w:bCs/>
          <w:color w:val="auto"/>
          <w:kern w:val="0"/>
          <w:sz w:val="21"/>
          <w:szCs w:val="21"/>
          <w:highlight w:val="none"/>
          <w:lang w:val="zh-CN" w:eastAsia="zh-CN" w:bidi="ar-SA"/>
        </w:rPr>
        <w:t>备注：投标人应提供相关的许可、批复、专利证书、</w:t>
      </w:r>
      <w:r>
        <w:rPr>
          <w:rFonts w:hint="eastAsia" w:ascii="宋体" w:hAnsi="宋体" w:eastAsia="宋体" w:cs="宋体"/>
          <w:b/>
          <w:bCs/>
          <w:color w:val="auto"/>
          <w:kern w:val="0"/>
          <w:sz w:val="21"/>
          <w:szCs w:val="21"/>
          <w:highlight w:val="none"/>
          <w:lang w:val="en-US" w:eastAsia="zh-CN" w:bidi="ar-SA"/>
        </w:rPr>
        <w:t>技术认证证书</w:t>
      </w:r>
      <w:r>
        <w:rPr>
          <w:rFonts w:hint="eastAsia" w:ascii="宋体" w:hAnsi="宋体" w:eastAsia="宋体" w:cs="宋体"/>
          <w:b/>
          <w:bCs/>
          <w:color w:val="auto"/>
          <w:kern w:val="0"/>
          <w:sz w:val="21"/>
          <w:szCs w:val="21"/>
          <w:highlight w:val="none"/>
          <w:lang w:val="zh-CN" w:eastAsia="zh-CN" w:bidi="ar-SA"/>
        </w:rPr>
        <w:t>及其他相关资料等证明文件的扫描件，其中ISO10012（或GB/T 19022）测量管理体系认证证书除提供证书扫描件外,还需提供能显示证书有效状态的全国认证认可信息公共服务平台（http://cx.cnca.cn/）查询结果凭证{凭证界面需显示有“全国认证认可信息公共服务平台”或“认证证书（需显示网址cx.cnca. cn）”}，以投标人提供的上述资料作为评审依据，未按要求提供上述资料或不能体现与投标人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kern w:val="0"/>
          <w:sz w:val="21"/>
          <w:szCs w:val="21"/>
          <w:highlight w:val="none"/>
          <w:lang w:val="zh-CN" w:eastAsia="zh-CN" w:bidi="ar-SA"/>
        </w:rPr>
        <w:t>关系的不得分。</w:t>
      </w:r>
      <w:r>
        <w:rPr>
          <w:rFonts w:hint="eastAsia" w:ascii="宋体" w:hAnsi="宋体" w:eastAsia="宋体" w:cs="宋体"/>
          <w:b w:val="0"/>
          <w:color w:val="auto"/>
          <w:kern w:val="0"/>
          <w:sz w:val="21"/>
          <w:szCs w:val="21"/>
          <w:highlight w:val="none"/>
          <w:lang w:val="zh-CN" w:eastAsia="zh-CN" w:bidi="ar-SA"/>
        </w:rPr>
        <w:t xml:space="preserve"> </w:t>
      </w:r>
      <w:r>
        <w:rPr>
          <w:rFonts w:hint="default" w:asciiTheme="minorHAnsi" w:hAnsiTheme="minorHAnsi" w:eastAsiaTheme="minorEastAsia" w:cstheme="minorBidi"/>
          <w:b w:val="0"/>
          <w:color w:val="auto"/>
          <w:kern w:val="2"/>
          <w:sz w:val="21"/>
          <w:szCs w:val="22"/>
          <w:highlight w:val="none"/>
          <w:lang w:val="en-US" w:eastAsia="zh-CN"/>
        </w:rPr>
        <w:br w:type="page"/>
      </w:r>
    </w:p>
    <w:p>
      <w:pPr>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12.4 投标产品的设计及性能</w:t>
      </w:r>
    </w:p>
    <w:p>
      <w:pPr>
        <w:rPr>
          <w:rFonts w:hint="eastAsia" w:ascii="宋体" w:hAnsi="宋体" w:eastAsia="宋体" w:cs="宋体"/>
          <w:b/>
          <w:color w:val="auto"/>
          <w:kern w:val="0"/>
          <w:sz w:val="30"/>
          <w:szCs w:val="30"/>
          <w:highlight w:val="none"/>
          <w:lang w:val="en-US" w:eastAsia="zh-CN"/>
        </w:rPr>
      </w:pPr>
    </w:p>
    <w:p>
      <w:pPr>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、投标人提供的水表类型【提供：DN100缩径设计超声波水表和DN150通径设计超声波水表】的省级或省级以上质量监督检测机构或第三方具有 CMA 资格的检测机构或第三方具有CNAS 认证的检测机构出具的检验报告进行评审。</w:t>
      </w:r>
      <w:r>
        <w:rPr>
          <w:rFonts w:hint="eastAsia" w:ascii="宋体" w:hAnsi="宋体" w:eastAsia="宋体" w:cs="宋体"/>
          <w:b/>
          <w:color w:val="auto"/>
          <w:kern w:val="0"/>
          <w:sz w:val="30"/>
          <w:szCs w:val="30"/>
          <w:highlight w:val="none"/>
          <w:lang w:val="en-US" w:eastAsia="zh-CN"/>
        </w:rPr>
        <w:br w:type="page"/>
      </w:r>
    </w:p>
    <w:p>
      <w:pPr>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12.5 生产制造能力</w:t>
      </w:r>
    </w:p>
    <w:p>
      <w:pPr>
        <w:spacing w:line="360" w:lineRule="auto"/>
        <w:rPr>
          <w:rFonts w:hint="eastAsia" w:ascii="宋体" w:hAnsi="宋体" w:eastAsia="宋体" w:cs="宋体"/>
          <w:b/>
          <w:bCs/>
          <w:color w:val="auto"/>
          <w:kern w:val="0"/>
          <w:szCs w:val="21"/>
          <w:highlight w:val="none"/>
          <w:shd w:val="clear" w:color="auto" w:fill="auto"/>
          <w:lang w:val="en-US" w:eastAsia="zh-CN"/>
        </w:rPr>
      </w:pPr>
    </w:p>
    <w:p>
      <w:pPr>
        <w:spacing w:line="360" w:lineRule="auto"/>
        <w:rPr>
          <w:rFonts w:hint="default"/>
          <w:color w:val="auto"/>
          <w:highlight w:val="none"/>
          <w:lang w:val="en-US" w:eastAsia="zh-CN"/>
        </w:rPr>
      </w:pPr>
      <w:r>
        <w:rPr>
          <w:rFonts w:hint="eastAsia" w:ascii="宋体" w:hAnsi="宋体" w:eastAsia="宋体" w:cs="宋体"/>
          <w:b/>
          <w:bCs/>
          <w:color w:val="auto"/>
          <w:kern w:val="0"/>
          <w:szCs w:val="21"/>
          <w:highlight w:val="none"/>
          <w:shd w:val="clear" w:color="auto" w:fill="auto"/>
          <w:lang w:val="en-US" w:eastAsia="zh-CN"/>
        </w:rPr>
        <w:t>备注：投标人应提供2025年1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bookmarkEnd w:id="645"/>
    <w:p>
      <w:pPr>
        <w:outlineLvl w:val="9"/>
        <w:rPr>
          <w:rFonts w:hint="eastAsia" w:ascii="宋体" w:hAnsi="宋体" w:eastAsia="宋体" w:cs="宋体"/>
          <w:b/>
          <w:color w:val="auto"/>
          <w:kern w:val="0"/>
          <w:sz w:val="30"/>
          <w:szCs w:val="30"/>
          <w:highlight w:val="none"/>
          <w:lang w:val="en-US" w:eastAsia="zh-CN"/>
        </w:rPr>
      </w:pPr>
      <w:bookmarkStart w:id="652" w:name="_Toc27500"/>
      <w:r>
        <w:rPr>
          <w:rFonts w:hint="eastAsia" w:ascii="宋体" w:hAnsi="宋体" w:eastAsia="宋体" w:cs="宋体"/>
          <w:b/>
          <w:color w:val="auto"/>
          <w:kern w:val="0"/>
          <w:sz w:val="30"/>
          <w:szCs w:val="30"/>
          <w:highlight w:val="none"/>
          <w:lang w:val="en-US" w:eastAsia="zh-CN"/>
        </w:rPr>
        <w:br w:type="page"/>
      </w:r>
      <w:bookmarkEnd w:id="652"/>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53" w:name="_Toc29744"/>
      <w:bookmarkStart w:id="654" w:name="_Toc1222"/>
      <w:bookmarkStart w:id="655" w:name="_Toc770"/>
      <w:r>
        <w:rPr>
          <w:rFonts w:hint="eastAsia" w:ascii="宋体" w:hAnsi="宋体" w:eastAsia="宋体" w:cs="宋体"/>
          <w:b/>
          <w:color w:val="auto"/>
          <w:kern w:val="0"/>
          <w:sz w:val="30"/>
          <w:szCs w:val="30"/>
          <w:highlight w:val="none"/>
          <w:lang w:val="en-US" w:eastAsia="zh-CN"/>
        </w:rPr>
        <w:t>12.</w:t>
      </w:r>
      <w:bookmarkEnd w:id="653"/>
      <w:r>
        <w:rPr>
          <w:rFonts w:hint="eastAsia" w:ascii="宋体" w:hAnsi="宋体" w:eastAsia="宋体" w:cs="宋体"/>
          <w:b/>
          <w:color w:val="auto"/>
          <w:kern w:val="0"/>
          <w:sz w:val="30"/>
          <w:szCs w:val="30"/>
          <w:highlight w:val="none"/>
          <w:lang w:val="en-US" w:eastAsia="zh-CN"/>
        </w:rPr>
        <w:t>6 售后服务方案</w:t>
      </w:r>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646"/>
    <w:bookmarkEnd w:id="647"/>
    <w:bookmarkEnd w:id="648"/>
    <w:bookmarkEnd w:id="649"/>
    <w:bookmarkEnd w:id="650"/>
    <w:bookmarkEnd w:id="654"/>
    <w:bookmarkEnd w:id="655"/>
    <w:p>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12.7 售后服务响应时间承诺</w:t>
      </w:r>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《售后服务响应时间承诺表》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我司</w:t>
            </w:r>
            <w:r>
              <w:rPr>
                <w:rFonts w:hint="eastAsia" w:ascii="宋体" w:hAnsi="宋体" w:eastAsia="宋体" w:cs="宋体"/>
                <w:color w:val="auto"/>
                <w:sz w:val="21"/>
                <w:szCs w:val="21"/>
                <w:highlight w:val="none"/>
                <w:shd w:val="clear" w:color="auto" w:fill="FFFFFF"/>
                <w:lang w:eastAsia="zh-CN"/>
              </w:rPr>
              <w:t>承诺在接到招标人的</w:t>
            </w:r>
            <w:r>
              <w:rPr>
                <w:rFonts w:hint="eastAsia" w:ascii="宋体" w:hAnsi="宋体" w:eastAsia="宋体" w:cs="宋体"/>
                <w:color w:val="auto"/>
                <w:szCs w:val="21"/>
                <w:highlight w:val="none"/>
                <w:lang w:val="en-US" w:eastAsia="zh-CN"/>
              </w:rPr>
              <w:t>售后服务通知</w:t>
            </w:r>
            <w:r>
              <w:rPr>
                <w:rFonts w:hint="eastAsia" w:ascii="宋体" w:hAnsi="宋体" w:eastAsia="宋体" w:cs="宋体"/>
                <w:color w:val="auto"/>
                <w:sz w:val="21"/>
                <w:szCs w:val="21"/>
                <w:highlight w:val="none"/>
                <w:shd w:val="clear" w:color="auto" w:fill="FFFFFF"/>
                <w:lang w:eastAsia="zh-CN"/>
              </w:rPr>
              <w:t>后</w:t>
            </w:r>
            <w:r>
              <w:rPr>
                <w:rFonts w:hint="eastAsia" w:ascii="宋体" w:hAnsi="宋体" w:eastAsia="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小时内响应，</w:t>
            </w:r>
            <w:r>
              <w:rPr>
                <w:rFonts w:hint="eastAsia" w:ascii="宋体" w:hAnsi="宋体" w:eastAsia="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小时内到达项目现场进行维修等服务。</w:t>
            </w:r>
          </w:p>
        </w:tc>
      </w:tr>
    </w:tbl>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12.8 </w:t>
      </w:r>
      <w:r>
        <w:rPr>
          <w:rFonts w:hint="eastAsia" w:ascii="宋体" w:hAnsi="宋体" w:eastAsia="宋体" w:cs="宋体"/>
          <w:b/>
          <w:color w:val="auto"/>
          <w:kern w:val="0"/>
          <w:sz w:val="30"/>
          <w:szCs w:val="30"/>
          <w:highlight w:val="none"/>
        </w:rPr>
        <w:t>投标人认为有必要提供的其它材料（不做强制要求）</w:t>
      </w:r>
    </w:p>
    <w:p>
      <w:pPr>
        <w:pStyle w:val="18"/>
        <w:rPr>
          <w:rFonts w:hint="eastAsia"/>
          <w:color w:val="auto"/>
          <w:highlight w:val="none"/>
          <w:lang w:val="en-US" w:eastAsia="zh-CN"/>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56" w:name="_Toc25469"/>
      <w:bookmarkStart w:id="657" w:name="_Toc24913"/>
      <w:bookmarkStart w:id="658" w:name="_Toc28845"/>
      <w:bookmarkStart w:id="659" w:name="_Toc142508390"/>
      <w:bookmarkStart w:id="660" w:name="_Toc521918141"/>
      <w:bookmarkStart w:id="661" w:name="_Toc22601_WPSOffice_Level1"/>
      <w:bookmarkStart w:id="662" w:name="_Toc522047402"/>
      <w:r>
        <w:rPr>
          <w:rFonts w:hint="eastAsia" w:ascii="宋体" w:hAnsi="宋体" w:eastAsia="宋体" w:cs="宋体"/>
          <w:b/>
          <w:bCs/>
          <w:color w:val="auto"/>
          <w:kern w:val="44"/>
          <w:sz w:val="32"/>
          <w:szCs w:val="32"/>
          <w:highlight w:val="none"/>
          <w:lang w:val="zh-CN"/>
        </w:rPr>
        <w:t>附件一：评标工作大纲</w:t>
      </w:r>
      <w:bookmarkEnd w:id="656"/>
      <w:bookmarkEnd w:id="657"/>
      <w:bookmarkEnd w:id="658"/>
      <w:bookmarkEnd w:id="659"/>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东莞市供水计量设施更新项目（2025年计量仪表采购）－超声波水表</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663" w:name="_Toc14752_WPSOffice_Level1"/>
      <w:r>
        <w:rPr>
          <w:rFonts w:hint="eastAsia" w:ascii="宋体" w:hAnsi="宋体" w:eastAsia="宋体" w:cs="宋体"/>
          <w:b/>
          <w:bCs/>
          <w:color w:val="auto"/>
          <w:sz w:val="36"/>
          <w:szCs w:val="36"/>
          <w:highlight w:val="none"/>
          <w:lang w:val="zh-CN"/>
        </w:rPr>
        <w:t>（招标编号：0832-SFCX25DG078A）</w:t>
      </w:r>
      <w:bookmarkEnd w:id="663"/>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64" w:name="_Toc18947_WPSOffice_Level2"/>
      <w:r>
        <w:rPr>
          <w:rFonts w:hint="eastAsia" w:ascii="宋体" w:hAnsi="宋体" w:eastAsia="宋体" w:cs="宋体"/>
          <w:b/>
          <w:bCs/>
          <w:color w:val="auto"/>
          <w:sz w:val="72"/>
          <w:szCs w:val="72"/>
          <w:highlight w:val="none"/>
          <w:lang w:val="zh-CN"/>
        </w:rPr>
        <w:t>评标工作大纲</w:t>
      </w:r>
      <w:bookmarkEnd w:id="664"/>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65" w:name="_Toc32395_WPSOffice_Level1"/>
      <w:r>
        <w:rPr>
          <w:rFonts w:hint="eastAsia" w:ascii="宋体" w:hAnsi="宋体" w:eastAsia="宋体" w:cs="宋体"/>
          <w:b/>
          <w:bCs/>
          <w:color w:val="auto"/>
          <w:sz w:val="36"/>
          <w:szCs w:val="36"/>
          <w:highlight w:val="none"/>
          <w:lang w:val="zh-CN"/>
        </w:rPr>
        <w:t>目录</w:t>
      </w:r>
      <w:bookmarkEnd w:id="665"/>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66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66"/>
    </w:p>
    <w:p>
      <w:pPr>
        <w:autoSpaceDE w:val="0"/>
        <w:autoSpaceDN w:val="0"/>
        <w:adjustRightInd w:val="0"/>
        <w:spacing w:line="360" w:lineRule="auto"/>
        <w:ind w:left="567" w:hanging="567"/>
        <w:rPr>
          <w:rFonts w:ascii="宋体" w:hAnsi="宋体" w:eastAsia="宋体" w:cs="宋体"/>
          <w:color w:val="auto"/>
          <w:szCs w:val="30"/>
          <w:highlight w:val="none"/>
        </w:rPr>
      </w:pPr>
      <w:bookmarkStart w:id="66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67"/>
    </w:p>
    <w:p>
      <w:pPr>
        <w:autoSpaceDE w:val="0"/>
        <w:autoSpaceDN w:val="0"/>
        <w:adjustRightInd w:val="0"/>
        <w:spacing w:line="360" w:lineRule="auto"/>
        <w:ind w:left="567" w:hanging="567"/>
        <w:rPr>
          <w:rFonts w:ascii="宋体" w:hAnsi="宋体" w:eastAsia="宋体" w:cs="宋体"/>
          <w:color w:val="auto"/>
          <w:szCs w:val="30"/>
          <w:highlight w:val="none"/>
        </w:rPr>
      </w:pPr>
      <w:bookmarkStart w:id="66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68"/>
    </w:p>
    <w:p>
      <w:pPr>
        <w:autoSpaceDE w:val="0"/>
        <w:autoSpaceDN w:val="0"/>
        <w:adjustRightInd w:val="0"/>
        <w:spacing w:line="360" w:lineRule="auto"/>
        <w:ind w:left="567" w:hanging="567"/>
        <w:rPr>
          <w:rFonts w:ascii="宋体" w:hAnsi="宋体" w:eastAsia="宋体" w:cs="宋体"/>
          <w:color w:val="auto"/>
          <w:szCs w:val="30"/>
          <w:highlight w:val="none"/>
        </w:rPr>
      </w:pPr>
      <w:bookmarkStart w:id="669" w:name="_Toc1206_WPSOffice_Level1"/>
      <w:r>
        <w:rPr>
          <w:rFonts w:hint="eastAsia" w:ascii="宋体" w:hAnsi="宋体" w:eastAsia="宋体" w:cs="宋体"/>
          <w:color w:val="auto"/>
          <w:szCs w:val="30"/>
          <w:highlight w:val="none"/>
        </w:rPr>
        <w:t>四、 比较和评价</w:t>
      </w:r>
      <w:bookmarkEnd w:id="669"/>
    </w:p>
    <w:p>
      <w:pPr>
        <w:autoSpaceDE w:val="0"/>
        <w:autoSpaceDN w:val="0"/>
        <w:adjustRightInd w:val="0"/>
        <w:spacing w:line="360" w:lineRule="auto"/>
        <w:ind w:left="567" w:hanging="567"/>
        <w:rPr>
          <w:rFonts w:ascii="宋体" w:hAnsi="宋体" w:eastAsia="宋体" w:cs="宋体"/>
          <w:color w:val="auto"/>
          <w:szCs w:val="30"/>
          <w:highlight w:val="none"/>
        </w:rPr>
      </w:pPr>
      <w:bookmarkStart w:id="67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70"/>
    </w:p>
    <w:p>
      <w:pPr>
        <w:autoSpaceDE w:val="0"/>
        <w:autoSpaceDN w:val="0"/>
        <w:adjustRightInd w:val="0"/>
        <w:spacing w:line="360" w:lineRule="auto"/>
        <w:ind w:left="567" w:hanging="567"/>
        <w:rPr>
          <w:rFonts w:ascii="宋体" w:hAnsi="宋体" w:eastAsia="宋体" w:cs="宋体"/>
          <w:color w:val="auto"/>
          <w:szCs w:val="30"/>
          <w:highlight w:val="none"/>
        </w:rPr>
      </w:pPr>
      <w:bookmarkStart w:id="67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71"/>
    </w:p>
    <w:p>
      <w:pPr>
        <w:autoSpaceDE w:val="0"/>
        <w:autoSpaceDN w:val="0"/>
        <w:adjustRightInd w:val="0"/>
        <w:spacing w:line="360" w:lineRule="auto"/>
        <w:ind w:left="567" w:hanging="567"/>
        <w:rPr>
          <w:rFonts w:ascii="宋体" w:hAnsi="宋体" w:eastAsia="宋体" w:cs="宋体"/>
          <w:color w:val="auto"/>
          <w:szCs w:val="30"/>
          <w:highlight w:val="none"/>
        </w:rPr>
      </w:pPr>
      <w:bookmarkStart w:id="67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72"/>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7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73"/>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东莞市供水计量设施更新项目（2025年计量仪表采购）－超声波水表</w:t>
      </w:r>
      <w:r>
        <w:rPr>
          <w:rFonts w:hint="eastAsia" w:ascii="宋体" w:hAnsi="宋体" w:eastAsia="宋体" w:cs="宋体"/>
          <w:color w:val="auto"/>
          <w:szCs w:val="21"/>
          <w:highlight w:val="none"/>
          <w:lang w:val="zh-CN"/>
        </w:rPr>
        <w:t>(招标编号：0832-SFCX25DG078A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74" w:name="_Toc19435_WPSOffice_Level1"/>
      <w:r>
        <w:rPr>
          <w:rFonts w:hint="eastAsia" w:ascii="宋体" w:hAnsi="宋体" w:eastAsia="宋体" w:cs="宋体"/>
          <w:b/>
          <w:bCs/>
          <w:color w:val="auto"/>
          <w:sz w:val="28"/>
          <w:szCs w:val="28"/>
          <w:highlight w:val="none"/>
          <w:lang w:val="zh-CN"/>
        </w:rPr>
        <w:t>二、投标文件的初审</w:t>
      </w:r>
      <w:bookmarkEnd w:id="674"/>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7.6  存在投标产品制造商及其就本项目独家授权销售的经销商同时参与本项目的投标；</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75" w:name="_Toc4109_WPSOffice_Level1"/>
      <w:r>
        <w:rPr>
          <w:rFonts w:hint="eastAsia" w:ascii="宋体" w:hAnsi="宋体" w:eastAsia="宋体" w:cs="宋体"/>
          <w:b/>
          <w:bCs/>
          <w:color w:val="auto"/>
          <w:sz w:val="28"/>
          <w:szCs w:val="28"/>
          <w:highlight w:val="none"/>
          <w:lang w:val="zh-CN"/>
        </w:rPr>
        <w:t>三、澄清有关问题</w:t>
      </w:r>
      <w:bookmarkEnd w:id="675"/>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638" w:leftChars="304" w:firstLine="417" w:firstLineChars="199"/>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当以数字表示的报价系数与以文字表示的报价系数不一致时，以文字表示的报价系数为准。经双方确认后，作为投标人的投标报价。</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76"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76"/>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w:t>
      </w: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rPr>
        <w:t>中、差”评审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textAlignment w:val="auto"/>
        <w:outlineLvl w:val="2"/>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677"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77"/>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color w:val="auto"/>
                <w:szCs w:val="21"/>
                <w:highlight w:val="none"/>
                <w:lang w:val="zh-CN"/>
              </w:rPr>
              <w:t>备注：盈利指净利润为正数（非零、非负数），投标人应提供202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678" w:name="_Hlk104987354"/>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20</w:t>
            </w:r>
            <w:r>
              <w:rPr>
                <w:rFonts w:hint="eastAsia" w:ascii="宋体" w:hAnsi="宋体" w:eastAsia="宋体" w:cs="宋体"/>
                <w:b w:val="0"/>
                <w:bCs w:val="0"/>
                <w:color w:val="auto"/>
                <w:kern w:val="0"/>
                <w:szCs w:val="21"/>
                <w:highlight w:val="none"/>
                <w:lang w:val="en-US" w:eastAsia="zh-CN"/>
              </w:rPr>
              <w:t>22</w:t>
            </w:r>
            <w:r>
              <w:rPr>
                <w:rFonts w:hint="eastAsia" w:ascii="宋体" w:hAnsi="宋体" w:eastAsia="宋体" w:cs="宋体"/>
                <w:b w:val="0"/>
                <w:bCs w:val="0"/>
                <w:color w:val="auto"/>
                <w:kern w:val="0"/>
                <w:szCs w:val="21"/>
                <w:highlight w:val="none"/>
              </w:rPr>
              <w:t>年1月1日以来（业绩的时间以合同签订的日期为准）</w:t>
            </w:r>
            <w:r>
              <w:rPr>
                <w:rFonts w:hint="eastAsia" w:ascii="宋体" w:hAnsi="宋体" w:eastAsia="宋体" w:cs="宋体"/>
                <w:b w:val="0"/>
                <w:bCs w:val="0"/>
                <w:color w:val="auto"/>
                <w:kern w:val="0"/>
                <w:szCs w:val="21"/>
                <w:highlight w:val="none"/>
                <w:lang w:val="en-US" w:eastAsia="zh-CN"/>
              </w:rPr>
              <w:t>投标品牌</w:t>
            </w:r>
            <w:bookmarkStart w:id="679" w:name="OLE_LINK1"/>
            <w:r>
              <w:rPr>
                <w:rFonts w:hint="eastAsia" w:hAnsi="宋体" w:eastAsia="宋体" w:cs="宋体"/>
                <w:b w:val="0"/>
                <w:bCs w:val="0"/>
                <w:color w:val="auto"/>
                <w:kern w:val="0"/>
                <w:szCs w:val="21"/>
                <w:highlight w:val="none"/>
                <w:lang w:val="en-US" w:eastAsia="zh-CN"/>
              </w:rPr>
              <w:t>超声波水表</w:t>
            </w:r>
            <w:bookmarkEnd w:id="679"/>
            <w:r>
              <w:rPr>
                <w:rFonts w:hint="eastAsia" w:ascii="宋体" w:hAnsi="宋体" w:eastAsia="宋体" w:cs="宋体"/>
                <w:b w:val="0"/>
                <w:bCs w:val="0"/>
                <w:color w:val="auto"/>
                <w:kern w:val="0"/>
                <w:szCs w:val="21"/>
                <w:highlight w:val="none"/>
              </w:rPr>
              <w:t>在国内的销售业绩，按下列情况评分，本项业绩评审满分</w:t>
            </w:r>
            <w:r>
              <w:rPr>
                <w:rFonts w:hint="eastAsia" w:hAnsi="宋体" w:eastAsia="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7</w:t>
            </w:r>
            <w:r>
              <w:rPr>
                <w:rFonts w:hint="eastAsia" w:ascii="宋体" w:hAnsi="宋体" w:eastAsia="宋体" w:cs="宋体"/>
                <w:b w:val="0"/>
                <w:bCs w:val="0"/>
                <w:color w:val="auto"/>
                <w:kern w:val="0"/>
                <w:szCs w:val="21"/>
                <w:highlight w:val="none"/>
              </w:rPr>
              <w:t>分。</w:t>
            </w:r>
          </w:p>
          <w:p>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（1）单项合同金额≥</w:t>
            </w:r>
            <w:r>
              <w:rPr>
                <w:rFonts w:hint="eastAsia" w:ascii="宋体" w:hAnsi="宋体" w:eastAsia="宋体" w:cs="宋体"/>
                <w:b w:val="0"/>
                <w:bCs w:val="0"/>
                <w:color w:val="auto"/>
                <w:kern w:val="0"/>
                <w:szCs w:val="21"/>
                <w:highlight w:val="none"/>
                <w:lang w:val="en-US" w:eastAsia="zh-CN"/>
              </w:rPr>
              <w:t>430</w:t>
            </w:r>
            <w:r>
              <w:rPr>
                <w:rFonts w:hint="eastAsia" w:ascii="宋体" w:hAnsi="宋体" w:eastAsia="宋体" w:cs="宋体"/>
                <w:b w:val="0"/>
                <w:bCs w:val="0"/>
                <w:color w:val="auto"/>
                <w:kern w:val="0"/>
                <w:szCs w:val="21"/>
                <w:highlight w:val="none"/>
              </w:rPr>
              <w:t>万元的前述业绩，每项得</w:t>
            </w:r>
            <w:r>
              <w:rPr>
                <w:rFonts w:hint="eastAsia"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分。</w:t>
            </w:r>
          </w:p>
          <w:p>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w:t>
            </w:r>
            <w:r>
              <w:rPr>
                <w:rFonts w:hint="eastAsia" w:ascii="宋体" w:hAnsi="宋体" w:eastAsia="宋体" w:cs="宋体"/>
                <w:b w:val="0"/>
                <w:bCs w:val="0"/>
                <w:color w:val="auto"/>
                <w:kern w:val="0"/>
                <w:szCs w:val="21"/>
                <w:highlight w:val="none"/>
                <w:lang w:val="en-US" w:eastAsia="zh-CN"/>
              </w:rPr>
              <w:t>290</w:t>
            </w:r>
            <w:r>
              <w:rPr>
                <w:rFonts w:hint="eastAsia" w:ascii="宋体" w:hAnsi="宋体" w:eastAsia="宋体" w:cs="宋体"/>
                <w:b w:val="0"/>
                <w:bCs w:val="0"/>
                <w:color w:val="auto"/>
                <w:kern w:val="0"/>
                <w:szCs w:val="21"/>
                <w:highlight w:val="none"/>
              </w:rPr>
              <w:t>万元≤单项合同金额＜</w:t>
            </w:r>
            <w:r>
              <w:rPr>
                <w:rFonts w:hint="eastAsia" w:ascii="宋体" w:hAnsi="宋体" w:eastAsia="宋体" w:cs="宋体"/>
                <w:b w:val="0"/>
                <w:bCs w:val="0"/>
                <w:color w:val="auto"/>
                <w:kern w:val="0"/>
                <w:szCs w:val="21"/>
                <w:highlight w:val="none"/>
                <w:lang w:val="en-US" w:eastAsia="zh-CN"/>
              </w:rPr>
              <w:t>430</w:t>
            </w:r>
            <w:r>
              <w:rPr>
                <w:rFonts w:hint="eastAsia" w:ascii="宋体" w:hAnsi="宋体" w:eastAsia="宋体" w:cs="宋体"/>
                <w:b w:val="0"/>
                <w:bCs w:val="0"/>
                <w:color w:val="auto"/>
                <w:kern w:val="0"/>
                <w:szCs w:val="21"/>
                <w:highlight w:val="none"/>
              </w:rPr>
              <w:t>万元的前述业绩，每项得</w:t>
            </w:r>
            <w:r>
              <w:rPr>
                <w:rFonts w:hint="eastAsia" w:hAnsi="宋体" w:eastAsia="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rPr>
              <w:t>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本子项满分</w:t>
            </w:r>
            <w:r>
              <w:rPr>
                <w:rFonts w:hint="eastAsia" w:hAnsi="宋体" w:eastAsia="宋体" w:cs="宋体"/>
                <w:b w:val="0"/>
                <w:bCs w:val="0"/>
                <w:color w:val="auto"/>
                <w:kern w:val="0"/>
                <w:szCs w:val="21"/>
                <w:highlight w:val="none"/>
                <w:lang w:val="en-US" w:eastAsia="zh-CN"/>
              </w:rPr>
              <w:t>12</w:t>
            </w:r>
            <w:r>
              <w:rPr>
                <w:rFonts w:hint="eastAsia" w:ascii="宋体" w:hAnsi="宋体" w:eastAsia="宋体" w:cs="宋体"/>
                <w:b w:val="0"/>
                <w:bCs w:val="0"/>
                <w:color w:val="auto"/>
                <w:kern w:val="0"/>
                <w:szCs w:val="21"/>
                <w:highlight w:val="none"/>
              </w:rPr>
              <w:t>分。</w:t>
            </w:r>
          </w:p>
          <w:p>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w:t>
            </w:r>
            <w:r>
              <w:rPr>
                <w:rFonts w:hint="eastAsia" w:ascii="宋体" w:hAnsi="宋体" w:eastAsia="宋体" w:cs="宋体"/>
                <w:b w:val="0"/>
                <w:bCs w:val="0"/>
                <w:color w:val="auto"/>
                <w:kern w:val="0"/>
                <w:szCs w:val="21"/>
                <w:highlight w:val="none"/>
                <w:lang w:val="en-US" w:eastAsia="zh-CN"/>
              </w:rPr>
              <w:t>190</w:t>
            </w:r>
            <w:r>
              <w:rPr>
                <w:rFonts w:hint="eastAsia" w:ascii="宋体" w:hAnsi="宋体" w:eastAsia="宋体" w:cs="宋体"/>
                <w:b w:val="0"/>
                <w:bCs w:val="0"/>
                <w:color w:val="auto"/>
                <w:kern w:val="0"/>
                <w:szCs w:val="21"/>
                <w:highlight w:val="none"/>
              </w:rPr>
              <w:t>万元≤单项合同金额＜</w:t>
            </w:r>
            <w:r>
              <w:rPr>
                <w:rFonts w:hint="eastAsia" w:ascii="宋体" w:hAnsi="宋体" w:eastAsia="宋体" w:cs="宋体"/>
                <w:b w:val="0"/>
                <w:bCs w:val="0"/>
                <w:color w:val="auto"/>
                <w:kern w:val="0"/>
                <w:szCs w:val="21"/>
                <w:highlight w:val="none"/>
                <w:lang w:val="en-US" w:eastAsia="zh-CN"/>
              </w:rPr>
              <w:t>290</w:t>
            </w:r>
            <w:r>
              <w:rPr>
                <w:rFonts w:hint="eastAsia" w:ascii="宋体" w:hAnsi="宋体" w:eastAsia="宋体" w:cs="宋体"/>
                <w:b w:val="0"/>
                <w:bCs w:val="0"/>
                <w:color w:val="auto"/>
                <w:kern w:val="0"/>
                <w:szCs w:val="21"/>
                <w:highlight w:val="none"/>
              </w:rPr>
              <w:t>万元的前述业绩，每项得</w:t>
            </w:r>
            <w:r>
              <w:rPr>
                <w:rFonts w:hint="eastAsia" w:hAnsi="宋体" w:eastAsia="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rPr>
              <w:t>分，本子项满分</w:t>
            </w:r>
            <w:r>
              <w:rPr>
                <w:rFonts w:hint="eastAsia" w:hAnsi="宋体" w:eastAsia="宋体" w:cs="宋体"/>
                <w:b w:val="0"/>
                <w:bCs w:val="0"/>
                <w:color w:val="auto"/>
                <w:kern w:val="0"/>
                <w:szCs w:val="21"/>
                <w:highlight w:val="none"/>
                <w:lang w:val="en-US" w:eastAsia="zh-CN"/>
              </w:rPr>
              <w:t>6</w:t>
            </w:r>
            <w:r>
              <w:rPr>
                <w:rFonts w:hint="eastAsia" w:ascii="宋体" w:hAnsi="宋体" w:eastAsia="宋体" w:cs="宋体"/>
                <w:b w:val="0"/>
                <w:bCs w:val="0"/>
                <w:color w:val="auto"/>
                <w:kern w:val="0"/>
                <w:szCs w:val="21"/>
                <w:highlight w:val="none"/>
              </w:rPr>
              <w:t>分。</w:t>
            </w:r>
          </w:p>
          <w:p>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①业绩须同时提供</w:t>
            </w:r>
            <w:r>
              <w:rPr>
                <w:rFonts w:hint="eastAsia" w:ascii="宋体" w:hAnsi="宋体" w:eastAsia="宋体" w:cs="宋体"/>
                <w:b/>
                <w:bCs/>
                <w:color w:val="auto"/>
                <w:kern w:val="0"/>
                <w:szCs w:val="21"/>
                <w:highlight w:val="none"/>
                <w:lang w:eastAsia="zh-CN"/>
              </w:rPr>
              <w:t>⑴</w:t>
            </w:r>
            <w:r>
              <w:rPr>
                <w:rFonts w:hint="eastAsia" w:ascii="宋体" w:hAnsi="宋体" w:eastAsia="宋体" w:cs="宋体"/>
                <w:b/>
                <w:bCs/>
                <w:color w:val="auto"/>
                <w:kern w:val="0"/>
                <w:szCs w:val="21"/>
                <w:highlight w:val="none"/>
                <w:lang w:val="en-US" w:eastAsia="zh-CN"/>
              </w:rPr>
              <w:t>投标品牌</w:t>
            </w:r>
            <w:r>
              <w:rPr>
                <w:rFonts w:hint="eastAsia" w:hAnsi="宋体" w:eastAsia="宋体" w:cs="宋体"/>
                <w:b/>
                <w:bCs/>
                <w:color w:val="auto"/>
                <w:kern w:val="0"/>
                <w:szCs w:val="21"/>
                <w:highlight w:val="none"/>
                <w:lang w:val="en-US" w:eastAsia="zh-CN"/>
              </w:rPr>
              <w:t>超声波水表</w:t>
            </w:r>
            <w:r>
              <w:rPr>
                <w:rFonts w:hint="eastAsia" w:ascii="宋体" w:hAnsi="宋体" w:eastAsia="宋体" w:cs="宋体"/>
                <w:b/>
                <w:bCs/>
                <w:color w:val="auto"/>
                <w:kern w:val="0"/>
                <w:szCs w:val="21"/>
                <w:highlight w:val="none"/>
              </w:rPr>
              <w:t>销售合同复印件（合同卖方可为投标品牌</w:t>
            </w:r>
            <w:r>
              <w:rPr>
                <w:rFonts w:hint="eastAsia" w:ascii="宋体" w:hAnsi="宋体" w:eastAsia="宋体" w:cs="宋体"/>
                <w:b/>
                <w:bCs/>
                <w:color w:val="auto"/>
                <w:kern w:val="0"/>
                <w:szCs w:val="21"/>
                <w:highlight w:val="none"/>
                <w:lang w:val="en-US" w:eastAsia="zh-CN"/>
              </w:rPr>
              <w:t>超声波水表</w:t>
            </w:r>
            <w:r>
              <w:rPr>
                <w:rFonts w:hint="eastAsia" w:ascii="宋体" w:hAnsi="宋体" w:eastAsia="宋体" w:cs="宋体"/>
                <w:b/>
                <w:bCs/>
                <w:color w:val="auto"/>
                <w:kern w:val="0"/>
                <w:szCs w:val="21"/>
                <w:highlight w:val="none"/>
              </w:rPr>
              <w:t>的制造商，也可为投标品牌</w:t>
            </w:r>
            <w:r>
              <w:rPr>
                <w:rFonts w:hint="eastAsia" w:ascii="宋体" w:hAnsi="宋体" w:eastAsia="宋体" w:cs="宋体"/>
                <w:b/>
                <w:bCs/>
                <w:color w:val="auto"/>
                <w:kern w:val="0"/>
                <w:szCs w:val="21"/>
                <w:highlight w:val="none"/>
                <w:lang w:val="en-US" w:eastAsia="zh-CN"/>
              </w:rPr>
              <w:t>超声波水表</w:t>
            </w:r>
            <w:r>
              <w:rPr>
                <w:rFonts w:hint="eastAsia" w:ascii="宋体" w:hAnsi="宋体" w:eastAsia="宋体" w:cs="宋体"/>
                <w:b/>
                <w:bCs/>
                <w:color w:val="auto"/>
                <w:kern w:val="0"/>
                <w:szCs w:val="21"/>
                <w:highlight w:val="none"/>
              </w:rPr>
              <w:t>的代理商/经销商</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需显示合同买方公章</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⑵已供货产品任意一张发票复印件（发票开具日期须在本项目招标公告发布之日前），</w:t>
            </w:r>
            <w:r>
              <w:rPr>
                <w:rFonts w:hint="eastAsia" w:ascii="宋体" w:hAnsi="宋体" w:eastAsia="宋体" w:cs="宋体"/>
                <w:b/>
                <w:bCs/>
                <w:color w:val="auto"/>
                <w:kern w:val="0"/>
                <w:szCs w:val="21"/>
                <w:highlight w:val="none"/>
              </w:rPr>
              <w:t>否则不得分；</w:t>
            </w:r>
          </w:p>
          <w:p>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②</w:t>
            </w:r>
            <w:r>
              <w:rPr>
                <w:rFonts w:hint="eastAsia" w:ascii="宋体" w:hAnsi="宋体" w:eastAsia="宋体" w:cs="宋体"/>
                <w:b/>
                <w:bCs/>
                <w:color w:val="auto"/>
                <w:kern w:val="0"/>
                <w:szCs w:val="21"/>
                <w:highlight w:val="none"/>
              </w:rPr>
              <w:t>若合同无法反映评分条件（合同签订日期为20</w:t>
            </w:r>
            <w:r>
              <w:rPr>
                <w:rFonts w:hint="eastAsia" w:ascii="宋体" w:hAnsi="宋体" w:eastAsia="宋体" w:cs="宋体"/>
                <w:b/>
                <w:bCs/>
                <w:color w:val="auto"/>
                <w:kern w:val="0"/>
                <w:szCs w:val="21"/>
                <w:highlight w:val="none"/>
                <w:lang w:val="en-US" w:eastAsia="zh-CN"/>
              </w:rPr>
              <w:t>22</w:t>
            </w:r>
            <w:r>
              <w:rPr>
                <w:rFonts w:hint="eastAsia" w:ascii="宋体" w:hAnsi="宋体" w:eastAsia="宋体" w:cs="宋体"/>
                <w:b/>
                <w:bCs/>
                <w:color w:val="auto"/>
                <w:kern w:val="0"/>
                <w:szCs w:val="21"/>
                <w:highlight w:val="none"/>
              </w:rPr>
              <w:t>年1月1日或以后，合同标的必须包含</w:t>
            </w:r>
            <w:r>
              <w:rPr>
                <w:rFonts w:hint="eastAsia" w:ascii="宋体" w:hAnsi="宋体" w:eastAsia="宋体" w:cs="宋体"/>
                <w:b/>
                <w:bCs/>
                <w:color w:val="auto"/>
                <w:kern w:val="0"/>
                <w:szCs w:val="21"/>
                <w:highlight w:val="none"/>
                <w:lang w:val="en-US" w:eastAsia="zh-CN"/>
              </w:rPr>
              <w:t>投标品牌</w:t>
            </w:r>
            <w:r>
              <w:rPr>
                <w:rFonts w:hint="eastAsia" w:hAnsi="宋体" w:eastAsia="宋体" w:cs="宋体"/>
                <w:b/>
                <w:bCs/>
                <w:color w:val="auto"/>
                <w:kern w:val="0"/>
                <w:szCs w:val="21"/>
                <w:highlight w:val="none"/>
                <w:lang w:val="en-US" w:eastAsia="zh-CN"/>
              </w:rPr>
              <w:t>超声波</w:t>
            </w:r>
            <w:r>
              <w:rPr>
                <w:rFonts w:hint="eastAsia" w:ascii="宋体" w:hAnsi="宋体" w:eastAsia="宋体" w:cs="宋体"/>
                <w:b/>
                <w:bCs/>
                <w:color w:val="auto"/>
                <w:kern w:val="0"/>
                <w:szCs w:val="21"/>
                <w:highlight w:val="none"/>
                <w:lang w:val="en-US" w:eastAsia="zh-CN"/>
              </w:rPr>
              <w:t>水表</w:t>
            </w:r>
            <w:r>
              <w:rPr>
                <w:rFonts w:hint="eastAsia" w:ascii="宋体" w:hAnsi="宋体" w:eastAsia="宋体" w:cs="宋体"/>
                <w:b/>
                <w:bCs/>
                <w:color w:val="auto"/>
                <w:kern w:val="0"/>
                <w:szCs w:val="21"/>
                <w:highlight w:val="none"/>
              </w:rPr>
              <w:t>、合同金额）的，还需提供产品购买方出具的书面补充说明文件复印件作为辅助证明（需</w:t>
            </w:r>
            <w:r>
              <w:rPr>
                <w:rFonts w:hint="eastAsia" w:ascii="宋体" w:hAnsi="宋体" w:eastAsia="宋体" w:cs="宋体"/>
                <w:b/>
                <w:bCs/>
                <w:color w:val="auto"/>
                <w:kern w:val="0"/>
                <w:szCs w:val="21"/>
                <w:highlight w:val="none"/>
                <w:lang w:val="en-US" w:eastAsia="zh-CN"/>
              </w:rPr>
              <w:t>显示</w:t>
            </w:r>
            <w:r>
              <w:rPr>
                <w:rFonts w:hint="eastAsia" w:ascii="宋体" w:hAnsi="宋体" w:eastAsia="宋体" w:cs="宋体"/>
                <w:b/>
                <w:bCs/>
                <w:color w:val="auto"/>
                <w:kern w:val="0"/>
                <w:szCs w:val="21"/>
                <w:highlight w:val="none"/>
              </w:rPr>
              <w:t>购买方公章），否则不得分；</w:t>
            </w:r>
          </w:p>
          <w:p>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ascii="宋体" w:hAnsi="宋体" w:eastAsia="宋体" w:cs="Times New Roman"/>
                <w:b/>
                <w:color w:val="auto"/>
                <w:kern w:val="0"/>
                <w:sz w:val="21"/>
                <w:szCs w:val="21"/>
                <w:highlight w:val="none"/>
              </w:rPr>
            </w:pPr>
            <w:r>
              <w:rPr>
                <w:rFonts w:hint="eastAsia" w:ascii="宋体" w:hAnsi="宋体" w:eastAsia="宋体" w:cs="宋体"/>
                <w:b/>
                <w:bCs/>
                <w:color w:val="auto"/>
                <w:kern w:val="0"/>
                <w:szCs w:val="21"/>
                <w:highlight w:val="none"/>
                <w:lang w:val="en-US" w:eastAsia="zh-CN"/>
              </w:rPr>
              <w:t>③</w:t>
            </w:r>
            <w:r>
              <w:rPr>
                <w:rFonts w:hint="eastAsia" w:ascii="宋体" w:hAnsi="宋体" w:eastAsia="宋体" w:cs="宋体"/>
                <w:b/>
                <w:bCs/>
                <w:color w:val="auto"/>
                <w:kern w:val="0"/>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bCs/>
                <w:color w:val="auto"/>
                <w:kern w:val="0"/>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680" w:name="_Toc11639_WPSOffice_Level2"/>
            <w:r>
              <w:rPr>
                <w:rFonts w:hint="eastAsia" w:ascii="宋体" w:hAnsi="宋体" w:eastAsia="宋体" w:cs="宋体"/>
                <w:b/>
                <w:color w:val="auto"/>
                <w:sz w:val="21"/>
                <w:szCs w:val="21"/>
                <w:highlight w:val="none"/>
                <w:lang w:val="en-US" w:eastAsia="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r>
      <w:bookmarkEnd w:id="678"/>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680"/>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33"/>
        <w:gridCol w:w="767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68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用户需求的响应程度</w:t>
            </w:r>
          </w:p>
        </w:tc>
        <w:tc>
          <w:tcPr>
            <w:tcW w:w="3700" w:type="pct"/>
            <w:tcBorders>
              <w:top w:val="single" w:color="auto" w:sz="4" w:space="0"/>
              <w:left w:val="single" w:color="auto" w:sz="4" w:space="0"/>
              <w:bottom w:val="single" w:color="auto" w:sz="4" w:space="0"/>
              <w:right w:val="single" w:color="auto" w:sz="4" w:space="0"/>
            </w:tcBorders>
            <w:vAlign w:val="center"/>
          </w:tcPr>
          <w:p>
            <w:pPr>
              <w:pStyle w:val="21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根据用户需求偏离表的偏离情况进行评审计分，完全满足用户需求的要求得满分，每项带“▲”号的条款负偏离或未响应的，扣2分；每一处非“▲”号条款负偏离或未响应的，扣1分；同时参照其投标文件中产品技术性能说明等技术资料的内容进行对比，每发现一处投标人填写为无偏离或正偏离，但评标委员会评审认定其为负偏离的，每处扣3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研发能力及产品先进性</w:t>
            </w:r>
          </w:p>
        </w:tc>
        <w:tc>
          <w:tcPr>
            <w:tcW w:w="37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w:t>
            </w:r>
            <w:r>
              <w:rPr>
                <w:rFonts w:hint="eastAsia" w:ascii="宋体" w:hAnsi="宋体" w:eastAsia="宋体" w:cs="宋体"/>
                <w:b w:val="0"/>
                <w:color w:val="auto"/>
                <w:kern w:val="0"/>
                <w:sz w:val="21"/>
                <w:szCs w:val="21"/>
                <w:highlight w:val="none"/>
                <w:lang w:val="en-US" w:eastAsia="zh-CN" w:bidi="ar-SA"/>
              </w:rPr>
              <w:t>1</w:t>
            </w:r>
            <w:r>
              <w:rPr>
                <w:rFonts w:hint="eastAsia" w:ascii="宋体" w:hAnsi="宋体" w:eastAsia="宋体" w:cs="宋体"/>
                <w:b w:val="0"/>
                <w:color w:val="auto"/>
                <w:kern w:val="0"/>
                <w:sz w:val="21"/>
                <w:szCs w:val="21"/>
                <w:highlight w:val="none"/>
                <w:lang w:val="zh-CN" w:eastAsia="zh-CN" w:bidi="ar-SA"/>
              </w:rPr>
              <w:t>）企业研发能力（</w:t>
            </w:r>
            <w:r>
              <w:rPr>
                <w:rFonts w:hint="eastAsia" w:ascii="宋体" w:hAnsi="宋体" w:eastAsia="宋体" w:cs="宋体"/>
                <w:b w:val="0"/>
                <w:color w:val="auto"/>
                <w:kern w:val="0"/>
                <w:sz w:val="21"/>
                <w:szCs w:val="21"/>
                <w:highlight w:val="none"/>
                <w:lang w:val="en-US" w:eastAsia="zh-CN" w:bidi="ar-SA"/>
              </w:rPr>
              <w:t>6分</w:t>
            </w:r>
            <w:r>
              <w:rPr>
                <w:rFonts w:hint="eastAsia" w:ascii="宋体" w:hAnsi="宋体" w:eastAsia="宋体" w:cs="宋体"/>
                <w:b w:val="0"/>
                <w:color w:val="auto"/>
                <w:kern w:val="0"/>
                <w:sz w:val="21"/>
                <w:szCs w:val="21"/>
                <w:highlight w:val="none"/>
                <w:lang w:val="zh-CN" w:eastAsia="zh-CN" w:bidi="ar-SA"/>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①</w:t>
            </w: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建有省（部）级或以上技术研发中心/工程中心/研究院等研究机构的（须取得行政部门相关许可或批复等证明文件），得</w:t>
            </w:r>
            <w:r>
              <w:rPr>
                <w:rFonts w:hint="eastAsia" w:ascii="宋体" w:hAnsi="宋体" w:eastAsia="宋体" w:cs="宋体"/>
                <w:b w:val="0"/>
                <w:color w:val="auto"/>
                <w:kern w:val="0"/>
                <w:sz w:val="21"/>
                <w:szCs w:val="21"/>
                <w:highlight w:val="none"/>
                <w:lang w:val="en-US" w:eastAsia="zh-CN" w:bidi="ar-SA"/>
              </w:rPr>
              <w:t>3</w:t>
            </w:r>
            <w:r>
              <w:rPr>
                <w:rFonts w:hint="eastAsia" w:ascii="宋体" w:hAnsi="宋体" w:eastAsia="宋体" w:cs="宋体"/>
                <w:b w:val="0"/>
                <w:color w:val="auto"/>
                <w:kern w:val="0"/>
                <w:sz w:val="21"/>
                <w:szCs w:val="21"/>
                <w:highlight w:val="none"/>
                <w:lang w:val="zh-CN" w:eastAsia="zh-CN" w:bidi="ar-SA"/>
              </w:rPr>
              <w:t xml:space="preserve">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②</w:t>
            </w: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取得中国合格评定国家认可委员会实验室认可证书（有效期内的CNAS证书）或具备质量技术监督部门颁发的检验检测机构资质认定证书（有效期内的CMA证书），得</w:t>
            </w:r>
            <w:r>
              <w:rPr>
                <w:rFonts w:hint="eastAsia" w:ascii="宋体" w:hAnsi="宋体" w:eastAsia="宋体" w:cs="宋体"/>
                <w:b w:val="0"/>
                <w:color w:val="auto"/>
                <w:kern w:val="0"/>
                <w:sz w:val="21"/>
                <w:szCs w:val="21"/>
                <w:highlight w:val="none"/>
                <w:lang w:val="en-US" w:eastAsia="zh-CN" w:bidi="ar-SA"/>
              </w:rPr>
              <w:t>3</w:t>
            </w:r>
            <w:r>
              <w:rPr>
                <w:rFonts w:hint="eastAsia" w:ascii="宋体" w:hAnsi="宋体" w:eastAsia="宋体" w:cs="宋体"/>
                <w:b w:val="0"/>
                <w:color w:val="auto"/>
                <w:kern w:val="0"/>
                <w:sz w:val="21"/>
                <w:szCs w:val="21"/>
                <w:highlight w:val="none"/>
                <w:lang w:val="zh-CN" w:eastAsia="zh-CN" w:bidi="ar-SA"/>
              </w:rPr>
              <w:t xml:space="preserve">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（2）专利数量（</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具有应用于投标产品的发明专利证书或实用新型专利证书，且投标人须为专利权人，每获得过1项得0.5分；本子项最高得</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 xml:space="preserve">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（3）技术认证（</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获得有效期内的国际证书（OIML、MID、CE、NSF、WRAS、ACS、AS4020）、</w:t>
            </w:r>
            <w:r>
              <w:rPr>
                <w:rFonts w:hint="eastAsia" w:ascii="宋体" w:hAnsi="宋体" w:eastAsia="宋体" w:cs="宋体"/>
                <w:b w:val="0"/>
                <w:color w:val="auto"/>
                <w:kern w:val="0"/>
                <w:sz w:val="21"/>
                <w:szCs w:val="21"/>
                <w:highlight w:val="none"/>
                <w:lang w:val="en-US" w:eastAsia="zh-CN" w:bidi="ar-SA"/>
              </w:rPr>
              <w:t>ISO10012（或GB/T 19022）测量管理体系认证证书</w:t>
            </w:r>
            <w:r>
              <w:rPr>
                <w:rFonts w:hint="eastAsia" w:ascii="宋体" w:hAnsi="宋体" w:eastAsia="宋体" w:cs="宋体"/>
                <w:b w:val="0"/>
                <w:color w:val="auto"/>
                <w:kern w:val="0"/>
                <w:sz w:val="21"/>
                <w:szCs w:val="21"/>
                <w:highlight w:val="none"/>
                <w:lang w:val="zh-CN" w:eastAsia="zh-CN" w:bidi="ar-SA"/>
              </w:rPr>
              <w:t>的</w:t>
            </w:r>
            <w:r>
              <w:rPr>
                <w:rFonts w:hint="eastAsia" w:ascii="宋体" w:hAnsi="宋体" w:eastAsia="宋体" w:cs="宋体"/>
                <w:b w:val="0"/>
                <w:color w:val="auto"/>
                <w:kern w:val="0"/>
                <w:sz w:val="21"/>
                <w:szCs w:val="21"/>
                <w:highlight w:val="none"/>
                <w:lang w:val="en-US" w:eastAsia="zh-CN" w:bidi="ar-SA"/>
              </w:rPr>
              <w:t>,</w:t>
            </w:r>
            <w:r>
              <w:rPr>
                <w:rFonts w:hint="eastAsia" w:ascii="宋体" w:hAnsi="宋体" w:eastAsia="宋体" w:cs="宋体"/>
                <w:b w:val="0"/>
                <w:color w:val="auto"/>
                <w:kern w:val="0"/>
                <w:sz w:val="21"/>
                <w:szCs w:val="21"/>
                <w:highlight w:val="none"/>
                <w:lang w:val="zh-CN" w:eastAsia="zh-CN" w:bidi="ar-SA"/>
              </w:rPr>
              <w:t>每个证书得 1 分</w:t>
            </w:r>
            <w:r>
              <w:rPr>
                <w:rFonts w:hint="eastAsia" w:ascii="宋体" w:hAnsi="宋体" w:eastAsia="宋体" w:cs="宋体"/>
                <w:b w:val="0"/>
                <w:color w:val="auto"/>
                <w:kern w:val="0"/>
                <w:sz w:val="21"/>
                <w:szCs w:val="21"/>
                <w:highlight w:val="none"/>
                <w:lang w:val="en-US" w:eastAsia="zh-CN" w:bidi="ar-SA"/>
              </w:rPr>
              <w:t>,</w:t>
            </w:r>
            <w:r>
              <w:rPr>
                <w:rFonts w:hint="eastAsia" w:ascii="宋体" w:hAnsi="宋体" w:eastAsia="宋体" w:cs="宋体"/>
                <w:b w:val="0"/>
                <w:color w:val="auto"/>
                <w:kern w:val="0"/>
                <w:sz w:val="21"/>
                <w:szCs w:val="21"/>
                <w:highlight w:val="none"/>
                <w:lang w:val="zh-CN" w:eastAsia="zh-CN" w:bidi="ar-SA"/>
              </w:rPr>
              <w:t>本子项最高得</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分。如为非中文证书的，须提供中文译本并注明属于前述证书的类型，否则不得分。中文译本及注明内容无法体现评分要求的，不得分。中标后，招标人有权要求提供</w:t>
            </w:r>
            <w:r>
              <w:rPr>
                <w:rFonts w:hint="eastAsia" w:ascii="宋体" w:hAnsi="宋体" w:eastAsia="宋体" w:cs="宋体"/>
                <w:b w:val="0"/>
                <w:color w:val="auto"/>
                <w:kern w:val="0"/>
                <w:sz w:val="21"/>
                <w:szCs w:val="21"/>
                <w:highlight w:val="none"/>
                <w:lang w:val="en-US" w:eastAsia="zh-CN" w:bidi="ar-SA"/>
              </w:rPr>
              <w:t>技术认证证书</w:t>
            </w:r>
            <w:r>
              <w:rPr>
                <w:rFonts w:hint="eastAsia" w:ascii="宋体" w:hAnsi="宋体" w:eastAsia="宋体" w:cs="宋体"/>
                <w:b w:val="0"/>
                <w:color w:val="auto"/>
                <w:kern w:val="0"/>
                <w:sz w:val="21"/>
                <w:szCs w:val="21"/>
                <w:highlight w:val="none"/>
                <w:lang w:val="zh-CN" w:eastAsia="zh-CN" w:bidi="ar-SA"/>
              </w:rPr>
              <w:t xml:space="preserve">的证明材料进行复核。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0"/>
                <w:sz w:val="21"/>
                <w:szCs w:val="21"/>
                <w:highlight w:val="none"/>
                <w:lang w:val="zh-CN" w:eastAsia="zh-CN" w:bidi="ar-SA"/>
              </w:rPr>
              <w:t>备注：投标人应提供相关的许可、批复、专利证书、</w:t>
            </w:r>
            <w:r>
              <w:rPr>
                <w:rFonts w:hint="eastAsia" w:ascii="宋体" w:hAnsi="宋体" w:eastAsia="宋体" w:cs="宋体"/>
                <w:b/>
                <w:bCs/>
                <w:color w:val="auto"/>
                <w:kern w:val="0"/>
                <w:sz w:val="21"/>
                <w:szCs w:val="21"/>
                <w:highlight w:val="none"/>
                <w:lang w:val="en-US" w:eastAsia="zh-CN" w:bidi="ar-SA"/>
              </w:rPr>
              <w:t>技术认证证书</w:t>
            </w:r>
            <w:r>
              <w:rPr>
                <w:rFonts w:hint="eastAsia" w:ascii="宋体" w:hAnsi="宋体" w:eastAsia="宋体" w:cs="宋体"/>
                <w:b/>
                <w:bCs/>
                <w:color w:val="auto"/>
                <w:kern w:val="0"/>
                <w:sz w:val="21"/>
                <w:szCs w:val="21"/>
                <w:highlight w:val="none"/>
                <w:lang w:val="zh-CN" w:eastAsia="zh-CN" w:bidi="ar-SA"/>
              </w:rPr>
              <w:t>及其他相关资料等证明文件的扫描件，其中ISO10012（或GB/T 19022）测量管理体系认证证书除提供证书扫描件外,还需提供能显示证书有效状态的全国认证认可信息公共服务平台（http://cx.cnca.cn/）查询结果凭证{凭证界面需显示有“全国认证认可信息公共服务平台”或“认证证书（需显示网址cx.cnca. cn）”}，以投标人提供的上述资料作为评审依据，未按要求提供上述资料或不能体现与投标人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kern w:val="0"/>
                <w:sz w:val="21"/>
                <w:szCs w:val="21"/>
                <w:highlight w:val="none"/>
                <w:lang w:val="zh-CN" w:eastAsia="zh-CN" w:bidi="ar-SA"/>
              </w:rPr>
              <w:t>关系的不得分。</w:t>
            </w:r>
            <w:r>
              <w:rPr>
                <w:rFonts w:hint="eastAsia" w:ascii="宋体" w:hAnsi="宋体" w:eastAsia="宋体" w:cs="宋体"/>
                <w:b w:val="0"/>
                <w:color w:val="auto"/>
                <w:kern w:val="0"/>
                <w:sz w:val="21"/>
                <w:szCs w:val="21"/>
                <w:highlight w:val="none"/>
                <w:lang w:val="zh-CN" w:eastAsia="zh-CN" w:bidi="ar-SA"/>
              </w:rPr>
              <w:t xml:space="preserve"> </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投标产品 </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的设计及性能</w:t>
            </w:r>
          </w:p>
        </w:tc>
        <w:tc>
          <w:tcPr>
            <w:tcW w:w="37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对投标品牌</w:t>
            </w:r>
            <w:r>
              <w:rPr>
                <w:rFonts w:hint="eastAsia" w:ascii="宋体" w:hAnsi="宋体" w:eastAsia="宋体" w:cs="宋体"/>
                <w:b w:val="0"/>
                <w:bCs w:val="0"/>
                <w:color w:val="auto"/>
                <w:kern w:val="0"/>
                <w:szCs w:val="21"/>
                <w:highlight w:val="none"/>
                <w:shd w:val="clear" w:color="auto" w:fill="auto"/>
                <w:lang w:val="en-US" w:eastAsia="zh-CN"/>
              </w:rPr>
              <w:t>超声波</w:t>
            </w:r>
            <w:r>
              <w:rPr>
                <w:rFonts w:hint="default" w:ascii="宋体" w:hAnsi="宋体" w:eastAsia="宋体" w:cs="宋体"/>
                <w:b w:val="0"/>
                <w:bCs w:val="0"/>
                <w:color w:val="auto"/>
                <w:kern w:val="0"/>
                <w:szCs w:val="21"/>
                <w:highlight w:val="none"/>
                <w:shd w:val="clear" w:color="auto" w:fill="auto"/>
                <w:lang w:val="en-US" w:eastAsia="zh-CN"/>
              </w:rPr>
              <w:t>水表的整体设计</w:t>
            </w:r>
            <w:r>
              <w:rPr>
                <w:rFonts w:hint="eastAsia" w:ascii="宋体" w:hAnsi="宋体" w:eastAsia="宋体" w:cs="宋体"/>
                <w:b w:val="0"/>
                <w:bCs w:val="0"/>
                <w:color w:val="auto"/>
                <w:kern w:val="0"/>
                <w:szCs w:val="21"/>
                <w:highlight w:val="none"/>
                <w:shd w:val="clear" w:color="auto" w:fill="auto"/>
                <w:lang w:val="en-US" w:eastAsia="zh-CN"/>
              </w:rPr>
              <w:t>、产品性能及技术响应度</w:t>
            </w:r>
            <w:r>
              <w:rPr>
                <w:rFonts w:hint="default" w:ascii="宋体" w:hAnsi="宋体" w:eastAsia="宋体" w:cs="宋体"/>
                <w:b w:val="0"/>
                <w:bCs w:val="0"/>
                <w:color w:val="auto"/>
                <w:kern w:val="0"/>
                <w:szCs w:val="21"/>
                <w:highlight w:val="none"/>
                <w:shd w:val="clear" w:color="auto" w:fill="auto"/>
                <w:lang w:val="en-US" w:eastAsia="zh-CN"/>
              </w:rPr>
              <w:t>进行综合评审</w:t>
            </w:r>
            <w:r>
              <w:rPr>
                <w:rFonts w:hint="eastAsia" w:ascii="宋体" w:hAnsi="宋体" w:eastAsia="宋体" w:cs="宋体"/>
                <w:b w:val="0"/>
                <w:bCs w:val="0"/>
                <w:color w:val="auto"/>
                <w:kern w:val="0"/>
                <w:szCs w:val="21"/>
                <w:highlight w:val="none"/>
                <w:shd w:val="clear" w:color="auto" w:fill="auto"/>
                <w:lang w:val="en-US" w:eastAsia="zh-CN"/>
              </w:rPr>
              <w:t>，包括但不限于</w:t>
            </w:r>
            <w:r>
              <w:rPr>
                <w:rFonts w:hint="default" w:ascii="宋体" w:hAnsi="宋体" w:eastAsia="宋体" w:cs="宋体"/>
                <w:b w:val="0"/>
                <w:bCs w:val="0"/>
                <w:color w:val="auto"/>
                <w:kern w:val="0"/>
                <w:szCs w:val="21"/>
                <w:highlight w:val="none"/>
                <w:shd w:val="clear" w:color="auto" w:fill="auto"/>
                <w:lang w:val="en-US" w:eastAsia="zh-CN"/>
              </w:rPr>
              <w:t>：显示屏设计、同屏显示内容、换能器结构设计、制造</w:t>
            </w:r>
            <w:r>
              <w:rPr>
                <w:rFonts w:hint="eastAsia" w:ascii="宋体" w:hAnsi="宋体" w:eastAsia="宋体" w:cs="宋体"/>
                <w:b w:val="0"/>
                <w:bCs w:val="0"/>
                <w:color w:val="auto"/>
                <w:kern w:val="0"/>
                <w:szCs w:val="21"/>
                <w:highlight w:val="none"/>
                <w:shd w:val="clear" w:color="auto" w:fill="auto"/>
                <w:lang w:val="en-US" w:eastAsia="zh-CN"/>
              </w:rPr>
              <w:t>工艺</w:t>
            </w:r>
            <w:r>
              <w:rPr>
                <w:rFonts w:hint="default" w:ascii="宋体" w:hAnsi="宋体" w:eastAsia="宋体" w:cs="宋体"/>
                <w:b w:val="0"/>
                <w:bCs w:val="0"/>
                <w:color w:val="auto"/>
                <w:kern w:val="0"/>
                <w:szCs w:val="21"/>
                <w:highlight w:val="none"/>
                <w:shd w:val="clear" w:color="auto" w:fill="auto"/>
                <w:lang w:val="en-US" w:eastAsia="zh-CN"/>
              </w:rPr>
              <w:t>精细度、配套远传</w:t>
            </w:r>
            <w:r>
              <w:rPr>
                <w:rFonts w:hint="eastAsia" w:ascii="宋体" w:hAnsi="宋体" w:eastAsia="宋体" w:cs="宋体"/>
                <w:b w:val="0"/>
                <w:bCs w:val="0"/>
                <w:color w:val="auto"/>
                <w:kern w:val="0"/>
                <w:szCs w:val="21"/>
                <w:highlight w:val="none"/>
                <w:shd w:val="clear" w:color="auto" w:fill="auto"/>
                <w:lang w:val="en-US" w:eastAsia="zh-CN"/>
              </w:rPr>
              <w:t>模块</w:t>
            </w:r>
            <w:r>
              <w:rPr>
                <w:rFonts w:hint="default" w:ascii="宋体" w:hAnsi="宋体" w:eastAsia="宋体" w:cs="宋体"/>
                <w:b w:val="0"/>
                <w:bCs w:val="0"/>
                <w:color w:val="auto"/>
                <w:kern w:val="0"/>
                <w:szCs w:val="21"/>
                <w:highlight w:val="none"/>
                <w:shd w:val="clear" w:color="auto" w:fill="auto"/>
                <w:lang w:val="en-US" w:eastAsia="zh-CN"/>
              </w:rPr>
              <w:t>和内置电池的维护便利性</w:t>
            </w:r>
            <w:r>
              <w:rPr>
                <w:rFonts w:hint="eastAsia" w:ascii="宋体" w:hAnsi="宋体" w:eastAsia="宋体" w:cs="宋体"/>
                <w:b w:val="0"/>
                <w:bCs w:val="0"/>
                <w:color w:val="auto"/>
                <w:kern w:val="0"/>
                <w:szCs w:val="21"/>
                <w:highlight w:val="none"/>
                <w:shd w:val="clear" w:color="auto" w:fill="auto"/>
                <w:lang w:val="en-US" w:eastAsia="zh-CN"/>
              </w:rPr>
              <w:t>、计量性能参数、防腐技术、密封性能及防护等级、抗干扰性能、芯片及换能器设计、电池性能和设计寿命以及水表测量频率等配置</w:t>
            </w:r>
            <w:r>
              <w:rPr>
                <w:rFonts w:hint="default" w:ascii="宋体" w:hAnsi="宋体" w:eastAsia="宋体" w:cs="宋体"/>
                <w:b w:val="0"/>
                <w:bCs w:val="0"/>
                <w:color w:val="auto"/>
                <w:kern w:val="0"/>
                <w:szCs w:val="21"/>
                <w:highlight w:val="none"/>
                <w:shd w:val="clear" w:color="auto" w:fill="auto"/>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优：产品设计说明详实完善，外观实用美观，结构合理，制造工艺先进，关键部件易于维护；技术性能先进，功能响应全面，运行稳定可靠，维护简便</w:t>
            </w:r>
            <w:r>
              <w:rPr>
                <w:rFonts w:hint="eastAsia" w:ascii="宋体" w:hAnsi="宋体" w:eastAsia="宋体" w:cs="宋体"/>
                <w:b w:val="0"/>
                <w:bCs w:val="0"/>
                <w:color w:val="auto"/>
                <w:kern w:val="0"/>
                <w:szCs w:val="21"/>
                <w:highlight w:val="none"/>
                <w:shd w:val="clear" w:color="auto" w:fill="auto"/>
                <w:lang w:val="en-US" w:eastAsia="zh-CN"/>
              </w:rPr>
              <w:t xml:space="preserve">，得5分；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良：产品设计说明较详实，设计较合理，制造工艺较好，维护较为方便；技术性能良好，功能响应较全面，运行较稳定，维护较简便</w:t>
            </w:r>
            <w:r>
              <w:rPr>
                <w:rFonts w:hint="eastAsia" w:ascii="宋体" w:hAnsi="宋体" w:eastAsia="宋体" w:cs="宋体"/>
                <w:b w:val="0"/>
                <w:bCs w:val="0"/>
                <w:color w:val="auto"/>
                <w:kern w:val="0"/>
                <w:szCs w:val="21"/>
                <w:highlight w:val="none"/>
                <w:shd w:val="clear" w:color="auto" w:fill="auto"/>
                <w:lang w:val="en-US" w:eastAsia="zh-CN"/>
              </w:rPr>
              <w:t xml:space="preserve">，得3.5分；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中：产品设计说明一般，设计合理性一般，制造工艺一般，维护便利性一般；技术性能基本满足要求，功能响应一般，运行稳定</w:t>
            </w:r>
            <w:r>
              <w:rPr>
                <w:rFonts w:hint="eastAsia" w:ascii="宋体" w:hAnsi="宋体" w:eastAsia="宋体" w:cs="宋体"/>
                <w:b w:val="0"/>
                <w:bCs w:val="0"/>
                <w:color w:val="auto"/>
                <w:kern w:val="0"/>
                <w:szCs w:val="21"/>
                <w:highlight w:val="none"/>
                <w:shd w:val="clear" w:color="auto" w:fill="auto"/>
                <w:lang w:val="en-US" w:eastAsia="zh-CN"/>
              </w:rPr>
              <w:t xml:space="preserve">性一般，得2分；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差：</w:t>
            </w:r>
            <w:r>
              <w:rPr>
                <w:rFonts w:ascii="宋体" w:hAnsi="宋体" w:eastAsia="宋体" w:cs="宋体"/>
                <w:b w:val="0"/>
                <w:bCs w:val="0"/>
                <w:i w:val="0"/>
                <w:iCs w:val="0"/>
                <w:caps w:val="0"/>
                <w:color w:val="auto"/>
                <w:spacing w:val="0"/>
                <w:kern w:val="0"/>
                <w:sz w:val="21"/>
                <w:szCs w:val="21"/>
                <w:highlight w:val="none"/>
                <w:shd w:val="clear" w:color="auto" w:fill="auto"/>
              </w:rPr>
              <w:t>产品设计说明基本</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符合要求</w:t>
            </w:r>
            <w:r>
              <w:rPr>
                <w:rFonts w:ascii="宋体" w:hAnsi="宋体" w:eastAsia="宋体" w:cs="宋体"/>
                <w:b w:val="0"/>
                <w:bCs w:val="0"/>
                <w:i w:val="0"/>
                <w:iCs w:val="0"/>
                <w:caps w:val="0"/>
                <w:color w:val="auto"/>
                <w:spacing w:val="0"/>
                <w:kern w:val="0"/>
                <w:sz w:val="21"/>
                <w:szCs w:val="21"/>
                <w:highlight w:val="none"/>
                <w:shd w:val="clear" w:color="auto" w:fill="auto"/>
              </w:rPr>
              <w:t>，结构设计基本合理，制造工艺一般，维护</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不够</w:t>
            </w:r>
            <w:r>
              <w:rPr>
                <w:rFonts w:ascii="宋体" w:hAnsi="宋体" w:eastAsia="宋体" w:cs="宋体"/>
                <w:b w:val="0"/>
                <w:bCs w:val="0"/>
                <w:i w:val="0"/>
                <w:iCs w:val="0"/>
                <w:caps w:val="0"/>
                <w:color w:val="auto"/>
                <w:spacing w:val="0"/>
                <w:kern w:val="0"/>
                <w:sz w:val="21"/>
                <w:szCs w:val="21"/>
                <w:highlight w:val="none"/>
                <w:shd w:val="clear" w:color="auto" w:fill="auto"/>
              </w:rPr>
              <w:t>方便；技术性能基本达标，功能响应基本满足要求，运行</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基本</w:t>
            </w:r>
            <w:r>
              <w:rPr>
                <w:rFonts w:ascii="宋体" w:hAnsi="宋体" w:eastAsia="宋体" w:cs="宋体"/>
                <w:b w:val="0"/>
                <w:bCs w:val="0"/>
                <w:i w:val="0"/>
                <w:iCs w:val="0"/>
                <w:caps w:val="0"/>
                <w:color w:val="auto"/>
                <w:spacing w:val="0"/>
                <w:kern w:val="0"/>
                <w:sz w:val="21"/>
                <w:szCs w:val="21"/>
                <w:highlight w:val="none"/>
                <w:shd w:val="clear" w:color="auto" w:fill="auto"/>
              </w:rPr>
              <w:t>稳定，得1分</w:t>
            </w:r>
            <w:r>
              <w:rPr>
                <w:rFonts w:hint="eastAsia" w:ascii="宋体" w:hAnsi="宋体" w:eastAsia="宋体" w:cs="宋体"/>
                <w:b w:val="0"/>
                <w:bCs w:val="0"/>
                <w:color w:val="auto"/>
                <w:kern w:val="0"/>
                <w:szCs w:val="21"/>
                <w:highlight w:val="none"/>
                <w:shd w:val="clear" w:color="auto" w:fill="auto"/>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hAnsi="宋体" w:cs="宋体"/>
                <w:color w:val="auto"/>
                <w:kern w:val="2"/>
                <w:sz w:val="21"/>
                <w:szCs w:val="22"/>
                <w:highlight w:val="none"/>
                <w:lang w:val="en-US" w:eastAsia="zh-CN"/>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、投标人提供的水表类型【提供：DN100缩径设计超声波水表和DN150通径设计超声波水表】的省级或省级以上质量监督检测机构或第三方具有 CMA 资格的检测机构或第三方具有CNAS 认证的检测机构出具的检验报告进行评审。</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生产制造能力</w:t>
            </w:r>
          </w:p>
        </w:tc>
        <w:tc>
          <w:tcPr>
            <w:tcW w:w="3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根据投标人（或所投产品制造商）的生产设备、检测设备、制造工艺流程及质检手段（包括各类设备的单台价值及档次水平、生产能力、工艺质量、试压和误差检测的效率）等进行评审： </w:t>
            </w:r>
          </w:p>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优：生产、检测设备质量高、生产管理流程高效、产品质量检测能力先进，得4分； </w:t>
            </w:r>
          </w:p>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良：生产、检测设备质量比较高、生产管理流程比较稳定、产品质量检测能力较好，得3分； </w:t>
            </w:r>
          </w:p>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中：生产、检测设备质量一般、生产管理流程效率一般、产品质量检测能力一般，得2分； </w:t>
            </w:r>
          </w:p>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w:t>
            </w:r>
            <w:r>
              <w:rPr>
                <w:rFonts w:hint="eastAsia" w:ascii="宋体" w:hAnsi="宋体" w:eastAsia="宋体" w:cs="宋体"/>
                <w:b w:val="0"/>
                <w:bCs w:val="0"/>
                <w:i w:val="0"/>
                <w:iCs w:val="0"/>
                <w:caps w:val="0"/>
                <w:color w:val="auto"/>
                <w:spacing w:val="0"/>
                <w:sz w:val="21"/>
                <w:szCs w:val="21"/>
                <w:highlight w:val="none"/>
                <w:shd w:val="clear"/>
              </w:rPr>
              <w:t>具备基本的生产与检测设备，生产管理流程初步建立，产品质量检测</w:t>
            </w:r>
            <w:r>
              <w:rPr>
                <w:rFonts w:hint="eastAsia" w:ascii="宋体" w:hAnsi="宋体" w:eastAsia="宋体" w:cs="宋体"/>
                <w:b w:val="0"/>
                <w:bCs w:val="0"/>
                <w:i w:val="0"/>
                <w:iCs w:val="0"/>
                <w:caps w:val="0"/>
                <w:color w:val="auto"/>
                <w:spacing w:val="0"/>
                <w:sz w:val="21"/>
                <w:szCs w:val="21"/>
                <w:highlight w:val="none"/>
                <w:shd w:val="clear"/>
                <w:lang w:val="en-US" w:eastAsia="zh-CN"/>
              </w:rPr>
              <w:t>能力较为基础</w:t>
            </w:r>
            <w:r>
              <w:rPr>
                <w:rFonts w:hint="eastAsia" w:ascii="宋体" w:hAnsi="宋体" w:eastAsia="宋体" w:cs="宋体"/>
                <w:b w:val="0"/>
                <w:bCs w:val="0"/>
                <w:i w:val="0"/>
                <w:iCs w:val="0"/>
                <w:caps w:val="0"/>
                <w:color w:val="auto"/>
                <w:spacing w:val="0"/>
                <w:sz w:val="21"/>
                <w:szCs w:val="21"/>
                <w:highlight w:val="none"/>
                <w:shd w:val="clear"/>
              </w:rPr>
              <w:t>，得1分</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未提供生产制造能力方案及相关证明材料的，不得分。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shd w:val="clear" w:color="auto" w:fill="auto"/>
                <w:lang w:val="en-US" w:eastAsia="zh-CN"/>
              </w:rPr>
              <w:t>备注：投标人应提供2025年1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售后服务方案</w:t>
            </w:r>
          </w:p>
        </w:tc>
        <w:tc>
          <w:tcPr>
            <w:tcW w:w="37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 xml:space="preserve">1、根据投标人提供的售后服务机构配置（包括技术服务人员数量及水平、备品配件数量、保修方式），售后服务的便利性，应急处理方式，培训计划等进行评审：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 xml:space="preserve">优：售后服务机构配置的技术服务人员数量、备品配件数量充足；技术服务水平高，保修方式高效；售后服务便利、应急处理方式完善；培训计划内容非常详实完善、科学合理和保障及时充分，得4分；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 xml:space="preserve">良：售后服务机构配置的技术服务人员数量、备品配件数量较充足；技术服务水平较高，保修方式较佳；售后服务较便利、应急处理方式较完善；培训计划内容比较详实完善、可行性较好、保障性和及时性较好，得3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 xml:space="preserve">中：售后服务机构配置的技术服务人员数量、备品配件数量一般；技术服务水平一般，保修方式一般；售后服务便利性一般、应急处理方式一般；培训计划内容基本详实完善、基本可行、保障性和及时性一般，得2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差：</w:t>
            </w:r>
            <w:r>
              <w:rPr>
                <w:rFonts w:hint="eastAsia" w:ascii="宋体" w:hAnsi="宋体" w:eastAsia="宋体" w:cs="宋体"/>
                <w:b w:val="0"/>
                <w:bCs w:val="0"/>
                <w:i w:val="0"/>
                <w:iCs w:val="0"/>
                <w:caps w:val="0"/>
                <w:color w:val="auto"/>
                <w:spacing w:val="0"/>
                <w:kern w:val="0"/>
                <w:sz w:val="21"/>
                <w:szCs w:val="21"/>
                <w:highlight w:val="none"/>
                <w:shd w:val="clear" w:color="auto" w:fill="auto"/>
              </w:rPr>
              <w:t>售后服务机构配置的技术服务人员数量和备品配件数量基本满足项目需求；技术服务</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水平、</w:t>
            </w:r>
            <w:r>
              <w:rPr>
                <w:rFonts w:hint="eastAsia" w:ascii="宋体" w:hAnsi="宋体" w:eastAsia="宋体" w:cs="宋体"/>
                <w:b w:val="0"/>
                <w:bCs w:val="0"/>
                <w:i w:val="0"/>
                <w:iCs w:val="0"/>
                <w:caps w:val="0"/>
                <w:color w:val="auto"/>
                <w:spacing w:val="0"/>
                <w:kern w:val="0"/>
                <w:sz w:val="21"/>
                <w:szCs w:val="21"/>
                <w:highlight w:val="none"/>
                <w:shd w:val="clear" w:color="auto" w:fill="auto"/>
              </w:rPr>
              <w:t>保修方式较为基础；售后服务便利性一般，应急处理方式</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单一</w:t>
            </w:r>
            <w:r>
              <w:rPr>
                <w:rFonts w:hint="eastAsia" w:ascii="宋体" w:hAnsi="宋体" w:eastAsia="宋体" w:cs="宋体"/>
                <w:b w:val="0"/>
                <w:bCs w:val="0"/>
                <w:i w:val="0"/>
                <w:iCs w:val="0"/>
                <w:caps w:val="0"/>
                <w:color w:val="auto"/>
                <w:spacing w:val="0"/>
                <w:kern w:val="0"/>
                <w:sz w:val="21"/>
                <w:szCs w:val="21"/>
                <w:highlight w:val="none"/>
                <w:shd w:val="clear" w:color="auto" w:fill="auto"/>
              </w:rPr>
              <w:t>；培训计划内容</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简单</w:t>
            </w:r>
            <w:r>
              <w:rPr>
                <w:rFonts w:hint="eastAsia" w:ascii="宋体" w:hAnsi="宋体" w:eastAsia="宋体" w:cs="宋体"/>
                <w:b w:val="0"/>
                <w:bCs w:val="0"/>
                <w:i w:val="0"/>
                <w:iCs w:val="0"/>
                <w:caps w:val="0"/>
                <w:color w:val="auto"/>
                <w:spacing w:val="0"/>
                <w:kern w:val="0"/>
                <w:sz w:val="21"/>
                <w:szCs w:val="21"/>
                <w:highlight w:val="none"/>
                <w:shd w:val="clear" w:color="auto" w:fill="auto"/>
              </w:rPr>
              <w:t>，可行性</w:t>
            </w:r>
            <w:r>
              <w:rPr>
                <w:rFonts w:hint="eastAsia" w:ascii="宋体" w:hAnsi="宋体" w:eastAsia="宋体" w:cs="宋体"/>
                <w:b w:val="0"/>
                <w:bCs w:val="0"/>
                <w:i w:val="0"/>
                <w:iCs w:val="0"/>
                <w:caps w:val="0"/>
                <w:color w:val="auto"/>
                <w:spacing w:val="0"/>
                <w:kern w:val="0"/>
                <w:sz w:val="21"/>
                <w:szCs w:val="21"/>
                <w:highlight w:val="none"/>
                <w:shd w:val="clear" w:color="auto" w:fill="auto"/>
                <w:lang w:eastAsia="zh-CN"/>
              </w:rPr>
              <w:t>、</w:t>
            </w:r>
            <w:r>
              <w:rPr>
                <w:rFonts w:hint="eastAsia" w:ascii="宋体" w:hAnsi="宋体" w:eastAsia="宋体" w:cs="宋体"/>
                <w:b w:val="0"/>
                <w:bCs w:val="0"/>
                <w:i w:val="0"/>
                <w:iCs w:val="0"/>
                <w:caps w:val="0"/>
                <w:color w:val="auto"/>
                <w:spacing w:val="0"/>
                <w:kern w:val="0"/>
                <w:sz w:val="21"/>
                <w:szCs w:val="21"/>
                <w:highlight w:val="none"/>
                <w:shd w:val="clear" w:color="auto" w:fill="auto"/>
              </w:rPr>
              <w:t>保障</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性和</w:t>
            </w:r>
            <w:r>
              <w:rPr>
                <w:rFonts w:hint="eastAsia" w:ascii="宋体" w:hAnsi="宋体" w:eastAsia="宋体" w:cs="宋体"/>
                <w:b w:val="0"/>
                <w:bCs w:val="0"/>
                <w:i w:val="0"/>
                <w:iCs w:val="0"/>
                <w:caps w:val="0"/>
                <w:color w:val="auto"/>
                <w:spacing w:val="0"/>
                <w:kern w:val="0"/>
                <w:sz w:val="21"/>
                <w:szCs w:val="21"/>
                <w:highlight w:val="none"/>
                <w:shd w:val="clear" w:color="auto" w:fill="auto"/>
              </w:rPr>
              <w:t>及时性存在一定局限，得1分</w:t>
            </w:r>
            <w:r>
              <w:rPr>
                <w:rFonts w:hint="eastAsia" w:ascii="宋体" w:hAnsi="宋体" w:eastAsia="宋体" w:cs="宋体"/>
                <w:b w:val="0"/>
                <w:bCs w:val="0"/>
                <w:color w:val="auto"/>
                <w:kern w:val="0"/>
                <w:szCs w:val="21"/>
                <w:highlight w:val="none"/>
                <w:shd w:val="clear" w:color="auto" w:fill="auto"/>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未提供售后服务方案的，不得分。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p>
        </w:tc>
        <w:tc>
          <w:tcPr>
            <w:tcW w:w="37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rPr>
            </w:pPr>
            <w:r>
              <w:rPr>
                <w:rFonts w:hint="eastAsia" w:ascii="宋体" w:hAnsi="宋体" w:eastAsia="宋体" w:cs="宋体"/>
                <w:b w:val="0"/>
                <w:bCs w:val="0"/>
                <w:color w:val="auto"/>
                <w:kern w:val="0"/>
                <w:szCs w:val="21"/>
                <w:highlight w:val="none"/>
                <w:shd w:val="clear" w:color="auto" w:fill="auto"/>
                <w:lang w:val="en-US" w:eastAsia="zh-CN"/>
              </w:rPr>
              <w:t>2、根据投标人承诺的</w:t>
            </w:r>
            <w:r>
              <w:rPr>
                <w:rFonts w:hint="eastAsia" w:ascii="宋体" w:hAnsi="宋体" w:eastAsia="宋体" w:cs="宋体"/>
                <w:color w:val="auto"/>
                <w:szCs w:val="21"/>
                <w:highlight w:val="none"/>
                <w:lang w:val="en-US" w:eastAsia="zh-CN"/>
              </w:rPr>
              <w:t>售后服务</w:t>
            </w:r>
            <w:r>
              <w:rPr>
                <w:rFonts w:hint="eastAsia" w:ascii="宋体" w:hAnsi="宋体" w:eastAsia="宋体" w:cs="宋体"/>
                <w:b w:val="0"/>
                <w:bCs w:val="0"/>
                <w:color w:val="auto"/>
                <w:kern w:val="0"/>
                <w:szCs w:val="21"/>
                <w:highlight w:val="none"/>
                <w:shd w:val="clear" w:color="auto" w:fill="auto"/>
                <w:lang w:val="en-US" w:eastAsia="zh-CN"/>
              </w:rPr>
              <w:t xml:space="preserve">响应时间进行评审：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rPr>
            </w:pPr>
            <w:r>
              <w:rPr>
                <w:rFonts w:hint="eastAsia" w:ascii="宋体" w:hAnsi="宋体" w:eastAsia="宋体" w:cs="宋体"/>
                <w:b w:val="0"/>
                <w:bCs w:val="0"/>
                <w:color w:val="auto"/>
                <w:kern w:val="0"/>
                <w:szCs w:val="21"/>
                <w:highlight w:val="none"/>
                <w:shd w:val="clear" w:color="auto" w:fill="auto"/>
                <w:lang w:val="en-US" w:eastAsia="zh-CN"/>
              </w:rPr>
              <w:t>①承诺在接到招标人的</w:t>
            </w:r>
            <w:r>
              <w:rPr>
                <w:rFonts w:hint="eastAsia" w:ascii="宋体" w:hAnsi="宋体" w:eastAsia="宋体" w:cs="宋体"/>
                <w:color w:val="auto"/>
                <w:szCs w:val="21"/>
                <w:highlight w:val="none"/>
                <w:lang w:val="en-US" w:eastAsia="zh-CN"/>
              </w:rPr>
              <w:t>售后服务通知</w:t>
            </w:r>
            <w:r>
              <w:rPr>
                <w:rFonts w:hint="eastAsia" w:ascii="宋体" w:hAnsi="宋体" w:eastAsia="宋体" w:cs="宋体"/>
                <w:b w:val="0"/>
                <w:bCs w:val="0"/>
                <w:color w:val="auto"/>
                <w:kern w:val="0"/>
                <w:szCs w:val="21"/>
                <w:highlight w:val="none"/>
                <w:shd w:val="clear" w:color="auto" w:fill="auto"/>
                <w:lang w:val="en-US" w:eastAsia="zh-CN"/>
              </w:rPr>
              <w:t xml:space="preserve">后2小时内响应，8小时内到达项目现场进行维修等服务的，得2分。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rPr>
            </w:pPr>
            <w:r>
              <w:rPr>
                <w:rFonts w:hint="eastAsia" w:ascii="宋体" w:hAnsi="宋体" w:eastAsia="宋体" w:cs="宋体"/>
                <w:b w:val="0"/>
                <w:bCs w:val="0"/>
                <w:color w:val="auto"/>
                <w:kern w:val="0"/>
                <w:szCs w:val="21"/>
                <w:highlight w:val="none"/>
                <w:shd w:val="clear" w:color="auto" w:fill="auto"/>
                <w:lang w:val="en-US" w:eastAsia="zh-CN"/>
              </w:rPr>
              <w:t>②承诺在接到招标人的</w:t>
            </w:r>
            <w:r>
              <w:rPr>
                <w:rFonts w:hint="eastAsia" w:ascii="宋体" w:hAnsi="宋体" w:eastAsia="宋体" w:cs="宋体"/>
                <w:color w:val="auto"/>
                <w:szCs w:val="21"/>
                <w:highlight w:val="none"/>
                <w:lang w:val="en-US" w:eastAsia="zh-CN"/>
              </w:rPr>
              <w:t>售后服务通知</w:t>
            </w:r>
            <w:r>
              <w:rPr>
                <w:rFonts w:hint="eastAsia" w:ascii="宋体" w:hAnsi="宋体" w:eastAsia="宋体" w:cs="宋体"/>
                <w:b w:val="0"/>
                <w:bCs w:val="0"/>
                <w:color w:val="auto"/>
                <w:kern w:val="0"/>
                <w:szCs w:val="21"/>
                <w:highlight w:val="none"/>
                <w:shd w:val="clear" w:color="auto" w:fill="auto"/>
                <w:lang w:val="en-US" w:eastAsia="zh-CN"/>
              </w:rPr>
              <w:t xml:space="preserve">后3小时内响应，16小时内到达项目现场进行维修等服务的，得1分；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0"/>
                <w:szCs w:val="21"/>
                <w:highlight w:val="none"/>
                <w:shd w:val="clear" w:color="auto" w:fill="auto"/>
                <w:lang w:val="en-US" w:eastAsia="zh-CN"/>
              </w:rPr>
              <w:t>备注：根据《</w:t>
            </w:r>
            <w:r>
              <w:rPr>
                <w:rFonts w:hint="eastAsia" w:ascii="宋体" w:hAnsi="宋体" w:eastAsia="宋体" w:cs="宋体"/>
                <w:b/>
                <w:bCs/>
                <w:color w:val="auto"/>
                <w:szCs w:val="21"/>
                <w:highlight w:val="none"/>
                <w:lang w:val="en-US" w:eastAsia="zh-CN"/>
              </w:rPr>
              <w:t>售后服务</w:t>
            </w:r>
            <w:r>
              <w:rPr>
                <w:rFonts w:hint="eastAsia" w:ascii="宋体" w:hAnsi="宋体" w:eastAsia="宋体" w:cs="宋体"/>
                <w:b/>
                <w:bCs/>
                <w:color w:val="auto"/>
                <w:kern w:val="0"/>
                <w:szCs w:val="21"/>
                <w:highlight w:val="none"/>
              </w:rPr>
              <w:t>响应时间承诺表</w:t>
            </w:r>
            <w:r>
              <w:rPr>
                <w:rFonts w:hint="eastAsia" w:ascii="宋体" w:hAnsi="宋体" w:eastAsia="宋体" w:cs="宋体"/>
                <w:b w:val="0"/>
                <w:bCs w:val="0"/>
                <w:color w:val="auto"/>
                <w:kern w:val="0"/>
                <w:szCs w:val="21"/>
                <w:highlight w:val="none"/>
                <w:shd w:val="clear" w:color="auto" w:fill="auto"/>
                <w:lang w:val="en-US" w:eastAsia="zh-CN"/>
              </w:rPr>
              <w:t>》进行评审。</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40分</w:t>
            </w:r>
          </w:p>
        </w:tc>
      </w:tr>
      <w:bookmarkEnd w:id="681"/>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①</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②</w:t>
      </w:r>
      <w:r>
        <w:rPr>
          <w:rFonts w:hint="eastAsia" w:ascii="宋体" w:hAnsi="宋体" w:eastAsia="宋体" w:cs="宋体"/>
          <w:b/>
          <w:color w:val="auto"/>
          <w:szCs w:val="24"/>
          <w:highlight w:val="none"/>
          <w:lang w:val="zh-CN"/>
        </w:rPr>
        <w:t>上述“评分项目”中按“优、良、中、差”评审的，若低于该项满分分值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③</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682" w:name="_Toc31624_WPSOffice_Level2"/>
      <w:r>
        <w:rPr>
          <w:rFonts w:hint="eastAsia" w:ascii="宋体" w:hAnsi="宋体" w:eastAsia="宋体" w:cs="宋体"/>
          <w:color w:val="auto"/>
          <w:kern w:val="0"/>
          <w:szCs w:val="28"/>
          <w:highlight w:val="none"/>
          <w:lang w:val="zh-CN"/>
        </w:rPr>
        <w:t>评标总得分=F1＋F2＋……+Fn</w:t>
      </w:r>
      <w:bookmarkEnd w:id="682"/>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83" w:name="_Toc13236_WPSOffice_Level2"/>
      <w:r>
        <w:rPr>
          <w:rFonts w:hint="eastAsia" w:ascii="宋体" w:hAnsi="宋体" w:eastAsia="宋体" w:cs="宋体"/>
          <w:color w:val="auto"/>
          <w:kern w:val="0"/>
          <w:szCs w:val="21"/>
          <w:highlight w:val="none"/>
        </w:rPr>
        <w:t>F1、F2、……Fn分别为各项评分因素的得分</w:t>
      </w:r>
      <w:bookmarkEnd w:id="683"/>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684" w:name="_Toc518_WPSOffice_Level1"/>
      <w:r>
        <w:rPr>
          <w:rFonts w:hint="eastAsia" w:ascii="宋体" w:hAnsi="宋体" w:eastAsia="宋体" w:cs="宋体"/>
          <w:b/>
          <w:bCs/>
          <w:color w:val="auto"/>
          <w:sz w:val="28"/>
          <w:szCs w:val="28"/>
          <w:highlight w:val="none"/>
          <w:lang w:val="zh-CN"/>
        </w:rPr>
        <w:t>五、推荐中标人</w:t>
      </w:r>
      <w:bookmarkEnd w:id="684"/>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85" w:name="_Toc22724_WPSOffice_Level1"/>
      <w:r>
        <w:rPr>
          <w:rFonts w:hint="eastAsia" w:ascii="宋体" w:hAnsi="宋体" w:eastAsia="宋体" w:cs="宋体"/>
          <w:b/>
          <w:bCs/>
          <w:color w:val="auto"/>
          <w:sz w:val="28"/>
          <w:szCs w:val="28"/>
          <w:highlight w:val="none"/>
          <w:lang w:val="zh-CN"/>
        </w:rPr>
        <w:t>六、编写评标报告</w:t>
      </w:r>
      <w:bookmarkEnd w:id="685"/>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86" w:name="_Toc23773_WPSOffice_Level1"/>
      <w:r>
        <w:rPr>
          <w:rFonts w:hint="eastAsia" w:ascii="宋体" w:hAnsi="宋体" w:eastAsia="宋体" w:cs="宋体"/>
          <w:b/>
          <w:bCs/>
          <w:color w:val="auto"/>
          <w:sz w:val="28"/>
          <w:szCs w:val="28"/>
          <w:highlight w:val="none"/>
          <w:lang w:val="zh-CN"/>
        </w:rPr>
        <w:t>七、注意事项</w:t>
      </w:r>
      <w:bookmarkEnd w:id="686"/>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w:t>
      </w:r>
      <w:r>
        <w:rPr>
          <w:rFonts w:hint="eastAsia" w:ascii="宋体" w:hAnsi="宋体" w:eastAsia="宋体" w:cs="宋体"/>
          <w:color w:val="auto"/>
          <w:szCs w:val="24"/>
          <w:highlight w:val="none"/>
          <w:lang w:val="en-US" w:eastAsia="zh-CN"/>
        </w:rPr>
        <w:t>其它</w:t>
      </w:r>
      <w:r>
        <w:rPr>
          <w:rFonts w:hint="eastAsia" w:ascii="宋体" w:hAnsi="宋体" w:eastAsia="宋体" w:cs="宋体"/>
          <w:color w:val="auto"/>
          <w:szCs w:val="24"/>
          <w:highlight w:val="none"/>
          <w:lang w:val="zh-CN"/>
        </w:rPr>
        <w:t>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w:t>
      </w:r>
      <w:r>
        <w:rPr>
          <w:rFonts w:hint="eastAsia" w:ascii="宋体" w:hAnsi="宋体" w:eastAsia="宋体" w:cs="宋体"/>
          <w:color w:val="auto"/>
          <w:szCs w:val="24"/>
          <w:highlight w:val="none"/>
          <w:lang w:val="en-US" w:eastAsia="zh-CN"/>
        </w:rPr>
        <w:t>其它</w:t>
      </w:r>
      <w:r>
        <w:rPr>
          <w:rFonts w:hint="eastAsia" w:ascii="宋体" w:hAnsi="宋体" w:eastAsia="宋体" w:cs="宋体"/>
          <w:color w:val="auto"/>
          <w:szCs w:val="24"/>
          <w:highlight w:val="none"/>
          <w:lang w:val="zh-CN"/>
        </w:rPr>
        <w:t>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51"/>
    <w:bookmarkEnd w:id="660"/>
    <w:bookmarkEnd w:id="661"/>
    <w:bookmarkEnd w:id="662"/>
    <w:p>
      <w:pPr>
        <w:widowControl/>
        <w:jc w:val="left"/>
        <w:rPr>
          <w:rFonts w:ascii="宋体" w:hAnsi="宋体" w:eastAsia="宋体" w:cs="宋体"/>
          <w:color w:val="auto"/>
          <w:szCs w:val="24"/>
          <w:highlight w:val="none"/>
          <w:lang w:val="zh-CN"/>
        </w:rPr>
      </w:pPr>
    </w:p>
    <w:p>
      <w:pPr>
        <w:rPr>
          <w:color w:val="auto"/>
          <w:highlight w:val="none"/>
        </w:rPr>
      </w:pPr>
    </w:p>
    <w:p>
      <w:pPr>
        <w:rPr>
          <w:color w:val="auto"/>
          <w:highlight w:val="none"/>
        </w:rPr>
      </w:pPr>
    </w:p>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jU3ZWI0MDdlMjA5MGM2NmM2YWIwZWE0NzlkZmU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874D5"/>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50E6"/>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44713"/>
    <w:rsid w:val="023C37B3"/>
    <w:rsid w:val="028642E4"/>
    <w:rsid w:val="02B35D80"/>
    <w:rsid w:val="02FE5AC7"/>
    <w:rsid w:val="03030BB2"/>
    <w:rsid w:val="030D24B4"/>
    <w:rsid w:val="037B6451"/>
    <w:rsid w:val="03C25E33"/>
    <w:rsid w:val="0490200A"/>
    <w:rsid w:val="04DD5D12"/>
    <w:rsid w:val="0539563E"/>
    <w:rsid w:val="058F7720"/>
    <w:rsid w:val="05C40BDE"/>
    <w:rsid w:val="05C8750C"/>
    <w:rsid w:val="05CC15BC"/>
    <w:rsid w:val="061708DD"/>
    <w:rsid w:val="06447858"/>
    <w:rsid w:val="06A75D00"/>
    <w:rsid w:val="06BF21B8"/>
    <w:rsid w:val="06F259D1"/>
    <w:rsid w:val="06F4189A"/>
    <w:rsid w:val="07463A70"/>
    <w:rsid w:val="07A750B9"/>
    <w:rsid w:val="07B92A66"/>
    <w:rsid w:val="07DB167E"/>
    <w:rsid w:val="093F3118"/>
    <w:rsid w:val="097F55EA"/>
    <w:rsid w:val="09A609E3"/>
    <w:rsid w:val="09FC6C3A"/>
    <w:rsid w:val="0A1F2635"/>
    <w:rsid w:val="0A622F41"/>
    <w:rsid w:val="0A7D3253"/>
    <w:rsid w:val="0B671F13"/>
    <w:rsid w:val="0B93537C"/>
    <w:rsid w:val="0B9F2439"/>
    <w:rsid w:val="0BE470A9"/>
    <w:rsid w:val="0C8353F1"/>
    <w:rsid w:val="0CCB0971"/>
    <w:rsid w:val="0CE20369"/>
    <w:rsid w:val="0CF103CF"/>
    <w:rsid w:val="0D26294C"/>
    <w:rsid w:val="0D295F98"/>
    <w:rsid w:val="0D662D48"/>
    <w:rsid w:val="0D7001DA"/>
    <w:rsid w:val="0DB0061E"/>
    <w:rsid w:val="0E2C2506"/>
    <w:rsid w:val="0E7B0F90"/>
    <w:rsid w:val="0E8C4C06"/>
    <w:rsid w:val="0F241091"/>
    <w:rsid w:val="0F490B74"/>
    <w:rsid w:val="0F5372FC"/>
    <w:rsid w:val="0F96368D"/>
    <w:rsid w:val="10264E6C"/>
    <w:rsid w:val="104906FF"/>
    <w:rsid w:val="1053674F"/>
    <w:rsid w:val="12244F80"/>
    <w:rsid w:val="126B7053"/>
    <w:rsid w:val="127F43C7"/>
    <w:rsid w:val="12BD721E"/>
    <w:rsid w:val="12C11E6A"/>
    <w:rsid w:val="130F4A87"/>
    <w:rsid w:val="133A1349"/>
    <w:rsid w:val="1381624B"/>
    <w:rsid w:val="13A56B55"/>
    <w:rsid w:val="13A91BE1"/>
    <w:rsid w:val="13E1581F"/>
    <w:rsid w:val="13F721DF"/>
    <w:rsid w:val="14470AF8"/>
    <w:rsid w:val="147E1E08"/>
    <w:rsid w:val="14951983"/>
    <w:rsid w:val="15071C47"/>
    <w:rsid w:val="156133DF"/>
    <w:rsid w:val="159E495B"/>
    <w:rsid w:val="15EC4007"/>
    <w:rsid w:val="16530015"/>
    <w:rsid w:val="16CF61E0"/>
    <w:rsid w:val="17C973B3"/>
    <w:rsid w:val="17E21008"/>
    <w:rsid w:val="18171E8B"/>
    <w:rsid w:val="18200528"/>
    <w:rsid w:val="185B3D13"/>
    <w:rsid w:val="18BA6F89"/>
    <w:rsid w:val="18CF523B"/>
    <w:rsid w:val="19023CDF"/>
    <w:rsid w:val="19B44505"/>
    <w:rsid w:val="1A730089"/>
    <w:rsid w:val="1B0940FF"/>
    <w:rsid w:val="1B892C01"/>
    <w:rsid w:val="1C161677"/>
    <w:rsid w:val="1CC61A56"/>
    <w:rsid w:val="1E2471AC"/>
    <w:rsid w:val="1E4A0464"/>
    <w:rsid w:val="1E533470"/>
    <w:rsid w:val="1E5D0198"/>
    <w:rsid w:val="1FCC0DB8"/>
    <w:rsid w:val="1FD417EE"/>
    <w:rsid w:val="20110CBD"/>
    <w:rsid w:val="203B632D"/>
    <w:rsid w:val="207A1985"/>
    <w:rsid w:val="20B72CE7"/>
    <w:rsid w:val="21632106"/>
    <w:rsid w:val="220625B1"/>
    <w:rsid w:val="222334A6"/>
    <w:rsid w:val="226F4F56"/>
    <w:rsid w:val="23EF1892"/>
    <w:rsid w:val="23FD01D9"/>
    <w:rsid w:val="24F45147"/>
    <w:rsid w:val="267F6174"/>
    <w:rsid w:val="26EA2974"/>
    <w:rsid w:val="276947E2"/>
    <w:rsid w:val="27842B81"/>
    <w:rsid w:val="27E26EA0"/>
    <w:rsid w:val="281C69CE"/>
    <w:rsid w:val="286E02B3"/>
    <w:rsid w:val="28B33702"/>
    <w:rsid w:val="28CD7B64"/>
    <w:rsid w:val="28DA73F5"/>
    <w:rsid w:val="29665695"/>
    <w:rsid w:val="2996630C"/>
    <w:rsid w:val="29A758A6"/>
    <w:rsid w:val="29E63CF8"/>
    <w:rsid w:val="2A490C09"/>
    <w:rsid w:val="2A515FFE"/>
    <w:rsid w:val="2A6B64D6"/>
    <w:rsid w:val="2A7E571E"/>
    <w:rsid w:val="2AAD5E79"/>
    <w:rsid w:val="2ABB774C"/>
    <w:rsid w:val="2AC03215"/>
    <w:rsid w:val="2B5453C7"/>
    <w:rsid w:val="2C5A747A"/>
    <w:rsid w:val="2C6F395B"/>
    <w:rsid w:val="2C85114F"/>
    <w:rsid w:val="2CCB46DD"/>
    <w:rsid w:val="2CDD2E15"/>
    <w:rsid w:val="2CFC2BFE"/>
    <w:rsid w:val="2D3A6CF2"/>
    <w:rsid w:val="2DB11966"/>
    <w:rsid w:val="2DC0362C"/>
    <w:rsid w:val="2E3D039E"/>
    <w:rsid w:val="2E444588"/>
    <w:rsid w:val="2E5B4832"/>
    <w:rsid w:val="2EBF58E2"/>
    <w:rsid w:val="2F5E2A08"/>
    <w:rsid w:val="2F9432ED"/>
    <w:rsid w:val="2FAC4D55"/>
    <w:rsid w:val="308F348B"/>
    <w:rsid w:val="30AC28B9"/>
    <w:rsid w:val="30D836AE"/>
    <w:rsid w:val="314D028A"/>
    <w:rsid w:val="31722022"/>
    <w:rsid w:val="31726538"/>
    <w:rsid w:val="31E84412"/>
    <w:rsid w:val="31FC479D"/>
    <w:rsid w:val="32270D81"/>
    <w:rsid w:val="328C22B5"/>
    <w:rsid w:val="32C1784B"/>
    <w:rsid w:val="331A44A4"/>
    <w:rsid w:val="33CA5530"/>
    <w:rsid w:val="34006A3F"/>
    <w:rsid w:val="3425709A"/>
    <w:rsid w:val="34E41523"/>
    <w:rsid w:val="351965A5"/>
    <w:rsid w:val="352E1AEE"/>
    <w:rsid w:val="355530AA"/>
    <w:rsid w:val="364631D7"/>
    <w:rsid w:val="368928C2"/>
    <w:rsid w:val="38E43446"/>
    <w:rsid w:val="397A6507"/>
    <w:rsid w:val="39EA4BD6"/>
    <w:rsid w:val="3A2F188D"/>
    <w:rsid w:val="3B1F29B6"/>
    <w:rsid w:val="3B8E088C"/>
    <w:rsid w:val="3B9971A7"/>
    <w:rsid w:val="3C6A262C"/>
    <w:rsid w:val="3C7B33BE"/>
    <w:rsid w:val="3CC11A94"/>
    <w:rsid w:val="3CF63839"/>
    <w:rsid w:val="3D022F30"/>
    <w:rsid w:val="3D2A17AE"/>
    <w:rsid w:val="3D502128"/>
    <w:rsid w:val="3F1507CD"/>
    <w:rsid w:val="3F4E4BB7"/>
    <w:rsid w:val="3F5B255F"/>
    <w:rsid w:val="3F635161"/>
    <w:rsid w:val="3FA96189"/>
    <w:rsid w:val="3FF25C5F"/>
    <w:rsid w:val="40380B94"/>
    <w:rsid w:val="40B530C4"/>
    <w:rsid w:val="41166258"/>
    <w:rsid w:val="41325A95"/>
    <w:rsid w:val="4178464C"/>
    <w:rsid w:val="41C731CB"/>
    <w:rsid w:val="42065753"/>
    <w:rsid w:val="432B1D63"/>
    <w:rsid w:val="43641046"/>
    <w:rsid w:val="43B50E83"/>
    <w:rsid w:val="43C24475"/>
    <w:rsid w:val="43F60D08"/>
    <w:rsid w:val="44095C00"/>
    <w:rsid w:val="444805A0"/>
    <w:rsid w:val="44A02DC8"/>
    <w:rsid w:val="44E55806"/>
    <w:rsid w:val="460D3842"/>
    <w:rsid w:val="4689164E"/>
    <w:rsid w:val="47676826"/>
    <w:rsid w:val="47BC11DC"/>
    <w:rsid w:val="47E853ED"/>
    <w:rsid w:val="487D6BBD"/>
    <w:rsid w:val="48C2463F"/>
    <w:rsid w:val="4A3E412A"/>
    <w:rsid w:val="4AD706E7"/>
    <w:rsid w:val="4B434B4F"/>
    <w:rsid w:val="4BB86E3D"/>
    <w:rsid w:val="4BC2393C"/>
    <w:rsid w:val="4BC76F58"/>
    <w:rsid w:val="4BE11211"/>
    <w:rsid w:val="4D53613E"/>
    <w:rsid w:val="4D980E69"/>
    <w:rsid w:val="4DEE6E44"/>
    <w:rsid w:val="4E946A0E"/>
    <w:rsid w:val="4F0A4599"/>
    <w:rsid w:val="4F3558FD"/>
    <w:rsid w:val="4F5A1578"/>
    <w:rsid w:val="4FCD1AFA"/>
    <w:rsid w:val="50526B81"/>
    <w:rsid w:val="508C2093"/>
    <w:rsid w:val="50D15CF8"/>
    <w:rsid w:val="512E7B91"/>
    <w:rsid w:val="51695CCD"/>
    <w:rsid w:val="51AA0CDA"/>
    <w:rsid w:val="520E08A3"/>
    <w:rsid w:val="52F80915"/>
    <w:rsid w:val="54B113CD"/>
    <w:rsid w:val="54B4693D"/>
    <w:rsid w:val="54C47921"/>
    <w:rsid w:val="5528619D"/>
    <w:rsid w:val="562B0474"/>
    <w:rsid w:val="568802DB"/>
    <w:rsid w:val="56B37004"/>
    <w:rsid w:val="56F75BBB"/>
    <w:rsid w:val="57A672CB"/>
    <w:rsid w:val="57B87AC7"/>
    <w:rsid w:val="588D0DD8"/>
    <w:rsid w:val="58DE5456"/>
    <w:rsid w:val="59633BAD"/>
    <w:rsid w:val="59CA7788"/>
    <w:rsid w:val="5A0A0398"/>
    <w:rsid w:val="5A1522A3"/>
    <w:rsid w:val="5B5E5095"/>
    <w:rsid w:val="5B9C7D19"/>
    <w:rsid w:val="5BE12FA3"/>
    <w:rsid w:val="5C213498"/>
    <w:rsid w:val="5C3E7B0B"/>
    <w:rsid w:val="5C5236FE"/>
    <w:rsid w:val="5CE83505"/>
    <w:rsid w:val="5D663C6C"/>
    <w:rsid w:val="5D8866EC"/>
    <w:rsid w:val="5D9E1593"/>
    <w:rsid w:val="5DE16AE2"/>
    <w:rsid w:val="5EBF421E"/>
    <w:rsid w:val="5EC4703C"/>
    <w:rsid w:val="5FF26C90"/>
    <w:rsid w:val="60970ACB"/>
    <w:rsid w:val="60A305BA"/>
    <w:rsid w:val="61354081"/>
    <w:rsid w:val="61573A30"/>
    <w:rsid w:val="61D00235"/>
    <w:rsid w:val="62B13874"/>
    <w:rsid w:val="63092EF6"/>
    <w:rsid w:val="63495780"/>
    <w:rsid w:val="63672753"/>
    <w:rsid w:val="63B86436"/>
    <w:rsid w:val="645779AB"/>
    <w:rsid w:val="64E060B2"/>
    <w:rsid w:val="650225FA"/>
    <w:rsid w:val="65395875"/>
    <w:rsid w:val="653A1C66"/>
    <w:rsid w:val="65444757"/>
    <w:rsid w:val="65D218F7"/>
    <w:rsid w:val="65E62E7A"/>
    <w:rsid w:val="66007604"/>
    <w:rsid w:val="67167698"/>
    <w:rsid w:val="67BB5990"/>
    <w:rsid w:val="68607E3D"/>
    <w:rsid w:val="68822DC9"/>
    <w:rsid w:val="697C3B7E"/>
    <w:rsid w:val="699658D9"/>
    <w:rsid w:val="69CF5E41"/>
    <w:rsid w:val="69D32689"/>
    <w:rsid w:val="6A3A04F9"/>
    <w:rsid w:val="6A7F223B"/>
    <w:rsid w:val="6A8E3D35"/>
    <w:rsid w:val="6AAD178D"/>
    <w:rsid w:val="6AE606B8"/>
    <w:rsid w:val="6B2805C9"/>
    <w:rsid w:val="6B8A209B"/>
    <w:rsid w:val="6C1B20C5"/>
    <w:rsid w:val="6C1B3E73"/>
    <w:rsid w:val="6CB2741C"/>
    <w:rsid w:val="6CC649E7"/>
    <w:rsid w:val="6D321474"/>
    <w:rsid w:val="6D6B4986"/>
    <w:rsid w:val="6D9B0DCA"/>
    <w:rsid w:val="6DA45ED8"/>
    <w:rsid w:val="6E582A1A"/>
    <w:rsid w:val="6E7206C2"/>
    <w:rsid w:val="6E8B1784"/>
    <w:rsid w:val="6F1654F2"/>
    <w:rsid w:val="6F5F71DE"/>
    <w:rsid w:val="6F6F261D"/>
    <w:rsid w:val="6FAD1EDF"/>
    <w:rsid w:val="6FBF064E"/>
    <w:rsid w:val="6FC50CC6"/>
    <w:rsid w:val="70826EAE"/>
    <w:rsid w:val="70E47206"/>
    <w:rsid w:val="70F52EE5"/>
    <w:rsid w:val="70F85707"/>
    <w:rsid w:val="71222860"/>
    <w:rsid w:val="72A03F09"/>
    <w:rsid w:val="734D525A"/>
    <w:rsid w:val="73C36922"/>
    <w:rsid w:val="740C6EC3"/>
    <w:rsid w:val="743D7CF2"/>
    <w:rsid w:val="7503531D"/>
    <w:rsid w:val="7516167C"/>
    <w:rsid w:val="763627BA"/>
    <w:rsid w:val="76BE1FCB"/>
    <w:rsid w:val="779B0A09"/>
    <w:rsid w:val="78DD11C9"/>
    <w:rsid w:val="7904127D"/>
    <w:rsid w:val="791F5A5A"/>
    <w:rsid w:val="79420BD7"/>
    <w:rsid w:val="79C97A09"/>
    <w:rsid w:val="7A4A774A"/>
    <w:rsid w:val="7B6A0D0F"/>
    <w:rsid w:val="7B842D4C"/>
    <w:rsid w:val="7BA16C85"/>
    <w:rsid w:val="7C2C50CE"/>
    <w:rsid w:val="7CA83501"/>
    <w:rsid w:val="7D6457E7"/>
    <w:rsid w:val="7D695875"/>
    <w:rsid w:val="7DD23729"/>
    <w:rsid w:val="7EC81D47"/>
    <w:rsid w:val="7EDF3D6D"/>
    <w:rsid w:val="7F170842"/>
    <w:rsid w:val="7F4A3E6A"/>
    <w:rsid w:val="7F87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next w:val="3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8">
    <w:name w:val="Body Text First Indent 2"/>
    <w:basedOn w:val="20"/>
    <w:next w:val="12"/>
    <w:qFormat/>
    <w:uiPriority w:val="0"/>
    <w:pPr>
      <w:ind w:firstLine="420" w:firstLineChars="200"/>
    </w:pPr>
    <w:rPr>
      <w:szCs w:val="24"/>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1"/>
    <w:qFormat/>
    <w:uiPriority w:val="0"/>
    <w:rPr>
      <w:b/>
      <w:bCs/>
      <w:kern w:val="44"/>
      <w:sz w:val="44"/>
      <w:szCs w:val="44"/>
    </w:rPr>
  </w:style>
  <w:style w:type="character" w:customStyle="1" w:styleId="49">
    <w:name w:val="标题 2 Char"/>
    <w:basedOn w:val="41"/>
    <w:link w:val="3"/>
    <w:qFormat/>
    <w:uiPriority w:val="0"/>
    <w:rPr>
      <w:rFonts w:ascii="宋体" w:hAnsi="Calibri" w:eastAsia="宋体" w:cs="Times New Roman"/>
      <w:kern w:val="0"/>
      <w:sz w:val="24"/>
      <w:szCs w:val="24"/>
    </w:rPr>
  </w:style>
  <w:style w:type="character" w:customStyle="1" w:styleId="50">
    <w:name w:val="标题 3 字符"/>
    <w:basedOn w:val="41"/>
    <w:qFormat/>
    <w:uiPriority w:val="0"/>
    <w:rPr>
      <w:b/>
      <w:bCs/>
      <w:sz w:val="32"/>
      <w:szCs w:val="32"/>
    </w:rPr>
  </w:style>
  <w:style w:type="character" w:customStyle="1" w:styleId="51">
    <w:name w:val="标题 4 Char1"/>
    <w:basedOn w:val="41"/>
    <w:link w:val="5"/>
    <w:qFormat/>
    <w:uiPriority w:val="9"/>
    <w:rPr>
      <w:rFonts w:ascii="Arial" w:hAnsi="Arial" w:eastAsia="黑体" w:cs="Times New Roman"/>
      <w:b/>
      <w:bCs/>
      <w:kern w:val="0"/>
      <w:sz w:val="28"/>
      <w:szCs w:val="28"/>
    </w:rPr>
  </w:style>
  <w:style w:type="character" w:customStyle="1" w:styleId="52">
    <w:name w:val="标题 5 字符"/>
    <w:basedOn w:val="41"/>
    <w:qFormat/>
    <w:uiPriority w:val="9"/>
    <w:rPr>
      <w:b/>
      <w:bCs/>
      <w:sz w:val="28"/>
      <w:szCs w:val="28"/>
    </w:rPr>
  </w:style>
  <w:style w:type="character" w:customStyle="1" w:styleId="53">
    <w:name w:val="标题 6 字符"/>
    <w:basedOn w:val="41"/>
    <w:qFormat/>
    <w:uiPriority w:val="0"/>
    <w:rPr>
      <w:rFonts w:asciiTheme="majorHAnsi" w:hAnsiTheme="majorHAnsi" w:eastAsiaTheme="majorEastAsia" w:cstheme="majorBidi"/>
      <w:b/>
      <w:bCs/>
      <w:sz w:val="24"/>
      <w:szCs w:val="24"/>
    </w:rPr>
  </w:style>
  <w:style w:type="character" w:customStyle="1" w:styleId="54">
    <w:name w:val="标题 7 Char"/>
    <w:basedOn w:val="41"/>
    <w:link w:val="9"/>
    <w:qFormat/>
    <w:uiPriority w:val="9"/>
    <w:rPr>
      <w:rFonts w:ascii="Times New Roman" w:hAnsi="Calibri" w:eastAsia="黑体" w:cs="Times New Roman"/>
      <w:b/>
      <w:bCs/>
      <w:kern w:val="0"/>
      <w:sz w:val="28"/>
      <w:szCs w:val="24"/>
    </w:rPr>
  </w:style>
  <w:style w:type="character" w:customStyle="1" w:styleId="55">
    <w:name w:val="标题 8 Char"/>
    <w:basedOn w:val="41"/>
    <w:link w:val="10"/>
    <w:qFormat/>
    <w:uiPriority w:val="9"/>
    <w:rPr>
      <w:rFonts w:ascii="Times New Roman" w:hAnsi="Calibri" w:eastAsia="黑体" w:cs="Times New Roman"/>
      <w:b/>
      <w:kern w:val="0"/>
      <w:sz w:val="28"/>
      <w:szCs w:val="24"/>
    </w:rPr>
  </w:style>
  <w:style w:type="character" w:customStyle="1" w:styleId="56">
    <w:name w:val="标题 9 Char"/>
    <w:basedOn w:val="41"/>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4"/>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19"/>
    <w:qFormat/>
    <w:uiPriority w:val="0"/>
    <w:rPr>
      <w:rFonts w:ascii="Arial" w:hAnsi="Arial" w:eastAsia="宋体" w:cs="Times New Roman"/>
      <w:color w:val="000000"/>
      <w:szCs w:val="24"/>
    </w:rPr>
  </w:style>
  <w:style w:type="character" w:customStyle="1" w:styleId="145">
    <w:name w:val="标题 3 Char"/>
    <w:link w:val="4"/>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2"/>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1"/>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semiHidden/>
    <w:qFormat/>
    <w:uiPriority w:val="99"/>
    <w:rPr>
      <w:rFonts w:hAnsi="Courier New" w:cs="Courier New" w:asciiTheme="minorEastAsia"/>
    </w:rPr>
  </w:style>
  <w:style w:type="character" w:customStyle="1" w:styleId="164">
    <w:name w:val="批注文字 Char2"/>
    <w:basedOn w:val="41"/>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1"/>
    <w:qFormat/>
    <w:uiPriority w:val="10"/>
    <w:rPr>
      <w:rFonts w:asciiTheme="majorHAnsi" w:hAnsiTheme="majorHAnsi" w:eastAsiaTheme="majorEastAsia" w:cstheme="majorBidi"/>
      <w:b/>
      <w:bCs/>
      <w:sz w:val="32"/>
      <w:szCs w:val="32"/>
    </w:rPr>
  </w:style>
  <w:style w:type="character" w:customStyle="1" w:styleId="167">
    <w:name w:val="正文文本缩进 字符3"/>
    <w:basedOn w:val="41"/>
    <w:semiHidden/>
    <w:qFormat/>
    <w:uiPriority w:val="99"/>
  </w:style>
  <w:style w:type="character" w:customStyle="1" w:styleId="168">
    <w:name w:val="正文文本 字符4"/>
    <w:basedOn w:val="41"/>
    <w:semiHidden/>
    <w:qFormat/>
    <w:uiPriority w:val="99"/>
  </w:style>
  <w:style w:type="character" w:customStyle="1" w:styleId="169">
    <w:name w:val="正文文本缩进 3 字符2"/>
    <w:basedOn w:val="41"/>
    <w:semiHidden/>
    <w:qFormat/>
    <w:uiPriority w:val="99"/>
    <w:rPr>
      <w:sz w:val="16"/>
      <w:szCs w:val="16"/>
    </w:rPr>
  </w:style>
  <w:style w:type="character" w:customStyle="1" w:styleId="170">
    <w:name w:val="页眉 字符2"/>
    <w:basedOn w:val="41"/>
    <w:semiHidden/>
    <w:qFormat/>
    <w:uiPriority w:val="99"/>
    <w:rPr>
      <w:sz w:val="18"/>
      <w:szCs w:val="18"/>
    </w:rPr>
  </w:style>
  <w:style w:type="character" w:customStyle="1" w:styleId="171">
    <w:name w:val="批注框文本 字符2"/>
    <w:basedOn w:val="41"/>
    <w:semiHidden/>
    <w:qFormat/>
    <w:uiPriority w:val="99"/>
    <w:rPr>
      <w:sz w:val="18"/>
      <w:szCs w:val="18"/>
    </w:rPr>
  </w:style>
  <w:style w:type="character" w:customStyle="1" w:styleId="172">
    <w:name w:val="HTML 预设格式 字符2"/>
    <w:basedOn w:val="41"/>
    <w:semiHidden/>
    <w:qFormat/>
    <w:uiPriority w:val="99"/>
    <w:rPr>
      <w:rFonts w:ascii="Courier New" w:hAnsi="Courier New" w:cs="Courier New"/>
      <w:sz w:val="20"/>
      <w:szCs w:val="20"/>
    </w:rPr>
  </w:style>
  <w:style w:type="character" w:customStyle="1" w:styleId="173">
    <w:name w:val="页脚 字符2"/>
    <w:basedOn w:val="41"/>
    <w:semiHidden/>
    <w:qFormat/>
    <w:uiPriority w:val="99"/>
    <w:rPr>
      <w:sz w:val="18"/>
      <w:szCs w:val="18"/>
    </w:rPr>
  </w:style>
  <w:style w:type="character" w:customStyle="1" w:styleId="174">
    <w:name w:val="正文文本缩进 2 字符2"/>
    <w:basedOn w:val="41"/>
    <w:semiHidden/>
    <w:qFormat/>
    <w:uiPriority w:val="99"/>
  </w:style>
  <w:style w:type="character" w:customStyle="1" w:styleId="175">
    <w:name w:val="正文文本 3 字符2"/>
    <w:basedOn w:val="41"/>
    <w:semiHidden/>
    <w:qFormat/>
    <w:uiPriority w:val="99"/>
    <w:rPr>
      <w:sz w:val="16"/>
      <w:szCs w:val="16"/>
    </w:rPr>
  </w:style>
  <w:style w:type="character" w:customStyle="1" w:styleId="176">
    <w:name w:val="正文文本 2 字符2"/>
    <w:basedOn w:val="41"/>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semiHidden/>
    <w:qFormat/>
    <w:uiPriority w:val="99"/>
    <w:rPr>
      <w:rFonts w:ascii="Microsoft YaHei UI" w:eastAsia="Microsoft YaHei UI"/>
      <w:sz w:val="18"/>
      <w:szCs w:val="18"/>
    </w:rPr>
  </w:style>
  <w:style w:type="character" w:customStyle="1" w:styleId="180">
    <w:name w:val="日期 字符2"/>
    <w:basedOn w:val="41"/>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7"/>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Table Paragraph"/>
    <w:basedOn w:val="1"/>
    <w:qFormat/>
    <w:uiPriority w:val="1"/>
    <w:pPr>
      <w:jc w:val="center"/>
    </w:pPr>
    <w:rPr>
      <w:rFonts w:ascii="宋体" w:hAnsi="宋体" w:eastAsia="宋体" w:cs="宋体"/>
      <w:lang w:val="zh-CN" w:eastAsia="zh-CN" w:bidi="zh-CN"/>
    </w:rPr>
  </w:style>
  <w:style w:type="character" w:customStyle="1" w:styleId="205">
    <w:name w:val="font51"/>
    <w:basedOn w:val="41"/>
    <w:qFormat/>
    <w:uiPriority w:val="0"/>
    <w:rPr>
      <w:rFonts w:hint="eastAsia" w:ascii="宋体" w:hAnsi="宋体" w:eastAsia="宋体" w:cs="宋体"/>
      <w:color w:val="000000"/>
      <w:sz w:val="36"/>
      <w:szCs w:val="36"/>
      <w:u w:val="none"/>
    </w:rPr>
  </w:style>
  <w:style w:type="character" w:customStyle="1" w:styleId="206">
    <w:name w:val="font41"/>
    <w:basedOn w:val="41"/>
    <w:qFormat/>
    <w:uiPriority w:val="0"/>
    <w:rPr>
      <w:rFonts w:hint="eastAsia" w:ascii="宋体" w:hAnsi="宋体" w:eastAsia="宋体" w:cs="宋体"/>
      <w:color w:val="000000"/>
      <w:sz w:val="20"/>
      <w:szCs w:val="20"/>
      <w:u w:val="none"/>
    </w:rPr>
  </w:style>
  <w:style w:type="paragraph" w:customStyle="1" w:styleId="207">
    <w:name w:val="Table Text"/>
    <w:basedOn w:val="1"/>
    <w:semiHidden/>
    <w:qFormat/>
    <w:uiPriority w:val="0"/>
    <w:rPr>
      <w:rFonts w:ascii="宋体" w:hAnsi="宋体" w:eastAsia="宋体" w:cs="宋体"/>
      <w:sz w:val="16"/>
      <w:szCs w:val="16"/>
      <w:lang w:val="en-US" w:eastAsia="en-US" w:bidi="ar-SA"/>
    </w:rPr>
  </w:style>
  <w:style w:type="table" w:customStyle="1" w:styleId="208">
    <w:name w:val="Table Normal"/>
    <w:semiHidden/>
    <w:unhideWhenUsed/>
    <w:qFormat/>
    <w:uiPriority w:val="0"/>
    <w:tblPr>
      <w:tblCellMar>
        <w:top w:w="0" w:type="dxa"/>
        <w:left w:w="0" w:type="dxa"/>
        <w:bottom w:w="0" w:type="dxa"/>
        <w:right w:w="0" w:type="dxa"/>
      </w:tblCellMar>
    </w:tblPr>
  </w:style>
  <w:style w:type="paragraph" w:customStyle="1" w:styleId="209">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10">
    <w:name w:val="Body Text First Indent1"/>
    <w:basedOn w:val="1"/>
    <w:qFormat/>
    <w:uiPriority w:val="0"/>
    <w:pPr>
      <w:ind w:firstLine="420" w:firstLineChars="100"/>
    </w:pPr>
  </w:style>
  <w:style w:type="paragraph" w:customStyle="1" w:styleId="211">
    <w:name w:val="_附录编号标题"/>
    <w:basedOn w:val="1"/>
    <w:next w:val="212"/>
    <w:qFormat/>
    <w:uiPriority w:val="0"/>
    <w:pPr>
      <w:snapToGrid w:val="0"/>
      <w:spacing w:before="567"/>
      <w:jc w:val="center"/>
    </w:pPr>
    <w:rPr>
      <w:rFonts w:eastAsia="黑体"/>
      <w:color w:val="000000"/>
    </w:rPr>
  </w:style>
  <w:style w:type="paragraph" w:customStyle="1" w:styleId="212">
    <w:name w:val="附录标题1"/>
    <w:basedOn w:val="2"/>
    <w:next w:val="213"/>
    <w:qFormat/>
    <w:uiPriority w:val="0"/>
    <w:pPr>
      <w:tabs>
        <w:tab w:val="left" w:pos="300"/>
        <w:tab w:val="left" w:pos="700"/>
      </w:tabs>
      <w:ind w:left="300" w:hanging="300"/>
    </w:pPr>
    <w:rPr>
      <w:color w:val="FFFFFF"/>
      <w:sz w:val="18"/>
    </w:rPr>
  </w:style>
  <w:style w:type="paragraph" w:customStyle="1" w:styleId="213">
    <w:name w:val="附录标题2"/>
    <w:basedOn w:val="3"/>
    <w:next w:val="37"/>
    <w:qFormat/>
    <w:uiPriority w:val="0"/>
    <w:pPr>
      <w:tabs>
        <w:tab w:val="left" w:pos="500"/>
      </w:tabs>
      <w:ind w:left="500" w:hanging="500"/>
    </w:pPr>
    <w:rPr>
      <w:rFonts w:eastAsia="黑体"/>
    </w:rPr>
  </w:style>
  <w:style w:type="paragraph" w:customStyle="1" w:styleId="214">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76482</Words>
  <Characters>82972</Characters>
  <Lines>314</Lines>
  <Paragraphs>88</Paragraphs>
  <TotalTime>0</TotalTime>
  <ScaleCrop>false</ScaleCrop>
  <LinksUpToDate>false</LinksUpToDate>
  <CharactersWithSpaces>88505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dcterms:modified xsi:type="dcterms:W3CDTF">2025-06-30T09:35:30Z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F7D49B3BD38942D296C41E4BACED0679_13</vt:lpwstr>
  </property>
  <property fmtid="{D5CDD505-2E9C-101B-9397-08002B2CF9AE}" pid="4" name="KSOTemplateDocerSaveRecord">
    <vt:lpwstr>eyJoZGlkIjoiYTA5ZjFjOTQ2NTNkMTFkZmFlYjNmMDAxZDRiODc3NjEiLCJ1c2VySWQiOiIzMDE5NDU0MDYifQ==</vt:lpwstr>
  </property>
</Properties>
</file>