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0693D">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030BD2E9">
      <w:pPr>
        <w:autoSpaceDE w:val="0"/>
        <w:autoSpaceDN w:val="0"/>
        <w:adjustRightInd w:val="0"/>
        <w:spacing w:line="276" w:lineRule="auto"/>
        <w:ind w:left="357" w:leftChars="170" w:right="-23" w:rightChars="-11"/>
        <w:jc w:val="center"/>
        <w:outlineLvl w:val="0"/>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东莞市水务集团造价咨询服务单位库(2025-2026)采购项目</w:t>
      </w:r>
    </w:p>
    <w:p w14:paraId="7460EBF7">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094975E3">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6FB2D69E">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781EBB03">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47AB0D34">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730964F1">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A172ABC">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7F8DA5E7">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35249F6">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号：SSRSSV12501076</w:t>
      </w:r>
    </w:p>
    <w:p w14:paraId="5117323D">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人：东莞市水务集团有限公司</w:t>
      </w:r>
    </w:p>
    <w:p w14:paraId="7DF57CB8">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招标代理机构：广东有德招标采购有限公司</w:t>
      </w:r>
    </w:p>
    <w:p w14:paraId="2DF97462">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5F63AD8A">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6CB0C85A">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25</w:t>
      </w:r>
      <w:r>
        <w:rPr>
          <w:rFonts w:hint="eastAsia" w:ascii="宋体" w:hAnsi="宋体" w:eastAsia="宋体" w:cs="宋体"/>
          <w:b/>
          <w:bCs/>
          <w:color w:val="auto"/>
          <w:sz w:val="32"/>
          <w:szCs w:val="32"/>
          <w:highlight w:val="none"/>
          <w:lang w:val="zh-CN"/>
        </w:rPr>
        <w:t>日</w:t>
      </w:r>
    </w:p>
    <w:p w14:paraId="079277B0">
      <w:pPr>
        <w:pageBreakBefore/>
        <w:spacing w:line="360" w:lineRule="auto"/>
        <w:jc w:val="center"/>
        <w:outlineLvl w:val="0"/>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重要提示</w:t>
      </w:r>
    </w:p>
    <w:p w14:paraId="6EB10184">
      <w:pPr>
        <w:pStyle w:val="39"/>
        <w:widowControl w:val="0"/>
        <w:spacing w:before="0" w:beforeAutospacing="0" w:after="0" w:afterAutospacing="0" w:line="360" w:lineRule="auto"/>
        <w:ind w:firstLine="480" w:firstLineChars="200"/>
        <w:jc w:val="both"/>
        <w:outlineLvl w:val="0"/>
        <w:rPr>
          <w:rFonts w:eastAsia="宋体" w:cs="宋体"/>
          <w:color w:val="auto"/>
          <w:sz w:val="24"/>
          <w:szCs w:val="24"/>
          <w:highlight w:val="none"/>
          <w:lang w:bidi="ar"/>
        </w:rPr>
      </w:pPr>
      <w:r>
        <w:rPr>
          <w:rFonts w:hint="eastAsia" w:eastAsia="宋体" w:cs="宋体"/>
          <w:color w:val="auto"/>
          <w:sz w:val="24"/>
          <w:szCs w:val="24"/>
          <w:highlight w:val="none"/>
          <w:lang w:bidi="ar"/>
        </w:rPr>
        <w:t>1. 本次招标项目采用电子标书。</w:t>
      </w:r>
    </w:p>
    <w:p w14:paraId="42AE467E">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2. 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1C9CEBB6">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3. 除特别说明外，招标文件相关条款中提及的以及第六篇“投标文件格式”中包括但不限于“企业数字证书电子签名”及“电子签名”等要求签名的均指由数字证书电子签章或电子签名。</w:t>
      </w:r>
    </w:p>
    <w:p w14:paraId="6C0FE64B">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4. 投标人必须使用计算机互联网络（以下简称网络）将投标文件以jjb格式上传提交至东莞市公共资源交易E网通管理平台建设工程交易系统（以下简称交易系统），并在网上签到时，关联到对应的投标项目中。</w:t>
      </w:r>
    </w:p>
    <w:p w14:paraId="3D91DEB4">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5. 投标人在交易系统中对投标文件进行解密的电子</w:t>
      </w:r>
      <w:r>
        <w:rPr>
          <w:rFonts w:eastAsia="宋体" w:cs="宋体"/>
          <w:color w:val="auto"/>
          <w:sz w:val="24"/>
          <w:szCs w:val="24"/>
          <w:highlight w:val="none"/>
          <w:lang w:bidi="ar"/>
        </w:rPr>
        <w:t>签名</w:t>
      </w:r>
      <w:r>
        <w:rPr>
          <w:rFonts w:hint="eastAsia" w:eastAsia="宋体" w:cs="宋体"/>
          <w:color w:val="auto"/>
          <w:sz w:val="24"/>
          <w:szCs w:val="24"/>
          <w:highlight w:val="none"/>
          <w:lang w:bidi="ar"/>
        </w:rPr>
        <w:t>认证证书必须为机构证书或制作本项目投标文件的业务证书。</w:t>
      </w:r>
    </w:p>
    <w:p w14:paraId="34ADD22C">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6. 投标人应及时提交投标文件，如在投标文件截止时间前因网络等任何原因未能成功上传投标文件，相关后果由投标人自行承担。</w:t>
      </w:r>
    </w:p>
    <w:p w14:paraId="294078EC">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146C81C9">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14:paraId="0EE43C5B">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1B5D7FA9">
      <w:pPr>
        <w:pStyle w:val="16"/>
        <w:rPr>
          <w:color w:val="auto"/>
          <w:highlight w:val="none"/>
        </w:rPr>
      </w:pPr>
    </w:p>
    <w:sdt>
      <w:sdtPr>
        <w:rPr>
          <w:rFonts w:ascii="宋体" w:hAnsi="宋体" w:eastAsia="宋体" w:cstheme="minorBidi"/>
          <w:color w:val="auto"/>
          <w:kern w:val="2"/>
          <w:sz w:val="21"/>
          <w:szCs w:val="22"/>
          <w:highlight w:val="none"/>
          <w:lang w:val="en-US" w:eastAsia="zh-CN" w:bidi="ar-SA"/>
        </w:rPr>
        <w:id w:val="147477141"/>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71865033">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ascii="宋体" w:hAnsi="宋体" w:eastAsia="宋体"/>
              <w:color w:val="auto"/>
              <w:sz w:val="36"/>
              <w:szCs w:val="40"/>
              <w:highlight w:val="none"/>
            </w:rPr>
          </w:pPr>
          <w:r>
            <w:rPr>
              <w:rFonts w:ascii="宋体" w:hAnsi="宋体" w:eastAsia="宋体"/>
              <w:color w:val="auto"/>
              <w:sz w:val="36"/>
              <w:szCs w:val="40"/>
              <w:highlight w:val="none"/>
            </w:rPr>
            <w:t>目录</w:t>
          </w:r>
        </w:p>
        <w:p w14:paraId="0A1D40E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_Toc9529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w:t>
          </w:r>
          <w:r>
            <w:rPr>
              <w:rFonts w:hint="eastAsia" w:ascii="宋体" w:hAnsi="宋体" w:eastAsia="宋体" w:cs="宋体"/>
              <w:bCs/>
              <w:color w:val="auto"/>
              <w:kern w:val="44"/>
              <w:szCs w:val="32"/>
              <w:highlight w:val="none"/>
              <w:lang w:val="en-US" w:eastAsia="zh-CN"/>
            </w:rPr>
            <w:t>一</w:t>
          </w:r>
          <w:r>
            <w:rPr>
              <w:rFonts w:hint="eastAsia" w:ascii="宋体" w:hAnsi="宋体" w:eastAsia="宋体" w:cs="宋体"/>
              <w:bCs/>
              <w:color w:val="auto"/>
              <w:kern w:val="44"/>
              <w:szCs w:val="32"/>
              <w:highlight w:val="none"/>
              <w:lang w:val="zh-CN"/>
            </w:rPr>
            <w:t>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en-US" w:eastAsia="zh-CN"/>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_Toc9529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22991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_Toc24405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CB29B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_Toc29769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_Toc29769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8CA514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_Toc21700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_Toc21700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86962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_Toc22976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09A5D1">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_Toc2613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F99C5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_Toc25225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_Toc25225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FE6042">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_Toc25760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251EA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_Toc9362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_Toc9362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5E9B2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_Toc7112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F7B60B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_Toc13298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8F184A0">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_Toc18752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DDBE51">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_Toc10850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A2428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_Toc13447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415462">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_Toc7017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D3089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_Toc27908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_Toc27908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4E305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1B770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_Toc26828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_Toc26828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D64448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_Toc22622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14 证明</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36C47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_Toc3206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4F9C3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_Toc5674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9C459A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_Toc15065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17 投标文件的编制和签署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61182D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_Toc11307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D2F4B2">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_Toc3466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18 投标文件的加密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_Toc3466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169E41C">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_Toc3867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D7AA7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8FE25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_Toc5699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_Toc5699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30A8F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_Toc26166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_Toc26166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CF56E2">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_Toc5498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64E9B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_Toc17477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_Toc17477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A9561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_Toc29774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_Toc29774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379EB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_Toc6241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679DA9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_Toc4946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486F15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_Toc8692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 xml:space="preserve">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_Toc8692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AF2461">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_Toc6362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8B296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_Toc10292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26A471">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_Toc18614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86F522">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87A80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_Toc26283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_Toc26283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20FE661">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_Toc6704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E55C532">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_Toc25011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3CDED4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_Toc8164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_Toc8164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0241AF">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_Toc13906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284EC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_Toc4722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_Toc4722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B72388">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_Toc10371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_Toc10371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577098">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_Toc3311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_Toc3311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3F929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_Toc14850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4D68EC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_Toc31030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80F11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_Toc10243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41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2275B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_Toc22346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42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_Toc22346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68C5B2">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_Toc21406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_Toc21406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37AD277">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第</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_Toc13960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FB685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_Toc2749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06318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_Toc29078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74122D">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_Toc17208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_Toc17208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B25EEC">
          <w:pPr>
            <w:pStyle w:val="35"/>
            <w:tabs>
              <w:tab w:val="right" w:leader="dot" w:pos="10154"/>
            </w:tabs>
            <w:rPr>
              <w:color w:val="auto"/>
              <w:highlight w:val="none"/>
            </w:rPr>
          </w:pPr>
        </w:p>
        <w:p w14:paraId="494D190F">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highlight w:val="none"/>
            </w:rPr>
            <w:fldChar w:fldCharType="end"/>
          </w:r>
        </w:p>
      </w:sdtContent>
    </w:sdt>
    <w:p w14:paraId="1CE3747E">
      <w:pPr>
        <w:pageBreakBefore/>
        <w:tabs>
          <w:tab w:val="left" w:pos="1080"/>
        </w:tabs>
        <w:autoSpaceDE w:val="0"/>
        <w:autoSpaceDN w:val="0"/>
        <w:adjustRightInd w:val="0"/>
        <w:spacing w:line="360" w:lineRule="auto"/>
        <w:ind w:left="-167" w:leftChars="-100" w:hanging="43"/>
        <w:jc w:val="center"/>
        <w:outlineLvl w:val="1"/>
        <w:rPr>
          <w:rFonts w:hint="default" w:ascii="宋体" w:hAnsi="宋体" w:eastAsia="宋体" w:cs="宋体"/>
          <w:b/>
          <w:bCs/>
          <w:color w:val="auto"/>
          <w:kern w:val="44"/>
          <w:sz w:val="32"/>
          <w:szCs w:val="32"/>
          <w:highlight w:val="none"/>
          <w:lang w:val="en-US" w:eastAsia="zh-CN"/>
        </w:rPr>
      </w:pPr>
      <w:bookmarkStart w:id="0" w:name="_Toc9529"/>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6BB1F3B2">
      <w:pPr>
        <w:rPr>
          <w:color w:val="auto"/>
          <w:highlight w:val="none"/>
        </w:rPr>
      </w:pPr>
    </w:p>
    <w:p w14:paraId="5E74B256">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广东有德招标采购有限公司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东莞市水务集团造价咨询服务单位库(2025-2026)采购项目</w:t>
      </w:r>
      <w:r>
        <w:rPr>
          <w:rFonts w:ascii="宋体" w:hAnsi="宋体" w:eastAsia="宋体" w:cs="Times New Roman"/>
          <w:color w:val="auto"/>
          <w:szCs w:val="21"/>
          <w:highlight w:val="none"/>
          <w:lang w:val="zh-CN"/>
        </w:rPr>
        <w:t>(招标编号：SSRSSV12501076)</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30082BE2">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46B61600">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338"/>
        <w:gridCol w:w="2612"/>
        <w:gridCol w:w="2882"/>
        <w:gridCol w:w="1718"/>
      </w:tblGrid>
      <w:tr w14:paraId="4FB0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95" w:type="pct"/>
            <w:shd w:val="clear" w:color="auto" w:fill="E0E0E0"/>
            <w:vAlign w:val="center"/>
          </w:tcPr>
          <w:p w14:paraId="3DCEE867">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127" w:type="pct"/>
            <w:shd w:val="clear" w:color="auto" w:fill="E0E0E0"/>
            <w:vAlign w:val="center"/>
          </w:tcPr>
          <w:p w14:paraId="544505C3">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采购内容</w:t>
            </w:r>
          </w:p>
        </w:tc>
        <w:tc>
          <w:tcPr>
            <w:tcW w:w="1259" w:type="pct"/>
            <w:shd w:val="clear" w:color="auto" w:fill="E0E0E0"/>
            <w:vAlign w:val="center"/>
          </w:tcPr>
          <w:p w14:paraId="5B6D597A">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协议服务期限</w:t>
            </w:r>
          </w:p>
        </w:tc>
        <w:tc>
          <w:tcPr>
            <w:tcW w:w="1389" w:type="pct"/>
            <w:shd w:val="clear" w:color="auto" w:fill="E0E0E0"/>
            <w:vAlign w:val="center"/>
          </w:tcPr>
          <w:p w14:paraId="0767CDDD">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采购数量</w:t>
            </w:r>
          </w:p>
        </w:tc>
        <w:tc>
          <w:tcPr>
            <w:tcW w:w="828" w:type="pct"/>
            <w:shd w:val="clear" w:color="auto" w:fill="E0E0E0"/>
            <w:vAlign w:val="center"/>
          </w:tcPr>
          <w:p w14:paraId="103D0003">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07EA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95" w:type="pct"/>
            <w:vAlign w:val="center"/>
          </w:tcPr>
          <w:p w14:paraId="198594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127" w:type="pct"/>
            <w:vAlign w:val="center"/>
          </w:tcPr>
          <w:p w14:paraId="6815E7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造价咨询服务单位库</w:t>
            </w:r>
          </w:p>
        </w:tc>
        <w:tc>
          <w:tcPr>
            <w:tcW w:w="1259" w:type="pct"/>
            <w:vAlign w:val="center"/>
          </w:tcPr>
          <w:p w14:paraId="79C61DD1">
            <w:pPr>
              <w:keepNext w:val="0"/>
              <w:keepLines w:val="0"/>
              <w:suppressLineNumbers w:val="0"/>
              <w:tabs>
                <w:tab w:val="left" w:pos="360"/>
              </w:tabs>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本合同项下供应商库服务期自中标通知书签发之日起2年</w:t>
            </w:r>
          </w:p>
        </w:tc>
        <w:tc>
          <w:tcPr>
            <w:tcW w:w="1389" w:type="pct"/>
            <w:vAlign w:val="center"/>
          </w:tcPr>
          <w:p w14:paraId="59A1F476">
            <w:pPr>
              <w:keepNext w:val="0"/>
              <w:keepLines w:val="0"/>
              <w:suppressLineNumbers w:val="0"/>
              <w:tabs>
                <w:tab w:val="left" w:pos="360"/>
              </w:tabs>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家（ 6 家日常使用单位，2 家候补单位）</w:t>
            </w:r>
          </w:p>
        </w:tc>
        <w:tc>
          <w:tcPr>
            <w:tcW w:w="828" w:type="pct"/>
            <w:vAlign w:val="center"/>
          </w:tcPr>
          <w:p w14:paraId="42C128A8">
            <w:pPr>
              <w:keepNext w:val="0"/>
              <w:keepLines w:val="0"/>
              <w:suppressLineNumbers w:val="0"/>
              <w:tabs>
                <w:tab w:val="left" w:pos="360"/>
              </w:tabs>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详见第三篇用户需求书。</w:t>
            </w:r>
          </w:p>
        </w:tc>
      </w:tr>
    </w:tbl>
    <w:p w14:paraId="5246D62B">
      <w:pPr>
        <w:autoSpaceDE w:val="0"/>
        <w:autoSpaceDN w:val="0"/>
        <w:adjustRightInd w:val="0"/>
        <w:snapToGrid w:val="0"/>
        <w:spacing w:line="360" w:lineRule="auto"/>
        <w:ind w:right="-34" w:firstLine="420" w:firstLineChars="20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1C380BF3">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2CCA9EEC">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0"/>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5D76C00B">
      <w:pPr>
        <w:pStyle w:val="168"/>
        <w:keepNext w:val="0"/>
        <w:keepLines w:val="0"/>
        <w:pageBreakBefore w:val="0"/>
        <w:kinsoku/>
        <w:overflowPunct/>
        <w:topLinePunct w:val="0"/>
        <w:bidi w:val="0"/>
        <w:spacing w:line="360" w:lineRule="auto"/>
        <w:ind w:left="422" w:right="-29" w:rightChars="-14" w:hanging="422" w:hangingChars="20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343EB319">
      <w:pPr>
        <w:pStyle w:val="168"/>
        <w:keepNext w:val="0"/>
        <w:keepLines w:val="0"/>
        <w:pageBreakBefore w:val="0"/>
        <w:kinsoku/>
        <w:overflowPunct/>
        <w:topLinePunct w:val="0"/>
        <w:bidi w:val="0"/>
        <w:spacing w:line="360" w:lineRule="auto"/>
        <w:ind w:left="422" w:right="-29" w:rightChars="-14" w:hanging="422" w:hangingChars="200"/>
        <w:jc w:val="both"/>
        <w:rPr>
          <w:rFonts w:hAnsi="宋体" w:eastAsia="宋体"/>
          <w:b/>
          <w:color w:val="auto"/>
          <w:sz w:val="21"/>
          <w:szCs w:val="21"/>
          <w:highlight w:val="none"/>
        </w:rPr>
      </w:pPr>
      <w:bookmarkStart w:id="2" w:name="_Toc25819"/>
      <w:r>
        <w:rPr>
          <w:rFonts w:hint="eastAsia" w:hAnsi="宋体" w:eastAsia="宋体"/>
          <w:b/>
          <w:color w:val="auto"/>
          <w:sz w:val="21"/>
          <w:szCs w:val="21"/>
          <w:highlight w:val="none"/>
          <w:lang w:val="zh-CN"/>
        </w:rPr>
        <w:t xml:space="preserve">2.2 </w:t>
      </w:r>
      <w:r>
        <w:rPr>
          <w:rFonts w:hint="eastAsia" w:hAnsi="宋体" w:eastAsia="宋体" w:cs="宋体"/>
          <w:b/>
          <w:color w:val="auto"/>
          <w:sz w:val="21"/>
          <w:szCs w:val="21"/>
          <w:highlight w:val="none"/>
          <w:lang w:val="zh-CN"/>
        </w:rPr>
        <w:t>投标人</w:t>
      </w:r>
      <w:r>
        <w:rPr>
          <w:rFonts w:hint="eastAsia" w:hAnsi="宋体" w:eastAsia="宋体" w:cs="宋体"/>
          <w:b/>
          <w:color w:val="auto"/>
          <w:sz w:val="21"/>
          <w:szCs w:val="21"/>
          <w:highlight w:val="none"/>
          <w:lang w:val="en-US" w:eastAsia="zh-CN"/>
        </w:rPr>
        <w:t>2022</w:t>
      </w:r>
      <w:r>
        <w:rPr>
          <w:rFonts w:hint="eastAsia" w:hAnsi="宋体" w:eastAsia="宋体" w:cs="宋体"/>
          <w:b/>
          <w:color w:val="auto"/>
          <w:sz w:val="21"/>
          <w:szCs w:val="21"/>
          <w:highlight w:val="none"/>
          <w:lang w:val="zh-CN"/>
        </w:rPr>
        <w:t>年</w:t>
      </w:r>
      <w:r>
        <w:rPr>
          <w:rFonts w:hint="eastAsia" w:hAnsi="宋体" w:eastAsia="宋体" w:cs="宋体"/>
          <w:b/>
          <w:color w:val="auto"/>
          <w:sz w:val="21"/>
          <w:szCs w:val="21"/>
          <w:highlight w:val="none"/>
          <w:lang w:val="en-US" w:eastAsia="zh-CN"/>
        </w:rPr>
        <w:t>1</w:t>
      </w:r>
      <w:r>
        <w:rPr>
          <w:rFonts w:hint="eastAsia" w:hAnsi="宋体" w:eastAsia="宋体" w:cs="宋体"/>
          <w:b/>
          <w:color w:val="auto"/>
          <w:sz w:val="21"/>
          <w:szCs w:val="21"/>
          <w:highlight w:val="none"/>
          <w:lang w:val="zh-CN"/>
        </w:rPr>
        <w:t>月</w:t>
      </w:r>
      <w:r>
        <w:rPr>
          <w:rFonts w:hint="eastAsia" w:hAnsi="宋体" w:eastAsia="宋体" w:cs="宋体"/>
          <w:b/>
          <w:color w:val="auto"/>
          <w:sz w:val="21"/>
          <w:szCs w:val="21"/>
          <w:highlight w:val="none"/>
          <w:lang w:val="en-US" w:eastAsia="zh-CN"/>
        </w:rPr>
        <w:t>1</w:t>
      </w:r>
      <w:r>
        <w:rPr>
          <w:rFonts w:hint="eastAsia" w:hAnsi="宋体" w:eastAsia="宋体" w:cs="宋体"/>
          <w:b/>
          <w:color w:val="auto"/>
          <w:sz w:val="21"/>
          <w:szCs w:val="21"/>
          <w:highlight w:val="none"/>
          <w:lang w:val="zh-CN"/>
        </w:rPr>
        <w:t>日以来具有造价咨询</w:t>
      </w:r>
      <w:r>
        <w:rPr>
          <w:rFonts w:hint="eastAsia" w:ascii="宋体" w:hAnsi="宋体" w:eastAsia="宋体" w:cs="宋体"/>
          <w:b/>
          <w:color w:val="auto"/>
          <w:sz w:val="21"/>
          <w:szCs w:val="21"/>
          <w:highlight w:val="none"/>
          <w:lang w:val="zh-CN"/>
        </w:rPr>
        <w:t>【</w:t>
      </w:r>
      <w:r>
        <w:rPr>
          <w:rFonts w:hint="eastAsia" w:hAnsi="宋体" w:eastAsia="宋体" w:cs="宋体"/>
          <w:b/>
          <w:color w:val="auto"/>
          <w:sz w:val="21"/>
          <w:szCs w:val="21"/>
          <w:highlight w:val="none"/>
          <w:lang w:val="zh-CN"/>
        </w:rPr>
        <w:t>含概算编制、概算审核、预算(或招标控制价)编制、预算(或招标控制价)审核、结算编制和结算审核，以上业绩可包括在同一合同或多份合同内</w:t>
      </w:r>
      <w:r>
        <w:rPr>
          <w:rFonts w:hint="eastAsia" w:ascii="宋体" w:hAnsi="宋体" w:eastAsia="宋体" w:cs="宋体"/>
          <w:b/>
          <w:color w:val="auto"/>
          <w:sz w:val="21"/>
          <w:szCs w:val="21"/>
          <w:highlight w:val="none"/>
          <w:lang w:val="zh-CN"/>
        </w:rPr>
        <w:t>】</w:t>
      </w:r>
      <w:r>
        <w:rPr>
          <w:rFonts w:hint="eastAsia" w:hAnsi="宋体" w:eastAsia="宋体" w:cs="宋体"/>
          <w:b/>
          <w:color w:val="auto"/>
          <w:sz w:val="21"/>
          <w:szCs w:val="21"/>
          <w:highlight w:val="none"/>
          <w:lang w:val="zh-CN"/>
        </w:rPr>
        <w:t>的服务业绩（合同签订日期为</w:t>
      </w:r>
      <w:r>
        <w:rPr>
          <w:rFonts w:hint="eastAsia" w:hAnsi="宋体" w:eastAsia="宋体" w:cs="宋体"/>
          <w:b/>
          <w:color w:val="auto"/>
          <w:sz w:val="21"/>
          <w:szCs w:val="21"/>
          <w:highlight w:val="none"/>
          <w:lang w:val="en-US" w:eastAsia="zh-CN"/>
        </w:rPr>
        <w:t>2022</w:t>
      </w:r>
      <w:r>
        <w:rPr>
          <w:rFonts w:hint="eastAsia" w:hAnsi="宋体" w:eastAsia="宋体" w:cs="宋体"/>
          <w:b/>
          <w:color w:val="auto"/>
          <w:sz w:val="21"/>
          <w:szCs w:val="21"/>
          <w:highlight w:val="none"/>
          <w:lang w:val="zh-CN"/>
        </w:rPr>
        <w:t>年</w:t>
      </w:r>
      <w:r>
        <w:rPr>
          <w:rFonts w:hint="eastAsia" w:hAnsi="宋体" w:eastAsia="宋体" w:cs="宋体"/>
          <w:b/>
          <w:color w:val="auto"/>
          <w:sz w:val="21"/>
          <w:szCs w:val="21"/>
          <w:highlight w:val="none"/>
          <w:lang w:val="en-US" w:eastAsia="zh-CN"/>
        </w:rPr>
        <w:t>1</w:t>
      </w:r>
      <w:r>
        <w:rPr>
          <w:rFonts w:hint="eastAsia" w:hAnsi="宋体" w:eastAsia="宋体" w:cs="宋体"/>
          <w:b/>
          <w:color w:val="auto"/>
          <w:sz w:val="21"/>
          <w:szCs w:val="21"/>
          <w:highlight w:val="none"/>
          <w:lang w:val="zh-CN"/>
        </w:rPr>
        <w:t>月</w:t>
      </w:r>
      <w:r>
        <w:rPr>
          <w:rFonts w:hint="eastAsia" w:hAnsi="宋体" w:eastAsia="宋体" w:cs="宋体"/>
          <w:b/>
          <w:color w:val="auto"/>
          <w:sz w:val="21"/>
          <w:szCs w:val="21"/>
          <w:highlight w:val="none"/>
          <w:lang w:val="en-US" w:eastAsia="zh-CN"/>
        </w:rPr>
        <w:t>1</w:t>
      </w:r>
      <w:r>
        <w:rPr>
          <w:rFonts w:hint="eastAsia" w:hAnsi="宋体" w:eastAsia="宋体" w:cs="宋体"/>
          <w:b/>
          <w:color w:val="auto"/>
          <w:sz w:val="21"/>
          <w:szCs w:val="21"/>
          <w:highlight w:val="none"/>
          <w:lang w:val="zh-CN"/>
        </w:rPr>
        <w:t>日或以后，金额在100万元（含）以上）</w:t>
      </w:r>
      <w:r>
        <w:rPr>
          <w:rFonts w:hint="eastAsia" w:hAnsi="宋体" w:eastAsia="宋体"/>
          <w:b/>
          <w:color w:val="auto"/>
          <w:sz w:val="21"/>
          <w:szCs w:val="21"/>
          <w:highlight w:val="none"/>
          <w:lang w:val="zh-CN"/>
        </w:rPr>
        <w:t>；</w:t>
      </w:r>
    </w:p>
    <w:p w14:paraId="1A3E7274">
      <w:pPr>
        <w:pStyle w:val="168"/>
        <w:keepNext w:val="0"/>
        <w:keepLines w:val="0"/>
        <w:pageBreakBefore w:val="0"/>
        <w:kinsoku/>
        <w:overflowPunct/>
        <w:topLinePunct w:val="0"/>
        <w:bidi w:val="0"/>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 xml:space="preserve">2.3 </w:t>
      </w:r>
      <w:r>
        <w:rPr>
          <w:rFonts w:hint="eastAsia" w:hAnsi="宋体" w:eastAsia="宋体"/>
          <w:b/>
          <w:color w:val="auto"/>
          <w:sz w:val="21"/>
          <w:szCs w:val="21"/>
          <w:highlight w:val="none"/>
          <w:lang w:val="zh-CN"/>
        </w:rPr>
        <w:t>本项目不接受联合体投标</w:t>
      </w:r>
      <w:bookmarkEnd w:id="2"/>
      <w:r>
        <w:rPr>
          <w:rFonts w:hint="eastAsia" w:hAnsi="宋体" w:eastAsia="宋体"/>
          <w:b/>
          <w:color w:val="auto"/>
          <w:sz w:val="21"/>
          <w:szCs w:val="21"/>
          <w:highlight w:val="none"/>
          <w:lang w:val="zh-CN"/>
        </w:rPr>
        <w:t>；</w:t>
      </w:r>
    </w:p>
    <w:p w14:paraId="37DEC1A3">
      <w:pPr>
        <w:pStyle w:val="168"/>
        <w:keepNext w:val="0"/>
        <w:keepLines w:val="0"/>
        <w:pageBreakBefore w:val="0"/>
        <w:kinsoku/>
        <w:overflowPunct/>
        <w:topLinePunct w:val="0"/>
        <w:bidi w:val="0"/>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zh-CN"/>
        </w:rPr>
        <w:t>.</w:t>
      </w:r>
      <w:r>
        <w:rPr>
          <w:rFonts w:hint="eastAsia" w:hAnsi="宋体" w:eastAsia="宋体"/>
          <w:b/>
          <w:color w:val="auto"/>
          <w:sz w:val="21"/>
          <w:szCs w:val="21"/>
          <w:highlight w:val="none"/>
        </w:rPr>
        <w:t xml:space="preserve">4 </w:t>
      </w:r>
      <w:r>
        <w:rPr>
          <w:rFonts w:hint="eastAsia" w:hAnsi="宋体" w:eastAsia="宋体"/>
          <w:b/>
          <w:color w:val="auto"/>
          <w:sz w:val="21"/>
          <w:szCs w:val="21"/>
          <w:highlight w:val="none"/>
          <w:lang w:val="zh-CN"/>
        </w:rPr>
        <w:t>其他要求：</w:t>
      </w:r>
    </w:p>
    <w:p w14:paraId="7F399F4E">
      <w:pPr>
        <w:pStyle w:val="168"/>
        <w:keepNext w:val="0"/>
        <w:keepLines w:val="0"/>
        <w:pageBreakBefore w:val="0"/>
        <w:kinsoku/>
        <w:overflowPunct/>
        <w:topLinePunct w:val="0"/>
        <w:autoSpaceDE/>
        <w:autoSpaceDN/>
        <w:bidi w:val="0"/>
        <w:spacing w:line="360" w:lineRule="auto"/>
        <w:ind w:left="420" w:leftChars="200" w:firstLine="0" w:firstLineChars="0"/>
        <w:jc w:val="both"/>
        <w:outlineLvl w:val="1"/>
        <w:rPr>
          <w:rFonts w:hAnsi="宋体" w:eastAsia="宋体"/>
          <w:b/>
          <w:color w:val="auto"/>
          <w:sz w:val="21"/>
          <w:szCs w:val="21"/>
          <w:highlight w:val="none"/>
          <w:lang w:val="zh-CN"/>
        </w:rPr>
      </w:pPr>
      <w:r>
        <w:rPr>
          <w:rFonts w:hint="eastAsia" w:hAnsi="宋体" w:eastAsia="宋体"/>
          <w:b/>
          <w:color w:val="auto"/>
          <w:sz w:val="21"/>
          <w:szCs w:val="21"/>
          <w:highlight w:val="none"/>
          <w:lang w:val="zh-CN"/>
        </w:rPr>
        <w:t>（1）投标人应在东莞市公共资源交易企业库建档；</w:t>
      </w:r>
    </w:p>
    <w:p w14:paraId="0F8B7F91">
      <w:pPr>
        <w:pStyle w:val="168"/>
        <w:keepNext w:val="0"/>
        <w:keepLines w:val="0"/>
        <w:pageBreakBefore w:val="0"/>
        <w:kinsoku/>
        <w:overflowPunct/>
        <w:topLinePunct w:val="0"/>
        <w:autoSpaceDE/>
        <w:autoSpaceDN/>
        <w:bidi w:val="0"/>
        <w:spacing w:line="360" w:lineRule="auto"/>
        <w:ind w:left="420" w:leftChars="200"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25A4AE18">
      <w:pPr>
        <w:keepNext w:val="0"/>
        <w:keepLines w:val="0"/>
        <w:pageBreakBefore w:val="0"/>
        <w:kinsoku/>
        <w:overflowPunct/>
        <w:topLinePunct w:val="0"/>
        <w:autoSpaceDE w:val="0"/>
        <w:autoSpaceDN w:val="0"/>
        <w:bidi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2870CEB">
      <w:pPr>
        <w:pStyle w:val="186"/>
        <w:keepNext w:val="0"/>
        <w:keepLines w:val="0"/>
        <w:pageBreakBefore w:val="0"/>
        <w:numPr>
          <w:ilvl w:val="0"/>
          <w:numId w:val="1"/>
        </w:numPr>
        <w:kinsoku/>
        <w:overflowPunct/>
        <w:topLinePunct w:val="0"/>
        <w:bidi w:val="0"/>
        <w:spacing w:line="360" w:lineRule="auto"/>
        <w:ind w:left="426" w:right="-34" w:hanging="426" w:firstLineChars="0"/>
        <w:rPr>
          <w:rFonts w:ascii="宋体" w:hAnsi="宋体" w:cs="宋体"/>
          <w:color w:val="auto"/>
          <w:szCs w:val="21"/>
          <w:highlight w:val="none"/>
        </w:rPr>
      </w:pPr>
      <w:r>
        <w:rPr>
          <w:rFonts w:hint="eastAsia" w:ascii="宋体" w:hAnsi="宋体" w:cs="宋体"/>
          <w:color w:val="auto"/>
          <w:szCs w:val="21"/>
          <w:highlight w:val="none"/>
          <w:lang w:val="zh-CN"/>
        </w:rPr>
        <w:t>获取招标文件的方式：凡有意参加投标者，可于</w:t>
      </w:r>
      <w:r>
        <w:rPr>
          <w:rFonts w:hint="eastAsia" w:ascii="宋体" w:hAnsi="宋体" w:cs="宋体"/>
          <w:color w:val="auto"/>
          <w:szCs w:val="21"/>
          <w:highlight w:val="none"/>
          <w:u w:val="single"/>
          <w:lang w:val="zh-CN"/>
        </w:rPr>
        <w:t>2025年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val="zh-CN"/>
        </w:rPr>
        <w:t>月</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lang w:val="zh-CN"/>
        </w:rPr>
        <w:t>日</w:t>
      </w:r>
      <w:r>
        <w:rPr>
          <w:rFonts w:hint="eastAsia" w:ascii="宋体" w:hAnsi="宋体" w:cs="宋体"/>
          <w:color w:val="auto"/>
          <w:szCs w:val="21"/>
          <w:highlight w:val="none"/>
          <w:lang w:val="zh-CN"/>
        </w:rPr>
        <w:t>至投标截止时间前登录交易系统下载本次招标项目的招标文件等资料。</w:t>
      </w:r>
    </w:p>
    <w:p w14:paraId="7A08D1DB">
      <w:pPr>
        <w:keepNext w:val="0"/>
        <w:keepLines w:val="0"/>
        <w:pageBreakBefore w:val="0"/>
        <w:kinsoku/>
        <w:overflowPunct/>
        <w:topLinePunct w:val="0"/>
        <w:autoSpaceDE w:val="0"/>
        <w:autoSpaceDN w:val="0"/>
        <w:bidi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B207858">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2679298">
      <w:pPr>
        <w:keepNext w:val="0"/>
        <w:keepLines w:val="0"/>
        <w:pageBreakBefore w:val="0"/>
        <w:kinsoku/>
        <w:overflowPunct/>
        <w:topLinePunct w:val="0"/>
        <w:autoSpaceDE w:val="0"/>
        <w:autoSpaceDN w:val="0"/>
        <w:bidi w:val="0"/>
        <w:adjustRightInd w:val="0"/>
        <w:spacing w:line="360" w:lineRule="auto"/>
        <w:ind w:right="-29" w:rightChars="-14" w:firstLine="420"/>
        <w:rPr>
          <w:rFonts w:ascii="宋体" w:hAnsi="宋体" w:eastAsia="宋体" w:cs="Times New Roman"/>
          <w:color w:val="auto"/>
          <w:szCs w:val="21"/>
          <w:highlight w:val="none"/>
          <w:lang w:val="zh-CN"/>
        </w:rPr>
      </w:pPr>
    </w:p>
    <w:p w14:paraId="5B48035F">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投标会时间、地点及投标文件提交截止时间</w:t>
      </w:r>
      <w:r>
        <w:rPr>
          <w:rFonts w:ascii="宋体" w:hAnsi="宋体" w:eastAsia="宋体" w:cs="Times New Roman"/>
          <w:color w:val="auto"/>
          <w:szCs w:val="21"/>
          <w:highlight w:val="none"/>
          <w:lang w:val="zh-CN"/>
        </w:rPr>
        <w:t>：</w:t>
      </w:r>
    </w:p>
    <w:p w14:paraId="59843722">
      <w:pPr>
        <w:pStyle w:val="168"/>
        <w:keepNext w:val="0"/>
        <w:keepLines w:val="0"/>
        <w:pageBreakBefore w:val="0"/>
        <w:kinsoku/>
        <w:overflowPunct/>
        <w:topLinePunct w:val="0"/>
        <w:bidi w:val="0"/>
        <w:spacing w:line="360" w:lineRule="auto"/>
        <w:ind w:left="420" w:hanging="420" w:hangingChars="200"/>
        <w:jc w:val="both"/>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en-US" w:eastAsia="zh-CN"/>
        </w:rPr>
        <w:t xml:space="preserve">5.1 </w:t>
      </w:r>
      <w:r>
        <w:rPr>
          <w:rFonts w:hint="eastAsia" w:hAnsi="宋体" w:eastAsia="宋体"/>
          <w:bCs/>
          <w:color w:val="auto"/>
          <w:sz w:val="21"/>
          <w:szCs w:val="21"/>
          <w:highlight w:val="none"/>
          <w:lang w:val="zh-CN"/>
        </w:rPr>
        <w:t>投标会召开时间：</w:t>
      </w:r>
      <w:r>
        <w:rPr>
          <w:rFonts w:hint="eastAsia" w:hAnsi="宋体" w:eastAsia="宋体"/>
          <w:bCs/>
          <w:color w:val="auto"/>
          <w:sz w:val="21"/>
          <w:szCs w:val="21"/>
          <w:highlight w:val="none"/>
          <w:u w:val="single"/>
          <w:lang w:val="zh-CN"/>
        </w:rPr>
        <w:t>2025年</w:t>
      </w:r>
      <w:r>
        <w:rPr>
          <w:rFonts w:hint="eastAsia" w:hAnsi="宋体" w:eastAsia="宋体"/>
          <w:bCs/>
          <w:color w:val="auto"/>
          <w:sz w:val="21"/>
          <w:szCs w:val="21"/>
          <w:highlight w:val="none"/>
          <w:u w:val="single"/>
          <w:lang w:val="en-US" w:eastAsia="zh-CN"/>
        </w:rPr>
        <w:t>7</w:t>
      </w:r>
      <w:r>
        <w:rPr>
          <w:rFonts w:hint="eastAsia" w:hAnsi="宋体" w:eastAsia="宋体"/>
          <w:bCs/>
          <w:color w:val="auto"/>
          <w:sz w:val="21"/>
          <w:szCs w:val="21"/>
          <w:highlight w:val="none"/>
          <w:u w:val="single"/>
          <w:lang w:val="zh-CN"/>
        </w:rPr>
        <w:t>月</w:t>
      </w:r>
      <w:r>
        <w:rPr>
          <w:rFonts w:hint="eastAsia" w:hAnsi="宋体" w:eastAsia="宋体"/>
          <w:bCs/>
          <w:color w:val="auto"/>
          <w:sz w:val="21"/>
          <w:szCs w:val="21"/>
          <w:highlight w:val="none"/>
          <w:u w:val="single"/>
          <w:lang w:val="en-US" w:eastAsia="zh-CN"/>
        </w:rPr>
        <w:t>17</w:t>
      </w:r>
      <w:r>
        <w:rPr>
          <w:rFonts w:hint="eastAsia" w:hAnsi="宋体" w:eastAsia="宋体"/>
          <w:bCs/>
          <w:color w:val="auto"/>
          <w:sz w:val="21"/>
          <w:szCs w:val="21"/>
          <w:highlight w:val="none"/>
          <w:u w:val="single"/>
          <w:lang w:val="zh-CN"/>
        </w:rPr>
        <w:t>日</w:t>
      </w:r>
      <w:r>
        <w:rPr>
          <w:rFonts w:hint="eastAsia" w:hAnsi="宋体" w:eastAsia="宋体"/>
          <w:bCs/>
          <w:color w:val="auto"/>
          <w:sz w:val="21"/>
          <w:szCs w:val="21"/>
          <w:highlight w:val="none"/>
          <w:u w:val="single"/>
          <w:lang w:val="en-US" w:eastAsia="zh-CN"/>
        </w:rPr>
        <w:t>9</w:t>
      </w:r>
      <w:r>
        <w:rPr>
          <w:rFonts w:hint="eastAsia" w:hAnsi="宋体" w:eastAsia="宋体"/>
          <w:bCs/>
          <w:color w:val="auto"/>
          <w:sz w:val="21"/>
          <w:szCs w:val="21"/>
          <w:highlight w:val="none"/>
          <w:u w:val="single"/>
          <w:lang w:val="zh-CN"/>
        </w:rPr>
        <w:t>时</w:t>
      </w:r>
      <w:r>
        <w:rPr>
          <w:rFonts w:hint="eastAsia" w:hAnsi="宋体" w:eastAsia="宋体"/>
          <w:bCs/>
          <w:color w:val="auto"/>
          <w:sz w:val="21"/>
          <w:szCs w:val="21"/>
          <w:highlight w:val="none"/>
          <w:u w:val="single"/>
          <w:lang w:val="en-US" w:eastAsia="zh-CN"/>
        </w:rPr>
        <w:t>30</w:t>
      </w:r>
      <w:r>
        <w:rPr>
          <w:rFonts w:hint="eastAsia" w:hAnsi="宋体" w:eastAsia="宋体"/>
          <w:bCs/>
          <w:color w:val="auto"/>
          <w:sz w:val="21"/>
          <w:szCs w:val="21"/>
          <w:highlight w:val="none"/>
          <w:u w:val="single"/>
          <w:lang w:val="zh-CN"/>
        </w:rPr>
        <w:t>分</w:t>
      </w:r>
      <w:r>
        <w:rPr>
          <w:rFonts w:hint="eastAsia" w:hAnsi="宋体" w:eastAsia="宋体"/>
          <w:bCs/>
          <w:color w:val="auto"/>
          <w:sz w:val="21"/>
          <w:szCs w:val="21"/>
          <w:highlight w:val="none"/>
          <w:lang w:val="zh-CN"/>
        </w:rPr>
        <w:t>，投标会召开地点：东莞市南城</w:t>
      </w:r>
      <w:r>
        <w:rPr>
          <w:rFonts w:hint="eastAsia" w:hAnsi="宋体" w:eastAsia="宋体"/>
          <w:bCs/>
          <w:color w:val="auto"/>
          <w:sz w:val="21"/>
          <w:szCs w:val="21"/>
          <w:highlight w:val="none"/>
          <w:lang w:val="en-US" w:eastAsia="zh-CN"/>
        </w:rPr>
        <w:t>街道</w:t>
      </w:r>
      <w:r>
        <w:rPr>
          <w:rFonts w:hint="eastAsia" w:hAnsi="宋体" w:eastAsia="宋体"/>
          <w:bCs/>
          <w:color w:val="auto"/>
          <w:sz w:val="21"/>
          <w:szCs w:val="21"/>
          <w:highlight w:val="none"/>
          <w:lang w:val="zh-CN"/>
        </w:rPr>
        <w:t>西平社区宏伟三路45号东莞市公共资源交易中心开标室（</w:t>
      </w:r>
      <w:r>
        <w:rPr>
          <w:rFonts w:hint="eastAsia" w:hAnsi="宋体" w:eastAsia="宋体"/>
          <w:bCs/>
          <w:color w:val="auto"/>
          <w:sz w:val="21"/>
          <w:szCs w:val="21"/>
          <w:highlight w:val="none"/>
          <w:lang w:val="en-US" w:eastAsia="zh-CN"/>
        </w:rPr>
        <w:t>13</w:t>
      </w:r>
      <w:r>
        <w:rPr>
          <w:rFonts w:hint="eastAsia" w:hAnsi="宋体" w:eastAsia="宋体"/>
          <w:bCs/>
          <w:color w:val="auto"/>
          <w:sz w:val="21"/>
          <w:szCs w:val="21"/>
          <w:highlight w:val="none"/>
          <w:lang w:val="zh-CN"/>
        </w:rPr>
        <w:t>）；</w:t>
      </w:r>
    </w:p>
    <w:p w14:paraId="118AFDD0">
      <w:pPr>
        <w:pStyle w:val="168"/>
        <w:keepNext w:val="0"/>
        <w:keepLines w:val="0"/>
        <w:pageBreakBefore w:val="0"/>
        <w:kinsoku/>
        <w:overflowPunct/>
        <w:topLinePunct w:val="0"/>
        <w:bidi w:val="0"/>
        <w:spacing w:line="360" w:lineRule="auto"/>
        <w:ind w:left="420" w:hanging="420" w:hangingChars="200"/>
        <w:jc w:val="both"/>
        <w:rPr>
          <w:rFonts w:hAnsi="宋体" w:eastAsia="宋体"/>
          <w:bCs/>
          <w:color w:val="auto"/>
          <w:sz w:val="21"/>
          <w:szCs w:val="21"/>
          <w:highlight w:val="none"/>
          <w:lang w:val="zh-CN"/>
        </w:rPr>
      </w:pPr>
      <w:r>
        <w:rPr>
          <w:rFonts w:hint="eastAsia" w:hAnsi="宋体" w:eastAsia="宋体"/>
          <w:bCs/>
          <w:color w:val="auto"/>
          <w:sz w:val="21"/>
          <w:szCs w:val="21"/>
          <w:highlight w:val="none"/>
          <w:lang w:val="zh-CN"/>
        </w:rPr>
        <w:t>5.</w:t>
      </w:r>
      <w:r>
        <w:rPr>
          <w:rFonts w:hint="eastAsia" w:hAnsi="宋体" w:eastAsia="宋体"/>
          <w:bCs/>
          <w:color w:val="auto"/>
          <w:sz w:val="21"/>
          <w:szCs w:val="21"/>
          <w:highlight w:val="none"/>
          <w:lang w:val="en-US" w:eastAsia="zh-CN"/>
        </w:rPr>
        <w:t>2</w:t>
      </w:r>
      <w:r>
        <w:rPr>
          <w:rFonts w:hint="eastAsia" w:hAnsi="宋体" w:eastAsia="宋体"/>
          <w:bCs/>
          <w:color w:val="auto"/>
          <w:sz w:val="21"/>
          <w:szCs w:val="21"/>
          <w:highlight w:val="none"/>
          <w:lang w:val="zh-CN"/>
        </w:rPr>
        <w:t xml:space="preserve"> 投标文件递交的截止时间（投标截止时间，下同）：</w:t>
      </w:r>
      <w:r>
        <w:rPr>
          <w:rFonts w:hint="eastAsia" w:hAnsi="宋体" w:eastAsia="宋体"/>
          <w:bCs/>
          <w:color w:val="auto"/>
          <w:sz w:val="21"/>
          <w:szCs w:val="21"/>
          <w:highlight w:val="none"/>
          <w:u w:val="single"/>
          <w:lang w:val="zh-CN"/>
        </w:rPr>
        <w:t>2025年</w:t>
      </w:r>
      <w:r>
        <w:rPr>
          <w:rFonts w:hint="eastAsia" w:hAnsi="宋体" w:eastAsia="宋体"/>
          <w:bCs/>
          <w:color w:val="auto"/>
          <w:sz w:val="21"/>
          <w:szCs w:val="21"/>
          <w:highlight w:val="none"/>
          <w:u w:val="single"/>
          <w:lang w:val="en-US" w:eastAsia="zh-CN"/>
        </w:rPr>
        <w:t>7</w:t>
      </w:r>
      <w:r>
        <w:rPr>
          <w:rFonts w:hint="eastAsia" w:hAnsi="宋体" w:eastAsia="宋体"/>
          <w:bCs/>
          <w:color w:val="auto"/>
          <w:sz w:val="21"/>
          <w:szCs w:val="21"/>
          <w:highlight w:val="none"/>
          <w:u w:val="single"/>
          <w:lang w:val="zh-CN"/>
        </w:rPr>
        <w:t>月</w:t>
      </w:r>
      <w:r>
        <w:rPr>
          <w:rFonts w:hint="eastAsia" w:hAnsi="宋体" w:eastAsia="宋体"/>
          <w:bCs/>
          <w:color w:val="auto"/>
          <w:sz w:val="21"/>
          <w:szCs w:val="21"/>
          <w:highlight w:val="none"/>
          <w:u w:val="single"/>
          <w:lang w:val="en-US" w:eastAsia="zh-CN"/>
        </w:rPr>
        <w:t>17</w:t>
      </w:r>
      <w:r>
        <w:rPr>
          <w:rFonts w:hint="eastAsia" w:hAnsi="宋体" w:eastAsia="宋体"/>
          <w:bCs/>
          <w:color w:val="auto"/>
          <w:sz w:val="21"/>
          <w:szCs w:val="21"/>
          <w:highlight w:val="none"/>
          <w:u w:val="single"/>
          <w:lang w:val="zh-CN"/>
        </w:rPr>
        <w:t>日</w:t>
      </w:r>
      <w:r>
        <w:rPr>
          <w:rFonts w:hint="eastAsia" w:hAnsi="宋体" w:eastAsia="宋体"/>
          <w:bCs/>
          <w:color w:val="auto"/>
          <w:sz w:val="21"/>
          <w:szCs w:val="21"/>
          <w:highlight w:val="none"/>
          <w:u w:val="single"/>
          <w:lang w:val="en-US" w:eastAsia="zh-CN"/>
        </w:rPr>
        <w:t>9</w:t>
      </w:r>
      <w:r>
        <w:rPr>
          <w:rFonts w:hint="eastAsia" w:hAnsi="宋体" w:eastAsia="宋体"/>
          <w:bCs/>
          <w:color w:val="auto"/>
          <w:sz w:val="21"/>
          <w:szCs w:val="21"/>
          <w:highlight w:val="none"/>
          <w:u w:val="single"/>
          <w:lang w:val="zh-CN"/>
        </w:rPr>
        <w:t>时</w:t>
      </w:r>
      <w:r>
        <w:rPr>
          <w:rFonts w:hint="eastAsia" w:hAnsi="宋体" w:eastAsia="宋体"/>
          <w:bCs/>
          <w:color w:val="auto"/>
          <w:sz w:val="21"/>
          <w:szCs w:val="21"/>
          <w:highlight w:val="none"/>
          <w:u w:val="single"/>
          <w:lang w:val="en-US" w:eastAsia="zh-CN"/>
        </w:rPr>
        <w:t>30</w:t>
      </w:r>
      <w:r>
        <w:rPr>
          <w:rFonts w:hint="eastAsia" w:hAnsi="宋体" w:eastAsia="宋体"/>
          <w:bCs/>
          <w:color w:val="auto"/>
          <w:sz w:val="21"/>
          <w:szCs w:val="21"/>
          <w:highlight w:val="none"/>
          <w:u w:val="single"/>
          <w:lang w:val="zh-CN"/>
        </w:rPr>
        <w:t>分，</w:t>
      </w:r>
      <w:r>
        <w:rPr>
          <w:rFonts w:hint="eastAsia" w:hAnsi="宋体" w:eastAsia="宋体"/>
          <w:bCs/>
          <w:color w:val="auto"/>
          <w:sz w:val="21"/>
          <w:szCs w:val="21"/>
          <w:highlight w:val="none"/>
          <w:lang w:val="zh-CN"/>
        </w:rPr>
        <w:t>地点：通过东莞市公共资源交易E网通管理平台建设工程交易系统网上提交；</w:t>
      </w:r>
    </w:p>
    <w:p w14:paraId="31F80368">
      <w:pPr>
        <w:pStyle w:val="168"/>
        <w:keepNext w:val="0"/>
        <w:keepLines w:val="0"/>
        <w:pageBreakBefore w:val="0"/>
        <w:kinsoku/>
        <w:overflowPunct/>
        <w:topLinePunct w:val="0"/>
        <w:bidi w:val="0"/>
        <w:spacing w:line="360" w:lineRule="auto"/>
        <w:ind w:left="420" w:hanging="420" w:hangingChars="200"/>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rPr>
        <w:t>5.</w:t>
      </w:r>
      <w:r>
        <w:rPr>
          <w:rFonts w:hint="eastAsia" w:hAnsi="宋体" w:eastAsia="宋体"/>
          <w:bCs/>
          <w:color w:val="auto"/>
          <w:sz w:val="21"/>
          <w:szCs w:val="21"/>
          <w:highlight w:val="none"/>
          <w:lang w:val="en-US" w:eastAsia="zh-CN"/>
        </w:rPr>
        <w:t>3</w:t>
      </w:r>
      <w:r>
        <w:rPr>
          <w:rFonts w:hint="eastAsia" w:hAnsi="宋体" w:eastAsia="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2FE6AFE0">
      <w:pPr>
        <w:pStyle w:val="168"/>
        <w:keepNext w:val="0"/>
        <w:keepLines w:val="0"/>
        <w:pageBreakBefore w:val="0"/>
        <w:kinsoku/>
        <w:overflowPunct/>
        <w:topLinePunct w:val="0"/>
        <w:bidi w:val="0"/>
        <w:spacing w:line="360" w:lineRule="auto"/>
        <w:ind w:left="420" w:hanging="420" w:hangingChars="200"/>
        <w:rPr>
          <w:rFonts w:hint="eastAsia" w:hAnsi="宋体" w:eastAsia="宋体"/>
          <w:bCs/>
          <w:color w:val="auto"/>
          <w:sz w:val="21"/>
          <w:szCs w:val="21"/>
          <w:highlight w:val="none"/>
          <w:lang w:val="zh-CN"/>
        </w:rPr>
      </w:pPr>
    </w:p>
    <w:p w14:paraId="371C149B">
      <w:pPr>
        <w:keepNext w:val="0"/>
        <w:keepLines w:val="0"/>
        <w:pageBreakBefore w:val="0"/>
        <w:numPr>
          <w:ilvl w:val="0"/>
          <w:numId w:val="1"/>
        </w:numPr>
        <w:kinsoku/>
        <w:overflowPunct/>
        <w:topLinePunct w:val="0"/>
        <w:bidi w:val="0"/>
        <w:snapToGrid w:val="0"/>
        <w:spacing w:line="360" w:lineRule="auto"/>
        <w:ind w:right="-34"/>
        <w:outlineLvl w:val="0"/>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rPr>
        <w:t>开标时间和地点：</w:t>
      </w:r>
    </w:p>
    <w:p w14:paraId="61044375">
      <w:pPr>
        <w:pStyle w:val="168"/>
        <w:keepNext w:val="0"/>
        <w:keepLines w:val="0"/>
        <w:pageBreakBefore w:val="0"/>
        <w:kinsoku/>
        <w:overflowPunct/>
        <w:topLinePunct w:val="0"/>
        <w:bidi w:val="0"/>
        <w:spacing w:line="360" w:lineRule="auto"/>
        <w:ind w:left="420" w:hanging="420" w:hangingChars="200"/>
        <w:outlineLvl w:val="1"/>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eastAsia="zh-CN"/>
        </w:rPr>
        <w:t xml:space="preserve">6.1 </w:t>
      </w:r>
      <w:r>
        <w:rPr>
          <w:rFonts w:hint="eastAsia" w:hAnsi="宋体" w:eastAsia="宋体"/>
          <w:bCs/>
          <w:color w:val="auto"/>
          <w:sz w:val="21"/>
          <w:szCs w:val="21"/>
          <w:highlight w:val="none"/>
          <w:lang w:val="zh-CN"/>
        </w:rPr>
        <w:t>开标时间：同投标截止时间；</w:t>
      </w:r>
    </w:p>
    <w:p w14:paraId="2F1045B4">
      <w:pPr>
        <w:pStyle w:val="168"/>
        <w:keepNext w:val="0"/>
        <w:keepLines w:val="0"/>
        <w:pageBreakBefore w:val="0"/>
        <w:kinsoku/>
        <w:overflowPunct/>
        <w:topLinePunct w:val="0"/>
        <w:bidi w:val="0"/>
        <w:spacing w:line="360" w:lineRule="auto"/>
        <w:ind w:left="420" w:hanging="420" w:hangingChars="200"/>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eastAsia="zh-CN"/>
        </w:rPr>
        <w:t xml:space="preserve">6.2 </w:t>
      </w:r>
      <w:r>
        <w:rPr>
          <w:rFonts w:hint="eastAsia" w:hAnsi="宋体" w:eastAsia="宋体"/>
          <w:bCs/>
          <w:color w:val="auto"/>
          <w:sz w:val="21"/>
          <w:szCs w:val="21"/>
          <w:highlight w:val="none"/>
          <w:lang w:val="zh-CN"/>
        </w:rPr>
        <w:t>开标地点：东莞市南城</w:t>
      </w:r>
      <w:r>
        <w:rPr>
          <w:rFonts w:hint="eastAsia" w:hAnsi="宋体" w:eastAsia="宋体"/>
          <w:bCs/>
          <w:color w:val="auto"/>
          <w:sz w:val="21"/>
          <w:szCs w:val="21"/>
          <w:highlight w:val="none"/>
          <w:lang w:val="en-US" w:eastAsia="zh-CN"/>
        </w:rPr>
        <w:t>街道</w:t>
      </w:r>
      <w:r>
        <w:rPr>
          <w:rFonts w:hint="eastAsia" w:hAnsi="宋体" w:eastAsia="宋体"/>
          <w:bCs/>
          <w:color w:val="auto"/>
          <w:sz w:val="21"/>
          <w:szCs w:val="21"/>
          <w:highlight w:val="none"/>
          <w:lang w:val="zh-CN"/>
        </w:rPr>
        <w:t>西平社区宏伟三路45号东莞市公共资源交易中心开标室（</w:t>
      </w:r>
      <w:r>
        <w:rPr>
          <w:rFonts w:hint="eastAsia" w:hAnsi="宋体" w:eastAsia="宋体"/>
          <w:bCs/>
          <w:color w:val="auto"/>
          <w:sz w:val="21"/>
          <w:szCs w:val="21"/>
          <w:highlight w:val="none"/>
          <w:lang w:val="en-US" w:eastAsia="zh-CN"/>
        </w:rPr>
        <w:t>13</w:t>
      </w:r>
      <w:r>
        <w:rPr>
          <w:rFonts w:hint="eastAsia" w:hAnsi="宋体" w:eastAsia="宋体"/>
          <w:bCs/>
          <w:color w:val="auto"/>
          <w:sz w:val="21"/>
          <w:szCs w:val="21"/>
          <w:highlight w:val="none"/>
          <w:lang w:val="zh-CN"/>
        </w:rPr>
        <w:t>）。</w:t>
      </w:r>
    </w:p>
    <w:p w14:paraId="1AB9A245">
      <w:pPr>
        <w:pStyle w:val="168"/>
        <w:keepNext w:val="0"/>
        <w:keepLines w:val="0"/>
        <w:pageBreakBefore w:val="0"/>
        <w:kinsoku/>
        <w:overflowPunct/>
        <w:topLinePunct w:val="0"/>
        <w:bidi w:val="0"/>
        <w:spacing w:line="360" w:lineRule="auto"/>
        <w:ind w:left="420" w:hanging="420" w:hangingChars="200"/>
        <w:rPr>
          <w:rFonts w:hAnsi="宋体" w:eastAsia="宋体"/>
          <w:bCs/>
          <w:color w:val="auto"/>
          <w:sz w:val="21"/>
          <w:szCs w:val="21"/>
          <w:highlight w:val="none"/>
          <w:lang w:val="zh-CN"/>
        </w:rPr>
      </w:pPr>
      <w:r>
        <w:rPr>
          <w:rFonts w:hint="eastAsia" w:hAnsi="宋体" w:eastAsia="宋体"/>
          <w:bCs/>
          <w:color w:val="auto"/>
          <w:sz w:val="21"/>
          <w:szCs w:val="21"/>
          <w:highlight w:val="none"/>
          <w:lang w:val="en-US" w:eastAsia="zh-CN"/>
        </w:rPr>
        <w:t xml:space="preserve">6.3 </w:t>
      </w:r>
      <w:r>
        <w:rPr>
          <w:rFonts w:hint="eastAsia" w:hAnsi="宋体" w:eastAsia="宋体"/>
          <w:bCs/>
          <w:color w:val="auto"/>
          <w:sz w:val="21"/>
          <w:szCs w:val="21"/>
          <w:highlight w:val="none"/>
          <w:lang w:val="zh-CN"/>
        </w:rPr>
        <w:t>对投标人提示如下：开标视频网上直播，建议投标人可通过投标人企业数字证书登录到东莞市公共资源交易中心的E网通管理平台后，可通过“建设工程”栏目，点击“开标直播”、“标室列表”，查看标室直播画面。</w:t>
      </w:r>
    </w:p>
    <w:p w14:paraId="27656BD4">
      <w:pPr>
        <w:keepNext w:val="0"/>
        <w:keepLines w:val="0"/>
        <w:pageBreakBefore w:val="0"/>
        <w:kinsoku/>
        <w:overflowPunct/>
        <w:topLinePunct w:val="0"/>
        <w:autoSpaceDE w:val="0"/>
        <w:autoSpaceDN w:val="0"/>
        <w:bidi w:val="0"/>
        <w:adjustRightInd w:val="0"/>
        <w:spacing w:line="360" w:lineRule="auto"/>
        <w:ind w:left="210" w:leftChars="100" w:right="-29" w:rightChars="-14"/>
        <w:rPr>
          <w:rFonts w:ascii="宋体" w:hAnsi="宋体" w:eastAsia="宋体" w:cs="Times New Roman"/>
          <w:color w:val="auto"/>
          <w:szCs w:val="21"/>
          <w:highlight w:val="none"/>
          <w:lang w:val="zh-CN"/>
        </w:rPr>
      </w:pPr>
    </w:p>
    <w:p w14:paraId="35CCC775">
      <w:pPr>
        <w:keepNext w:val="0"/>
        <w:keepLines w:val="0"/>
        <w:pageBreakBefore w:val="0"/>
        <w:numPr>
          <w:ilvl w:val="0"/>
          <w:numId w:val="1"/>
        </w:numPr>
        <w:kinsoku/>
        <w:wordWrap w:val="0"/>
        <w:overflowPunct/>
        <w:topLinePunct w:val="0"/>
        <w:autoSpaceDE w:val="0"/>
        <w:autoSpaceDN w:val="0"/>
        <w:bidi w:val="0"/>
        <w:adjustRightInd w:val="0"/>
        <w:snapToGrid w:val="0"/>
        <w:spacing w:line="360" w:lineRule="auto"/>
        <w:ind w:left="363" w:right="-34" w:hanging="363"/>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全国公共资源交易平台（广东省·东莞市）（https://ygp.gdzwfw.gov.cn/#/441900/index）、中国招标投标公共服务平台（www.cebpubservice.com）、东莞市水务集团有限公司网（www.dgswjt.cn）、招标代理机构网站（</w:t>
      </w:r>
      <w:r>
        <w:rPr>
          <w:rFonts w:hint="eastAsia" w:ascii="宋体" w:hAnsi="宋体" w:eastAsia="宋体" w:cs="Times New Roman"/>
          <w:bCs/>
          <w:color w:val="auto"/>
          <w:szCs w:val="21"/>
          <w:highlight w:val="none"/>
          <w:u w:val="single"/>
          <w:lang w:eastAsia="zh-CN"/>
        </w:rPr>
        <w:t>www.youde.net</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30CBC5D2">
      <w:pPr>
        <w:keepNext w:val="0"/>
        <w:keepLines w:val="0"/>
        <w:pageBreakBefore w:val="0"/>
        <w:kinsoku/>
        <w:overflowPunct/>
        <w:topLinePunct w:val="0"/>
        <w:autoSpaceDE w:val="0"/>
        <w:autoSpaceDN w:val="0"/>
        <w:bidi w:val="0"/>
        <w:adjustRightInd w:val="0"/>
        <w:snapToGrid w:val="0"/>
        <w:spacing w:line="360" w:lineRule="auto"/>
        <w:ind w:right="-34"/>
        <w:jc w:val="left"/>
        <w:rPr>
          <w:rFonts w:ascii="宋体" w:hAnsi="宋体" w:eastAsia="宋体" w:cs="Times New Roman"/>
          <w:bCs/>
          <w:color w:val="auto"/>
          <w:szCs w:val="21"/>
          <w:highlight w:val="none"/>
        </w:rPr>
      </w:pPr>
    </w:p>
    <w:p w14:paraId="2FC43DB1">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投标保证金</w:t>
      </w:r>
    </w:p>
    <w:p w14:paraId="55B4ED46">
      <w:pPr>
        <w:pStyle w:val="168"/>
        <w:keepNext w:val="0"/>
        <w:keepLines w:val="0"/>
        <w:pageBreakBefore w:val="0"/>
        <w:kinsoku/>
        <w:overflowPunct/>
        <w:topLinePunct w:val="0"/>
        <w:bidi w:val="0"/>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lang w:val="zh-CN"/>
        </w:rPr>
        <w:t>.1 本次招标投标人须提交投标保证金金额：</w:t>
      </w:r>
      <w:r>
        <w:rPr>
          <w:rFonts w:hint="eastAsia" w:ascii="宋体" w:hAnsi="宋体" w:eastAsia="宋体"/>
          <w:bCs/>
          <w:color w:val="auto"/>
          <w:sz w:val="21"/>
          <w:szCs w:val="21"/>
          <w:highlight w:val="none"/>
          <w:lang w:val="zh-CN" w:eastAsia="zh-CN"/>
        </w:rPr>
        <w:t>50,000.00</w:t>
      </w:r>
      <w:r>
        <w:rPr>
          <w:rFonts w:hint="eastAsia" w:ascii="宋体" w:hAnsi="宋体" w:eastAsia="宋体"/>
          <w:bCs/>
          <w:color w:val="auto"/>
          <w:sz w:val="21"/>
          <w:szCs w:val="21"/>
          <w:highlight w:val="none"/>
          <w:lang w:val="zh-CN"/>
        </w:rPr>
        <w:t>元。</w:t>
      </w:r>
    </w:p>
    <w:p w14:paraId="6FEA11DD">
      <w:pPr>
        <w:pStyle w:val="168"/>
        <w:keepNext w:val="0"/>
        <w:keepLines w:val="0"/>
        <w:pageBreakBefore w:val="0"/>
        <w:kinsoku/>
        <w:overflowPunct/>
        <w:topLinePunct w:val="0"/>
        <w:bidi w:val="0"/>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lang w:val="zh-CN"/>
        </w:rPr>
        <w:t>.2.1</w:t>
      </w:r>
      <w:r>
        <w:rPr>
          <w:rFonts w:hint="eastAsia" w:hAnsi="宋体" w:eastAsia="宋体"/>
          <w:bCs/>
          <w:color w:val="auto"/>
          <w:sz w:val="21"/>
          <w:szCs w:val="21"/>
          <w:highlight w:val="none"/>
          <w:lang w:val="en-US" w:eastAsia="zh-CN"/>
        </w:rPr>
        <w:t xml:space="preserve"> </w:t>
      </w:r>
      <w:r>
        <w:rPr>
          <w:rFonts w:hint="eastAsia" w:ascii="宋体" w:hAnsi="宋体" w:eastAsia="宋体"/>
          <w:bCs/>
          <w:color w:val="auto"/>
          <w:sz w:val="21"/>
          <w:szCs w:val="21"/>
          <w:highlight w:val="none"/>
          <w:lang w:val="zh-CN"/>
        </w:rPr>
        <w:t>投标保证金形式：单项投标保证金；银行电子保函；保险电子保单；</w:t>
      </w:r>
    </w:p>
    <w:p w14:paraId="4AEFE116">
      <w:pPr>
        <w:pStyle w:val="168"/>
        <w:keepNext w:val="0"/>
        <w:keepLines w:val="0"/>
        <w:pageBreakBefore w:val="0"/>
        <w:kinsoku/>
        <w:overflowPunct/>
        <w:topLinePunct w:val="0"/>
        <w:bidi w:val="0"/>
        <w:spacing w:line="360" w:lineRule="auto"/>
        <w:ind w:left="420" w:leftChars="200" w:firstLine="0" w:firstLineChars="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其它：      /       。</w:t>
      </w:r>
    </w:p>
    <w:p w14:paraId="39D9CDB3">
      <w:pPr>
        <w:pStyle w:val="168"/>
        <w:keepNext w:val="0"/>
        <w:keepLines w:val="0"/>
        <w:pageBreakBefore w:val="0"/>
        <w:kinsoku/>
        <w:overflowPunct/>
        <w:topLinePunct w:val="0"/>
        <w:bidi w:val="0"/>
        <w:spacing w:line="360" w:lineRule="auto"/>
        <w:ind w:left="420" w:hanging="420" w:hangingChars="200"/>
        <w:outlineLvl w:val="1"/>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lang w:val="zh-CN"/>
        </w:rPr>
        <w:t>.</w:t>
      </w:r>
      <w:r>
        <w:rPr>
          <w:rFonts w:hint="eastAsia" w:hAnsi="宋体" w:eastAsia="宋体"/>
          <w:bCs/>
          <w:color w:val="auto"/>
          <w:sz w:val="21"/>
          <w:szCs w:val="21"/>
          <w:highlight w:val="none"/>
          <w:lang w:val="en-US" w:eastAsia="zh-CN"/>
        </w:rPr>
        <w:t xml:space="preserve">3 </w:t>
      </w:r>
      <w:r>
        <w:rPr>
          <w:rFonts w:hint="eastAsia" w:ascii="宋体" w:hAnsi="宋体" w:eastAsia="宋体"/>
          <w:bCs/>
          <w:color w:val="auto"/>
          <w:sz w:val="21"/>
          <w:szCs w:val="21"/>
          <w:highlight w:val="none"/>
          <w:lang w:val="zh-CN"/>
        </w:rPr>
        <w:t>投标保证金形式注意事项：</w:t>
      </w:r>
    </w:p>
    <w:p w14:paraId="3E62B6A2">
      <w:pPr>
        <w:pStyle w:val="168"/>
        <w:keepNext w:val="0"/>
        <w:keepLines w:val="0"/>
        <w:pageBreakBefore w:val="0"/>
        <w:kinsoku/>
        <w:overflowPunct/>
        <w:topLinePunct w:val="0"/>
        <w:bidi w:val="0"/>
        <w:spacing w:line="360" w:lineRule="auto"/>
        <w:ind w:left="420" w:hanging="420" w:hangingChars="200"/>
        <w:outlineLvl w:val="2"/>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（1）投标保证金到账时间应为投标保证金的关联时间。</w:t>
      </w:r>
    </w:p>
    <w:p w14:paraId="68220546">
      <w:pPr>
        <w:pStyle w:val="168"/>
        <w:keepNext w:val="0"/>
        <w:keepLines w:val="0"/>
        <w:pageBreakBefore w:val="0"/>
        <w:kinsoku/>
        <w:overflowPunct/>
        <w:topLinePunct w:val="0"/>
        <w:bidi w:val="0"/>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（2）投标保证金数据超过投标截止时间后到达交易系统的，无法关联。</w:t>
      </w:r>
    </w:p>
    <w:p w14:paraId="1A9B65F0">
      <w:pPr>
        <w:pStyle w:val="168"/>
        <w:keepNext w:val="0"/>
        <w:keepLines w:val="0"/>
        <w:pageBreakBefore w:val="0"/>
        <w:kinsoku/>
        <w:overflowPunct/>
        <w:topLinePunct w:val="0"/>
        <w:bidi w:val="0"/>
        <w:spacing w:line="360" w:lineRule="auto"/>
        <w:ind w:left="420" w:hanging="420" w:hangingChars="200"/>
        <w:outlineLvl w:val="2"/>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（3）投标人应提前办理投标保证金手续，自行承担数据延误风险。</w:t>
      </w:r>
    </w:p>
    <w:p w14:paraId="1F39D16D">
      <w:pPr>
        <w:keepNext w:val="0"/>
        <w:keepLines w:val="0"/>
        <w:pageBreakBefore w:val="0"/>
        <w:kinsoku/>
        <w:overflowPunct/>
        <w:topLinePunct w:val="0"/>
        <w:autoSpaceDE w:val="0"/>
        <w:autoSpaceDN w:val="0"/>
        <w:bidi w:val="0"/>
        <w:adjustRightInd w:val="0"/>
        <w:snapToGrid w:val="0"/>
        <w:spacing w:line="360" w:lineRule="auto"/>
        <w:ind w:right="-34"/>
        <w:jc w:val="left"/>
        <w:rPr>
          <w:rFonts w:ascii="宋体" w:hAnsi="宋体" w:eastAsia="宋体" w:cs="Times New Roman"/>
          <w:bCs/>
          <w:color w:val="auto"/>
          <w:szCs w:val="21"/>
          <w:highlight w:val="none"/>
        </w:rPr>
      </w:pPr>
    </w:p>
    <w:p w14:paraId="3B7E28F7">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0"/>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5772557B">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东莞市水务集团有限公司</w:t>
      </w:r>
    </w:p>
    <w:p w14:paraId="0044A624">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东莞市东城街道育华路1号</w:t>
      </w:r>
    </w:p>
    <w:p w14:paraId="26D3B8E1">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严先生</w:t>
      </w:r>
    </w:p>
    <w:p w14:paraId="173F3045">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rPr>
          <w:rFonts w:hint="default" w:ascii="宋体" w:hAnsi="宋体" w:cs="Times New Roman" w:eastAsiaTheme="minorEastAsia"/>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val="en-US" w:eastAsia="zh-CN"/>
        </w:rPr>
        <w:t>0769-27289769</w:t>
      </w:r>
    </w:p>
    <w:p w14:paraId="5D88E685">
      <w:pPr>
        <w:keepNext w:val="0"/>
        <w:keepLines w:val="0"/>
        <w:pageBreakBefore w:val="0"/>
        <w:kinsoku/>
        <w:overflowPunct/>
        <w:topLinePunct w:val="0"/>
        <w:autoSpaceDE w:val="0"/>
        <w:autoSpaceDN w:val="0"/>
        <w:bidi w:val="0"/>
        <w:adjustRightInd w:val="0"/>
        <w:spacing w:line="360" w:lineRule="auto"/>
        <w:ind w:right="-29" w:rightChars="-14" w:firstLine="420"/>
        <w:rPr>
          <w:rFonts w:ascii="宋体" w:hAnsi="宋体" w:eastAsia="宋体" w:cs="Times New Roman"/>
          <w:color w:val="auto"/>
          <w:kern w:val="0"/>
          <w:szCs w:val="21"/>
          <w:highlight w:val="none"/>
        </w:rPr>
      </w:pPr>
    </w:p>
    <w:p w14:paraId="13215E01">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0"/>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2D282BA1">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3" w:name="_Toc15111"/>
      <w:bookmarkStart w:id="4" w:name="_Toc450662847"/>
      <w:bookmarkStart w:id="5" w:name="_Toc142508311"/>
      <w:bookmarkStart w:id="6" w:name="_Toc195714215"/>
      <w:bookmarkStart w:id="7" w:name="_Toc18212"/>
      <w:bookmarkStart w:id="8" w:name="_Toc486167661"/>
      <w:bookmarkStart w:id="9" w:name="_Toc31764_WPSOffice_Level1"/>
      <w:r>
        <w:rPr>
          <w:rFonts w:hint="eastAsia" w:ascii="宋体" w:hAnsi="宋体" w:eastAsia="宋体" w:cs="宋体"/>
          <w:color w:val="auto"/>
          <w:kern w:val="0"/>
          <w:szCs w:val="21"/>
          <w:highlight w:val="none"/>
        </w:rPr>
        <w:t>招标代理机构：广东有德招标采购有限公司</w:t>
      </w:r>
    </w:p>
    <w:p w14:paraId="2F9A309D">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址：东莞市东城街道新源路海德琥珀台6栋1703室</w:t>
      </w:r>
    </w:p>
    <w:p w14:paraId="27374AE0">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郑翠婷</w:t>
      </w:r>
    </w:p>
    <w:p w14:paraId="3F4AB55F">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1"/>
          <w:highlight w:val="none"/>
        </w:rPr>
        <w:t>0769-23362836</w:t>
      </w:r>
      <w:r>
        <w:rPr>
          <w:rFonts w:hint="eastAsia" w:ascii="宋体" w:hAnsi="宋体" w:eastAsia="宋体" w:cs="宋体"/>
          <w:color w:val="auto"/>
          <w:szCs w:val="21"/>
          <w:highlight w:val="none"/>
          <w:lang w:val="en-US" w:eastAsia="zh-CN"/>
        </w:rPr>
        <w:t>-8019</w:t>
      </w:r>
    </w:p>
    <w:p w14:paraId="73A2B8E2">
      <w:pPr>
        <w:pageBreakBefore/>
        <w:tabs>
          <w:tab w:val="left" w:pos="1080"/>
        </w:tabs>
        <w:autoSpaceDE w:val="0"/>
        <w:autoSpaceDN w:val="0"/>
        <w:adjustRightInd w:val="0"/>
        <w:spacing w:line="360" w:lineRule="auto"/>
        <w:ind w:left="-167" w:leftChars="-100" w:hanging="43"/>
        <w:jc w:val="center"/>
        <w:outlineLvl w:val="1"/>
        <w:rPr>
          <w:rFonts w:ascii="宋体" w:hAnsi="宋体" w:eastAsia="宋体" w:cs="宋体"/>
          <w:b/>
          <w:bCs/>
          <w:color w:val="auto"/>
          <w:kern w:val="44"/>
          <w:sz w:val="32"/>
          <w:szCs w:val="32"/>
          <w:highlight w:val="none"/>
        </w:rPr>
      </w:pPr>
      <w:bookmarkStart w:id="10" w:name="_Toc2440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bookmarkEnd w:id="10"/>
    </w:p>
    <w:p w14:paraId="50A194F7">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1" w:name="_Toc15366_WPSOffice_Level2"/>
      <w:bookmarkStart w:id="12" w:name="_Toc29769"/>
      <w:bookmarkStart w:id="13" w:name="_Toc140596871"/>
      <w:bookmarkStart w:id="14" w:name="_Toc195714216"/>
      <w:bookmarkStart w:id="15" w:name="_Toc24479"/>
      <w:bookmarkStart w:id="16" w:name="_Toc142508312"/>
      <w:bookmarkStart w:id="17" w:name="_Toc450662848"/>
      <w:bookmarkStart w:id="18" w:name="_Toc9555"/>
      <w:bookmarkStart w:id="19" w:name="_Toc486167662"/>
      <w:r>
        <w:rPr>
          <w:rFonts w:hint="eastAsia" w:ascii="宋体" w:hAnsi="宋体" w:eastAsia="宋体" w:cs="宋体"/>
          <w:b/>
          <w:bCs/>
          <w:color w:val="auto"/>
          <w:kern w:val="44"/>
          <w:szCs w:val="21"/>
          <w:highlight w:val="none"/>
          <w:lang w:val="zh-CN"/>
        </w:rPr>
        <w:t>一、总则</w:t>
      </w:r>
      <w:bookmarkEnd w:id="11"/>
      <w:bookmarkEnd w:id="12"/>
      <w:bookmarkEnd w:id="13"/>
      <w:bookmarkEnd w:id="14"/>
      <w:bookmarkEnd w:id="15"/>
      <w:bookmarkEnd w:id="16"/>
      <w:bookmarkEnd w:id="17"/>
      <w:bookmarkEnd w:id="18"/>
      <w:bookmarkEnd w:id="19"/>
    </w:p>
    <w:p w14:paraId="1207F72C">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0" w:name="_Toc21700"/>
      <w:bookmarkStart w:id="21" w:name="_Toc23333"/>
      <w:bookmarkStart w:id="22" w:name="_Toc21710_WPSOffice_Level3"/>
      <w:bookmarkStart w:id="23" w:name="_Toc142508313"/>
      <w:bookmarkStart w:id="24" w:name="_Toc450662849"/>
      <w:bookmarkStart w:id="25" w:name="_Toc195714217"/>
      <w:bookmarkStart w:id="26" w:name="_Toc486167663"/>
      <w:bookmarkStart w:id="27" w:name="_Toc9608"/>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0"/>
      <w:bookmarkEnd w:id="21"/>
      <w:bookmarkEnd w:id="22"/>
      <w:bookmarkEnd w:id="23"/>
      <w:bookmarkEnd w:id="24"/>
      <w:bookmarkEnd w:id="25"/>
      <w:bookmarkEnd w:id="26"/>
      <w:bookmarkEnd w:id="27"/>
    </w:p>
    <w:p w14:paraId="50C6CFDA">
      <w:pPr>
        <w:autoSpaceDE w:val="0"/>
        <w:autoSpaceDN w:val="0"/>
        <w:adjustRightInd w:val="0"/>
        <w:jc w:val="left"/>
        <w:rPr>
          <w:rFonts w:ascii="宋体" w:hAnsi="宋体" w:eastAsia="宋体" w:cs="宋体"/>
          <w:color w:val="auto"/>
          <w:kern w:val="0"/>
          <w:sz w:val="24"/>
          <w:szCs w:val="24"/>
          <w:highlight w:val="none"/>
        </w:rPr>
      </w:pPr>
    </w:p>
    <w:p w14:paraId="619D35AA">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28" w:name="_Toc18557"/>
      <w:bookmarkStart w:id="29" w:name="_Toc80_WPSOffice_Level3"/>
      <w:bookmarkStart w:id="30" w:name="_Toc32244"/>
      <w:bookmarkStart w:id="31" w:name="_Toc450662850"/>
      <w:bookmarkStart w:id="32" w:name="_Toc142508314"/>
      <w:bookmarkStart w:id="33" w:name="_Toc486167664"/>
      <w:bookmarkStart w:id="34" w:name="_Toc22976"/>
      <w:bookmarkStart w:id="35" w:name="_Toc195714218"/>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8"/>
      <w:bookmarkEnd w:id="29"/>
      <w:bookmarkEnd w:id="30"/>
      <w:bookmarkEnd w:id="31"/>
      <w:bookmarkEnd w:id="32"/>
      <w:bookmarkEnd w:id="33"/>
      <w:bookmarkEnd w:id="34"/>
      <w:bookmarkEnd w:id="35"/>
    </w:p>
    <w:p w14:paraId="3CD62D04">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14:paraId="52DF8D47">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4984AD38">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44149977">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219DA9C0">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5B28B452">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11F133C6">
      <w:pPr>
        <w:tabs>
          <w:tab w:val="left" w:pos="570"/>
        </w:tabs>
        <w:adjustRightInd w:val="0"/>
        <w:spacing w:line="360" w:lineRule="auto"/>
        <w:ind w:left="357" w:leftChars="-100" w:hanging="567"/>
        <w:jc w:val="left"/>
        <w:outlineLvl w:val="0"/>
        <w:rPr>
          <w:rFonts w:hint="eastAsia" w:ascii="宋体" w:hAnsi="宋体" w:eastAsia="宋体" w:cs="宋体"/>
          <w:b/>
          <w:color w:val="auto"/>
          <w:szCs w:val="21"/>
          <w:highlight w:val="none"/>
          <w:lang w:val="zh-CN" w:eastAsia="zh-CN"/>
        </w:rPr>
      </w:pPr>
      <w:bookmarkStart w:id="36" w:name="_Toc195714219"/>
      <w:bookmarkStart w:id="37" w:name="_Toc8199"/>
      <w:bookmarkStart w:id="38" w:name="_Toc4066"/>
      <w:bookmarkStart w:id="39" w:name="_Toc2613"/>
      <w:bookmarkStart w:id="40" w:name="_Toc11689"/>
      <w:bookmarkStart w:id="41" w:name="_Toc23847_WPSOffice_Level3"/>
      <w:bookmarkStart w:id="42" w:name="_Toc19774"/>
      <w:bookmarkStart w:id="43" w:name="_Toc142508315"/>
      <w:bookmarkStart w:id="44" w:name="_Toc450662851"/>
      <w:bookmarkStart w:id="45"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36"/>
      <w:bookmarkEnd w:id="37"/>
      <w:bookmarkEnd w:id="38"/>
      <w:r>
        <w:rPr>
          <w:rFonts w:hint="eastAsia" w:ascii="宋体" w:hAnsi="宋体" w:eastAsia="宋体" w:cs="宋体"/>
          <w:b/>
          <w:color w:val="auto"/>
          <w:szCs w:val="21"/>
          <w:highlight w:val="none"/>
          <w:lang w:val="en-US" w:eastAsia="zh-CN"/>
        </w:rPr>
        <w:t>服务</w:t>
      </w:r>
      <w:bookmarkEnd w:id="39"/>
    </w:p>
    <w:bookmarkEnd w:id="40"/>
    <w:bookmarkEnd w:id="41"/>
    <w:bookmarkEnd w:id="42"/>
    <w:bookmarkEnd w:id="43"/>
    <w:p w14:paraId="259E687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4F97818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6" w:name="_Toc1977663"/>
      <w:bookmarkStart w:id="47" w:name="_Toc533708063"/>
      <w:r>
        <w:rPr>
          <w:rFonts w:hint="eastAsia" w:ascii="宋体" w:hAnsi="宋体" w:eastAsia="宋体" w:cs="宋体"/>
          <w:color w:val="auto"/>
          <w:szCs w:val="21"/>
          <w:highlight w:val="none"/>
          <w:lang w:val="zh-CN"/>
        </w:rPr>
        <w:t xml:space="preserve">3.2  </w:t>
      </w:r>
      <w:bookmarkEnd w:id="46"/>
      <w:bookmarkEnd w:id="47"/>
      <w:bookmarkStart w:id="48" w:name="_Toc1977665"/>
      <w:bookmarkStart w:id="49"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48"/>
      <w:bookmarkEnd w:id="49"/>
    </w:p>
    <w:p w14:paraId="3C2E7DA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0" w:name="_Toc1977666"/>
      <w:bookmarkStart w:id="51"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0"/>
      <w:bookmarkEnd w:id="51"/>
      <w:bookmarkStart w:id="52" w:name="_Toc1977667"/>
      <w:bookmarkStart w:id="53"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2"/>
      <w:bookmarkEnd w:id="53"/>
    </w:p>
    <w:p w14:paraId="34F08D8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1977668"/>
      <w:bookmarkStart w:id="55"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4"/>
      <w:bookmarkEnd w:id="55"/>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4A9DC192">
      <w:pPr>
        <w:autoSpaceDE w:val="0"/>
        <w:autoSpaceDN w:val="0"/>
        <w:adjustRightInd w:val="0"/>
        <w:spacing w:line="360" w:lineRule="auto"/>
        <w:jc w:val="left"/>
        <w:rPr>
          <w:rFonts w:ascii="宋体" w:hAnsi="宋体" w:eastAsia="宋体" w:cs="宋体"/>
          <w:color w:val="auto"/>
          <w:szCs w:val="21"/>
          <w:highlight w:val="none"/>
          <w:lang w:val="zh-CN"/>
        </w:rPr>
      </w:pPr>
    </w:p>
    <w:p w14:paraId="4F867E92">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56" w:name="_Toc3404"/>
      <w:bookmarkStart w:id="57" w:name="_Toc25225"/>
      <w:bookmarkStart w:id="58" w:name="_Toc142508316"/>
      <w:bookmarkStart w:id="59" w:name="_Toc11533"/>
      <w:bookmarkStart w:id="60" w:name="_Toc195714220"/>
      <w:bookmarkStart w:id="61"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6"/>
      <w:bookmarkEnd w:id="57"/>
      <w:bookmarkEnd w:id="58"/>
      <w:bookmarkEnd w:id="59"/>
      <w:bookmarkEnd w:id="60"/>
      <w:bookmarkEnd w:id="61"/>
    </w:p>
    <w:p w14:paraId="2B0C2A9F">
      <w:pPr>
        <w:autoSpaceDE w:val="0"/>
        <w:autoSpaceDN w:val="0"/>
        <w:adjustRightInd w:val="0"/>
        <w:spacing w:line="360" w:lineRule="auto"/>
        <w:ind w:left="315" w:leftChars="-100" w:hanging="525" w:hangingChars="250"/>
        <w:outlineLvl w:val="1"/>
        <w:rPr>
          <w:rFonts w:ascii="宋体" w:hAnsi="宋体" w:eastAsia="宋体" w:cs="宋体"/>
          <w:color w:val="auto"/>
          <w:szCs w:val="21"/>
          <w:highlight w:val="none"/>
          <w:lang w:val="zh-CN"/>
        </w:rPr>
      </w:pPr>
      <w:bookmarkStart w:id="62" w:name="_Toc1977670"/>
      <w:bookmarkStart w:id="63" w:name="_Toc533708070"/>
      <w:r>
        <w:rPr>
          <w:rFonts w:hint="eastAsia" w:ascii="宋体" w:hAnsi="宋体" w:eastAsia="宋体" w:cs="宋体"/>
          <w:color w:val="auto"/>
          <w:szCs w:val="21"/>
          <w:highlight w:val="none"/>
          <w:lang w:val="zh-CN"/>
        </w:rPr>
        <w:t>4.1  投标费用</w:t>
      </w:r>
      <w:bookmarkEnd w:id="62"/>
      <w:bookmarkEnd w:id="63"/>
    </w:p>
    <w:p w14:paraId="6E659C6A">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4" w:name="_Toc533708072"/>
      <w:bookmarkStart w:id="65"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4"/>
      <w:bookmarkEnd w:id="65"/>
    </w:p>
    <w:p w14:paraId="38B92002">
      <w:pPr>
        <w:autoSpaceDE w:val="0"/>
        <w:autoSpaceDN w:val="0"/>
        <w:adjustRightInd w:val="0"/>
        <w:spacing w:line="360" w:lineRule="auto"/>
        <w:ind w:left="315" w:leftChars="-100" w:hanging="525" w:hangingChars="250"/>
        <w:outlineLvl w:val="1"/>
        <w:rPr>
          <w:rFonts w:ascii="宋体" w:hAnsi="宋体" w:eastAsia="宋体" w:cs="宋体"/>
          <w:color w:val="auto"/>
          <w:szCs w:val="21"/>
          <w:highlight w:val="none"/>
          <w:lang w:val="zh-CN"/>
        </w:rPr>
      </w:pPr>
      <w:bookmarkStart w:id="66" w:name="_Toc533708073"/>
      <w:bookmarkStart w:id="67" w:name="_Toc1977673"/>
      <w:r>
        <w:rPr>
          <w:rFonts w:hint="eastAsia" w:ascii="宋体" w:hAnsi="宋体" w:eastAsia="宋体" w:cs="宋体"/>
          <w:color w:val="auto"/>
          <w:szCs w:val="21"/>
          <w:highlight w:val="none"/>
          <w:lang w:val="zh-CN"/>
        </w:rPr>
        <w:t>4.2  踏勘现场</w:t>
      </w:r>
      <w:bookmarkEnd w:id="66"/>
      <w:bookmarkEnd w:id="67"/>
    </w:p>
    <w:p w14:paraId="2FE197EA">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8" w:name="_Toc1977676"/>
      <w:bookmarkStart w:id="69"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7A5A52DB">
      <w:pPr>
        <w:autoSpaceDE w:val="0"/>
        <w:autoSpaceDN w:val="0"/>
        <w:adjustRightInd w:val="0"/>
        <w:spacing w:line="360" w:lineRule="auto"/>
        <w:ind w:left="300" w:leftChars="-59" w:hanging="424" w:hangingChars="202"/>
        <w:jc w:val="left"/>
        <w:outlineLvl w:val="2"/>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4C02356F">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C3142D3">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25E182E">
      <w:pPr>
        <w:autoSpaceDE w:val="0"/>
        <w:autoSpaceDN w:val="0"/>
        <w:adjustRightInd w:val="0"/>
        <w:spacing w:line="360" w:lineRule="auto"/>
        <w:ind w:left="315" w:leftChars="-100" w:hanging="525" w:hangingChars="250"/>
        <w:outlineLvl w:val="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4"/>
      <w:bookmarkEnd w:id="45"/>
      <w:bookmarkEnd w:id="68"/>
      <w:bookmarkEnd w:id="69"/>
    </w:p>
    <w:p w14:paraId="042250A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4D0464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37B056A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0AAB4EC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74EA73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49FA72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244AB476">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5088C733">
      <w:pPr>
        <w:keepNext/>
        <w:keepLines/>
        <w:autoSpaceDE w:val="0"/>
        <w:autoSpaceDN w:val="0"/>
        <w:adjustRightInd w:val="0"/>
        <w:spacing w:line="360" w:lineRule="auto"/>
        <w:jc w:val="left"/>
        <w:outlineLvl w:val="2"/>
        <w:rPr>
          <w:rFonts w:ascii="宋体" w:hAnsi="宋体" w:eastAsia="宋体" w:cs="宋体"/>
          <w:b/>
          <w:bCs/>
          <w:color w:val="auto"/>
          <w:kern w:val="44"/>
          <w:szCs w:val="21"/>
          <w:highlight w:val="none"/>
          <w:lang w:val="zh-CN"/>
        </w:rPr>
      </w:pPr>
      <w:bookmarkStart w:id="70" w:name="_Toc450662853"/>
      <w:bookmarkStart w:id="71" w:name="_Toc25760"/>
      <w:bookmarkStart w:id="72" w:name="_Toc486167667"/>
      <w:bookmarkStart w:id="73" w:name="_Toc30507_WPSOffice_Level2"/>
      <w:bookmarkStart w:id="74" w:name="_Toc140596876"/>
      <w:bookmarkStart w:id="75" w:name="_Toc142508317"/>
      <w:bookmarkStart w:id="76" w:name="_Toc195714221"/>
      <w:bookmarkStart w:id="77" w:name="_Toc1565"/>
      <w:bookmarkStart w:id="78" w:name="_Toc5395"/>
      <w:r>
        <w:rPr>
          <w:rFonts w:hint="eastAsia" w:ascii="宋体" w:hAnsi="宋体" w:eastAsia="宋体" w:cs="宋体"/>
          <w:b/>
          <w:bCs/>
          <w:color w:val="auto"/>
          <w:kern w:val="44"/>
          <w:szCs w:val="21"/>
          <w:highlight w:val="none"/>
          <w:lang w:val="zh-CN"/>
        </w:rPr>
        <w:t>二、招标文件</w:t>
      </w:r>
      <w:bookmarkEnd w:id="70"/>
      <w:bookmarkEnd w:id="71"/>
      <w:bookmarkEnd w:id="72"/>
      <w:bookmarkEnd w:id="73"/>
      <w:bookmarkEnd w:id="74"/>
      <w:bookmarkEnd w:id="75"/>
      <w:bookmarkEnd w:id="76"/>
      <w:bookmarkEnd w:id="77"/>
      <w:bookmarkEnd w:id="78"/>
    </w:p>
    <w:p w14:paraId="2C23DC6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79" w:name="_Toc142508318"/>
      <w:bookmarkStart w:id="80" w:name="_Toc26635_WPSOffice_Level3"/>
      <w:bookmarkStart w:id="81" w:name="_Toc9362"/>
      <w:bookmarkStart w:id="82" w:name="_Toc486167668"/>
      <w:bookmarkStart w:id="83" w:name="_Toc195714222"/>
      <w:bookmarkStart w:id="84" w:name="_Toc2406"/>
      <w:bookmarkStart w:id="85" w:name="_Toc28893"/>
      <w:bookmarkStart w:id="86" w:name="_Toc450662854"/>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9"/>
      <w:bookmarkEnd w:id="80"/>
      <w:bookmarkEnd w:id="81"/>
      <w:bookmarkEnd w:id="82"/>
      <w:bookmarkEnd w:id="83"/>
      <w:bookmarkEnd w:id="84"/>
      <w:bookmarkEnd w:id="85"/>
      <w:bookmarkEnd w:id="86"/>
    </w:p>
    <w:p w14:paraId="6EC83402">
      <w:pPr>
        <w:tabs>
          <w:tab w:val="left" w:pos="567"/>
        </w:tabs>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2522A2D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49374334">
      <w:pPr>
        <w:tabs>
          <w:tab w:val="left" w:pos="1890"/>
        </w:tabs>
        <w:autoSpaceDE w:val="0"/>
        <w:autoSpaceDN w:val="0"/>
        <w:adjustRightInd w:val="0"/>
        <w:spacing w:line="360" w:lineRule="auto"/>
        <w:ind w:firstLine="424" w:firstLineChars="202"/>
        <w:outlineLvl w:val="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3797020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041985B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2867E52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244E13A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2401697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384A224B">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w:t>
      </w:r>
      <w:r>
        <w:rPr>
          <w:rFonts w:hint="eastAsia" w:ascii="宋体" w:hAnsi="宋体" w:eastAsia="宋体" w:cs="Times New Roman"/>
          <w:b/>
          <w:bCs/>
          <w:color w:val="auto"/>
          <w:szCs w:val="21"/>
          <w:highlight w:val="none"/>
          <w:u w:val="single"/>
          <w:lang w:val="en-US" w:eastAsia="zh-CN"/>
        </w:rPr>
        <w:t>服务</w:t>
      </w:r>
      <w:r>
        <w:rPr>
          <w:rFonts w:hint="eastAsia" w:ascii="宋体" w:hAnsi="宋体" w:eastAsia="宋体" w:cs="Times New Roman"/>
          <w:b/>
          <w:bCs/>
          <w:color w:val="auto"/>
          <w:szCs w:val="21"/>
          <w:highlight w:val="none"/>
          <w:u w:val="single"/>
          <w:lang w:val="zh-CN"/>
        </w:rPr>
        <w:t>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6B77AFBD">
      <w:pPr>
        <w:autoSpaceDE w:val="0"/>
        <w:autoSpaceDN w:val="0"/>
        <w:adjustRightInd w:val="0"/>
        <w:spacing w:line="360" w:lineRule="auto"/>
        <w:ind w:left="356" w:leftChars="-99" w:hanging="564" w:hangingChars="269"/>
        <w:outlineLvl w:val="1"/>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0B0FA47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东莞市水务集团有限公司</w:t>
      </w:r>
      <w:r>
        <w:rPr>
          <w:rFonts w:hint="eastAsia" w:ascii="宋体" w:hAnsi="宋体" w:eastAsia="宋体" w:cs="Times New Roman"/>
          <w:color w:val="auto"/>
          <w:kern w:val="0"/>
          <w:szCs w:val="21"/>
          <w:highlight w:val="none"/>
        </w:rPr>
        <w:t>；</w:t>
      </w:r>
    </w:p>
    <w:p w14:paraId="190DC1D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广东有德招标采购有限公司</w:t>
      </w:r>
      <w:r>
        <w:rPr>
          <w:rFonts w:hint="eastAsia" w:ascii="宋体" w:hAnsi="宋体" w:eastAsia="宋体" w:cs="Times New Roman"/>
          <w:color w:val="auto"/>
          <w:kern w:val="0"/>
          <w:szCs w:val="21"/>
          <w:highlight w:val="none"/>
        </w:rPr>
        <w:t>；</w:t>
      </w:r>
    </w:p>
    <w:p w14:paraId="7869061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东莞市水务集团造价咨询服务单位库(2025-2026)采购项目</w:t>
      </w:r>
      <w:r>
        <w:rPr>
          <w:rFonts w:hint="eastAsia" w:ascii="宋体" w:hAnsi="宋体" w:eastAsia="宋体" w:cs="Times New Roman"/>
          <w:color w:val="auto"/>
          <w:kern w:val="0"/>
          <w:szCs w:val="21"/>
          <w:highlight w:val="none"/>
        </w:rPr>
        <w:t>所需的服务的投标，并向招标代理机构提交投标文件的当事人；</w:t>
      </w:r>
    </w:p>
    <w:p w14:paraId="72B2C08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08DD79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5D6EFC6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东莞市水务集团有限公司</w:t>
      </w:r>
      <w:r>
        <w:rPr>
          <w:rFonts w:hint="eastAsia" w:ascii="宋体" w:hAnsi="宋体" w:eastAsia="宋体" w:cs="Times New Roman"/>
          <w:color w:val="auto"/>
          <w:kern w:val="0"/>
          <w:szCs w:val="21"/>
          <w:highlight w:val="none"/>
        </w:rPr>
        <w:t>；</w:t>
      </w:r>
    </w:p>
    <w:p w14:paraId="3F96907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63869FC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5904C92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522FE39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1A56B87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312240E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67B39A6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6B87230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zh-CN"/>
        </w:rPr>
        <w:t>“含税价”系指《中华人民共和国增值税暂行条例》（国务院令第691号修订版）规定的销售额及销项税之和。本招标文件所称的“含税价”和“合同价”指含本采购项目投标人的销项税额，包含了投标人完成合同义务（含投标人代缴代扣、分包及委外服务等所产生的价税）的其他全部费用</w:t>
      </w:r>
      <w:r>
        <w:rPr>
          <w:rFonts w:hint="eastAsia" w:ascii="宋体" w:hAnsi="宋体" w:eastAsia="宋体" w:cs="Times New Roman"/>
          <w:color w:val="auto"/>
          <w:kern w:val="0"/>
          <w:szCs w:val="21"/>
          <w:highlight w:val="none"/>
        </w:rPr>
        <w:t>。</w:t>
      </w:r>
    </w:p>
    <w:p w14:paraId="4D014D19">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660F570E">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87" w:name="_Toc11346"/>
      <w:bookmarkStart w:id="88" w:name="_Toc142508319"/>
      <w:bookmarkStart w:id="89" w:name="_Toc486167669"/>
      <w:bookmarkStart w:id="90" w:name="_Toc3727"/>
      <w:bookmarkStart w:id="91" w:name="_Toc29125_WPSOffice_Level3"/>
      <w:bookmarkStart w:id="92" w:name="_Toc195714223"/>
      <w:bookmarkStart w:id="93" w:name="_Toc450662855"/>
      <w:bookmarkStart w:id="94" w:name="_Toc7112"/>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7"/>
      <w:bookmarkEnd w:id="88"/>
      <w:bookmarkEnd w:id="89"/>
      <w:bookmarkEnd w:id="90"/>
      <w:bookmarkEnd w:id="91"/>
      <w:bookmarkEnd w:id="92"/>
      <w:bookmarkEnd w:id="93"/>
      <w:bookmarkEnd w:id="94"/>
    </w:p>
    <w:p w14:paraId="288CEA09">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投标人或者其他利害关系人对招标文件有异议的，应当在投标截止时间10日前以书面形式</w:t>
      </w:r>
      <w:r>
        <w:rPr>
          <w:rFonts w:ascii="宋体" w:hAnsi="宋体" w:eastAsia="宋体" w:cs="Times New Roman"/>
          <w:color w:val="auto"/>
          <w:szCs w:val="21"/>
          <w:highlight w:val="none"/>
          <w:lang w:val="zh-CN"/>
        </w:rPr>
        <w:t>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hint="eastAsia" w:ascii="宋体" w:hAnsi="宋体" w:eastAsia="宋体" w:cs="Times New Roman"/>
          <w:b w:val="0"/>
          <w:bCs w:val="0"/>
          <w:color w:val="auto"/>
          <w:szCs w:val="21"/>
          <w:highlight w:val="none"/>
          <w:lang w:val="zh-CN"/>
        </w:rPr>
        <w:t>并将材料原件送达招标代理机构，逾期则视为对招标文件所有内容无异议。异议书面材料必须加盖投标人法人公章，并注明联系人、联系电话、联系地址。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3AE4E57">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7B792B3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95" w:name="_Toc195714224"/>
      <w:bookmarkStart w:id="96" w:name="_Toc23483_WPSOffice_Level3"/>
      <w:bookmarkStart w:id="97" w:name="_Toc450662856"/>
      <w:bookmarkStart w:id="98" w:name="_Toc17145"/>
      <w:bookmarkStart w:id="99" w:name="_Toc142508320"/>
      <w:bookmarkStart w:id="100" w:name="_Toc29864"/>
      <w:bookmarkStart w:id="101" w:name="_Toc486167670"/>
      <w:bookmarkStart w:id="102" w:name="_Toc13298"/>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5"/>
      <w:bookmarkEnd w:id="96"/>
      <w:bookmarkEnd w:id="97"/>
      <w:bookmarkEnd w:id="98"/>
      <w:bookmarkEnd w:id="99"/>
      <w:bookmarkEnd w:id="100"/>
      <w:bookmarkEnd w:id="101"/>
      <w:bookmarkEnd w:id="102"/>
    </w:p>
    <w:p w14:paraId="1517166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6603A39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4CD965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全国公共资源交易平台（广东省·东莞市）（https://ygp.gdzwfw.gov.cn/#/441900/index）、</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51"/>
          <w:rFonts w:ascii="宋体" w:hAnsi="宋体" w:eastAsia="宋体" w:cs="Times New Roman"/>
          <w:color w:val="auto"/>
          <w:sz w:val="21"/>
          <w:szCs w:val="21"/>
          <w:highlight w:val="none"/>
        </w:rPr>
        <w:t>www.dgswjt.cn）</w:t>
      </w:r>
      <w:r>
        <w:rPr>
          <w:rStyle w:val="51"/>
          <w:rFonts w:ascii="宋体" w:hAnsi="宋体" w:eastAsia="宋体" w:cs="Times New Roman"/>
          <w:color w:val="auto"/>
          <w:sz w:val="21"/>
          <w:szCs w:val="21"/>
          <w:highlight w:val="none"/>
          <w:lang w:val="zh-CN"/>
        </w:rPr>
        <w:t>、</w:t>
      </w:r>
      <w:r>
        <w:rPr>
          <w:rStyle w:val="51"/>
          <w:rFonts w:hint="eastAsia" w:ascii="宋体" w:hAnsi="宋体" w:eastAsia="宋体" w:cs="Times New Roman"/>
          <w:bCs/>
          <w:color w:val="auto"/>
          <w:kern w:val="0"/>
          <w:sz w:val="21"/>
          <w:szCs w:val="21"/>
          <w:highlight w:val="none"/>
        </w:rPr>
        <w:t>招标代理机构网站（</w:t>
      </w:r>
      <w:r>
        <w:rPr>
          <w:rStyle w:val="51"/>
          <w:rFonts w:hint="eastAsia" w:ascii="宋体" w:hAnsi="宋体" w:eastAsia="宋体" w:cs="Times New Roman"/>
          <w:bCs/>
          <w:color w:val="auto"/>
          <w:kern w:val="0"/>
          <w:sz w:val="21"/>
          <w:szCs w:val="21"/>
          <w:highlight w:val="none"/>
          <w:u w:val="single"/>
          <w:lang w:eastAsia="zh-CN"/>
        </w:rPr>
        <w:t>www.youde.net</w:t>
      </w:r>
      <w:r>
        <w:rPr>
          <w:rStyle w:val="51"/>
          <w:rFonts w:ascii="宋体" w:hAnsi="宋体" w:eastAsia="宋体" w:cs="Times New Roman"/>
          <w:bCs/>
          <w:color w:val="auto"/>
          <w:kern w:val="0"/>
          <w:sz w:val="21"/>
          <w:szCs w:val="21"/>
          <w:highlight w:val="none"/>
        </w:rPr>
        <w:t>）</w:t>
      </w:r>
      <w:r>
        <w:rPr>
          <w:rStyle w:val="51"/>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3BC42509">
      <w:pPr>
        <w:autoSpaceDE w:val="0"/>
        <w:autoSpaceDN w:val="0"/>
        <w:adjustRightInd w:val="0"/>
        <w:spacing w:line="360" w:lineRule="auto"/>
        <w:ind w:left="357" w:leftChars="-100" w:hanging="567"/>
        <w:rPr>
          <w:rFonts w:ascii="宋体" w:hAnsi="宋体" w:eastAsia="宋体" w:cs="宋体"/>
          <w:color w:val="auto"/>
          <w:szCs w:val="21"/>
          <w:highlight w:val="none"/>
        </w:rPr>
      </w:pPr>
    </w:p>
    <w:p w14:paraId="4484DE76">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03" w:name="_Toc195714225"/>
      <w:bookmarkStart w:id="104" w:name="_Toc140596880"/>
      <w:bookmarkStart w:id="105" w:name="_Toc8711"/>
      <w:bookmarkStart w:id="106" w:name="_Toc486167671"/>
      <w:bookmarkStart w:id="107" w:name="_Toc18752"/>
      <w:bookmarkStart w:id="108" w:name="_Toc142508321"/>
      <w:bookmarkStart w:id="109" w:name="_Toc29659_WPSOffice_Level2"/>
      <w:bookmarkStart w:id="110" w:name="_Toc450662857"/>
      <w:bookmarkStart w:id="111" w:name="_Toc23342"/>
      <w:r>
        <w:rPr>
          <w:rFonts w:hint="eastAsia" w:ascii="宋体" w:hAnsi="宋体" w:eastAsia="宋体" w:cs="宋体"/>
          <w:b/>
          <w:bCs/>
          <w:color w:val="auto"/>
          <w:kern w:val="44"/>
          <w:szCs w:val="21"/>
          <w:highlight w:val="none"/>
          <w:lang w:val="zh-CN"/>
        </w:rPr>
        <w:t>三、投标文件的编制</w:t>
      </w:r>
      <w:bookmarkEnd w:id="103"/>
      <w:bookmarkEnd w:id="104"/>
      <w:bookmarkEnd w:id="105"/>
      <w:bookmarkEnd w:id="106"/>
      <w:bookmarkEnd w:id="107"/>
      <w:bookmarkEnd w:id="108"/>
      <w:bookmarkEnd w:id="109"/>
      <w:bookmarkEnd w:id="110"/>
      <w:bookmarkEnd w:id="111"/>
    </w:p>
    <w:p w14:paraId="1E0B6FD7">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12" w:name="_Toc6244"/>
      <w:bookmarkStart w:id="113" w:name="_Toc10015_WPSOffice_Level3"/>
      <w:bookmarkStart w:id="114" w:name="_Toc195714226"/>
      <w:bookmarkStart w:id="115" w:name="_Toc10850"/>
      <w:bookmarkStart w:id="116" w:name="_Toc450662858"/>
      <w:bookmarkStart w:id="117" w:name="_Toc142508322"/>
      <w:bookmarkStart w:id="118" w:name="_Toc31162"/>
      <w:bookmarkStart w:id="119" w:name="_Toc48616767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2"/>
      <w:bookmarkEnd w:id="113"/>
      <w:bookmarkEnd w:id="114"/>
      <w:bookmarkEnd w:id="115"/>
      <w:bookmarkEnd w:id="116"/>
      <w:bookmarkEnd w:id="117"/>
      <w:bookmarkEnd w:id="118"/>
      <w:bookmarkEnd w:id="119"/>
    </w:p>
    <w:p w14:paraId="31DF807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194A718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484E3639">
      <w:pPr>
        <w:autoSpaceDE w:val="0"/>
        <w:autoSpaceDN w:val="0"/>
        <w:adjustRightInd w:val="0"/>
        <w:spacing w:line="360" w:lineRule="auto"/>
        <w:rPr>
          <w:rFonts w:ascii="宋体" w:hAnsi="宋体" w:eastAsia="宋体" w:cs="宋体"/>
          <w:color w:val="auto"/>
          <w:szCs w:val="21"/>
          <w:highlight w:val="none"/>
          <w:lang w:val="zh-CN"/>
        </w:rPr>
      </w:pPr>
    </w:p>
    <w:p w14:paraId="06495EE6">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highlight w:val="none"/>
          <w:lang w:val="zh-CN"/>
        </w:rPr>
      </w:pPr>
      <w:bookmarkStart w:id="120" w:name="_Toc13447"/>
      <w:bookmarkStart w:id="121" w:name="_Toc142508323"/>
      <w:bookmarkStart w:id="122" w:name="_Toc450662859"/>
      <w:bookmarkStart w:id="123" w:name="_Toc486167673"/>
      <w:bookmarkStart w:id="124" w:name="_Toc14943"/>
      <w:bookmarkStart w:id="125" w:name="_Toc195714227"/>
      <w:bookmarkStart w:id="126" w:name="_Toc7348"/>
      <w:bookmarkStart w:id="127" w:name="_Toc24916_WPSOffice_Level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0"/>
      <w:bookmarkEnd w:id="121"/>
      <w:bookmarkEnd w:id="122"/>
      <w:bookmarkEnd w:id="123"/>
      <w:bookmarkEnd w:id="124"/>
      <w:bookmarkEnd w:id="125"/>
      <w:bookmarkEnd w:id="126"/>
      <w:bookmarkEnd w:id="127"/>
    </w:p>
    <w:p w14:paraId="0F8EA76D">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商务标、技术标、报价信封三部分组成。</w:t>
      </w:r>
    </w:p>
    <w:p w14:paraId="4E8269A0">
      <w:pPr>
        <w:autoSpaceDE w:val="0"/>
        <w:autoSpaceDN w:val="0"/>
        <w:adjustRightInd w:val="0"/>
        <w:spacing w:line="360" w:lineRule="auto"/>
        <w:ind w:left="422" w:leftChars="-100" w:hanging="632" w:hangingChars="300"/>
        <w:outlineLvl w:val="1"/>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商务标：</w:t>
      </w:r>
    </w:p>
    <w:p w14:paraId="0BBA80CB">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657F730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26DEE20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53C3064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18258C5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）投标人资格证明文件：</w:t>
      </w:r>
    </w:p>
    <w:p w14:paraId="6E0C2029">
      <w:pPr>
        <w:autoSpaceDE w:val="0"/>
        <w:autoSpaceDN w:val="0"/>
        <w:adjustRightInd w:val="0"/>
        <w:spacing w:line="360" w:lineRule="auto"/>
        <w:ind w:left="283" w:hanging="283" w:hangingChars="135"/>
        <w:outlineLvl w:val="2"/>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w:t>
      </w:r>
    </w:p>
    <w:p w14:paraId="4579D62F">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，如投标人企业银行账户开户所在地区已取消企业银行账户许可，投标人应提供基本存款账户开户名称、开户银行、账号、编号等信息及相关备案证明（如有）或其他能证明其为基本存款账户的资料原件扫描件</w:t>
      </w:r>
      <w:r>
        <w:rPr>
          <w:rFonts w:ascii="宋体" w:hAnsi="宋体" w:eastAsia="宋体" w:cs="Times New Roman"/>
          <w:color w:val="auto"/>
          <w:szCs w:val="21"/>
          <w:highlight w:val="none"/>
          <w:lang w:val="zh-CN"/>
        </w:rPr>
        <w:t>；</w:t>
      </w:r>
    </w:p>
    <w:p w14:paraId="78081A0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和法定代表人授权书原件</w:t>
      </w:r>
      <w:r>
        <w:rPr>
          <w:rFonts w:hint="eastAsia" w:ascii="宋体" w:hAnsi="宋体" w:eastAsia="宋体" w:cs="Times New Roman"/>
          <w:color w:val="auto"/>
          <w:szCs w:val="21"/>
          <w:highlight w:val="none"/>
          <w:lang w:val="zh-CN"/>
        </w:rPr>
        <w:t>扫描件</w:t>
      </w:r>
      <w:r>
        <w:rPr>
          <w:rFonts w:ascii="宋体" w:hAnsi="宋体" w:eastAsia="宋体" w:cs="Times New Roman"/>
          <w:color w:val="auto"/>
          <w:szCs w:val="21"/>
          <w:highlight w:val="none"/>
          <w:lang w:val="zh-CN"/>
        </w:rPr>
        <w:t>（法定代表人投标时只提供法定代表人身份证明书，委托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6237CE5F">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hAnsi="宋体" w:eastAsia="宋体"/>
          <w:b/>
          <w:color w:val="auto"/>
          <w:sz w:val="21"/>
          <w:szCs w:val="21"/>
          <w:highlight w:val="none"/>
          <w:lang w:val="zh-CN"/>
        </w:rPr>
        <w:t>具有造价咨询</w:t>
      </w:r>
      <w:r>
        <w:rPr>
          <w:rFonts w:hint="eastAsia" w:hAnsi="宋体" w:eastAsia="宋体"/>
          <w:b/>
          <w:color w:val="auto"/>
          <w:szCs w:val="21"/>
          <w:highlight w:val="none"/>
          <w:lang w:val="zh-CN"/>
        </w:rPr>
        <w:t>（含概算编制、概算审核、预算(或招标控制价)编制、预算(或招标控制价)审核、结算编制和结算审核，以上业绩可包括在同一合同或多份合同内）的服务业绩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zh-CN" w:eastAsia="zh-CN"/>
        </w:rPr>
        <w:t>金额在100万元（含）以上</w:t>
      </w:r>
      <w:r>
        <w:rPr>
          <w:rFonts w:hint="eastAsia" w:ascii="宋体" w:hAnsi="宋体" w:eastAsia="宋体"/>
          <w:color w:val="auto"/>
          <w:szCs w:val="21"/>
          <w:highlight w:val="none"/>
        </w:rPr>
        <w:t>）</w:t>
      </w:r>
      <w:r>
        <w:rPr>
          <w:rFonts w:hint="eastAsia" w:ascii="宋体" w:hAnsi="宋体" w:eastAsia="宋体"/>
          <w:b w:val="0"/>
          <w:bCs w:val="0"/>
          <w:color w:val="auto"/>
          <w:szCs w:val="21"/>
          <w:highlight w:val="none"/>
          <w:u w:val="none"/>
        </w:rPr>
        <w:t>，资格业绩证明材料提交要求详见招标文件第六篇投标文件格式</w:t>
      </w:r>
      <w:r>
        <w:rPr>
          <w:rFonts w:hint="eastAsia" w:ascii="宋体" w:hAnsi="宋体" w:eastAsia="宋体"/>
          <w:b w:val="0"/>
          <w:bCs w:val="0"/>
          <w:color w:val="auto"/>
          <w:szCs w:val="21"/>
          <w:highlight w:val="none"/>
          <w:u w:val="none"/>
          <w:lang w:val="en-US" w:eastAsia="zh-CN"/>
        </w:rPr>
        <w:t>4</w:t>
      </w:r>
      <w:r>
        <w:rPr>
          <w:rFonts w:hint="eastAsia" w:ascii="宋体" w:hAnsi="宋体" w:eastAsia="宋体"/>
          <w:b w:val="0"/>
          <w:bCs w:val="0"/>
          <w:color w:val="auto"/>
          <w:szCs w:val="21"/>
          <w:highlight w:val="none"/>
          <w:u w:val="none"/>
        </w:rPr>
        <w:t>.4</w:t>
      </w:r>
      <w:r>
        <w:rPr>
          <w:rFonts w:hint="eastAsia" w:ascii="宋体" w:hAnsi="宋体" w:eastAsia="宋体"/>
          <w:color w:val="auto"/>
          <w:szCs w:val="21"/>
          <w:highlight w:val="none"/>
        </w:rPr>
        <w:t>】；</w:t>
      </w:r>
    </w:p>
    <w:p w14:paraId="6BA97130">
      <w:pPr>
        <w:autoSpaceDE w:val="0"/>
        <w:autoSpaceDN w:val="0"/>
        <w:adjustRightInd w:val="0"/>
        <w:spacing w:line="360" w:lineRule="auto"/>
        <w:ind w:left="913" w:hanging="913" w:hangingChars="435"/>
        <w:outlineLvl w:val="2"/>
        <w:rPr>
          <w:rFonts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2935CCF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）投标人基本情况一览表；</w:t>
      </w:r>
    </w:p>
    <w:p w14:paraId="1B5271C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）投标人财务状况表；</w:t>
      </w:r>
    </w:p>
    <w:p w14:paraId="033F549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）合同条款响应程度（合同条款偏离表）；</w:t>
      </w:r>
    </w:p>
    <w:p w14:paraId="57C45CF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）业绩表；</w:t>
      </w:r>
    </w:p>
    <w:p w14:paraId="588C71F7">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承诺书；</w:t>
      </w:r>
    </w:p>
    <w:p w14:paraId="15381CC7">
      <w:pPr>
        <w:tabs>
          <w:tab w:val="left" w:pos="567"/>
        </w:tabs>
        <w:autoSpaceDE w:val="0"/>
        <w:autoSpaceDN w:val="0"/>
        <w:adjustRightInd w:val="0"/>
        <w:spacing w:line="360" w:lineRule="auto"/>
        <w:ind w:left="315" w:leftChars="-100" w:hanging="525" w:hangingChars="250"/>
        <w:rPr>
          <w:color w:val="auto"/>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w:t>
      </w:r>
      <w:r>
        <w:rPr>
          <w:rFonts w:hint="eastAsia" w:ascii="宋体" w:hAnsi="宋体" w:eastAsia="宋体" w:cs="宋体"/>
          <w:color w:val="auto"/>
          <w:kern w:val="0"/>
          <w:sz w:val="21"/>
          <w:szCs w:val="21"/>
          <w:highlight w:val="none"/>
          <w:lang w:val="en-US" w:eastAsia="zh-CN"/>
        </w:rPr>
        <w:t>投入本项目服务人员情况</w:t>
      </w:r>
      <w:r>
        <w:rPr>
          <w:rFonts w:hint="eastAsia" w:ascii="宋体" w:hAnsi="宋体" w:eastAsia="宋体" w:cs="宋体"/>
          <w:color w:val="auto"/>
          <w:kern w:val="0"/>
          <w:szCs w:val="21"/>
          <w:highlight w:val="none"/>
          <w:lang w:val="zh-CN"/>
        </w:rPr>
        <w:t>（即投入项目人员情况表格式）</w:t>
      </w:r>
      <w:r>
        <w:rPr>
          <w:rFonts w:hint="eastAsia" w:ascii="宋体" w:hAnsi="宋体" w:eastAsia="宋体" w:cs="宋体"/>
          <w:color w:val="auto"/>
          <w:szCs w:val="21"/>
          <w:highlight w:val="none"/>
          <w:lang w:val="zh-CN"/>
        </w:rPr>
        <w:t>；</w:t>
      </w:r>
    </w:p>
    <w:p w14:paraId="4179E758">
      <w:pPr>
        <w:spacing w:line="360" w:lineRule="auto"/>
        <w:ind w:left="105" w:leftChars="-100" w:hanging="315" w:hangingChars="150"/>
        <w:outlineLvl w:val="3"/>
        <w:rPr>
          <w:color w:val="auto"/>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服务便利性</w:t>
      </w:r>
      <w:r>
        <w:rPr>
          <w:rFonts w:hint="eastAsia" w:ascii="宋体" w:hAnsi="宋体" w:eastAsia="宋体" w:cs="宋体"/>
          <w:color w:val="auto"/>
          <w:kern w:val="0"/>
          <w:sz w:val="21"/>
          <w:szCs w:val="21"/>
          <w:highlight w:val="none"/>
          <w:lang w:eastAsia="zh-CN"/>
        </w:rPr>
        <w:t>；</w:t>
      </w:r>
    </w:p>
    <w:p w14:paraId="59F43932">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21ED3749">
      <w:pPr>
        <w:autoSpaceDE w:val="0"/>
        <w:autoSpaceDN w:val="0"/>
        <w:adjustRightInd w:val="0"/>
        <w:spacing w:line="360" w:lineRule="auto"/>
        <w:ind w:left="422" w:leftChars="-100" w:hanging="632" w:hangingChars="300"/>
        <w:outlineLvl w:val="1"/>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技术标：</w:t>
      </w:r>
    </w:p>
    <w:p w14:paraId="28B1EDC9">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5D0CAA3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响应程度（即用户需求偏离表）；</w:t>
      </w:r>
    </w:p>
    <w:p w14:paraId="7715547E">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工作流程</w:t>
      </w:r>
      <w:r>
        <w:rPr>
          <w:rFonts w:hint="eastAsia" w:ascii="宋体" w:hAnsi="宋体" w:eastAsia="宋体" w:cs="宋体"/>
          <w:bCs w:val="0"/>
          <w:color w:val="auto"/>
          <w:kern w:val="0"/>
          <w:sz w:val="21"/>
          <w:szCs w:val="21"/>
          <w:highlight w:val="none"/>
          <w:lang w:val="en-US" w:eastAsia="zh-CN"/>
        </w:rPr>
        <w:t>及政策了解</w:t>
      </w:r>
      <w:r>
        <w:rPr>
          <w:rFonts w:hint="eastAsia" w:ascii="宋体" w:hAnsi="宋体" w:eastAsia="宋体" w:cs="宋体"/>
          <w:color w:val="auto"/>
          <w:kern w:val="0"/>
          <w:szCs w:val="21"/>
          <w:highlight w:val="none"/>
        </w:rPr>
        <w:t>；</w:t>
      </w:r>
    </w:p>
    <w:p w14:paraId="2F39020D">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bCs w:val="0"/>
          <w:color w:val="auto"/>
          <w:kern w:val="0"/>
          <w:sz w:val="21"/>
          <w:szCs w:val="21"/>
          <w:highlight w:val="none"/>
        </w:rPr>
        <w:t>进度保障</w:t>
      </w:r>
      <w:r>
        <w:rPr>
          <w:rFonts w:hint="eastAsia" w:ascii="宋体" w:hAnsi="宋体" w:eastAsia="宋体" w:cs="宋体"/>
          <w:color w:val="auto"/>
          <w:kern w:val="0"/>
          <w:szCs w:val="21"/>
          <w:highlight w:val="none"/>
        </w:rPr>
        <w:t>；</w:t>
      </w:r>
    </w:p>
    <w:p w14:paraId="5FA1BBF8">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bCs w:val="0"/>
          <w:color w:val="auto"/>
          <w:kern w:val="0"/>
          <w:sz w:val="21"/>
          <w:szCs w:val="21"/>
          <w:highlight w:val="none"/>
          <w:lang w:val="en-US" w:eastAsia="zh-CN"/>
        </w:rPr>
        <w:t>质量保证措施</w:t>
      </w:r>
      <w:r>
        <w:rPr>
          <w:rFonts w:hint="eastAsia" w:ascii="宋体" w:hAnsi="宋体" w:eastAsia="宋体" w:cs="宋体"/>
          <w:color w:val="auto"/>
          <w:kern w:val="0"/>
          <w:szCs w:val="21"/>
          <w:highlight w:val="none"/>
        </w:rPr>
        <w:t>；</w:t>
      </w:r>
    </w:p>
    <w:p w14:paraId="3C552015">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bCs w:val="0"/>
          <w:color w:val="auto"/>
          <w:kern w:val="0"/>
          <w:sz w:val="21"/>
          <w:szCs w:val="21"/>
          <w:highlight w:val="none"/>
        </w:rPr>
        <w:t>质量跟踪及信息反馈机制</w:t>
      </w:r>
      <w:r>
        <w:rPr>
          <w:rFonts w:hint="eastAsia" w:ascii="宋体" w:hAnsi="宋体" w:eastAsia="宋体" w:cs="宋体"/>
          <w:color w:val="auto"/>
          <w:kern w:val="0"/>
          <w:szCs w:val="21"/>
          <w:highlight w:val="none"/>
        </w:rPr>
        <w:t>；</w:t>
      </w:r>
    </w:p>
    <w:p w14:paraId="2C651660">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10241FD2">
      <w:pPr>
        <w:autoSpaceDE w:val="0"/>
        <w:autoSpaceDN w:val="0"/>
        <w:adjustRightInd w:val="0"/>
        <w:spacing w:line="360" w:lineRule="auto"/>
        <w:ind w:left="422" w:leftChars="-100" w:hanging="632" w:hangingChars="300"/>
        <w:outlineLvl w:val="1"/>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p>
    <w:p w14:paraId="585252CD">
      <w:pPr>
        <w:autoSpaceDE w:val="0"/>
        <w:autoSpaceDN w:val="0"/>
        <w:adjustRightInd w:val="0"/>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1AE17BF2">
      <w:pPr>
        <w:autoSpaceDE w:val="0"/>
        <w:autoSpaceDN w:val="0"/>
        <w:adjustRightInd w:val="0"/>
        <w:spacing w:line="360" w:lineRule="auto"/>
        <w:ind w:left="317" w:leftChars="-100" w:hanging="527" w:hangingChars="250"/>
        <w:outlineLvl w:val="2"/>
        <w:rPr>
          <w:rFonts w:ascii="宋体" w:hAnsi="宋体" w:eastAsia="宋体" w:cs="宋体"/>
          <w:b/>
          <w:bCs/>
          <w:color w:val="auto"/>
          <w:szCs w:val="21"/>
          <w:highlight w:val="none"/>
        </w:rPr>
      </w:pPr>
      <w:r>
        <w:rPr>
          <w:rFonts w:ascii="宋体" w:hAnsi="宋体" w:eastAsia="宋体" w:cs="宋体"/>
          <w:b/>
          <w:bCs/>
          <w:color w:val="auto"/>
          <w:szCs w:val="21"/>
          <w:highlight w:val="none"/>
        </w:rPr>
        <w:t xml:space="preserve">9.2  </w:t>
      </w:r>
      <w:r>
        <w:rPr>
          <w:rFonts w:hint="eastAsia" w:ascii="宋体" w:hAnsi="宋体" w:eastAsia="宋体" w:cs="宋体"/>
          <w:b/>
          <w:bCs/>
          <w:color w:val="auto"/>
          <w:szCs w:val="21"/>
          <w:highlight w:val="none"/>
        </w:rPr>
        <w:t>投标文件格式</w:t>
      </w:r>
      <w:r>
        <w:rPr>
          <w:rFonts w:ascii="宋体" w:hAnsi="宋体" w:eastAsia="宋体" w:cs="宋体"/>
          <w:b/>
          <w:bCs/>
          <w:color w:val="auto"/>
          <w:szCs w:val="21"/>
          <w:highlight w:val="none"/>
        </w:rPr>
        <w:t xml:space="preserve"> </w:t>
      </w:r>
    </w:p>
    <w:p w14:paraId="6834FBD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47A5BEA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7AB8D75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2F8C813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w:t>
      </w:r>
    </w:p>
    <w:p w14:paraId="13C71CE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93BFA6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4AD9D0C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28" w:name="_Toc142508324"/>
      <w:bookmarkStart w:id="129" w:name="_Toc195714228"/>
      <w:bookmarkStart w:id="130" w:name="_Toc450662860"/>
      <w:bookmarkStart w:id="131" w:name="_Toc8675_WPSOffice_Level3"/>
      <w:bookmarkStart w:id="132" w:name="_Toc486167674"/>
      <w:bookmarkStart w:id="133" w:name="_Toc11170"/>
      <w:bookmarkStart w:id="134" w:name="_Toc7017"/>
      <w:bookmarkStart w:id="135" w:name="_Toc1321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8"/>
      <w:bookmarkEnd w:id="129"/>
      <w:bookmarkEnd w:id="130"/>
      <w:bookmarkEnd w:id="131"/>
      <w:bookmarkEnd w:id="132"/>
      <w:bookmarkEnd w:id="133"/>
      <w:bookmarkEnd w:id="134"/>
      <w:bookmarkEnd w:id="135"/>
    </w:p>
    <w:p w14:paraId="22D220C1">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61F1831F">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262A969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36" w:name="_Toc15427"/>
      <w:bookmarkStart w:id="137" w:name="_Toc450662861"/>
      <w:bookmarkStart w:id="138" w:name="_Toc27908"/>
      <w:bookmarkStart w:id="139" w:name="_Toc486167675"/>
      <w:bookmarkStart w:id="140" w:name="_Toc195714229"/>
      <w:bookmarkStart w:id="141" w:name="_Toc142508325"/>
      <w:bookmarkStart w:id="142" w:name="_Toc24311"/>
      <w:bookmarkStart w:id="143" w:name="_Toc4385_WPSOffice_Level3"/>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36"/>
      <w:bookmarkEnd w:id="137"/>
      <w:bookmarkEnd w:id="138"/>
      <w:bookmarkEnd w:id="139"/>
      <w:bookmarkEnd w:id="140"/>
      <w:bookmarkEnd w:id="141"/>
      <w:bookmarkEnd w:id="142"/>
      <w:bookmarkEnd w:id="143"/>
    </w:p>
    <w:p w14:paraId="5590F9AA">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6394A92D">
      <w:pPr>
        <w:autoSpaceDE w:val="0"/>
        <w:autoSpaceDN w:val="0"/>
        <w:adjustRightInd w:val="0"/>
        <w:spacing w:line="360" w:lineRule="auto"/>
        <w:ind w:left="357" w:leftChars="-100" w:hanging="567"/>
        <w:outlineLvl w:val="1"/>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投标人的投标报价均包括但不限于以下内容涉及的费用</w:t>
      </w:r>
      <w:r>
        <w:rPr>
          <w:rFonts w:hint="eastAsia" w:ascii="宋体" w:hAnsi="宋体" w:eastAsia="宋体" w:cs="宋体"/>
          <w:color w:val="auto"/>
          <w:kern w:val="0"/>
          <w:szCs w:val="21"/>
          <w:highlight w:val="none"/>
        </w:rPr>
        <w:t>：</w:t>
      </w:r>
    </w:p>
    <w:p w14:paraId="14C4496B">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为完成本项目招标文件和合同约定的单项造价咨询服务范围内的全部工作所需支付的一切费用，为包干价，包括但不限于人员人工费（工资及加班工资、福利、社保、住房公积金、节日补贴、高温津贴、劳保、服装和膳食、意外伤害保险、加班费、住宿补贴、市内交通补贴、培训、经济补偿等）、驻场服务所需的差旅费、食宿费、交通费、通讯费、配合费、办理履约担保所需等费用；</w:t>
      </w:r>
    </w:p>
    <w:p w14:paraId="7F0800E3">
      <w:pPr>
        <w:autoSpaceDE w:val="0"/>
        <w:autoSpaceDN w:val="0"/>
        <w:adjustRightInd w:val="0"/>
        <w:spacing w:line="360" w:lineRule="auto"/>
        <w:ind w:left="357" w:leftChars="-100" w:hanging="567"/>
        <w:outlineLvl w:val="2"/>
        <w:rPr>
          <w:rFonts w:hint="eastAsia" w:ascii="宋体" w:hAnsi="宋体" w:eastAsia="宋体" w:cs="宋体"/>
          <w:color w:val="auto"/>
          <w:kern w:val="0"/>
          <w:szCs w:val="21"/>
          <w:highlight w:val="none"/>
        </w:rPr>
      </w:pPr>
      <w:bookmarkStart w:id="144" w:name="_Toc25314"/>
      <w:r>
        <w:rPr>
          <w:rFonts w:hint="eastAsia" w:ascii="宋体" w:hAnsi="宋体" w:eastAsia="宋体" w:cs="宋体"/>
          <w:color w:val="auto"/>
          <w:kern w:val="0"/>
          <w:szCs w:val="21"/>
          <w:highlight w:val="none"/>
        </w:rPr>
        <w:t>（2）合理利润、税费等；</w:t>
      </w:r>
      <w:bookmarkEnd w:id="144"/>
    </w:p>
    <w:p w14:paraId="53362257">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（3）法律法规、行业公认、完成合同实施过程中由投标人承担的其他直接及间接费用。</w:t>
      </w:r>
    </w:p>
    <w:p w14:paraId="59274BB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53048102">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65B20D23">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kern w:val="0"/>
          <w:szCs w:val="21"/>
          <w:highlight w:val="none"/>
          <w:lang w:val="zh-CN"/>
        </w:rPr>
        <w:t>本项目投标报价为固定的，即单项造价咨询服务费参照《广东省物价局关于调整我省建设工程造价咨询服务收费的复函（粤价函〔2011〕742号）》计费标准中对应事项的80%计算，各投标单位报价以</w:t>
      </w:r>
      <w:r>
        <w:rPr>
          <w:rFonts w:hint="eastAsia" w:ascii="宋体" w:hAnsi="宋体" w:eastAsia="宋体" w:cs="宋体"/>
          <w:b/>
          <w:bCs/>
          <w:color w:val="auto"/>
          <w:kern w:val="0"/>
          <w:szCs w:val="21"/>
          <w:highlight w:val="none"/>
          <w:lang w:val="en-US" w:eastAsia="zh-CN"/>
        </w:rPr>
        <w:t>折扣系数</w:t>
      </w:r>
      <w:r>
        <w:rPr>
          <w:rFonts w:hint="eastAsia" w:ascii="宋体" w:hAnsi="宋体" w:eastAsia="宋体" w:cs="宋体"/>
          <w:b/>
          <w:bCs/>
          <w:color w:val="auto"/>
          <w:kern w:val="0"/>
          <w:szCs w:val="21"/>
          <w:highlight w:val="none"/>
          <w:lang w:val="zh-CN"/>
        </w:rPr>
        <w:t>形式报价，</w:t>
      </w:r>
      <w:r>
        <w:rPr>
          <w:rFonts w:hint="eastAsia" w:ascii="宋体" w:hAnsi="宋体" w:eastAsia="宋体" w:cs="宋体"/>
          <w:b/>
          <w:bCs/>
          <w:color w:val="auto"/>
          <w:kern w:val="0"/>
          <w:szCs w:val="21"/>
          <w:highlight w:val="none"/>
          <w:lang w:val="en-US" w:eastAsia="zh-CN"/>
        </w:rPr>
        <w:t>折扣系数</w:t>
      </w:r>
      <w:r>
        <w:rPr>
          <w:rFonts w:hint="eastAsia" w:ascii="宋体" w:hAnsi="宋体" w:eastAsia="宋体" w:cs="宋体"/>
          <w:b/>
          <w:bCs/>
          <w:color w:val="auto"/>
          <w:kern w:val="0"/>
          <w:szCs w:val="21"/>
          <w:highlight w:val="none"/>
          <w:lang w:val="zh-CN"/>
        </w:rPr>
        <w:t>须等于</w:t>
      </w:r>
      <w:r>
        <w:rPr>
          <w:rFonts w:hint="eastAsia" w:ascii="宋体" w:hAnsi="宋体" w:eastAsia="宋体" w:cs="宋体"/>
          <w:b/>
          <w:bCs/>
          <w:color w:val="auto"/>
          <w:kern w:val="0"/>
          <w:szCs w:val="21"/>
          <w:highlight w:val="none"/>
          <w:lang w:val="en-US" w:eastAsia="zh-CN"/>
        </w:rPr>
        <w:t>0.8</w:t>
      </w:r>
      <w:r>
        <w:rPr>
          <w:rFonts w:hint="eastAsia" w:ascii="宋体" w:hAnsi="宋体" w:eastAsia="宋体" w:cs="宋体"/>
          <w:b/>
          <w:bCs/>
          <w:color w:val="auto"/>
          <w:kern w:val="0"/>
          <w:szCs w:val="21"/>
          <w:highlight w:val="none"/>
          <w:lang w:val="zh-CN"/>
        </w:rPr>
        <w:t>。</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须按照</w:t>
      </w:r>
      <w:r>
        <w:rPr>
          <w:rFonts w:hint="eastAsia" w:ascii="宋体" w:hAnsi="宋体" w:eastAsia="宋体" w:cs="宋体"/>
          <w:color w:val="auto"/>
          <w:highlight w:val="none"/>
          <w:lang w:val="en-US" w:eastAsia="zh-CN"/>
        </w:rPr>
        <w:t>招标文件中</w:t>
      </w:r>
      <w:r>
        <w:rPr>
          <w:rFonts w:hint="eastAsia" w:ascii="宋体" w:hAnsi="宋体" w:eastAsia="宋体" w:cs="宋体"/>
          <w:color w:val="auto"/>
          <w:highlight w:val="none"/>
        </w:rPr>
        <w:t>规定</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格式要求进行填报投标报价表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否则按无效投标处理</w:t>
      </w:r>
      <w:r>
        <w:rPr>
          <w:rFonts w:hint="eastAsia" w:ascii="宋体" w:hAnsi="宋体" w:eastAsia="宋体" w:cs="Times New Roman"/>
          <w:b/>
          <w:bCs/>
          <w:color w:val="auto"/>
          <w:szCs w:val="21"/>
          <w:highlight w:val="none"/>
          <w:lang w:val="zh-CN"/>
        </w:rPr>
        <w:t>。</w:t>
      </w:r>
    </w:p>
    <w:p w14:paraId="3A59B8C7">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499AE67">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145" w:name="_Toc142508326"/>
      <w:bookmarkStart w:id="146" w:name="_Toc20312"/>
      <w:bookmarkStart w:id="147" w:name="_Toc195714230"/>
      <w:bookmarkStart w:id="148" w:name="_Toc2284"/>
      <w:bookmarkStart w:id="149" w:name="_Toc3469"/>
      <w:bookmarkStart w:id="150" w:name="_Toc30042_WPSOffice_Level3"/>
      <w:bookmarkStart w:id="151" w:name="_Toc486167676"/>
      <w:bookmarkStart w:id="152" w:name="_Toc450662862"/>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45"/>
      <w:bookmarkEnd w:id="146"/>
      <w:bookmarkEnd w:id="147"/>
      <w:bookmarkEnd w:id="148"/>
      <w:bookmarkEnd w:id="149"/>
      <w:bookmarkEnd w:id="150"/>
      <w:bookmarkEnd w:id="151"/>
      <w:bookmarkEnd w:id="152"/>
    </w:p>
    <w:p w14:paraId="4475E655">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本项目投标报价或以投标报价换算的金额采用的币种为人民币，以其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1AE0F60A">
      <w:pPr>
        <w:autoSpaceDE w:val="0"/>
        <w:autoSpaceDN w:val="0"/>
        <w:adjustRightInd w:val="0"/>
        <w:spacing w:line="360" w:lineRule="auto"/>
        <w:ind w:left="265" w:leftChars="119" w:hanging="15"/>
        <w:rPr>
          <w:rFonts w:ascii="宋体" w:hAnsi="宋体" w:eastAsia="宋体" w:cs="宋体"/>
          <w:color w:val="auto"/>
          <w:szCs w:val="21"/>
          <w:highlight w:val="none"/>
        </w:rPr>
      </w:pPr>
    </w:p>
    <w:p w14:paraId="28C81FE0">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53" w:name="_Toc3961"/>
      <w:bookmarkStart w:id="154" w:name="_Toc20031"/>
      <w:bookmarkStart w:id="155" w:name="_Toc195714231"/>
      <w:bookmarkStart w:id="156" w:name="_Toc26828"/>
      <w:bookmarkStart w:id="157" w:name="_Toc142508327"/>
      <w:bookmarkStart w:id="158" w:name="_Toc486167677"/>
      <w:bookmarkStart w:id="159" w:name="_Toc450662863"/>
      <w:bookmarkStart w:id="160" w:name="_Toc9411_WPSOffice_Level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3"/>
      <w:bookmarkEnd w:id="154"/>
      <w:bookmarkEnd w:id="155"/>
      <w:bookmarkEnd w:id="156"/>
      <w:bookmarkEnd w:id="157"/>
      <w:bookmarkEnd w:id="158"/>
      <w:bookmarkEnd w:id="159"/>
      <w:bookmarkEnd w:id="160"/>
    </w:p>
    <w:p w14:paraId="523A9CE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0A1556E3">
      <w:pPr>
        <w:autoSpaceDE w:val="0"/>
        <w:autoSpaceDN w:val="0"/>
        <w:adjustRightInd w:val="0"/>
        <w:spacing w:line="360" w:lineRule="auto"/>
        <w:ind w:left="357" w:leftChars="-100" w:hanging="567"/>
        <w:outlineLvl w:val="1"/>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03A6055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764F882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713DDA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003CA1FC">
      <w:pPr>
        <w:autoSpaceDE w:val="0"/>
        <w:autoSpaceDN w:val="0"/>
        <w:adjustRightInd w:val="0"/>
        <w:spacing w:line="360" w:lineRule="auto"/>
        <w:ind w:left="357" w:leftChars="-100" w:hanging="567" w:firstLineChars="0"/>
        <w:rPr>
          <w:rFonts w:ascii="宋体" w:hAnsi="宋体" w:eastAsia="宋体" w:cs="宋体"/>
          <w:color w:val="auto"/>
          <w:szCs w:val="21"/>
          <w:highlight w:val="none"/>
        </w:rPr>
      </w:pPr>
    </w:p>
    <w:p w14:paraId="638F45F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1" w:name="_Toc486167678"/>
      <w:bookmarkStart w:id="162" w:name="_Toc142508328"/>
      <w:bookmarkStart w:id="163" w:name="_Toc195714232"/>
      <w:bookmarkStart w:id="164" w:name="_Toc450662864"/>
      <w:bookmarkStart w:id="165" w:name="_Toc22622"/>
      <w:bookmarkStart w:id="166" w:name="_Toc27771_WPSOffice_Level3"/>
      <w:bookmarkStart w:id="167" w:name="_Toc8615"/>
      <w:bookmarkStart w:id="168" w:name="_Toc2975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w:t>
      </w:r>
      <w:bookmarkEnd w:id="161"/>
      <w:bookmarkEnd w:id="162"/>
      <w:bookmarkEnd w:id="163"/>
      <w:bookmarkEnd w:id="164"/>
      <w:bookmarkEnd w:id="165"/>
      <w:bookmarkEnd w:id="166"/>
      <w:bookmarkEnd w:id="167"/>
      <w:bookmarkEnd w:id="168"/>
    </w:p>
    <w:p w14:paraId="37DDB14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59A4BED6">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45E23DDC">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4F6B47EA">
      <w:pPr>
        <w:autoSpaceDE w:val="0"/>
        <w:autoSpaceDN w:val="0"/>
        <w:adjustRightInd w:val="0"/>
        <w:spacing w:line="360" w:lineRule="auto"/>
        <w:rPr>
          <w:rFonts w:ascii="宋体" w:hAnsi="宋体" w:eastAsia="宋体" w:cs="Times New Roman"/>
          <w:color w:val="auto"/>
          <w:kern w:val="0"/>
          <w:sz w:val="24"/>
          <w:szCs w:val="24"/>
          <w:highlight w:val="none"/>
        </w:rPr>
      </w:pPr>
    </w:p>
    <w:p w14:paraId="2606B230">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9" w:name="_Toc8644"/>
      <w:bookmarkStart w:id="170" w:name="_Toc142508329"/>
      <w:bookmarkStart w:id="171" w:name="_Toc5356_WPSOffice_Level3"/>
      <w:bookmarkStart w:id="172" w:name="_Toc195714233"/>
      <w:bookmarkStart w:id="173" w:name="_Toc486167679"/>
      <w:bookmarkStart w:id="174" w:name="_Toc30555"/>
      <w:bookmarkStart w:id="175" w:name="_Toc3206"/>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69"/>
      <w:bookmarkEnd w:id="170"/>
      <w:bookmarkEnd w:id="171"/>
      <w:bookmarkEnd w:id="172"/>
      <w:bookmarkEnd w:id="173"/>
      <w:bookmarkEnd w:id="174"/>
      <w:bookmarkEnd w:id="175"/>
    </w:p>
    <w:p w14:paraId="3BEC16A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5860E35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，否则，其投标保证金视为无效。</w:t>
      </w:r>
    </w:p>
    <w:p w14:paraId="023FEAC3">
      <w:pPr>
        <w:autoSpaceDE w:val="0"/>
        <w:autoSpaceDN w:val="0"/>
        <w:adjustRightInd w:val="0"/>
        <w:spacing w:line="360" w:lineRule="auto"/>
        <w:ind w:left="225" w:leftChars="107" w:firstLine="489" w:firstLineChars="233"/>
        <w:jc w:val="left"/>
        <w:rPr>
          <w:rFonts w:hint="eastAsia" w:ascii="宋体" w:hAnsi="宋体" w:eastAsia="宋体" w:cs="Times New Roman"/>
          <w:bCs w:val="0"/>
          <w:color w:val="auto"/>
          <w:kern w:val="0"/>
          <w:szCs w:val="21"/>
          <w:highlight w:val="none"/>
          <w:lang w:val="zh-CN"/>
        </w:rPr>
      </w:pPr>
      <w:r>
        <w:rPr>
          <w:rFonts w:hint="eastAsia" w:ascii="宋体" w:hAnsi="宋体" w:eastAsia="宋体" w:cs="Times New Roman"/>
          <w:bCs w:val="0"/>
          <w:color w:val="auto"/>
          <w:kern w:val="0"/>
          <w:szCs w:val="21"/>
          <w:highlight w:val="none"/>
          <w:lang w:val="zh-CN"/>
        </w:rPr>
        <w:t>投标截止时间前，已在公共资源交易企业库建档的投标人应将保证金关联至本</w:t>
      </w:r>
      <w:r>
        <w:rPr>
          <w:rFonts w:hint="eastAsia" w:ascii="宋体" w:hAnsi="宋体" w:eastAsia="宋体" w:cs="Times New Roman"/>
          <w:bCs w:val="0"/>
          <w:color w:val="auto"/>
          <w:kern w:val="0"/>
          <w:szCs w:val="21"/>
          <w:highlight w:val="none"/>
          <w:lang w:val="en-US" w:eastAsia="zh-CN"/>
        </w:rPr>
        <w:t>项目</w:t>
      </w:r>
      <w:r>
        <w:rPr>
          <w:rFonts w:hint="eastAsia" w:ascii="宋体" w:hAnsi="宋体" w:eastAsia="宋体" w:cs="Times New Roman"/>
          <w:bCs w:val="0"/>
          <w:color w:val="auto"/>
          <w:kern w:val="0"/>
          <w:szCs w:val="21"/>
          <w:highlight w:val="none"/>
          <w:lang w:val="zh-CN"/>
        </w:rPr>
        <w:t>。具体要求详见全国公共资源交易平台（广东省·东莞市）（网址：https://ygp.gdzwfw.gov.cn/#/441900/index）办事指南中的相关规定。</w:t>
      </w:r>
    </w:p>
    <w:p w14:paraId="48AA260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59D5B5B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53F904FA">
      <w:pPr>
        <w:autoSpaceDE w:val="0"/>
        <w:autoSpaceDN w:val="0"/>
        <w:adjustRightInd w:val="0"/>
        <w:spacing w:line="360" w:lineRule="auto"/>
        <w:ind w:left="225" w:leftChars="107" w:firstLine="489" w:firstLineChars="233"/>
        <w:jc w:val="left"/>
        <w:rPr>
          <w:rFonts w:hint="eastAsia" w:ascii="宋体" w:hAnsi="宋体" w:eastAsia="宋体" w:cs="Times New Roman"/>
          <w:bCs w:val="0"/>
          <w:color w:val="auto"/>
          <w:kern w:val="0"/>
          <w:szCs w:val="21"/>
          <w:highlight w:val="none"/>
          <w:lang w:val="zh-CN"/>
        </w:rPr>
      </w:pPr>
      <w:r>
        <w:rPr>
          <w:rFonts w:hint="eastAsia" w:ascii="宋体" w:hAnsi="宋体" w:eastAsia="宋体" w:cs="Times New Roman"/>
          <w:bCs w:val="0"/>
          <w:color w:val="auto"/>
          <w:kern w:val="0"/>
          <w:szCs w:val="21"/>
          <w:highlight w:val="none"/>
          <w:lang w:val="zh-CN"/>
        </w:rPr>
        <w:t>银行电子保函参考样式按照《住房和城乡建设部关于印发工程保函示范文本的通知》（建市〔2021〕11号）执行。 保险公司所提供的建设工程保证保险条款应当经国家金融监督管理总局批准、备案或注册，并在本公司门户网站主动公开单位信息、投保单（范本）以及保险合同含条款（范本）。</w:t>
      </w:r>
    </w:p>
    <w:p w14:paraId="78DE5C9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2F370C7D">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.3 投标保证金退还程序。</w:t>
      </w:r>
    </w:p>
    <w:p w14:paraId="2C90BC3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lang w:val="en-US" w:eastAsia="zh-CN"/>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lang w:val="en-US" w:eastAsia="zh-CN"/>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lang w:val="en-US" w:eastAsia="zh-CN"/>
        </w:rPr>
        <w:t>评标会</w:t>
      </w:r>
      <w:r>
        <w:rPr>
          <w:rFonts w:hint="eastAsia" w:ascii="宋体" w:hAnsi="宋体" w:eastAsia="宋体" w:cs="宋体"/>
          <w:bCs/>
          <w:color w:val="auto"/>
          <w:kern w:val="0"/>
          <w:szCs w:val="21"/>
          <w:highlight w:val="none"/>
          <w:lang w:val="zh-CN"/>
        </w:rPr>
        <w:t>结束后第一个工作日向交易中心发送退还指令；</w:t>
      </w:r>
    </w:p>
    <w:p w14:paraId="1CB78DA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07E4D1A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6E3E491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0408E06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7567C8F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lang w:val="en-US" w:eastAsia="zh-CN"/>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72E347BC">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112C39E0">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49EC0A27">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14E6E12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本投标人须知</w:t>
      </w:r>
      <w:r>
        <w:rPr>
          <w:rFonts w:hint="eastAsia" w:ascii="宋体" w:hAnsi="宋体" w:eastAsia="宋体" w:cs="宋体"/>
          <w:bCs/>
          <w:color w:val="auto"/>
          <w:kern w:val="0"/>
          <w:szCs w:val="21"/>
          <w:highlight w:val="none"/>
          <w:lang w:val="zh-CN"/>
        </w:rPr>
        <w:t>第34条规定签署合同；</w:t>
      </w:r>
    </w:p>
    <w:p w14:paraId="2ABA45A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508CC84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7248A9D7">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Cs/>
          <w:color w:val="auto"/>
          <w:kern w:val="0"/>
          <w:szCs w:val="21"/>
          <w:highlight w:val="none"/>
          <w:lang w:val="en-US"/>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rPr>
        <w:t>对于提交银行电子保函（保险电子保单）的有关注意事项：</w:t>
      </w:r>
    </w:p>
    <w:p w14:paraId="6A095D7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7A294E24">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2F159FF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58B3833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053578B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zh-CN"/>
        </w:rPr>
        <w:t>投标保证金缴存银行帐户见全国公共资源交易平台（广东省·东莞市）办事指南。</w:t>
      </w:r>
    </w:p>
    <w:p w14:paraId="518D4C5F">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7E8E4E6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6" w:name="_Toc29607"/>
      <w:bookmarkStart w:id="177" w:name="_Toc142508330"/>
      <w:bookmarkStart w:id="178" w:name="_Toc22649_WPSOffice_Level3"/>
      <w:bookmarkStart w:id="179" w:name="_Toc450662865"/>
      <w:bookmarkStart w:id="180" w:name="_Toc486167680"/>
      <w:bookmarkStart w:id="181" w:name="_Toc195714234"/>
      <w:bookmarkStart w:id="182" w:name="_Toc1458"/>
      <w:bookmarkStart w:id="183" w:name="_Toc5674"/>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76"/>
      <w:bookmarkEnd w:id="177"/>
      <w:bookmarkEnd w:id="178"/>
      <w:bookmarkEnd w:id="179"/>
      <w:bookmarkEnd w:id="180"/>
      <w:bookmarkEnd w:id="181"/>
      <w:bookmarkEnd w:id="182"/>
      <w:bookmarkEnd w:id="183"/>
    </w:p>
    <w:p w14:paraId="4EFD2482">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1FC01C84">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4397FB5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20A2F90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4A2C9B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4" w:name="_Toc486167681"/>
      <w:bookmarkStart w:id="185" w:name="_Toc25637_WPSOffice_Level3"/>
      <w:bookmarkStart w:id="186" w:name="_Toc15065"/>
      <w:bookmarkStart w:id="187" w:name="_Toc20422"/>
      <w:bookmarkStart w:id="188" w:name="_Toc932"/>
      <w:bookmarkStart w:id="189" w:name="_Toc142508331"/>
      <w:bookmarkStart w:id="190" w:name="_Toc195714235"/>
      <w:bookmarkStart w:id="191" w:name="_Toc45066286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投标文件的编制和签署</w:t>
      </w:r>
      <w:bookmarkEnd w:id="184"/>
      <w:bookmarkEnd w:id="185"/>
      <w:bookmarkEnd w:id="186"/>
      <w:bookmarkEnd w:id="187"/>
      <w:bookmarkEnd w:id="188"/>
      <w:bookmarkEnd w:id="189"/>
      <w:bookmarkEnd w:id="190"/>
      <w:bookmarkEnd w:id="191"/>
    </w:p>
    <w:p w14:paraId="4203DCC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0876A27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default"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工作。</w:t>
      </w:r>
    </w:p>
    <w:p w14:paraId="726EEED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default"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与手写签名或者盖章具有同等的法律效力。</w:t>
      </w:r>
    </w:p>
    <w:p w14:paraId="68BB237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058B3A4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7EBC0302">
      <w:pPr>
        <w:tabs>
          <w:tab w:val="left" w:pos="567"/>
        </w:tabs>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default" w:ascii="宋体" w:hAnsi="宋体" w:eastAsia="宋体" w:cs="宋体"/>
          <w:color w:val="auto"/>
          <w:szCs w:val="21"/>
          <w:highlight w:val="none"/>
          <w:lang w:val="en-US"/>
        </w:rPr>
        <w:t>签名</w:t>
      </w:r>
      <w:r>
        <w:rPr>
          <w:rFonts w:hint="eastAsia" w:ascii="宋体" w:hAnsi="宋体" w:eastAsia="宋体" w:cs="宋体"/>
          <w:color w:val="auto"/>
          <w:szCs w:val="21"/>
          <w:highlight w:val="none"/>
          <w:lang w:val="en-US" w:eastAsia="zh-CN"/>
        </w:rPr>
        <w:t>：</w:t>
      </w:r>
    </w:p>
    <w:p w14:paraId="28D0121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53E431DF">
      <w:pPr>
        <w:tabs>
          <w:tab w:val="left" w:pos="567"/>
        </w:tabs>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p>
    <w:p w14:paraId="0753B91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62F906D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（2）投标文件商务标、技术标必须按招标文件的规定填写，不能出现缺项、缺页、手写、关键语句（或字）错误； </w:t>
      </w:r>
    </w:p>
    <w:p w14:paraId="6EFE32A9">
      <w:pPr>
        <w:tabs>
          <w:tab w:val="left" w:pos="567"/>
        </w:tabs>
        <w:autoSpaceDE w:val="0"/>
        <w:autoSpaceDN w:val="0"/>
        <w:adjustRightInd w:val="0"/>
        <w:spacing w:line="360" w:lineRule="auto"/>
        <w:ind w:left="357" w:leftChars="-100" w:hanging="567"/>
        <w:outlineLvl w:val="3"/>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（3）投标文件的任何一页都不应有涂改、行间插字或删除；</w:t>
      </w:r>
    </w:p>
    <w:p w14:paraId="6F0C269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（4）投标文件商务标、技术标应按其格式要求由投标人的法定代表人或其授权代表电子签名、企业数字证书电子签名；</w:t>
      </w:r>
    </w:p>
    <w:p w14:paraId="1CFF59F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（5）严格按照第六篇投标文件格式内的要求完整、真实的填写《合同条款偏离表》《用户需求偏离表》；</w:t>
      </w:r>
    </w:p>
    <w:p w14:paraId="76D3A62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（6）投标人要特别加以注意，必须严格按照第六篇商务标格式的要求完整、真实的填写《资格业绩》及提供对应证明资料；</w:t>
      </w:r>
    </w:p>
    <w:p w14:paraId="2C6C2CD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（7）投标文件技术标部分必须按招标文件第六篇“技术标格式”编制。</w:t>
      </w:r>
    </w:p>
    <w:p w14:paraId="73FEC135">
      <w:pPr>
        <w:tabs>
          <w:tab w:val="left" w:pos="567"/>
        </w:tabs>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p>
    <w:p w14:paraId="21C56C6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36345B4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（2）大写金额数字用“零、壹、贰、叁、肆、伍、陆、柒、捌、玖、拾、佰、仟、万、亿”填写。投标值大写与小写不一致时，以大写数额为准，修正小写数额。</w:t>
      </w:r>
    </w:p>
    <w:p w14:paraId="252EAE1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14:paraId="06B667BB">
      <w:pPr>
        <w:autoSpaceDE w:val="0"/>
        <w:autoSpaceDN w:val="0"/>
        <w:adjustRightInd w:val="0"/>
        <w:jc w:val="left"/>
        <w:rPr>
          <w:rFonts w:ascii="宋体" w:hAnsi="宋体" w:eastAsia="宋体" w:cs="宋体"/>
          <w:color w:val="auto"/>
          <w:kern w:val="0"/>
          <w:sz w:val="24"/>
          <w:szCs w:val="24"/>
          <w:highlight w:val="none"/>
        </w:rPr>
      </w:pPr>
      <w:bookmarkStart w:id="192" w:name="_Toc450662867"/>
    </w:p>
    <w:p w14:paraId="64FF5F2F">
      <w:pPr>
        <w:keepNext/>
        <w:keepLines/>
        <w:tabs>
          <w:tab w:val="left" w:pos="509"/>
        </w:tabs>
        <w:autoSpaceDE w:val="0"/>
        <w:autoSpaceDN w:val="0"/>
        <w:adjustRightInd w:val="0"/>
        <w:spacing w:line="360" w:lineRule="auto"/>
        <w:jc w:val="left"/>
        <w:outlineLvl w:val="3"/>
        <w:rPr>
          <w:rFonts w:ascii="宋体" w:hAnsi="宋体" w:eastAsia="宋体" w:cs="宋体"/>
          <w:color w:val="auto"/>
          <w:kern w:val="0"/>
          <w:sz w:val="24"/>
          <w:szCs w:val="24"/>
          <w:highlight w:val="none"/>
        </w:rPr>
      </w:pPr>
      <w:bookmarkStart w:id="193" w:name="_Toc140596891"/>
      <w:bookmarkStart w:id="194" w:name="_Toc26605"/>
      <w:bookmarkStart w:id="195" w:name="_Toc17199"/>
      <w:bookmarkStart w:id="196" w:name="_Toc486167682"/>
      <w:bookmarkStart w:id="197" w:name="_Toc22356_WPSOffice_Level2"/>
      <w:bookmarkStart w:id="198" w:name="_Toc195714236"/>
      <w:bookmarkStart w:id="199" w:name="_Toc11307"/>
      <w:bookmarkStart w:id="200" w:name="_Toc142508332"/>
      <w:r>
        <w:rPr>
          <w:rFonts w:hint="eastAsia" w:ascii="宋体" w:hAnsi="宋体" w:eastAsia="宋体" w:cs="宋体"/>
          <w:b/>
          <w:bCs/>
          <w:color w:val="auto"/>
          <w:kern w:val="44"/>
          <w:szCs w:val="21"/>
          <w:highlight w:val="none"/>
          <w:lang w:val="zh-CN"/>
        </w:rPr>
        <w:t>四、投标</w:t>
      </w:r>
      <w:bookmarkEnd w:id="192"/>
      <w:bookmarkEnd w:id="193"/>
      <w:bookmarkEnd w:id="194"/>
      <w:bookmarkEnd w:id="195"/>
      <w:bookmarkEnd w:id="196"/>
      <w:bookmarkEnd w:id="197"/>
      <w:bookmarkEnd w:id="198"/>
      <w:bookmarkEnd w:id="199"/>
      <w:bookmarkEnd w:id="200"/>
    </w:p>
    <w:p w14:paraId="1DFCD6D0">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01" w:name="_Toc486167683"/>
      <w:bookmarkStart w:id="202" w:name="_Toc195714237"/>
      <w:bookmarkStart w:id="203" w:name="_Toc450662868"/>
      <w:bookmarkStart w:id="204" w:name="_Toc29885"/>
      <w:bookmarkStart w:id="205" w:name="_Toc31551"/>
      <w:bookmarkStart w:id="206" w:name="_Toc142508333"/>
      <w:bookmarkStart w:id="207" w:name="_Toc12192_WPSOffice_Level3"/>
      <w:bookmarkStart w:id="208" w:name="_Toc3466"/>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bookmarkEnd w:id="201"/>
      <w:bookmarkEnd w:id="202"/>
      <w:bookmarkEnd w:id="203"/>
      <w:bookmarkEnd w:id="204"/>
      <w:bookmarkEnd w:id="205"/>
      <w:bookmarkEnd w:id="206"/>
      <w:bookmarkEnd w:id="207"/>
      <w:r>
        <w:rPr>
          <w:rFonts w:hint="eastAsia" w:ascii="宋体" w:hAnsi="宋体" w:eastAsia="宋体" w:cs="宋体"/>
          <w:color w:val="auto"/>
          <w:szCs w:val="21"/>
          <w:highlight w:val="none"/>
          <w:lang w:val="zh-CN"/>
        </w:rPr>
        <w:t>投标文件的加密</w:t>
      </w:r>
      <w:bookmarkEnd w:id="208"/>
    </w:p>
    <w:p w14:paraId="7F132087">
      <w:pPr>
        <w:tabs>
          <w:tab w:val="left" w:pos="567"/>
        </w:tabs>
        <w:adjustRightInd w:val="0"/>
        <w:spacing w:line="360" w:lineRule="auto"/>
        <w:ind w:firstLine="144" w:firstLineChars="6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1D99348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14:paraId="00409C90">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09" w:name="_Toc195714238"/>
      <w:bookmarkStart w:id="210" w:name="_Toc3867"/>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bookmarkEnd w:id="209"/>
      <w:bookmarkEnd w:id="210"/>
    </w:p>
    <w:p w14:paraId="0564A59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6ADA394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2CE7255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12B7479A">
      <w:pPr>
        <w:tabs>
          <w:tab w:val="left" w:pos="567"/>
        </w:tabs>
        <w:autoSpaceDE w:val="0"/>
        <w:autoSpaceDN w:val="0"/>
        <w:adjustRightInd w:val="0"/>
        <w:spacing w:line="360" w:lineRule="auto"/>
        <w:ind w:left="357" w:leftChars="-100" w:right="15" w:rightChars="7" w:hanging="567"/>
        <w:outlineLvl w:val="1"/>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地点：见招标公告。</w:t>
      </w:r>
    </w:p>
    <w:p w14:paraId="4AADF60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6C6AF06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87E7FC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14:paraId="2E19C5E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1" w:name="_Toc2123"/>
      <w:bookmarkStart w:id="212" w:name="_Toc195714239"/>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bookmarkEnd w:id="211"/>
      <w:bookmarkEnd w:id="212"/>
    </w:p>
    <w:p w14:paraId="74DBBF8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6F4E91B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49EF5FE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3CE977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3" w:name="_Toc5699"/>
      <w:bookmarkStart w:id="214" w:name="_Toc195714240"/>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bookmarkEnd w:id="213"/>
      <w:bookmarkEnd w:id="214"/>
    </w:p>
    <w:p w14:paraId="25EC090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489D887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02C5891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038B410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6B4FB6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2C155A5">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5" w:name="_Toc26166"/>
      <w:bookmarkStart w:id="216" w:name="_Toc195714241"/>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15"/>
      <w:bookmarkEnd w:id="216"/>
    </w:p>
    <w:p w14:paraId="70AEA89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46A3362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4AF853AF">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227B41CF">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725B85D">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17" w:name="_Toc30428"/>
      <w:bookmarkStart w:id="218" w:name="_Toc28824"/>
      <w:bookmarkStart w:id="219" w:name="_Toc140596896"/>
      <w:bookmarkStart w:id="220" w:name="_Toc486167687"/>
      <w:bookmarkStart w:id="221" w:name="_Toc195714242"/>
      <w:bookmarkStart w:id="222" w:name="_Toc1049_WPSOffice_Level2"/>
      <w:bookmarkStart w:id="223" w:name="_Toc142508337"/>
      <w:bookmarkStart w:id="224" w:name="_Toc450662872"/>
      <w:bookmarkStart w:id="225" w:name="_Toc5498"/>
      <w:r>
        <w:rPr>
          <w:rFonts w:hint="eastAsia" w:ascii="宋体" w:hAnsi="宋体" w:eastAsia="宋体" w:cs="宋体"/>
          <w:b/>
          <w:bCs/>
          <w:color w:val="auto"/>
          <w:kern w:val="44"/>
          <w:szCs w:val="21"/>
          <w:highlight w:val="none"/>
          <w:lang w:val="zh-CN"/>
        </w:rPr>
        <w:t>五、开标与评标</w:t>
      </w:r>
      <w:bookmarkEnd w:id="217"/>
      <w:bookmarkEnd w:id="218"/>
      <w:bookmarkEnd w:id="219"/>
      <w:bookmarkEnd w:id="220"/>
      <w:bookmarkEnd w:id="221"/>
      <w:bookmarkEnd w:id="222"/>
      <w:bookmarkEnd w:id="223"/>
      <w:bookmarkEnd w:id="224"/>
      <w:bookmarkEnd w:id="225"/>
    </w:p>
    <w:p w14:paraId="0031FE2E">
      <w:pPr>
        <w:tabs>
          <w:tab w:val="left" w:pos="567"/>
        </w:tabs>
        <w:autoSpaceDE w:val="0"/>
        <w:autoSpaceDN w:val="0"/>
        <w:adjustRightInd w:val="0"/>
        <w:spacing w:line="360" w:lineRule="auto"/>
        <w:ind w:left="357" w:leftChars="-100" w:right="15" w:rightChars="7" w:hanging="567"/>
        <w:outlineLvl w:val="0"/>
        <w:rPr>
          <w:rFonts w:ascii="宋体" w:hAnsi="宋体" w:eastAsia="宋体" w:cs="宋体"/>
          <w:color w:val="auto"/>
          <w:szCs w:val="21"/>
          <w:highlight w:val="none"/>
          <w:lang w:val="zh-CN"/>
        </w:rPr>
      </w:pPr>
      <w:bookmarkStart w:id="226" w:name="_Toc17477"/>
      <w:bookmarkStart w:id="227" w:name="_Toc19571424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26"/>
      <w:bookmarkEnd w:id="227"/>
    </w:p>
    <w:p w14:paraId="56A33D6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29E0D8FE">
      <w:pPr>
        <w:tabs>
          <w:tab w:val="left" w:pos="567"/>
        </w:tabs>
        <w:autoSpaceDE w:val="0"/>
        <w:autoSpaceDN w:val="0"/>
        <w:adjustRightInd w:val="0"/>
        <w:spacing w:line="360" w:lineRule="auto"/>
        <w:ind w:left="357" w:leftChars="-100" w:right="15" w:rightChars="7" w:hanging="567"/>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23.2 投标人网上签到时间为开标当天上午6时至投标截止时间，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06FB246A">
      <w:pPr>
        <w:tabs>
          <w:tab w:val="left" w:pos="567"/>
        </w:tabs>
        <w:autoSpaceDE w:val="0"/>
        <w:autoSpaceDN w:val="0"/>
        <w:adjustRightInd w:val="0"/>
        <w:spacing w:line="360" w:lineRule="auto"/>
        <w:ind w:left="357" w:leftChars="-100" w:right="15" w:rightChars="7" w:hanging="567"/>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4FEB506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2B28284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lang w:val="en-US" w:eastAsia="zh-CN"/>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0B98538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4B6B6DB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78282EAF">
      <w:pPr>
        <w:tabs>
          <w:tab w:val="left" w:pos="567"/>
        </w:tabs>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2D583CCE">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28" w:name="_Toc450662874"/>
      <w:bookmarkStart w:id="229" w:name="_Toc32534"/>
      <w:bookmarkStart w:id="230" w:name="_Toc23059"/>
      <w:bookmarkStart w:id="231" w:name="_Toc142508339"/>
      <w:bookmarkStart w:id="232" w:name="_Toc195714244"/>
      <w:bookmarkStart w:id="233" w:name="_Toc12165_WPSOffice_Level3"/>
      <w:bookmarkStart w:id="234" w:name="_Toc29774"/>
      <w:bookmarkStart w:id="235" w:name="_Toc486167689"/>
      <w:r>
        <w:rPr>
          <w:rFonts w:hint="eastAsia" w:ascii="宋体" w:hAnsi="宋体" w:eastAsia="宋体" w:cs="宋体"/>
          <w:color w:val="auto"/>
          <w:szCs w:val="21"/>
          <w:highlight w:val="none"/>
        </w:rPr>
        <w:t>24</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8"/>
      <w:bookmarkEnd w:id="229"/>
      <w:bookmarkEnd w:id="230"/>
      <w:bookmarkEnd w:id="231"/>
      <w:bookmarkEnd w:id="232"/>
      <w:bookmarkEnd w:id="233"/>
      <w:bookmarkEnd w:id="234"/>
      <w:bookmarkEnd w:id="235"/>
    </w:p>
    <w:p w14:paraId="5B60962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580BC60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4B3F4D5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E1E5BAC">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36" w:name="_Toc15565_WPSOffice_Level3"/>
      <w:bookmarkStart w:id="237" w:name="_Toc6241"/>
      <w:bookmarkStart w:id="238" w:name="_Toc16920"/>
      <w:bookmarkStart w:id="239" w:name="_Toc450662875"/>
      <w:bookmarkStart w:id="240" w:name="_Toc486167690"/>
      <w:bookmarkStart w:id="241" w:name="_Toc800"/>
      <w:bookmarkStart w:id="242" w:name="_Toc195714245"/>
      <w:bookmarkStart w:id="243" w:name="_Toc142508340"/>
      <w:r>
        <w:rPr>
          <w:rFonts w:hint="eastAsia" w:ascii="宋体" w:hAnsi="宋体" w:eastAsia="宋体" w:cs="宋体"/>
          <w:color w:val="auto"/>
          <w:szCs w:val="21"/>
          <w:highlight w:val="none"/>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36"/>
      <w:bookmarkEnd w:id="237"/>
      <w:bookmarkEnd w:id="238"/>
      <w:bookmarkEnd w:id="239"/>
      <w:bookmarkEnd w:id="240"/>
      <w:bookmarkEnd w:id="241"/>
      <w:bookmarkEnd w:id="242"/>
      <w:bookmarkEnd w:id="243"/>
    </w:p>
    <w:p w14:paraId="2ACE9FC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6FD78E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90C02C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2F4A2FF">
      <w:pPr>
        <w:autoSpaceDE w:val="0"/>
        <w:autoSpaceDN w:val="0"/>
        <w:adjustRightInd w:val="0"/>
        <w:spacing w:line="360" w:lineRule="auto"/>
        <w:ind w:left="357" w:leftChars="-100" w:hanging="567"/>
        <w:outlineLvl w:val="0"/>
        <w:rPr>
          <w:rFonts w:ascii="宋体" w:hAnsi="宋体" w:eastAsia="宋体" w:cs="宋体"/>
          <w:color w:val="auto"/>
          <w:szCs w:val="21"/>
          <w:highlight w:val="none"/>
          <w:lang w:val="zh-CN"/>
        </w:rPr>
      </w:pPr>
      <w:bookmarkStart w:id="244" w:name="_Toc4946"/>
      <w:bookmarkStart w:id="245" w:name="_Toc195714246"/>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244"/>
      <w:bookmarkEnd w:id="245"/>
    </w:p>
    <w:p w14:paraId="01ADBBF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5AF01BC4">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p>
    <w:p w14:paraId="73F2EDB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409CAB41">
      <w:pPr>
        <w:autoSpaceDE w:val="0"/>
        <w:autoSpaceDN w:val="0"/>
        <w:adjustRightInd w:val="0"/>
        <w:spacing w:line="360" w:lineRule="auto"/>
        <w:ind w:left="357" w:leftChars="-100" w:hanging="567"/>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26.1.3投标文件中使用的本项目招标文件版本，与交易系统上发布的本项目招标文件的最新版本不一致的；</w:t>
      </w:r>
    </w:p>
    <w:p w14:paraId="022AE960">
      <w:pPr>
        <w:autoSpaceDE w:val="0"/>
        <w:autoSpaceDN w:val="0"/>
        <w:adjustRightInd w:val="0"/>
        <w:spacing w:line="360" w:lineRule="auto"/>
        <w:ind w:left="357" w:leftChars="-100" w:hanging="567"/>
        <w:outlineLvl w:val="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26.1.4</w:t>
      </w:r>
      <w:r>
        <w:rPr>
          <w:rFonts w:hint="eastAsia" w:ascii="宋体" w:hAnsi="宋体" w:eastAsia="宋体" w:cs="宋体"/>
          <w:color w:val="auto"/>
          <w:szCs w:val="21"/>
          <w:highlight w:val="none"/>
          <w:lang w:val="zh-CN"/>
        </w:rPr>
        <w:t>投标文件未使用企业数字证书签名的；</w:t>
      </w:r>
    </w:p>
    <w:p w14:paraId="335673A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投标文件签名使用的数字证书与签到的投标人名称不一致的；</w:t>
      </w:r>
    </w:p>
    <w:p w14:paraId="67680A6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2C69771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投标文件附有招标人不能接受的条件的；</w:t>
      </w:r>
    </w:p>
    <w:p w14:paraId="3D89A5C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款的要求；</w:t>
      </w:r>
    </w:p>
    <w:p w14:paraId="75924DC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投标人未按招标文件要求交纳投标保证金的；</w:t>
      </w:r>
    </w:p>
    <w:p w14:paraId="668E015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投标文件报价信封中填报的投标报价</w:t>
      </w:r>
      <w:r>
        <w:rPr>
          <w:rFonts w:hint="eastAsia" w:ascii="宋体" w:hAnsi="宋体" w:eastAsia="宋体" w:cs="宋体"/>
          <w:color w:val="auto"/>
          <w:szCs w:val="21"/>
          <w:highlight w:val="none"/>
          <w:lang w:val="zh-CN" w:eastAsia="zh-CN"/>
        </w:rPr>
        <w:t>未按招标文件要求进行填报</w:t>
      </w:r>
      <w:r>
        <w:rPr>
          <w:rFonts w:hint="eastAsia" w:ascii="宋体" w:hAnsi="宋体" w:eastAsia="宋体" w:cs="宋体"/>
          <w:color w:val="auto"/>
          <w:szCs w:val="21"/>
          <w:highlight w:val="none"/>
          <w:lang w:val="zh-CN"/>
        </w:rPr>
        <w:t>；</w:t>
      </w:r>
    </w:p>
    <w:p w14:paraId="46332D4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6A43EA5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1BDFCED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lang w:val="zh-CN"/>
        </w:rPr>
        <w:t xml:space="preserve">的要求编制、使用企业数字证书或个人数字证书电子签名的； </w:t>
      </w:r>
    </w:p>
    <w:p w14:paraId="1A19DA10">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投标有效期限不符合要求；</w:t>
      </w:r>
    </w:p>
    <w:p w14:paraId="2DBBB68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投标文件未对招标范围内的全部内容进行投标报价或投标方案不是唯一；</w:t>
      </w:r>
    </w:p>
    <w:p w14:paraId="4DD5F87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val="zh-CN"/>
        </w:rPr>
        <w:t>未提供或虚假填写《合同条款偏离表》，或对《合同条款偏离表》有负偏离的；</w:t>
      </w:r>
    </w:p>
    <w:p w14:paraId="47800E57">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val="zh-CN"/>
        </w:rPr>
        <w:t>未填写或虚假填写《用户需求偏离表》的；</w:t>
      </w:r>
    </w:p>
    <w:p w14:paraId="56D780F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zh-CN"/>
        </w:rPr>
        <w:t>未响应招标文件提出的实质性要求和条件（标注★的条款）；</w:t>
      </w:r>
    </w:p>
    <w:p w14:paraId="6CA81C0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33C1E422">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4D92743">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246" w:name="_Toc486167691"/>
      <w:bookmarkStart w:id="247" w:name="_Toc450662876"/>
      <w:bookmarkStart w:id="248" w:name="_Toc195714247"/>
      <w:bookmarkStart w:id="249" w:name="_Toc12715"/>
      <w:bookmarkStart w:id="250" w:name="_Toc8692"/>
      <w:bookmarkStart w:id="251" w:name="_Toc28910_WPSOffice_Level3"/>
      <w:bookmarkStart w:id="252" w:name="_Toc18668"/>
      <w:bookmarkStart w:id="253" w:name="_Toc142508341"/>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46"/>
      <w:bookmarkEnd w:id="247"/>
      <w:bookmarkEnd w:id="248"/>
      <w:bookmarkEnd w:id="249"/>
      <w:bookmarkEnd w:id="250"/>
      <w:bookmarkEnd w:id="251"/>
      <w:bookmarkEnd w:id="252"/>
      <w:bookmarkEnd w:id="253"/>
    </w:p>
    <w:p w14:paraId="608EC1F0">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1B640FB4">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23DB1E9A">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222B7108">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4" w:name="_Toc4837"/>
      <w:bookmarkStart w:id="255" w:name="_Toc30225"/>
      <w:bookmarkStart w:id="256" w:name="_Toc6362"/>
      <w:bookmarkStart w:id="257" w:name="_Toc450662877"/>
      <w:bookmarkStart w:id="258" w:name="_Toc338_WPSOffice_Level3"/>
      <w:bookmarkStart w:id="259" w:name="_Toc486167692"/>
      <w:bookmarkStart w:id="260" w:name="_Toc195714248"/>
      <w:bookmarkStart w:id="261" w:name="_Toc142508342"/>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54"/>
      <w:bookmarkEnd w:id="255"/>
      <w:bookmarkEnd w:id="256"/>
      <w:bookmarkEnd w:id="257"/>
      <w:bookmarkEnd w:id="258"/>
      <w:bookmarkEnd w:id="259"/>
      <w:bookmarkEnd w:id="260"/>
      <w:bookmarkEnd w:id="261"/>
    </w:p>
    <w:p w14:paraId="213359E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108E00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62"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lang w:val="en-US" w:eastAsia="zh-CN"/>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lang w:val="en-US" w:eastAsia="zh-CN"/>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lang w:val="en-US" w:eastAsia="zh-CN"/>
        </w:rPr>
        <w:t>联系方式及电子邮箱</w:t>
      </w:r>
      <w:r>
        <w:rPr>
          <w:rFonts w:hint="eastAsia" w:ascii="宋体" w:hAnsi="宋体" w:eastAsia="宋体" w:cs="宋体"/>
          <w:color w:val="auto"/>
          <w:szCs w:val="21"/>
          <w:highlight w:val="none"/>
          <w:lang w:val="zh-CN"/>
        </w:rPr>
        <w:t>，以便能及时收到澄清通知。</w:t>
      </w:r>
    </w:p>
    <w:p w14:paraId="58651DB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262"/>
    <w:p w14:paraId="20D55178">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63" w:name="_Toc10967"/>
      <w:bookmarkStart w:id="264" w:name="_Toc142508343"/>
      <w:bookmarkStart w:id="265" w:name="_Toc10292"/>
      <w:bookmarkStart w:id="266" w:name="_Toc195714249"/>
      <w:bookmarkStart w:id="267" w:name="_Toc18368_WPSOffice_Level3"/>
      <w:bookmarkStart w:id="268" w:name="_Toc22065"/>
      <w:bookmarkStart w:id="269" w:name="_Toc522047355"/>
      <w:bookmarkStart w:id="270" w:name="_Toc52191809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63"/>
      <w:bookmarkEnd w:id="264"/>
      <w:bookmarkEnd w:id="265"/>
      <w:bookmarkEnd w:id="266"/>
      <w:bookmarkEnd w:id="267"/>
      <w:bookmarkEnd w:id="268"/>
      <w:bookmarkEnd w:id="269"/>
      <w:bookmarkEnd w:id="270"/>
    </w:p>
    <w:p w14:paraId="1F5DC5C9">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详细评审。</w:t>
      </w:r>
    </w:p>
    <w:p w14:paraId="5140E3C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C6714F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3DFC8E3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5243628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根据上述商务、技术综合评价的权重分配计算出各投标人的综合得分。</w:t>
      </w:r>
    </w:p>
    <w:p w14:paraId="731E5DBA">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71" w:name="_Toc521918097"/>
      <w:bookmarkStart w:id="272" w:name="_Toc522047356"/>
    </w:p>
    <w:p w14:paraId="02B53A8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3" w:name="_Toc142508344"/>
      <w:bookmarkStart w:id="274" w:name="_Toc195714250"/>
      <w:bookmarkStart w:id="275" w:name="_Toc27026"/>
      <w:bookmarkStart w:id="276" w:name="_Toc18614"/>
      <w:bookmarkStart w:id="277" w:name="_Toc14804"/>
      <w:bookmarkStart w:id="278" w:name="_Toc21460_WPSOffice_Level3"/>
      <w:r>
        <w:rPr>
          <w:rFonts w:hint="eastAsia" w:ascii="宋体" w:hAnsi="宋体" w:eastAsia="宋体" w:cs="宋体"/>
          <w:color w:val="auto"/>
          <w:szCs w:val="21"/>
          <w:highlight w:val="none"/>
        </w:rPr>
        <w:t>30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71"/>
      <w:bookmarkEnd w:id="272"/>
      <w:bookmarkEnd w:id="273"/>
      <w:bookmarkEnd w:id="274"/>
      <w:bookmarkEnd w:id="275"/>
      <w:bookmarkEnd w:id="276"/>
      <w:bookmarkEnd w:id="277"/>
      <w:bookmarkEnd w:id="278"/>
    </w:p>
    <w:p w14:paraId="3F14BA8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对所有投标文件的评审，都采用相同的程序和标准。按步骤先进行初步评审，再进行商务、技术评审。</w:t>
      </w:r>
    </w:p>
    <w:p w14:paraId="03BCE2DE">
      <w:pPr>
        <w:tabs>
          <w:tab w:val="left" w:pos="360"/>
        </w:tabs>
        <w:autoSpaceDE w:val="0"/>
        <w:autoSpaceDN w:val="0"/>
        <w:adjustRightInd w:val="0"/>
        <w:spacing w:line="360" w:lineRule="auto"/>
        <w:ind w:left="330" w:leftChars="-100" w:right="44" w:rightChars="21" w:hanging="540"/>
        <w:outlineLvl w:val="1"/>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p>
    <w:p w14:paraId="50B5ED1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0A082B6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w:t>
      </w:r>
      <w:r>
        <w:rPr>
          <w:rFonts w:hint="eastAsia" w:ascii="宋体" w:hAnsi="宋体" w:eastAsia="宋体" w:cs="宋体"/>
          <w:b/>
          <w:bCs/>
          <w:color w:val="auto"/>
          <w:szCs w:val="21"/>
          <w:highlight w:val="none"/>
          <w:lang w:val="en-US" w:eastAsia="zh-CN"/>
        </w:rPr>
        <w:t>需求家数</w:t>
      </w:r>
      <w:r>
        <w:rPr>
          <w:rFonts w:hint="eastAsia" w:ascii="宋体" w:hAnsi="宋体" w:eastAsia="宋体" w:cs="宋体"/>
          <w:b/>
          <w:bCs/>
          <w:color w:val="auto"/>
          <w:szCs w:val="21"/>
          <w:highlight w:val="none"/>
        </w:rPr>
        <w:t>时，公开招标失败。</w:t>
      </w:r>
    </w:p>
    <w:p w14:paraId="6306FCC0">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E66405F">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9" w:name="_Toc11615"/>
      <w:bookmarkStart w:id="280" w:name="_Toc15217"/>
      <w:bookmarkStart w:id="281" w:name="_Toc486167694"/>
      <w:bookmarkStart w:id="282" w:name="_Toc465358969"/>
      <w:bookmarkStart w:id="283" w:name="_Toc195714251"/>
      <w:bookmarkStart w:id="284" w:name="_Toc142508345"/>
      <w:bookmarkStart w:id="285" w:name="_Toc32498_WPSOffice_Level3"/>
      <w:bookmarkStart w:id="286" w:name="_Toc4819"/>
      <w:bookmarkStart w:id="287" w:name="_Toc466882017"/>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79"/>
      <w:bookmarkEnd w:id="280"/>
      <w:bookmarkEnd w:id="281"/>
      <w:bookmarkEnd w:id="282"/>
      <w:bookmarkEnd w:id="283"/>
      <w:bookmarkEnd w:id="284"/>
      <w:bookmarkEnd w:id="285"/>
      <w:bookmarkEnd w:id="286"/>
      <w:bookmarkEnd w:id="287"/>
    </w:p>
    <w:p w14:paraId="1369F45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6FAA7B5D">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527FD3AA">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31.2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253B9891">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30C6962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D72519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53C8C58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D79865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2C4F49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056B72C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4635F21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299744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BA3C69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650F189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0531555F">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362722D5">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288" w:name="_Toc486167695"/>
      <w:bookmarkStart w:id="289" w:name="_Toc142508346"/>
      <w:bookmarkStart w:id="290" w:name="_Toc465358970"/>
      <w:bookmarkStart w:id="291" w:name="_Toc1848_WPSOffice_Level3"/>
      <w:bookmarkStart w:id="292" w:name="_Toc466882018"/>
      <w:bookmarkStart w:id="293" w:name="_Toc26354"/>
      <w:bookmarkStart w:id="294" w:name="_Toc26283"/>
      <w:bookmarkStart w:id="295" w:name="_Toc3154"/>
      <w:bookmarkStart w:id="296" w:name="_Toc195714252"/>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288"/>
      <w:bookmarkEnd w:id="289"/>
      <w:bookmarkEnd w:id="290"/>
      <w:bookmarkEnd w:id="291"/>
      <w:bookmarkEnd w:id="292"/>
      <w:bookmarkEnd w:id="293"/>
      <w:bookmarkEnd w:id="294"/>
      <w:bookmarkEnd w:id="295"/>
      <w:bookmarkEnd w:id="296"/>
    </w:p>
    <w:p w14:paraId="3FB57939">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1CCDAD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177F93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w:t>
      </w:r>
      <w:r>
        <w:rPr>
          <w:rFonts w:hint="eastAsia" w:ascii="宋体" w:hAnsi="宋体" w:eastAsia="宋体" w:cs="宋体"/>
          <w:b/>
          <w:color w:val="auto"/>
          <w:szCs w:val="21"/>
          <w:highlight w:val="none"/>
          <w:lang w:eastAsia="zh-CN"/>
        </w:rPr>
        <w:t>本须知</w:t>
      </w:r>
      <w:r>
        <w:rPr>
          <w:rFonts w:hint="eastAsia" w:ascii="宋体" w:hAnsi="宋体" w:eastAsia="宋体" w:cs="宋体"/>
          <w:b/>
          <w:color w:val="auto"/>
          <w:szCs w:val="21"/>
          <w:highlight w:val="none"/>
        </w:rPr>
        <w:t>31</w:t>
      </w:r>
      <w:r>
        <w:rPr>
          <w:rFonts w:ascii="宋体" w:hAnsi="宋体" w:eastAsia="宋体" w:cs="宋体"/>
          <w:b/>
          <w:color w:val="auto"/>
          <w:szCs w:val="21"/>
          <w:highlight w:val="none"/>
        </w:rPr>
        <w:t>.2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w:t>
      </w:r>
      <w:r>
        <w:rPr>
          <w:rFonts w:hint="eastAsia" w:ascii="宋体" w:hAnsi="宋体" w:eastAsia="宋体" w:cs="宋体"/>
          <w:b/>
          <w:color w:val="auto"/>
          <w:szCs w:val="21"/>
          <w:highlight w:val="none"/>
          <w:lang w:eastAsia="zh-CN"/>
        </w:rPr>
        <w:t>撤</w:t>
      </w:r>
      <w:r>
        <w:rPr>
          <w:rFonts w:hint="eastAsia" w:ascii="宋体" w:hAnsi="宋体" w:eastAsia="宋体" w:cs="宋体"/>
          <w:b/>
          <w:color w:val="auto"/>
          <w:szCs w:val="21"/>
          <w:highlight w:val="none"/>
          <w:lang w:val="en-US" w:eastAsia="zh-CN"/>
        </w:rPr>
        <w:t>回</w:t>
      </w:r>
      <w:r>
        <w:rPr>
          <w:rFonts w:hint="eastAsia" w:ascii="宋体" w:hAnsi="宋体" w:eastAsia="宋体" w:cs="宋体"/>
          <w:b/>
          <w:color w:val="auto"/>
          <w:szCs w:val="21"/>
          <w:highlight w:val="none"/>
        </w:rPr>
        <w:t>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7B791BD6">
      <w:pPr>
        <w:autoSpaceDE w:val="0"/>
        <w:autoSpaceDN w:val="0"/>
        <w:adjustRightInd w:val="0"/>
        <w:snapToGrid w:val="0"/>
        <w:spacing w:line="360" w:lineRule="auto"/>
        <w:jc w:val="left"/>
        <w:rPr>
          <w:rFonts w:ascii="宋体" w:hAnsi="宋体" w:eastAsia="宋体" w:cs="宋体"/>
          <w:color w:val="auto"/>
          <w:szCs w:val="21"/>
          <w:highlight w:val="none"/>
        </w:rPr>
      </w:pPr>
      <w:bookmarkStart w:id="297" w:name="_Toc466882019"/>
      <w:bookmarkStart w:id="298" w:name="_Toc465358971"/>
    </w:p>
    <w:p w14:paraId="35C7DAD2">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299" w:name="_Toc10867_WPSOffice_Level3"/>
      <w:bookmarkStart w:id="300" w:name="_Toc195714253"/>
      <w:bookmarkStart w:id="301" w:name="_Toc486167696"/>
      <w:bookmarkStart w:id="302" w:name="_Toc6704"/>
      <w:bookmarkStart w:id="303" w:name="_Toc142508347"/>
      <w:bookmarkStart w:id="304" w:name="_Toc8654"/>
      <w:bookmarkStart w:id="305" w:name="_Toc23672"/>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297"/>
      <w:bookmarkEnd w:id="298"/>
      <w:bookmarkEnd w:id="299"/>
      <w:bookmarkEnd w:id="300"/>
      <w:bookmarkEnd w:id="301"/>
      <w:bookmarkEnd w:id="302"/>
      <w:bookmarkEnd w:id="303"/>
      <w:bookmarkEnd w:id="304"/>
      <w:bookmarkEnd w:id="305"/>
    </w:p>
    <w:p w14:paraId="4BB938C8">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278B174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06" w:name="_Toc450662880"/>
    </w:p>
    <w:p w14:paraId="0109B608">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307" w:name="_Toc16848_WPSOffice_Level2"/>
      <w:bookmarkStart w:id="308" w:name="_Toc140596907"/>
      <w:bookmarkStart w:id="309" w:name="_Toc142508348"/>
      <w:bookmarkStart w:id="310" w:name="_Toc16789"/>
      <w:bookmarkStart w:id="311" w:name="_Toc486167697"/>
      <w:bookmarkStart w:id="312" w:name="_Toc25011"/>
      <w:bookmarkStart w:id="313" w:name="_Toc27936"/>
      <w:bookmarkStart w:id="314" w:name="_Toc195714254"/>
      <w:r>
        <w:rPr>
          <w:rFonts w:hint="eastAsia" w:ascii="宋体" w:hAnsi="宋体" w:eastAsia="宋体" w:cs="宋体"/>
          <w:b/>
          <w:bCs/>
          <w:color w:val="auto"/>
          <w:kern w:val="44"/>
          <w:szCs w:val="21"/>
          <w:highlight w:val="none"/>
          <w:lang w:val="zh-CN"/>
        </w:rPr>
        <w:t>六、授予合同</w:t>
      </w:r>
      <w:bookmarkEnd w:id="306"/>
      <w:bookmarkEnd w:id="307"/>
      <w:bookmarkEnd w:id="308"/>
      <w:bookmarkEnd w:id="309"/>
      <w:bookmarkEnd w:id="310"/>
      <w:bookmarkEnd w:id="311"/>
      <w:bookmarkEnd w:id="312"/>
      <w:bookmarkEnd w:id="313"/>
      <w:bookmarkEnd w:id="314"/>
    </w:p>
    <w:p w14:paraId="14BF56E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15" w:name="_Toc8164"/>
      <w:bookmarkStart w:id="316" w:name="_Toc142508349"/>
      <w:bookmarkStart w:id="317" w:name="_Toc31713"/>
      <w:bookmarkStart w:id="318" w:name="_Toc450662881"/>
      <w:bookmarkStart w:id="319" w:name="_Toc486167698"/>
      <w:bookmarkStart w:id="320" w:name="_Toc195714255"/>
      <w:bookmarkStart w:id="321" w:name="_Toc29383"/>
      <w:bookmarkStart w:id="322" w:name="_Toc6401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15"/>
      <w:bookmarkEnd w:id="316"/>
      <w:bookmarkEnd w:id="317"/>
      <w:bookmarkEnd w:id="318"/>
      <w:bookmarkEnd w:id="319"/>
      <w:bookmarkEnd w:id="320"/>
      <w:bookmarkEnd w:id="321"/>
      <w:bookmarkEnd w:id="322"/>
    </w:p>
    <w:p w14:paraId="072BDABE">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709DB8A">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47420844">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409C22D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23" w:name="_Toc450662885"/>
    </w:p>
    <w:p w14:paraId="042CFA77">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24" w:name="_Toc13906"/>
      <w:bookmarkStart w:id="325" w:name="_Toc8196"/>
      <w:bookmarkStart w:id="326" w:name="_Toc486167699"/>
      <w:bookmarkStart w:id="327" w:name="_Toc18984"/>
      <w:bookmarkStart w:id="328" w:name="_Toc142508350"/>
      <w:bookmarkStart w:id="329" w:name="_Toc195714256"/>
      <w:bookmarkStart w:id="330" w:name="_Toc6726_WPSOffice_Level3"/>
      <w:r>
        <w:rPr>
          <w:rFonts w:hint="eastAsia" w:ascii="宋体" w:hAnsi="宋体" w:eastAsia="宋体" w:cs="宋体"/>
          <w:color w:val="auto"/>
          <w:szCs w:val="21"/>
          <w:highlight w:val="none"/>
        </w:rPr>
        <w:t>35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23"/>
      <w:bookmarkEnd w:id="324"/>
      <w:bookmarkEnd w:id="325"/>
      <w:bookmarkEnd w:id="326"/>
      <w:bookmarkEnd w:id="327"/>
      <w:bookmarkEnd w:id="328"/>
      <w:bookmarkEnd w:id="329"/>
      <w:bookmarkEnd w:id="330"/>
    </w:p>
    <w:p w14:paraId="7E78CB4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7281AB2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67D468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5099F77C">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2" w:name="_Toc28020"/>
      <w:bookmarkStart w:id="333" w:name="_Toc142508351"/>
      <w:bookmarkStart w:id="334" w:name="_Toc195714257"/>
      <w:bookmarkStart w:id="335" w:name="_Toc9694_WPSOffice_Level3"/>
      <w:bookmarkStart w:id="336" w:name="_Toc486167700"/>
      <w:bookmarkStart w:id="337" w:name="_Toc4722"/>
      <w:bookmarkStart w:id="338" w:name="_Toc19127"/>
      <w:r>
        <w:rPr>
          <w:rFonts w:hint="eastAsia" w:ascii="宋体" w:hAnsi="宋体" w:eastAsia="宋体" w:cs="宋体"/>
          <w:color w:val="auto"/>
          <w:szCs w:val="21"/>
          <w:highlight w:val="none"/>
        </w:rPr>
        <w:t>36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31"/>
      <w:bookmarkEnd w:id="332"/>
      <w:bookmarkEnd w:id="333"/>
      <w:bookmarkEnd w:id="334"/>
      <w:bookmarkEnd w:id="335"/>
      <w:bookmarkEnd w:id="336"/>
      <w:bookmarkEnd w:id="337"/>
      <w:bookmarkEnd w:id="338"/>
    </w:p>
    <w:p w14:paraId="1F0705BC">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w:t>
      </w:r>
      <w:r>
        <w:rPr>
          <w:rFonts w:hint="eastAsia" w:ascii="宋体" w:hAnsi="宋体" w:eastAsia="宋体" w:cs="Times New Roman"/>
          <w:b/>
          <w:color w:val="auto"/>
          <w:szCs w:val="21"/>
          <w:highlight w:val="none"/>
          <w:u w:val="single"/>
          <w:lang w:val="en-US" w:eastAsia="zh-CN"/>
        </w:rPr>
        <w:t>入库</w:t>
      </w:r>
      <w:r>
        <w:rPr>
          <w:rFonts w:hint="eastAsia" w:ascii="宋体" w:hAnsi="宋体" w:eastAsia="宋体" w:cs="Times New Roman"/>
          <w:b/>
          <w:color w:val="auto"/>
          <w:szCs w:val="21"/>
          <w:highlight w:val="none"/>
          <w:u w:val="single"/>
          <w:lang w:val="zh-CN"/>
        </w:rPr>
        <w:t>合同，</w:t>
      </w:r>
      <w:r>
        <w:rPr>
          <w:rFonts w:hint="eastAsia" w:ascii="宋体" w:hAnsi="宋体" w:eastAsia="宋体" w:cs="Times New Roman"/>
          <w:b/>
          <w:color w:val="auto"/>
          <w:szCs w:val="21"/>
          <w:highlight w:val="none"/>
          <w:u w:val="single"/>
          <w:lang w:val="en-US" w:eastAsia="zh-CN"/>
        </w:rPr>
        <w:t>后续派单后由</w:t>
      </w:r>
      <w:r>
        <w:rPr>
          <w:rFonts w:hint="eastAsia" w:ascii="宋体" w:hAnsi="宋体" w:eastAsia="宋体" w:cs="Times New Roman"/>
          <w:b/>
          <w:color w:val="auto"/>
          <w:kern w:val="2"/>
          <w:szCs w:val="21"/>
          <w:highlight w:val="none"/>
          <w:u w:val="single"/>
        </w:rPr>
        <w:t>招标人</w:t>
      </w:r>
      <w:r>
        <w:rPr>
          <w:rFonts w:hint="eastAsia" w:ascii="宋体" w:hAnsi="宋体" w:eastAsia="宋体" w:cs="Times New Roman"/>
          <w:b/>
          <w:color w:val="auto"/>
          <w:kern w:val="2"/>
          <w:szCs w:val="21"/>
          <w:highlight w:val="none"/>
          <w:u w:val="single"/>
          <w:lang w:val="en-US" w:eastAsia="zh-CN"/>
        </w:rPr>
        <w:t>及</w:t>
      </w:r>
      <w:r>
        <w:rPr>
          <w:rFonts w:hint="eastAsia" w:ascii="宋体" w:hAnsi="宋体" w:eastAsia="宋体" w:cs="Times New Roman"/>
          <w:b/>
          <w:color w:val="auto"/>
          <w:kern w:val="2"/>
          <w:szCs w:val="21"/>
          <w:highlight w:val="none"/>
          <w:u w:val="single"/>
        </w:rPr>
        <w:t>权属子公司</w:t>
      </w:r>
      <w:r>
        <w:rPr>
          <w:rFonts w:hint="eastAsia" w:ascii="宋体" w:hAnsi="宋体" w:eastAsia="宋体" w:cs="Times New Roman"/>
          <w:b/>
          <w:color w:val="auto"/>
          <w:kern w:val="2"/>
          <w:szCs w:val="21"/>
          <w:highlight w:val="none"/>
          <w:u w:val="single"/>
          <w:lang w:val="en-US" w:eastAsia="zh-CN"/>
        </w:rPr>
        <w:t>分别签署</w:t>
      </w:r>
      <w:r>
        <w:rPr>
          <w:rFonts w:hint="eastAsia" w:ascii="宋体" w:hAnsi="宋体" w:eastAsia="宋体" w:cs="Times New Roman"/>
          <w:b/>
          <w:color w:val="auto"/>
          <w:szCs w:val="21"/>
          <w:highlight w:val="none"/>
          <w:u w:val="single"/>
          <w:lang w:val="en-US" w:eastAsia="zh-CN"/>
        </w:rPr>
        <w:t>单项合同</w:t>
      </w:r>
      <w:r>
        <w:rPr>
          <w:rFonts w:hint="eastAsia" w:ascii="宋体" w:hAnsi="宋体" w:eastAsia="宋体" w:cs="Times New Roman"/>
          <w:b/>
          <w:color w:val="auto"/>
          <w:szCs w:val="21"/>
          <w:highlight w:val="none"/>
          <w:u w:val="single"/>
          <w:lang w:val="zh-CN"/>
        </w:rPr>
        <w:t>，具体签订方式以招标人通知为准。否则招标人有权取消中标资格并按招标文件及法律、法规的规定进行处理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7623447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30F8C7FC">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9" w:name="_Toc8181"/>
      <w:bookmarkStart w:id="340" w:name="_Toc486167701"/>
      <w:bookmarkStart w:id="341" w:name="_Toc450662887"/>
      <w:bookmarkStart w:id="342" w:name="_Toc10513_WPSOffice_Level3"/>
      <w:bookmarkStart w:id="343" w:name="_Toc195714258"/>
      <w:bookmarkStart w:id="344" w:name="_Toc142508352"/>
      <w:bookmarkStart w:id="345" w:name="_Toc10371"/>
      <w:bookmarkStart w:id="346" w:name="_Toc5304"/>
      <w:r>
        <w:rPr>
          <w:rFonts w:hint="eastAsia" w:ascii="宋体" w:hAnsi="宋体" w:eastAsia="宋体" w:cs="宋体"/>
          <w:color w:val="auto"/>
          <w:szCs w:val="21"/>
          <w:highlight w:val="none"/>
        </w:rPr>
        <w:t>37</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39"/>
      <w:bookmarkEnd w:id="340"/>
      <w:bookmarkEnd w:id="341"/>
      <w:bookmarkEnd w:id="342"/>
      <w:bookmarkEnd w:id="343"/>
      <w:bookmarkEnd w:id="344"/>
      <w:bookmarkEnd w:id="345"/>
      <w:bookmarkEnd w:id="346"/>
    </w:p>
    <w:p w14:paraId="61948261">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47" w:name="_Toc466882025"/>
      <w:bookmarkStart w:id="348" w:name="_Toc465358977"/>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w:t>
      </w:r>
      <w:r>
        <w:rPr>
          <w:rFonts w:hint="eastAsia" w:ascii="宋体" w:hAnsi="宋体" w:eastAsia="宋体" w:cs="Times New Roman"/>
          <w:b/>
          <w:bCs/>
          <w:color w:val="auto"/>
          <w:szCs w:val="21"/>
          <w:highlight w:val="none"/>
          <w:u w:val="single"/>
          <w:lang w:val="en-US" w:eastAsia="zh-CN"/>
        </w:rPr>
        <w:t>¥50,000.00元</w:t>
      </w:r>
      <w:r>
        <w:rPr>
          <w:rFonts w:hint="eastAsia" w:ascii="宋体" w:hAnsi="宋体" w:eastAsia="宋体" w:cs="Times New Roman"/>
          <w:b/>
          <w:bCs/>
          <w:color w:val="auto"/>
          <w:szCs w:val="21"/>
          <w:highlight w:val="none"/>
          <w:u w:val="single"/>
          <w:lang w:val="zh-CN"/>
        </w:rPr>
        <w:t>，采用不可撤销银行履约保函形式的金额为</w:t>
      </w:r>
      <w:r>
        <w:rPr>
          <w:rFonts w:hint="eastAsia" w:ascii="宋体" w:hAnsi="宋体" w:eastAsia="宋体" w:cs="Times New Roman"/>
          <w:b/>
          <w:bCs/>
          <w:color w:val="auto"/>
          <w:szCs w:val="21"/>
          <w:highlight w:val="none"/>
          <w:u w:val="single"/>
          <w:lang w:val="en-US" w:eastAsia="zh-CN"/>
        </w:rPr>
        <w:t>¥75,000.00元</w:t>
      </w:r>
      <w:r>
        <w:rPr>
          <w:rFonts w:hint="eastAsia" w:ascii="宋体" w:hAnsi="宋体" w:eastAsia="宋体" w:cs="Times New Roman"/>
          <w:b/>
          <w:bCs/>
          <w:color w:val="auto"/>
          <w:szCs w:val="21"/>
          <w:highlight w:val="none"/>
          <w:u w:val="single"/>
          <w:lang w:val="zh-CN"/>
        </w:rPr>
        <w:t>，采用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w:t>
      </w:r>
      <w:r>
        <w:rPr>
          <w:rFonts w:hint="eastAsia" w:ascii="宋体" w:hAnsi="宋体" w:eastAsia="宋体" w:cs="Times New Roman"/>
          <w:b/>
          <w:bCs/>
          <w:color w:val="auto"/>
          <w:szCs w:val="21"/>
          <w:highlight w:val="none"/>
          <w:u w:val="single"/>
          <w:lang w:val="en-US" w:eastAsia="zh-CN"/>
        </w:rPr>
        <w:t>¥75,000.00元</w:t>
      </w:r>
      <w:r>
        <w:rPr>
          <w:rFonts w:hint="eastAsia" w:ascii="宋体" w:hAnsi="宋体" w:eastAsia="宋体" w:cs="Times New Roman"/>
          <w:b/>
          <w:bCs/>
          <w:color w:val="auto"/>
          <w:szCs w:val="21"/>
          <w:highlight w:val="none"/>
          <w:u w:val="single"/>
          <w:lang w:val="zh-CN"/>
        </w:rPr>
        <w:t>，采用担保公司履约担保书形式的金额为</w:t>
      </w:r>
      <w:r>
        <w:rPr>
          <w:rFonts w:hint="eastAsia" w:ascii="宋体" w:hAnsi="宋体" w:eastAsia="宋体" w:cs="Times New Roman"/>
          <w:b/>
          <w:bCs/>
          <w:color w:val="auto"/>
          <w:szCs w:val="21"/>
          <w:highlight w:val="none"/>
          <w:u w:val="single"/>
          <w:lang w:val="en-US" w:eastAsia="zh-CN"/>
        </w:rPr>
        <w:t>¥90,000.00元</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给招标人（及其下属公司）造成的损失超过履约担保数额的，中标人还应当对超过部分予以赔偿，招标人（及其下属公司）并依法追究中标人的相应责任。</w:t>
      </w:r>
    </w:p>
    <w:p w14:paraId="23C1FEF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37.2 </w:t>
      </w:r>
      <w:r>
        <w:rPr>
          <w:rFonts w:hint="eastAsia" w:ascii="宋体" w:hAnsi="宋体" w:eastAsia="宋体" w:cs="Times New Roman"/>
          <w:color w:val="auto"/>
          <w:kern w:val="0"/>
          <w:szCs w:val="21"/>
          <w:highlight w:val="none"/>
        </w:rPr>
        <w:t>履约担保用于补偿招标人（及其下属公司）因中标人不能完全履行其合同义务而蒙受的损失或其他合同约定的事项。如发生下列任一情况时，招标人（及其下属公司）有权依合同追究违约责任外，同时有权提取履约担保并进行相应处理</w:t>
      </w:r>
      <w:r>
        <w:rPr>
          <w:rFonts w:hint="eastAsia" w:ascii="宋体" w:hAnsi="宋体" w:eastAsia="宋体" w:cs="宋体"/>
          <w:color w:val="auto"/>
          <w:kern w:val="0"/>
          <w:szCs w:val="21"/>
          <w:highlight w:val="none"/>
        </w:rPr>
        <w:t>：</w:t>
      </w:r>
    </w:p>
    <w:p w14:paraId="4A609F3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中标人将合同项下中标人的权利义务全部转让给第三方，或未经招标人（及其下属公司）书面同意将部分权利义务转让给第三方的，招标人（及其下属公司）有权没收其履约担保。</w:t>
      </w:r>
    </w:p>
    <w:p w14:paraId="1BCB7E8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怠于履行合同义务，经招标人（及其下属公司）通知或要求承担违约金后仍拒不改正的，招标人（及其下属公司）可依法没收其履约担保。</w:t>
      </w:r>
    </w:p>
    <w:p w14:paraId="283035C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3）在合同履行期间，因中标人服务质量问题造成损害、侵权损失</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包括但不限于</w:t>
      </w:r>
      <w:r>
        <w:rPr>
          <w:rFonts w:hint="eastAsia" w:ascii="宋体" w:hAnsi="宋体" w:eastAsia="宋体" w:cs="Times New Roman"/>
          <w:color w:val="auto"/>
          <w:kern w:val="0"/>
          <w:szCs w:val="21"/>
          <w:highlight w:val="none"/>
        </w:rPr>
        <w:t>招标人（及其下属公司）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、拖欠原材料供应商货款或与其所雇用员工发生劳资纠纷、上访、闹事或其他影响招标人（及其下属公司）生产经营等情况而其未及时妥善处理的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招标人（及其下属公司）有权使用履约担保予以支付或作出相应处理，由此产生的一切法律后果</w:t>
      </w:r>
      <w:r>
        <w:rPr>
          <w:rFonts w:hint="eastAsia" w:ascii="宋体" w:hAnsi="宋体" w:eastAsia="宋体" w:cs="Times New Roman"/>
          <w:color w:val="auto"/>
          <w:kern w:val="0"/>
          <w:szCs w:val="21"/>
          <w:highlight w:val="none"/>
          <w:lang w:val="en-US" w:eastAsia="zh-CN"/>
        </w:rPr>
        <w:t>和经济损失</w:t>
      </w:r>
      <w:r>
        <w:rPr>
          <w:rFonts w:hint="eastAsia" w:ascii="宋体" w:hAnsi="宋体" w:eastAsia="宋体" w:cs="Times New Roman"/>
          <w:color w:val="auto"/>
          <w:kern w:val="0"/>
          <w:szCs w:val="21"/>
          <w:highlight w:val="none"/>
        </w:rPr>
        <w:t>由中标人承担。</w:t>
      </w:r>
    </w:p>
    <w:p w14:paraId="45C13C8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w:t>
      </w:r>
      <w:r>
        <w:rPr>
          <w:rFonts w:hint="eastAsia" w:ascii="宋体" w:hAnsi="宋体" w:eastAsia="宋体" w:cs="Times New Roman"/>
          <w:color w:val="auto"/>
          <w:kern w:val="0"/>
          <w:szCs w:val="21"/>
          <w:highlight w:val="none"/>
        </w:rPr>
        <w:t>招标人（及其下属公司）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5479ADF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w:t>
      </w:r>
      <w:r>
        <w:rPr>
          <w:rFonts w:hint="eastAsia" w:ascii="宋体" w:hAnsi="宋体" w:eastAsia="宋体" w:cs="Times New Roman"/>
          <w:color w:val="auto"/>
          <w:kern w:val="0"/>
          <w:szCs w:val="21"/>
          <w:highlight w:val="none"/>
        </w:rPr>
        <w:t>招标人（及其下属公司）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18D6997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w:t>
      </w:r>
      <w:r>
        <w:rPr>
          <w:rFonts w:hint="eastAsia" w:ascii="宋体" w:hAnsi="宋体" w:eastAsia="宋体" w:cs="Times New Roman"/>
          <w:color w:val="auto"/>
          <w:kern w:val="0"/>
          <w:szCs w:val="21"/>
          <w:highlight w:val="none"/>
        </w:rPr>
        <w:t>招标人（及其下属公司）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61FBC7B6">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37.3  履约担保应符合如下规定：</w:t>
      </w:r>
    </w:p>
    <w:p w14:paraId="62465C8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w:t>
      </w:r>
      <w:r>
        <w:rPr>
          <w:rFonts w:hint="eastAsia" w:ascii="宋体" w:hAnsi="宋体" w:eastAsia="宋体" w:cs="Times New Roman"/>
          <w:color w:val="auto"/>
          <w:kern w:val="0"/>
          <w:szCs w:val="21"/>
          <w:highlight w:val="none"/>
        </w:rPr>
        <w:t>招标人（及其下属公司）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61E5C66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w:t>
      </w:r>
      <w:r>
        <w:rPr>
          <w:rFonts w:hint="eastAsia" w:ascii="宋体" w:hAnsi="宋体" w:eastAsia="宋体" w:cs="Times New Roman"/>
          <w:color w:val="auto"/>
          <w:kern w:val="0"/>
          <w:szCs w:val="21"/>
          <w:highlight w:val="none"/>
        </w:rPr>
        <w:t>招标人（及其下属公司）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2F516D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及其下属公司）同意，执行本款时所发生的费用由中标人承担。如招标人（及其下属公司）合同条款接受担保公司预付款担保函的，对担保机构要求参照本条执行</w:t>
      </w:r>
      <w:r>
        <w:rPr>
          <w:rFonts w:ascii="宋体" w:hAnsi="宋体" w:eastAsia="宋体" w:cs="Times New Roman"/>
          <w:color w:val="auto"/>
          <w:kern w:val="0"/>
          <w:szCs w:val="21"/>
          <w:highlight w:val="none"/>
        </w:rPr>
        <w:t>。</w:t>
      </w:r>
    </w:p>
    <w:p w14:paraId="4FA484E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符合招标人（及其下属公司）要求的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招标人（及其下属公司）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未按招标人（及其下属公司）要求重新提供的，招标人（及其下属公司）有权要求中标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2931E95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招标人（及其下属公司）有权按需补足的金额要求中标人承担违约金，并要求限期补足。如中标人仍不补足的，招标人（及其下属公司）有权单方解除合同，违约金可直接从未付合同款或履约担保中扣除。</w:t>
      </w:r>
    </w:p>
    <w:p w14:paraId="639052D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w:t>
      </w:r>
      <w:r>
        <w:rPr>
          <w:rFonts w:hint="eastAsia" w:ascii="宋体" w:hAnsi="宋体" w:eastAsia="宋体" w:cs="宋体"/>
          <w:color w:val="auto"/>
          <w:kern w:val="0"/>
          <w:szCs w:val="21"/>
          <w:highlight w:val="none"/>
          <w:lang w:eastAsia="zh-CN"/>
        </w:rPr>
        <w:t>应</w:t>
      </w:r>
      <w:r>
        <w:rPr>
          <w:rFonts w:hint="eastAsia" w:ascii="宋体" w:hAnsi="宋体" w:eastAsia="宋体" w:cs="宋体"/>
          <w:color w:val="auto"/>
          <w:kern w:val="0"/>
          <w:szCs w:val="21"/>
          <w:highlight w:val="none"/>
          <w:lang w:val="en-US" w:eastAsia="zh-CN"/>
        </w:rPr>
        <w:t>自</w:t>
      </w:r>
      <w:r>
        <w:rPr>
          <w:rFonts w:hint="eastAsia" w:ascii="宋体" w:hAnsi="宋体" w:eastAsia="宋体" w:cs="宋体"/>
          <w:color w:val="auto"/>
          <w:kern w:val="0"/>
          <w:szCs w:val="21"/>
          <w:highlight w:val="none"/>
          <w:lang w:eastAsia="zh-CN"/>
        </w:rPr>
        <w:t>合同签订之日起至合同期限届满并完成合同及补充协议项下全部服务义务，受益人向申请人支付全部款项后二十八（28）日内保持有效</w:t>
      </w:r>
      <w:r>
        <w:rPr>
          <w:rFonts w:hint="eastAsia" w:ascii="宋体" w:hAnsi="宋体" w:eastAsia="宋体" w:cs="宋体"/>
          <w:color w:val="auto"/>
          <w:kern w:val="0"/>
          <w:szCs w:val="21"/>
          <w:highlight w:val="none"/>
        </w:rPr>
        <w:t>。</w:t>
      </w:r>
    </w:p>
    <w:p w14:paraId="693A0C72">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37.4  履约保证金应用本合同货币。</w:t>
      </w:r>
    </w:p>
    <w:p w14:paraId="51C1A45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w:t>
      </w:r>
      <w:r>
        <w:rPr>
          <w:rFonts w:ascii="宋体" w:hAnsi="宋体" w:eastAsia="宋体" w:cs="Times New Roman"/>
          <w:color w:val="auto"/>
          <w:kern w:val="0"/>
          <w:szCs w:val="21"/>
          <w:highlight w:val="none"/>
        </w:rPr>
        <w:t>也可以按招标文件约定的额度和时间，向</w:t>
      </w:r>
      <w:r>
        <w:rPr>
          <w:rFonts w:hint="eastAsia" w:ascii="宋体" w:hAnsi="宋体" w:eastAsia="宋体" w:cs="Times New Roman"/>
          <w:color w:val="auto"/>
          <w:kern w:val="0"/>
          <w:szCs w:val="21"/>
          <w:highlight w:val="none"/>
        </w:rPr>
        <w:t>招标人（及其下属公司）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w:t>
      </w:r>
      <w:r>
        <w:rPr>
          <w:rFonts w:hint="eastAsia" w:ascii="宋体" w:hAnsi="宋体" w:eastAsia="宋体" w:cs="Times New Roman"/>
          <w:color w:val="auto"/>
          <w:kern w:val="0"/>
          <w:szCs w:val="21"/>
          <w:highlight w:val="none"/>
        </w:rPr>
        <w:t>招标人</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1FAC318F">
      <w:pPr>
        <w:tabs>
          <w:tab w:val="left" w:pos="360"/>
          <w:tab w:val="left" w:pos="4725"/>
        </w:tabs>
        <w:autoSpaceDE w:val="0"/>
        <w:autoSpaceDN w:val="0"/>
        <w:adjustRightInd w:val="0"/>
        <w:spacing w:line="360" w:lineRule="auto"/>
        <w:ind w:firstLine="632" w:firstLineChars="300"/>
        <w:jc w:val="left"/>
        <w:outlineLvl w:val="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257A20D9">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rPr>
        <w:t>开户名称：</w:t>
      </w:r>
      <w:r>
        <w:rPr>
          <w:rFonts w:hint="eastAsia" w:ascii="宋体" w:hAnsi="宋体" w:eastAsia="宋体" w:cs="Times New Roman"/>
          <w:b/>
          <w:color w:val="auto"/>
          <w:kern w:val="0"/>
          <w:szCs w:val="21"/>
          <w:highlight w:val="none"/>
          <w:lang w:eastAsia="zh-CN"/>
        </w:rPr>
        <w:t>东莞市水务集团有限公司</w:t>
      </w:r>
    </w:p>
    <w:p w14:paraId="495C084C">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银行账号：2010 0213 0920 0288 889</w:t>
      </w:r>
    </w:p>
    <w:p w14:paraId="340BC68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开户银行：中国工商银行东莞分行</w:t>
      </w:r>
    </w:p>
    <w:p w14:paraId="196B23DC">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32335B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37.7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Times New Roman"/>
          <w:color w:val="auto"/>
          <w:kern w:val="0"/>
          <w:szCs w:val="21"/>
          <w:highlight w:val="none"/>
          <w:lang w:val="en-US" w:eastAsia="zh-CN"/>
        </w:rPr>
        <w:t>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14:paraId="311DC63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1E1AD307">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9" w:name="_Toc10548"/>
      <w:bookmarkStart w:id="350" w:name="_Toc486167702"/>
      <w:bookmarkStart w:id="351" w:name="_Toc3311"/>
      <w:bookmarkStart w:id="352" w:name="_Toc142508353"/>
      <w:bookmarkStart w:id="353" w:name="_Toc27162"/>
      <w:bookmarkStart w:id="354" w:name="_Toc195714259"/>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347"/>
      <w:bookmarkEnd w:id="348"/>
      <w:bookmarkEnd w:id="349"/>
      <w:bookmarkEnd w:id="350"/>
      <w:bookmarkEnd w:id="351"/>
      <w:bookmarkEnd w:id="352"/>
      <w:bookmarkEnd w:id="353"/>
      <w:bookmarkEnd w:id="354"/>
    </w:p>
    <w:p w14:paraId="7EB6AF3D">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129F9A0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5" w:name="_Toc450662888"/>
    </w:p>
    <w:p w14:paraId="19FFC75F">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56" w:name="_Toc2401"/>
      <w:bookmarkStart w:id="357" w:name="_Toc486167703"/>
      <w:bookmarkStart w:id="358" w:name="_Toc195714260"/>
      <w:bookmarkStart w:id="359" w:name="_Toc14850"/>
      <w:bookmarkStart w:id="360" w:name="_Toc28921_WPSOffice_Level3"/>
      <w:bookmarkStart w:id="361" w:name="_Toc23218"/>
      <w:bookmarkStart w:id="362" w:name="_Toc142508354"/>
      <w:r>
        <w:rPr>
          <w:rFonts w:hint="eastAsia" w:ascii="宋体" w:hAnsi="宋体" w:eastAsia="宋体" w:cs="宋体"/>
          <w:color w:val="auto"/>
          <w:szCs w:val="21"/>
          <w:highlight w:val="none"/>
        </w:rPr>
        <w:t>39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55"/>
      <w:bookmarkEnd w:id="356"/>
      <w:bookmarkEnd w:id="357"/>
      <w:bookmarkEnd w:id="358"/>
      <w:bookmarkEnd w:id="359"/>
      <w:bookmarkEnd w:id="360"/>
      <w:bookmarkEnd w:id="361"/>
      <w:bookmarkEnd w:id="362"/>
    </w:p>
    <w:p w14:paraId="27F2CDC2">
      <w:pPr>
        <w:autoSpaceDE w:val="0"/>
        <w:autoSpaceDN w:val="0"/>
        <w:adjustRightInd w:val="0"/>
        <w:spacing w:line="360" w:lineRule="auto"/>
        <w:ind w:left="357" w:leftChars="-100" w:hanging="567" w:hangingChars="270"/>
        <w:jc w:val="left"/>
        <w:outlineLvl w:val="1"/>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本项目中标服务费由招标人向招标代理机构支付</w:t>
      </w:r>
      <w:r>
        <w:rPr>
          <w:rFonts w:hint="eastAsia" w:ascii="宋体" w:hAnsi="宋体" w:eastAsia="宋体" w:cs="宋体"/>
          <w:color w:val="auto"/>
          <w:szCs w:val="21"/>
          <w:highlight w:val="none"/>
        </w:rPr>
        <w:t>。</w:t>
      </w:r>
    </w:p>
    <w:p w14:paraId="754DE29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63" w:name="_Toc450662889"/>
    </w:p>
    <w:p w14:paraId="2A584937">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64" w:name="_Toc486167704"/>
      <w:bookmarkStart w:id="365" w:name="_Toc195714261"/>
      <w:bookmarkStart w:id="366" w:name="_Toc6796"/>
      <w:bookmarkStart w:id="367" w:name="_Toc21985"/>
      <w:bookmarkStart w:id="368" w:name="_Toc6764_WPSOffice_Level3"/>
      <w:bookmarkStart w:id="369" w:name="_Toc142508355"/>
      <w:bookmarkStart w:id="370" w:name="_Toc31030"/>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363"/>
      <w:bookmarkEnd w:id="364"/>
      <w:bookmarkEnd w:id="365"/>
      <w:bookmarkEnd w:id="366"/>
      <w:bookmarkEnd w:id="367"/>
      <w:bookmarkEnd w:id="368"/>
      <w:bookmarkEnd w:id="369"/>
      <w:bookmarkEnd w:id="370"/>
    </w:p>
    <w:p w14:paraId="06049A1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371" w:name="_Toc31106_WPSOffice_Level3"/>
      <w:bookmarkStart w:id="372" w:name="_Toc486167705"/>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公司）出具的发票类型为增值税专用发票。</w:t>
      </w:r>
    </w:p>
    <w:p w14:paraId="69B86A5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4D56DC4">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373" w:name="_Toc24547"/>
      <w:bookmarkStart w:id="374" w:name="_Toc10243"/>
      <w:bookmarkStart w:id="375" w:name="_Toc142508356"/>
      <w:bookmarkStart w:id="376" w:name="_Toc8619"/>
      <w:bookmarkStart w:id="377" w:name="_Toc195714262"/>
      <w:r>
        <w:rPr>
          <w:rFonts w:hint="eastAsia" w:ascii="宋体" w:hAnsi="宋体" w:eastAsia="宋体" w:cs="宋体"/>
          <w:b/>
          <w:color w:val="auto"/>
          <w:szCs w:val="21"/>
          <w:highlight w:val="none"/>
        </w:rPr>
        <w:t>41</w:t>
      </w:r>
      <w:r>
        <w:rPr>
          <w:rFonts w:ascii="宋体" w:hAnsi="宋体" w:eastAsia="宋体" w:cs="宋体"/>
          <w:b/>
          <w:color w:val="auto"/>
          <w:szCs w:val="21"/>
          <w:highlight w:val="none"/>
        </w:rPr>
        <w:t xml:space="preserve"> 招标相关补充约定</w:t>
      </w:r>
      <w:bookmarkEnd w:id="373"/>
      <w:bookmarkEnd w:id="374"/>
      <w:bookmarkEnd w:id="375"/>
      <w:bookmarkEnd w:id="376"/>
      <w:bookmarkEnd w:id="377"/>
    </w:p>
    <w:p w14:paraId="3E7D6C28">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41</w:t>
      </w:r>
      <w:r>
        <w:rPr>
          <w:rFonts w:ascii="宋体" w:hAnsi="宋体" w:eastAsia="宋体" w:cs="Times New Roman"/>
          <w:b/>
          <w:color w:val="auto"/>
          <w:szCs w:val="21"/>
          <w:highlight w:val="none"/>
        </w:rPr>
        <w:t>.1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1797C98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508C045B">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378" w:name="_Toc142508357"/>
      <w:bookmarkStart w:id="379" w:name="_Toc26594"/>
      <w:bookmarkStart w:id="380" w:name="_Toc29758"/>
      <w:bookmarkStart w:id="381" w:name="_Toc195714263"/>
      <w:bookmarkStart w:id="382" w:name="_Toc22346"/>
      <w:r>
        <w:rPr>
          <w:rFonts w:hint="eastAsia" w:ascii="宋体" w:hAnsi="宋体" w:eastAsia="宋体" w:cs="宋体"/>
          <w:color w:val="auto"/>
          <w:szCs w:val="21"/>
          <w:highlight w:val="none"/>
        </w:rPr>
        <w:t>42 本次招标活动的最终解释权归招标代理机构及招标人所有。</w:t>
      </w:r>
      <w:bookmarkEnd w:id="371"/>
      <w:bookmarkEnd w:id="372"/>
      <w:bookmarkEnd w:id="378"/>
      <w:bookmarkEnd w:id="379"/>
      <w:bookmarkEnd w:id="380"/>
      <w:bookmarkEnd w:id="381"/>
      <w:bookmarkEnd w:id="382"/>
    </w:p>
    <w:p w14:paraId="52CDBAE4">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383" w:name="_Toc195714264"/>
      <w:bookmarkStart w:id="384" w:name="_Toc21446"/>
      <w:bookmarkStart w:id="385" w:name="_Toc27939_WPSOffice_Level1"/>
      <w:bookmarkStart w:id="386" w:name="_Toc21406"/>
      <w:bookmarkStart w:id="387" w:name="_Toc14879"/>
      <w:bookmarkStart w:id="388" w:name="_Toc486167706"/>
      <w:bookmarkStart w:id="389" w:name="_Toc450662891"/>
      <w:bookmarkStart w:id="390" w:name="_Toc14250835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83"/>
      <w:bookmarkEnd w:id="384"/>
      <w:bookmarkEnd w:id="385"/>
      <w:bookmarkEnd w:id="386"/>
      <w:bookmarkEnd w:id="387"/>
      <w:bookmarkEnd w:id="388"/>
      <w:bookmarkEnd w:id="389"/>
      <w:bookmarkEnd w:id="390"/>
    </w:p>
    <w:p w14:paraId="6EFBAF39">
      <w:pPr>
        <w:keepNext w:val="0"/>
        <w:keepLines w:val="0"/>
        <w:widowControl w:val="0"/>
        <w:numPr>
          <w:ilvl w:val="0"/>
          <w:numId w:val="2"/>
        </w:numPr>
        <w:suppressLineNumbers w:val="0"/>
        <w:autoSpaceDE w:val="0"/>
        <w:autoSpaceDN/>
        <w:spacing w:before="0" w:beforeAutospacing="0" w:after="0" w:afterAutospacing="0" w:line="360" w:lineRule="auto"/>
        <w:ind w:left="0" w:right="0" w:firstLine="422" w:firstLineChars="200"/>
        <w:jc w:val="both"/>
        <w:outlineLvl w:val="1"/>
        <w:rPr>
          <w:rFonts w:hint="eastAsia" w:ascii="宋体" w:hAnsi="宋体" w:eastAsia="宋体" w:cs="宋体"/>
          <w:b/>
          <w:bCs w:val="0"/>
          <w:color w:val="auto"/>
          <w:kern w:val="2"/>
          <w:sz w:val="21"/>
          <w:szCs w:val="21"/>
          <w:highlight w:val="none"/>
        </w:rPr>
      </w:pPr>
      <w:bookmarkStart w:id="391" w:name="_Toc18587"/>
      <w:r>
        <w:rPr>
          <w:rFonts w:hint="eastAsia" w:ascii="宋体" w:hAnsi="宋体" w:eastAsia="宋体" w:cs="宋体"/>
          <w:b/>
          <w:bCs w:val="0"/>
          <w:color w:val="auto"/>
          <w:kern w:val="2"/>
          <w:sz w:val="21"/>
          <w:szCs w:val="21"/>
          <w:highlight w:val="none"/>
          <w:lang w:val="en-US" w:eastAsia="zh-CN" w:bidi="ar"/>
        </w:rPr>
        <w:t>项目概况</w:t>
      </w:r>
      <w:bookmarkEnd w:id="391"/>
    </w:p>
    <w:p w14:paraId="54394B3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为</w:t>
      </w:r>
      <w:r>
        <w:rPr>
          <w:rFonts w:hint="eastAsia" w:ascii="宋体" w:hAnsi="宋体" w:eastAsia="宋体" w:cs="宋体"/>
          <w:i w:val="0"/>
          <w:iCs w:val="0"/>
          <w:caps w:val="0"/>
          <w:color w:val="auto"/>
          <w:spacing w:val="4"/>
          <w:kern w:val="2"/>
          <w:sz w:val="21"/>
          <w:szCs w:val="21"/>
          <w:highlight w:val="none"/>
          <w:shd w:val="clear" w:fill="FFFFFF"/>
          <w:lang w:val="en-US" w:eastAsia="zh-CN" w:bidi="ar"/>
        </w:rPr>
        <w:t>保障水务集团项目建设、运营及维修工作的顺利开展，确保选定综合实力强、业务水平高，并满足水务集团长期服务需求的造价咨询服务单位，以有利于工作的连续性和稳定性，开展水务集团造价咨询服务单位库服务单位采购工作。</w:t>
      </w:r>
    </w:p>
    <w:p w14:paraId="74531832">
      <w:pPr>
        <w:keepNext w:val="0"/>
        <w:keepLines w:val="0"/>
        <w:widowControl w:val="0"/>
        <w:numPr>
          <w:ilvl w:val="0"/>
          <w:numId w:val="2"/>
        </w:numPr>
        <w:suppressLineNumbers w:val="0"/>
        <w:spacing w:before="0" w:beforeAutospacing="0" w:after="0" w:afterAutospacing="0" w:line="360" w:lineRule="auto"/>
        <w:ind w:left="0" w:right="0" w:firstLine="422" w:firstLineChars="200"/>
        <w:jc w:val="both"/>
        <w:outlineLvl w:val="1"/>
        <w:rPr>
          <w:rFonts w:hint="eastAsia" w:ascii="宋体" w:hAnsi="宋体" w:eastAsia="宋体" w:cs="宋体"/>
          <w:b/>
          <w:bCs/>
          <w:color w:val="auto"/>
          <w:kern w:val="2"/>
          <w:sz w:val="21"/>
          <w:szCs w:val="21"/>
          <w:highlight w:val="none"/>
        </w:rPr>
      </w:pPr>
      <w:bookmarkStart w:id="392" w:name="_Toc21096"/>
      <w:r>
        <w:rPr>
          <w:rFonts w:hint="eastAsia" w:ascii="宋体" w:hAnsi="宋体" w:eastAsia="宋体" w:cs="宋体"/>
          <w:b/>
          <w:bCs w:val="0"/>
          <w:color w:val="auto"/>
          <w:kern w:val="2"/>
          <w:sz w:val="21"/>
          <w:szCs w:val="21"/>
          <w:highlight w:val="none"/>
          <w:lang w:val="en-US" w:eastAsia="zh-CN" w:bidi="ar"/>
        </w:rPr>
        <w:t>服务期限</w:t>
      </w:r>
      <w:r>
        <w:rPr>
          <w:rFonts w:hint="eastAsia" w:ascii="宋体" w:hAnsi="宋体" w:eastAsia="宋体" w:cs="宋体"/>
          <w:b/>
          <w:bCs/>
          <w:color w:val="auto"/>
          <w:kern w:val="2"/>
          <w:sz w:val="21"/>
          <w:szCs w:val="21"/>
          <w:highlight w:val="none"/>
          <w:lang w:val="en-US" w:eastAsia="zh-CN" w:bidi="ar"/>
        </w:rPr>
        <w:t>及服务内容</w:t>
      </w:r>
      <w:bookmarkEnd w:id="392"/>
    </w:p>
    <w:p w14:paraId="3C64EA6B">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b/>
          <w:bCs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 服务期限：本合同项下供应商库服务期自中标通知书签发之日起2年。</w:t>
      </w:r>
    </w:p>
    <w:p w14:paraId="14AC71D4">
      <w:pPr>
        <w:pStyle w:val="39"/>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2.2 </w:t>
      </w:r>
      <w:r>
        <w:rPr>
          <w:rFonts w:hint="eastAsia" w:ascii="宋体" w:hAnsi="宋体" w:eastAsia="宋体" w:cs="宋体"/>
          <w:color w:val="auto"/>
          <w:spacing w:val="4"/>
          <w:kern w:val="2"/>
          <w:sz w:val="21"/>
          <w:szCs w:val="21"/>
          <w:highlight w:val="none"/>
          <w:shd w:val="clear" w:fill="FFFFFF"/>
          <w:lang w:val="en-US" w:eastAsia="zh-CN" w:bidi="ar"/>
        </w:rPr>
        <w:t>本项目由东莞市水务集团有限公司作为招标人采用统招分签模式，采购 8 家造价咨询服务单位，组成集团造价咨询服务单位库，其中 6 家日常使用单位，2 家候补单位，由甲方各直属企业根据实际工作需要，分别与库内服务单位签订合同</w:t>
      </w:r>
      <w:r>
        <w:rPr>
          <w:rFonts w:hint="eastAsia" w:ascii="宋体" w:hAnsi="宋体" w:eastAsia="宋体" w:cs="宋体"/>
          <w:color w:val="auto"/>
          <w:kern w:val="2"/>
          <w:sz w:val="21"/>
          <w:szCs w:val="21"/>
          <w:highlight w:val="none"/>
          <w:lang w:val="en-US" w:eastAsia="zh-CN" w:bidi="ar"/>
        </w:rPr>
        <w:t>，具体如下：</w:t>
      </w:r>
    </w:p>
    <w:p w14:paraId="61D590B8">
      <w:pPr>
        <w:keepNext w:val="0"/>
        <w:keepLines w:val="0"/>
        <w:widowControl/>
        <w:suppressLineNumbers w:val="0"/>
        <w:topLinePunct/>
        <w:autoSpaceDE w:val="0"/>
        <w:autoSpaceDN/>
        <w:adjustRightInd w:val="0"/>
        <w:snapToGrid w:val="0"/>
        <w:spacing w:before="0" w:beforeAutospacing="0" w:after="0" w:afterAutospacing="0" w:line="360" w:lineRule="auto"/>
        <w:ind w:left="0" w:right="417" w:firstLine="559"/>
        <w:jc w:val="left"/>
        <w:textAlignment w:val="baseline"/>
        <w:rPr>
          <w:rFonts w:hint="eastAsia" w:ascii="宋体" w:hAnsi="宋体" w:eastAsia="宋体" w:cs="宋体"/>
          <w:color w:val="auto"/>
          <w:spacing w:val="0"/>
          <w:kern w:val="0"/>
          <w:sz w:val="21"/>
          <w:szCs w:val="21"/>
          <w:highlight w:val="none"/>
          <w:vertAlign w:val="baseline"/>
        </w:rPr>
      </w:pPr>
      <w:r>
        <w:rPr>
          <w:rFonts w:hint="eastAsia" w:ascii="宋体" w:hAnsi="宋体" w:eastAsia="宋体" w:cs="宋体"/>
          <w:color w:val="auto"/>
          <w:spacing w:val="0"/>
          <w:kern w:val="0"/>
          <w:sz w:val="21"/>
          <w:szCs w:val="21"/>
          <w:highlight w:val="none"/>
          <w:vertAlign w:val="baseline"/>
          <w:lang w:val="en-US" w:eastAsia="zh-CN" w:bidi="ar"/>
        </w:rPr>
        <w:t>（1）根据国家、省、市有关工程造价相关法律法规，科学、客观、公正开展造价咨询服务工作；按招标人要求及其制度按时按质提供成果资料，并对其真实性、准确性、完整性、合法性、合理性负责；</w:t>
      </w:r>
    </w:p>
    <w:p w14:paraId="7FB1873A">
      <w:pPr>
        <w:keepNext w:val="0"/>
        <w:keepLines w:val="0"/>
        <w:widowControl/>
        <w:suppressLineNumbers w:val="0"/>
        <w:topLinePunct/>
        <w:autoSpaceDE w:val="0"/>
        <w:autoSpaceDN/>
        <w:adjustRightInd w:val="0"/>
        <w:snapToGrid w:val="0"/>
        <w:spacing w:before="0" w:beforeAutospacing="0" w:after="0" w:afterAutospacing="0" w:line="360" w:lineRule="auto"/>
        <w:ind w:left="0" w:right="408" w:firstLine="559"/>
        <w:jc w:val="left"/>
        <w:textAlignment w:val="baseline"/>
        <w:rPr>
          <w:rFonts w:hint="eastAsia" w:ascii="宋体" w:hAnsi="宋体" w:eastAsia="宋体" w:cs="宋体"/>
          <w:color w:val="auto"/>
          <w:spacing w:val="0"/>
          <w:kern w:val="0"/>
          <w:sz w:val="21"/>
          <w:szCs w:val="21"/>
          <w:highlight w:val="none"/>
          <w:vertAlign w:val="baseline"/>
        </w:rPr>
      </w:pPr>
      <w:r>
        <w:rPr>
          <w:rFonts w:hint="eastAsia" w:ascii="宋体" w:hAnsi="宋体" w:eastAsia="宋体" w:cs="宋体"/>
          <w:color w:val="auto"/>
          <w:spacing w:val="0"/>
          <w:kern w:val="0"/>
          <w:sz w:val="21"/>
          <w:szCs w:val="21"/>
          <w:highlight w:val="none"/>
          <w:vertAlign w:val="baseline"/>
          <w:lang w:val="en-US" w:eastAsia="zh-CN" w:bidi="ar"/>
        </w:rPr>
        <w:t>（2）根据招标人要求和提供的资料完成估算、概算编制或审核，施工图预算编制或审核，招标控制价编制，变更预算编制或审核，工程结算编制或审核，施工阶段全过程造价控制，以及非工程类的货物采购、服务类项目的预算编审、合同结算、变更的编审等造价咨询业务，并出具成果文件；</w:t>
      </w:r>
    </w:p>
    <w:p w14:paraId="42A93FCA">
      <w:pPr>
        <w:keepNext w:val="0"/>
        <w:keepLines w:val="0"/>
        <w:widowControl/>
        <w:suppressLineNumbers w:val="0"/>
        <w:topLinePunct/>
        <w:autoSpaceDE w:val="0"/>
        <w:autoSpaceDN/>
        <w:adjustRightInd w:val="0"/>
        <w:snapToGrid w:val="0"/>
        <w:spacing w:before="0" w:beforeAutospacing="0" w:after="0" w:afterAutospacing="0" w:line="360" w:lineRule="auto"/>
        <w:ind w:left="559" w:right="0"/>
        <w:jc w:val="left"/>
        <w:textAlignment w:val="baseline"/>
        <w:outlineLvl w:val="2"/>
        <w:rPr>
          <w:rFonts w:hint="eastAsia" w:ascii="宋体" w:hAnsi="宋体" w:eastAsia="宋体" w:cs="宋体"/>
          <w:color w:val="auto"/>
          <w:spacing w:val="0"/>
          <w:kern w:val="0"/>
          <w:sz w:val="21"/>
          <w:szCs w:val="21"/>
          <w:highlight w:val="none"/>
          <w:vertAlign w:val="baseline"/>
        </w:rPr>
      </w:pPr>
      <w:bookmarkStart w:id="393" w:name="_Toc18090"/>
      <w:r>
        <w:rPr>
          <w:rFonts w:hint="eastAsia" w:ascii="宋体" w:hAnsi="宋体" w:eastAsia="宋体" w:cs="宋体"/>
          <w:color w:val="auto"/>
          <w:spacing w:val="0"/>
          <w:kern w:val="0"/>
          <w:sz w:val="21"/>
          <w:szCs w:val="21"/>
          <w:highlight w:val="none"/>
          <w:vertAlign w:val="baseline"/>
          <w:lang w:val="en-US" w:eastAsia="zh-CN" w:bidi="ar"/>
        </w:rPr>
        <w:t>（3）对工作内容保密，</w:t>
      </w:r>
      <w:r>
        <w:rPr>
          <w:rFonts w:hint="eastAsia" w:ascii="宋体" w:hAnsi="宋体" w:eastAsia="宋体" w:cs="宋体"/>
          <w:color w:val="auto"/>
          <w:kern w:val="0"/>
          <w:sz w:val="21"/>
          <w:szCs w:val="21"/>
          <w:highlight w:val="none"/>
          <w:lang w:val="en-US" w:eastAsia="zh-CN" w:bidi="ar"/>
        </w:rPr>
        <w:t>中标人不得将招标人委派的工作交由他人完成</w:t>
      </w:r>
      <w:r>
        <w:rPr>
          <w:rFonts w:hint="eastAsia" w:ascii="宋体" w:hAnsi="宋体" w:eastAsia="宋体" w:cs="宋体"/>
          <w:color w:val="auto"/>
          <w:spacing w:val="0"/>
          <w:kern w:val="0"/>
          <w:sz w:val="21"/>
          <w:szCs w:val="21"/>
          <w:highlight w:val="none"/>
          <w:vertAlign w:val="baseline"/>
          <w:lang w:val="en-US" w:eastAsia="zh-CN" w:bidi="ar"/>
        </w:rPr>
        <w:t>；</w:t>
      </w:r>
      <w:bookmarkEnd w:id="393"/>
    </w:p>
    <w:p w14:paraId="497B5F0A">
      <w:pPr>
        <w:pStyle w:val="39"/>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i w:val="0"/>
          <w:iCs w:val="0"/>
          <w:caps w:val="0"/>
          <w:color w:val="auto"/>
          <w:spacing w:val="4"/>
          <w:kern w:val="2"/>
          <w:sz w:val="21"/>
          <w:szCs w:val="21"/>
          <w:highlight w:val="none"/>
          <w:shd w:val="clear" w:fill="FFFFFF"/>
        </w:rPr>
      </w:pPr>
      <w:r>
        <w:rPr>
          <w:rFonts w:hint="eastAsia" w:ascii="宋体" w:hAnsi="宋体" w:eastAsia="宋体" w:cs="宋体"/>
          <w:color w:val="auto"/>
          <w:kern w:val="2"/>
          <w:sz w:val="21"/>
          <w:szCs w:val="21"/>
          <w:highlight w:val="none"/>
          <w:lang w:val="en-US" w:eastAsia="zh-CN" w:bidi="ar"/>
        </w:rPr>
        <w:t>（4）本项目采购符合相关要求的服务单位 8 家（ 6 家日常使用单位，2 家候补单位），本次招标不接受联合体投标</w:t>
      </w:r>
      <w:r>
        <w:rPr>
          <w:rFonts w:hint="eastAsia" w:ascii="宋体" w:hAnsi="宋体" w:eastAsia="宋体" w:cs="宋体"/>
          <w:i w:val="0"/>
          <w:iCs w:val="0"/>
          <w:caps w:val="0"/>
          <w:color w:val="auto"/>
          <w:spacing w:val="4"/>
          <w:kern w:val="2"/>
          <w:sz w:val="21"/>
          <w:szCs w:val="21"/>
          <w:highlight w:val="none"/>
          <w:shd w:val="clear" w:fill="FFFFFF"/>
          <w:lang w:val="en-US" w:eastAsia="zh-CN" w:bidi="ar"/>
        </w:rPr>
        <w:t>；</w:t>
      </w:r>
    </w:p>
    <w:p w14:paraId="29B2C833">
      <w:pPr>
        <w:pStyle w:val="39"/>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（5）本项目仅作为中标人在协议服务期限内取得招标人分配具体单项项目的资格，并不代表中标人必然取得具体单项项目服务的权利。</w:t>
      </w:r>
    </w:p>
    <w:p w14:paraId="43CF39CA">
      <w:pPr>
        <w:pStyle w:val="39"/>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（6）单项服务合同签订后，作为本合同的附件，与本合同具有同等法律效力。项目单项服务合同及本合同应被认为是互为补充和解释的，本合同内容与单项服务合同内容相冲突的，以单项服务合同为准。</w:t>
      </w:r>
    </w:p>
    <w:p w14:paraId="1E1DA756">
      <w:pPr>
        <w:pStyle w:val="39"/>
        <w:keepNext w:val="0"/>
        <w:keepLines w:val="0"/>
        <w:widowControl w:val="0"/>
        <w:suppressLineNumbers w:val="0"/>
        <w:spacing w:before="0" w:beforeAutospacing="0" w:after="0" w:afterAutospacing="0"/>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7A52E26">
      <w:pPr>
        <w:pStyle w:val="39"/>
        <w:keepNext w:val="0"/>
        <w:keepLines w:val="0"/>
        <w:widowControl w:val="0"/>
        <w:suppressLineNumbers w:val="0"/>
        <w:spacing w:before="0" w:beforeAutospacing="0" w:after="0" w:afterAutospacing="0" w:line="360" w:lineRule="auto"/>
        <w:ind w:left="426"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2.3 中标人应本着诚实信用的原则，高效率的提供本用户需求书规定的各项服务。</w:t>
      </w:r>
    </w:p>
    <w:p w14:paraId="6B29FCEB">
      <w:pPr>
        <w:keepNext w:val="0"/>
        <w:keepLines w:val="0"/>
        <w:widowControl w:val="0"/>
        <w:numPr>
          <w:ilvl w:val="0"/>
          <w:numId w:val="2"/>
        </w:numPr>
        <w:suppressLineNumbers w:val="0"/>
        <w:spacing w:before="0" w:beforeAutospacing="0" w:after="0" w:afterAutospacing="0" w:line="360" w:lineRule="auto"/>
        <w:ind w:left="0" w:right="0" w:firstLine="422" w:firstLineChars="200"/>
        <w:jc w:val="both"/>
        <w:outlineLvl w:val="1"/>
        <w:rPr>
          <w:rFonts w:hint="eastAsia" w:ascii="宋体" w:hAnsi="宋体" w:eastAsia="宋体" w:cs="宋体"/>
          <w:b/>
          <w:bCs/>
          <w:color w:val="auto"/>
          <w:kern w:val="2"/>
          <w:sz w:val="21"/>
          <w:szCs w:val="21"/>
          <w:highlight w:val="none"/>
        </w:rPr>
      </w:pPr>
      <w:bookmarkStart w:id="394" w:name="_Toc4374"/>
      <w:r>
        <w:rPr>
          <w:rFonts w:hint="eastAsia" w:ascii="宋体" w:hAnsi="宋体" w:eastAsia="宋体" w:cs="宋体"/>
          <w:b/>
          <w:bCs/>
          <w:color w:val="auto"/>
          <w:kern w:val="2"/>
          <w:sz w:val="21"/>
          <w:szCs w:val="21"/>
          <w:highlight w:val="none"/>
          <w:lang w:val="en-US" w:eastAsia="zh-CN" w:bidi="ar"/>
        </w:rPr>
        <w:t>服务费的计算及支付方式</w:t>
      </w:r>
      <w:bookmarkEnd w:id="394"/>
    </w:p>
    <w:p w14:paraId="03CE1E59">
      <w:pPr>
        <w:pStyle w:val="54"/>
        <w:autoSpaceDE/>
        <w:autoSpaceDN/>
        <w:ind w:firstLine="420" w:firstLineChars="200"/>
        <w:rPr>
          <w:rFonts w:hint="default" w:hAnsi="宋体" w:cs="宋体"/>
          <w:bCs w:val="0"/>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3.1 单项造价咨询服务费参照《广东省物价局关于调整我省建设工程造价咨询服务收费的复函（粤价函〔2011〕742号）》计费标准再乘以服务折扣系数0.8计算，详细计费方式见下表</w:t>
      </w:r>
      <w:r>
        <w:rPr>
          <w:rFonts w:hint="eastAsia" w:hAnsi="宋体" w:cs="宋体"/>
          <w:bCs w:val="0"/>
          <w:color w:val="auto"/>
          <w:kern w:val="2"/>
          <w:sz w:val="21"/>
          <w:szCs w:val="21"/>
          <w:highlight w:val="none"/>
          <w:lang w:val="en-US" w:eastAsia="zh-CN" w:bidi="ar"/>
        </w:rPr>
        <w:t>。</w:t>
      </w:r>
    </w:p>
    <w:tbl>
      <w:tblPr>
        <w:tblStyle w:val="4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89"/>
        <w:gridCol w:w="8279"/>
      </w:tblGrid>
      <w:tr w14:paraId="0B46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pct"/>
            <w:tcBorders>
              <w:top w:val="single" w:color="auto" w:sz="4" w:space="0"/>
              <w:left w:val="single" w:color="auto" w:sz="4" w:space="0"/>
              <w:bottom w:val="single" w:color="auto" w:sz="4" w:space="0"/>
              <w:right w:val="single" w:color="auto" w:sz="4" w:space="0"/>
            </w:tcBorders>
            <w:shd w:val="clear" w:color="auto" w:fill="auto"/>
            <w:vAlign w:val="center"/>
          </w:tcPr>
          <w:p w14:paraId="6344D265">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项目类型</w:t>
            </w:r>
          </w:p>
        </w:tc>
        <w:tc>
          <w:tcPr>
            <w:tcW w:w="3992" w:type="pct"/>
            <w:tcBorders>
              <w:top w:val="single" w:color="auto" w:sz="4" w:space="0"/>
              <w:left w:val="single" w:color="auto" w:sz="4" w:space="0"/>
              <w:bottom w:val="single" w:color="auto" w:sz="4" w:space="0"/>
              <w:right w:val="single" w:color="auto" w:sz="4" w:space="0"/>
            </w:tcBorders>
            <w:shd w:val="clear" w:color="auto" w:fill="auto"/>
            <w:vAlign w:val="center"/>
          </w:tcPr>
          <w:p w14:paraId="6D897673">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计费方式</w:t>
            </w:r>
          </w:p>
        </w:tc>
      </w:tr>
      <w:tr w14:paraId="7232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07" w:type="pct"/>
            <w:tcBorders>
              <w:top w:val="single" w:color="auto" w:sz="4" w:space="0"/>
              <w:left w:val="single" w:color="auto" w:sz="4" w:space="0"/>
              <w:bottom w:val="single" w:color="auto" w:sz="4" w:space="0"/>
              <w:right w:val="single" w:color="auto" w:sz="4" w:space="0"/>
            </w:tcBorders>
            <w:shd w:val="clear" w:color="auto" w:fill="auto"/>
            <w:vAlign w:val="center"/>
          </w:tcPr>
          <w:p w14:paraId="5D469AF2">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投资估算、设计概算</w:t>
            </w:r>
          </w:p>
        </w:tc>
        <w:tc>
          <w:tcPr>
            <w:tcW w:w="3992" w:type="pct"/>
            <w:tcBorders>
              <w:top w:val="single" w:color="auto" w:sz="4" w:space="0"/>
              <w:left w:val="single" w:color="auto" w:sz="4" w:space="0"/>
              <w:bottom w:val="single" w:color="auto" w:sz="4" w:space="0"/>
              <w:right w:val="single" w:color="auto" w:sz="4" w:space="0"/>
            </w:tcBorders>
            <w:shd w:val="clear" w:color="auto" w:fill="auto"/>
            <w:vAlign w:val="center"/>
          </w:tcPr>
          <w:p w14:paraId="571E5082">
            <w:pPr>
              <w:pStyle w:val="39"/>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按《广东省建设工程造价咨询服务收费标准》（粤价函〔2011〕742号）。</w:t>
            </w:r>
          </w:p>
        </w:tc>
      </w:tr>
      <w:tr w14:paraId="3532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pct"/>
            <w:tcBorders>
              <w:top w:val="single" w:color="auto" w:sz="4" w:space="0"/>
              <w:left w:val="single" w:color="auto" w:sz="4" w:space="0"/>
              <w:bottom w:val="single" w:color="auto" w:sz="4" w:space="0"/>
              <w:right w:val="single" w:color="auto" w:sz="4" w:space="0"/>
            </w:tcBorders>
            <w:shd w:val="clear" w:color="auto" w:fill="auto"/>
            <w:vAlign w:val="center"/>
          </w:tcPr>
          <w:p w14:paraId="2C996721">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工程招标控制价</w:t>
            </w:r>
          </w:p>
        </w:tc>
        <w:tc>
          <w:tcPr>
            <w:tcW w:w="3992" w:type="pct"/>
            <w:tcBorders>
              <w:top w:val="single" w:color="auto" w:sz="4" w:space="0"/>
              <w:left w:val="single" w:color="auto" w:sz="4" w:space="0"/>
              <w:bottom w:val="single" w:color="auto" w:sz="4" w:space="0"/>
              <w:right w:val="single" w:color="auto" w:sz="4" w:space="0"/>
            </w:tcBorders>
            <w:shd w:val="clear" w:color="auto" w:fill="auto"/>
            <w:vAlign w:val="center"/>
          </w:tcPr>
          <w:p w14:paraId="4E6CAEB5">
            <w:pPr>
              <w:pStyle w:val="39"/>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以工程招标控制价为基数，按《广东省建设工程造价咨询服务收费标准》（粤价函〔2011〕742号）中“单独编制或审核工程量清单”和“单独编制或审核预算造价”两部分标准。</w:t>
            </w:r>
          </w:p>
        </w:tc>
      </w:tr>
      <w:tr w14:paraId="7D09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07" w:type="pct"/>
            <w:tcBorders>
              <w:top w:val="single" w:color="auto" w:sz="4" w:space="0"/>
              <w:left w:val="single" w:color="auto" w:sz="4" w:space="0"/>
              <w:bottom w:val="single" w:color="auto" w:sz="4" w:space="0"/>
              <w:right w:val="single" w:color="auto" w:sz="4" w:space="0"/>
            </w:tcBorders>
            <w:shd w:val="clear" w:color="auto" w:fill="auto"/>
            <w:vAlign w:val="center"/>
          </w:tcPr>
          <w:p w14:paraId="5D45F017">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施工图预算</w:t>
            </w:r>
          </w:p>
        </w:tc>
        <w:tc>
          <w:tcPr>
            <w:tcW w:w="3992" w:type="pct"/>
            <w:tcBorders>
              <w:top w:val="single" w:color="auto" w:sz="4" w:space="0"/>
              <w:left w:val="single" w:color="auto" w:sz="4" w:space="0"/>
              <w:bottom w:val="single" w:color="auto" w:sz="4" w:space="0"/>
              <w:right w:val="single" w:color="auto" w:sz="4" w:space="0"/>
            </w:tcBorders>
            <w:shd w:val="clear" w:color="auto" w:fill="auto"/>
            <w:vAlign w:val="center"/>
          </w:tcPr>
          <w:p w14:paraId="7D561A6C">
            <w:pPr>
              <w:pStyle w:val="39"/>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以施工图预算价为基数，按《广东省建设工程造价咨询服务收费标准》（粤价函〔2011〕742号）中“单独编制或审核工程量清单”和“单独编制或审核预算造价”两部分标准。</w:t>
            </w:r>
          </w:p>
        </w:tc>
      </w:tr>
      <w:tr w14:paraId="7A38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14" w:hRule="atLeast"/>
          <w:jc w:val="center"/>
        </w:trPr>
        <w:tc>
          <w:tcPr>
            <w:tcW w:w="1007" w:type="pct"/>
            <w:tcBorders>
              <w:top w:val="single" w:color="auto" w:sz="4" w:space="0"/>
              <w:left w:val="single" w:color="auto" w:sz="4" w:space="0"/>
              <w:bottom w:val="single" w:color="auto" w:sz="4" w:space="0"/>
              <w:right w:val="single" w:color="auto" w:sz="4" w:space="0"/>
            </w:tcBorders>
            <w:shd w:val="clear" w:color="auto" w:fill="auto"/>
            <w:vAlign w:val="center"/>
          </w:tcPr>
          <w:p w14:paraId="08DCF952">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货物招标控制价、服务招标控制价</w:t>
            </w:r>
          </w:p>
        </w:tc>
        <w:tc>
          <w:tcPr>
            <w:tcW w:w="3992" w:type="pct"/>
            <w:tcBorders>
              <w:top w:val="single" w:color="auto" w:sz="4" w:space="0"/>
              <w:left w:val="single" w:color="auto" w:sz="4" w:space="0"/>
              <w:bottom w:val="single" w:color="auto" w:sz="4" w:space="0"/>
              <w:right w:val="single" w:color="auto" w:sz="4" w:space="0"/>
            </w:tcBorders>
            <w:shd w:val="clear" w:color="auto" w:fill="auto"/>
            <w:vAlign w:val="center"/>
          </w:tcPr>
          <w:p w14:paraId="7AF3E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一、非工程类货物采购、服务类项目的预算编审以单个委托单的清单条数为基准，按200元/条计算，造价咨询费等于清单条数×200元/条，每单不足2000元按2000元，再乘以服务折扣系数；同时，单个委托单最高收费不超过按《广东省建设工程造价咨询服务收费标准》(粤价函(2011)742号)中“单独编制或审核预算造价”相应的收费标准计出的费用。如遇特殊情况双方另行协商确定。</w:t>
            </w:r>
          </w:p>
          <w:p w14:paraId="65994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二、设备购置费用占工程总造价超过40%的项目造价咨询费计费规则：（1）估算及概算审核造价咨询费用：以设备购置费的40%、建筑安装工程费及二、三类费用之和为计费基数，</w:t>
            </w:r>
            <w:r>
              <w:rPr>
                <w:rFonts w:hint="eastAsia" w:ascii="宋体" w:hAnsi="宋体" w:eastAsia="宋体" w:cs="宋体"/>
                <w:color w:val="auto"/>
                <w:kern w:val="2"/>
                <w:sz w:val="21"/>
                <w:szCs w:val="21"/>
                <w:highlight w:val="none"/>
                <w:lang w:val="en-US" w:eastAsia="zh-CN" w:bidi="ar"/>
              </w:rPr>
              <w:t>按《广东省建设工程造价咨询服务收费标准》(粤价函(2011)742号)中“可研估算的编制或审核”及“工程概算的编制或审核”对应标准</w:t>
            </w:r>
            <w:r>
              <w:rPr>
                <w:rFonts w:hint="eastAsia" w:eastAsia="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2）预算编制造价咨询费：以设备购置费的40%与建筑安装工程费之和为计费基数，按《广东省建设工程造价咨询服务收费标准》(粤价函(2011)742号)中“单独编制或审核工程量清单”和“单独编制或审核预算造价”两部分标准。</w:t>
            </w:r>
          </w:p>
        </w:tc>
      </w:tr>
      <w:tr w14:paraId="5E5F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07" w:type="pct"/>
            <w:tcBorders>
              <w:top w:val="single" w:color="auto" w:sz="4" w:space="0"/>
              <w:left w:val="single" w:color="auto" w:sz="4" w:space="0"/>
              <w:bottom w:val="single" w:color="auto" w:sz="4" w:space="0"/>
              <w:right w:val="single" w:color="auto" w:sz="4" w:space="0"/>
            </w:tcBorders>
            <w:shd w:val="clear" w:color="auto" w:fill="auto"/>
            <w:vAlign w:val="center"/>
          </w:tcPr>
          <w:p w14:paraId="62589A28">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工程变更预算</w:t>
            </w:r>
          </w:p>
        </w:tc>
        <w:tc>
          <w:tcPr>
            <w:tcW w:w="3992" w:type="pct"/>
            <w:tcBorders>
              <w:top w:val="single" w:color="auto" w:sz="4" w:space="0"/>
              <w:left w:val="single" w:color="auto" w:sz="4" w:space="0"/>
              <w:bottom w:val="single" w:color="auto" w:sz="4" w:space="0"/>
              <w:right w:val="single" w:color="auto" w:sz="4" w:space="0"/>
            </w:tcBorders>
            <w:shd w:val="clear" w:color="auto" w:fill="auto"/>
            <w:vAlign w:val="center"/>
          </w:tcPr>
          <w:p w14:paraId="777B53F1">
            <w:pPr>
              <w:pStyle w:val="39"/>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套用《广东省建设工程造价咨询服务收费标准》（粤价函〔2011〕742号）中“单独编制或审核工程量清单”和“单独编制或审核预算造价”两部分标准计算。其中（1）“单独编制或审核工程量清单”按“│变更前│+│变更后│”的审核金额作为收费基数；（2）“单独编制或审核预算造价”计算咨询费的收费基数为｜变更后｜的审核金额。</w:t>
            </w:r>
          </w:p>
        </w:tc>
      </w:tr>
      <w:tr w14:paraId="7C91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07" w:type="pct"/>
            <w:tcBorders>
              <w:top w:val="single" w:color="auto" w:sz="4" w:space="0"/>
              <w:left w:val="single" w:color="auto" w:sz="4" w:space="0"/>
              <w:bottom w:val="single" w:color="auto" w:sz="4" w:space="0"/>
              <w:right w:val="single" w:color="auto" w:sz="4" w:space="0"/>
            </w:tcBorders>
            <w:shd w:val="clear" w:color="auto" w:fill="auto"/>
            <w:vAlign w:val="center"/>
          </w:tcPr>
          <w:p w14:paraId="168829F5">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施工合同结算</w:t>
            </w:r>
          </w:p>
        </w:tc>
        <w:tc>
          <w:tcPr>
            <w:tcW w:w="3992" w:type="pct"/>
            <w:tcBorders>
              <w:top w:val="single" w:color="auto" w:sz="4" w:space="0"/>
              <w:left w:val="single" w:color="auto" w:sz="4" w:space="0"/>
              <w:bottom w:val="single" w:color="auto" w:sz="4" w:space="0"/>
              <w:right w:val="single" w:color="auto" w:sz="4" w:space="0"/>
            </w:tcBorders>
            <w:shd w:val="clear" w:color="auto" w:fill="auto"/>
            <w:vAlign w:val="center"/>
          </w:tcPr>
          <w:p w14:paraId="722CDFD6">
            <w:pPr>
              <w:pStyle w:val="39"/>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一、总价包干合同：（1）原合同价部分不参与计算；（2）工程量偏差部分以送审金额为基数，按《广东省建设工程造价咨询服务收费标准》（粤价函〔2011〕742号）中“单独编制或审核工程量清单”标准计算</w:t>
            </w:r>
            <w:r>
              <w:rPr>
                <w:rFonts w:hint="eastAsia" w:eastAsia="宋体" w:cs="宋体"/>
                <w:color w:val="auto"/>
                <w:kern w:val="2"/>
                <w:sz w:val="21"/>
                <w:szCs w:val="21"/>
                <w:highlight w:val="none"/>
                <w:lang w:val="en-US" w:eastAsia="zh-CN" w:bidi="ar"/>
              </w:rPr>
              <w:t>，再乘以服务折扣系数</w:t>
            </w:r>
            <w:r>
              <w:rPr>
                <w:rFonts w:hint="eastAsia" w:ascii="宋体" w:hAnsi="宋体" w:eastAsia="宋体" w:cs="宋体"/>
                <w:color w:val="auto"/>
                <w:kern w:val="2"/>
                <w:sz w:val="21"/>
                <w:szCs w:val="21"/>
                <w:highlight w:val="none"/>
                <w:lang w:val="en-US" w:eastAsia="zh-CN" w:bidi="ar"/>
              </w:rPr>
              <w:t>，无需通过计算即可判断是否属于工程量偏差的情况按2000元</w:t>
            </w:r>
            <w:r>
              <w:rPr>
                <w:rFonts w:hint="eastAsia" w:eastAsia="宋体" w:cs="宋体"/>
                <w:color w:val="auto"/>
                <w:kern w:val="2"/>
                <w:sz w:val="21"/>
                <w:szCs w:val="21"/>
                <w:highlight w:val="none"/>
                <w:lang w:val="en-US" w:eastAsia="zh-CN" w:bidi="ar"/>
              </w:rPr>
              <w:t>，再乘以服务折扣系数</w:t>
            </w:r>
            <w:r>
              <w:rPr>
                <w:rFonts w:hint="eastAsia" w:ascii="宋体" w:hAnsi="宋体" w:eastAsia="宋体" w:cs="宋体"/>
                <w:color w:val="auto"/>
                <w:kern w:val="2"/>
                <w:sz w:val="21"/>
                <w:szCs w:val="21"/>
                <w:highlight w:val="none"/>
                <w:lang w:val="en-US" w:eastAsia="zh-CN" w:bidi="ar"/>
              </w:rPr>
              <w:t>；（3）合同内工程量清单虚增工程量，按核减金额的5%计</w:t>
            </w:r>
            <w:r>
              <w:rPr>
                <w:rFonts w:hint="default" w:ascii="宋体" w:hAnsi="宋体" w:eastAsia="宋体" w:cs="宋体"/>
                <w:color w:val="auto"/>
                <w:kern w:val="2"/>
                <w:sz w:val="21"/>
                <w:szCs w:val="21"/>
                <w:highlight w:val="none"/>
                <w:lang w:val="en-US" w:eastAsia="zh-CN" w:bidi="ar"/>
              </w:rPr>
              <w:t>费</w:t>
            </w:r>
            <w:r>
              <w:rPr>
                <w:rFonts w:hint="eastAsia" w:eastAsia="宋体" w:cs="宋体"/>
                <w:color w:val="auto"/>
                <w:kern w:val="2"/>
                <w:sz w:val="21"/>
                <w:szCs w:val="21"/>
                <w:highlight w:val="none"/>
                <w:lang w:val="en-US" w:eastAsia="zh-CN" w:bidi="ar"/>
              </w:rPr>
              <w:t>，再乘以服务折扣系数</w:t>
            </w:r>
            <w:r>
              <w:rPr>
                <w:rFonts w:hint="eastAsia" w:ascii="宋体" w:hAnsi="宋体" w:eastAsia="宋体" w:cs="宋体"/>
                <w:color w:val="auto"/>
                <w:kern w:val="2"/>
                <w:sz w:val="21"/>
                <w:szCs w:val="21"/>
                <w:highlight w:val="none"/>
                <w:lang w:val="en-US" w:eastAsia="zh-CN" w:bidi="ar"/>
              </w:rPr>
              <w:t>；（4）工程变更部分执行本表“工程变更预算”规则；（5）合同约定按实结算部分，原合同暂定费用不参与计算；（6）材差部分、赶工措施费部分及相关违约费用均不计费。</w:t>
            </w:r>
          </w:p>
          <w:p w14:paraId="6A1DBF8C">
            <w:pPr>
              <w:pStyle w:val="39"/>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二、非总价包干合同：按《广东省建设工程造价咨询服务收费标准》（粤价函〔2011〕742号）中的“工程结算审核”标准计算。</w:t>
            </w:r>
          </w:p>
        </w:tc>
      </w:tr>
      <w:tr w14:paraId="51F6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07" w:type="pct"/>
            <w:tcBorders>
              <w:top w:val="single" w:color="auto" w:sz="4" w:space="0"/>
              <w:left w:val="single" w:color="auto" w:sz="4" w:space="0"/>
              <w:bottom w:val="single" w:color="auto" w:sz="4" w:space="0"/>
              <w:right w:val="single" w:color="auto" w:sz="4" w:space="0"/>
            </w:tcBorders>
            <w:shd w:val="clear" w:color="auto" w:fill="auto"/>
            <w:vAlign w:val="center"/>
          </w:tcPr>
          <w:p w14:paraId="06FBC768">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货物合同结算、服务合同结算</w:t>
            </w:r>
          </w:p>
        </w:tc>
        <w:tc>
          <w:tcPr>
            <w:tcW w:w="3992" w:type="pct"/>
            <w:tcBorders>
              <w:top w:val="single" w:color="auto" w:sz="4" w:space="0"/>
              <w:left w:val="single" w:color="auto" w:sz="4" w:space="0"/>
              <w:bottom w:val="single" w:color="auto" w:sz="4" w:space="0"/>
              <w:right w:val="single" w:color="auto" w:sz="4" w:space="0"/>
            </w:tcBorders>
            <w:shd w:val="clear" w:color="auto" w:fill="auto"/>
            <w:vAlign w:val="center"/>
          </w:tcPr>
          <w:p w14:paraId="44296038">
            <w:pPr>
              <w:pStyle w:val="39"/>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spacing w:val="0"/>
                <w:kern w:val="0"/>
                <w:sz w:val="21"/>
                <w:szCs w:val="21"/>
                <w:highlight w:val="none"/>
                <w:lang w:val="en-US" w:eastAsia="zh-CN" w:bidi="ar"/>
              </w:rPr>
              <w:t>货物合同结算、服务合同结算，以单个项目计算，每单2000元，再乘以服务折扣系数。</w:t>
            </w:r>
          </w:p>
        </w:tc>
      </w:tr>
    </w:tbl>
    <w:p w14:paraId="4263185A">
      <w:pPr>
        <w:pStyle w:val="39"/>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0050A6C">
      <w:pPr>
        <w:keepNext w:val="0"/>
        <w:keepLines w:val="0"/>
        <w:widowControl/>
        <w:suppressLineNumbers w:val="0"/>
        <w:topLinePunct/>
        <w:autoSpaceDE w:val="0"/>
        <w:autoSpaceDN/>
        <w:adjustRightInd w:val="0"/>
        <w:snapToGrid w:val="0"/>
        <w:spacing w:before="0" w:beforeAutospacing="0" w:after="0" w:afterAutospacing="0" w:line="360" w:lineRule="auto"/>
        <w:ind w:left="0" w:right="435" w:firstLine="429"/>
        <w:jc w:val="both"/>
        <w:textAlignment w:val="baseline"/>
        <w:outlineLvl w:val="3"/>
        <w:rPr>
          <w:rFonts w:hint="eastAsia" w:ascii="宋体" w:hAnsi="宋体" w:eastAsia="宋体" w:cs="宋体"/>
          <w:color w:val="auto"/>
          <w:spacing w:val="0"/>
          <w:kern w:val="0"/>
          <w:sz w:val="21"/>
          <w:szCs w:val="21"/>
          <w:highlight w:val="none"/>
          <w:vertAlign w:val="baseline"/>
        </w:rPr>
      </w:pPr>
      <w:bookmarkStart w:id="395" w:name="_Toc26534"/>
      <w:r>
        <w:rPr>
          <w:rFonts w:hint="eastAsia" w:ascii="宋体" w:hAnsi="宋体" w:eastAsia="宋体" w:cs="宋体"/>
          <w:color w:val="auto"/>
          <w:spacing w:val="0"/>
          <w:kern w:val="0"/>
          <w:sz w:val="21"/>
          <w:szCs w:val="21"/>
          <w:highlight w:val="none"/>
          <w:vertAlign w:val="baseline"/>
          <w:lang w:val="en-US" w:eastAsia="zh-CN" w:bidi="ar"/>
        </w:rPr>
        <w:t>3.1 其他</w:t>
      </w:r>
      <w:bookmarkEnd w:id="395"/>
    </w:p>
    <w:p w14:paraId="3A521970">
      <w:pPr>
        <w:keepNext w:val="0"/>
        <w:keepLines w:val="0"/>
        <w:widowControl/>
        <w:suppressLineNumbers w:val="0"/>
        <w:topLinePunct/>
        <w:autoSpaceDE w:val="0"/>
        <w:autoSpaceDN/>
        <w:adjustRightInd w:val="0"/>
        <w:snapToGrid w:val="0"/>
        <w:spacing w:before="0" w:beforeAutospacing="0" w:after="0" w:afterAutospacing="0" w:line="360" w:lineRule="auto"/>
        <w:ind w:left="0" w:right="435" w:firstLine="429"/>
        <w:jc w:val="both"/>
        <w:textAlignment w:val="baseline"/>
        <w:rPr>
          <w:rFonts w:hint="eastAsia" w:ascii="宋体" w:hAnsi="宋体" w:eastAsia="宋体" w:cs="宋体"/>
          <w:color w:val="auto"/>
          <w:spacing w:val="0"/>
          <w:kern w:val="0"/>
          <w:sz w:val="21"/>
          <w:szCs w:val="21"/>
          <w:highlight w:val="none"/>
          <w:vertAlign w:val="baseline"/>
        </w:rPr>
      </w:pPr>
      <w:r>
        <w:rPr>
          <w:rFonts w:hint="eastAsia" w:ascii="宋体" w:hAnsi="宋体" w:eastAsia="宋体" w:cs="宋体"/>
          <w:color w:val="auto"/>
          <w:spacing w:val="0"/>
          <w:kern w:val="0"/>
          <w:sz w:val="21"/>
          <w:szCs w:val="21"/>
          <w:highlight w:val="none"/>
          <w:vertAlign w:val="baseline"/>
          <w:lang w:val="en-US" w:eastAsia="zh-CN" w:bidi="ar"/>
        </w:rPr>
        <w:t>（1）清单不平衡报价审核按每单项（单项造价委托）2000 元，再乘以服务折扣系数0.8计取。</w:t>
      </w:r>
    </w:p>
    <w:p w14:paraId="4489C5B1">
      <w:pPr>
        <w:keepNext w:val="0"/>
        <w:keepLines w:val="0"/>
        <w:widowControl/>
        <w:suppressLineNumbers w:val="0"/>
        <w:topLinePunct/>
        <w:autoSpaceDE w:val="0"/>
        <w:autoSpaceDN/>
        <w:adjustRightInd w:val="0"/>
        <w:snapToGrid w:val="0"/>
        <w:spacing w:before="0" w:beforeAutospacing="0" w:after="0" w:afterAutospacing="0" w:line="360" w:lineRule="auto"/>
        <w:ind w:left="0" w:right="435" w:firstLine="429"/>
        <w:jc w:val="both"/>
        <w:textAlignment w:val="baseline"/>
        <w:rPr>
          <w:rFonts w:hint="eastAsia" w:ascii="宋体" w:hAnsi="宋体" w:eastAsia="宋体" w:cs="宋体"/>
          <w:color w:val="auto"/>
          <w:spacing w:val="0"/>
          <w:kern w:val="0"/>
          <w:sz w:val="21"/>
          <w:szCs w:val="21"/>
          <w:highlight w:val="none"/>
          <w:vertAlign w:val="baseline"/>
        </w:rPr>
      </w:pPr>
      <w:r>
        <w:rPr>
          <w:rFonts w:hint="eastAsia" w:ascii="宋体" w:hAnsi="宋体" w:eastAsia="宋体" w:cs="宋体"/>
          <w:color w:val="auto"/>
          <w:spacing w:val="0"/>
          <w:kern w:val="0"/>
          <w:sz w:val="21"/>
          <w:szCs w:val="21"/>
          <w:highlight w:val="none"/>
          <w:vertAlign w:val="baseline"/>
          <w:lang w:val="en-US" w:eastAsia="zh-CN" w:bidi="ar"/>
        </w:rPr>
        <w:t>（2）进度款支付审核按每单项（单项造价委托）2000 元，再乘以服务折扣系数0.8计取。</w:t>
      </w:r>
    </w:p>
    <w:p w14:paraId="39921F31">
      <w:pPr>
        <w:keepNext w:val="0"/>
        <w:keepLines w:val="0"/>
        <w:widowControl/>
        <w:suppressLineNumbers w:val="0"/>
        <w:topLinePunct/>
        <w:autoSpaceDE w:val="0"/>
        <w:autoSpaceDN/>
        <w:adjustRightInd w:val="0"/>
        <w:snapToGrid w:val="0"/>
        <w:spacing w:before="0" w:beforeAutospacing="0" w:after="0" w:afterAutospacing="0" w:line="360" w:lineRule="auto"/>
        <w:ind w:left="0" w:right="435" w:firstLine="429"/>
        <w:jc w:val="both"/>
        <w:textAlignment w:val="baseline"/>
        <w:rPr>
          <w:rFonts w:hint="eastAsia" w:ascii="宋体" w:hAnsi="宋体" w:eastAsia="宋体" w:cs="宋体"/>
          <w:color w:val="auto"/>
          <w:spacing w:val="0"/>
          <w:kern w:val="0"/>
          <w:sz w:val="21"/>
          <w:szCs w:val="21"/>
          <w:highlight w:val="none"/>
          <w:vertAlign w:val="baseline"/>
        </w:rPr>
      </w:pPr>
      <w:r>
        <w:rPr>
          <w:rFonts w:hint="eastAsia" w:ascii="宋体" w:hAnsi="宋体" w:eastAsia="宋体" w:cs="宋体"/>
          <w:color w:val="auto"/>
          <w:spacing w:val="0"/>
          <w:kern w:val="0"/>
          <w:sz w:val="21"/>
          <w:szCs w:val="21"/>
          <w:highlight w:val="none"/>
          <w:vertAlign w:val="baseline"/>
          <w:lang w:val="en-US" w:eastAsia="zh-CN" w:bidi="ar"/>
        </w:rPr>
        <w:t>（3）如项目实施过程中，若存在单位工程未按概算总表中的单位工程目录实施，则施工阶段全过程造价咨询费的收费基数需重新调整对应的概算金额后重新计算。</w:t>
      </w:r>
    </w:p>
    <w:p w14:paraId="79B91F54">
      <w:pPr>
        <w:pStyle w:val="39"/>
        <w:keepNext w:val="0"/>
        <w:keepLines w:val="0"/>
        <w:widowControl/>
        <w:suppressLineNumbers w:val="0"/>
        <w:topLinePunct/>
        <w:adjustRightInd w:val="0"/>
        <w:snapToGrid w:val="0"/>
        <w:spacing w:before="0" w:beforeAutospacing="0" w:after="0" w:afterAutospacing="0" w:line="360" w:lineRule="auto"/>
        <w:ind w:left="0" w:right="435" w:firstLine="424" w:firstLineChars="202"/>
        <w:jc w:val="both"/>
        <w:textAlignment w:val="baseline"/>
        <w:rPr>
          <w:rFonts w:hint="eastAsia" w:ascii="宋体" w:hAnsi="宋体" w:eastAsia="宋体" w:cs="宋体"/>
          <w:color w:val="auto"/>
          <w:spacing w:val="0"/>
          <w:kern w:val="2"/>
          <w:sz w:val="21"/>
          <w:szCs w:val="21"/>
          <w:highlight w:val="none"/>
          <w:vertAlign w:val="baseline"/>
          <w:lang w:val="en-US" w:eastAsia="zh-CN" w:bidi="ar"/>
        </w:rPr>
      </w:pPr>
      <w:r>
        <w:rPr>
          <w:rFonts w:hint="eastAsia" w:ascii="宋体" w:hAnsi="宋体" w:eastAsia="宋体" w:cs="宋体"/>
          <w:color w:val="auto"/>
          <w:spacing w:val="0"/>
          <w:kern w:val="2"/>
          <w:sz w:val="21"/>
          <w:szCs w:val="21"/>
          <w:highlight w:val="none"/>
          <w:vertAlign w:val="baseline"/>
          <w:lang w:val="en-US" w:eastAsia="zh-CN" w:bidi="ar"/>
        </w:rPr>
        <w:t>（4）在造价咨询服务过程中，如因建设标准、项目完整性等原因造成设计图纸修改，致使工程造价需要重新修改和确定，双方另行商议需增加的工作时限以及造价咨询服务费用。</w:t>
      </w:r>
    </w:p>
    <w:p w14:paraId="71210107">
      <w:pPr>
        <w:pStyle w:val="39"/>
        <w:keepNext w:val="0"/>
        <w:keepLines w:val="0"/>
        <w:widowControl/>
        <w:suppressLineNumbers w:val="0"/>
        <w:topLinePunct/>
        <w:adjustRightInd w:val="0"/>
        <w:snapToGrid w:val="0"/>
        <w:spacing w:before="0" w:beforeAutospacing="0" w:after="0" w:afterAutospacing="0" w:line="360" w:lineRule="auto"/>
        <w:ind w:left="0" w:right="435" w:firstLine="424" w:firstLineChars="202"/>
        <w:jc w:val="both"/>
        <w:textAlignment w:val="baseline"/>
        <w:rPr>
          <w:rFonts w:hint="eastAsia" w:ascii="宋体" w:hAnsi="宋体" w:eastAsia="宋体" w:cs="宋体"/>
          <w:color w:val="auto"/>
          <w:spacing w:val="0"/>
          <w:kern w:val="2"/>
          <w:sz w:val="21"/>
          <w:szCs w:val="21"/>
          <w:highlight w:val="none"/>
          <w:vertAlign w:val="baseline"/>
          <w:lang w:val="en-US" w:eastAsia="zh-CN" w:bidi="ar"/>
        </w:rPr>
      </w:pPr>
      <w:r>
        <w:rPr>
          <w:rFonts w:hint="eastAsia" w:eastAsia="宋体" w:cs="宋体"/>
          <w:color w:val="auto"/>
          <w:spacing w:val="0"/>
          <w:kern w:val="2"/>
          <w:sz w:val="21"/>
          <w:szCs w:val="21"/>
          <w:highlight w:val="none"/>
          <w:vertAlign w:val="baseline"/>
          <w:lang w:val="en-US" w:eastAsia="zh-CN" w:bidi="ar"/>
        </w:rPr>
        <w:t>（5）单项造价咨询服务项目，如编制或审核的成果金额中含土地征用、迁移补偿等为取得或租用土地使用权而发生的费用，则以编制或审核的成果金额直接扣减该费用作为收费基数。</w:t>
      </w:r>
    </w:p>
    <w:p w14:paraId="7ED3FFCC">
      <w:pPr>
        <w:pStyle w:val="39"/>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 单项造价咨询服务费包括了中标人完成招标文件和合同约定的全部工作所需支付的一切费用，为包干价，包括但不限于（1）人员人工费（工资及加班工资、福利、社保、住房公积金、节日补贴、高温津贴、劳保、服装和膳食、意外伤害保险、加班费、住宿补贴、市内交通补贴、培训、经济补偿等）、驻场服务所需的差旅费、食宿费、交通费、通讯费、配合费、办理履约担保所需等费用；（2）合理利润、税费等；（3）法律法规、行业公认、完成合同实施过程中由投标人承担的其他直接及间接费用。</w:t>
      </w:r>
    </w:p>
    <w:p w14:paraId="5BC80F62">
      <w:pPr>
        <w:pStyle w:val="39"/>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3.3 单项咨询设计服务费的具体付款方式按照单项咨询设计服务合同约定执行。</w:t>
      </w:r>
    </w:p>
    <w:p w14:paraId="125630C9">
      <w:pPr>
        <w:pStyle w:val="39"/>
        <w:keepNext w:val="0"/>
        <w:keepLines w:val="0"/>
        <w:widowControl w:val="0"/>
        <w:suppressLineNumbers w:val="0"/>
        <w:spacing w:before="0" w:beforeAutospacing="0" w:after="0" w:afterAutospacing="0" w:line="360" w:lineRule="auto"/>
        <w:ind w:left="0" w:right="0" w:firstLine="424" w:firstLineChars="202"/>
        <w:jc w:val="both"/>
        <w:rPr>
          <w:rFonts w:hint="default" w:ascii="宋体" w:hAnsi="宋体" w:eastAsia="宋体" w:cs="宋体"/>
          <w:color w:val="auto"/>
          <w:kern w:val="2"/>
          <w:sz w:val="21"/>
          <w:szCs w:val="21"/>
          <w:highlight w:val="none"/>
          <w:lang w:val="en-US" w:eastAsia="zh-CN" w:bidi="ar"/>
        </w:rPr>
      </w:pPr>
      <w:r>
        <w:rPr>
          <w:rFonts w:hint="eastAsia" w:eastAsia="宋体" w:cs="宋体"/>
          <w:color w:val="auto"/>
          <w:kern w:val="2"/>
          <w:sz w:val="21"/>
          <w:szCs w:val="21"/>
          <w:highlight w:val="none"/>
          <w:lang w:val="en-US" w:eastAsia="zh-CN" w:bidi="ar"/>
        </w:rPr>
        <w:t>3.4 单项造价审核服务费计费方式除“参照《广东省物价局关于调整我省建设工程造价咨询服务收费的复函（粤价函〔2011〕742号）》计费标准再乘以服务折扣系数0.8计算”外，招标人有权根据委托审核项目的复杂程度及重要性，另行制定其他计费方式（分为基础收费与效益收费两部分按比例计费的方式），单项总审核费用不超过该委托项目参照粤价函〔2011〕742号“计费标准”计算的80%。</w:t>
      </w:r>
    </w:p>
    <w:p w14:paraId="2E57F192">
      <w:pPr>
        <w:keepNext w:val="0"/>
        <w:keepLines w:val="0"/>
        <w:widowControl w:val="0"/>
        <w:numPr>
          <w:ilvl w:val="0"/>
          <w:numId w:val="2"/>
        </w:numPr>
        <w:suppressLineNumbers w:val="0"/>
        <w:spacing w:before="0" w:beforeAutospacing="0" w:after="0" w:afterAutospacing="0" w:line="360" w:lineRule="auto"/>
        <w:ind w:left="0" w:right="0" w:firstLine="422" w:firstLineChars="200"/>
        <w:jc w:val="both"/>
        <w:outlineLvl w:val="1"/>
        <w:rPr>
          <w:rFonts w:hint="eastAsia" w:ascii="宋体" w:hAnsi="宋体" w:eastAsia="宋体" w:cs="宋体"/>
          <w:b/>
          <w:bCs/>
          <w:color w:val="auto"/>
          <w:kern w:val="2"/>
          <w:sz w:val="21"/>
          <w:szCs w:val="21"/>
          <w:highlight w:val="none"/>
        </w:rPr>
      </w:pPr>
      <w:bookmarkStart w:id="396" w:name="_Toc45"/>
      <w:r>
        <w:rPr>
          <w:rFonts w:hint="eastAsia" w:ascii="宋体" w:hAnsi="宋体" w:eastAsia="宋体" w:cs="宋体"/>
          <w:b/>
          <w:bCs/>
          <w:color w:val="auto"/>
          <w:kern w:val="2"/>
          <w:sz w:val="21"/>
          <w:szCs w:val="21"/>
          <w:highlight w:val="none"/>
          <w:lang w:val="en-US" w:eastAsia="zh-CN" w:bidi="ar"/>
        </w:rPr>
        <w:t>单项造价咨询服务完成时间要求</w:t>
      </w:r>
      <w:bookmarkEnd w:id="396"/>
    </w:p>
    <w:p w14:paraId="3D45A00C">
      <w:pPr>
        <w:pStyle w:val="39"/>
        <w:keepNext w:val="0"/>
        <w:keepLines w:val="0"/>
        <w:widowControl w:val="0"/>
        <w:suppressLineNumbers w:val="0"/>
        <w:spacing w:before="0" w:beforeAutospacing="0" w:after="0" w:afterAutospacing="0" w:line="360" w:lineRule="auto"/>
        <w:ind w:left="426"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 参照《东莞市财政性资金投资建设项目工程造价咨询服务管理办法》的规定，具体如下：</w:t>
      </w:r>
    </w:p>
    <w:p w14:paraId="0FEFCEB9">
      <w:pPr>
        <w:pStyle w:val="54"/>
        <w:widowControl/>
        <w:ind w:left="0" w:firstLine="400"/>
        <w:jc w:val="righ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单位：工作日</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3"/>
        <w:gridCol w:w="3339"/>
        <w:gridCol w:w="962"/>
        <w:gridCol w:w="878"/>
        <w:gridCol w:w="833"/>
        <w:gridCol w:w="835"/>
        <w:gridCol w:w="833"/>
        <w:gridCol w:w="835"/>
        <w:gridCol w:w="834"/>
      </w:tblGrid>
      <w:tr w14:paraId="71BB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409"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EE6D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639"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1D31B">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w:t>
            </w:r>
          </w:p>
        </w:tc>
        <w:tc>
          <w:tcPr>
            <w:tcW w:w="903"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C8B0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市政路桥水利</w:t>
            </w:r>
          </w:p>
        </w:tc>
        <w:tc>
          <w:tcPr>
            <w:tcW w:w="819"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B2DA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土建</w:t>
            </w:r>
          </w:p>
        </w:tc>
        <w:tc>
          <w:tcPr>
            <w:tcW w:w="819"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D5503">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安装</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CEAC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14:paraId="1052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409"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557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639"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6DE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F00C1">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审核</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3D3D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编制</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CC9A7">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审核</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0F474">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编制</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983B6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审核</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F291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编制</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BC38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79F0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5"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0DF13">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一</w:t>
            </w:r>
          </w:p>
        </w:tc>
        <w:tc>
          <w:tcPr>
            <w:tcW w:w="16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C782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概、预算(含招标工程量清单)</w:t>
            </w:r>
          </w:p>
        </w:tc>
        <w:tc>
          <w:tcPr>
            <w:tcW w:w="4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333DA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0B22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EC8E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3E127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C664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6447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050E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2908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02C64">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661B7">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500 万元以内</w:t>
            </w:r>
          </w:p>
        </w:tc>
        <w:tc>
          <w:tcPr>
            <w:tcW w:w="4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F72E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CAF7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0D873">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EFC914">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43022">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E8472">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20AF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72F5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AE810">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6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52B0C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500-2500 万元</w:t>
            </w:r>
          </w:p>
        </w:tc>
        <w:tc>
          <w:tcPr>
            <w:tcW w:w="4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1FA1B">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7F69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83F2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63524">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B6903">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FF200">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ED0C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5543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A1899">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6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AE4924">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2500-5000 万元</w:t>
            </w:r>
          </w:p>
        </w:tc>
        <w:tc>
          <w:tcPr>
            <w:tcW w:w="4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61C9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3C5C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CDCB0">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8E28A">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6108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6805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400B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4379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6F513">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6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331D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5000-7500 万元</w:t>
            </w:r>
          </w:p>
        </w:tc>
        <w:tc>
          <w:tcPr>
            <w:tcW w:w="4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6C6C3">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AF89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C5BA0">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1606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3B4B1">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0FFE4">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0625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2375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AB0A4">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6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BACFF">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7500-10000 万元</w:t>
            </w:r>
          </w:p>
        </w:tc>
        <w:tc>
          <w:tcPr>
            <w:tcW w:w="4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85050">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900D9">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BB3D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184A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FBFDB">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7329A">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846E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537F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90B4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6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E21BB">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10000 万元以上</w:t>
            </w:r>
          </w:p>
        </w:tc>
        <w:tc>
          <w:tcPr>
            <w:tcW w:w="4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003C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A51D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28C22">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3E53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94294">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1E00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8468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6BE7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88E4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二</w:t>
            </w:r>
          </w:p>
        </w:tc>
        <w:tc>
          <w:tcPr>
            <w:tcW w:w="16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E7853">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结算</w:t>
            </w:r>
          </w:p>
        </w:tc>
        <w:tc>
          <w:tcPr>
            <w:tcW w:w="4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89CC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1FD4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9D98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2D42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B850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11D7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483B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6A55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B124F">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9085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500 万元以内</w:t>
            </w:r>
          </w:p>
        </w:tc>
        <w:tc>
          <w:tcPr>
            <w:tcW w:w="4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124CF">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9EB12">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A56F2">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18682">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34C21">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AA4C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009B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15CF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C4CB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6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24B78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500-2500 万元</w:t>
            </w:r>
          </w:p>
        </w:tc>
        <w:tc>
          <w:tcPr>
            <w:tcW w:w="4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780EF">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677F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131C3">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3895A">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EF66A">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D3CB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E9CC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6CC0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36FFB">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6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A6C31">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2500-5000 万元</w:t>
            </w:r>
          </w:p>
        </w:tc>
        <w:tc>
          <w:tcPr>
            <w:tcW w:w="4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8169B">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BFB2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1EC9F">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CAD60">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890D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ADC032">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083A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4CFD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89301">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6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E8452">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5000-7500 万元</w:t>
            </w:r>
          </w:p>
        </w:tc>
        <w:tc>
          <w:tcPr>
            <w:tcW w:w="4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BFB57">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7EE2B">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96C8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954AF">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BC7E0">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7C5E7">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6AB7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5D10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97D4C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6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7376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7500-10000 万元</w:t>
            </w:r>
          </w:p>
        </w:tc>
        <w:tc>
          <w:tcPr>
            <w:tcW w:w="4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423C3">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898A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602A7">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BCC8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23</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4DBF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1E291">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2CBD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1BB5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CEF09">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6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79EB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10000 万元以上</w:t>
            </w:r>
          </w:p>
        </w:tc>
        <w:tc>
          <w:tcPr>
            <w:tcW w:w="4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9D924">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10370">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1ED0C3">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45D8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26</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99301">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00DA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28</w:t>
            </w:r>
          </w:p>
        </w:tc>
        <w:tc>
          <w:tcPr>
            <w:tcW w:w="4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CBBF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bl>
    <w:p w14:paraId="67C6626C">
      <w:pPr>
        <w:keepNext w:val="0"/>
        <w:keepLines w:val="0"/>
        <w:widowControl w:val="0"/>
        <w:suppressLineNumbers w:val="0"/>
        <w:spacing w:before="120" w:beforeLines="5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 以上时限为完成单项工程造价咨询服务成果文件的全部时间，包括编审、对数、现场勘察及复核后修改等时间；对于</w:t>
      </w:r>
      <w:r>
        <w:rPr>
          <w:rFonts w:hint="eastAsia" w:ascii="宋体" w:hAnsi="宋体" w:eastAsia="宋体" w:cs="宋体"/>
          <w:color w:val="auto"/>
          <w:spacing w:val="0"/>
          <w:kern w:val="0"/>
          <w:sz w:val="21"/>
          <w:szCs w:val="21"/>
          <w:highlight w:val="none"/>
          <w:lang w:val="en-US" w:eastAsia="zh-CN" w:bidi="ar"/>
        </w:rPr>
        <w:t>非工程类货物采购、服务类项目的</w:t>
      </w:r>
      <w:r>
        <w:rPr>
          <w:rFonts w:hint="eastAsia" w:ascii="宋体" w:hAnsi="宋体" w:eastAsia="宋体" w:cs="宋体"/>
          <w:color w:val="auto"/>
          <w:kern w:val="2"/>
          <w:sz w:val="21"/>
          <w:szCs w:val="21"/>
          <w:highlight w:val="none"/>
          <w:lang w:val="en-US" w:eastAsia="zh-CN" w:bidi="ar"/>
        </w:rPr>
        <w:t>咨询服务成果完成时限为10个工作日。招标人有权根据单项工作实际情况，要求造价咨询服务单位加快完成相关工作，造价咨询机构应予以配合。</w:t>
      </w:r>
    </w:p>
    <w:p w14:paraId="39F8F54F">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★五、服务要求</w:t>
      </w:r>
    </w:p>
    <w:p w14:paraId="307B4AB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 根据国家和省、市有关工程造价的法规、政策、文件、以及基建财务管理的有关规定，本着为甲方节约投资的原则，科学、客观、公正地开展工程造价咨询服务工作；应按甲方的要求，按时按质按量提供咨询报告，对成果报告的真实性、准确性、完整性、合法性、合理性负责，并负有保密责任。</w:t>
      </w:r>
    </w:p>
    <w:p w14:paraId="19E2465E">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5.2 根据甲方的委托，编制和审核的工程概预算(含最高限价)、招标工程量清单应确保结果完整、科学、准确，符合工程项目的实际情况和国家有关工程计价规范；招标工程量清单设置要科学、合理，不得有高估冒算、虚列项目，也不得有漏项漏量、重项错量等错误，如有上述错误，应负相应的责任。</w:t>
      </w:r>
    </w:p>
    <w:p w14:paraId="41F92BE4">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 在编制和审核工程概预算(含最高限价)、招标工程量清单时，如甲方有相关需求，乙方须对项目的设计方案作出技术经济分析，并向甲方提出优化方案和合理化建议；</w:t>
      </w:r>
    </w:p>
    <w:p w14:paraId="0873D820">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5.4货物（服务）采购项目的采购控制价进行市场询价(特殊材料除外)，应提交不少于三家或三家以上的有效报价，内容包括供应商名称、联系人、联系电话、报价明细、有效期，并提交对报价单位资质查询、对用户需求的响应分析、拟定价格方案等资料。具体以招标人相关制度要求为准。</w:t>
      </w:r>
    </w:p>
    <w:p w14:paraId="537BF674">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5.5 要坚持科学准确、客观真实、公平公正、合理合法、廉洁高效的原则，审核工程竣工结算。必须及时配合甲方解决结算审核中存在的技术问题，在服务过程中，如发现计价原则方法的确定、重大的签证审核以及工程管理中存在违规行为要及时向甲方反映，不得擅自作出处理，要对项目的全过程管理依法作出正确的评价。</w:t>
      </w:r>
    </w:p>
    <w:p w14:paraId="331383B3">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5.6 对存有疑问的地方，应配合甲方深入现场调查取证，逐一核实，按实际情况调整，保证工程造价咨询服务成果文件的合理性和真实性。重要的材料或设备价格，应及时与甲方沟通，协商确定合理的价格。</w:t>
      </w:r>
    </w:p>
    <w:p w14:paraId="0A4A3F0F">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5.7 配合甲方做好编审依据的收集及取证工作，所有的编审依据必须是有效的书面资料，并妥善保存。</w:t>
      </w:r>
    </w:p>
    <w:p w14:paraId="1DB72B7E">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5.8 不得接受同一项目不同委托人的造价咨询服务委托，即就同一项目既接受招标人的委托，又接受项目投标供应商、承包单位等相对利益关系人的委托。</w:t>
      </w:r>
    </w:p>
    <w:p w14:paraId="2B516C7A">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5.9 项目的结果未经甲方许可，不得泄露给他人。乙方应对受托任务涉及的有关资料、内容、成果以及结论承担保密的义务。</w:t>
      </w:r>
    </w:p>
    <w:p w14:paraId="1566BF9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5.10 对于甲方要求乙方驻场服务的项目，乙方有义务派出专业的人员驻场服务，招标人仅提供服务场地。</w:t>
      </w:r>
    </w:p>
    <w:p w14:paraId="0538F820">
      <w:pPr>
        <w:keepNext w:val="0"/>
        <w:keepLines w:val="0"/>
        <w:widowControl w:val="0"/>
        <w:suppressLineNumbers w:val="0"/>
        <w:spacing w:before="0" w:beforeAutospacing="0" w:after="0" w:afterAutospacing="0" w:line="360" w:lineRule="auto"/>
        <w:ind w:left="0" w:right="0" w:firstLine="422" w:firstLineChars="200"/>
        <w:jc w:val="both"/>
        <w:outlineLvl w:val="2"/>
        <w:rPr>
          <w:rFonts w:hint="eastAsia" w:ascii="宋体" w:hAnsi="宋体" w:eastAsia="宋体" w:cs="宋体"/>
          <w:b/>
          <w:bCs/>
          <w:color w:val="auto"/>
          <w:kern w:val="2"/>
          <w:sz w:val="21"/>
          <w:szCs w:val="21"/>
          <w:highlight w:val="none"/>
        </w:rPr>
      </w:pPr>
      <w:bookmarkStart w:id="397" w:name="_Toc26856"/>
      <w:r>
        <w:rPr>
          <w:rFonts w:hint="eastAsia" w:ascii="宋体" w:hAnsi="宋体" w:eastAsia="宋体" w:cs="宋体"/>
          <w:b/>
          <w:bCs/>
          <w:color w:val="auto"/>
          <w:kern w:val="2"/>
          <w:sz w:val="21"/>
          <w:szCs w:val="21"/>
          <w:highlight w:val="none"/>
          <w:lang w:val="en-US" w:eastAsia="zh-CN" w:bidi="ar"/>
        </w:rPr>
        <w:t>5.11 人员要求</w:t>
      </w:r>
      <w:bookmarkEnd w:id="397"/>
    </w:p>
    <w:p w14:paraId="51A0631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（1）拟投入本项目的技术负责人（仅一人）须具有一级注册造价工程师证书，并具有工程或者经济系列高级专业技术职称。</w:t>
      </w:r>
    </w:p>
    <w:p w14:paraId="3F42658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（2）拟投入本项目的服务团队（除技术负责人外）取得二级造价工程师（或以上）注册证书的人员应不少于6人。</w:t>
      </w:r>
    </w:p>
    <w:p w14:paraId="2A242F3E">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注：1、同一人员具备同一种类证书的仅按最高等级证书计算；2、以上人员须提供身份证、注册证书（或职称证）、社会保障部门出具的最近3个月（即2025年3月至2025年5月）在投标人单位缴纳社会养老保险有效凭证等证明材料扫描件加盖投标人公章。</w:t>
      </w:r>
    </w:p>
    <w:p w14:paraId="64511F3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225A619">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六、投标人需在东莞市住房和城乡建设局（网址：http://zjj.dg.gov.cn/）及</w:t>
      </w:r>
      <w:r>
        <w:rPr>
          <w:rFonts w:hint="eastAsia" w:ascii="宋体" w:hAnsi="宋体" w:eastAsia="宋体" w:cs="宋体"/>
          <w:b/>
          <w:bCs/>
          <w:snapToGrid w:val="0"/>
          <w:color w:val="auto"/>
          <w:spacing w:val="0"/>
          <w:kern w:val="0"/>
          <w:sz w:val="21"/>
          <w:szCs w:val="21"/>
          <w:highlight w:val="none"/>
          <w:lang w:val="en-US" w:eastAsia="en-US" w:bidi="ar-SA"/>
        </w:rPr>
        <w:t>东莞市水务局“水务工程参建企业信用管理系统”（简称“水务信用系统”）</w:t>
      </w:r>
      <w:r>
        <w:rPr>
          <w:rFonts w:hint="eastAsia" w:ascii="宋体" w:hAnsi="宋体" w:eastAsia="宋体" w:cs="宋体"/>
          <w:b/>
          <w:bCs w:val="0"/>
          <w:color w:val="auto"/>
          <w:kern w:val="2"/>
          <w:sz w:val="21"/>
          <w:szCs w:val="21"/>
          <w:highlight w:val="none"/>
          <w:lang w:val="en-US" w:eastAsia="zh-CN" w:bidi="ar"/>
        </w:rPr>
        <w:t>完成企业信息档案登记（企业类型必须为：造价咨询机构），并且处于“可用状态”。如果投标人在提交投标文件截止时间未能完成企业信息档案登记，需提供单独的承诺书，承诺中标后一个月内在东莞市住房和城乡建设局及</w:t>
      </w:r>
      <w:r>
        <w:rPr>
          <w:rFonts w:hint="eastAsia" w:ascii="宋体" w:hAnsi="宋体" w:eastAsia="宋体" w:cs="宋体"/>
          <w:b/>
          <w:bCs/>
          <w:snapToGrid w:val="0"/>
          <w:color w:val="auto"/>
          <w:spacing w:val="0"/>
          <w:kern w:val="0"/>
          <w:sz w:val="21"/>
          <w:szCs w:val="21"/>
          <w:highlight w:val="none"/>
          <w:lang w:val="en-US" w:eastAsia="en-US" w:bidi="ar-SA"/>
        </w:rPr>
        <w:t>水务信用系统</w:t>
      </w:r>
      <w:r>
        <w:rPr>
          <w:rFonts w:hint="eastAsia" w:ascii="宋体" w:hAnsi="宋体" w:eastAsia="宋体" w:cs="宋体"/>
          <w:b/>
          <w:bCs/>
          <w:snapToGrid w:val="0"/>
          <w:color w:val="auto"/>
          <w:spacing w:val="0"/>
          <w:kern w:val="0"/>
          <w:sz w:val="21"/>
          <w:szCs w:val="21"/>
          <w:highlight w:val="none"/>
          <w:lang w:val="en-US" w:eastAsia="zh-CN" w:bidi="ar-SA"/>
        </w:rPr>
        <w:t>中</w:t>
      </w:r>
      <w:r>
        <w:rPr>
          <w:rFonts w:hint="eastAsia" w:ascii="宋体" w:hAnsi="宋体" w:eastAsia="宋体" w:cs="宋体"/>
          <w:b/>
          <w:bCs w:val="0"/>
          <w:color w:val="auto"/>
          <w:kern w:val="2"/>
          <w:sz w:val="21"/>
          <w:szCs w:val="21"/>
          <w:highlight w:val="none"/>
          <w:lang w:val="en-US" w:eastAsia="zh-CN" w:bidi="ar"/>
        </w:rPr>
        <w:t>完成企业信息登记工作</w:t>
      </w:r>
      <w:r>
        <w:rPr>
          <w:rFonts w:hint="eastAsia" w:ascii="宋体" w:hAnsi="宋体" w:eastAsia="宋体" w:cs="宋体"/>
          <w:b/>
          <w:bCs/>
          <w:color w:val="auto"/>
          <w:kern w:val="2"/>
          <w:sz w:val="21"/>
          <w:szCs w:val="21"/>
          <w:highlight w:val="none"/>
          <w:lang w:val="en-US" w:eastAsia="zh-CN" w:bidi="ar"/>
        </w:rPr>
        <w:t>（须提供承诺函加盖投标人法人公章）</w:t>
      </w:r>
      <w:r>
        <w:rPr>
          <w:rFonts w:hint="eastAsia" w:ascii="宋体" w:hAnsi="宋体" w:eastAsia="宋体" w:cs="宋体"/>
          <w:b/>
          <w:bCs w:val="0"/>
          <w:color w:val="auto"/>
          <w:kern w:val="2"/>
          <w:sz w:val="21"/>
          <w:szCs w:val="21"/>
          <w:highlight w:val="none"/>
          <w:lang w:val="en-US" w:eastAsia="zh-CN" w:bidi="ar"/>
        </w:rPr>
        <w:t>。</w:t>
      </w:r>
    </w:p>
    <w:p w14:paraId="73B72338">
      <w:pPr>
        <w:pStyle w:val="16"/>
        <w:rPr>
          <w:rFonts w:hint="eastAsia"/>
          <w:color w:val="auto"/>
          <w:highlight w:val="none"/>
        </w:rPr>
      </w:pPr>
    </w:p>
    <w:p w14:paraId="576468C9">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
        </w:rPr>
        <w:t>★七、招标结果公示期间，招标人有权核查中标候选人办公场所、设备以及拟投入服务人员情况，如与造价咨询服务单位投标文件不相符，招标人有权取消其中标资格，并根据评标委员会</w:t>
      </w:r>
      <w:r>
        <w:rPr>
          <w:rFonts w:hint="eastAsia" w:ascii="宋体" w:hAnsi="宋体" w:eastAsia="宋体" w:cs="宋体"/>
          <w:b/>
          <w:bCs w:val="0"/>
          <w:color w:val="auto"/>
          <w:kern w:val="2"/>
          <w:sz w:val="21"/>
          <w:szCs w:val="21"/>
          <w:highlight w:val="none"/>
          <w:lang w:val="en-US" w:eastAsia="zh-CN" w:bidi="ar"/>
        </w:rPr>
        <w:t>推荐顺序</w:t>
      </w:r>
      <w:r>
        <w:rPr>
          <w:rFonts w:hint="eastAsia" w:ascii="宋体" w:hAnsi="宋体" w:eastAsia="宋体" w:cs="宋体"/>
          <w:b/>
          <w:bCs/>
          <w:color w:val="auto"/>
          <w:kern w:val="2"/>
          <w:sz w:val="21"/>
          <w:szCs w:val="21"/>
          <w:highlight w:val="none"/>
          <w:lang w:val="en-US" w:eastAsia="zh-CN" w:bidi="ar"/>
        </w:rPr>
        <w:t>确定其他</w:t>
      </w:r>
      <w:r>
        <w:rPr>
          <w:rFonts w:hint="eastAsia" w:ascii="宋体" w:hAnsi="宋体" w:eastAsia="宋体" w:cs="宋体"/>
          <w:b/>
          <w:bCs w:val="0"/>
          <w:color w:val="auto"/>
          <w:kern w:val="2"/>
          <w:sz w:val="21"/>
          <w:szCs w:val="21"/>
          <w:highlight w:val="none"/>
          <w:lang w:val="en-US" w:eastAsia="zh-CN" w:bidi="ar"/>
        </w:rPr>
        <w:t>中标人</w:t>
      </w:r>
      <w:r>
        <w:rPr>
          <w:rFonts w:hint="eastAsia" w:ascii="宋体" w:hAnsi="宋体" w:eastAsia="宋体" w:cs="宋体"/>
          <w:b/>
          <w:bCs/>
          <w:color w:val="auto"/>
          <w:kern w:val="2"/>
          <w:sz w:val="21"/>
          <w:szCs w:val="21"/>
          <w:highlight w:val="none"/>
          <w:lang w:val="en-US" w:eastAsia="zh-CN" w:bidi="ar"/>
        </w:rPr>
        <w:t>（须提供承诺函加盖投标人法人公章）。</w:t>
      </w:r>
    </w:p>
    <w:p w14:paraId="0CE990E5">
      <w:pPr>
        <w:rPr>
          <w:rFonts w:hint="eastAsia" w:ascii="宋体" w:hAnsi="宋体" w:eastAsia="宋体" w:cs="宋体"/>
          <w:b/>
          <w:color w:val="auto"/>
          <w:sz w:val="21"/>
          <w:szCs w:val="21"/>
          <w:highlight w:val="none"/>
          <w:lang w:eastAsia="zh-CN"/>
        </w:rPr>
      </w:pPr>
    </w:p>
    <w:p w14:paraId="1D467DA4">
      <w:pPr>
        <w:pageBreakBefore/>
        <w:tabs>
          <w:tab w:val="left" w:pos="1080"/>
        </w:tabs>
        <w:autoSpaceDE w:val="0"/>
        <w:autoSpaceDN w:val="0"/>
        <w:adjustRightInd w:val="0"/>
        <w:spacing w:line="360" w:lineRule="auto"/>
        <w:ind w:left="357" w:leftChars="-100" w:hanging="567"/>
        <w:jc w:val="left"/>
        <w:outlineLvl w:val="9"/>
        <w:rPr>
          <w:rFonts w:hint="eastAsia" w:ascii="宋体" w:hAnsi="宋体" w:eastAsia="宋体" w:cs="宋体"/>
          <w:b/>
          <w:bCs/>
          <w:color w:val="auto"/>
          <w:sz w:val="21"/>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bookmarkStart w:id="398" w:name="_Toc11281_WPSOffice_Level1"/>
      <w:bookmarkStart w:id="399" w:name="_Toc486167707"/>
      <w:bookmarkStart w:id="400" w:name="_Toc20401"/>
      <w:bookmarkStart w:id="401" w:name="_Toc450662892"/>
      <w:bookmarkStart w:id="402" w:name="_Toc25251"/>
      <w:bookmarkStart w:id="403" w:name="_Toc195714338"/>
      <w:bookmarkStart w:id="404" w:name="_Toc142508359"/>
      <w:bookmarkStart w:id="405" w:name="_Toc134469727"/>
    </w:p>
    <w:p w14:paraId="0DAEF7C6">
      <w:pPr>
        <w:pageBreakBefore/>
        <w:tabs>
          <w:tab w:val="left" w:pos="1080"/>
        </w:tabs>
        <w:autoSpaceDE w:val="0"/>
        <w:autoSpaceDN w:val="0"/>
        <w:adjustRightInd w:val="0"/>
        <w:spacing w:line="360" w:lineRule="auto"/>
        <w:ind w:left="357" w:leftChars="-100" w:hanging="567"/>
        <w:jc w:val="left"/>
        <w:outlineLvl w:val="3"/>
        <w:rPr>
          <w:rFonts w:hint="eastAsia" w:ascii="宋体" w:hAnsi="宋体" w:eastAsia="宋体" w:cs="宋体"/>
          <w:b/>
          <w:bCs/>
          <w:color w:val="auto"/>
          <w:kern w:val="44"/>
          <w:sz w:val="21"/>
          <w:szCs w:val="21"/>
          <w:highlight w:val="none"/>
          <w:lang w:val="zh-CN"/>
        </w:rPr>
      </w:pPr>
      <w:bookmarkStart w:id="406" w:name="_Toc17140"/>
      <w:r>
        <w:rPr>
          <w:rFonts w:hint="eastAsia" w:ascii="宋体" w:hAnsi="宋体" w:eastAsia="宋体" w:cs="宋体"/>
          <w:b/>
          <w:bCs/>
          <w:color w:val="auto"/>
          <w:sz w:val="21"/>
          <w:szCs w:val="21"/>
          <w:highlight w:val="none"/>
        </w:rPr>
        <w:t>附件：广东省建设工程造价咨询服务收费项目和收费标准表</w:t>
      </w:r>
      <w:bookmarkEnd w:id="406"/>
    </w:p>
    <w:tbl>
      <w:tblPr>
        <w:tblStyle w:val="44"/>
        <w:tblW w:w="5000" w:type="pct"/>
        <w:jc w:val="center"/>
        <w:tblLayout w:type="autofit"/>
        <w:tblCellMar>
          <w:top w:w="0" w:type="dxa"/>
          <w:left w:w="108" w:type="dxa"/>
          <w:bottom w:w="0" w:type="dxa"/>
          <w:right w:w="108" w:type="dxa"/>
        </w:tblCellMar>
      </w:tblPr>
      <w:tblGrid>
        <w:gridCol w:w="427"/>
        <w:gridCol w:w="428"/>
        <w:gridCol w:w="430"/>
        <w:gridCol w:w="1171"/>
        <w:gridCol w:w="2561"/>
        <w:gridCol w:w="1407"/>
        <w:gridCol w:w="972"/>
        <w:gridCol w:w="951"/>
        <w:gridCol w:w="1122"/>
        <w:gridCol w:w="1221"/>
        <w:gridCol w:w="15"/>
        <w:gridCol w:w="1143"/>
        <w:gridCol w:w="808"/>
        <w:gridCol w:w="1018"/>
      </w:tblGrid>
      <w:tr w14:paraId="44DFE44C">
        <w:tblPrEx>
          <w:tblCellMar>
            <w:top w:w="0" w:type="dxa"/>
            <w:left w:w="108" w:type="dxa"/>
            <w:bottom w:w="0" w:type="dxa"/>
            <w:right w:w="108" w:type="dxa"/>
          </w:tblCellMar>
        </w:tblPrEx>
        <w:trPr>
          <w:trHeight w:val="197" w:hRule="atLeast"/>
          <w:jc w:val="center"/>
        </w:trPr>
        <w:tc>
          <w:tcPr>
            <w:tcW w:w="160" w:type="pct"/>
            <w:vMerge w:val="restart"/>
            <w:tcBorders>
              <w:top w:val="single" w:color="auto" w:sz="4" w:space="0"/>
              <w:left w:val="single" w:color="auto" w:sz="4" w:space="0"/>
              <w:bottom w:val="single" w:color="auto" w:sz="4" w:space="0"/>
              <w:right w:val="single" w:color="auto" w:sz="4" w:space="0"/>
            </w:tcBorders>
            <w:vAlign w:val="center"/>
          </w:tcPr>
          <w:p w14:paraId="1C5F1574">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753" w:type="pct"/>
            <w:gridSpan w:val="3"/>
            <w:vMerge w:val="restart"/>
            <w:tcBorders>
              <w:top w:val="single" w:color="auto" w:sz="4" w:space="0"/>
              <w:left w:val="single" w:color="auto" w:sz="4" w:space="0"/>
              <w:bottom w:val="single" w:color="auto" w:sz="4" w:space="0"/>
              <w:right w:val="single" w:color="auto" w:sz="4" w:space="0"/>
            </w:tcBorders>
            <w:vAlign w:val="center"/>
          </w:tcPr>
          <w:p w14:paraId="6C8BF9CC">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咨询项目名称</w:t>
            </w:r>
          </w:p>
        </w:tc>
        <w:tc>
          <w:tcPr>
            <w:tcW w:w="940" w:type="pct"/>
            <w:vMerge w:val="restart"/>
            <w:tcBorders>
              <w:top w:val="single" w:color="auto" w:sz="4" w:space="0"/>
              <w:left w:val="single" w:color="auto" w:sz="4" w:space="0"/>
              <w:bottom w:val="single" w:color="auto" w:sz="4" w:space="0"/>
              <w:right w:val="single" w:color="auto" w:sz="4" w:space="0"/>
            </w:tcBorders>
            <w:vAlign w:val="center"/>
          </w:tcPr>
          <w:p w14:paraId="51D4691C">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服务内容</w:t>
            </w:r>
          </w:p>
        </w:tc>
        <w:tc>
          <w:tcPr>
            <w:tcW w:w="518" w:type="pct"/>
            <w:vMerge w:val="restart"/>
            <w:tcBorders>
              <w:top w:val="single" w:color="auto" w:sz="4" w:space="0"/>
              <w:left w:val="single" w:color="auto" w:sz="4" w:space="0"/>
              <w:bottom w:val="single" w:color="auto" w:sz="4" w:space="0"/>
              <w:right w:val="single" w:color="auto" w:sz="4" w:space="0"/>
            </w:tcBorders>
            <w:vAlign w:val="center"/>
          </w:tcPr>
          <w:p w14:paraId="7B3E8A8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收费基数</w:t>
            </w:r>
          </w:p>
        </w:tc>
        <w:tc>
          <w:tcPr>
            <w:tcW w:w="2252" w:type="pct"/>
            <w:gridSpan w:val="7"/>
            <w:tcBorders>
              <w:top w:val="single" w:color="auto" w:sz="4" w:space="0"/>
              <w:left w:val="nil"/>
              <w:bottom w:val="single" w:color="auto" w:sz="4" w:space="0"/>
              <w:right w:val="single" w:color="auto" w:sz="4" w:space="0"/>
            </w:tcBorders>
            <w:vAlign w:val="center"/>
          </w:tcPr>
          <w:p w14:paraId="43DB9ABB">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最高收费标准</w:t>
            </w:r>
          </w:p>
        </w:tc>
        <w:tc>
          <w:tcPr>
            <w:tcW w:w="377" w:type="pct"/>
            <w:vMerge w:val="restart"/>
            <w:tcBorders>
              <w:top w:val="single" w:color="auto" w:sz="4" w:space="0"/>
              <w:left w:val="single" w:color="auto" w:sz="4" w:space="0"/>
              <w:bottom w:val="single" w:color="auto" w:sz="4" w:space="0"/>
              <w:right w:val="single" w:color="auto" w:sz="4" w:space="0"/>
            </w:tcBorders>
            <w:vAlign w:val="center"/>
          </w:tcPr>
          <w:p w14:paraId="4CE2A633">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0593872B">
        <w:tblPrEx>
          <w:tblCellMar>
            <w:top w:w="0" w:type="dxa"/>
            <w:left w:w="108" w:type="dxa"/>
            <w:bottom w:w="0" w:type="dxa"/>
            <w:right w:w="108" w:type="dxa"/>
          </w:tblCellMar>
        </w:tblPrEx>
        <w:trPr>
          <w:trHeight w:val="361" w:hRule="atLeast"/>
          <w:jc w:val="center"/>
        </w:trPr>
        <w:tc>
          <w:tcPr>
            <w:tcW w:w="160" w:type="pct"/>
            <w:vMerge w:val="continue"/>
            <w:tcBorders>
              <w:top w:val="single" w:color="auto" w:sz="4" w:space="0"/>
              <w:left w:val="single" w:color="auto" w:sz="4" w:space="0"/>
              <w:bottom w:val="single" w:color="auto" w:sz="4" w:space="0"/>
              <w:right w:val="single" w:color="auto" w:sz="4" w:space="0"/>
            </w:tcBorders>
            <w:vAlign w:val="center"/>
          </w:tcPr>
          <w:p w14:paraId="3CA372F7">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1"/>
                <w:szCs w:val="21"/>
                <w:highlight w:val="none"/>
              </w:rPr>
            </w:pPr>
          </w:p>
        </w:tc>
        <w:tc>
          <w:tcPr>
            <w:tcW w:w="753" w:type="pct"/>
            <w:gridSpan w:val="3"/>
            <w:vMerge w:val="continue"/>
            <w:tcBorders>
              <w:top w:val="single" w:color="auto" w:sz="4" w:space="0"/>
              <w:left w:val="single" w:color="auto" w:sz="4" w:space="0"/>
              <w:bottom w:val="single" w:color="auto" w:sz="4" w:space="0"/>
              <w:right w:val="single" w:color="auto" w:sz="4" w:space="0"/>
            </w:tcBorders>
            <w:vAlign w:val="center"/>
          </w:tcPr>
          <w:p w14:paraId="1B544F49">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1"/>
                <w:szCs w:val="21"/>
                <w:highlight w:val="none"/>
              </w:rPr>
            </w:pPr>
          </w:p>
        </w:tc>
        <w:tc>
          <w:tcPr>
            <w:tcW w:w="940" w:type="pct"/>
            <w:vMerge w:val="continue"/>
            <w:tcBorders>
              <w:top w:val="single" w:color="auto" w:sz="4" w:space="0"/>
              <w:left w:val="single" w:color="auto" w:sz="4" w:space="0"/>
              <w:bottom w:val="single" w:color="auto" w:sz="4" w:space="0"/>
              <w:right w:val="single" w:color="auto" w:sz="4" w:space="0"/>
            </w:tcBorders>
            <w:vAlign w:val="center"/>
          </w:tcPr>
          <w:p w14:paraId="08BECCBC">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1"/>
                <w:szCs w:val="21"/>
                <w:highlight w:val="none"/>
              </w:rPr>
            </w:pPr>
          </w:p>
        </w:tc>
        <w:tc>
          <w:tcPr>
            <w:tcW w:w="518" w:type="pct"/>
            <w:vMerge w:val="continue"/>
            <w:tcBorders>
              <w:top w:val="single" w:color="auto" w:sz="4" w:space="0"/>
              <w:left w:val="single" w:color="auto" w:sz="4" w:space="0"/>
              <w:bottom w:val="single" w:color="auto" w:sz="4" w:space="0"/>
              <w:right w:val="single" w:color="auto" w:sz="4" w:space="0"/>
            </w:tcBorders>
            <w:vAlign w:val="center"/>
          </w:tcPr>
          <w:p w14:paraId="1314EB55">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1"/>
                <w:szCs w:val="21"/>
                <w:highlight w:val="none"/>
              </w:rPr>
            </w:pPr>
          </w:p>
        </w:tc>
        <w:tc>
          <w:tcPr>
            <w:tcW w:w="359" w:type="pct"/>
            <w:tcBorders>
              <w:top w:val="nil"/>
              <w:left w:val="nil"/>
              <w:bottom w:val="single" w:color="auto" w:sz="4" w:space="0"/>
              <w:right w:val="single" w:color="auto" w:sz="4" w:space="0"/>
            </w:tcBorders>
            <w:vAlign w:val="center"/>
          </w:tcPr>
          <w:p w14:paraId="6178E024">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100万元以内</w:t>
            </w:r>
          </w:p>
        </w:tc>
        <w:tc>
          <w:tcPr>
            <w:tcW w:w="300" w:type="pct"/>
            <w:tcBorders>
              <w:top w:val="nil"/>
              <w:left w:val="nil"/>
              <w:bottom w:val="single" w:color="auto" w:sz="4" w:space="0"/>
              <w:right w:val="single" w:color="auto" w:sz="4" w:space="0"/>
            </w:tcBorders>
            <w:vAlign w:val="center"/>
          </w:tcPr>
          <w:p w14:paraId="0C5E288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101-500万元</w:t>
            </w:r>
          </w:p>
        </w:tc>
        <w:tc>
          <w:tcPr>
            <w:tcW w:w="414" w:type="pct"/>
            <w:tcBorders>
              <w:top w:val="nil"/>
              <w:left w:val="nil"/>
              <w:bottom w:val="single" w:color="auto" w:sz="4" w:space="0"/>
              <w:right w:val="single" w:color="auto" w:sz="4" w:space="0"/>
            </w:tcBorders>
            <w:vAlign w:val="center"/>
          </w:tcPr>
          <w:p w14:paraId="5E041D86">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501-1000万元</w:t>
            </w:r>
          </w:p>
        </w:tc>
        <w:tc>
          <w:tcPr>
            <w:tcW w:w="456" w:type="pct"/>
            <w:gridSpan w:val="2"/>
            <w:tcBorders>
              <w:top w:val="nil"/>
              <w:left w:val="nil"/>
              <w:bottom w:val="single" w:color="auto" w:sz="4" w:space="0"/>
              <w:right w:val="single" w:color="auto" w:sz="4" w:space="0"/>
            </w:tcBorders>
            <w:vAlign w:val="center"/>
          </w:tcPr>
          <w:p w14:paraId="0AAC209B">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1001-5000万元</w:t>
            </w:r>
          </w:p>
        </w:tc>
        <w:tc>
          <w:tcPr>
            <w:tcW w:w="425" w:type="pct"/>
            <w:tcBorders>
              <w:top w:val="nil"/>
              <w:left w:val="nil"/>
              <w:bottom w:val="single" w:color="auto" w:sz="4" w:space="0"/>
              <w:right w:val="single" w:color="auto" w:sz="4" w:space="0"/>
            </w:tcBorders>
            <w:vAlign w:val="center"/>
          </w:tcPr>
          <w:p w14:paraId="1F52B05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5001万元-1亿元</w:t>
            </w:r>
          </w:p>
        </w:tc>
        <w:tc>
          <w:tcPr>
            <w:tcW w:w="299" w:type="pct"/>
            <w:tcBorders>
              <w:top w:val="nil"/>
              <w:left w:val="nil"/>
              <w:bottom w:val="single" w:color="auto" w:sz="4" w:space="0"/>
              <w:right w:val="single" w:color="auto" w:sz="4" w:space="0"/>
            </w:tcBorders>
            <w:vAlign w:val="center"/>
          </w:tcPr>
          <w:p w14:paraId="28614FFC">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1亿元以上</w:t>
            </w:r>
          </w:p>
        </w:tc>
        <w:tc>
          <w:tcPr>
            <w:tcW w:w="377" w:type="pct"/>
            <w:vMerge w:val="continue"/>
            <w:tcBorders>
              <w:top w:val="single" w:color="auto" w:sz="4" w:space="0"/>
              <w:left w:val="single" w:color="auto" w:sz="4" w:space="0"/>
              <w:bottom w:val="single" w:color="auto" w:sz="4" w:space="0"/>
              <w:right w:val="single" w:color="auto" w:sz="4" w:space="0"/>
            </w:tcBorders>
            <w:vAlign w:val="center"/>
          </w:tcPr>
          <w:p w14:paraId="54B482C8">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1"/>
                <w:szCs w:val="21"/>
                <w:highlight w:val="none"/>
              </w:rPr>
            </w:pPr>
          </w:p>
        </w:tc>
      </w:tr>
      <w:tr w14:paraId="4709D87E">
        <w:tblPrEx>
          <w:tblCellMar>
            <w:top w:w="0" w:type="dxa"/>
            <w:left w:w="108" w:type="dxa"/>
            <w:bottom w:w="0" w:type="dxa"/>
            <w:right w:w="108" w:type="dxa"/>
          </w:tblCellMar>
        </w:tblPrEx>
        <w:trPr>
          <w:trHeight w:val="296" w:hRule="atLeast"/>
          <w:jc w:val="center"/>
        </w:trPr>
        <w:tc>
          <w:tcPr>
            <w:tcW w:w="160" w:type="pct"/>
            <w:tcBorders>
              <w:top w:val="nil"/>
              <w:left w:val="single" w:color="auto" w:sz="4" w:space="0"/>
              <w:bottom w:val="single" w:color="auto" w:sz="4" w:space="0"/>
              <w:right w:val="single" w:color="auto" w:sz="4" w:space="0"/>
            </w:tcBorders>
            <w:vAlign w:val="center"/>
          </w:tcPr>
          <w:p w14:paraId="64383C1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3" w:type="pct"/>
            <w:gridSpan w:val="3"/>
            <w:tcBorders>
              <w:top w:val="single" w:color="auto" w:sz="4" w:space="0"/>
              <w:left w:val="nil"/>
              <w:bottom w:val="single" w:color="auto" w:sz="4" w:space="0"/>
              <w:right w:val="single" w:color="auto" w:sz="4" w:space="0"/>
            </w:tcBorders>
            <w:vAlign w:val="center"/>
          </w:tcPr>
          <w:p w14:paraId="608EE0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投资估算的编制或审核</w:t>
            </w:r>
          </w:p>
        </w:tc>
        <w:tc>
          <w:tcPr>
            <w:tcW w:w="940" w:type="pct"/>
            <w:tcBorders>
              <w:top w:val="nil"/>
              <w:left w:val="nil"/>
              <w:bottom w:val="single" w:color="auto" w:sz="4" w:space="0"/>
              <w:right w:val="single" w:color="auto" w:sz="4" w:space="0"/>
            </w:tcBorders>
            <w:vAlign w:val="center"/>
          </w:tcPr>
          <w:p w14:paraId="7F6AA77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依据建设项目可行性研究方案编制或核对项目投资估算，出具投资估算报告或审核报告</w:t>
            </w:r>
          </w:p>
        </w:tc>
        <w:tc>
          <w:tcPr>
            <w:tcW w:w="518" w:type="pct"/>
            <w:tcBorders>
              <w:top w:val="nil"/>
              <w:left w:val="nil"/>
              <w:bottom w:val="single" w:color="auto" w:sz="4" w:space="0"/>
              <w:right w:val="single" w:color="auto" w:sz="4" w:space="0"/>
            </w:tcBorders>
            <w:vAlign w:val="center"/>
          </w:tcPr>
          <w:p w14:paraId="5CA823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估算价</w:t>
            </w:r>
          </w:p>
        </w:tc>
        <w:tc>
          <w:tcPr>
            <w:tcW w:w="359" w:type="pct"/>
            <w:tcBorders>
              <w:top w:val="nil"/>
              <w:left w:val="nil"/>
              <w:bottom w:val="single" w:color="auto" w:sz="4" w:space="0"/>
              <w:right w:val="single" w:color="auto" w:sz="4" w:space="0"/>
            </w:tcBorders>
            <w:vAlign w:val="center"/>
          </w:tcPr>
          <w:p w14:paraId="11BF58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300" w:type="pct"/>
            <w:tcBorders>
              <w:top w:val="nil"/>
              <w:left w:val="nil"/>
              <w:bottom w:val="single" w:color="auto" w:sz="4" w:space="0"/>
              <w:right w:val="single" w:color="auto" w:sz="4" w:space="0"/>
            </w:tcBorders>
            <w:vAlign w:val="center"/>
          </w:tcPr>
          <w:p w14:paraId="732DA47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414" w:type="pct"/>
            <w:tcBorders>
              <w:top w:val="nil"/>
              <w:left w:val="nil"/>
              <w:bottom w:val="single" w:color="auto" w:sz="4" w:space="0"/>
              <w:right w:val="single" w:color="auto" w:sz="4" w:space="0"/>
            </w:tcBorders>
            <w:vAlign w:val="center"/>
          </w:tcPr>
          <w:p w14:paraId="49C7AB8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456" w:type="pct"/>
            <w:gridSpan w:val="2"/>
            <w:tcBorders>
              <w:top w:val="nil"/>
              <w:left w:val="nil"/>
              <w:bottom w:val="single" w:color="auto" w:sz="4" w:space="0"/>
              <w:right w:val="single" w:color="auto" w:sz="4" w:space="0"/>
            </w:tcBorders>
            <w:vAlign w:val="center"/>
          </w:tcPr>
          <w:p w14:paraId="513669F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425" w:type="pct"/>
            <w:tcBorders>
              <w:top w:val="nil"/>
              <w:left w:val="nil"/>
              <w:bottom w:val="single" w:color="auto" w:sz="4" w:space="0"/>
              <w:right w:val="single" w:color="auto" w:sz="4" w:space="0"/>
            </w:tcBorders>
            <w:vAlign w:val="center"/>
          </w:tcPr>
          <w:p w14:paraId="65F34B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299" w:type="pct"/>
            <w:tcBorders>
              <w:top w:val="nil"/>
              <w:left w:val="nil"/>
              <w:bottom w:val="single" w:color="auto" w:sz="4" w:space="0"/>
              <w:right w:val="single" w:color="auto" w:sz="4" w:space="0"/>
            </w:tcBorders>
            <w:vAlign w:val="center"/>
          </w:tcPr>
          <w:p w14:paraId="68EADF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p>
        </w:tc>
        <w:tc>
          <w:tcPr>
            <w:tcW w:w="377" w:type="pct"/>
            <w:tcBorders>
              <w:top w:val="nil"/>
              <w:left w:val="nil"/>
              <w:bottom w:val="single" w:color="auto" w:sz="4" w:space="0"/>
              <w:right w:val="single" w:color="auto" w:sz="4" w:space="0"/>
            </w:tcBorders>
            <w:vAlign w:val="center"/>
          </w:tcPr>
          <w:p w14:paraId="76C1A0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14:paraId="7CF97730">
        <w:tblPrEx>
          <w:tblCellMar>
            <w:top w:w="0" w:type="dxa"/>
            <w:left w:w="108" w:type="dxa"/>
            <w:bottom w:w="0" w:type="dxa"/>
            <w:right w:w="108" w:type="dxa"/>
          </w:tblCellMar>
        </w:tblPrEx>
        <w:trPr>
          <w:trHeight w:val="313" w:hRule="atLeast"/>
          <w:jc w:val="center"/>
        </w:trPr>
        <w:tc>
          <w:tcPr>
            <w:tcW w:w="160" w:type="pct"/>
            <w:tcBorders>
              <w:top w:val="nil"/>
              <w:left w:val="single" w:color="auto" w:sz="4" w:space="0"/>
              <w:bottom w:val="single" w:color="auto" w:sz="4" w:space="0"/>
              <w:right w:val="single" w:color="auto" w:sz="4" w:space="0"/>
            </w:tcBorders>
            <w:vAlign w:val="center"/>
          </w:tcPr>
          <w:p w14:paraId="7F551F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3" w:type="pct"/>
            <w:gridSpan w:val="3"/>
            <w:tcBorders>
              <w:top w:val="single" w:color="auto" w:sz="4" w:space="0"/>
              <w:left w:val="nil"/>
              <w:bottom w:val="single" w:color="auto" w:sz="4" w:space="0"/>
              <w:right w:val="single" w:color="auto" w:sz="4" w:space="0"/>
            </w:tcBorders>
            <w:vAlign w:val="center"/>
          </w:tcPr>
          <w:p w14:paraId="212BD92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工程概算的编制或审核</w:t>
            </w:r>
          </w:p>
        </w:tc>
        <w:tc>
          <w:tcPr>
            <w:tcW w:w="940" w:type="pct"/>
            <w:tcBorders>
              <w:top w:val="nil"/>
              <w:left w:val="nil"/>
              <w:bottom w:val="single" w:color="auto" w:sz="4" w:space="0"/>
              <w:right w:val="single" w:color="auto" w:sz="4" w:space="0"/>
            </w:tcBorders>
            <w:vAlign w:val="center"/>
          </w:tcPr>
          <w:p w14:paraId="3E8D671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依据初步设计图纸计算或复核工程量，出具工程概算书或审核报告</w:t>
            </w:r>
          </w:p>
        </w:tc>
        <w:tc>
          <w:tcPr>
            <w:tcW w:w="518" w:type="pct"/>
            <w:tcBorders>
              <w:top w:val="nil"/>
              <w:left w:val="nil"/>
              <w:bottom w:val="single" w:color="auto" w:sz="4" w:space="0"/>
              <w:right w:val="single" w:color="auto" w:sz="4" w:space="0"/>
            </w:tcBorders>
            <w:vAlign w:val="center"/>
          </w:tcPr>
          <w:p w14:paraId="00CF6B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概算价</w:t>
            </w:r>
          </w:p>
        </w:tc>
        <w:tc>
          <w:tcPr>
            <w:tcW w:w="359" w:type="pct"/>
            <w:tcBorders>
              <w:top w:val="nil"/>
              <w:left w:val="nil"/>
              <w:bottom w:val="single" w:color="auto" w:sz="4" w:space="0"/>
              <w:right w:val="single" w:color="auto" w:sz="4" w:space="0"/>
            </w:tcBorders>
            <w:vAlign w:val="center"/>
          </w:tcPr>
          <w:p w14:paraId="1169BC2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0" w:type="pct"/>
            <w:tcBorders>
              <w:top w:val="nil"/>
              <w:left w:val="nil"/>
              <w:bottom w:val="single" w:color="auto" w:sz="4" w:space="0"/>
              <w:right w:val="single" w:color="auto" w:sz="4" w:space="0"/>
            </w:tcBorders>
            <w:vAlign w:val="center"/>
          </w:tcPr>
          <w:p w14:paraId="4DE850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414" w:type="pct"/>
            <w:tcBorders>
              <w:top w:val="nil"/>
              <w:left w:val="nil"/>
              <w:bottom w:val="single" w:color="auto" w:sz="4" w:space="0"/>
              <w:right w:val="single" w:color="auto" w:sz="4" w:space="0"/>
            </w:tcBorders>
            <w:vAlign w:val="center"/>
          </w:tcPr>
          <w:p w14:paraId="58F788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456" w:type="pct"/>
            <w:gridSpan w:val="2"/>
            <w:tcBorders>
              <w:top w:val="nil"/>
              <w:left w:val="nil"/>
              <w:bottom w:val="single" w:color="auto" w:sz="4" w:space="0"/>
              <w:right w:val="single" w:color="auto" w:sz="4" w:space="0"/>
            </w:tcBorders>
            <w:vAlign w:val="center"/>
          </w:tcPr>
          <w:p w14:paraId="76000CF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425" w:type="pct"/>
            <w:tcBorders>
              <w:top w:val="nil"/>
              <w:left w:val="nil"/>
              <w:bottom w:val="single" w:color="auto" w:sz="4" w:space="0"/>
              <w:right w:val="single" w:color="auto" w:sz="4" w:space="0"/>
            </w:tcBorders>
            <w:vAlign w:val="center"/>
          </w:tcPr>
          <w:p w14:paraId="65F8E9D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99" w:type="pct"/>
            <w:tcBorders>
              <w:top w:val="nil"/>
              <w:left w:val="nil"/>
              <w:bottom w:val="single" w:color="auto" w:sz="4" w:space="0"/>
              <w:right w:val="single" w:color="auto" w:sz="4" w:space="0"/>
            </w:tcBorders>
            <w:vAlign w:val="center"/>
          </w:tcPr>
          <w:p w14:paraId="5158F18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377" w:type="pct"/>
            <w:tcBorders>
              <w:top w:val="nil"/>
              <w:left w:val="nil"/>
              <w:bottom w:val="single" w:color="auto" w:sz="4" w:space="0"/>
              <w:right w:val="single" w:color="auto" w:sz="4" w:space="0"/>
            </w:tcBorders>
            <w:vAlign w:val="center"/>
          </w:tcPr>
          <w:p w14:paraId="4C84B4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14:paraId="44509DFE">
        <w:tblPrEx>
          <w:tblCellMar>
            <w:top w:w="0" w:type="dxa"/>
            <w:left w:w="108" w:type="dxa"/>
            <w:bottom w:w="0" w:type="dxa"/>
            <w:right w:w="108" w:type="dxa"/>
          </w:tblCellMar>
        </w:tblPrEx>
        <w:trPr>
          <w:trHeight w:val="255" w:hRule="atLeast"/>
          <w:jc w:val="center"/>
        </w:trPr>
        <w:tc>
          <w:tcPr>
            <w:tcW w:w="160" w:type="pct"/>
            <w:vMerge w:val="restart"/>
            <w:tcBorders>
              <w:top w:val="nil"/>
              <w:left w:val="single" w:color="auto" w:sz="4" w:space="0"/>
              <w:bottom w:val="single" w:color="auto" w:sz="4" w:space="0"/>
              <w:right w:val="single" w:color="auto" w:sz="4" w:space="0"/>
            </w:tcBorders>
            <w:vAlign w:val="center"/>
          </w:tcPr>
          <w:p w14:paraId="4BFA32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0" w:type="pct"/>
            <w:vMerge w:val="restart"/>
            <w:tcBorders>
              <w:top w:val="nil"/>
              <w:left w:val="single" w:color="auto" w:sz="4" w:space="0"/>
              <w:bottom w:val="single" w:color="auto" w:sz="4" w:space="0"/>
              <w:right w:val="single" w:color="auto" w:sz="4" w:space="0"/>
            </w:tcBorders>
            <w:vAlign w:val="center"/>
          </w:tcPr>
          <w:p w14:paraId="79570F4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工程预算的编制或审核</w:t>
            </w:r>
          </w:p>
        </w:tc>
        <w:tc>
          <w:tcPr>
            <w:tcW w:w="161" w:type="pct"/>
            <w:vMerge w:val="restart"/>
            <w:tcBorders>
              <w:top w:val="nil"/>
              <w:left w:val="single" w:color="auto" w:sz="4" w:space="0"/>
              <w:bottom w:val="single" w:color="auto" w:sz="4" w:space="0"/>
              <w:right w:val="single" w:color="auto" w:sz="4" w:space="0"/>
            </w:tcBorders>
            <w:vAlign w:val="center"/>
          </w:tcPr>
          <w:p w14:paraId="7F06CD6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清单计价法</w:t>
            </w:r>
          </w:p>
        </w:tc>
        <w:tc>
          <w:tcPr>
            <w:tcW w:w="432" w:type="pct"/>
            <w:tcBorders>
              <w:top w:val="nil"/>
              <w:left w:val="nil"/>
              <w:bottom w:val="single" w:color="auto" w:sz="4" w:space="0"/>
              <w:right w:val="single" w:color="auto" w:sz="4" w:space="0"/>
            </w:tcBorders>
            <w:vAlign w:val="center"/>
          </w:tcPr>
          <w:p w14:paraId="35BD62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单独编制或审核工程量清单</w:t>
            </w:r>
          </w:p>
        </w:tc>
        <w:tc>
          <w:tcPr>
            <w:tcW w:w="940" w:type="pct"/>
            <w:tcBorders>
              <w:top w:val="nil"/>
              <w:left w:val="nil"/>
              <w:bottom w:val="single" w:color="auto" w:sz="4" w:space="0"/>
              <w:right w:val="single" w:color="auto" w:sz="4" w:space="0"/>
            </w:tcBorders>
            <w:vAlign w:val="center"/>
          </w:tcPr>
          <w:p w14:paraId="171121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依据施工图编制或审核工程量清单，出具工程量清单书或审核报告</w:t>
            </w:r>
          </w:p>
        </w:tc>
        <w:tc>
          <w:tcPr>
            <w:tcW w:w="518" w:type="pct"/>
            <w:tcBorders>
              <w:top w:val="nil"/>
              <w:left w:val="nil"/>
              <w:bottom w:val="single" w:color="auto" w:sz="4" w:space="0"/>
              <w:right w:val="single" w:color="auto" w:sz="4" w:space="0"/>
            </w:tcBorders>
            <w:vAlign w:val="center"/>
          </w:tcPr>
          <w:p w14:paraId="56291A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预算造价（预算价、招标控制价）</w:t>
            </w:r>
          </w:p>
        </w:tc>
        <w:tc>
          <w:tcPr>
            <w:tcW w:w="359" w:type="pct"/>
            <w:tcBorders>
              <w:top w:val="nil"/>
              <w:left w:val="nil"/>
              <w:bottom w:val="single" w:color="auto" w:sz="4" w:space="0"/>
              <w:right w:val="single" w:color="auto" w:sz="4" w:space="0"/>
            </w:tcBorders>
            <w:vAlign w:val="center"/>
          </w:tcPr>
          <w:p w14:paraId="5D20D8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0" w:type="pct"/>
            <w:tcBorders>
              <w:top w:val="nil"/>
              <w:left w:val="nil"/>
              <w:bottom w:val="single" w:color="auto" w:sz="4" w:space="0"/>
              <w:right w:val="single" w:color="auto" w:sz="4" w:space="0"/>
            </w:tcBorders>
            <w:vAlign w:val="center"/>
          </w:tcPr>
          <w:p w14:paraId="004C188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414" w:type="pct"/>
            <w:tcBorders>
              <w:top w:val="nil"/>
              <w:left w:val="nil"/>
              <w:bottom w:val="single" w:color="auto" w:sz="4" w:space="0"/>
              <w:right w:val="single" w:color="auto" w:sz="4" w:space="0"/>
            </w:tcBorders>
            <w:vAlign w:val="center"/>
          </w:tcPr>
          <w:p w14:paraId="7E6F7E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456" w:type="pct"/>
            <w:gridSpan w:val="2"/>
            <w:tcBorders>
              <w:top w:val="nil"/>
              <w:left w:val="nil"/>
              <w:bottom w:val="single" w:color="auto" w:sz="4" w:space="0"/>
              <w:right w:val="single" w:color="auto" w:sz="4" w:space="0"/>
            </w:tcBorders>
            <w:vAlign w:val="center"/>
          </w:tcPr>
          <w:p w14:paraId="063F07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425" w:type="pct"/>
            <w:tcBorders>
              <w:top w:val="nil"/>
              <w:left w:val="nil"/>
              <w:bottom w:val="single" w:color="auto" w:sz="4" w:space="0"/>
              <w:right w:val="single" w:color="auto" w:sz="4" w:space="0"/>
            </w:tcBorders>
            <w:vAlign w:val="center"/>
          </w:tcPr>
          <w:p w14:paraId="33AFA3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99" w:type="pct"/>
            <w:tcBorders>
              <w:top w:val="nil"/>
              <w:left w:val="nil"/>
              <w:bottom w:val="single" w:color="auto" w:sz="4" w:space="0"/>
              <w:right w:val="single" w:color="auto" w:sz="4" w:space="0"/>
            </w:tcBorders>
            <w:vAlign w:val="center"/>
          </w:tcPr>
          <w:p w14:paraId="62EE68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377" w:type="pct"/>
            <w:tcBorders>
              <w:top w:val="nil"/>
              <w:left w:val="nil"/>
              <w:bottom w:val="single" w:color="auto" w:sz="4" w:space="0"/>
              <w:right w:val="single" w:color="auto" w:sz="4" w:space="0"/>
            </w:tcBorders>
            <w:vAlign w:val="center"/>
          </w:tcPr>
          <w:p w14:paraId="47432E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14:paraId="70716C4C">
        <w:tblPrEx>
          <w:tblCellMar>
            <w:top w:w="0" w:type="dxa"/>
            <w:left w:w="108" w:type="dxa"/>
            <w:bottom w:w="0" w:type="dxa"/>
            <w:right w:w="108" w:type="dxa"/>
          </w:tblCellMar>
        </w:tblPrEx>
        <w:trPr>
          <w:trHeight w:val="410" w:hRule="atLeast"/>
          <w:jc w:val="center"/>
        </w:trPr>
        <w:tc>
          <w:tcPr>
            <w:tcW w:w="160" w:type="pct"/>
            <w:vMerge w:val="continue"/>
            <w:tcBorders>
              <w:top w:val="nil"/>
              <w:left w:val="single" w:color="auto" w:sz="4" w:space="0"/>
              <w:bottom w:val="single" w:color="auto" w:sz="4" w:space="0"/>
              <w:right w:val="single" w:color="auto" w:sz="4" w:space="0"/>
            </w:tcBorders>
            <w:vAlign w:val="center"/>
          </w:tcPr>
          <w:p w14:paraId="4B56049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60" w:type="pct"/>
            <w:vMerge w:val="continue"/>
            <w:tcBorders>
              <w:top w:val="nil"/>
              <w:left w:val="single" w:color="auto" w:sz="4" w:space="0"/>
              <w:bottom w:val="single" w:color="auto" w:sz="4" w:space="0"/>
              <w:right w:val="single" w:color="auto" w:sz="4" w:space="0"/>
            </w:tcBorders>
            <w:vAlign w:val="center"/>
          </w:tcPr>
          <w:p w14:paraId="1513CF5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61" w:type="pct"/>
            <w:vMerge w:val="continue"/>
            <w:tcBorders>
              <w:top w:val="nil"/>
              <w:left w:val="single" w:color="auto" w:sz="4" w:space="0"/>
              <w:bottom w:val="single" w:color="auto" w:sz="4" w:space="0"/>
              <w:right w:val="single" w:color="auto" w:sz="4" w:space="0"/>
            </w:tcBorders>
            <w:vAlign w:val="center"/>
          </w:tcPr>
          <w:p w14:paraId="3AC6D2B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32" w:type="pct"/>
            <w:tcBorders>
              <w:top w:val="nil"/>
              <w:left w:val="nil"/>
              <w:bottom w:val="single" w:color="auto" w:sz="4" w:space="0"/>
              <w:right w:val="single" w:color="auto" w:sz="4" w:space="0"/>
            </w:tcBorders>
            <w:vAlign w:val="center"/>
          </w:tcPr>
          <w:p w14:paraId="69169DCA">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单独编制或审核预算造价</w:t>
            </w:r>
          </w:p>
        </w:tc>
        <w:tc>
          <w:tcPr>
            <w:tcW w:w="940" w:type="pct"/>
            <w:tcBorders>
              <w:top w:val="nil"/>
              <w:left w:val="nil"/>
              <w:bottom w:val="single" w:color="auto" w:sz="4" w:space="0"/>
              <w:right w:val="single" w:color="auto" w:sz="4" w:space="0"/>
            </w:tcBorders>
            <w:vAlign w:val="center"/>
          </w:tcPr>
          <w:p w14:paraId="09DA79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依据施工图、工程量清单编制或审核工程量清单报价，出具工程报价书或审核报告</w:t>
            </w:r>
          </w:p>
        </w:tc>
        <w:tc>
          <w:tcPr>
            <w:tcW w:w="518" w:type="pct"/>
            <w:tcBorders>
              <w:top w:val="nil"/>
              <w:left w:val="nil"/>
              <w:bottom w:val="single" w:color="auto" w:sz="4" w:space="0"/>
              <w:right w:val="single" w:color="auto" w:sz="4" w:space="0"/>
            </w:tcBorders>
            <w:vAlign w:val="center"/>
          </w:tcPr>
          <w:p w14:paraId="6435852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预算造价（预算价、招标控制价、投标报价）</w:t>
            </w:r>
          </w:p>
        </w:tc>
        <w:tc>
          <w:tcPr>
            <w:tcW w:w="359" w:type="pct"/>
            <w:tcBorders>
              <w:top w:val="nil"/>
              <w:left w:val="nil"/>
              <w:bottom w:val="single" w:color="auto" w:sz="4" w:space="0"/>
              <w:right w:val="single" w:color="auto" w:sz="4" w:space="0"/>
            </w:tcBorders>
            <w:vAlign w:val="center"/>
          </w:tcPr>
          <w:p w14:paraId="432396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300" w:type="pct"/>
            <w:tcBorders>
              <w:top w:val="nil"/>
              <w:left w:val="nil"/>
              <w:bottom w:val="single" w:color="auto" w:sz="4" w:space="0"/>
              <w:right w:val="single" w:color="auto" w:sz="4" w:space="0"/>
            </w:tcBorders>
            <w:vAlign w:val="center"/>
          </w:tcPr>
          <w:p w14:paraId="6069DC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414" w:type="pct"/>
            <w:tcBorders>
              <w:top w:val="nil"/>
              <w:left w:val="nil"/>
              <w:bottom w:val="single" w:color="auto" w:sz="4" w:space="0"/>
              <w:right w:val="single" w:color="auto" w:sz="4" w:space="0"/>
            </w:tcBorders>
            <w:vAlign w:val="center"/>
          </w:tcPr>
          <w:p w14:paraId="4A3CA5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56" w:type="pct"/>
            <w:gridSpan w:val="2"/>
            <w:tcBorders>
              <w:top w:val="nil"/>
              <w:left w:val="nil"/>
              <w:bottom w:val="single" w:color="auto" w:sz="4" w:space="0"/>
              <w:right w:val="single" w:color="auto" w:sz="4" w:space="0"/>
            </w:tcBorders>
            <w:vAlign w:val="center"/>
          </w:tcPr>
          <w:p w14:paraId="79E1F9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425" w:type="pct"/>
            <w:tcBorders>
              <w:top w:val="nil"/>
              <w:left w:val="nil"/>
              <w:bottom w:val="single" w:color="auto" w:sz="4" w:space="0"/>
              <w:right w:val="single" w:color="auto" w:sz="4" w:space="0"/>
            </w:tcBorders>
            <w:vAlign w:val="center"/>
          </w:tcPr>
          <w:p w14:paraId="24520E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299" w:type="pct"/>
            <w:tcBorders>
              <w:top w:val="nil"/>
              <w:left w:val="nil"/>
              <w:bottom w:val="single" w:color="auto" w:sz="4" w:space="0"/>
              <w:right w:val="single" w:color="auto" w:sz="4" w:space="0"/>
            </w:tcBorders>
            <w:vAlign w:val="center"/>
          </w:tcPr>
          <w:p w14:paraId="7F5B1E9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377" w:type="pct"/>
            <w:tcBorders>
              <w:top w:val="nil"/>
              <w:left w:val="nil"/>
              <w:bottom w:val="single" w:color="auto" w:sz="4" w:space="0"/>
              <w:right w:val="single" w:color="auto" w:sz="4" w:space="0"/>
            </w:tcBorders>
            <w:vAlign w:val="center"/>
          </w:tcPr>
          <w:p w14:paraId="2568AA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14:paraId="7358092E">
        <w:tblPrEx>
          <w:tblCellMar>
            <w:top w:w="0" w:type="dxa"/>
            <w:left w:w="108" w:type="dxa"/>
            <w:bottom w:w="0" w:type="dxa"/>
            <w:right w:w="108" w:type="dxa"/>
          </w:tblCellMar>
        </w:tblPrEx>
        <w:trPr>
          <w:trHeight w:val="366" w:hRule="atLeast"/>
          <w:jc w:val="center"/>
        </w:trPr>
        <w:tc>
          <w:tcPr>
            <w:tcW w:w="160" w:type="pct"/>
            <w:vMerge w:val="continue"/>
            <w:tcBorders>
              <w:top w:val="nil"/>
              <w:left w:val="single" w:color="auto" w:sz="4" w:space="0"/>
              <w:bottom w:val="single" w:color="auto" w:sz="4" w:space="0"/>
              <w:right w:val="single" w:color="auto" w:sz="4" w:space="0"/>
            </w:tcBorders>
            <w:vAlign w:val="center"/>
          </w:tcPr>
          <w:p w14:paraId="4BC9C53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60" w:type="pct"/>
            <w:vMerge w:val="continue"/>
            <w:tcBorders>
              <w:top w:val="nil"/>
              <w:left w:val="single" w:color="auto" w:sz="4" w:space="0"/>
              <w:bottom w:val="single" w:color="auto" w:sz="4" w:space="0"/>
              <w:right w:val="single" w:color="auto" w:sz="4" w:space="0"/>
            </w:tcBorders>
            <w:vAlign w:val="center"/>
          </w:tcPr>
          <w:p w14:paraId="10F245BE">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61" w:type="pct"/>
            <w:tcBorders>
              <w:top w:val="nil"/>
              <w:left w:val="nil"/>
              <w:bottom w:val="single" w:color="auto" w:sz="4" w:space="0"/>
              <w:right w:val="single" w:color="auto" w:sz="4" w:space="0"/>
            </w:tcBorders>
            <w:vAlign w:val="center"/>
          </w:tcPr>
          <w:p w14:paraId="1D4719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定额计价法</w:t>
            </w:r>
          </w:p>
        </w:tc>
        <w:tc>
          <w:tcPr>
            <w:tcW w:w="432" w:type="pct"/>
            <w:tcBorders>
              <w:top w:val="nil"/>
              <w:left w:val="nil"/>
              <w:bottom w:val="single" w:color="auto" w:sz="4" w:space="0"/>
              <w:right w:val="single" w:color="auto" w:sz="4" w:space="0"/>
            </w:tcBorders>
            <w:vAlign w:val="center"/>
          </w:tcPr>
          <w:p w14:paraId="617EF43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编制或审核预算造价</w:t>
            </w:r>
          </w:p>
        </w:tc>
        <w:tc>
          <w:tcPr>
            <w:tcW w:w="940" w:type="pct"/>
            <w:tcBorders>
              <w:top w:val="nil"/>
              <w:left w:val="nil"/>
              <w:bottom w:val="single" w:color="auto" w:sz="4" w:space="0"/>
              <w:right w:val="single" w:color="auto" w:sz="4" w:space="0"/>
            </w:tcBorders>
            <w:vAlign w:val="center"/>
          </w:tcPr>
          <w:p w14:paraId="2D22737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依据施工图编制或审核工程预算，出具工程预算书或审核报告</w:t>
            </w:r>
          </w:p>
        </w:tc>
        <w:tc>
          <w:tcPr>
            <w:tcW w:w="518" w:type="pct"/>
            <w:tcBorders>
              <w:top w:val="nil"/>
              <w:left w:val="nil"/>
              <w:bottom w:val="single" w:color="auto" w:sz="4" w:space="0"/>
              <w:right w:val="single" w:color="auto" w:sz="4" w:space="0"/>
            </w:tcBorders>
            <w:vAlign w:val="center"/>
          </w:tcPr>
          <w:p w14:paraId="715CFB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预算造价（预算价、招标控制价、投标报价）</w:t>
            </w:r>
          </w:p>
        </w:tc>
        <w:tc>
          <w:tcPr>
            <w:tcW w:w="359" w:type="pct"/>
            <w:tcBorders>
              <w:top w:val="nil"/>
              <w:left w:val="nil"/>
              <w:bottom w:val="single" w:color="auto" w:sz="4" w:space="0"/>
              <w:right w:val="single" w:color="auto" w:sz="4" w:space="0"/>
            </w:tcBorders>
            <w:vAlign w:val="center"/>
          </w:tcPr>
          <w:p w14:paraId="135BDD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300" w:type="pct"/>
            <w:tcBorders>
              <w:top w:val="nil"/>
              <w:left w:val="nil"/>
              <w:bottom w:val="single" w:color="auto" w:sz="4" w:space="0"/>
              <w:right w:val="single" w:color="auto" w:sz="4" w:space="0"/>
            </w:tcBorders>
            <w:vAlign w:val="center"/>
          </w:tcPr>
          <w:p w14:paraId="6D8052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14" w:type="pct"/>
            <w:tcBorders>
              <w:top w:val="nil"/>
              <w:left w:val="nil"/>
              <w:bottom w:val="single" w:color="auto" w:sz="4" w:space="0"/>
              <w:right w:val="single" w:color="auto" w:sz="4" w:space="0"/>
            </w:tcBorders>
            <w:vAlign w:val="center"/>
          </w:tcPr>
          <w:p w14:paraId="3665F9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456" w:type="pct"/>
            <w:gridSpan w:val="2"/>
            <w:tcBorders>
              <w:top w:val="nil"/>
              <w:left w:val="nil"/>
              <w:bottom w:val="single" w:color="auto" w:sz="4" w:space="0"/>
              <w:right w:val="single" w:color="auto" w:sz="4" w:space="0"/>
            </w:tcBorders>
            <w:vAlign w:val="center"/>
          </w:tcPr>
          <w:p w14:paraId="30945A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425" w:type="pct"/>
            <w:tcBorders>
              <w:top w:val="nil"/>
              <w:left w:val="nil"/>
              <w:bottom w:val="single" w:color="auto" w:sz="4" w:space="0"/>
              <w:right w:val="single" w:color="auto" w:sz="4" w:space="0"/>
            </w:tcBorders>
            <w:vAlign w:val="center"/>
          </w:tcPr>
          <w:p w14:paraId="5A17C0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99" w:type="pct"/>
            <w:tcBorders>
              <w:top w:val="nil"/>
              <w:left w:val="nil"/>
              <w:bottom w:val="single" w:color="auto" w:sz="4" w:space="0"/>
              <w:right w:val="single" w:color="auto" w:sz="4" w:space="0"/>
            </w:tcBorders>
            <w:vAlign w:val="center"/>
          </w:tcPr>
          <w:p w14:paraId="4161BC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7" w:type="pct"/>
            <w:tcBorders>
              <w:top w:val="nil"/>
              <w:left w:val="nil"/>
              <w:bottom w:val="single" w:color="auto" w:sz="4" w:space="0"/>
              <w:right w:val="single" w:color="auto" w:sz="4" w:space="0"/>
            </w:tcBorders>
            <w:vAlign w:val="center"/>
          </w:tcPr>
          <w:p w14:paraId="7A3302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14:paraId="0731ABEA">
        <w:tblPrEx>
          <w:tblCellMar>
            <w:top w:w="0" w:type="dxa"/>
            <w:left w:w="108" w:type="dxa"/>
            <w:bottom w:w="0" w:type="dxa"/>
            <w:right w:w="108" w:type="dxa"/>
          </w:tblCellMar>
        </w:tblPrEx>
        <w:trPr>
          <w:trHeight w:val="261" w:hRule="atLeast"/>
          <w:jc w:val="center"/>
        </w:trPr>
        <w:tc>
          <w:tcPr>
            <w:tcW w:w="160" w:type="pct"/>
            <w:tcBorders>
              <w:top w:val="nil"/>
              <w:left w:val="single" w:color="auto" w:sz="4" w:space="0"/>
              <w:bottom w:val="single" w:color="auto" w:sz="4" w:space="0"/>
              <w:right w:val="single" w:color="auto" w:sz="4" w:space="0"/>
            </w:tcBorders>
            <w:vAlign w:val="center"/>
          </w:tcPr>
          <w:p w14:paraId="56F3C0B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53" w:type="pct"/>
            <w:gridSpan w:val="3"/>
            <w:tcBorders>
              <w:top w:val="single" w:color="auto" w:sz="4" w:space="0"/>
              <w:left w:val="nil"/>
              <w:bottom w:val="single" w:color="auto" w:sz="4" w:space="0"/>
              <w:right w:val="single" w:color="auto" w:sz="4" w:space="0"/>
            </w:tcBorders>
            <w:vAlign w:val="center"/>
          </w:tcPr>
          <w:p w14:paraId="485DFA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工程结算的编制</w:t>
            </w:r>
          </w:p>
        </w:tc>
        <w:tc>
          <w:tcPr>
            <w:tcW w:w="940" w:type="pct"/>
            <w:tcBorders>
              <w:top w:val="nil"/>
              <w:left w:val="nil"/>
              <w:bottom w:val="single" w:color="auto" w:sz="4" w:space="0"/>
              <w:right w:val="single" w:color="auto" w:sz="4" w:space="0"/>
            </w:tcBorders>
            <w:vAlign w:val="center"/>
          </w:tcPr>
          <w:p w14:paraId="4876B9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依据竣工图等竣工资料编制工程结算，出具工程结算书</w:t>
            </w:r>
          </w:p>
        </w:tc>
        <w:tc>
          <w:tcPr>
            <w:tcW w:w="518" w:type="pct"/>
            <w:tcBorders>
              <w:top w:val="nil"/>
              <w:left w:val="nil"/>
              <w:bottom w:val="single" w:color="auto" w:sz="4" w:space="0"/>
              <w:right w:val="single" w:color="auto" w:sz="4" w:space="0"/>
            </w:tcBorders>
            <w:vAlign w:val="center"/>
          </w:tcPr>
          <w:p w14:paraId="04717C8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结算价</w:t>
            </w:r>
          </w:p>
        </w:tc>
        <w:tc>
          <w:tcPr>
            <w:tcW w:w="359" w:type="pct"/>
            <w:tcBorders>
              <w:top w:val="nil"/>
              <w:left w:val="nil"/>
              <w:bottom w:val="single" w:color="auto" w:sz="4" w:space="0"/>
              <w:right w:val="single" w:color="auto" w:sz="4" w:space="0"/>
            </w:tcBorders>
            <w:vAlign w:val="center"/>
          </w:tcPr>
          <w:p w14:paraId="52863C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300" w:type="pct"/>
            <w:tcBorders>
              <w:top w:val="nil"/>
              <w:left w:val="nil"/>
              <w:bottom w:val="single" w:color="auto" w:sz="4" w:space="0"/>
              <w:right w:val="single" w:color="auto" w:sz="4" w:space="0"/>
            </w:tcBorders>
            <w:vAlign w:val="center"/>
          </w:tcPr>
          <w:p w14:paraId="2E9445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14" w:type="pct"/>
            <w:tcBorders>
              <w:top w:val="nil"/>
              <w:left w:val="nil"/>
              <w:bottom w:val="single" w:color="auto" w:sz="4" w:space="0"/>
              <w:right w:val="single" w:color="auto" w:sz="4" w:space="0"/>
            </w:tcBorders>
            <w:vAlign w:val="center"/>
          </w:tcPr>
          <w:p w14:paraId="24ABBB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456" w:type="pct"/>
            <w:gridSpan w:val="2"/>
            <w:tcBorders>
              <w:top w:val="nil"/>
              <w:left w:val="nil"/>
              <w:bottom w:val="single" w:color="auto" w:sz="4" w:space="0"/>
              <w:right w:val="single" w:color="auto" w:sz="4" w:space="0"/>
            </w:tcBorders>
            <w:vAlign w:val="center"/>
          </w:tcPr>
          <w:p w14:paraId="22435E1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425" w:type="pct"/>
            <w:tcBorders>
              <w:top w:val="nil"/>
              <w:left w:val="nil"/>
              <w:bottom w:val="single" w:color="auto" w:sz="4" w:space="0"/>
              <w:right w:val="single" w:color="auto" w:sz="4" w:space="0"/>
            </w:tcBorders>
            <w:vAlign w:val="center"/>
          </w:tcPr>
          <w:p w14:paraId="7090E6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99" w:type="pct"/>
            <w:tcBorders>
              <w:top w:val="nil"/>
              <w:left w:val="nil"/>
              <w:bottom w:val="single" w:color="auto" w:sz="4" w:space="0"/>
              <w:right w:val="single" w:color="auto" w:sz="4" w:space="0"/>
            </w:tcBorders>
            <w:vAlign w:val="center"/>
          </w:tcPr>
          <w:p w14:paraId="675A71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377" w:type="pct"/>
            <w:tcBorders>
              <w:top w:val="nil"/>
              <w:left w:val="nil"/>
              <w:bottom w:val="single" w:color="auto" w:sz="4" w:space="0"/>
              <w:right w:val="single" w:color="auto" w:sz="4" w:space="0"/>
            </w:tcBorders>
            <w:vAlign w:val="center"/>
          </w:tcPr>
          <w:p w14:paraId="0BA747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14:paraId="41B6D10B">
        <w:tblPrEx>
          <w:tblCellMar>
            <w:top w:w="0" w:type="dxa"/>
            <w:left w:w="108" w:type="dxa"/>
            <w:bottom w:w="0" w:type="dxa"/>
            <w:right w:w="108" w:type="dxa"/>
          </w:tblCellMar>
        </w:tblPrEx>
        <w:trPr>
          <w:trHeight w:val="298" w:hRule="atLeast"/>
          <w:jc w:val="center"/>
        </w:trPr>
        <w:tc>
          <w:tcPr>
            <w:tcW w:w="160" w:type="pct"/>
            <w:vMerge w:val="restart"/>
            <w:tcBorders>
              <w:top w:val="nil"/>
              <w:left w:val="single" w:color="auto" w:sz="4" w:space="0"/>
              <w:bottom w:val="single" w:color="auto" w:sz="4" w:space="0"/>
              <w:right w:val="single" w:color="auto" w:sz="4" w:space="0"/>
            </w:tcBorders>
            <w:vAlign w:val="center"/>
          </w:tcPr>
          <w:p w14:paraId="6D4D19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21" w:type="pct"/>
            <w:gridSpan w:val="2"/>
            <w:vMerge w:val="restart"/>
            <w:tcBorders>
              <w:top w:val="single" w:color="auto" w:sz="4" w:space="0"/>
              <w:left w:val="single" w:color="auto" w:sz="4" w:space="0"/>
              <w:bottom w:val="single" w:color="auto" w:sz="4" w:space="0"/>
              <w:right w:val="single" w:color="auto" w:sz="4" w:space="0"/>
            </w:tcBorders>
            <w:vAlign w:val="center"/>
          </w:tcPr>
          <w:p w14:paraId="1FD817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工程结算审核</w:t>
            </w:r>
          </w:p>
        </w:tc>
        <w:tc>
          <w:tcPr>
            <w:tcW w:w="432" w:type="pct"/>
            <w:tcBorders>
              <w:top w:val="nil"/>
              <w:left w:val="nil"/>
              <w:bottom w:val="single" w:color="auto" w:sz="4" w:space="0"/>
              <w:right w:val="single" w:color="auto" w:sz="4" w:space="0"/>
            </w:tcBorders>
            <w:vAlign w:val="center"/>
          </w:tcPr>
          <w:p w14:paraId="718FB0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（1）基本收费</w:t>
            </w:r>
          </w:p>
        </w:tc>
        <w:tc>
          <w:tcPr>
            <w:tcW w:w="940" w:type="pct"/>
            <w:vMerge w:val="restart"/>
            <w:tcBorders>
              <w:top w:val="nil"/>
              <w:left w:val="single" w:color="auto" w:sz="4" w:space="0"/>
              <w:bottom w:val="single" w:color="auto" w:sz="4" w:space="0"/>
              <w:right w:val="single" w:color="auto" w:sz="4" w:space="0"/>
            </w:tcBorders>
            <w:vAlign w:val="center"/>
          </w:tcPr>
          <w:p w14:paraId="7211AC6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依据竣工图、签证资料、工程结算书等进行审核，出具工程结算审核报告</w:t>
            </w:r>
          </w:p>
        </w:tc>
        <w:tc>
          <w:tcPr>
            <w:tcW w:w="518" w:type="pct"/>
            <w:tcBorders>
              <w:top w:val="nil"/>
              <w:left w:val="nil"/>
              <w:bottom w:val="single" w:color="auto" w:sz="4" w:space="0"/>
              <w:right w:val="single" w:color="auto" w:sz="4" w:space="0"/>
            </w:tcBorders>
            <w:vAlign w:val="center"/>
          </w:tcPr>
          <w:p w14:paraId="099EA1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送审结算价</w:t>
            </w:r>
          </w:p>
        </w:tc>
        <w:tc>
          <w:tcPr>
            <w:tcW w:w="359" w:type="pct"/>
            <w:tcBorders>
              <w:top w:val="nil"/>
              <w:left w:val="nil"/>
              <w:bottom w:val="single" w:color="auto" w:sz="4" w:space="0"/>
              <w:right w:val="single" w:color="auto" w:sz="4" w:space="0"/>
            </w:tcBorders>
            <w:vAlign w:val="center"/>
          </w:tcPr>
          <w:p w14:paraId="1498E7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300" w:type="pct"/>
            <w:tcBorders>
              <w:top w:val="nil"/>
              <w:left w:val="nil"/>
              <w:bottom w:val="single" w:color="auto" w:sz="4" w:space="0"/>
              <w:right w:val="single" w:color="auto" w:sz="4" w:space="0"/>
            </w:tcBorders>
            <w:vAlign w:val="center"/>
          </w:tcPr>
          <w:p w14:paraId="6E48EA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414" w:type="pct"/>
            <w:tcBorders>
              <w:top w:val="nil"/>
              <w:left w:val="nil"/>
              <w:bottom w:val="single" w:color="auto" w:sz="4" w:space="0"/>
              <w:right w:val="single" w:color="auto" w:sz="4" w:space="0"/>
            </w:tcBorders>
            <w:vAlign w:val="center"/>
          </w:tcPr>
          <w:p w14:paraId="13298D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456" w:type="pct"/>
            <w:gridSpan w:val="2"/>
            <w:tcBorders>
              <w:top w:val="nil"/>
              <w:left w:val="nil"/>
              <w:bottom w:val="single" w:color="auto" w:sz="4" w:space="0"/>
              <w:right w:val="single" w:color="auto" w:sz="4" w:space="0"/>
            </w:tcBorders>
            <w:vAlign w:val="center"/>
          </w:tcPr>
          <w:p w14:paraId="767A41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425" w:type="pct"/>
            <w:tcBorders>
              <w:top w:val="nil"/>
              <w:left w:val="nil"/>
              <w:bottom w:val="single" w:color="auto" w:sz="4" w:space="0"/>
              <w:right w:val="single" w:color="auto" w:sz="4" w:space="0"/>
            </w:tcBorders>
            <w:vAlign w:val="center"/>
          </w:tcPr>
          <w:p w14:paraId="43EDDF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99" w:type="pct"/>
            <w:tcBorders>
              <w:top w:val="nil"/>
              <w:left w:val="nil"/>
              <w:bottom w:val="single" w:color="auto" w:sz="4" w:space="0"/>
              <w:right w:val="single" w:color="auto" w:sz="4" w:space="0"/>
            </w:tcBorders>
            <w:vAlign w:val="center"/>
          </w:tcPr>
          <w:p w14:paraId="0AF7F86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7" w:type="pct"/>
            <w:vMerge w:val="restart"/>
            <w:tcBorders>
              <w:top w:val="nil"/>
              <w:left w:val="single" w:color="auto" w:sz="4" w:space="0"/>
              <w:bottom w:val="single" w:color="auto" w:sz="4" w:space="0"/>
              <w:right w:val="single" w:color="auto" w:sz="4" w:space="0"/>
            </w:tcBorders>
            <w:vAlign w:val="center"/>
          </w:tcPr>
          <w:p w14:paraId="7B8789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基本收费为差额定率累进计费；总收费=基本收费+效益收费</w:t>
            </w:r>
          </w:p>
        </w:tc>
      </w:tr>
      <w:tr w14:paraId="0DBD8369">
        <w:tblPrEx>
          <w:tblCellMar>
            <w:top w:w="0" w:type="dxa"/>
            <w:left w:w="108" w:type="dxa"/>
            <w:bottom w:w="0" w:type="dxa"/>
            <w:right w:w="108" w:type="dxa"/>
          </w:tblCellMar>
        </w:tblPrEx>
        <w:trPr>
          <w:trHeight w:val="190" w:hRule="atLeast"/>
          <w:jc w:val="center"/>
        </w:trPr>
        <w:tc>
          <w:tcPr>
            <w:tcW w:w="160" w:type="pct"/>
            <w:vMerge w:val="continue"/>
            <w:tcBorders>
              <w:top w:val="nil"/>
              <w:left w:val="single" w:color="auto" w:sz="4" w:space="0"/>
              <w:bottom w:val="single" w:color="auto" w:sz="4" w:space="0"/>
              <w:right w:val="single" w:color="auto" w:sz="4" w:space="0"/>
            </w:tcBorders>
            <w:vAlign w:val="center"/>
          </w:tcPr>
          <w:p w14:paraId="3BA0B38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21" w:type="pct"/>
            <w:gridSpan w:val="2"/>
            <w:vMerge w:val="continue"/>
            <w:tcBorders>
              <w:top w:val="single" w:color="auto" w:sz="4" w:space="0"/>
              <w:left w:val="single" w:color="auto" w:sz="4" w:space="0"/>
              <w:bottom w:val="single" w:color="auto" w:sz="4" w:space="0"/>
              <w:right w:val="single" w:color="auto" w:sz="4" w:space="0"/>
            </w:tcBorders>
            <w:vAlign w:val="center"/>
          </w:tcPr>
          <w:p w14:paraId="056CC8CE">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32" w:type="pct"/>
            <w:tcBorders>
              <w:top w:val="nil"/>
              <w:left w:val="nil"/>
              <w:bottom w:val="single" w:color="auto" w:sz="4" w:space="0"/>
              <w:right w:val="single" w:color="auto" w:sz="4" w:space="0"/>
            </w:tcBorders>
            <w:vAlign w:val="center"/>
          </w:tcPr>
          <w:p w14:paraId="5E6865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（2）效益收费</w:t>
            </w:r>
          </w:p>
        </w:tc>
        <w:tc>
          <w:tcPr>
            <w:tcW w:w="940" w:type="pct"/>
            <w:vMerge w:val="continue"/>
            <w:tcBorders>
              <w:top w:val="nil"/>
              <w:left w:val="single" w:color="auto" w:sz="4" w:space="0"/>
              <w:bottom w:val="single" w:color="auto" w:sz="4" w:space="0"/>
              <w:right w:val="single" w:color="auto" w:sz="4" w:space="0"/>
            </w:tcBorders>
            <w:vAlign w:val="center"/>
          </w:tcPr>
          <w:p w14:paraId="3A12A999">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518" w:type="pct"/>
            <w:tcBorders>
              <w:top w:val="nil"/>
              <w:left w:val="nil"/>
              <w:bottom w:val="single" w:color="auto" w:sz="4" w:space="0"/>
              <w:right w:val="single" w:color="auto" w:sz="4" w:space="0"/>
            </w:tcBorders>
            <w:vAlign w:val="center"/>
          </w:tcPr>
          <w:p w14:paraId="1EB0844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|核减额|+|核增额|</w:t>
            </w:r>
          </w:p>
        </w:tc>
        <w:tc>
          <w:tcPr>
            <w:tcW w:w="2252" w:type="pct"/>
            <w:gridSpan w:val="7"/>
            <w:tcBorders>
              <w:top w:val="single" w:color="auto" w:sz="4" w:space="0"/>
              <w:left w:val="nil"/>
              <w:bottom w:val="single" w:color="auto" w:sz="4" w:space="0"/>
              <w:right w:val="single" w:color="auto" w:sz="4" w:space="0"/>
            </w:tcBorders>
            <w:vAlign w:val="center"/>
          </w:tcPr>
          <w:p w14:paraId="33BEA0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7" w:type="pct"/>
            <w:vMerge w:val="continue"/>
            <w:tcBorders>
              <w:top w:val="nil"/>
              <w:left w:val="single" w:color="auto" w:sz="4" w:space="0"/>
              <w:bottom w:val="single" w:color="auto" w:sz="4" w:space="0"/>
              <w:right w:val="single" w:color="auto" w:sz="4" w:space="0"/>
            </w:tcBorders>
            <w:vAlign w:val="center"/>
          </w:tcPr>
          <w:p w14:paraId="2EF8352B">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66D039FE">
        <w:tblPrEx>
          <w:tblCellMar>
            <w:top w:w="0" w:type="dxa"/>
            <w:left w:w="108" w:type="dxa"/>
            <w:bottom w:w="0" w:type="dxa"/>
            <w:right w:w="108" w:type="dxa"/>
          </w:tblCellMar>
        </w:tblPrEx>
        <w:trPr>
          <w:trHeight w:val="346" w:hRule="atLeast"/>
          <w:jc w:val="center"/>
        </w:trPr>
        <w:tc>
          <w:tcPr>
            <w:tcW w:w="160" w:type="pct"/>
            <w:tcBorders>
              <w:top w:val="nil"/>
              <w:left w:val="single" w:color="auto" w:sz="4" w:space="0"/>
              <w:bottom w:val="single" w:color="auto" w:sz="4" w:space="0"/>
              <w:right w:val="single" w:color="auto" w:sz="4" w:space="0"/>
            </w:tcBorders>
            <w:vAlign w:val="center"/>
          </w:tcPr>
          <w:p w14:paraId="4DB55C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53" w:type="pct"/>
            <w:gridSpan w:val="3"/>
            <w:tcBorders>
              <w:top w:val="single" w:color="auto" w:sz="4" w:space="0"/>
              <w:left w:val="nil"/>
              <w:bottom w:val="single" w:color="auto" w:sz="4" w:space="0"/>
              <w:right w:val="single" w:color="auto" w:sz="4" w:space="0"/>
            </w:tcBorders>
            <w:vAlign w:val="center"/>
          </w:tcPr>
          <w:p w14:paraId="1AD678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施工阶段全过程造价控制</w:t>
            </w:r>
          </w:p>
        </w:tc>
        <w:tc>
          <w:tcPr>
            <w:tcW w:w="940" w:type="pct"/>
            <w:tcBorders>
              <w:top w:val="nil"/>
              <w:left w:val="nil"/>
              <w:bottom w:val="single" w:color="auto" w:sz="4" w:space="0"/>
              <w:right w:val="single" w:color="auto" w:sz="4" w:space="0"/>
            </w:tcBorders>
            <w:vAlign w:val="center"/>
          </w:tcPr>
          <w:p w14:paraId="0B07B66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工程量清单编制开始到工程结算审核的造价咨询服务</w:t>
            </w:r>
          </w:p>
        </w:tc>
        <w:tc>
          <w:tcPr>
            <w:tcW w:w="518" w:type="pct"/>
            <w:tcBorders>
              <w:top w:val="nil"/>
              <w:left w:val="nil"/>
              <w:bottom w:val="single" w:color="auto" w:sz="4" w:space="0"/>
              <w:right w:val="single" w:color="auto" w:sz="4" w:space="0"/>
            </w:tcBorders>
            <w:vAlign w:val="center"/>
          </w:tcPr>
          <w:p w14:paraId="7CE0F70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概算价</w:t>
            </w:r>
          </w:p>
        </w:tc>
        <w:tc>
          <w:tcPr>
            <w:tcW w:w="359" w:type="pct"/>
            <w:tcBorders>
              <w:top w:val="nil"/>
              <w:left w:val="nil"/>
              <w:bottom w:val="single" w:color="auto" w:sz="4" w:space="0"/>
              <w:right w:val="single" w:color="auto" w:sz="4" w:space="0"/>
            </w:tcBorders>
            <w:vAlign w:val="center"/>
          </w:tcPr>
          <w:p w14:paraId="7529E2B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00" w:type="pct"/>
            <w:tcBorders>
              <w:top w:val="nil"/>
              <w:left w:val="nil"/>
              <w:bottom w:val="single" w:color="auto" w:sz="4" w:space="0"/>
              <w:right w:val="single" w:color="auto" w:sz="4" w:space="0"/>
            </w:tcBorders>
            <w:vAlign w:val="center"/>
          </w:tcPr>
          <w:p w14:paraId="5043E21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414" w:type="pct"/>
            <w:tcBorders>
              <w:top w:val="nil"/>
              <w:left w:val="nil"/>
              <w:bottom w:val="single" w:color="auto" w:sz="4" w:space="0"/>
              <w:right w:val="single" w:color="auto" w:sz="4" w:space="0"/>
            </w:tcBorders>
            <w:vAlign w:val="center"/>
          </w:tcPr>
          <w:p w14:paraId="4BA5E9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450" w:type="pct"/>
            <w:tcBorders>
              <w:top w:val="nil"/>
              <w:left w:val="nil"/>
              <w:bottom w:val="single" w:color="auto" w:sz="4" w:space="0"/>
              <w:right w:val="single" w:color="auto" w:sz="4" w:space="0"/>
            </w:tcBorders>
            <w:vAlign w:val="center"/>
          </w:tcPr>
          <w:p w14:paraId="78C665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431" w:type="pct"/>
            <w:gridSpan w:val="2"/>
            <w:tcBorders>
              <w:top w:val="nil"/>
              <w:left w:val="nil"/>
              <w:bottom w:val="single" w:color="auto" w:sz="4" w:space="0"/>
              <w:right w:val="single" w:color="auto" w:sz="4" w:space="0"/>
            </w:tcBorders>
            <w:vAlign w:val="center"/>
          </w:tcPr>
          <w:p w14:paraId="4DBE4F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99" w:type="pct"/>
            <w:tcBorders>
              <w:top w:val="nil"/>
              <w:left w:val="nil"/>
              <w:bottom w:val="single" w:color="auto" w:sz="4" w:space="0"/>
              <w:right w:val="single" w:color="auto" w:sz="4" w:space="0"/>
            </w:tcBorders>
            <w:vAlign w:val="center"/>
          </w:tcPr>
          <w:p w14:paraId="43D980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7" w:type="pct"/>
            <w:tcBorders>
              <w:top w:val="nil"/>
              <w:left w:val="nil"/>
              <w:bottom w:val="single" w:color="auto" w:sz="4" w:space="0"/>
              <w:right w:val="single" w:color="auto" w:sz="4" w:space="0"/>
            </w:tcBorders>
            <w:vAlign w:val="center"/>
          </w:tcPr>
          <w:p w14:paraId="0FCB12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差额定率累进计费；不包驻场人员的费用</w:t>
            </w:r>
          </w:p>
        </w:tc>
      </w:tr>
      <w:tr w14:paraId="10FAB075">
        <w:tblPrEx>
          <w:tblCellMar>
            <w:top w:w="0" w:type="dxa"/>
            <w:left w:w="108" w:type="dxa"/>
            <w:bottom w:w="0" w:type="dxa"/>
            <w:right w:w="108" w:type="dxa"/>
          </w:tblCellMar>
        </w:tblPrEx>
        <w:trPr>
          <w:trHeight w:val="534" w:hRule="atLeast"/>
          <w:jc w:val="center"/>
        </w:trPr>
        <w:tc>
          <w:tcPr>
            <w:tcW w:w="160" w:type="pct"/>
            <w:vMerge w:val="restart"/>
            <w:tcBorders>
              <w:top w:val="nil"/>
              <w:left w:val="single" w:color="auto" w:sz="4" w:space="0"/>
              <w:bottom w:val="single" w:color="auto" w:sz="4" w:space="0"/>
              <w:right w:val="single" w:color="auto" w:sz="4" w:space="0"/>
            </w:tcBorders>
            <w:vAlign w:val="center"/>
          </w:tcPr>
          <w:p w14:paraId="36FF38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53" w:type="pct"/>
            <w:gridSpan w:val="3"/>
            <w:vMerge w:val="restart"/>
            <w:tcBorders>
              <w:top w:val="single" w:color="auto" w:sz="4" w:space="0"/>
              <w:left w:val="single" w:color="auto" w:sz="4" w:space="0"/>
              <w:bottom w:val="single" w:color="auto" w:sz="4" w:space="0"/>
              <w:right w:val="single" w:color="auto" w:sz="4" w:space="0"/>
            </w:tcBorders>
            <w:vAlign w:val="center"/>
          </w:tcPr>
          <w:p w14:paraId="187718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工程造价纠纷鉴证</w:t>
            </w:r>
          </w:p>
        </w:tc>
        <w:tc>
          <w:tcPr>
            <w:tcW w:w="940" w:type="pct"/>
            <w:tcBorders>
              <w:top w:val="nil"/>
              <w:left w:val="nil"/>
              <w:bottom w:val="single" w:color="auto" w:sz="4" w:space="0"/>
              <w:right w:val="single" w:color="auto" w:sz="4" w:space="0"/>
            </w:tcBorders>
            <w:vAlign w:val="center"/>
          </w:tcPr>
          <w:p w14:paraId="3A38A4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受委托进行鉴证</w:t>
            </w:r>
          </w:p>
        </w:tc>
        <w:tc>
          <w:tcPr>
            <w:tcW w:w="518" w:type="pct"/>
            <w:tcBorders>
              <w:top w:val="nil"/>
              <w:left w:val="nil"/>
              <w:bottom w:val="single" w:color="auto" w:sz="4" w:space="0"/>
              <w:right w:val="single" w:color="auto" w:sz="4" w:space="0"/>
            </w:tcBorders>
            <w:vAlign w:val="center"/>
          </w:tcPr>
          <w:p w14:paraId="2ED409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鉴证后标的额</w:t>
            </w:r>
          </w:p>
        </w:tc>
        <w:tc>
          <w:tcPr>
            <w:tcW w:w="359" w:type="pct"/>
            <w:tcBorders>
              <w:top w:val="nil"/>
              <w:left w:val="nil"/>
              <w:bottom w:val="single" w:color="auto" w:sz="4" w:space="0"/>
              <w:right w:val="single" w:color="auto" w:sz="4" w:space="0"/>
            </w:tcBorders>
            <w:vAlign w:val="center"/>
          </w:tcPr>
          <w:p w14:paraId="51B654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00" w:type="pct"/>
            <w:tcBorders>
              <w:top w:val="nil"/>
              <w:left w:val="nil"/>
              <w:bottom w:val="single" w:color="auto" w:sz="4" w:space="0"/>
              <w:right w:val="single" w:color="auto" w:sz="4" w:space="0"/>
            </w:tcBorders>
            <w:vAlign w:val="center"/>
          </w:tcPr>
          <w:p w14:paraId="051ECD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414" w:type="pct"/>
            <w:tcBorders>
              <w:top w:val="nil"/>
              <w:left w:val="nil"/>
              <w:bottom w:val="single" w:color="auto" w:sz="4" w:space="0"/>
              <w:right w:val="single" w:color="auto" w:sz="4" w:space="0"/>
            </w:tcBorders>
            <w:vAlign w:val="center"/>
          </w:tcPr>
          <w:p w14:paraId="5092EFA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50" w:type="pct"/>
            <w:tcBorders>
              <w:top w:val="nil"/>
              <w:left w:val="nil"/>
              <w:bottom w:val="single" w:color="auto" w:sz="4" w:space="0"/>
              <w:right w:val="single" w:color="auto" w:sz="4" w:space="0"/>
            </w:tcBorders>
            <w:vAlign w:val="center"/>
          </w:tcPr>
          <w:p w14:paraId="17B74F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31" w:type="pct"/>
            <w:gridSpan w:val="2"/>
            <w:tcBorders>
              <w:top w:val="nil"/>
              <w:left w:val="nil"/>
              <w:bottom w:val="single" w:color="auto" w:sz="4" w:space="0"/>
              <w:right w:val="single" w:color="auto" w:sz="4" w:space="0"/>
            </w:tcBorders>
            <w:vAlign w:val="center"/>
          </w:tcPr>
          <w:p w14:paraId="328E8B2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99" w:type="pct"/>
            <w:tcBorders>
              <w:top w:val="nil"/>
              <w:left w:val="nil"/>
              <w:bottom w:val="single" w:color="auto" w:sz="4" w:space="0"/>
              <w:right w:val="single" w:color="auto" w:sz="4" w:space="0"/>
            </w:tcBorders>
            <w:vAlign w:val="center"/>
          </w:tcPr>
          <w:p w14:paraId="01F54D8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7" w:type="pct"/>
            <w:tcBorders>
              <w:top w:val="nil"/>
              <w:left w:val="nil"/>
              <w:bottom w:val="single" w:color="auto" w:sz="4" w:space="0"/>
              <w:right w:val="single" w:color="auto" w:sz="4" w:space="0"/>
            </w:tcBorders>
            <w:vAlign w:val="center"/>
          </w:tcPr>
          <w:p w14:paraId="74C6FA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差额定率累进计费；原被告单方有造价或双方均无造价</w:t>
            </w:r>
          </w:p>
        </w:tc>
      </w:tr>
      <w:tr w14:paraId="2D31FEB7">
        <w:tblPrEx>
          <w:tblCellMar>
            <w:top w:w="0" w:type="dxa"/>
            <w:left w:w="108" w:type="dxa"/>
            <w:bottom w:w="0" w:type="dxa"/>
            <w:right w:w="108" w:type="dxa"/>
          </w:tblCellMar>
        </w:tblPrEx>
        <w:trPr>
          <w:trHeight w:val="372" w:hRule="atLeast"/>
          <w:jc w:val="center"/>
        </w:trPr>
        <w:tc>
          <w:tcPr>
            <w:tcW w:w="160" w:type="pct"/>
            <w:vMerge w:val="continue"/>
            <w:tcBorders>
              <w:top w:val="nil"/>
              <w:left w:val="single" w:color="auto" w:sz="4" w:space="0"/>
              <w:bottom w:val="single" w:color="auto" w:sz="4" w:space="0"/>
              <w:right w:val="single" w:color="auto" w:sz="4" w:space="0"/>
            </w:tcBorders>
            <w:vAlign w:val="center"/>
          </w:tcPr>
          <w:p w14:paraId="788A1D2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53" w:type="pct"/>
            <w:gridSpan w:val="3"/>
            <w:vMerge w:val="continue"/>
            <w:tcBorders>
              <w:top w:val="single" w:color="auto" w:sz="4" w:space="0"/>
              <w:left w:val="single" w:color="auto" w:sz="4" w:space="0"/>
              <w:bottom w:val="single" w:color="auto" w:sz="4" w:space="0"/>
              <w:right w:val="single" w:color="auto" w:sz="4" w:space="0"/>
            </w:tcBorders>
            <w:vAlign w:val="center"/>
          </w:tcPr>
          <w:p w14:paraId="5E48A30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940" w:type="pct"/>
            <w:tcBorders>
              <w:top w:val="nil"/>
              <w:left w:val="nil"/>
              <w:bottom w:val="single" w:color="auto" w:sz="4" w:space="0"/>
              <w:right w:val="single" w:color="auto" w:sz="4" w:space="0"/>
            </w:tcBorders>
            <w:vAlign w:val="center"/>
          </w:tcPr>
          <w:p w14:paraId="6D21D1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受委托进行鉴证</w:t>
            </w:r>
          </w:p>
        </w:tc>
        <w:tc>
          <w:tcPr>
            <w:tcW w:w="518" w:type="pct"/>
            <w:tcBorders>
              <w:top w:val="nil"/>
              <w:left w:val="nil"/>
              <w:bottom w:val="single" w:color="auto" w:sz="4" w:space="0"/>
              <w:right w:val="single" w:color="auto" w:sz="4" w:space="0"/>
            </w:tcBorders>
            <w:vAlign w:val="center"/>
          </w:tcPr>
          <w:p w14:paraId="565E88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争议差额</w:t>
            </w:r>
          </w:p>
        </w:tc>
        <w:tc>
          <w:tcPr>
            <w:tcW w:w="2252" w:type="pct"/>
            <w:gridSpan w:val="7"/>
            <w:tcBorders>
              <w:top w:val="single" w:color="auto" w:sz="4" w:space="0"/>
              <w:left w:val="nil"/>
              <w:bottom w:val="single" w:color="auto" w:sz="4" w:space="0"/>
              <w:right w:val="single" w:color="auto" w:sz="4" w:space="0"/>
            </w:tcBorders>
            <w:vAlign w:val="center"/>
          </w:tcPr>
          <w:p w14:paraId="15136B0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争议差额在1000万以下（含1000万）按5%收取，1000万以上按4%收取</w:t>
            </w:r>
          </w:p>
        </w:tc>
        <w:tc>
          <w:tcPr>
            <w:tcW w:w="377" w:type="pct"/>
            <w:tcBorders>
              <w:top w:val="nil"/>
              <w:left w:val="nil"/>
              <w:bottom w:val="single" w:color="auto" w:sz="4" w:space="0"/>
              <w:right w:val="single" w:color="auto" w:sz="4" w:space="0"/>
            </w:tcBorders>
            <w:vAlign w:val="center"/>
          </w:tcPr>
          <w:p w14:paraId="4A3EA59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双方各有造价</w:t>
            </w:r>
          </w:p>
        </w:tc>
      </w:tr>
      <w:tr w14:paraId="4A70C907">
        <w:tblPrEx>
          <w:tblCellMar>
            <w:top w:w="0" w:type="dxa"/>
            <w:left w:w="108" w:type="dxa"/>
            <w:bottom w:w="0" w:type="dxa"/>
            <w:right w:w="108" w:type="dxa"/>
          </w:tblCellMar>
        </w:tblPrEx>
        <w:trPr>
          <w:trHeight w:val="744" w:hRule="atLeast"/>
          <w:jc w:val="center"/>
        </w:trPr>
        <w:tc>
          <w:tcPr>
            <w:tcW w:w="160" w:type="pct"/>
            <w:tcBorders>
              <w:top w:val="nil"/>
              <w:left w:val="single" w:color="auto" w:sz="4" w:space="0"/>
              <w:bottom w:val="single" w:color="auto" w:sz="4" w:space="0"/>
              <w:right w:val="single" w:color="auto" w:sz="4" w:space="0"/>
            </w:tcBorders>
            <w:vAlign w:val="center"/>
          </w:tcPr>
          <w:p w14:paraId="2F7112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53" w:type="pct"/>
            <w:gridSpan w:val="3"/>
            <w:tcBorders>
              <w:top w:val="single" w:color="auto" w:sz="4" w:space="0"/>
              <w:left w:val="nil"/>
              <w:bottom w:val="single" w:color="auto" w:sz="4" w:space="0"/>
              <w:right w:val="single" w:color="auto" w:sz="4" w:space="0"/>
            </w:tcBorders>
            <w:vAlign w:val="center"/>
          </w:tcPr>
          <w:p w14:paraId="422822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钢筋及预埋件计算</w:t>
            </w:r>
          </w:p>
        </w:tc>
        <w:tc>
          <w:tcPr>
            <w:tcW w:w="940" w:type="pct"/>
            <w:tcBorders>
              <w:top w:val="nil"/>
              <w:left w:val="nil"/>
              <w:bottom w:val="single" w:color="auto" w:sz="4" w:space="0"/>
              <w:right w:val="single" w:color="auto" w:sz="4" w:space="0"/>
            </w:tcBorders>
            <w:vAlign w:val="center"/>
          </w:tcPr>
          <w:p w14:paraId="1B2DA3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依据施工图纸、设计标准和施工操作规程计算或审核钢筋（或铁件）重量，提供完整的钢筋（或铁件）重量计算明细表、汇总表或审核报告</w:t>
            </w:r>
          </w:p>
        </w:tc>
        <w:tc>
          <w:tcPr>
            <w:tcW w:w="518" w:type="pct"/>
            <w:tcBorders>
              <w:top w:val="nil"/>
              <w:left w:val="nil"/>
              <w:bottom w:val="single" w:color="auto" w:sz="4" w:space="0"/>
              <w:right w:val="single" w:color="auto" w:sz="4" w:space="0"/>
            </w:tcBorders>
            <w:vAlign w:val="center"/>
          </w:tcPr>
          <w:p w14:paraId="267750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按实际钢筋使用量</w:t>
            </w:r>
          </w:p>
        </w:tc>
        <w:tc>
          <w:tcPr>
            <w:tcW w:w="2252" w:type="pct"/>
            <w:gridSpan w:val="7"/>
            <w:tcBorders>
              <w:top w:val="single" w:color="auto" w:sz="4" w:space="0"/>
              <w:left w:val="nil"/>
              <w:bottom w:val="single" w:color="auto" w:sz="4" w:space="0"/>
              <w:right w:val="single" w:color="auto" w:sz="4" w:space="0"/>
            </w:tcBorders>
            <w:vAlign w:val="center"/>
          </w:tcPr>
          <w:p w14:paraId="38CE06A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12元/吨</w:t>
            </w:r>
          </w:p>
        </w:tc>
        <w:tc>
          <w:tcPr>
            <w:tcW w:w="377" w:type="pct"/>
            <w:tcBorders>
              <w:top w:val="nil"/>
              <w:left w:val="nil"/>
              <w:bottom w:val="single" w:color="auto" w:sz="4" w:space="0"/>
              <w:right w:val="single" w:color="auto" w:sz="4" w:space="0"/>
            </w:tcBorders>
            <w:vAlign w:val="center"/>
          </w:tcPr>
          <w:p w14:paraId="224649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245E4BB">
        <w:tblPrEx>
          <w:tblCellMar>
            <w:top w:w="0" w:type="dxa"/>
            <w:left w:w="108" w:type="dxa"/>
            <w:bottom w:w="0" w:type="dxa"/>
            <w:right w:w="108" w:type="dxa"/>
          </w:tblCellMar>
        </w:tblPrEx>
        <w:trPr>
          <w:trHeight w:val="779" w:hRule="atLeast"/>
          <w:jc w:val="center"/>
        </w:trPr>
        <w:tc>
          <w:tcPr>
            <w:tcW w:w="160" w:type="pct"/>
            <w:tcBorders>
              <w:top w:val="nil"/>
              <w:left w:val="single" w:color="auto" w:sz="4" w:space="0"/>
              <w:bottom w:val="single" w:color="auto" w:sz="4" w:space="0"/>
              <w:right w:val="single" w:color="auto" w:sz="4" w:space="0"/>
            </w:tcBorders>
            <w:vAlign w:val="center"/>
          </w:tcPr>
          <w:p w14:paraId="08CFF4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53" w:type="pct"/>
            <w:gridSpan w:val="3"/>
            <w:tcBorders>
              <w:top w:val="single" w:color="auto" w:sz="4" w:space="0"/>
              <w:left w:val="nil"/>
              <w:bottom w:val="single" w:color="auto" w:sz="4" w:space="0"/>
              <w:right w:val="single" w:color="auto" w:sz="4" w:space="0"/>
            </w:tcBorders>
            <w:vAlign w:val="center"/>
          </w:tcPr>
          <w:p w14:paraId="38E16B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工程造价咨询工日收费标准</w:t>
            </w:r>
          </w:p>
        </w:tc>
        <w:tc>
          <w:tcPr>
            <w:tcW w:w="940" w:type="pct"/>
            <w:tcBorders>
              <w:top w:val="nil"/>
              <w:left w:val="nil"/>
              <w:bottom w:val="single" w:color="auto" w:sz="4" w:space="0"/>
              <w:right w:val="single" w:color="auto" w:sz="4" w:space="0"/>
            </w:tcBorders>
            <w:vAlign w:val="center"/>
          </w:tcPr>
          <w:p w14:paraId="07E3FCA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受委托派出专业人员从事工程造价咨询服务</w:t>
            </w:r>
          </w:p>
        </w:tc>
        <w:tc>
          <w:tcPr>
            <w:tcW w:w="518" w:type="pct"/>
            <w:tcBorders>
              <w:top w:val="nil"/>
              <w:left w:val="nil"/>
              <w:bottom w:val="single" w:color="auto" w:sz="4" w:space="0"/>
              <w:right w:val="single" w:color="auto" w:sz="4" w:space="0"/>
            </w:tcBorders>
            <w:vAlign w:val="center"/>
          </w:tcPr>
          <w:p w14:paraId="1BFF73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工时</w:t>
            </w:r>
          </w:p>
        </w:tc>
        <w:tc>
          <w:tcPr>
            <w:tcW w:w="2252" w:type="pct"/>
            <w:gridSpan w:val="7"/>
            <w:tcBorders>
              <w:top w:val="single" w:color="auto" w:sz="4" w:space="0"/>
              <w:left w:val="nil"/>
              <w:bottom w:val="single" w:color="auto" w:sz="4" w:space="0"/>
              <w:right w:val="single" w:color="auto" w:sz="4" w:space="0"/>
            </w:tcBorders>
            <w:vAlign w:val="center"/>
          </w:tcPr>
          <w:p w14:paraId="40E480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具有高级工程师职称的注册造价师：190元/人·工作小时；注册造价师或高级职称的咨询人员：150元/人·工作小时；工程造价中级资格专业人员：100元/人·工作小时；工程造价初级资格专业人员：60元/人·工作小时</w:t>
            </w:r>
          </w:p>
        </w:tc>
        <w:tc>
          <w:tcPr>
            <w:tcW w:w="377" w:type="pct"/>
            <w:tcBorders>
              <w:top w:val="nil"/>
              <w:left w:val="nil"/>
              <w:bottom w:val="single" w:color="auto" w:sz="4" w:space="0"/>
              <w:right w:val="single" w:color="auto" w:sz="4" w:space="0"/>
            </w:tcBorders>
            <w:vAlign w:val="center"/>
          </w:tcPr>
          <w:p w14:paraId="6A5ABB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6DF409E7">
      <w:pPr>
        <w:pStyle w:val="16"/>
        <w:keepNext w:val="0"/>
        <w:keepLines w:val="0"/>
        <w:pageBreakBefore w:val="0"/>
        <w:widowControl w:val="0"/>
        <w:kinsoku/>
        <w:wordWrap/>
        <w:overflowPunct/>
        <w:topLinePunct w:val="0"/>
        <w:autoSpaceDE w:val="0"/>
        <w:autoSpaceDN w:val="0"/>
        <w:bidi w:val="0"/>
        <w:adjustRightInd w:val="0"/>
        <w:snapToGrid w:val="0"/>
        <w:textAlignment w:val="auto"/>
        <w:rPr>
          <w:rFonts w:hint="default" w:ascii="宋体" w:hAnsi="宋体" w:eastAsia="宋体" w:cs="宋体"/>
          <w:b/>
          <w:bCs/>
          <w:color w:val="auto"/>
          <w:kern w:val="44"/>
          <w:sz w:val="32"/>
          <w:szCs w:val="32"/>
          <w:highlight w:val="none"/>
          <w:lang w:val="en-US" w:eastAsia="zh-CN"/>
        </w:rPr>
      </w:pPr>
    </w:p>
    <w:p w14:paraId="0890365C">
      <w:pPr>
        <w:pageBreakBefore/>
        <w:tabs>
          <w:tab w:val="left" w:pos="1080"/>
        </w:tabs>
        <w:autoSpaceDE w:val="0"/>
        <w:autoSpaceDN w:val="0"/>
        <w:adjustRightInd w:val="0"/>
        <w:spacing w:line="360" w:lineRule="auto"/>
        <w:ind w:left="357" w:leftChars="-100" w:hanging="567"/>
        <w:jc w:val="center"/>
        <w:outlineLvl w:val="9"/>
        <w:rPr>
          <w:rFonts w:hint="eastAsia" w:ascii="宋体" w:hAnsi="宋体" w:eastAsia="宋体" w:cs="宋体"/>
          <w:b/>
          <w:bCs/>
          <w:color w:val="auto"/>
          <w:kern w:val="44"/>
          <w:sz w:val="32"/>
          <w:szCs w:val="32"/>
          <w:highlight w:val="none"/>
          <w:lang w:val="zh-CN"/>
        </w:rPr>
        <w:sectPr>
          <w:pgSz w:w="15840" w:h="12240" w:orient="landscape"/>
          <w:pgMar w:top="1043" w:right="1191" w:bottom="1043" w:left="1191" w:header="720" w:footer="720" w:gutter="0"/>
          <w:cols w:space="0" w:num="1"/>
          <w:titlePg/>
          <w:rtlGutter w:val="0"/>
          <w:docGrid w:linePitch="326" w:charSpace="0"/>
        </w:sectPr>
      </w:pPr>
    </w:p>
    <w:p w14:paraId="31C009D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07" w:name="_Toc13960"/>
      <w:r>
        <w:rPr>
          <w:rFonts w:hint="eastAsia" w:ascii="宋体" w:hAnsi="宋体" w:eastAsia="宋体" w:cs="宋体"/>
          <w:b/>
          <w:bCs/>
          <w:color w:val="auto"/>
          <w:kern w:val="44"/>
          <w:sz w:val="32"/>
          <w:szCs w:val="32"/>
          <w:highlight w:val="none"/>
          <w:lang w:val="en-US" w:eastAsia="zh-CN"/>
        </w:rPr>
        <w:t>第</w:t>
      </w:r>
      <w:r>
        <w:rPr>
          <w:rFonts w:hint="eastAsia" w:ascii="宋体" w:hAnsi="宋体" w:eastAsia="宋体" w:cs="宋体"/>
          <w:b/>
          <w:bCs/>
          <w:color w:val="auto"/>
          <w:kern w:val="44"/>
          <w:sz w:val="32"/>
          <w:szCs w:val="32"/>
          <w:highlight w:val="none"/>
          <w:lang w:val="zh-CN"/>
        </w:rPr>
        <w:t>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98"/>
      <w:bookmarkEnd w:id="399"/>
      <w:bookmarkEnd w:id="400"/>
      <w:bookmarkEnd w:id="401"/>
      <w:bookmarkEnd w:id="402"/>
      <w:bookmarkEnd w:id="403"/>
      <w:bookmarkEnd w:id="404"/>
      <w:bookmarkEnd w:id="407"/>
    </w:p>
    <w:p w14:paraId="5B554501">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sz w:val="24"/>
          <w:szCs w:val="24"/>
          <w:highlight w:val="none"/>
        </w:rPr>
      </w:pPr>
    </w:p>
    <w:p w14:paraId="6578F9F7">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bidi="ar"/>
        </w:rPr>
        <w:t xml:space="preserve"> </w:t>
      </w:r>
    </w:p>
    <w:p w14:paraId="7E525326">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bidi="ar"/>
        </w:rPr>
        <w:t xml:space="preserve"> </w:t>
      </w:r>
    </w:p>
    <w:p w14:paraId="50B25C6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Times New Roman"/>
          <w:b/>
          <w:bCs w:val="0"/>
          <w:color w:val="auto"/>
          <w:kern w:val="0"/>
          <w:sz w:val="52"/>
          <w:szCs w:val="52"/>
          <w:highlight w:val="none"/>
        </w:rPr>
      </w:pPr>
      <w:r>
        <w:rPr>
          <w:rFonts w:hint="eastAsia" w:ascii="宋体" w:hAnsi="宋体" w:eastAsia="宋体" w:cs="宋体"/>
          <w:b/>
          <w:bCs w:val="0"/>
          <w:color w:val="auto"/>
          <w:kern w:val="0"/>
          <w:sz w:val="52"/>
          <w:szCs w:val="52"/>
          <w:highlight w:val="none"/>
          <w:lang w:val="en-US" w:eastAsia="zh-CN" w:bidi="ar"/>
        </w:rPr>
        <w:t>东莞市水务集团造价咨询服务单位库(2025-2026)采购项目</w:t>
      </w:r>
    </w:p>
    <w:p w14:paraId="0D5F482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Times New Roman"/>
          <w:bCs/>
          <w:color w:val="auto"/>
          <w:kern w:val="0"/>
          <w:sz w:val="52"/>
          <w:szCs w:val="52"/>
          <w:highlight w:val="none"/>
        </w:rPr>
      </w:pPr>
      <w:r>
        <w:rPr>
          <w:rFonts w:hint="eastAsia" w:ascii="宋体" w:hAnsi="宋体" w:eastAsia="宋体" w:cs="Times New Roman"/>
          <w:bCs/>
          <w:color w:val="auto"/>
          <w:kern w:val="0"/>
          <w:sz w:val="52"/>
          <w:szCs w:val="52"/>
          <w:highlight w:val="none"/>
          <w:lang w:val="en-US" w:eastAsia="zh-CN" w:bidi="ar"/>
        </w:rPr>
        <w:t xml:space="preserve"> </w:t>
      </w:r>
    </w:p>
    <w:p w14:paraId="26371E9E">
      <w:pPr>
        <w:keepNext w:val="0"/>
        <w:keepLines w:val="0"/>
        <w:widowControl w:val="0"/>
        <w:suppressLineNumbers w:val="0"/>
        <w:autoSpaceDE w:val="0"/>
        <w:autoSpaceDN w:val="0"/>
        <w:adjustRightInd w:val="0"/>
        <w:spacing w:before="840" w:beforeLines="350" w:beforeAutospacing="0" w:after="360" w:afterLines="150" w:afterAutospacing="0" w:line="360" w:lineRule="auto"/>
        <w:ind w:left="0" w:right="0"/>
        <w:jc w:val="center"/>
        <w:rPr>
          <w:rFonts w:hint="eastAsia" w:ascii="宋体" w:hAnsi="宋体" w:eastAsia="宋体" w:cs="Times New Roman"/>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lang w:val="en-US" w:eastAsia="zh-CN" w:bidi="ar"/>
        </w:rPr>
        <w:t>采购合同</w:t>
      </w:r>
    </w:p>
    <w:p w14:paraId="19777CA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Times New Roman"/>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（合同编号：</w:t>
      </w:r>
      <w:r>
        <w:rPr>
          <w:rFonts w:hint="eastAsia" w:ascii="宋体" w:hAnsi="宋体" w:eastAsia="宋体" w:cs="Times New Roman"/>
          <w:b/>
          <w:bCs/>
          <w:color w:val="auto"/>
          <w:kern w:val="0"/>
          <w:sz w:val="24"/>
          <w:szCs w:val="24"/>
          <w:highlight w:val="none"/>
          <w:lang w:val="en-US" w:eastAsia="zh-CN" w:bidi="ar"/>
        </w:rPr>
        <w:t xml:space="preserve">       </w:t>
      </w:r>
      <w:r>
        <w:rPr>
          <w:rFonts w:hint="eastAsia" w:ascii="宋体" w:hAnsi="宋体" w:eastAsia="宋体" w:cs="宋体"/>
          <w:b/>
          <w:bCs/>
          <w:color w:val="auto"/>
          <w:kern w:val="0"/>
          <w:sz w:val="24"/>
          <w:szCs w:val="24"/>
          <w:highlight w:val="none"/>
          <w:lang w:val="en-US" w:eastAsia="zh-CN" w:bidi="ar"/>
        </w:rPr>
        <w:t>）</w:t>
      </w:r>
    </w:p>
    <w:p w14:paraId="0FDED39D">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lang w:val="en-US" w:eastAsia="zh-CN" w:bidi="ar"/>
        </w:rPr>
        <w:t xml:space="preserve"> </w:t>
      </w:r>
    </w:p>
    <w:p w14:paraId="7094A47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lang w:val="en-US" w:eastAsia="zh-CN" w:bidi="ar"/>
        </w:rPr>
        <w:t xml:space="preserve"> </w:t>
      </w:r>
    </w:p>
    <w:p w14:paraId="5792F1A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lang w:val="en-US" w:eastAsia="zh-CN" w:bidi="ar"/>
        </w:rPr>
        <w:t xml:space="preserve"> </w:t>
      </w:r>
    </w:p>
    <w:p w14:paraId="7DEF489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lang w:val="en-US" w:eastAsia="zh-CN" w:bidi="ar"/>
        </w:rPr>
        <w:t xml:space="preserve"> </w:t>
      </w:r>
    </w:p>
    <w:p w14:paraId="203F96AF">
      <w:pPr>
        <w:keepNext w:val="0"/>
        <w:keepLines w:val="0"/>
        <w:widowControl w:val="0"/>
        <w:suppressLineNumbers w:val="0"/>
        <w:autoSpaceDE w:val="0"/>
        <w:autoSpaceDN w:val="0"/>
        <w:adjustRightInd w:val="0"/>
        <w:spacing w:before="0" w:beforeAutospacing="0" w:after="0" w:afterAutospacing="0" w:line="480" w:lineRule="auto"/>
        <w:ind w:left="0" w:right="0" w:firstLine="1102" w:firstLineChars="392"/>
        <w:jc w:val="left"/>
        <w:rPr>
          <w:rFonts w:hint="eastAsia"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bidi="ar"/>
        </w:rPr>
        <w:t>甲方：</w:t>
      </w:r>
      <w:r>
        <w:rPr>
          <w:rFonts w:hint="eastAsia" w:ascii="宋体" w:hAnsi="宋体" w:eastAsia="宋体" w:cs="宋体"/>
          <w:b/>
          <w:bCs/>
          <w:color w:val="auto"/>
          <w:kern w:val="0"/>
          <w:sz w:val="28"/>
          <w:szCs w:val="28"/>
          <w:highlight w:val="none"/>
          <w:u w:val="single"/>
          <w:lang w:val="en-US" w:eastAsia="zh-CN" w:bidi="ar"/>
        </w:rPr>
        <w:t>东莞市水务集团有限公司</w:t>
      </w:r>
      <w:r>
        <w:rPr>
          <w:rFonts w:hint="eastAsia" w:ascii="宋体" w:hAnsi="宋体" w:eastAsia="宋体" w:cs="Times New Roman"/>
          <w:b/>
          <w:bCs/>
          <w:color w:val="auto"/>
          <w:kern w:val="0"/>
          <w:sz w:val="28"/>
          <w:szCs w:val="28"/>
          <w:highlight w:val="none"/>
          <w:u w:val="single"/>
          <w:lang w:val="en-US" w:eastAsia="zh-CN" w:bidi="ar"/>
        </w:rPr>
        <w:t xml:space="preserve"> </w:t>
      </w:r>
      <w:r>
        <w:rPr>
          <w:rFonts w:hint="eastAsia" w:ascii="宋体" w:hAnsi="宋体" w:eastAsia="宋体" w:cs="Times New Roman"/>
          <w:b/>
          <w:bCs/>
          <w:color w:val="auto"/>
          <w:kern w:val="0"/>
          <w:sz w:val="28"/>
          <w:szCs w:val="28"/>
          <w:highlight w:val="none"/>
          <w:lang w:val="en-US" w:eastAsia="zh-CN" w:bidi="ar"/>
        </w:rPr>
        <w:t xml:space="preserve"> </w:t>
      </w:r>
    </w:p>
    <w:p w14:paraId="36024DA2">
      <w:pPr>
        <w:keepNext w:val="0"/>
        <w:keepLines w:val="0"/>
        <w:widowControl w:val="0"/>
        <w:suppressLineNumbers w:val="0"/>
        <w:autoSpaceDE w:val="0"/>
        <w:autoSpaceDN w:val="0"/>
        <w:adjustRightInd w:val="0"/>
        <w:spacing w:before="0" w:beforeAutospacing="0" w:after="0" w:afterAutospacing="0" w:line="480" w:lineRule="auto"/>
        <w:ind w:left="0" w:right="0" w:firstLine="1102" w:firstLineChars="392"/>
        <w:jc w:val="left"/>
        <w:rPr>
          <w:rFonts w:hint="eastAsia"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lang w:val="en-US" w:eastAsia="zh-CN" w:bidi="ar"/>
        </w:rPr>
        <w:t>乙方：</w:t>
      </w:r>
      <w:r>
        <w:rPr>
          <w:rFonts w:hint="eastAsia" w:ascii="宋体" w:hAnsi="宋体" w:eastAsia="宋体" w:cs="宋体"/>
          <w:b/>
          <w:bCs/>
          <w:color w:val="auto"/>
          <w:kern w:val="0"/>
          <w:sz w:val="28"/>
          <w:szCs w:val="28"/>
          <w:highlight w:val="none"/>
          <w:u w:val="single"/>
          <w:lang w:val="en-US" w:eastAsia="zh-CN" w:bidi="ar"/>
        </w:rPr>
        <w:t xml:space="preserve">                          </w:t>
      </w:r>
    </w:p>
    <w:p w14:paraId="53AB4C53">
      <w:pPr>
        <w:keepNext w:val="0"/>
        <w:keepLines w:val="0"/>
        <w:widowControl w:val="0"/>
        <w:suppressLineNumbers w:val="0"/>
        <w:autoSpaceDE w:val="0"/>
        <w:autoSpaceDN w:val="0"/>
        <w:adjustRightInd w:val="0"/>
        <w:spacing w:before="0" w:beforeAutospacing="0" w:after="0" w:afterAutospacing="0" w:line="360" w:lineRule="auto"/>
        <w:ind w:left="0" w:right="0"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bidi="ar"/>
        </w:rPr>
        <w:t xml:space="preserve"> </w:t>
      </w:r>
    </w:p>
    <w:p w14:paraId="4BA3E90D">
      <w:pPr>
        <w:keepNext w:val="0"/>
        <w:keepLines w:val="0"/>
        <w:widowControl w:val="0"/>
        <w:suppressLineNumbers w:val="0"/>
        <w:autoSpaceDE w:val="0"/>
        <w:autoSpaceDN w:val="0"/>
        <w:adjustRightInd w:val="0"/>
        <w:spacing w:before="0" w:beforeAutospacing="0" w:after="0" w:afterAutospacing="0" w:line="360" w:lineRule="auto"/>
        <w:ind w:left="0" w:right="0"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bidi="ar"/>
        </w:rPr>
        <w:t>签订日期：   年   月   日</w:t>
      </w:r>
    </w:p>
    <w:p w14:paraId="4FA682CE">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bidi="ar"/>
        </w:rPr>
        <w:t xml:space="preserve"> </w:t>
      </w:r>
    </w:p>
    <w:p w14:paraId="55E4D3F7">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bidi="ar"/>
        </w:rPr>
        <w:t xml:space="preserve"> </w:t>
      </w:r>
    </w:p>
    <w:p w14:paraId="6C01143C">
      <w:pPr>
        <w:keepNext w:val="0"/>
        <w:keepLines w:val="0"/>
        <w:pageBreakBefore/>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w:t>
      </w:r>
      <w:r>
        <w:rPr>
          <w:rFonts w:hint="eastAsia" w:ascii="宋体" w:hAnsi="宋体" w:eastAsia="宋体" w:cs="宋体"/>
          <w:color w:val="auto"/>
          <w:kern w:val="2"/>
          <w:sz w:val="21"/>
          <w:szCs w:val="21"/>
          <w:highlight w:val="none"/>
          <w:u w:val="single"/>
          <w:lang w:val="en-US" w:eastAsia="zh-CN" w:bidi="ar"/>
        </w:rPr>
        <w:t xml:space="preserve">东莞市水务集团有限公司  </w:t>
      </w:r>
      <w:r>
        <w:rPr>
          <w:rFonts w:hint="eastAsia" w:ascii="宋体" w:hAnsi="宋体" w:eastAsia="宋体" w:cs="宋体"/>
          <w:color w:val="auto"/>
          <w:kern w:val="2"/>
          <w:sz w:val="21"/>
          <w:szCs w:val="21"/>
          <w:highlight w:val="none"/>
          <w:lang w:val="en-US" w:eastAsia="zh-CN" w:bidi="ar"/>
        </w:rPr>
        <w:t xml:space="preserve"> </w:t>
      </w:r>
    </w:p>
    <w:p w14:paraId="50E24571">
      <w:pPr>
        <w:keepNext w:val="0"/>
        <w:keepLines w:val="0"/>
        <w:widowControl w:val="0"/>
        <w:suppressLineNumbers w:val="0"/>
        <w:spacing w:before="0" w:beforeAutospacing="0" w:after="60" w:afterAutospacing="0" w:line="5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w:t>
      </w:r>
      <w:r>
        <w:rPr>
          <w:rFonts w:hint="eastAsia" w:ascii="宋体" w:hAnsi="宋体" w:eastAsia="宋体" w:cs="宋体"/>
          <w:color w:val="auto"/>
          <w:kern w:val="2"/>
          <w:sz w:val="21"/>
          <w:szCs w:val="21"/>
          <w:highlight w:val="none"/>
          <w:u w:val="single"/>
          <w:lang w:val="en-US" w:eastAsia="zh-CN" w:bidi="ar"/>
        </w:rPr>
        <w:t xml:space="preserve">  （  中标人）          </w:t>
      </w:r>
      <w:r>
        <w:rPr>
          <w:rFonts w:hint="eastAsia" w:ascii="宋体" w:hAnsi="宋体" w:eastAsia="宋体" w:cs="宋体"/>
          <w:color w:val="auto"/>
          <w:kern w:val="2"/>
          <w:sz w:val="21"/>
          <w:szCs w:val="21"/>
          <w:highlight w:val="none"/>
          <w:lang w:val="en-US" w:eastAsia="zh-CN" w:bidi="ar"/>
        </w:rPr>
        <w:t xml:space="preserve"> </w:t>
      </w:r>
    </w:p>
    <w:p w14:paraId="468C3D49">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根据东莞市水务集团有限公司造价咨询服务供应商库项目</w:t>
      </w:r>
      <w:r>
        <w:rPr>
          <w:rFonts w:hint="eastAsia" w:ascii="宋体" w:hAnsi="宋体" w:eastAsia="宋体" w:cs="宋体"/>
          <w:color w:val="auto"/>
          <w:kern w:val="2"/>
          <w:sz w:val="21"/>
          <w:szCs w:val="21"/>
          <w:highlight w:val="none"/>
          <w:u w:val="single"/>
          <w:lang w:val="en-US" w:eastAsia="zh-CN" w:bidi="ar"/>
        </w:rPr>
        <w:t>(招标编号：          )</w:t>
      </w:r>
      <w:r>
        <w:rPr>
          <w:rFonts w:hint="eastAsia" w:ascii="宋体" w:hAnsi="宋体" w:eastAsia="宋体" w:cs="宋体"/>
          <w:color w:val="auto"/>
          <w:kern w:val="2"/>
          <w:sz w:val="21"/>
          <w:szCs w:val="21"/>
          <w:highlight w:val="none"/>
          <w:lang w:val="en-US" w:eastAsia="zh-CN" w:bidi="ar"/>
        </w:rPr>
        <w:t>招、投标文件及本次招标的中标通知书，依据《中华人民共和国民法典》，结合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日广东有德招标采购有限公司通知的</w:t>
      </w:r>
      <w:r>
        <w:rPr>
          <w:rFonts w:hint="eastAsia" w:ascii="宋体" w:hAnsi="宋体" w:eastAsia="宋体" w:cs="宋体"/>
          <w:color w:val="auto"/>
          <w:kern w:val="2"/>
          <w:sz w:val="21"/>
          <w:szCs w:val="21"/>
          <w:highlight w:val="none"/>
          <w:u w:val="single"/>
          <w:lang w:val="en-US" w:eastAsia="zh-CN" w:bidi="ar"/>
        </w:rPr>
        <w:t>东莞市水务集团有限公司造价咨询服务供应商库项目</w:t>
      </w:r>
      <w:r>
        <w:rPr>
          <w:rFonts w:hint="eastAsia" w:ascii="宋体" w:hAnsi="宋体" w:eastAsia="宋体" w:cs="宋体"/>
          <w:color w:val="auto"/>
          <w:kern w:val="2"/>
          <w:sz w:val="21"/>
          <w:szCs w:val="21"/>
          <w:highlight w:val="none"/>
          <w:lang w:val="en-US" w:eastAsia="zh-CN" w:bidi="ar"/>
        </w:rPr>
        <w:t>招标结果，经双方协商，签订本合同。</w:t>
      </w:r>
    </w:p>
    <w:p w14:paraId="51B59BC3">
      <w:pPr>
        <w:keepNext w:val="0"/>
        <w:keepLines w:val="0"/>
        <w:widowControl w:val="0"/>
        <w:suppressLineNumbers w:val="0"/>
        <w:spacing w:before="0" w:beforeAutospacing="0" w:after="0" w:afterAutospacing="0" w:line="360" w:lineRule="auto"/>
        <w:ind w:left="0" w:right="0" w:firstLine="422" w:firstLineChars="200"/>
        <w:jc w:val="both"/>
        <w:outlineLvl w:val="3"/>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第一条 合同范围及服务内容</w:t>
      </w:r>
    </w:p>
    <w:p w14:paraId="7689E6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本合同为东莞市水务集团有限公司造价咨询服务供应商库入库合同，乙方负责为甲方提供造价咨询服务，具体如下：</w:t>
      </w:r>
    </w:p>
    <w:p w14:paraId="3813EF43">
      <w:pPr>
        <w:keepNext w:val="0"/>
        <w:keepLines w:val="0"/>
        <w:widowControl w:val="0"/>
        <w:suppressLineNumbers w:val="0"/>
        <w:spacing w:before="0" w:beforeAutospacing="0" w:after="0" w:afterAutospacing="0" w:line="360" w:lineRule="auto"/>
        <w:ind w:left="0" w:right="0" w:firstLine="420" w:firstLineChars="20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 根据甲方要求和提供的资料完成估算、概算编制或审核，施工图预算编制或审核，招标控制价编制，变更预算编制或审核，工程结算编制或审核，施工阶段全过程造价控制，以及非工程类的货物采购、服务类项目的预算编审、合同结算等造价咨询业务，并出具成果文件。</w:t>
      </w:r>
    </w:p>
    <w:p w14:paraId="70576497">
      <w:pPr>
        <w:keepNext w:val="0"/>
        <w:keepLines w:val="0"/>
        <w:widowControl w:val="0"/>
        <w:suppressLineNumbers w:val="0"/>
        <w:spacing w:before="0" w:beforeAutospacing="0" w:after="0" w:afterAutospacing="0" w:line="360" w:lineRule="auto"/>
        <w:ind w:left="0" w:right="0" w:firstLine="420" w:firstLineChars="20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 积极配合甲方开展造价咨询服务工作，包括对数，修改、出具成果文件，扫描成果文件，必要时需派驻人员至甲方所在的办公地点（东莞市范围内）配合甲方开展造价咨询相关工作。</w:t>
      </w:r>
    </w:p>
    <w:p w14:paraId="1B54826F">
      <w:pPr>
        <w:keepNext w:val="0"/>
        <w:keepLines w:val="0"/>
        <w:widowControl w:val="0"/>
        <w:suppressLineNumbers w:val="0"/>
        <w:spacing w:before="0" w:beforeAutospacing="0" w:after="0" w:afterAutospacing="0" w:line="360" w:lineRule="auto"/>
        <w:ind w:left="0" w:right="0" w:firstLine="420" w:firstLineChars="200"/>
        <w:jc w:val="both"/>
        <w:outlineLvl w:val="2"/>
        <w:rPr>
          <w:rFonts w:hint="eastAsia" w:ascii="宋体" w:hAnsi="宋体" w:eastAsia="宋体" w:cs="宋体"/>
          <w:color w:val="auto"/>
          <w:kern w:val="2"/>
          <w:sz w:val="21"/>
          <w:szCs w:val="21"/>
          <w:highlight w:val="none"/>
        </w:rPr>
      </w:pPr>
      <w:bookmarkStart w:id="408" w:name="_Toc23375"/>
      <w:r>
        <w:rPr>
          <w:rFonts w:hint="eastAsia" w:ascii="宋体" w:hAnsi="宋体" w:eastAsia="宋体" w:cs="宋体"/>
          <w:color w:val="auto"/>
          <w:kern w:val="2"/>
          <w:sz w:val="21"/>
          <w:szCs w:val="21"/>
          <w:highlight w:val="none"/>
          <w:lang w:val="en-US" w:eastAsia="zh-CN" w:bidi="ar"/>
        </w:rPr>
        <w:t>1.3 对工作内容保密</w:t>
      </w:r>
      <w:r>
        <w:rPr>
          <w:rFonts w:hint="eastAsia" w:ascii="宋体" w:hAnsi="宋体" w:eastAsia="宋体" w:cs="宋体"/>
          <w:color w:val="auto"/>
          <w:spacing w:val="0"/>
          <w:kern w:val="0"/>
          <w:sz w:val="21"/>
          <w:szCs w:val="21"/>
          <w:highlight w:val="none"/>
          <w:vertAlign w:val="baseline"/>
          <w:lang w:val="en-US" w:eastAsia="zh-CN" w:bidi="ar"/>
        </w:rPr>
        <w:t>，</w:t>
      </w:r>
      <w:r>
        <w:rPr>
          <w:rFonts w:hint="eastAsia" w:ascii="宋体" w:hAnsi="宋体" w:eastAsia="宋体" w:cs="宋体"/>
          <w:color w:val="auto"/>
          <w:kern w:val="0"/>
          <w:sz w:val="21"/>
          <w:szCs w:val="21"/>
          <w:highlight w:val="none"/>
          <w:lang w:val="en-US" w:eastAsia="zh-CN" w:bidi="ar"/>
        </w:rPr>
        <w:t>中标人不得将招标人委派的工作交由他人完成</w:t>
      </w:r>
      <w:r>
        <w:rPr>
          <w:rFonts w:hint="eastAsia" w:ascii="宋体" w:hAnsi="宋体" w:eastAsia="宋体" w:cs="宋体"/>
          <w:color w:val="auto"/>
          <w:kern w:val="2"/>
          <w:sz w:val="21"/>
          <w:szCs w:val="21"/>
          <w:highlight w:val="none"/>
          <w:lang w:val="en-US" w:eastAsia="zh-CN" w:bidi="ar"/>
        </w:rPr>
        <w:t>。</w:t>
      </w:r>
      <w:bookmarkEnd w:id="408"/>
    </w:p>
    <w:p w14:paraId="4B1723A1">
      <w:pPr>
        <w:keepNext w:val="0"/>
        <w:keepLines w:val="0"/>
        <w:widowControl w:val="0"/>
        <w:suppressLineNumbers w:val="0"/>
        <w:spacing w:before="0" w:beforeAutospacing="0" w:after="0" w:afterAutospacing="0" w:line="360" w:lineRule="auto"/>
        <w:ind w:left="0" w:right="0" w:firstLine="422" w:firstLineChars="200"/>
        <w:jc w:val="both"/>
        <w:outlineLvl w:val="3"/>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第二条 服务期限</w:t>
      </w:r>
    </w:p>
    <w:p w14:paraId="42EF70A0">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b/>
          <w:bCs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服务期限：本合同项下供应商库服务期自中标通知书签发之日起2年，从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日至</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日止。（即   年  月  日起停止委派项目，已委派任务的单项服务项目乙方仍需按照本合同、派单通知书等约定完成履约）</w:t>
      </w:r>
    </w:p>
    <w:p w14:paraId="082A9C2A">
      <w:pPr>
        <w:keepNext w:val="0"/>
        <w:keepLines w:val="0"/>
        <w:widowControl w:val="0"/>
        <w:suppressLineNumbers w:val="0"/>
        <w:spacing w:before="0" w:beforeAutospacing="0" w:after="0" w:afterAutospacing="0" w:line="360" w:lineRule="auto"/>
        <w:ind w:left="0" w:right="0" w:firstLine="422" w:firstLineChars="200"/>
        <w:jc w:val="both"/>
        <w:outlineLvl w:val="3"/>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第三条  服务费的计算及支付方式</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42"/>
        <w:gridCol w:w="7300"/>
      </w:tblGrid>
      <w:tr w14:paraId="5D09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70BE9BD4">
            <w:pPr>
              <w:pStyle w:val="54"/>
              <w:keepNext w:val="0"/>
              <w:keepLines w:val="0"/>
              <w:widowControl w:val="0"/>
              <w:numPr>
                <w:ilvl w:val="-1"/>
                <w:numId w:val="0"/>
              </w:numPr>
              <w:suppressLineNumbers w:val="0"/>
              <w:spacing w:before="0" w:beforeAutospacing="0" w:after="0" w:afterAutospacing="0" w:line="360" w:lineRule="auto"/>
              <w:ind w:left="0" w:leftChars="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3.1 单项造价咨询服务费参照《广东省物价局关于调整我省建设工程造价咨询服务收费的复函（粤价函〔2011〕742号）》计费标准再乘以服务折扣系数0.8计算，详细计费方式见下表</w:t>
            </w:r>
            <w:r>
              <w:rPr>
                <w:rFonts w:hint="eastAsia" w:hAnsi="宋体" w:cs="宋体"/>
                <w:bCs w:val="0"/>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项目类型</w:t>
            </w:r>
          </w:p>
        </w:tc>
        <w:tc>
          <w:tcPr>
            <w:tcW w:w="7300" w:type="dxa"/>
            <w:tcBorders>
              <w:top w:val="single" w:color="auto" w:sz="4" w:space="0"/>
              <w:left w:val="single" w:color="auto" w:sz="4" w:space="0"/>
              <w:bottom w:val="single" w:color="auto" w:sz="4" w:space="0"/>
              <w:right w:val="single" w:color="auto" w:sz="4" w:space="0"/>
            </w:tcBorders>
            <w:shd w:val="clear" w:color="auto" w:fill="auto"/>
            <w:vAlign w:val="center"/>
          </w:tcPr>
          <w:p w14:paraId="0248F75F">
            <w:pPr>
              <w:pStyle w:val="54"/>
              <w:keepNext w:val="0"/>
              <w:keepLines w:val="0"/>
              <w:widowControl w:val="0"/>
              <w:numPr>
                <w:ilvl w:val="-1"/>
                <w:numId w:val="0"/>
              </w:numPr>
              <w:suppressLineNumbers w:val="0"/>
              <w:spacing w:before="0" w:beforeAutospacing="0" w:after="0" w:afterAutospacing="0" w:line="360" w:lineRule="auto"/>
              <w:ind w:left="0" w:leftChars="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计费方式</w:t>
            </w:r>
          </w:p>
        </w:tc>
      </w:tr>
      <w:tr w14:paraId="0D66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1EA82258">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投资估算、设计概算</w:t>
            </w:r>
          </w:p>
        </w:tc>
        <w:tc>
          <w:tcPr>
            <w:tcW w:w="7300" w:type="dxa"/>
            <w:tcBorders>
              <w:top w:val="single" w:color="auto" w:sz="4" w:space="0"/>
              <w:left w:val="single" w:color="auto" w:sz="4" w:space="0"/>
              <w:bottom w:val="single" w:color="auto" w:sz="4" w:space="0"/>
              <w:right w:val="single" w:color="auto" w:sz="4" w:space="0"/>
            </w:tcBorders>
            <w:shd w:val="clear" w:color="auto" w:fill="auto"/>
            <w:vAlign w:val="center"/>
          </w:tcPr>
          <w:p w14:paraId="3F19BFFD">
            <w:pPr>
              <w:pStyle w:val="39"/>
              <w:keepNext w:val="0"/>
              <w:keepLines w:val="0"/>
              <w:widowControl w:val="0"/>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按《广东省建设工程造价咨询服务收费标准》（粤价函〔2011〕742号）</w:t>
            </w:r>
            <w:r>
              <w:rPr>
                <w:rFonts w:hint="eastAsia" w:eastAsia="宋体" w:cs="宋体"/>
                <w:color w:val="auto"/>
                <w:kern w:val="2"/>
                <w:sz w:val="21"/>
                <w:szCs w:val="21"/>
                <w:highlight w:val="none"/>
                <w:lang w:val="en-US" w:eastAsia="zh-CN" w:bidi="ar"/>
              </w:rPr>
              <w:t>。</w:t>
            </w:r>
          </w:p>
        </w:tc>
      </w:tr>
      <w:tr w14:paraId="4435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523F715B">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工程招标控制价</w:t>
            </w:r>
          </w:p>
        </w:tc>
        <w:tc>
          <w:tcPr>
            <w:tcW w:w="7300" w:type="dxa"/>
            <w:tcBorders>
              <w:top w:val="single" w:color="auto" w:sz="4" w:space="0"/>
              <w:left w:val="single" w:color="auto" w:sz="4" w:space="0"/>
              <w:bottom w:val="single" w:color="auto" w:sz="4" w:space="0"/>
              <w:right w:val="single" w:color="auto" w:sz="4" w:space="0"/>
            </w:tcBorders>
            <w:shd w:val="clear" w:color="auto" w:fill="auto"/>
            <w:vAlign w:val="center"/>
          </w:tcPr>
          <w:p w14:paraId="368D7948">
            <w:pPr>
              <w:pStyle w:val="39"/>
              <w:keepNext w:val="0"/>
              <w:keepLines w:val="0"/>
              <w:widowControl w:val="0"/>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以工程招标控制价为基数，按《广东省建设工程造价咨询服务收费标准》（粤价函〔2011〕742号）中“单独编制或审核工程量清单”和“单独编制或审核预算造价”两部分标准。</w:t>
            </w:r>
          </w:p>
        </w:tc>
      </w:tr>
      <w:tr w14:paraId="3807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0B17F860">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施工图预算</w:t>
            </w:r>
          </w:p>
        </w:tc>
        <w:tc>
          <w:tcPr>
            <w:tcW w:w="7300" w:type="dxa"/>
            <w:tcBorders>
              <w:top w:val="single" w:color="auto" w:sz="4" w:space="0"/>
              <w:left w:val="single" w:color="auto" w:sz="4" w:space="0"/>
              <w:bottom w:val="single" w:color="auto" w:sz="4" w:space="0"/>
              <w:right w:val="single" w:color="auto" w:sz="4" w:space="0"/>
            </w:tcBorders>
            <w:shd w:val="clear" w:color="auto" w:fill="auto"/>
            <w:vAlign w:val="center"/>
          </w:tcPr>
          <w:p w14:paraId="06E4D090">
            <w:pPr>
              <w:pStyle w:val="39"/>
              <w:keepNext w:val="0"/>
              <w:keepLines w:val="0"/>
              <w:widowControl w:val="0"/>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以施工图预算价为基数，按《广东省建设工程造价咨询服务收费标准》（粤价函〔2011〕742号）中“单独编制或审核工程量清单”和“单独编制或审核预算造价”两部分标准。</w:t>
            </w:r>
          </w:p>
        </w:tc>
      </w:tr>
      <w:tr w14:paraId="1E52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272F40D6">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货物招标控制价、服务招标控制价</w:t>
            </w:r>
          </w:p>
        </w:tc>
        <w:tc>
          <w:tcPr>
            <w:tcW w:w="7300" w:type="dxa"/>
            <w:tcBorders>
              <w:top w:val="single" w:color="auto" w:sz="4" w:space="0"/>
              <w:left w:val="single" w:color="auto" w:sz="4" w:space="0"/>
              <w:bottom w:val="single" w:color="auto" w:sz="4" w:space="0"/>
              <w:right w:val="single" w:color="auto" w:sz="4" w:space="0"/>
            </w:tcBorders>
            <w:shd w:val="clear" w:color="auto" w:fill="auto"/>
            <w:vAlign w:val="center"/>
          </w:tcPr>
          <w:p w14:paraId="781E9A71">
            <w:pPr>
              <w:pStyle w:val="39"/>
              <w:keepNext w:val="0"/>
              <w:keepLines w:val="0"/>
              <w:widowControl w:val="0"/>
              <w:numPr>
                <w:ilvl w:val="0"/>
                <w:numId w:val="3"/>
              </w:numPr>
              <w:suppressLineNumbers w:val="0"/>
              <w:spacing w:before="0" w:beforeAutospacing="0" w:after="0" w:afterAutospacing="0" w:line="360" w:lineRule="auto"/>
              <w:ind w:left="0" w:right="0" w:firstLine="0" w:firstLineChars="0"/>
              <w:jc w:val="both"/>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lang w:val="en-US" w:eastAsia="zh-CN" w:bidi="ar"/>
              </w:rPr>
              <w:t>非工程类货物采购、服务类项目的预算编审以单个委托单的清单条数为基准，按200元/条计算，造价咨询费等于清单条数×200元/条，</w:t>
            </w:r>
            <w:r>
              <w:rPr>
                <w:rFonts w:hint="eastAsia" w:ascii="宋体" w:hAnsi="宋体" w:eastAsia="宋体" w:cs="宋体"/>
                <w:color w:val="auto"/>
                <w:kern w:val="2"/>
                <w:sz w:val="21"/>
                <w:szCs w:val="21"/>
                <w:highlight w:val="none"/>
                <w:lang w:val="en-US" w:eastAsia="zh-CN" w:bidi="ar"/>
              </w:rPr>
              <w:t>每单不足2000元按2000元，再乘以服务折扣系数；同时，</w:t>
            </w:r>
            <w:r>
              <w:rPr>
                <w:rFonts w:hint="eastAsia" w:ascii="宋体" w:hAnsi="宋体" w:eastAsia="宋体" w:cs="宋体"/>
                <w:color w:val="auto"/>
                <w:spacing w:val="0"/>
                <w:kern w:val="0"/>
                <w:sz w:val="21"/>
                <w:szCs w:val="21"/>
                <w:highlight w:val="none"/>
                <w:lang w:val="en-US" w:eastAsia="zh-CN" w:bidi="ar"/>
              </w:rPr>
              <w:t>单个委托单最高收费不超过</w:t>
            </w:r>
            <w:r>
              <w:rPr>
                <w:rFonts w:hint="eastAsia" w:ascii="宋体" w:hAnsi="宋体" w:eastAsia="宋体" w:cs="宋体"/>
                <w:color w:val="auto"/>
                <w:kern w:val="2"/>
                <w:sz w:val="21"/>
                <w:szCs w:val="21"/>
                <w:highlight w:val="none"/>
                <w:lang w:val="en-US" w:eastAsia="zh-CN" w:bidi="ar"/>
              </w:rPr>
              <w:t>按《广东省建设工程造价咨询服务收费标准》(粤价函(2011)742号)中“单独编制或审核预算造价”相应的收费标准计出的费用。</w:t>
            </w:r>
            <w:r>
              <w:rPr>
                <w:rFonts w:hint="eastAsia" w:ascii="宋体" w:hAnsi="宋体" w:eastAsia="宋体" w:cs="宋体"/>
                <w:color w:val="auto"/>
                <w:spacing w:val="0"/>
                <w:kern w:val="0"/>
                <w:sz w:val="21"/>
                <w:szCs w:val="21"/>
                <w:highlight w:val="none"/>
                <w:lang w:val="en-US" w:eastAsia="zh-CN" w:bidi="ar"/>
              </w:rPr>
              <w:t>如遇特殊情况双方另行协商确定。</w:t>
            </w:r>
          </w:p>
          <w:p w14:paraId="25C12F91">
            <w:pPr>
              <w:pStyle w:val="39"/>
              <w:keepNext w:val="0"/>
              <w:keepLines w:val="0"/>
              <w:widowControl w:val="0"/>
              <w:numPr>
                <w:ilvl w:val="0"/>
                <w:numId w:val="3"/>
              </w:numPr>
              <w:suppressLineNumbers w:val="0"/>
              <w:spacing w:before="0" w:beforeAutospacing="0" w:after="0" w:afterAutospacing="0" w:line="360" w:lineRule="auto"/>
              <w:ind w:left="0" w:right="0" w:firstLine="0" w:firstLineChars="0"/>
              <w:jc w:val="both"/>
              <w:rPr>
                <w:rFonts w:hint="eastAsia" w:ascii="宋体" w:hAnsi="宋体" w:eastAsia="宋体" w:cs="宋体"/>
                <w:color w:val="auto"/>
                <w:spacing w:val="0"/>
                <w:kern w:val="0"/>
                <w:sz w:val="21"/>
                <w:szCs w:val="21"/>
                <w:highlight w:val="none"/>
              </w:rPr>
            </w:pPr>
            <w:r>
              <w:rPr>
                <w:rFonts w:hint="eastAsia" w:ascii="宋体" w:hAnsi="宋体" w:eastAsia="宋体" w:cs="宋体"/>
                <w:color w:val="auto"/>
                <w:kern w:val="2"/>
                <w:sz w:val="21"/>
                <w:szCs w:val="21"/>
                <w:highlight w:val="none"/>
                <w:lang w:val="en-US" w:eastAsia="zh-CN" w:bidi="ar"/>
              </w:rPr>
              <w:t>设备购置费用占工程总造价超过40%的项目造价咨询费计费规则：（1）估算及概算审核造价咨询费用：以设备购置费的40%、建筑安装工程费及二、三类费用之和为计费基数，按《广东省建设工程造价咨询服务收费标准》(粤价函(2011)742号)中“可研估算的编制或审核”及“工程概算的编制或审核”对应标准（2）预算编制造价咨询费：以设备购置费的40%与建筑安装工程费之和为计费基数，按《广东省建设工程造价咨询服务收费标准》(粤价函(2011)742号)中“单独编制或审核工程量清单”和“单独编制或审核预算造价”两部分标准；</w:t>
            </w:r>
          </w:p>
        </w:tc>
      </w:tr>
      <w:tr w14:paraId="75B4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0D32B844">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工程变更预算</w:t>
            </w:r>
          </w:p>
        </w:tc>
        <w:tc>
          <w:tcPr>
            <w:tcW w:w="7300" w:type="dxa"/>
            <w:tcBorders>
              <w:top w:val="single" w:color="auto" w:sz="4" w:space="0"/>
              <w:left w:val="single" w:color="auto" w:sz="4" w:space="0"/>
              <w:bottom w:val="single" w:color="auto" w:sz="4" w:space="0"/>
              <w:right w:val="single" w:color="auto" w:sz="4" w:space="0"/>
            </w:tcBorders>
            <w:shd w:val="clear" w:color="auto" w:fill="auto"/>
            <w:vAlign w:val="center"/>
          </w:tcPr>
          <w:p w14:paraId="6DAABD28">
            <w:pPr>
              <w:pStyle w:val="39"/>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套用《广东省建设工程造价咨询服务收费标准》（粤价函〔2011〕742号）中“单独编制或审核工程量清单”和“单独编制或审核预算造价”两部分标准计算。其中（1）“单独编制或审核工程量清单”按“│变更前│+│变更后│”的审核金额作为收费基数；（2）“单独编制或审核预算造价”计算咨询费的收费基数为｜变更后｜的审核金额。</w:t>
            </w:r>
          </w:p>
        </w:tc>
      </w:tr>
      <w:tr w14:paraId="6155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19B29C96">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施工合同结算</w:t>
            </w:r>
          </w:p>
        </w:tc>
        <w:tc>
          <w:tcPr>
            <w:tcW w:w="7300" w:type="dxa"/>
            <w:tcBorders>
              <w:top w:val="single" w:color="auto" w:sz="4" w:space="0"/>
              <w:left w:val="single" w:color="auto" w:sz="4" w:space="0"/>
              <w:bottom w:val="single" w:color="auto" w:sz="4" w:space="0"/>
              <w:right w:val="single" w:color="auto" w:sz="4" w:space="0"/>
            </w:tcBorders>
            <w:shd w:val="clear" w:color="auto" w:fill="auto"/>
            <w:vAlign w:val="center"/>
          </w:tcPr>
          <w:p w14:paraId="355CE9E2">
            <w:pPr>
              <w:pStyle w:val="39"/>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一、总价包干合同：（1）原合同价部分不参与计算；（2）工程量偏差部分以送审金额为基数，按《广东省建设工程造价咨询服务收费标准》（粤价函〔2011〕742号）中“单独编制或审核工程量清单”标准计算</w:t>
            </w:r>
            <w:r>
              <w:rPr>
                <w:rFonts w:hint="eastAsia" w:eastAsia="宋体" w:cs="宋体"/>
                <w:color w:val="auto"/>
                <w:kern w:val="2"/>
                <w:sz w:val="21"/>
                <w:szCs w:val="21"/>
                <w:highlight w:val="none"/>
                <w:lang w:val="en-US" w:eastAsia="zh-CN" w:bidi="ar"/>
              </w:rPr>
              <w:t>，再乘以服务折扣系数</w:t>
            </w:r>
            <w:r>
              <w:rPr>
                <w:rFonts w:hint="eastAsia" w:ascii="宋体" w:hAnsi="宋体" w:eastAsia="宋体" w:cs="宋体"/>
                <w:color w:val="auto"/>
                <w:kern w:val="2"/>
                <w:sz w:val="21"/>
                <w:szCs w:val="21"/>
                <w:highlight w:val="none"/>
                <w:lang w:val="en-US" w:eastAsia="zh-CN" w:bidi="ar"/>
              </w:rPr>
              <w:t>，无需通过计算即可判断是否属于工程量偏差的情况按2000元</w:t>
            </w:r>
            <w:r>
              <w:rPr>
                <w:rFonts w:hint="eastAsia" w:eastAsia="宋体" w:cs="宋体"/>
                <w:color w:val="auto"/>
                <w:kern w:val="2"/>
                <w:sz w:val="21"/>
                <w:szCs w:val="21"/>
                <w:highlight w:val="none"/>
                <w:lang w:val="en-US" w:eastAsia="zh-CN" w:bidi="ar"/>
              </w:rPr>
              <w:t>，再乘以服务折扣系数</w:t>
            </w:r>
            <w:r>
              <w:rPr>
                <w:rFonts w:hint="eastAsia" w:ascii="宋体" w:hAnsi="宋体" w:eastAsia="宋体" w:cs="宋体"/>
                <w:color w:val="auto"/>
                <w:kern w:val="2"/>
                <w:sz w:val="21"/>
                <w:szCs w:val="21"/>
                <w:highlight w:val="none"/>
                <w:lang w:val="en-US" w:eastAsia="zh-CN" w:bidi="ar"/>
              </w:rPr>
              <w:t>；（3）合同内工程量清单虚增工程量，按核减金额的5%计</w:t>
            </w:r>
            <w:r>
              <w:rPr>
                <w:rFonts w:hint="default" w:ascii="宋体" w:hAnsi="宋体" w:eastAsia="宋体" w:cs="宋体"/>
                <w:color w:val="auto"/>
                <w:kern w:val="2"/>
                <w:sz w:val="21"/>
                <w:szCs w:val="21"/>
                <w:highlight w:val="none"/>
                <w:lang w:val="en-US" w:eastAsia="zh-CN" w:bidi="ar"/>
              </w:rPr>
              <w:t>费</w:t>
            </w:r>
            <w:r>
              <w:rPr>
                <w:rFonts w:hint="eastAsia" w:eastAsia="宋体" w:cs="宋体"/>
                <w:color w:val="auto"/>
                <w:kern w:val="2"/>
                <w:sz w:val="21"/>
                <w:szCs w:val="21"/>
                <w:highlight w:val="none"/>
                <w:lang w:val="en-US" w:eastAsia="zh-CN" w:bidi="ar"/>
              </w:rPr>
              <w:t>，再乘以服务折扣系数</w:t>
            </w:r>
            <w:r>
              <w:rPr>
                <w:rFonts w:hint="eastAsia" w:ascii="宋体" w:hAnsi="宋体" w:eastAsia="宋体" w:cs="宋体"/>
                <w:color w:val="auto"/>
                <w:kern w:val="2"/>
                <w:sz w:val="21"/>
                <w:szCs w:val="21"/>
                <w:highlight w:val="none"/>
                <w:lang w:val="en-US" w:eastAsia="zh-CN" w:bidi="ar"/>
              </w:rPr>
              <w:t>；（4）工程变更部分执行本表“工程变更预算”规则；（5）合同约定按实结算部分，原合同暂定费用不参与计算；（6）材差部分、赶工措施费部分及相关违约费用均不计费。</w:t>
            </w:r>
          </w:p>
          <w:p w14:paraId="2DF263B8">
            <w:pPr>
              <w:pStyle w:val="39"/>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二、非总价包干合同：按《广东省建设工程造价咨询服务收费标准》（粤价函〔2011〕742号）中的“工程结算审核”标准计算。</w:t>
            </w:r>
          </w:p>
        </w:tc>
      </w:tr>
      <w:tr w14:paraId="408A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0798F8BC">
            <w:pPr>
              <w:pStyle w:val="39"/>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货物合同结算、服务合同结算</w:t>
            </w:r>
          </w:p>
        </w:tc>
        <w:tc>
          <w:tcPr>
            <w:tcW w:w="7300" w:type="dxa"/>
            <w:tcBorders>
              <w:top w:val="single" w:color="auto" w:sz="4" w:space="0"/>
              <w:left w:val="single" w:color="auto" w:sz="4" w:space="0"/>
              <w:bottom w:val="single" w:color="auto" w:sz="4" w:space="0"/>
              <w:right w:val="single" w:color="auto" w:sz="4" w:space="0"/>
            </w:tcBorders>
            <w:shd w:val="clear" w:color="auto" w:fill="auto"/>
            <w:vAlign w:val="center"/>
          </w:tcPr>
          <w:p w14:paraId="554E84D3">
            <w:pPr>
              <w:pStyle w:val="39"/>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spacing w:val="0"/>
                <w:kern w:val="0"/>
                <w:sz w:val="21"/>
                <w:szCs w:val="21"/>
                <w:highlight w:val="none"/>
                <w:lang w:val="en-US" w:eastAsia="zh-CN" w:bidi="ar"/>
              </w:rPr>
              <w:t>货物合同结算、服务合同结算，以单个项目计算，每单2000元，再乘以服务折扣系数。</w:t>
            </w:r>
          </w:p>
        </w:tc>
      </w:tr>
    </w:tbl>
    <w:p w14:paraId="7E6EE674">
      <w:pPr>
        <w:pStyle w:val="39"/>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 xml:space="preserve"> </w:t>
      </w:r>
    </w:p>
    <w:p w14:paraId="4EB60159">
      <w:pPr>
        <w:keepNext w:val="0"/>
        <w:keepLines w:val="0"/>
        <w:widowControl/>
        <w:suppressLineNumbers w:val="0"/>
        <w:topLinePunct/>
        <w:autoSpaceDE w:val="0"/>
        <w:autoSpaceDN/>
        <w:adjustRightInd w:val="0"/>
        <w:snapToGrid w:val="0"/>
        <w:spacing w:before="0" w:beforeAutospacing="0" w:after="0" w:afterAutospacing="0" w:line="360" w:lineRule="auto"/>
        <w:ind w:left="0" w:right="435" w:firstLine="429"/>
        <w:jc w:val="both"/>
        <w:textAlignment w:val="baseline"/>
        <w:outlineLvl w:val="2"/>
        <w:rPr>
          <w:rFonts w:hint="eastAsia" w:ascii="宋体" w:hAnsi="宋体" w:eastAsia="宋体" w:cs="宋体"/>
          <w:color w:val="auto"/>
          <w:spacing w:val="0"/>
          <w:kern w:val="0"/>
          <w:sz w:val="21"/>
          <w:szCs w:val="21"/>
          <w:highlight w:val="none"/>
          <w:vertAlign w:val="baseline"/>
        </w:rPr>
      </w:pPr>
      <w:bookmarkStart w:id="409" w:name="_Toc8287"/>
      <w:r>
        <w:rPr>
          <w:rFonts w:hint="eastAsia" w:ascii="宋体" w:hAnsi="宋体" w:eastAsia="宋体" w:cs="宋体"/>
          <w:color w:val="auto"/>
          <w:spacing w:val="0"/>
          <w:kern w:val="0"/>
          <w:sz w:val="21"/>
          <w:szCs w:val="21"/>
          <w:highlight w:val="none"/>
          <w:vertAlign w:val="baseline"/>
          <w:lang w:val="en-US" w:eastAsia="zh-CN" w:bidi="ar"/>
        </w:rPr>
        <w:t>3.2 其他</w:t>
      </w:r>
      <w:bookmarkEnd w:id="409"/>
    </w:p>
    <w:p w14:paraId="1F89A186">
      <w:pPr>
        <w:keepNext w:val="0"/>
        <w:keepLines w:val="0"/>
        <w:widowControl/>
        <w:suppressLineNumbers w:val="0"/>
        <w:topLinePunct/>
        <w:autoSpaceDE w:val="0"/>
        <w:autoSpaceDN/>
        <w:adjustRightInd w:val="0"/>
        <w:snapToGrid w:val="0"/>
        <w:spacing w:before="0" w:beforeAutospacing="0" w:after="0" w:afterAutospacing="0" w:line="360" w:lineRule="auto"/>
        <w:ind w:left="0" w:right="435" w:firstLine="429"/>
        <w:jc w:val="both"/>
        <w:textAlignment w:val="baseline"/>
        <w:rPr>
          <w:rFonts w:hint="eastAsia" w:ascii="宋体" w:hAnsi="宋体" w:eastAsia="宋体" w:cs="宋体"/>
          <w:color w:val="auto"/>
          <w:spacing w:val="0"/>
          <w:kern w:val="0"/>
          <w:sz w:val="21"/>
          <w:szCs w:val="21"/>
          <w:highlight w:val="none"/>
          <w:vertAlign w:val="baseline"/>
        </w:rPr>
      </w:pPr>
      <w:r>
        <w:rPr>
          <w:rFonts w:hint="eastAsia" w:ascii="宋体" w:hAnsi="宋体" w:eastAsia="宋体" w:cs="宋体"/>
          <w:color w:val="auto"/>
          <w:spacing w:val="0"/>
          <w:kern w:val="0"/>
          <w:sz w:val="21"/>
          <w:szCs w:val="21"/>
          <w:highlight w:val="none"/>
          <w:vertAlign w:val="baseline"/>
          <w:lang w:val="en-US" w:eastAsia="zh-CN" w:bidi="ar"/>
        </w:rPr>
        <w:t>（1）清单不平衡报价审核按每单项（单项造价委托）2000 元，再乘以服务折扣系数0.8计取。</w:t>
      </w:r>
    </w:p>
    <w:p w14:paraId="026FC9EF">
      <w:pPr>
        <w:keepNext w:val="0"/>
        <w:keepLines w:val="0"/>
        <w:widowControl/>
        <w:suppressLineNumbers w:val="0"/>
        <w:topLinePunct/>
        <w:autoSpaceDE w:val="0"/>
        <w:autoSpaceDN/>
        <w:adjustRightInd w:val="0"/>
        <w:snapToGrid w:val="0"/>
        <w:spacing w:before="0" w:beforeAutospacing="0" w:after="0" w:afterAutospacing="0" w:line="360" w:lineRule="auto"/>
        <w:ind w:left="0" w:right="435" w:firstLine="429"/>
        <w:jc w:val="both"/>
        <w:textAlignment w:val="baseline"/>
        <w:rPr>
          <w:rFonts w:hint="eastAsia" w:ascii="宋体" w:hAnsi="宋体" w:eastAsia="宋体" w:cs="宋体"/>
          <w:color w:val="auto"/>
          <w:spacing w:val="0"/>
          <w:kern w:val="0"/>
          <w:sz w:val="21"/>
          <w:szCs w:val="21"/>
          <w:highlight w:val="none"/>
          <w:vertAlign w:val="baseline"/>
        </w:rPr>
      </w:pPr>
      <w:r>
        <w:rPr>
          <w:rFonts w:hint="eastAsia" w:ascii="宋体" w:hAnsi="宋体" w:eastAsia="宋体" w:cs="宋体"/>
          <w:color w:val="auto"/>
          <w:spacing w:val="0"/>
          <w:kern w:val="0"/>
          <w:sz w:val="21"/>
          <w:szCs w:val="21"/>
          <w:highlight w:val="none"/>
          <w:vertAlign w:val="baseline"/>
          <w:lang w:val="en-US" w:eastAsia="zh-CN" w:bidi="ar"/>
        </w:rPr>
        <w:t>（2）进度款支付审核按每单项（单项造价委托）2000 元，再乘以服务折扣系数0.8计取。</w:t>
      </w:r>
    </w:p>
    <w:p w14:paraId="151D75D6">
      <w:pPr>
        <w:keepNext w:val="0"/>
        <w:keepLines w:val="0"/>
        <w:widowControl/>
        <w:suppressLineNumbers w:val="0"/>
        <w:topLinePunct/>
        <w:autoSpaceDE w:val="0"/>
        <w:autoSpaceDN/>
        <w:adjustRightInd w:val="0"/>
        <w:snapToGrid w:val="0"/>
        <w:spacing w:before="0" w:beforeAutospacing="0" w:after="0" w:afterAutospacing="0" w:line="360" w:lineRule="auto"/>
        <w:ind w:left="0" w:right="435" w:firstLine="429"/>
        <w:jc w:val="both"/>
        <w:textAlignment w:val="baseline"/>
        <w:rPr>
          <w:rFonts w:hint="eastAsia" w:ascii="宋体" w:hAnsi="宋体" w:eastAsia="宋体" w:cs="宋体"/>
          <w:color w:val="auto"/>
          <w:spacing w:val="0"/>
          <w:kern w:val="0"/>
          <w:sz w:val="21"/>
          <w:szCs w:val="21"/>
          <w:highlight w:val="none"/>
          <w:vertAlign w:val="baseline"/>
        </w:rPr>
      </w:pPr>
      <w:r>
        <w:rPr>
          <w:rFonts w:hint="eastAsia" w:ascii="宋体" w:hAnsi="宋体" w:eastAsia="宋体" w:cs="宋体"/>
          <w:color w:val="auto"/>
          <w:spacing w:val="0"/>
          <w:kern w:val="0"/>
          <w:sz w:val="21"/>
          <w:szCs w:val="21"/>
          <w:highlight w:val="none"/>
          <w:vertAlign w:val="baseline"/>
          <w:lang w:val="en-US" w:eastAsia="zh-CN" w:bidi="ar"/>
        </w:rPr>
        <w:t>（3）如项目实施过程中，若存在单位工程未按概算总表中的单位工程目录实施，则施工阶段全过程造价咨询费的收费基数需重新调整对应的概算金额后重新计算。</w:t>
      </w:r>
    </w:p>
    <w:p w14:paraId="7C3299AC">
      <w:pPr>
        <w:keepNext w:val="0"/>
        <w:keepLines w:val="0"/>
        <w:widowControl/>
        <w:suppressLineNumbers w:val="0"/>
        <w:topLinePunct/>
        <w:adjustRightInd w:val="0"/>
        <w:snapToGrid w:val="0"/>
        <w:spacing w:before="0" w:beforeAutospacing="0" w:after="0" w:afterAutospacing="0" w:line="360" w:lineRule="auto"/>
        <w:ind w:left="0" w:right="435" w:firstLine="424" w:firstLineChars="202"/>
        <w:jc w:val="both"/>
        <w:textAlignment w:val="baseline"/>
        <w:rPr>
          <w:rFonts w:hint="eastAsia" w:ascii="宋体" w:hAnsi="宋体" w:eastAsia="宋体" w:cs="宋体"/>
          <w:color w:val="auto"/>
          <w:spacing w:val="0"/>
          <w:kern w:val="2"/>
          <w:sz w:val="21"/>
          <w:szCs w:val="21"/>
          <w:highlight w:val="none"/>
          <w:vertAlign w:val="baseline"/>
          <w:lang w:val="en-US" w:eastAsia="zh-CN" w:bidi="ar"/>
        </w:rPr>
      </w:pPr>
      <w:r>
        <w:rPr>
          <w:rFonts w:hint="eastAsia" w:ascii="宋体" w:hAnsi="宋体" w:eastAsia="宋体" w:cs="宋体"/>
          <w:color w:val="auto"/>
          <w:spacing w:val="0"/>
          <w:kern w:val="2"/>
          <w:sz w:val="21"/>
          <w:szCs w:val="21"/>
          <w:highlight w:val="none"/>
          <w:vertAlign w:val="baseline"/>
          <w:lang w:val="en-US" w:eastAsia="zh-CN" w:bidi="ar"/>
        </w:rPr>
        <w:t>（4）在造价咨询服务过程中，如因建设标准、项目完整性等原因造成设计图纸修改，致使工程造价需要重新修改和确定，双方另行商议需增加的工作时限以及造价咨询服务费用。</w:t>
      </w:r>
    </w:p>
    <w:p w14:paraId="545526B4">
      <w:pPr>
        <w:pStyle w:val="39"/>
        <w:keepNext w:val="0"/>
        <w:keepLines w:val="0"/>
        <w:widowControl/>
        <w:suppressLineNumbers w:val="0"/>
        <w:topLinePunct/>
        <w:adjustRightInd w:val="0"/>
        <w:snapToGrid w:val="0"/>
        <w:spacing w:before="0" w:beforeAutospacing="0" w:after="0" w:afterAutospacing="0" w:line="360" w:lineRule="auto"/>
        <w:ind w:left="0" w:right="435" w:firstLine="424" w:firstLineChars="202"/>
        <w:jc w:val="both"/>
        <w:textAlignment w:val="baseline"/>
        <w:rPr>
          <w:rFonts w:hint="eastAsia" w:ascii="宋体" w:hAnsi="宋体" w:eastAsia="宋体" w:cs="宋体"/>
          <w:color w:val="auto"/>
          <w:spacing w:val="0"/>
          <w:kern w:val="2"/>
          <w:sz w:val="21"/>
          <w:szCs w:val="21"/>
          <w:highlight w:val="none"/>
          <w:vertAlign w:val="baseline"/>
          <w:lang w:val="en-US" w:eastAsia="zh-CN" w:bidi="ar"/>
        </w:rPr>
      </w:pPr>
      <w:r>
        <w:rPr>
          <w:rFonts w:hint="eastAsia" w:eastAsia="宋体" w:cs="宋体"/>
          <w:color w:val="auto"/>
          <w:spacing w:val="0"/>
          <w:kern w:val="2"/>
          <w:sz w:val="21"/>
          <w:szCs w:val="21"/>
          <w:highlight w:val="none"/>
          <w:vertAlign w:val="baseline"/>
          <w:lang w:val="en-US" w:eastAsia="zh-CN" w:bidi="ar"/>
        </w:rPr>
        <w:t>（5）单项造价咨询服务项目，如编制或审核的成果金额中含土地征用、迁移补偿等为取得或租用土地使用权而发生的费用，则以编制或审核的成果金额直接扣减该费用作为收费基数。</w:t>
      </w:r>
    </w:p>
    <w:p w14:paraId="05A212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 单项造价咨询服务费包括了乙方完成招标文件和合同约定的全部工作所需支付的一切费用，为包干价，包括但不限于：</w:t>
      </w:r>
    </w:p>
    <w:p w14:paraId="51E1AD9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人员人工费（工资及加班工资、福利、社保、住房公积金、节日补贴、高温津贴、劳保、服装和膳食、意外伤害保险、加班费、住宿补贴、市内交通补贴、培训、经济补偿等）、驻场服务所需的差旅费、食宿费、交通费、通讯费、配合费、办理履约担保所需等费用；</w:t>
      </w:r>
    </w:p>
    <w:p w14:paraId="172A78B9">
      <w:pPr>
        <w:keepNext w:val="0"/>
        <w:keepLines w:val="0"/>
        <w:widowControl w:val="0"/>
        <w:suppressLineNumbers w:val="0"/>
        <w:spacing w:before="0" w:beforeAutospacing="0" w:after="0" w:afterAutospacing="0" w:line="360" w:lineRule="auto"/>
        <w:ind w:left="0" w:right="0" w:firstLine="420" w:firstLineChars="200"/>
        <w:jc w:val="both"/>
        <w:outlineLvl w:val="3"/>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（2）合理利润、税费等；</w:t>
      </w:r>
    </w:p>
    <w:p w14:paraId="31CFBAA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（3）法律法规、行业公认、完成合同实施过程中由乙方承担的其他直接及间接费用。</w:t>
      </w:r>
    </w:p>
    <w:p w14:paraId="0E2EA93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3.4 单项造价咨询服务费的具体付款方式按照单项造价咨询服务合同约定执行。</w:t>
      </w:r>
    </w:p>
    <w:p w14:paraId="45DA2F21">
      <w:pPr>
        <w:pStyle w:val="39"/>
        <w:keepNext w:val="0"/>
        <w:keepLines w:val="0"/>
        <w:widowControl w:val="0"/>
        <w:suppressLineNumbers w:val="0"/>
        <w:spacing w:before="0" w:beforeAutospacing="0" w:after="0" w:afterAutospacing="0" w:line="360" w:lineRule="auto"/>
        <w:ind w:left="0" w:right="0" w:firstLine="424" w:firstLineChars="202"/>
        <w:jc w:val="both"/>
        <w:rPr>
          <w:rFonts w:hint="default" w:ascii="宋体" w:hAnsi="宋体" w:eastAsia="宋体" w:cs="宋体"/>
          <w:color w:val="auto"/>
          <w:kern w:val="2"/>
          <w:sz w:val="21"/>
          <w:szCs w:val="21"/>
          <w:highlight w:val="none"/>
          <w:lang w:val="en-US" w:eastAsia="zh-CN" w:bidi="ar"/>
        </w:rPr>
      </w:pPr>
      <w:r>
        <w:rPr>
          <w:rFonts w:hint="eastAsia" w:eastAsia="宋体" w:cs="宋体"/>
          <w:color w:val="auto"/>
          <w:kern w:val="2"/>
          <w:sz w:val="21"/>
          <w:szCs w:val="21"/>
          <w:highlight w:val="none"/>
          <w:lang w:val="en-US" w:eastAsia="zh-CN" w:bidi="ar"/>
        </w:rPr>
        <w:t>3.5 单项造价审核服务费计费方式除“参照《广东省物价局关于调整我省建设工程造价咨询服务收费的复函（粤价函〔2011〕742号）》计费标准再乘以服务折扣系数0.8计算”外，招标人有权根据委托审核项目的复杂程度及重要性，另行制定其他计费方式（分为基础收费与效益收费两部分按比例计费的方式），单项总审核费用不超过该委托项目参照粤价函〔2011〕742号“计费标准”计算的80%。</w:t>
      </w:r>
    </w:p>
    <w:p w14:paraId="5F5A9E22">
      <w:pPr>
        <w:pStyle w:val="54"/>
        <w:rPr>
          <w:rFonts w:hint="eastAsia"/>
          <w:highlight w:val="none"/>
        </w:rPr>
      </w:pPr>
    </w:p>
    <w:p w14:paraId="535ADEEC">
      <w:pPr>
        <w:keepNext w:val="0"/>
        <w:keepLines w:val="0"/>
        <w:widowControl w:val="0"/>
        <w:suppressLineNumbers w:val="0"/>
        <w:spacing w:before="0" w:beforeAutospacing="0" w:after="0" w:afterAutospacing="0" w:line="360" w:lineRule="auto"/>
        <w:ind w:left="0" w:right="0" w:firstLine="422" w:firstLineChars="200"/>
        <w:jc w:val="both"/>
        <w:outlineLvl w:val="4"/>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第四条 项目分配方式</w:t>
      </w:r>
    </w:p>
    <w:p w14:paraId="64729B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供应商库服务期限内， 由甲方（及其直属企业）根据实际工作需要，分别与库内服务单位签订合同，并原则上通过随机抽取，轮流派单的方式进行造价咨询服务任务的委派。每轮次抽取由当期具备参与资格的协议服务单位一同参与。同一轮次抽取周期内，已被抽取的协议服务单位将不再参与后续单项服务业务的抽取，直至本周期结束开始下一轮次的抽取。特殊项目甲方（及其直属企业）有权根据需要择优选取服务单位。</w:t>
      </w:r>
    </w:p>
    <w:p w14:paraId="1D7CE9DA">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 在合同履行期间，甲方有权根据实际情况更换派单方式。对此，乙方应无条件服从甲方安排，并保证不向甲方追讨任何费用或主张任何权利和责任。</w:t>
      </w:r>
    </w:p>
    <w:p w14:paraId="5D56FD35">
      <w:pPr>
        <w:pStyle w:val="3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4.3 乙方应知悉本项目为组建造价咨询服务供应商库，中标入库仅代表取得造价咨询服务资格，并不意味着乙方必然获得具体的服务项目的机会，甲方不保证乙方所获得的服务项目数量，对此，乙方保证不要求甲方提供任何形式的补偿或赔偿。甲方有权根据日常管理规定对库内供应商进行管理考核。</w:t>
      </w:r>
      <w:r>
        <w:rPr>
          <w:rFonts w:hint="eastAsia" w:ascii="宋体" w:hAnsi="宋体" w:eastAsia="宋体" w:cs="宋体"/>
          <w:bCs/>
          <w:color w:val="auto"/>
          <w:kern w:val="0"/>
          <w:sz w:val="21"/>
          <w:szCs w:val="21"/>
          <w:highlight w:val="none"/>
          <w:lang w:val="en-US" w:eastAsia="zh-CN" w:bidi="ar"/>
        </w:rPr>
        <w:t xml:space="preserve"> </w:t>
      </w:r>
    </w:p>
    <w:p w14:paraId="4013E3CE">
      <w:pPr>
        <w:pStyle w:val="3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eastAsia="宋体" w:cs="宋体"/>
          <w:bCs/>
          <w:color w:val="auto"/>
          <w:kern w:val="0"/>
          <w:sz w:val="21"/>
          <w:szCs w:val="21"/>
          <w:highlight w:val="none"/>
          <w:lang w:val="en-US" w:eastAsia="zh-CN" w:bidi="ar"/>
        </w:rPr>
      </w:pPr>
      <w:r>
        <w:rPr>
          <w:rFonts w:hint="eastAsia" w:eastAsia="宋体" w:cs="宋体"/>
          <w:bCs/>
          <w:color w:val="auto"/>
          <w:kern w:val="0"/>
          <w:sz w:val="21"/>
          <w:szCs w:val="21"/>
          <w:highlight w:val="none"/>
          <w:lang w:val="en-US" w:eastAsia="zh-CN" w:bidi="ar"/>
        </w:rPr>
        <w:t>4.4 甲方有权根据需求情况，委托库外第三方服务单位承接业务。</w:t>
      </w:r>
    </w:p>
    <w:p w14:paraId="587BD402">
      <w:pPr>
        <w:pStyle w:val="3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eastAsia="宋体" w:cs="宋体"/>
          <w:bCs/>
          <w:color w:val="auto"/>
          <w:kern w:val="0"/>
          <w:sz w:val="21"/>
          <w:szCs w:val="21"/>
          <w:highlight w:val="none"/>
          <w:lang w:val="en-US" w:eastAsia="zh-CN" w:bidi="ar"/>
        </w:rPr>
      </w:pPr>
      <w:r>
        <w:rPr>
          <w:rFonts w:hint="eastAsia" w:eastAsia="宋体" w:cs="宋体"/>
          <w:bCs/>
          <w:color w:val="auto"/>
          <w:kern w:val="0"/>
          <w:sz w:val="21"/>
          <w:szCs w:val="21"/>
          <w:highlight w:val="none"/>
          <w:lang w:val="en-US" w:eastAsia="zh-CN" w:bidi="ar"/>
        </w:rPr>
        <w:t>4.5 因甲方原因导致已抽取安排的单项服务业务取消，甲方将在当期轮次周期对受影响的协议服务单位增加 1 次抽取参与资格。甲方不再对受影响的协议服务单位作出任何形式的补偿或赔偿。</w:t>
      </w:r>
    </w:p>
    <w:p w14:paraId="6A7F4CDA">
      <w:pPr>
        <w:pStyle w:val="3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eastAsia="宋体" w:cs="宋体"/>
          <w:bCs/>
          <w:color w:val="auto"/>
          <w:kern w:val="0"/>
          <w:sz w:val="21"/>
          <w:szCs w:val="21"/>
          <w:highlight w:val="none"/>
          <w:lang w:val="en-US" w:eastAsia="zh-CN" w:bidi="ar"/>
        </w:rPr>
      </w:pPr>
      <w:r>
        <w:rPr>
          <w:rFonts w:hint="eastAsia" w:eastAsia="宋体" w:cs="宋体"/>
          <w:bCs/>
          <w:color w:val="auto"/>
          <w:kern w:val="0"/>
          <w:sz w:val="21"/>
          <w:szCs w:val="21"/>
          <w:highlight w:val="none"/>
          <w:lang w:val="en-US" w:eastAsia="zh-CN" w:bidi="ar"/>
        </w:rPr>
        <w:t>4.6 协议服务期限内，各协议服务单位每完成一个服务项目后，由该项目采购人（甲方或</w:t>
      </w:r>
      <w:r>
        <w:rPr>
          <w:rFonts w:hint="eastAsia" w:ascii="宋体" w:hAnsi="宋体" w:eastAsia="宋体" w:cs="宋体"/>
          <w:color w:val="auto"/>
          <w:kern w:val="2"/>
          <w:sz w:val="21"/>
          <w:szCs w:val="21"/>
          <w:highlight w:val="none"/>
          <w:lang w:val="en-US" w:eastAsia="zh-CN" w:bidi="ar"/>
        </w:rPr>
        <w:t>其直属企业</w:t>
      </w:r>
      <w:r>
        <w:rPr>
          <w:rFonts w:hint="eastAsia" w:eastAsia="宋体" w:cs="宋体"/>
          <w:bCs/>
          <w:color w:val="auto"/>
          <w:kern w:val="0"/>
          <w:sz w:val="21"/>
          <w:szCs w:val="21"/>
          <w:highlight w:val="none"/>
          <w:lang w:val="en-US" w:eastAsia="zh-CN" w:bidi="ar"/>
        </w:rPr>
        <w:t>）将对其进行单项服务质量考核评价（详见附件2《</w:t>
      </w:r>
      <w:r>
        <w:rPr>
          <w:rFonts w:hint="eastAsia" w:ascii="宋体" w:hAnsi="宋体" w:eastAsia="宋体" w:cs="宋体"/>
          <w:color w:val="auto"/>
          <w:kern w:val="2"/>
          <w:sz w:val="21"/>
          <w:szCs w:val="21"/>
          <w:highlight w:val="none"/>
          <w:lang w:val="en-US" w:eastAsia="zh-CN" w:bidi="ar"/>
        </w:rPr>
        <w:t>造价咨询服务单位考核表</w:t>
      </w:r>
      <w:r>
        <w:rPr>
          <w:rFonts w:hint="eastAsia" w:eastAsia="宋体" w:cs="宋体"/>
          <w:color w:val="auto"/>
          <w:kern w:val="2"/>
          <w:sz w:val="21"/>
          <w:szCs w:val="21"/>
          <w:highlight w:val="none"/>
          <w:lang w:val="en-US" w:eastAsia="zh-CN" w:bidi="ar"/>
        </w:rPr>
        <w:t>》</w:t>
      </w:r>
      <w:r>
        <w:rPr>
          <w:rFonts w:hint="eastAsia" w:eastAsia="宋体" w:cs="宋体"/>
          <w:bCs/>
          <w:color w:val="auto"/>
          <w:kern w:val="0"/>
          <w:sz w:val="21"/>
          <w:szCs w:val="21"/>
          <w:highlight w:val="none"/>
          <w:lang w:val="en-US" w:eastAsia="zh-CN" w:bidi="ar"/>
        </w:rPr>
        <w:t>）。</w:t>
      </w:r>
    </w:p>
    <w:p w14:paraId="1CAEAE84">
      <w:pPr>
        <w:pStyle w:val="3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eastAsia="宋体" w:cs="宋体"/>
          <w:bCs/>
          <w:color w:val="auto"/>
          <w:kern w:val="0"/>
          <w:sz w:val="21"/>
          <w:szCs w:val="21"/>
          <w:highlight w:val="none"/>
          <w:lang w:val="en-US" w:eastAsia="zh-CN" w:bidi="ar"/>
        </w:rPr>
      </w:pPr>
      <w:r>
        <w:rPr>
          <w:rFonts w:hint="eastAsia" w:eastAsia="宋体" w:cs="宋体"/>
          <w:bCs/>
          <w:color w:val="auto"/>
          <w:kern w:val="0"/>
          <w:sz w:val="21"/>
          <w:szCs w:val="21"/>
          <w:highlight w:val="none"/>
          <w:lang w:val="en-US" w:eastAsia="zh-CN" w:bidi="ar"/>
        </w:rPr>
        <w:t>4.7 每季度甲方负责统计各服务单位的综合得分结果并进行排名。分值按从高到低的原则进行排名，得分相同的排名并列。</w:t>
      </w:r>
    </w:p>
    <w:p w14:paraId="55C9155D">
      <w:pPr>
        <w:pStyle w:val="3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eastAsia="宋体" w:cs="宋体"/>
          <w:bCs/>
          <w:color w:val="auto"/>
          <w:kern w:val="0"/>
          <w:sz w:val="21"/>
          <w:szCs w:val="21"/>
          <w:highlight w:val="none"/>
          <w:lang w:val="en-US" w:eastAsia="zh-CN" w:bidi="ar"/>
        </w:rPr>
      </w:pPr>
      <w:r>
        <w:rPr>
          <w:rFonts w:hint="eastAsia" w:eastAsia="宋体" w:cs="宋体"/>
          <w:bCs/>
          <w:color w:val="auto"/>
          <w:kern w:val="0"/>
          <w:sz w:val="21"/>
          <w:szCs w:val="21"/>
          <w:highlight w:val="none"/>
          <w:lang w:val="en-US" w:eastAsia="zh-CN" w:bidi="ar"/>
        </w:rPr>
        <w:t>4.8 因上述4.5款原因业务取消或获得考核排名第一的协议服务单位，甲方将在当期轮次周期内增加其1次抽取参与资格。每家协议服务单位在每一轮次增加的次数不超过1次，在同一轮抽取周期内，有多次待增补资格的协议服务单位，待增加的抽取参与资格顺延至下一轮次增加，直至完成对应服务单位需增加的次数。</w:t>
      </w:r>
    </w:p>
    <w:p w14:paraId="7F20E59C">
      <w:pPr>
        <w:pStyle w:val="3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eastAsia="宋体" w:cs="宋体"/>
          <w:bCs/>
          <w:color w:val="auto"/>
          <w:kern w:val="0"/>
          <w:sz w:val="21"/>
          <w:szCs w:val="21"/>
          <w:highlight w:val="none"/>
          <w:lang w:val="en-US" w:eastAsia="zh-CN" w:bidi="ar"/>
        </w:rPr>
      </w:pPr>
      <w:r>
        <w:rPr>
          <w:rFonts w:hint="eastAsia" w:eastAsia="宋体" w:cs="宋体"/>
          <w:bCs/>
          <w:color w:val="auto"/>
          <w:kern w:val="0"/>
          <w:sz w:val="21"/>
          <w:szCs w:val="21"/>
          <w:highlight w:val="none"/>
          <w:lang w:val="en-US" w:eastAsia="zh-CN" w:bidi="ar"/>
        </w:rPr>
        <w:t>4.9 考核排名最后的协议服务单位，甲方将在当期轮次周期内或下一轮次周期内取消其1次抽取参与资格。连续2次考核排名最后的协议服务单位，其被取消的抽取参与资格累加执行，直至执行完毕再参与下一轮次的抽取。连续3次（含本数）考核排名最后，或者累计2次（含本数）考核不合格，甲方有权单方面终止其协议服务资格并解除服务合同。</w:t>
      </w:r>
    </w:p>
    <w:p w14:paraId="3C85F322">
      <w:pPr>
        <w:pStyle w:val="3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eastAsia="宋体" w:cs="宋体"/>
          <w:bCs/>
          <w:color w:val="auto"/>
          <w:kern w:val="0"/>
          <w:sz w:val="21"/>
          <w:szCs w:val="21"/>
          <w:highlight w:val="none"/>
          <w:lang w:val="en-US" w:eastAsia="zh-CN" w:bidi="ar"/>
        </w:rPr>
      </w:pPr>
      <w:r>
        <w:rPr>
          <w:rFonts w:hint="eastAsia" w:eastAsia="宋体" w:cs="宋体"/>
          <w:bCs/>
          <w:color w:val="auto"/>
          <w:kern w:val="0"/>
          <w:sz w:val="21"/>
          <w:szCs w:val="21"/>
          <w:highlight w:val="none"/>
          <w:lang w:val="en-US" w:eastAsia="zh-CN" w:bidi="ar"/>
        </w:rPr>
        <w:t>4.10 乙方以任何理由拒绝承接已抽取确定的单项服务业务，将取消其1次抽取参与资格，与本合同4.9条一并执行。</w:t>
      </w:r>
    </w:p>
    <w:p w14:paraId="64A46839">
      <w:pPr>
        <w:keepNext w:val="0"/>
        <w:keepLines w:val="0"/>
        <w:widowControl w:val="0"/>
        <w:suppressLineNumbers w:val="0"/>
        <w:spacing w:before="0" w:beforeAutospacing="0" w:after="0" w:afterAutospacing="0" w:line="360" w:lineRule="auto"/>
        <w:ind w:left="0" w:right="0" w:firstLine="422" w:firstLineChars="200"/>
        <w:jc w:val="both"/>
        <w:outlineLvl w:val="4"/>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第五条 服务要求</w:t>
      </w:r>
    </w:p>
    <w:p w14:paraId="05322736">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 根据国家和省、市有关工程造价的法规、政策、文件、以及基建财务管理的有关规定，本着为甲方节约投资的原则，科学、客观、公正地开展工程造价咨询服务工作；应按甲方的要求，按时按质按量提供咨询报告，对成果报告的真实性、准确性、完整性、合法性、合理性负责，并负有保密责任。</w:t>
      </w:r>
    </w:p>
    <w:p w14:paraId="2D1C26E1">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5.2 根据甲方的委托，编制和审核的工程概预算(含最高限价)、招标工程量清单应确保结果完整、科学、准确，符合工程项目的实际情况和国家有关工程计价规范；招标工程量清单设置要科学、合理，不得有高估冒算、虚列项目，也不得有漏项漏量、重项错量等错误，如有上述错误，应负相应的责任。</w:t>
      </w:r>
    </w:p>
    <w:p w14:paraId="2564A33F">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 在编制和审核工程概预算(含最高限价)、招标工程量清单时，如甲方有相关需求，乙方须对项目的设计方案作出技术经济分析，并向甲方提出优化方案和合理化建议；</w:t>
      </w:r>
    </w:p>
    <w:p w14:paraId="11BD873B">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5.4货物（服务）采购项目的采购控制价进行市场询价(特殊材料除外)，应提交不少于三家或三家以上的有效报价，内容包括供应商名称、联系人、联系电话、报价明细、有效期，并提交对报价单位资质查询、对用户需求的响应分析、拟定价格方案等资料。具体以招标人相关制度要求为准。</w:t>
      </w:r>
    </w:p>
    <w:p w14:paraId="3D4B1A3E">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5.5 要坚持科学准确、客观真实、公平公正、合理合法、廉洁高效的原则，审核工程竣工结算。必须及时配合甲方解决结算审核中存在的技术问题，在服务过程中，如发现计价原则方法的确定、重大的签证审核以及工程管理中存在违规行为要及时向甲方反映，不得擅自作出处理，要对项目的全过程管理依法作出正确的评价。</w:t>
      </w:r>
    </w:p>
    <w:p w14:paraId="60E77255">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5.6 对存有疑问的地方，应配合甲方深入现场调查取证，逐一核实，按实际情况调整，保证工程造价咨询服务成果文件的合理性和真实性。重要的材料或设备价格，应及时与甲方沟通，协商确定合理的价格。</w:t>
      </w:r>
    </w:p>
    <w:p w14:paraId="0E262925">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5.7 配合甲方做好编审依据的收集及取证工作，所有的编审依据必须是有效的书面资料， 并妥善保存。</w:t>
      </w:r>
    </w:p>
    <w:p w14:paraId="79F0CDF6">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5.8 不得接受同一项目不同委托人的造价咨询服务委托，即就同一项目既接受招标人的委托，又接受项目投标供应商、承包单位等相对利益关系人的委托。</w:t>
      </w:r>
    </w:p>
    <w:p w14:paraId="716A4040">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5.9 项目的结果未经甲方许可，不得泄露给他人。乙方应对受托任务涉及的有关资料、内容、成果以及结论承担保密的义务。</w:t>
      </w:r>
    </w:p>
    <w:p w14:paraId="6FD37524">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5.10 对于甲方要求乙方驻场服务的项目，乙方有义务派出专业的人员驻场服务，招标人仅提供服务场地。</w:t>
      </w:r>
    </w:p>
    <w:p w14:paraId="7101F013">
      <w:pPr>
        <w:keepNext w:val="0"/>
        <w:keepLines w:val="0"/>
        <w:widowControl w:val="0"/>
        <w:suppressLineNumbers w:val="0"/>
        <w:tabs>
          <w:tab w:val="left" w:pos="540"/>
        </w:tabs>
        <w:spacing w:before="0" w:beforeAutospacing="0" w:after="0" w:afterAutospacing="0" w:line="360" w:lineRule="auto"/>
        <w:ind w:left="0" w:right="0" w:firstLine="422" w:firstLineChars="200"/>
        <w:jc w:val="both"/>
        <w:outlineLvl w:val="4"/>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第六条 单项造价咨询服务完成时间要求</w:t>
      </w:r>
    </w:p>
    <w:p w14:paraId="2EFA55C7">
      <w:pPr>
        <w:pStyle w:val="39"/>
        <w:keepNext w:val="0"/>
        <w:keepLines w:val="0"/>
        <w:widowControl w:val="0"/>
        <w:suppressLineNumbers w:val="0"/>
        <w:spacing w:before="0" w:beforeAutospacing="0" w:after="0" w:afterAutospacing="0" w:line="360" w:lineRule="auto"/>
        <w:ind w:left="426"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 参照《东莞市财政性资金投资建设项目工程造价咨询服务管理办法》的规定，具体如下：</w:t>
      </w:r>
    </w:p>
    <w:p w14:paraId="0FD2FBA2">
      <w:pPr>
        <w:pStyle w:val="39"/>
        <w:keepNext w:val="0"/>
        <w:keepLines w:val="0"/>
        <w:widowControl w:val="0"/>
        <w:suppressLineNumbers w:val="0"/>
        <w:autoSpaceDE w:val="0"/>
        <w:autoSpaceDN w:val="0"/>
        <w:adjustRightInd w:val="0"/>
        <w:spacing w:before="0" w:beforeAutospacing="0" w:after="0" w:afterAutospacing="0" w:line="360" w:lineRule="auto"/>
        <w:ind w:left="0" w:right="630" w:firstLine="400"/>
        <w:jc w:val="righ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单位：工作日</w:t>
      </w:r>
    </w:p>
    <w:tbl>
      <w:tblPr>
        <w:tblStyle w:val="44"/>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29"/>
        <w:gridCol w:w="3052"/>
        <w:gridCol w:w="850"/>
        <w:gridCol w:w="851"/>
        <w:gridCol w:w="850"/>
        <w:gridCol w:w="709"/>
        <w:gridCol w:w="709"/>
        <w:gridCol w:w="706"/>
        <w:gridCol w:w="629"/>
      </w:tblGrid>
      <w:tr w14:paraId="186C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64"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F070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3052"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5DE2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50D289">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市政路桥水利</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C9C2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土建</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4E7E2">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安装</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F7974">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14:paraId="0CCF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B981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05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3D8C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FD3B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审核</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701F2">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编制</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617C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审核</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08CC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编制</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646F4">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审核</w:t>
            </w:r>
          </w:p>
        </w:tc>
        <w:tc>
          <w:tcPr>
            <w:tcW w:w="7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74B42">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编制</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CD73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6A41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1AAC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一</w:t>
            </w:r>
          </w:p>
        </w:tc>
        <w:tc>
          <w:tcPr>
            <w:tcW w:w="3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CFED0">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概、预算(含招标工程量清单)</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1891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B8D8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C522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6507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52AC6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3F85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3FB5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18DC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52D54">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30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25B79">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500 万元以内</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BF56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B6687">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D9EFF">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5DE2A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F76F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7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6BA7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3CF0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5D8B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2448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30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08EE4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500-2500 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ED0B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5657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7B384">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7CA40">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B1AB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7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7D8F9">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575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2BDD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1375F">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30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F7B9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2500-5000 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E959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0ABE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262B4">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B6F61">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16B57">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7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6638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00C9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3ED9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F675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30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E7FB2">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5000-7500 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461F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A4327">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A5AF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C3C89">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40BBA">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7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6D1AD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89F8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70F6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144B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30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5654B">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7500-10000 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0FECF">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3708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BC769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081A7">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DFF93">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7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920A0">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0FD0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2B0B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96D0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30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AB561">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10000 万元以上</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55342">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A0E60">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E640B">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BC343">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8BB3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7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B805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12CF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304E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75A6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二</w:t>
            </w:r>
          </w:p>
        </w:tc>
        <w:tc>
          <w:tcPr>
            <w:tcW w:w="30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A7EF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结算</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BF74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18F2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6876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87CD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D1B5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92E9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BD1E6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25D4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3B43F">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30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831A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500 万元以内</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2F322">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D897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2F497">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2EC92">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F771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7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F2FEF">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E44A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05F7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2B6B8">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30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5FEA1">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500-2500 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7104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824B9">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46867">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F48E1">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DFA0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7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2FDD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97A2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5E19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FC620">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30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3F8E4">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2500-5000 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EB78F">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55B81">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E958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1621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E94A9">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7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5A56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A315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093A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8224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30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38F59">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5000-7500 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DE82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17F1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EFEDB">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811FEF">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B00A3">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7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608DE">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3E10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2A17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6A37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30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CB960">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7500-10000 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89770">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B483A">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C3B275">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1327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23</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51A53">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w:t>
            </w:r>
          </w:p>
        </w:tc>
        <w:tc>
          <w:tcPr>
            <w:tcW w:w="7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9C8B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C655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76B6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B6F2F">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30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5C24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 10000 万元以上</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C77DA">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E9F8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3D35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8CBFF">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26</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1420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w:t>
            </w:r>
          </w:p>
        </w:tc>
        <w:tc>
          <w:tcPr>
            <w:tcW w:w="7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23E66">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1440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bl>
    <w:p w14:paraId="5FC75853">
      <w:pPr>
        <w:keepNext w:val="0"/>
        <w:keepLines w:val="0"/>
        <w:widowControl w:val="0"/>
        <w:suppressLineNumbers w:val="0"/>
        <w:spacing w:before="0" w:beforeAutospacing="1"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6.2 以上时限为完成单项工程造价咨询服务成果文件的全部时间，包括编审、对数、现场勘察及复核后修改等时间；对于</w:t>
      </w:r>
      <w:r>
        <w:rPr>
          <w:rFonts w:hint="eastAsia" w:ascii="宋体" w:hAnsi="宋体" w:eastAsia="宋体" w:cs="宋体"/>
          <w:color w:val="auto"/>
          <w:spacing w:val="0"/>
          <w:kern w:val="0"/>
          <w:sz w:val="21"/>
          <w:szCs w:val="21"/>
          <w:highlight w:val="none"/>
          <w:lang w:val="en-US" w:eastAsia="zh-CN" w:bidi="ar"/>
        </w:rPr>
        <w:t>非工程类货物采购、服务类项目的</w:t>
      </w:r>
      <w:r>
        <w:rPr>
          <w:rFonts w:hint="eastAsia" w:ascii="宋体" w:hAnsi="宋体" w:eastAsia="宋体" w:cs="宋体"/>
          <w:color w:val="auto"/>
          <w:kern w:val="2"/>
          <w:sz w:val="21"/>
          <w:szCs w:val="21"/>
          <w:highlight w:val="none"/>
          <w:lang w:val="en-US" w:eastAsia="zh-CN" w:bidi="ar"/>
        </w:rPr>
        <w:t>咨询服务成果完成时限为10个工作日。招标人有权根据单项工作实际情况，要求造价咨询服务单位加快完成相关工作，造价咨询机构应予以配合。</w:t>
      </w:r>
    </w:p>
    <w:p w14:paraId="06F9F2F6">
      <w:pPr>
        <w:keepNext w:val="0"/>
        <w:keepLines w:val="0"/>
        <w:widowControl w:val="0"/>
        <w:suppressLineNumbers w:val="0"/>
        <w:tabs>
          <w:tab w:val="left" w:pos="540"/>
        </w:tabs>
        <w:spacing w:before="0" w:beforeAutospacing="0" w:after="0" w:afterAutospacing="0" w:line="360" w:lineRule="auto"/>
        <w:ind w:left="0" w:right="0" w:firstLine="422" w:firstLineChars="200"/>
        <w:jc w:val="both"/>
        <w:outlineLvl w:val="4"/>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第七条 日常管理</w:t>
      </w:r>
    </w:p>
    <w:p w14:paraId="4A3C3575">
      <w:pPr>
        <w:keepNext w:val="0"/>
        <w:keepLines w:val="0"/>
        <w:widowControl w:val="0"/>
        <w:suppressLineNumbers w:val="0"/>
        <w:tabs>
          <w:tab w:val="left" w:pos="54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 乙方每完成一个单项项目后有义务接受甲方的考核评价，考核内容详见附件2《造价咨询服务单位考核表》（以下简称“《考核表》”）。乙方应知悉甲方有权在服务期内对考核规定及内容作出调整，乙方应无条件接受。</w:t>
      </w:r>
    </w:p>
    <w:p w14:paraId="17EC8ADD">
      <w:pPr>
        <w:keepNext w:val="0"/>
        <w:keepLines w:val="0"/>
        <w:widowControl w:val="0"/>
        <w:suppressLineNumbers w:val="0"/>
        <w:tabs>
          <w:tab w:val="left" w:pos="54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 甲方将不定期对乙方办公场所，投入服务人员情况进行抽查。若乙方未按招标文件、投标文件、合同约定（或未按约定的同等条件）配备必要的办公场所、设备或者服务人员的，甲方有权要求乙方改正，如乙方仍拒不改正的，甲方有权选择单方解除本合同，并要求乙方向甲方支付人民币20,000.00元的违约金。</w:t>
      </w:r>
    </w:p>
    <w:p w14:paraId="72442323">
      <w:pPr>
        <w:keepNext w:val="0"/>
        <w:keepLines w:val="0"/>
        <w:widowControl w:val="0"/>
        <w:suppressLineNumbers w:val="0"/>
        <w:tabs>
          <w:tab w:val="left" w:pos="54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 为保证项目执行的有效性及连续性，乙方应设置固定的项目负责人，其中乙方承诺保障咨询服务的整体高质量与高水平。乙方应确认一名项目联系人（乙方联系人：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），负责与甲方日常业务联系。联系人可以是项目负责人，或者是乙方拟投项目服务团队中的其他工作人员。</w:t>
      </w:r>
    </w:p>
    <w:p w14:paraId="2E282243">
      <w:pPr>
        <w:keepNext w:val="0"/>
        <w:keepLines w:val="0"/>
        <w:widowControl w:val="0"/>
        <w:suppressLineNumbers w:val="0"/>
        <w:tabs>
          <w:tab w:val="left" w:pos="54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 乙方需更换项目服务团队人员的，更换人员的资历条件应不低于投标文件中承诺的同等条件，且须经征得甲方书面同意后方能进行更换。在履约过程中，乙方未经甲方批准自行更换服务人员或拒不按甲方要求更换服务人员的，甲方有权要求限期改正，并按每人次人民币10,000.00元的标准要求乙方支付违约金。如乙方逾期仍不改正的或在一季度内，违反本合同约定连续或累计达3次或以上的，甲方有权单方解除本合同，并要求乙方支付人民币20,000.00元的违约金，同时没收本项目履约担保。</w:t>
      </w:r>
    </w:p>
    <w:p w14:paraId="6F9A8B27">
      <w:pPr>
        <w:keepNext w:val="0"/>
        <w:keepLines w:val="0"/>
        <w:widowControl w:val="0"/>
        <w:suppressLineNumbers w:val="0"/>
        <w:tabs>
          <w:tab w:val="left" w:pos="54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 合同履行期间，甲方有权视情况对日常管理规定进行调整，乙方应服从甲方管理规定。</w:t>
      </w:r>
    </w:p>
    <w:p w14:paraId="11CEF1EB">
      <w:pPr>
        <w:keepNext w:val="0"/>
        <w:keepLines w:val="0"/>
        <w:widowControl w:val="0"/>
        <w:suppressLineNumbers w:val="0"/>
        <w:tabs>
          <w:tab w:val="left" w:pos="54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7.6 甲方有权根据考核评价结果增加或暂停向乙方分配单项造价咨询服务或追究违约责任或取消乙方造价咨询服务资格。</w:t>
      </w:r>
    </w:p>
    <w:p w14:paraId="5FD84947">
      <w:pPr>
        <w:keepNext w:val="0"/>
        <w:keepLines w:val="0"/>
        <w:widowControl w:val="0"/>
        <w:suppressLineNumbers w:val="0"/>
        <w:tabs>
          <w:tab w:val="left" w:pos="54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7.7 甲方有权根据需求情况，适时补充其他造价咨询服务供应商进入供应商库，乙方对此无异议。</w:t>
      </w:r>
    </w:p>
    <w:p w14:paraId="573B0726">
      <w:pPr>
        <w:keepNext w:val="0"/>
        <w:keepLines w:val="0"/>
        <w:widowControl w:val="0"/>
        <w:suppressLineNumbers w:val="0"/>
        <w:tabs>
          <w:tab w:val="left" w:pos="54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7.8</w:t>
      </w:r>
      <w:r>
        <w:rPr>
          <w:rFonts w:hint="eastAsia" w:ascii="宋体" w:hAnsi="宋体" w:eastAsia="宋体" w:cs="宋体"/>
          <w:color w:val="auto"/>
          <w:kern w:val="2"/>
          <w:sz w:val="21"/>
          <w:szCs w:val="21"/>
          <w:highlight w:val="none"/>
          <w:lang w:val="en-US" w:eastAsia="zh-CN" w:bidi="ar"/>
        </w:rPr>
        <w:t>乙方人员有下列情形之一的，乙方应在收到甲方更换人员要求后7天内无条件完成相关人员更换：</w:t>
      </w:r>
    </w:p>
    <w:p w14:paraId="5A3E13C4">
      <w:pPr>
        <w:keepNext w:val="0"/>
        <w:keepLines w:val="0"/>
        <w:widowControl w:val="0"/>
        <w:suppressLineNumbers w:val="0"/>
        <w:tabs>
          <w:tab w:val="left" w:pos="54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（1）严重过失行为的；</w:t>
      </w:r>
    </w:p>
    <w:p w14:paraId="2B721065">
      <w:pPr>
        <w:keepNext w:val="0"/>
        <w:keepLines w:val="0"/>
        <w:widowControl w:val="0"/>
        <w:suppressLineNumbers w:val="0"/>
        <w:tabs>
          <w:tab w:val="left" w:pos="54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（2）有违法行为不能履行职责的；</w:t>
      </w:r>
    </w:p>
    <w:p w14:paraId="0D2088AC">
      <w:pPr>
        <w:keepNext w:val="0"/>
        <w:keepLines w:val="0"/>
        <w:widowControl w:val="0"/>
        <w:suppressLineNumbers w:val="0"/>
        <w:tabs>
          <w:tab w:val="left" w:pos="54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（3）涉嫌犯罪的；</w:t>
      </w:r>
    </w:p>
    <w:p w14:paraId="28A81418">
      <w:pPr>
        <w:keepNext w:val="0"/>
        <w:keepLines w:val="0"/>
        <w:widowControl w:val="0"/>
        <w:suppressLineNumbers w:val="0"/>
        <w:tabs>
          <w:tab w:val="left" w:pos="54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（4）不能胜任岗位职责的；</w:t>
      </w:r>
    </w:p>
    <w:p w14:paraId="28F8938D">
      <w:pPr>
        <w:keepNext w:val="0"/>
        <w:keepLines w:val="0"/>
        <w:widowControl w:val="0"/>
        <w:suppressLineNumbers w:val="0"/>
        <w:tabs>
          <w:tab w:val="left" w:pos="54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（5）严重违反职业道德的；</w:t>
      </w:r>
    </w:p>
    <w:p w14:paraId="2D1A0CA5">
      <w:pPr>
        <w:keepNext w:val="0"/>
        <w:keepLines w:val="0"/>
        <w:widowControl w:val="0"/>
        <w:suppressLineNumbers w:val="0"/>
        <w:tabs>
          <w:tab w:val="left" w:pos="54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（6）2次（含）不通过甲方组织的专项考核（如有）的；</w:t>
      </w:r>
    </w:p>
    <w:p w14:paraId="65683984">
      <w:pPr>
        <w:pStyle w:val="39"/>
        <w:keepNext w:val="0"/>
        <w:keepLines w:val="0"/>
        <w:widowControl w:val="0"/>
        <w:suppressLineNumbers w:val="0"/>
        <w:tabs>
          <w:tab w:val="left" w:pos="540"/>
        </w:tabs>
        <w:autoSpaceDE w:val="0"/>
        <w:autoSpaceDN w:val="0"/>
        <w:adjustRightInd w:val="0"/>
        <w:spacing w:before="0" w:beforeAutospacing="0" w:after="0" w:afterAutospacing="0" w:line="360" w:lineRule="auto"/>
        <w:ind w:left="0" w:right="0" w:firstLine="480" w:firstLineChars="200"/>
        <w:jc w:val="left"/>
        <w:rPr>
          <w:rFonts w:hint="eastAsia" w:ascii="宋体" w:hAnsi="Times New Roman" w:eastAsia="宋体" w:cs="Arial"/>
          <w:bCs/>
          <w:color w:val="auto"/>
          <w:sz w:val="24"/>
          <w:szCs w:val="24"/>
          <w:highlight w:val="none"/>
        </w:rPr>
      </w:pPr>
      <w:r>
        <w:rPr>
          <w:rFonts w:hint="eastAsia" w:ascii="宋体" w:hAnsi="宋体" w:eastAsia="宋体" w:cs="宋体"/>
          <w:bCs/>
          <w:color w:val="auto"/>
          <w:kern w:val="0"/>
          <w:sz w:val="24"/>
          <w:szCs w:val="24"/>
          <w:highlight w:val="none"/>
          <w:lang w:val="en-US" w:eastAsia="zh-CN" w:bidi="ar"/>
        </w:rPr>
        <w:t>（7）其他甲方认为应当更换人员的情形。</w:t>
      </w:r>
    </w:p>
    <w:p w14:paraId="721F61C0">
      <w:pPr>
        <w:keepNext w:val="0"/>
        <w:keepLines w:val="0"/>
        <w:widowControl w:val="0"/>
        <w:suppressLineNumbers w:val="0"/>
        <w:spacing w:before="0" w:beforeAutospacing="0" w:after="0" w:afterAutospacing="0" w:line="360" w:lineRule="auto"/>
        <w:ind w:left="0" w:right="0" w:firstLine="422" w:firstLineChars="200"/>
        <w:jc w:val="both"/>
        <w:outlineLvl w:val="4"/>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第八条 履约担保</w:t>
      </w:r>
    </w:p>
    <w:p w14:paraId="79AFA0F5">
      <w:pPr>
        <w:keepNext w:val="0"/>
        <w:keepLines w:val="0"/>
        <w:widowControl w:val="0"/>
        <w:suppressLineNumbers w:val="0"/>
        <w:spacing w:before="0" w:beforeAutospacing="0" w:after="0" w:afterAutospacing="0" w:line="360" w:lineRule="auto"/>
        <w:ind w:left="0" w:right="0" w:firstLine="392" w:firstLineChars="18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8.1 乙方应当根据招标文件的规定在签订本合同后7日内向甲方提供履约担保，履约担保形式及金额由乙方从以下方式中任选一种：</w:t>
      </w:r>
    </w:p>
    <w:p w14:paraId="28BE189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□履约保证金（银行转账形式）金额为¥     元，大写人民币      ；</w:t>
      </w:r>
    </w:p>
    <w:p w14:paraId="1DAE22C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□不可撤销银行履约保函金额为¥     元，大写人民币      ；</w:t>
      </w:r>
    </w:p>
    <w:p w14:paraId="5F2FA71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□履约保证保险金额为¥     元，大写人民币      ；</w:t>
      </w:r>
    </w:p>
    <w:p w14:paraId="0BD1520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□担保公司履约担保书金额为¥     元，大写人民币      。</w:t>
      </w:r>
    </w:p>
    <w:p w14:paraId="4F599C56">
      <w:pPr>
        <w:keepNext w:val="0"/>
        <w:keepLines w:val="0"/>
        <w:widowControl w:val="0"/>
        <w:suppressLineNumbers w:val="0"/>
        <w:spacing w:before="0" w:beforeAutospacing="0" w:after="0" w:afterAutospacing="0" w:line="360" w:lineRule="auto"/>
        <w:ind w:left="0" w:right="0" w:firstLine="392" w:firstLineChars="18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8.2 履约担保用于补偿甲方因乙方不能完全履行其合同义务而蒙受的损失，如发生下列任一情况时，甲方除有权依合同追究乙方违约责任外，还有权提取履约担保并进行相应处理：</w:t>
      </w:r>
    </w:p>
    <w:p w14:paraId="24D80E2A">
      <w:pPr>
        <w:keepNext w:val="0"/>
        <w:keepLines w:val="0"/>
        <w:widowControl w:val="0"/>
        <w:suppressLineNumbers w:val="0"/>
        <w:spacing w:before="0" w:beforeAutospacing="0" w:after="0" w:afterAutospacing="0" w:line="360" w:lineRule="auto"/>
        <w:ind w:left="0" w:right="0" w:firstLine="392" w:firstLineChars="18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（1）乙方将本合同部分或全部的权利义务转让给第三人，或者未经甲方书面同意，将本项目分包给第三人的，甲方可依法没收其履约担保。</w:t>
      </w:r>
    </w:p>
    <w:p w14:paraId="10E07712">
      <w:pPr>
        <w:keepNext w:val="0"/>
        <w:keepLines w:val="0"/>
        <w:widowControl w:val="0"/>
        <w:suppressLineNumbers w:val="0"/>
        <w:spacing w:before="0" w:beforeAutospacing="0" w:after="0" w:afterAutospacing="0" w:line="360" w:lineRule="auto"/>
        <w:ind w:left="0" w:right="0" w:firstLine="392" w:firstLineChars="18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（2）在合同履行期间，乙方怠于履行合同义务，经甲方通知或要求承担违约金后仍拒不改正的，甲方可依法没收其履约担保。</w:t>
      </w:r>
    </w:p>
    <w:p w14:paraId="789302B2">
      <w:pPr>
        <w:keepNext w:val="0"/>
        <w:keepLines w:val="0"/>
        <w:widowControl w:val="0"/>
        <w:suppressLineNumbers w:val="0"/>
        <w:spacing w:before="0" w:beforeAutospacing="0" w:after="0" w:afterAutospacing="0" w:line="360" w:lineRule="auto"/>
        <w:ind w:left="0" w:right="0" w:firstLine="392" w:firstLineChars="18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合同履行期间，因乙方服务质量问题造成损害、侵权损失（包括但不限于甲方经济损失、乙方所雇人员及第三人人身财产损失等）、乙方拖欠其他供应商货款或与其所雇用员工发生劳资纠纷、上访、闹事或其他影响甲方生产经营等情况而其未及时妥善处理的，甲方有权使用履约担保予以支付或作出相应处理，由此产生的一切法律后果由乙方承担。</w:t>
      </w:r>
    </w:p>
    <w:p w14:paraId="0B3AD7C0">
      <w:pPr>
        <w:keepNext w:val="0"/>
        <w:keepLines w:val="0"/>
        <w:widowControl w:val="0"/>
        <w:suppressLineNumbers w:val="0"/>
        <w:spacing w:before="0" w:beforeAutospacing="0" w:after="0" w:afterAutospacing="0" w:line="360" w:lineRule="auto"/>
        <w:ind w:left="0" w:right="0" w:firstLine="392" w:firstLineChars="18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（4）在合同履行期间，乙方违约产生的违约金、赔偿、罚款或其他应付费用等款项，甲方有权直接从未付服务费中扣除或使用履约担保予以支付。</w:t>
      </w:r>
    </w:p>
    <w:p w14:paraId="5C0256C4">
      <w:pPr>
        <w:keepNext w:val="0"/>
        <w:keepLines w:val="0"/>
        <w:widowControl w:val="0"/>
        <w:suppressLineNumbers w:val="0"/>
        <w:spacing w:before="0" w:beforeAutospacing="0" w:after="0" w:afterAutospacing="0" w:line="360" w:lineRule="auto"/>
        <w:ind w:left="0" w:right="0" w:firstLine="392" w:firstLineChars="18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（5）合同期内，乙方不能及时完成某项合同义务的，甲方有权提取履约担保用于处理该项工作。</w:t>
      </w:r>
    </w:p>
    <w:p w14:paraId="31F137E7">
      <w:pPr>
        <w:keepNext w:val="0"/>
        <w:keepLines w:val="0"/>
        <w:widowControl w:val="0"/>
        <w:suppressLineNumbers w:val="0"/>
        <w:spacing w:before="0" w:beforeAutospacing="0" w:after="0" w:afterAutospacing="0" w:line="360" w:lineRule="auto"/>
        <w:ind w:left="0" w:right="0" w:firstLine="392" w:firstLineChars="18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（6）其他根据本合同约定或法律规定，甲方可使用履约担保的情形。</w:t>
      </w:r>
    </w:p>
    <w:p w14:paraId="3CDFD4AF">
      <w:pPr>
        <w:keepNext w:val="0"/>
        <w:keepLines w:val="0"/>
        <w:widowControl w:val="0"/>
        <w:suppressLineNumbers w:val="0"/>
        <w:spacing w:before="0" w:beforeAutospacing="0" w:after="0" w:afterAutospacing="0" w:line="360" w:lineRule="auto"/>
        <w:ind w:left="0" w:right="0" w:firstLine="392" w:firstLineChars="18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8.3 在完成本合同项下供应商库内所有单项服务合同义务后，甲方在扣除相应的费用（若有）后将履约担保余额无息退还乙方。</w:t>
      </w:r>
    </w:p>
    <w:p w14:paraId="57BE02DC">
      <w:pPr>
        <w:keepNext w:val="0"/>
        <w:keepLines w:val="0"/>
        <w:widowControl w:val="0"/>
        <w:suppressLineNumbers w:val="0"/>
        <w:spacing w:before="0" w:beforeAutospacing="0" w:after="0" w:afterAutospacing="0" w:line="360" w:lineRule="auto"/>
        <w:ind w:left="0" w:right="0" w:firstLine="392" w:firstLineChars="18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8.4 如乙方提供不可撤销银行履约保函或担保公司履约担保书作为履约担保的，不可撤销银行履约保函或担保公司履约担保书应自本合同签订之日起到本合同有效期满且乙方完成本合同项下供应商库内所有单项服务合同义务之后28日内保持有效。</w:t>
      </w:r>
    </w:p>
    <w:p w14:paraId="2D39E918">
      <w:pPr>
        <w:keepNext w:val="0"/>
        <w:keepLines w:val="0"/>
        <w:widowControl w:val="0"/>
        <w:suppressLineNumbers w:val="0"/>
        <w:spacing w:before="0" w:beforeAutospacing="0" w:after="0" w:afterAutospacing="0" w:line="360" w:lineRule="auto"/>
        <w:ind w:left="0" w:right="0" w:firstLine="392" w:firstLineChars="18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8.5 在合同履行过程中，不论何种原因导致履约担保数额不符合招标文件要求的，乙方应当在10个工作日内予以补足。逾期不予补足的，甲方有权按需补足的金额要求乙方承担违约金，并要求限期补足。如乙方仍不补足的，甲方有权单方解除合同。</w:t>
      </w:r>
    </w:p>
    <w:p w14:paraId="3540A45A">
      <w:pPr>
        <w:keepNext w:val="0"/>
        <w:keepLines w:val="0"/>
        <w:widowControl w:val="0"/>
        <w:suppressLineNumbers w:val="0"/>
        <w:spacing w:before="0" w:beforeAutospacing="0" w:after="0" w:afterAutospacing="0" w:line="360" w:lineRule="auto"/>
        <w:ind w:left="0" w:right="0" w:firstLine="422" w:firstLineChars="200"/>
        <w:jc w:val="both"/>
        <w:outlineLvl w:val="4"/>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第九条 违约责任</w:t>
      </w:r>
    </w:p>
    <w:p w14:paraId="5AE6E4F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 在本合同履行期间，甲方因实际情况发生变化，需取消已委派的项目时，若乙方还未开展实际咨询工作的，甲方无需向乙方支付咨询费用；若乙方已开展实际咨询工作的，甲方应按乙方实际完成并经甲方审核确认的工作量支付咨询费用，具体费用由双方协商确定。</w:t>
      </w:r>
    </w:p>
    <w:p w14:paraId="771FB3E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9.2 合同履行期间，甲方有权根据《考核表》扣分情况，累计出现3次单个项目扣分达到20分或单次考核扣分达到40分时甲方有权解除本合同，给甲方造成损失的，乙方还应足额赔偿甲方。</w:t>
      </w:r>
    </w:p>
    <w:p w14:paraId="408DDF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9.3 委派项目任务后，若非甲方、不可抗力、双方同意延期的其中原因之一，乙方未能在甲方规定工期内完成约定的工作内容的，乙方逾期完成本项目服务工作的，视为怠于履行合同义务，甲方有权要求乙方按500元/天支付违约金，最高不超过单项服务项目结算金额的30%。</w:t>
      </w:r>
    </w:p>
    <w:p w14:paraId="609FA38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逾期期间甲方有权向乙方发出整改通知，要求乙方限时完成约定工作任务。收到整改通知后乙方仍未能在要求的时间内完成工作内容的，乙方除需承担前述违约责任外，甲方有权停止乙方本次单项服务项目的服务工作，针对单项服务项目签订解除协议，按相关规定选取其他符合条件的供应商对本次单项服务项目予以承接。</w:t>
      </w:r>
    </w:p>
    <w:p w14:paraId="1CA6FA3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若在本合同项下，若非甲方、不可抗力、双方同意延期的其中原因之一，乙方出现3次以上（不含3次）单项服务项目未能在甲方规定工期内完成约定的工作内容的，甲方有权单方解除本合同，取消乙方本合同服务资格。</w:t>
      </w:r>
    </w:p>
    <w:p w14:paraId="6085B81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9.4 在本合同履行期间，无特殊情况，乙方不得拒绝接受任务，否则视为怠于履行合同义务，甲方有权解除本合同。</w:t>
      </w:r>
    </w:p>
    <w:p w14:paraId="497A912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9.5 乙方对项目成果出现的遗漏或错误，应无条件负责修改或补充。乙方怠于修改、补充或经修订仍不符合甲方要求的，不能通过甲方验收确认的，视为怠于履行合同义务，甲方有权不予支付该项目的咨询费用，并要求乙方支付相当于该项目造价咨询服务费20%的违约金。</w:t>
      </w:r>
    </w:p>
    <w:p w14:paraId="1DC7640C">
      <w:pPr>
        <w:pStyle w:val="39"/>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9.6 合同履行期间，乙方存在如下情形之一的，甲方有权书面通知乙方单方解除本合同，取消乙方服务资格，并要求乙方承担人民币20,000.00元的违约金，给甲方造成损失的，乙方还应足额赔偿甲方。甲方有权按相关法律法规追究其相应责任：</w:t>
      </w:r>
    </w:p>
    <w:p w14:paraId="22F06E48">
      <w:pPr>
        <w:pStyle w:val="39"/>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（1）提供虚假信息、误导或欺骗甲方或相关用户单位，以谋取非法利益的；</w:t>
      </w:r>
    </w:p>
    <w:p w14:paraId="31620CCB">
      <w:pPr>
        <w:pStyle w:val="39"/>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（2）违反诚信信用原则，没有严格执行相关质量、服务和收费标准，损害甲方或相关用户单位的利益的；</w:t>
      </w:r>
    </w:p>
    <w:p w14:paraId="6851443D">
      <w:pPr>
        <w:pStyle w:val="39"/>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（3）违反有关法律法规以及本合同的约定，损害甲方利益的；</w:t>
      </w:r>
    </w:p>
    <w:p w14:paraId="6416A4DD">
      <w:pPr>
        <w:pStyle w:val="39"/>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（4）拒绝接受甲方及相关部门监督、检查的；</w:t>
      </w:r>
    </w:p>
    <w:p w14:paraId="38C0EC3B">
      <w:pPr>
        <w:pStyle w:val="39"/>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（5）出现信用危机、财务危机、生产经营危机甚至破产、倒闭，无法继续履行本合同的；</w:t>
      </w:r>
    </w:p>
    <w:p w14:paraId="335202DE">
      <w:pPr>
        <w:pStyle w:val="39"/>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（6）采用非法手段进行不正当竞争的，构成恶劣影响；</w:t>
      </w:r>
    </w:p>
    <w:p w14:paraId="4FFFA522">
      <w:pPr>
        <w:pStyle w:val="39"/>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（7）资质被降或者吊销的；</w:t>
      </w:r>
    </w:p>
    <w:p w14:paraId="534C4165">
      <w:pPr>
        <w:pStyle w:val="39"/>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（8）因违法国家有关法律法规，被相关行政部门或甲方通报的；</w:t>
      </w:r>
    </w:p>
    <w:p w14:paraId="274461F0">
      <w:pPr>
        <w:pStyle w:val="39"/>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（9）泄露服务项目内容的；</w:t>
      </w:r>
    </w:p>
    <w:p w14:paraId="35FB7557">
      <w:pPr>
        <w:pStyle w:val="39"/>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（10）未经甲方书面同意，将本合同或项下服务合同全部或部分转让给第三方的。</w:t>
      </w:r>
    </w:p>
    <w:p w14:paraId="44EA6839">
      <w:pPr>
        <w:pStyle w:val="39"/>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9.7 乙方因违约所产生的违约金、赔偿金等乙方应支付的所有费用，甲方有权从应付服务费用中直接抵扣。</w:t>
      </w:r>
    </w:p>
    <w:p w14:paraId="215F5D8E">
      <w:pPr>
        <w:keepNext w:val="0"/>
        <w:keepLines w:val="0"/>
        <w:widowControl w:val="0"/>
        <w:suppressLineNumbers w:val="0"/>
        <w:spacing w:before="0" w:beforeAutospacing="0" w:after="0" w:afterAutospacing="0" w:line="360" w:lineRule="auto"/>
        <w:ind w:left="0" w:right="0" w:firstLine="422" w:firstLineChars="200"/>
        <w:jc w:val="both"/>
        <w:outlineLvl w:val="4"/>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第十条</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合同争议</w:t>
      </w:r>
    </w:p>
    <w:p w14:paraId="5A9E3AC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10.1</w:t>
      </w:r>
      <w:r>
        <w:rPr>
          <w:rFonts w:hint="eastAsia" w:ascii="宋体" w:hAnsi="宋体" w:eastAsia="宋体" w:cs="宋体"/>
          <w:bCs/>
          <w:color w:val="auto"/>
          <w:kern w:val="2"/>
          <w:sz w:val="21"/>
          <w:szCs w:val="21"/>
          <w:highlight w:val="none"/>
          <w:lang w:val="en-US" w:eastAsia="zh-CN" w:bidi="ar"/>
        </w:rPr>
        <w:t xml:space="preserve"> 双方在履行合同时发生争议，首先本着友好态度协商解决，若经协商仍不能解决，双方一致同意提交甲方住所地有管辖权的人民法院诉讼解决。</w:t>
      </w:r>
    </w:p>
    <w:p w14:paraId="2600AE1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10.2 在法院审理期间，除与争议有关的部分外，双方应继续履行合同规定的其他各自义务。</w:t>
      </w:r>
    </w:p>
    <w:p w14:paraId="2AE10AC8">
      <w:pPr>
        <w:keepNext w:val="0"/>
        <w:keepLines w:val="0"/>
        <w:widowControl w:val="0"/>
        <w:suppressLineNumbers w:val="0"/>
        <w:spacing w:before="0" w:beforeAutospacing="0" w:after="0" w:afterAutospacing="0" w:line="360" w:lineRule="auto"/>
        <w:ind w:left="0" w:right="0" w:firstLine="422" w:firstLineChars="200"/>
        <w:jc w:val="both"/>
        <w:outlineLvl w:val="4"/>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第十一条</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合同的变更与解除</w:t>
      </w:r>
    </w:p>
    <w:p w14:paraId="6D8AE42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w:t>
      </w:r>
      <w:r>
        <w:rPr>
          <w:rFonts w:hint="eastAsia" w:ascii="宋体" w:hAnsi="宋体" w:eastAsia="宋体" w:cs="宋体"/>
          <w:bCs/>
          <w:color w:val="auto"/>
          <w:kern w:val="2"/>
          <w:sz w:val="21"/>
          <w:szCs w:val="21"/>
          <w:highlight w:val="none"/>
          <w:lang w:val="en-US" w:eastAsia="zh-CN" w:bidi="ar"/>
        </w:rPr>
        <w:t xml:space="preserve"> 甲方有权通过签订补充协议的形式对合同条款进行调整，包括但不限于：服务要求、项目分配及考核方式、违约责任等。若乙方不能接受当中的条款，有权放弃造价咨询服务资格，向甲方提出终止合同并申请退还在扣除相应费用（若有）后剩余的履约担保，经甲方书面同意后，双方签署解除协议。</w:t>
      </w:r>
    </w:p>
    <w:p w14:paraId="29B133F8">
      <w:pPr>
        <w:keepNext w:val="0"/>
        <w:keepLines w:val="0"/>
        <w:widowControl w:val="0"/>
        <w:suppressLineNumbers w:val="0"/>
        <w:spacing w:before="0" w:beforeAutospacing="0" w:after="0" w:afterAutospacing="0" w:line="360" w:lineRule="auto"/>
        <w:ind w:left="0" w:right="0" w:firstLine="420" w:firstLineChars="200"/>
        <w:jc w:val="both"/>
        <w:outlineLvl w:val="2"/>
        <w:rPr>
          <w:rFonts w:hint="eastAsia" w:ascii="宋体" w:hAnsi="宋体" w:eastAsia="宋体" w:cs="宋体"/>
          <w:color w:val="auto"/>
          <w:kern w:val="2"/>
          <w:sz w:val="21"/>
          <w:szCs w:val="21"/>
          <w:highlight w:val="none"/>
        </w:rPr>
      </w:pPr>
      <w:bookmarkStart w:id="410" w:name="_Toc24882"/>
      <w:r>
        <w:rPr>
          <w:rFonts w:hint="eastAsia" w:ascii="宋体" w:hAnsi="宋体" w:eastAsia="宋体" w:cs="宋体"/>
          <w:color w:val="auto"/>
          <w:kern w:val="2"/>
          <w:sz w:val="21"/>
          <w:szCs w:val="21"/>
          <w:highlight w:val="none"/>
          <w:lang w:val="en-US" w:eastAsia="zh-CN" w:bidi="ar"/>
        </w:rPr>
        <w:t>11.2</w:t>
      </w:r>
      <w:r>
        <w:rPr>
          <w:rFonts w:hint="eastAsia" w:ascii="宋体" w:hAnsi="宋体" w:eastAsia="宋体" w:cs="宋体"/>
          <w:bCs/>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甲方与乙方协商一致，可以解除合同。</w:t>
      </w:r>
      <w:bookmarkEnd w:id="410"/>
    </w:p>
    <w:p w14:paraId="2109999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w:t>
      </w:r>
      <w:r>
        <w:rPr>
          <w:rFonts w:hint="eastAsia" w:ascii="宋体" w:hAnsi="宋体" w:eastAsia="宋体" w:cs="宋体"/>
          <w:bCs/>
          <w:color w:val="auto"/>
          <w:kern w:val="2"/>
          <w:sz w:val="21"/>
          <w:szCs w:val="21"/>
          <w:highlight w:val="none"/>
          <w:lang w:val="en-US" w:eastAsia="zh-CN" w:bidi="ar"/>
        </w:rPr>
        <w:t xml:space="preserve"> 除本合同另有约定外，</w:t>
      </w:r>
      <w:r>
        <w:rPr>
          <w:rFonts w:hint="eastAsia" w:ascii="宋体" w:hAnsi="宋体" w:eastAsia="宋体" w:cs="宋体"/>
          <w:color w:val="auto"/>
          <w:kern w:val="2"/>
          <w:sz w:val="21"/>
          <w:szCs w:val="21"/>
          <w:highlight w:val="none"/>
          <w:lang w:val="en-US" w:eastAsia="zh-CN" w:bidi="ar"/>
        </w:rPr>
        <w:t>当事人一方要求变更或解除合同时，应在一个月前以书面形式通知对方，双方经协商一致并签署书面盖章文件后，方发生变更、解除合同的效力。对变更或解除合同有争议的，按本合同第十条关于争议的约定处理。</w:t>
      </w:r>
    </w:p>
    <w:p w14:paraId="375D5C8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11.4 </w:t>
      </w:r>
      <w:r>
        <w:rPr>
          <w:rFonts w:hint="eastAsia" w:ascii="宋体" w:hAnsi="宋体" w:eastAsia="宋体" w:cs="宋体"/>
          <w:color w:val="auto"/>
          <w:kern w:val="2"/>
          <w:sz w:val="21"/>
          <w:szCs w:val="21"/>
          <w:highlight w:val="none"/>
          <w:lang w:val="en-US" w:eastAsia="zh-CN" w:bidi="ar"/>
        </w:rPr>
        <w:t>由于不可抗力因素致使合同无法履行时，双方应及时协商解决。</w:t>
      </w:r>
    </w:p>
    <w:p w14:paraId="4ED962E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11.5 在合同</w:t>
      </w:r>
      <w:r>
        <w:rPr>
          <w:rFonts w:hint="eastAsia" w:ascii="宋体" w:hAnsi="宋体" w:eastAsia="宋体" w:cs="宋体"/>
          <w:color w:val="auto"/>
          <w:kern w:val="2"/>
          <w:sz w:val="21"/>
          <w:szCs w:val="21"/>
          <w:highlight w:val="none"/>
          <w:lang w:val="en-US" w:eastAsia="zh-CN" w:bidi="ar"/>
        </w:rPr>
        <w:t>履行过程中</w:t>
      </w:r>
      <w:r>
        <w:rPr>
          <w:rFonts w:hint="eastAsia" w:ascii="宋体" w:hAnsi="宋体" w:eastAsia="宋体" w:cs="宋体"/>
          <w:bCs/>
          <w:color w:val="auto"/>
          <w:kern w:val="2"/>
          <w:sz w:val="21"/>
          <w:szCs w:val="21"/>
          <w:highlight w:val="none"/>
          <w:lang w:val="en-US" w:eastAsia="zh-CN" w:bidi="ar"/>
        </w:rPr>
        <w:t>如果由于国家、广东省或东莞市的相关造价咨询法律法规、政策规定发生改变而导致合同不能继续履行，甲方有权提前终止合同，并且无需对乙方作出任何赔偿。</w:t>
      </w:r>
    </w:p>
    <w:p w14:paraId="2E210A14">
      <w:pPr>
        <w:keepNext w:val="0"/>
        <w:keepLines w:val="0"/>
        <w:widowControl w:val="0"/>
        <w:suppressLineNumbers w:val="0"/>
        <w:spacing w:before="0" w:beforeAutospacing="0" w:after="0" w:afterAutospacing="0" w:line="360" w:lineRule="auto"/>
        <w:ind w:left="0" w:right="0" w:firstLine="422" w:firstLineChars="200"/>
        <w:jc w:val="both"/>
        <w:outlineLvl w:val="3"/>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第十二条</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合同生效及其他</w:t>
      </w:r>
    </w:p>
    <w:p w14:paraId="1A49809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12.1</w:t>
      </w:r>
      <w:r>
        <w:rPr>
          <w:rFonts w:hint="eastAsia" w:ascii="宋体" w:hAnsi="宋体" w:eastAsia="宋体" w:cs="宋体"/>
          <w:bCs/>
          <w:color w:val="auto"/>
          <w:kern w:val="2"/>
          <w:sz w:val="21"/>
          <w:szCs w:val="21"/>
          <w:highlight w:val="none"/>
          <w:lang w:val="en-US" w:eastAsia="zh-CN" w:bidi="ar"/>
        </w:rPr>
        <w:t xml:space="preserve"> 本合同之所有附件均为合同的有效组成部分，与合同同具法律效力，合同与附件之间的内容应认为是互为补充和解释的，但如有模棱两可或互相矛盾之处，以合同约定为准，若合同签订后，双方另有签订文件的，则以时间在后的文件为准。</w:t>
      </w:r>
    </w:p>
    <w:p w14:paraId="7F82846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w:t>
      </w:r>
      <w:r>
        <w:rPr>
          <w:rFonts w:hint="eastAsia" w:ascii="宋体" w:hAnsi="宋体" w:eastAsia="宋体" w:cs="宋体"/>
          <w:bCs/>
          <w:color w:val="auto"/>
          <w:kern w:val="2"/>
          <w:sz w:val="21"/>
          <w:szCs w:val="21"/>
          <w:highlight w:val="none"/>
          <w:lang w:val="en-US" w:eastAsia="zh-CN" w:bidi="ar"/>
        </w:rPr>
        <w:t xml:space="preserve"> 双方可对本合同的条款进行补充，以书面形式签订补充协议，补充协议为本合同有效组成部分。</w:t>
      </w:r>
    </w:p>
    <w:p w14:paraId="5BBE8FC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 本合同执行期间，如遇不可抗力，致使合同无法履行时，双方应按有关法律规定及时协商处理。</w:t>
      </w:r>
    </w:p>
    <w:p w14:paraId="73E8CD7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 本合同一式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伍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份，招标代理机构执</w:t>
      </w:r>
      <w:r>
        <w:rPr>
          <w:rFonts w:hint="eastAsia" w:ascii="宋体" w:hAnsi="宋体" w:eastAsia="宋体" w:cs="宋体"/>
          <w:color w:val="auto"/>
          <w:kern w:val="2"/>
          <w:sz w:val="21"/>
          <w:szCs w:val="21"/>
          <w:highlight w:val="none"/>
          <w:u w:val="single"/>
          <w:lang w:val="en-US" w:eastAsia="zh-CN" w:bidi="ar"/>
        </w:rPr>
        <w:t xml:space="preserve"> 壹 </w:t>
      </w:r>
      <w:r>
        <w:rPr>
          <w:rFonts w:hint="eastAsia" w:ascii="宋体" w:hAnsi="宋体" w:eastAsia="宋体" w:cs="宋体"/>
          <w:color w:val="auto"/>
          <w:kern w:val="2"/>
          <w:sz w:val="21"/>
          <w:szCs w:val="21"/>
          <w:highlight w:val="none"/>
          <w:lang w:val="en-US" w:eastAsia="zh-CN" w:bidi="ar"/>
        </w:rPr>
        <w:t>份，具有同等法律效力，本合同自双方法定代表人或授权代表签字并盖章之日起生效至合同项下全部义务履行完毕时终止。</w:t>
      </w:r>
    </w:p>
    <w:p w14:paraId="47B29FD0">
      <w:pPr>
        <w:keepNext w:val="0"/>
        <w:keepLines w:val="0"/>
        <w:widowControl w:val="0"/>
        <w:suppressLineNumbers w:val="0"/>
        <w:spacing w:before="0" w:beforeAutospacing="0" w:after="0" w:afterAutospacing="0" w:line="360" w:lineRule="auto"/>
        <w:ind w:left="0" w:right="0" w:firstLine="315" w:firstLineChars="150"/>
        <w:jc w:val="both"/>
        <w:outlineLvl w:val="4"/>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合同附件：1、招标文件</w:t>
      </w:r>
    </w:p>
    <w:p w14:paraId="367D6CED">
      <w:pPr>
        <w:keepNext w:val="0"/>
        <w:keepLines w:val="0"/>
        <w:widowControl w:val="0"/>
        <w:suppressLineNumbers w:val="0"/>
        <w:spacing w:before="0" w:beforeAutospacing="0" w:after="0" w:afterAutospacing="0" w:line="360" w:lineRule="auto"/>
        <w:ind w:left="0" w:right="0" w:firstLine="1470" w:firstLineChars="7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2、造价咨询服务单位考核表</w:t>
      </w:r>
    </w:p>
    <w:p w14:paraId="1FB883B8">
      <w:pPr>
        <w:keepNext w:val="0"/>
        <w:keepLines w:val="0"/>
        <w:widowControl w:val="0"/>
        <w:suppressLineNumbers w:val="0"/>
        <w:spacing w:before="0" w:beforeAutospacing="0" w:after="0" w:afterAutospacing="0" w:line="360" w:lineRule="auto"/>
        <w:ind w:left="0" w:right="0" w:firstLine="1470" w:firstLineChars="7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3、投入本项目人员表</w:t>
      </w:r>
    </w:p>
    <w:p w14:paraId="70CA524A">
      <w:pPr>
        <w:keepNext w:val="0"/>
        <w:keepLines w:val="0"/>
        <w:widowControl w:val="0"/>
        <w:suppressLineNumbers w:val="0"/>
        <w:spacing w:before="0" w:beforeAutospacing="0" w:after="0" w:afterAutospacing="0" w:line="360" w:lineRule="auto"/>
        <w:ind w:left="0" w:right="0" w:firstLine="1470" w:firstLineChars="7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4、廉洁协议书 </w:t>
      </w:r>
    </w:p>
    <w:p w14:paraId="4A920418">
      <w:pPr>
        <w:keepNext w:val="0"/>
        <w:keepLines w:val="0"/>
        <w:widowControl w:val="0"/>
        <w:suppressLineNumbers w:val="0"/>
        <w:spacing w:before="120" w:beforeLines="50" w:beforeAutospacing="0" w:after="120" w:afterLines="50" w:afterAutospacing="0" w:line="3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（以下无正文内容为签字盖章页）</w:t>
      </w:r>
    </w:p>
    <w:p w14:paraId="26E3FD1C">
      <w:pPr>
        <w:pStyle w:val="39"/>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 xml:space="preserve"> </w:t>
      </w:r>
    </w:p>
    <w:p w14:paraId="3DBDCB79">
      <w:pPr>
        <w:keepNext w:val="0"/>
        <w:keepLines w:val="0"/>
        <w:widowControl w:val="0"/>
        <w:suppressLineNumbers w:val="0"/>
        <w:spacing w:before="0" w:beforeAutospacing="0" w:after="0" w:afterAutospacing="0" w:line="48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D3903D4">
      <w:pPr>
        <w:keepNext w:val="0"/>
        <w:keepLines w:val="0"/>
        <w:pageBreakBefore/>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24" w:firstLineChars="202"/>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甲方（盖章）：</w:t>
      </w:r>
    </w:p>
    <w:p w14:paraId="49739634">
      <w:pPr>
        <w:keepNext w:val="0"/>
        <w:keepLines w:val="0"/>
        <w:widowControl w:val="0"/>
        <w:suppressLineNumbers w:val="0"/>
        <w:spacing w:before="0" w:beforeAutospacing="0" w:after="160" w:afterAutospacing="0" w:line="540" w:lineRule="exact"/>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法定代表人（或授权代表）：</w:t>
      </w:r>
    </w:p>
    <w:p w14:paraId="630E6491">
      <w:pPr>
        <w:keepNext w:val="0"/>
        <w:keepLines w:val="0"/>
        <w:widowControl w:val="0"/>
        <w:suppressLineNumbers w:val="0"/>
        <w:spacing w:before="0" w:beforeAutospacing="0" w:after="160" w:afterAutospacing="0" w:line="540" w:lineRule="exact"/>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w:t>
      </w:r>
    </w:p>
    <w:p w14:paraId="78B6FC21">
      <w:pPr>
        <w:keepNext w:val="0"/>
        <w:keepLines w:val="0"/>
        <w:widowControl w:val="0"/>
        <w:suppressLineNumbers w:val="0"/>
        <w:spacing w:before="0" w:beforeAutospacing="0" w:after="160" w:afterAutospacing="0" w:line="540" w:lineRule="exact"/>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5A4C09F9">
      <w:pPr>
        <w:keepNext w:val="0"/>
        <w:keepLines w:val="0"/>
        <w:widowControl w:val="0"/>
        <w:suppressLineNumbers w:val="0"/>
        <w:spacing w:before="0" w:beforeAutospacing="0" w:after="160" w:afterAutospacing="0" w:line="5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DB08607">
      <w:pPr>
        <w:keepNext w:val="0"/>
        <w:keepLines w:val="0"/>
        <w:widowControl w:val="0"/>
        <w:suppressLineNumbers w:val="0"/>
        <w:spacing w:before="0" w:beforeAutospacing="0" w:after="0" w:afterAutospacing="0" w:line="48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乙方（盖章）：</w:t>
      </w:r>
    </w:p>
    <w:p w14:paraId="1789F33B">
      <w:pPr>
        <w:keepNext w:val="0"/>
        <w:keepLines w:val="0"/>
        <w:widowControl w:val="0"/>
        <w:suppressLineNumbers w:val="0"/>
        <w:spacing w:before="0" w:beforeAutospacing="0" w:after="160" w:afterAutospacing="0" w:line="540" w:lineRule="exact"/>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法定代表人（或授权代表）：</w:t>
      </w:r>
    </w:p>
    <w:p w14:paraId="3A0FCBB5">
      <w:pPr>
        <w:keepNext w:val="0"/>
        <w:keepLines w:val="0"/>
        <w:widowControl w:val="0"/>
        <w:suppressLineNumbers w:val="0"/>
        <w:spacing w:before="0" w:beforeAutospacing="0" w:after="160" w:afterAutospacing="0" w:line="540" w:lineRule="exact"/>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w:t>
      </w:r>
    </w:p>
    <w:p w14:paraId="0CE64076">
      <w:pPr>
        <w:keepNext w:val="0"/>
        <w:keepLines w:val="0"/>
        <w:widowControl w:val="0"/>
        <w:suppressLineNumbers w:val="0"/>
        <w:spacing w:before="0" w:beforeAutospacing="0" w:after="160" w:afterAutospacing="0" w:line="540" w:lineRule="exact"/>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5F59751C">
      <w:pPr>
        <w:keepNext w:val="0"/>
        <w:keepLines w:val="0"/>
        <w:widowControl w:val="0"/>
        <w:suppressLineNumbers w:val="0"/>
        <w:autoSpaceDE w:val="0"/>
        <w:autoSpaceDN/>
        <w:spacing w:before="0" w:beforeAutospacing="0" w:after="160" w:afterAutospacing="0" w:line="540" w:lineRule="exact"/>
        <w:ind w:left="0" w:right="0" w:firstLine="424" w:firstLineChars="202"/>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本合同</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日签订于东莞市</w:t>
      </w:r>
    </w:p>
    <w:p w14:paraId="0645FB76">
      <w:pPr>
        <w:keepNext w:val="0"/>
        <w:keepLines w:val="0"/>
        <w:pageBreakBefore/>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color w:val="auto"/>
          <w:kern w:val="2"/>
          <w:sz w:val="21"/>
          <w:szCs w:val="21"/>
          <w:highlight w:val="none"/>
        </w:rPr>
      </w:pPr>
      <w:bookmarkStart w:id="411" w:name="OLE_LINK9"/>
      <w:bookmarkEnd w:id="411"/>
      <w:r>
        <w:rPr>
          <w:rFonts w:hint="eastAsia" w:ascii="宋体" w:hAnsi="宋体" w:eastAsia="宋体" w:cs="宋体"/>
          <w:b/>
          <w:bCs/>
          <w:color w:val="auto"/>
          <w:kern w:val="2"/>
          <w:sz w:val="21"/>
          <w:szCs w:val="21"/>
          <w:highlight w:val="none"/>
          <w:lang w:val="en-US" w:eastAsia="zh-CN" w:bidi="ar"/>
        </w:rPr>
        <w:t>附件2：造价咨询服务单位考核表</w:t>
      </w:r>
    </w:p>
    <w:p w14:paraId="3FFB18A9">
      <w:pPr>
        <w:keepNext w:val="0"/>
        <w:keepLines w:val="0"/>
        <w:widowControl/>
        <w:suppressLineNumbers w:val="0"/>
        <w:autoSpaceDE w:val="0"/>
        <w:autoSpaceDN/>
        <w:spacing w:before="0" w:beforeAutospacing="0" w:after="0" w:afterAutospacing="0" w:line="360" w:lineRule="auto"/>
        <w:ind w:left="0" w:right="31" w:rightChars="15"/>
        <w:contextualSpacing/>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8"/>
          <w:szCs w:val="28"/>
          <w:highlight w:val="none"/>
          <w:lang w:val="en-US" w:eastAsia="zh-CN" w:bidi="ar"/>
        </w:rPr>
        <w:t>造价咨询服务单位考核表</w:t>
      </w:r>
    </w:p>
    <w:p w14:paraId="6ACD9D83">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考核单位：                       被考核单位：                             日期：</w:t>
      </w:r>
    </w:p>
    <w:p w14:paraId="00DFB3D8">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项目名称： </w:t>
      </w:r>
    </w:p>
    <w:tbl>
      <w:tblPr>
        <w:tblStyle w:val="45"/>
        <w:tblW w:w="514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85"/>
        <w:gridCol w:w="772"/>
        <w:gridCol w:w="699"/>
        <w:gridCol w:w="7626"/>
        <w:gridCol w:w="1093"/>
      </w:tblGrid>
      <w:tr w14:paraId="6D27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71E21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序号</w:t>
            </w: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45110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评价内容</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02EB6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各项分值</w:t>
            </w: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06986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具体内容</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3BF17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综合分值</w:t>
            </w:r>
          </w:p>
        </w:tc>
      </w:tr>
      <w:tr w14:paraId="04C6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 w:type="pct"/>
            <w:vMerge w:val="restart"/>
            <w:tcBorders>
              <w:top w:val="nil"/>
              <w:left w:val="single" w:color="auto" w:sz="4" w:space="0"/>
              <w:bottom w:val="single" w:color="auto" w:sz="4" w:space="0"/>
              <w:right w:val="single" w:color="auto" w:sz="4" w:space="0"/>
            </w:tcBorders>
            <w:shd w:val="clear" w:color="auto" w:fill="auto"/>
            <w:vAlign w:val="center"/>
          </w:tcPr>
          <w:p w14:paraId="39A25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348" w:type="pct"/>
            <w:vMerge w:val="restart"/>
            <w:tcBorders>
              <w:top w:val="nil"/>
              <w:left w:val="single" w:color="auto" w:sz="4" w:space="0"/>
              <w:bottom w:val="single" w:color="auto" w:sz="4" w:space="0"/>
              <w:right w:val="single" w:color="auto" w:sz="4" w:space="0"/>
            </w:tcBorders>
            <w:shd w:val="clear" w:color="auto" w:fill="auto"/>
            <w:vAlign w:val="center"/>
          </w:tcPr>
          <w:p w14:paraId="759B2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业务水平</w:t>
            </w:r>
          </w:p>
        </w:tc>
        <w:tc>
          <w:tcPr>
            <w:tcW w:w="317" w:type="pct"/>
            <w:vMerge w:val="restart"/>
            <w:tcBorders>
              <w:top w:val="nil"/>
              <w:left w:val="single" w:color="auto" w:sz="4" w:space="0"/>
              <w:bottom w:val="single" w:color="auto" w:sz="4" w:space="0"/>
              <w:right w:val="single" w:color="auto" w:sz="4" w:space="0"/>
            </w:tcBorders>
            <w:shd w:val="clear" w:color="auto" w:fill="auto"/>
            <w:vAlign w:val="center"/>
          </w:tcPr>
          <w:p w14:paraId="7E081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58FD6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在从事造价咨询服务过程中，项目配置的相应专业人员与合同中 “项目操作人员配置一览表”不符，且业务能力较差的扣4分；每一人不符合扣1分，最高扣4分。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F42F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4FD5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6A7851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2F27D4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6958AF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5995C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未在规定时间内全面熟悉施工图纸，未对项目所采用的技术、工艺、设备等详细了解的最高扣3分；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5D70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487A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1BECF8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280F50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74F807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2693A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未能及时踏勘现场，踏勘现场未留取照片或录像且不清晰的最高扣3分；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0A62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2B19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4BE4CD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3048A3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058F0C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0502E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未能积极主动就图纸中的设计缺陷（图纸与现状不符、前后矛盾、影响工程量计算、影响清单编制、措施费用计取等有关问题）在踏勘完工程现场后两天内提出书面意见的最高扣5分；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950D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043C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39AEB4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5F81D6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590A94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2007F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未开展市场调查，了解价格信息，对于非常规项目未能作工料单价分析的扣最高扣3分。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744AE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5FFA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 w:type="pct"/>
            <w:vMerge w:val="restart"/>
            <w:tcBorders>
              <w:top w:val="nil"/>
              <w:left w:val="single" w:color="auto" w:sz="4" w:space="0"/>
              <w:bottom w:val="single" w:color="auto" w:sz="4" w:space="0"/>
              <w:right w:val="single" w:color="auto" w:sz="4" w:space="0"/>
            </w:tcBorders>
            <w:shd w:val="clear" w:color="auto" w:fill="auto"/>
            <w:vAlign w:val="center"/>
          </w:tcPr>
          <w:p w14:paraId="44C1C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348" w:type="pct"/>
            <w:vMerge w:val="restart"/>
            <w:tcBorders>
              <w:top w:val="nil"/>
              <w:left w:val="single" w:color="auto" w:sz="4" w:space="0"/>
              <w:bottom w:val="single" w:color="auto" w:sz="4" w:space="0"/>
              <w:right w:val="single" w:color="auto" w:sz="4" w:space="0"/>
            </w:tcBorders>
            <w:shd w:val="clear" w:color="auto" w:fill="auto"/>
            <w:vAlign w:val="center"/>
          </w:tcPr>
          <w:p w14:paraId="5E6C5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完成质量</w:t>
            </w:r>
          </w:p>
        </w:tc>
        <w:tc>
          <w:tcPr>
            <w:tcW w:w="317" w:type="pct"/>
            <w:vMerge w:val="restart"/>
            <w:tcBorders>
              <w:top w:val="nil"/>
              <w:left w:val="single" w:color="auto" w:sz="4" w:space="0"/>
              <w:bottom w:val="single" w:color="auto" w:sz="4" w:space="0"/>
              <w:right w:val="single" w:color="auto" w:sz="4" w:space="0"/>
            </w:tcBorders>
            <w:shd w:val="clear" w:color="auto" w:fill="auto"/>
            <w:vAlign w:val="center"/>
          </w:tcPr>
          <w:p w14:paraId="5644D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50</w:t>
            </w: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3E489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未按规范计算工程量且计算错误的扣3分；未有工程量计算式的扣3分；未采用图形算量或CAD算量；未汇总成Excel表格且表格之间沟稽关系不正确等扣1～3分；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6294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1CF0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4A136E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4C85A2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5D4CC3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63CAF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成果文件不符合计价规范，计价单位有误，套用定额有误（如定额工程量有误，擅自修改工料机含量等），项目特征描述内容不全面、不准确，与设计图纸不符等，导致委托人与项目承包单位发生争议，或造成委托人经济损失的最高扣8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C922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22BB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4A2A18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542EA6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2A7BD2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753FD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图纸中有措施项目设计内容，漏计措施项目费，费用超10万元（含），扣3分；费用超50万元（含），扣5分；费用超100万元（含），扣8分；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3206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55E2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6CF908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4C3553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06FCC6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0A924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未根据工程位置、委托人的工期要求、常规的施工组织设计（施工方案）等考虑措施费用，措施费计算错误或漏计的，费用超10万元（含），扣3分；费用超50万元（含），扣5分；费用超100万元，扣9分；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C108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1E65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03A277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603C94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1871F7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241DA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成果文件编制说明不严谨、不详细、范围不完整，并因此导致施工过程产生合同纠纷每出现一次扣5分,最高扣10分；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DCDD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2E5C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5F6C28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301913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03E0F9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71954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材料价需询价的，未询三家或三家以上(特殊材料除外)（须记录厂家、联系人、联系电话信息）最高扣3分；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CABD6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5963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68B896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38435B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71B083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737A9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非《东莞市工程造价信息》中材料价，因不询价而导致单价错误的，每出现一次扣2分，最高扣6分；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CC79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65D9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3B44E8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24F8D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317EFD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63DBE8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未按要求整理并提交成果文件最高扣3分；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7DC0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5F26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220" w:type="pct"/>
            <w:vMerge w:val="restart"/>
            <w:tcBorders>
              <w:top w:val="nil"/>
              <w:left w:val="single" w:color="auto" w:sz="4" w:space="0"/>
              <w:bottom w:val="single" w:color="auto" w:sz="4" w:space="0"/>
              <w:right w:val="single" w:color="auto" w:sz="4" w:space="0"/>
            </w:tcBorders>
            <w:shd w:val="clear" w:color="auto" w:fill="auto"/>
            <w:vAlign w:val="center"/>
          </w:tcPr>
          <w:p w14:paraId="5A8B8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348" w:type="pct"/>
            <w:vMerge w:val="restart"/>
            <w:tcBorders>
              <w:top w:val="nil"/>
              <w:left w:val="single" w:color="auto" w:sz="4" w:space="0"/>
              <w:bottom w:val="single" w:color="auto" w:sz="4" w:space="0"/>
              <w:right w:val="single" w:color="auto" w:sz="4" w:space="0"/>
            </w:tcBorders>
            <w:shd w:val="clear" w:color="auto" w:fill="auto"/>
            <w:vAlign w:val="center"/>
          </w:tcPr>
          <w:p w14:paraId="3B10F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工作效率</w:t>
            </w:r>
          </w:p>
        </w:tc>
        <w:tc>
          <w:tcPr>
            <w:tcW w:w="317" w:type="pct"/>
            <w:vMerge w:val="restart"/>
            <w:tcBorders>
              <w:top w:val="nil"/>
              <w:left w:val="single" w:color="auto" w:sz="4" w:space="0"/>
              <w:bottom w:val="single" w:color="auto" w:sz="4" w:space="0"/>
              <w:right w:val="single" w:color="auto" w:sz="4" w:space="0"/>
            </w:tcBorders>
            <w:shd w:val="clear" w:color="auto" w:fill="auto"/>
            <w:vAlign w:val="center"/>
          </w:tcPr>
          <w:p w14:paraId="29824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3D831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未按操作规程及时进行对数、现场查勘的最高扣2分；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1066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4F8F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4A3297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2EF5E9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5EE7C2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09537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对数后未做到及时修改，对反馈意见及时核实的最高扣2分；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E92F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598E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7A1CF5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1D7CD1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22D0E8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37440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对数后需要补充资料而未及时通知委托人补充相关资料，澄清有关疑问的最高扣4分；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DF50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6EFC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47EFFC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3752BE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671AAA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4CB1B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未能严格按委托人的计划时间完成咨询任务的最高扣4分。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4B63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6A67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220" w:type="pct"/>
            <w:vMerge w:val="restart"/>
            <w:tcBorders>
              <w:top w:val="nil"/>
              <w:left w:val="single" w:color="auto" w:sz="4" w:space="0"/>
              <w:bottom w:val="single" w:color="auto" w:sz="4" w:space="0"/>
              <w:right w:val="single" w:color="auto" w:sz="4" w:space="0"/>
            </w:tcBorders>
            <w:shd w:val="clear" w:color="auto" w:fill="auto"/>
            <w:vAlign w:val="center"/>
          </w:tcPr>
          <w:p w14:paraId="36C75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348" w:type="pct"/>
            <w:vMerge w:val="restart"/>
            <w:tcBorders>
              <w:top w:val="nil"/>
              <w:left w:val="single" w:color="auto" w:sz="4" w:space="0"/>
              <w:bottom w:val="single" w:color="auto" w:sz="4" w:space="0"/>
              <w:right w:val="single" w:color="auto" w:sz="4" w:space="0"/>
            </w:tcBorders>
            <w:shd w:val="clear" w:color="auto" w:fill="auto"/>
            <w:vAlign w:val="center"/>
          </w:tcPr>
          <w:p w14:paraId="4939A3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规范服务</w:t>
            </w:r>
          </w:p>
        </w:tc>
        <w:tc>
          <w:tcPr>
            <w:tcW w:w="317" w:type="pct"/>
            <w:vMerge w:val="restart"/>
            <w:tcBorders>
              <w:top w:val="nil"/>
              <w:left w:val="single" w:color="auto" w:sz="4" w:space="0"/>
              <w:bottom w:val="single" w:color="auto" w:sz="4" w:space="0"/>
              <w:right w:val="single" w:color="auto" w:sz="4" w:space="0"/>
            </w:tcBorders>
            <w:shd w:val="clear" w:color="auto" w:fill="auto"/>
            <w:vAlign w:val="center"/>
          </w:tcPr>
          <w:p w14:paraId="63AC0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6DD21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未严格按有关行业规范、工作规程和水务集团管理要求开展咨询活动的最高扣4分；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0468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19BC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6AEB03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1BE583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1061A8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237D1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未认真执行对数操作规程、现场查勘操作规程的最高扣4分；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DF64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10EC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4BB2BE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4D0AA6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7E9528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30425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对非常规的设备、材料的价格选定，以及非常规的工艺、技术的定额计价，未能跟委托人协商确定的最高扣2分；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3901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5D0A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137CA3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0CD5BB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5B6013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60C3D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未能实行二或三级复核制度的最高扣3分。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CA1C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63FA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0" w:type="pct"/>
            <w:vMerge w:val="restart"/>
            <w:tcBorders>
              <w:top w:val="nil"/>
              <w:left w:val="single" w:color="auto" w:sz="4" w:space="0"/>
              <w:bottom w:val="single" w:color="auto" w:sz="4" w:space="0"/>
              <w:right w:val="single" w:color="auto" w:sz="4" w:space="0"/>
            </w:tcBorders>
            <w:shd w:val="clear" w:color="auto" w:fill="auto"/>
            <w:vAlign w:val="center"/>
          </w:tcPr>
          <w:p w14:paraId="2A31D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348" w:type="pct"/>
            <w:vMerge w:val="restart"/>
            <w:tcBorders>
              <w:top w:val="nil"/>
              <w:left w:val="single" w:color="auto" w:sz="4" w:space="0"/>
              <w:bottom w:val="single" w:color="auto" w:sz="4" w:space="0"/>
              <w:right w:val="single" w:color="auto" w:sz="4" w:space="0"/>
            </w:tcBorders>
            <w:shd w:val="clear" w:color="auto" w:fill="auto"/>
            <w:vAlign w:val="center"/>
          </w:tcPr>
          <w:p w14:paraId="74D09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职业道德评价</w:t>
            </w:r>
          </w:p>
        </w:tc>
        <w:tc>
          <w:tcPr>
            <w:tcW w:w="317" w:type="pct"/>
            <w:vMerge w:val="restart"/>
            <w:tcBorders>
              <w:top w:val="nil"/>
              <w:left w:val="single" w:color="auto" w:sz="4" w:space="0"/>
              <w:bottom w:val="single" w:color="auto" w:sz="4" w:space="0"/>
              <w:right w:val="single" w:color="auto" w:sz="4" w:space="0"/>
            </w:tcBorders>
            <w:shd w:val="clear" w:color="auto" w:fill="auto"/>
            <w:vAlign w:val="center"/>
          </w:tcPr>
          <w:p w14:paraId="5DB1B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63133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未独立完成咨询任务，擅自委托第三方从事咨询活动的扣4分；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2E6A4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1F86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0" w:type="pct"/>
            <w:vMerge w:val="continue"/>
            <w:tcBorders>
              <w:top w:val="nil"/>
              <w:left w:val="single" w:color="auto" w:sz="4" w:space="0"/>
              <w:bottom w:val="single" w:color="auto" w:sz="4" w:space="0"/>
              <w:right w:val="single" w:color="auto" w:sz="4" w:space="0"/>
            </w:tcBorders>
            <w:shd w:val="clear" w:color="auto" w:fill="auto"/>
            <w:vAlign w:val="center"/>
          </w:tcPr>
          <w:p w14:paraId="4AC0A3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shd w:val="clear" w:color="auto" w:fill="auto"/>
            <w:vAlign w:val="center"/>
          </w:tcPr>
          <w:p w14:paraId="48CD34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7" w:type="pct"/>
            <w:vMerge w:val="continue"/>
            <w:tcBorders>
              <w:top w:val="nil"/>
              <w:left w:val="single" w:color="auto" w:sz="4" w:space="0"/>
              <w:bottom w:val="single" w:color="auto" w:sz="4" w:space="0"/>
              <w:right w:val="single" w:color="auto" w:sz="4" w:space="0"/>
            </w:tcBorders>
            <w:shd w:val="clear" w:color="auto" w:fill="auto"/>
            <w:vAlign w:val="center"/>
          </w:tcPr>
          <w:p w14:paraId="1ABC4F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1180D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擅自与委托人的利益相对人联系工作事宜的扣3分。</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5664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1F86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7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3BE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合计</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610A6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3459" w:type="pct"/>
            <w:tcBorders>
              <w:top w:val="single" w:color="auto" w:sz="4" w:space="0"/>
              <w:left w:val="single" w:color="auto" w:sz="4" w:space="0"/>
              <w:bottom w:val="single" w:color="auto" w:sz="4" w:space="0"/>
              <w:right w:val="single" w:color="auto" w:sz="4" w:space="0"/>
            </w:tcBorders>
            <w:shd w:val="clear" w:color="auto" w:fill="auto"/>
            <w:vAlign w:val="center"/>
          </w:tcPr>
          <w:p w14:paraId="4440B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06DB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bl>
    <w:p w14:paraId="6F668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Cs/>
          <w:color w:val="auto"/>
          <w:kern w:val="2"/>
          <w:sz w:val="21"/>
          <w:szCs w:val="21"/>
          <w:highlight w:val="none"/>
          <w:lang w:val="en-US" w:eastAsia="zh-CN" w:bidi="ar"/>
        </w:rPr>
      </w:pPr>
    </w:p>
    <w:tbl>
      <w:tblPr>
        <w:tblStyle w:val="45"/>
        <w:tblW w:w="5225" w:type="pct"/>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971"/>
        <w:gridCol w:w="3279"/>
        <w:gridCol w:w="2310"/>
        <w:gridCol w:w="3277"/>
      </w:tblGrid>
      <w:tr w14:paraId="3D67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14:paraId="5FDA223C">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宋体"/>
                <w:b w:val="0"/>
                <w:bCs/>
                <w:color w:val="auto"/>
                <w:kern w:val="2"/>
                <w:sz w:val="21"/>
                <w:szCs w:val="21"/>
                <w:highlight w:val="none"/>
                <w:lang w:val="en-US" w:eastAsia="zh-CN" w:bidi="ar"/>
              </w:rPr>
              <w:t xml:space="preserve">考核单位（签字）：                                        </w:t>
            </w:r>
          </w:p>
        </w:tc>
        <w:tc>
          <w:tcPr>
            <w:tcW w:w="1512" w:type="pct"/>
            <w:tcBorders>
              <w:top w:val="single" w:color="auto" w:sz="4" w:space="0"/>
              <w:left w:val="single" w:color="auto" w:sz="4" w:space="0"/>
              <w:bottom w:val="single" w:color="auto" w:sz="4" w:space="0"/>
              <w:right w:val="single" w:color="auto" w:sz="4" w:space="0"/>
            </w:tcBorders>
            <w:shd w:val="clear" w:color="auto" w:fill="auto"/>
            <w:vAlign w:val="center"/>
          </w:tcPr>
          <w:p w14:paraId="05CA5494">
            <w:pPr>
              <w:keepNext w:val="0"/>
              <w:keepLines w:val="0"/>
              <w:suppressLineNumbers w:val="0"/>
              <w:autoSpaceDE w:val="0"/>
              <w:autoSpaceDN w:val="0"/>
              <w:adjustRightInd w:val="0"/>
              <w:spacing w:before="0" w:beforeAutospacing="0" w:after="0" w:afterAutospacing="0" w:line="276" w:lineRule="auto"/>
              <w:ind w:left="357" w:leftChars="170" w:right="-23" w:rightChars="-11"/>
              <w:jc w:val="center"/>
              <w:rPr>
                <w:rFonts w:hint="eastAsia" w:ascii="宋体" w:hAnsi="宋体" w:eastAsia="宋体" w:cs="宋体"/>
                <w:b/>
                <w:bCs/>
                <w:color w:val="auto"/>
                <w:kern w:val="0"/>
                <w:sz w:val="52"/>
                <w:szCs w:val="52"/>
                <w:highlight w:val="none"/>
                <w:lang w:val="zh-CN"/>
              </w:rPr>
            </w:pPr>
          </w:p>
        </w:tc>
        <w:tc>
          <w:tcPr>
            <w:tcW w:w="1065" w:type="pct"/>
            <w:tcBorders>
              <w:top w:val="single" w:color="auto" w:sz="4" w:space="0"/>
              <w:left w:val="single" w:color="auto" w:sz="4" w:space="0"/>
              <w:bottom w:val="single" w:color="auto" w:sz="4" w:space="0"/>
              <w:right w:val="single" w:color="auto" w:sz="4" w:space="0"/>
            </w:tcBorders>
            <w:shd w:val="clear" w:color="auto" w:fill="auto"/>
            <w:vAlign w:val="center"/>
          </w:tcPr>
          <w:p w14:paraId="119B5AB5">
            <w:pPr>
              <w:keepNext w:val="0"/>
              <w:keepLines w:val="0"/>
              <w:suppressLineNumbers w:val="0"/>
              <w:tabs>
                <w:tab w:val="left" w:pos="297"/>
                <w:tab w:val="center" w:pos="1297"/>
              </w:tabs>
              <w:autoSpaceDE w:val="0"/>
              <w:autoSpaceDN w:val="0"/>
              <w:adjustRightInd w:val="0"/>
              <w:spacing w:before="0" w:beforeAutospacing="0" w:after="0" w:afterAutospacing="0" w:line="276" w:lineRule="auto"/>
              <w:ind w:left="0" w:leftChars="0" w:right="-23" w:rightChars="-11"/>
              <w:jc w:val="left"/>
              <w:rPr>
                <w:rFonts w:hint="eastAsia" w:ascii="宋体" w:hAnsi="宋体" w:eastAsia="宋体" w:cs="宋体"/>
                <w:b/>
                <w:bCs/>
                <w:color w:val="auto"/>
                <w:kern w:val="0"/>
                <w:sz w:val="52"/>
                <w:szCs w:val="52"/>
                <w:highlight w:val="none"/>
                <w:lang w:val="zh-CN"/>
              </w:rPr>
            </w:pPr>
            <w:r>
              <w:rPr>
                <w:rFonts w:hint="eastAsia" w:ascii="宋体" w:hAnsi="宋体" w:eastAsia="宋体" w:cs="宋体"/>
                <w:b w:val="0"/>
                <w:bCs/>
                <w:color w:val="auto"/>
                <w:kern w:val="2"/>
                <w:sz w:val="21"/>
                <w:szCs w:val="21"/>
                <w:highlight w:val="none"/>
                <w:lang w:val="en-US" w:eastAsia="zh-CN" w:bidi="ar"/>
              </w:rPr>
              <w:t>被考核单位（签章</w:t>
            </w:r>
            <w:r>
              <w:rPr>
                <w:rFonts w:hint="default" w:ascii="方正小标宋简体" w:hAnsi="方正小标宋简体" w:eastAsia="方正小标宋简体" w:cs="方正小标宋简体"/>
                <w:b w:val="0"/>
                <w:bCs/>
                <w:color w:val="auto"/>
                <w:kern w:val="2"/>
                <w:sz w:val="22"/>
                <w:szCs w:val="22"/>
                <w:highlight w:val="none"/>
                <w:lang w:val="en-US" w:eastAsia="zh-CN" w:bidi="ar"/>
              </w:rPr>
              <w:t>）</w:t>
            </w:r>
          </w:p>
        </w:tc>
        <w:tc>
          <w:tcPr>
            <w:tcW w:w="1511" w:type="pct"/>
            <w:tcBorders>
              <w:top w:val="single" w:color="auto" w:sz="4" w:space="0"/>
              <w:left w:val="single" w:color="auto" w:sz="4" w:space="0"/>
              <w:bottom w:val="single" w:color="auto" w:sz="4" w:space="0"/>
              <w:right w:val="single" w:color="auto" w:sz="4" w:space="0"/>
            </w:tcBorders>
            <w:shd w:val="clear" w:color="auto" w:fill="auto"/>
            <w:vAlign w:val="center"/>
          </w:tcPr>
          <w:p w14:paraId="64F3CD75">
            <w:pPr>
              <w:keepNext w:val="0"/>
              <w:keepLines w:val="0"/>
              <w:suppressLineNumbers w:val="0"/>
              <w:autoSpaceDE w:val="0"/>
              <w:autoSpaceDN w:val="0"/>
              <w:adjustRightInd w:val="0"/>
              <w:spacing w:before="0" w:beforeAutospacing="0" w:after="0" w:afterAutospacing="0" w:line="276" w:lineRule="auto"/>
              <w:ind w:left="357" w:leftChars="170" w:right="-23" w:rightChars="-11"/>
              <w:jc w:val="center"/>
              <w:rPr>
                <w:rFonts w:hint="eastAsia" w:ascii="宋体" w:hAnsi="宋体" w:eastAsia="宋体" w:cs="宋体"/>
                <w:b/>
                <w:bCs/>
                <w:color w:val="auto"/>
                <w:kern w:val="0"/>
                <w:sz w:val="52"/>
                <w:szCs w:val="52"/>
                <w:highlight w:val="none"/>
                <w:lang w:val="zh-CN"/>
              </w:rPr>
            </w:pPr>
          </w:p>
        </w:tc>
      </w:tr>
    </w:tbl>
    <w:p w14:paraId="751A6285">
      <w:pPr>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kern w:val="2"/>
          <w:sz w:val="21"/>
          <w:szCs w:val="21"/>
          <w:highlight w:val="none"/>
          <w:lang w:val="en-US" w:eastAsia="zh-CN" w:bidi="ar"/>
        </w:rPr>
        <w:br w:type="page"/>
      </w:r>
      <w:r>
        <w:rPr>
          <w:rFonts w:hint="eastAsia" w:ascii="宋体" w:hAnsi="宋体" w:eastAsia="宋体" w:cs="宋体"/>
          <w:b/>
          <w:bCs/>
          <w:color w:val="auto"/>
          <w:kern w:val="2"/>
          <w:sz w:val="21"/>
          <w:szCs w:val="21"/>
          <w:highlight w:val="none"/>
          <w:lang w:val="en-US" w:eastAsia="zh-CN" w:bidi="ar"/>
        </w:rPr>
        <w:t>附件3：投入本项目人员表</w:t>
      </w:r>
    </w:p>
    <w:p w14:paraId="31CDF20C">
      <w:pPr>
        <w:spacing w:before="240" w:beforeLines="100" w:line="360" w:lineRule="auto"/>
        <w:jc w:val="center"/>
        <w:outlineLvl w:val="3"/>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投入本项目人员表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89"/>
        <w:gridCol w:w="1473"/>
        <w:gridCol w:w="1558"/>
        <w:gridCol w:w="947"/>
      </w:tblGrid>
      <w:tr w14:paraId="2D37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vAlign w:val="center"/>
          </w:tcPr>
          <w:p w14:paraId="7A5792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69" w:type="dxa"/>
            <w:vAlign w:val="center"/>
          </w:tcPr>
          <w:p w14:paraId="35CE0D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77" w:type="dxa"/>
            <w:vAlign w:val="center"/>
          </w:tcPr>
          <w:p w14:paraId="5C467A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77" w:type="dxa"/>
            <w:vAlign w:val="center"/>
          </w:tcPr>
          <w:p w14:paraId="00DBEF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677" w:type="dxa"/>
            <w:vAlign w:val="center"/>
          </w:tcPr>
          <w:p w14:paraId="17D73D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689" w:type="dxa"/>
            <w:vAlign w:val="center"/>
          </w:tcPr>
          <w:p w14:paraId="74EEA63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资格/职称证书</w:t>
            </w:r>
          </w:p>
        </w:tc>
        <w:tc>
          <w:tcPr>
            <w:tcW w:w="1473" w:type="dxa"/>
            <w:vAlign w:val="center"/>
          </w:tcPr>
          <w:p w14:paraId="1D31E3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本项目担任职务</w:t>
            </w:r>
          </w:p>
        </w:tc>
        <w:tc>
          <w:tcPr>
            <w:tcW w:w="1558" w:type="dxa"/>
            <w:vAlign w:val="center"/>
          </w:tcPr>
          <w:p w14:paraId="0940A60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947" w:type="dxa"/>
            <w:vAlign w:val="center"/>
          </w:tcPr>
          <w:p w14:paraId="749CBEA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备注</w:t>
            </w:r>
          </w:p>
        </w:tc>
      </w:tr>
      <w:tr w14:paraId="4AB3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Align w:val="center"/>
          </w:tcPr>
          <w:p w14:paraId="1D0A6B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60E665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1DCA59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0001AE0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633C2E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5CB9A6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410789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4F8671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026AF3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423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vAlign w:val="center"/>
          </w:tcPr>
          <w:p w14:paraId="554252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235255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7459FC4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3DDD76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7EC3EB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21408B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13E832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78972A4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195E25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97C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7D2B172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0FBCEB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575456B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32902D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E632D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72E789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79DDCB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68AC8F9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5CD4A78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5EB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6A0D83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75F050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1DF62B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5FAB54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1E25BFA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14B284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2DE7E7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5BB7F0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233027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6D6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514722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186DC8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7F2C37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727E6C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54E1AE6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4DEEC8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1D135D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1AFECF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4C4F14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9A7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4C55FC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4044A7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F66282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351078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03C87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232F04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4AC5C3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598D70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056361A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34F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2095A9C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67C923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337409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31453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320C5C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2F3527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5E202A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0A9CB12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0A91F6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321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vAlign w:val="center"/>
          </w:tcPr>
          <w:p w14:paraId="139A61A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17F8288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548529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0C244F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A8187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2D95B97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04B642C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3204B4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4B6D04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D55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vAlign w:val="center"/>
          </w:tcPr>
          <w:p w14:paraId="4172E6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5E4C28A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031FB9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15E321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63379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147A40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4756DB9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3D41C5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451995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F3E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vAlign w:val="center"/>
          </w:tcPr>
          <w:p w14:paraId="2BC4AB9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757E21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1440E47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5F73314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B566C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2A4470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0CA28D9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330233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0B841D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036B1FBF">
      <w:pPr>
        <w:spacing w:line="360" w:lineRule="auto"/>
        <w:rPr>
          <w:rFonts w:hint="eastAsia" w:ascii="宋体" w:hAnsi="宋体" w:eastAsia="宋体" w:cs="宋体"/>
          <w:color w:val="auto"/>
          <w:sz w:val="21"/>
          <w:szCs w:val="21"/>
          <w:highlight w:val="none"/>
        </w:rPr>
      </w:pPr>
    </w:p>
    <w:p w14:paraId="70DE06AC">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b/>
          <w:bCs/>
          <w:color w:val="auto"/>
          <w:sz w:val="21"/>
          <w:szCs w:val="21"/>
          <w:highlight w:val="none"/>
        </w:rPr>
        <w:t>注：以上人员须提供</w:t>
      </w:r>
      <w:r>
        <w:rPr>
          <w:rFonts w:hint="eastAsia" w:ascii="宋体" w:hAnsi="宋体" w:eastAsia="宋体" w:cs="宋体"/>
          <w:b/>
          <w:bCs/>
          <w:color w:val="auto"/>
          <w:sz w:val="21"/>
          <w:szCs w:val="21"/>
          <w:highlight w:val="none"/>
          <w:lang w:val="en-US" w:eastAsia="zh-CN"/>
        </w:rPr>
        <w:t>以下证明材料扫描件加盖投标人公章：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1）人员</w:t>
      </w:r>
      <w:r>
        <w:rPr>
          <w:rFonts w:hint="eastAsia" w:ascii="宋体" w:hAnsi="宋体" w:eastAsia="宋体" w:cs="宋体"/>
          <w:b/>
          <w:bCs/>
          <w:color w:val="auto"/>
          <w:sz w:val="21"/>
          <w:szCs w:val="21"/>
          <w:highlight w:val="none"/>
        </w:rPr>
        <w:t>身份证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造价工程师职业资格证书；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w:t>
      </w:r>
      <w:r>
        <w:rPr>
          <w:rFonts w:hint="eastAsia" w:ascii="宋体" w:hAnsi="宋体" w:eastAsia="宋体" w:cs="宋体"/>
          <w:b/>
          <w:bCs/>
          <w:color w:val="auto"/>
          <w:sz w:val="21"/>
          <w:szCs w:val="21"/>
          <w:highlight w:val="none"/>
        </w:rPr>
        <w:t>注册证书（或在“全国建筑市场公共服务平台”上的执业注册信息截图）</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职称证书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人力资源和社会保障部门（或税务部门）出具</w:t>
      </w:r>
      <w:r>
        <w:rPr>
          <w:rFonts w:hint="eastAsia" w:ascii="宋体" w:hAnsi="宋体" w:eastAsia="宋体" w:cs="宋体"/>
          <w:b/>
          <w:bCs/>
          <w:color w:val="auto"/>
          <w:sz w:val="21"/>
          <w:szCs w:val="21"/>
          <w:highlight w:val="none"/>
        </w:rPr>
        <w:t>的202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月至202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Cs w:val="21"/>
          <w:highlight w:val="none"/>
        </w:rPr>
        <w:t>的投标人为其缴纳的社保证明</w:t>
      </w:r>
      <w:r>
        <w:rPr>
          <w:rFonts w:hint="eastAsia" w:ascii="宋体" w:hAnsi="宋体" w:eastAsia="宋体" w:cs="宋体"/>
          <w:b/>
          <w:bCs/>
          <w:color w:val="auto"/>
          <w:szCs w:val="21"/>
          <w:highlight w:val="none"/>
          <w:lang w:val="en-US" w:eastAsia="zh-CN"/>
        </w:rPr>
        <w:t>材料。</w:t>
      </w:r>
    </w:p>
    <w:p w14:paraId="6F99A9A3">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6B52A424">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w:t>
      </w:r>
    </w:p>
    <w:p w14:paraId="4FF79BC6">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E49C284">
      <w:pPr>
        <w:keepNext w:val="0"/>
        <w:keepLines w:val="0"/>
        <w:widowControl/>
        <w:suppressLineNumbers w:val="0"/>
        <w:autoSpaceDE w:val="0"/>
        <w:autoSpaceDN/>
        <w:spacing w:before="0" w:beforeAutospacing="0" w:after="0" w:afterAutospacing="0"/>
        <w:ind w:left="0" w:right="0"/>
        <w:jc w:val="both"/>
        <w:rPr>
          <w:rFonts w:hint="eastAsia" w:ascii="宋体" w:hAnsi="宋体" w:eastAsia="宋体" w:cs="宋体"/>
          <w:b/>
          <w:bCs/>
          <w:color w:val="auto"/>
          <w:kern w:val="2"/>
          <w:sz w:val="21"/>
          <w:szCs w:val="21"/>
          <w:highlight w:val="none"/>
        </w:rPr>
      </w:pPr>
    </w:p>
    <w:p w14:paraId="314410A5">
      <w:pPr>
        <w:keepNext w:val="0"/>
        <w:keepLines w:val="0"/>
        <w:widowControl/>
        <w:suppressLineNumbers w:val="0"/>
        <w:autoSpaceDE w:val="0"/>
        <w:autoSpaceDN/>
        <w:spacing w:before="0" w:beforeAutospacing="0" w:after="0" w:afterAutospacing="0"/>
        <w:ind w:left="0" w:right="0"/>
        <w:jc w:val="both"/>
        <w:rPr>
          <w:rFonts w:hint="eastAsia" w:ascii="宋体" w:hAnsi="宋体" w:eastAsia="宋体" w:cs="宋体"/>
          <w:b/>
          <w:bCs/>
          <w:color w:val="auto"/>
          <w:kern w:val="2"/>
          <w:sz w:val="21"/>
          <w:szCs w:val="21"/>
          <w:highlight w:val="none"/>
        </w:rPr>
      </w:pPr>
    </w:p>
    <w:p w14:paraId="40BDD472">
      <w:pPr>
        <w:keepNext w:val="0"/>
        <w:keepLines w:val="0"/>
        <w:widowControl/>
        <w:suppressLineNumbers w:val="0"/>
        <w:autoSpaceDE/>
        <w:autoSpaceDN/>
        <w:spacing w:before="0" w:beforeAutospacing="0" w:after="0" w:afterAutospacing="0"/>
        <w:ind w:left="0" w:right="0"/>
        <w:jc w:val="left"/>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br w:type="page"/>
      </w:r>
    </w:p>
    <w:p w14:paraId="179EFC88">
      <w:pPr>
        <w:keepNext w:val="0"/>
        <w:keepLines w:val="0"/>
        <w:widowControl/>
        <w:suppressLineNumbers w:val="0"/>
        <w:autoSpaceDE w:val="0"/>
        <w:autoSpaceDN/>
        <w:spacing w:before="0" w:beforeAutospacing="0" w:after="0" w:afterAutospacing="0"/>
        <w:ind w:left="0" w:right="0"/>
        <w:jc w:val="both"/>
        <w:rPr>
          <w:rFonts w:hint="eastAsia" w:ascii="宋体" w:hAnsi="宋体" w:eastAsia="宋体" w:cs="宋体"/>
          <w:b/>
          <w:bCs w:val="0"/>
          <w:color w:val="auto"/>
          <w:kern w:val="2"/>
          <w:sz w:val="30"/>
          <w:szCs w:val="30"/>
          <w:highlight w:val="none"/>
        </w:rPr>
      </w:pPr>
      <w:r>
        <w:rPr>
          <w:rFonts w:hint="eastAsia" w:ascii="宋体" w:hAnsi="宋体" w:eastAsia="宋体" w:cs="宋体"/>
          <w:b/>
          <w:bCs w:val="0"/>
          <w:color w:val="auto"/>
          <w:kern w:val="2"/>
          <w:sz w:val="21"/>
          <w:szCs w:val="21"/>
          <w:highlight w:val="none"/>
          <w:lang w:val="en-US" w:eastAsia="zh-CN" w:bidi="ar"/>
        </w:rPr>
        <w:t>附件4：廉洁协议书</w:t>
      </w:r>
    </w:p>
    <w:p w14:paraId="4C97E61B">
      <w:pPr>
        <w:keepNext w:val="0"/>
        <w:keepLines w:val="0"/>
        <w:widowControl w:val="0"/>
        <w:suppressLineNumbers w:val="0"/>
        <w:spacing w:before="0" w:beforeAutospacing="0" w:after="0" w:afterAutospacing="0" w:line="360" w:lineRule="auto"/>
        <w:ind w:left="0" w:right="31" w:rightChars="15"/>
        <w:contextualSpacing/>
        <w:jc w:val="center"/>
        <w:outlineLvl w:val="1"/>
        <w:rPr>
          <w:rFonts w:hint="eastAsia" w:ascii="宋体" w:hAnsi="宋体" w:eastAsia="宋体" w:cs="宋体"/>
          <w:b/>
          <w:bCs w:val="0"/>
          <w:color w:val="auto"/>
          <w:kern w:val="2"/>
          <w:sz w:val="28"/>
          <w:szCs w:val="28"/>
          <w:highlight w:val="none"/>
        </w:rPr>
      </w:pPr>
      <w:bookmarkStart w:id="412" w:name="_Toc20563"/>
      <w:bookmarkEnd w:id="412"/>
      <w:bookmarkStart w:id="413" w:name="_Toc45110891"/>
      <w:bookmarkEnd w:id="413"/>
      <w:bookmarkStart w:id="414" w:name="_Toc27037"/>
      <w:bookmarkEnd w:id="414"/>
      <w:bookmarkStart w:id="415" w:name="_Toc76971796"/>
      <w:bookmarkEnd w:id="415"/>
      <w:bookmarkStart w:id="416" w:name="_Toc12324"/>
      <w:bookmarkStart w:id="417" w:name="_Toc45110767"/>
      <w:r>
        <w:rPr>
          <w:rFonts w:hint="eastAsia" w:ascii="宋体" w:hAnsi="宋体" w:eastAsia="宋体" w:cs="宋体"/>
          <w:b/>
          <w:bCs w:val="0"/>
          <w:color w:val="auto"/>
          <w:kern w:val="2"/>
          <w:sz w:val="28"/>
          <w:szCs w:val="28"/>
          <w:highlight w:val="none"/>
          <w:lang w:val="en-US" w:eastAsia="zh-CN" w:bidi="ar"/>
        </w:rPr>
        <w:t>廉洁协议书</w:t>
      </w:r>
      <w:bookmarkEnd w:id="416"/>
      <w:bookmarkEnd w:id="417"/>
    </w:p>
    <w:p w14:paraId="18740BA0">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项目名称：东莞市水务集团造价咨询服务单位库(2025-2026)采购项目（招标编号：            ）</w:t>
      </w:r>
    </w:p>
    <w:p w14:paraId="00048291">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甲方（业主单位）：</w:t>
      </w:r>
    </w:p>
    <w:p w14:paraId="354505D6">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乙方：</w:t>
      </w:r>
    </w:p>
    <w:p w14:paraId="4634571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286CB36">
      <w:pPr>
        <w:keepNext w:val="0"/>
        <w:keepLines w:val="0"/>
        <w:widowControl w:val="0"/>
        <w:suppressLineNumbers w:val="0"/>
        <w:spacing w:before="0" w:beforeAutospacing="0" w:after="0" w:afterAutospacing="0" w:line="360" w:lineRule="auto"/>
        <w:ind w:left="0" w:right="0" w:firstLine="422"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第一条  甲乙双方的权利和义务</w:t>
      </w:r>
    </w:p>
    <w:p w14:paraId="1E21322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（一）严格遵守党和国家有关法律法规等有关廉洁从业规定。</w:t>
      </w:r>
    </w:p>
    <w:p w14:paraId="571F273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（二）严格执行本项目的合同文件，自觉按合同办事。</w:t>
      </w:r>
    </w:p>
    <w:p w14:paraId="04B8A30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（三）双方的业务活动坚持公开、公正、诚信、透明的原则（除法律认定的商业秘密和合同文件另有规定之外）不得损害国家和集体利益，违反工程建设管理及其他法律法规规章制度。</w:t>
      </w:r>
    </w:p>
    <w:p w14:paraId="5219BB4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（四）建立健全廉洁制度，开展廉洁教育，设立廉洁监督公示牌，公布举报电话，监督并认真查处违法违纪行为。</w:t>
      </w:r>
    </w:p>
    <w:p w14:paraId="4AAF30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（五）发现对方在业务活动中有违反廉洁规定的行为，有及时提醒对方纠正的权利和义务。</w:t>
      </w:r>
    </w:p>
    <w:p w14:paraId="30C85C1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（六）发现对方严重违反本协议义务条款的行为，有向其上级有关部门举报、建议给予处理并要求告知处理结果的权利。</w:t>
      </w:r>
    </w:p>
    <w:p w14:paraId="1E86206D">
      <w:pPr>
        <w:keepNext w:val="0"/>
        <w:keepLines w:val="0"/>
        <w:widowControl w:val="0"/>
        <w:suppressLineNumbers w:val="0"/>
        <w:spacing w:before="0" w:beforeAutospacing="0" w:after="0" w:afterAutospacing="0" w:line="360" w:lineRule="auto"/>
        <w:ind w:left="0" w:right="0" w:firstLine="422" w:firstLineChars="200"/>
        <w:jc w:val="both"/>
        <w:outlineLvl w:val="3"/>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第二条  甲方的义务</w:t>
      </w:r>
    </w:p>
    <w:p w14:paraId="18772A9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（一）甲方及其工作人员不得索要或接受乙方的礼金、有价证券和贵重物品，不得在乙方报销任何应由甲方或个人支付的费用。</w:t>
      </w:r>
    </w:p>
    <w:p w14:paraId="3A6ED04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（二）甲方工作人员不得参加乙方安排的高消费宴请和娱乐活动；不得接受乙方提供的通讯工具、交通工具和高档办公用品。</w:t>
      </w:r>
    </w:p>
    <w:p w14:paraId="5C9AA79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（三）甲方及其工作人员不得要求或者接受乙方为其住房装修、婚丧嫁娶活动、家属或亲友的工作安排以及出国出境、旅游等提供方便。</w:t>
      </w:r>
    </w:p>
    <w:p w14:paraId="361B45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（四）甲方工作人员不得向乙方介绍其家属或者亲友（包括家属或亲友开办的公司企业）从事于本项目涉及的经济业务活动。</w:t>
      </w:r>
    </w:p>
    <w:p w14:paraId="3DC4949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（五）甲方及其工作人员不得以任何理由向乙方推荐分包单位，不得要求乙方购买合同规定外的材料和设备。</w:t>
      </w:r>
    </w:p>
    <w:p w14:paraId="70E53DA3">
      <w:pPr>
        <w:keepNext w:val="0"/>
        <w:keepLines w:val="0"/>
        <w:widowControl w:val="0"/>
        <w:suppressLineNumbers w:val="0"/>
        <w:spacing w:before="0" w:beforeAutospacing="0" w:after="0" w:afterAutospacing="0" w:line="360" w:lineRule="auto"/>
        <w:ind w:left="0" w:right="0" w:firstLine="420" w:firstLineChars="200"/>
        <w:jc w:val="both"/>
        <w:outlineLvl w:val="4"/>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（六）甲方及其工作人员不得进行违反廉洁规定的其他活动。</w:t>
      </w:r>
    </w:p>
    <w:p w14:paraId="5617DE1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（七）甲方应对甲方工作人员进行廉洁监督管理，如甲方工作人员违反本协议第一、第二条，甲方应依据有关法律法规、党纪规定对其进行处理；涉嫌犯罪的，甲方应将其移交司法机关追究刑事责任。</w:t>
      </w:r>
    </w:p>
    <w:p w14:paraId="46068743">
      <w:pPr>
        <w:keepNext w:val="0"/>
        <w:keepLines w:val="0"/>
        <w:widowControl w:val="0"/>
        <w:suppressLineNumbers w:val="0"/>
        <w:spacing w:before="0" w:beforeAutospacing="0" w:after="0" w:afterAutospacing="0" w:line="360" w:lineRule="auto"/>
        <w:ind w:left="0" w:right="0" w:firstLine="422" w:firstLineChars="200"/>
        <w:jc w:val="both"/>
        <w:outlineLvl w:val="3"/>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第三条  乙方义务</w:t>
      </w:r>
    </w:p>
    <w:p w14:paraId="1164586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（一）乙方不得以任何理由向甲方及其工作人员馈赠礼金、有价证券、贵重礼品，或报销应由甲方单位或个人支付的任何费用。</w:t>
      </w:r>
    </w:p>
    <w:p w14:paraId="0B979B3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（二）乙方及其工作人员不得以考察、参观、洽谈业务、签订合同等的借口邀请甲方及其工作人员参加高消费的宴请、娱乐和健身等活动。</w:t>
      </w:r>
    </w:p>
    <w:p w14:paraId="43FFC67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（三）乙方不得为甲方单位和个人购置或提供通讯工具、交通工具和高档办公用品等。</w:t>
      </w:r>
    </w:p>
    <w:p w14:paraId="095659B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（四）乙方及其工作人员不得为甲方工作人员购买、装修、维修私人住房、汽车等。</w:t>
      </w:r>
    </w:p>
    <w:p w14:paraId="2C9FA74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（五）乙方及其工作人员不得为甲方工作人员的婚丧嫁娶、家属或亲友的工作安排，及出国出境提供方便以及报销任何私人消费的费用。</w:t>
      </w:r>
    </w:p>
    <w:p w14:paraId="772D316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（六）乙方及其工作人员不得进行影响甲方及其工作人员公正执行合同和履行职务的其他活动。</w:t>
      </w:r>
    </w:p>
    <w:p w14:paraId="457F1EA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03CA838">
      <w:pPr>
        <w:keepNext w:val="0"/>
        <w:keepLines w:val="0"/>
        <w:widowControl w:val="0"/>
        <w:suppressLineNumbers w:val="0"/>
        <w:spacing w:before="0" w:beforeAutospacing="0" w:after="0" w:afterAutospacing="0" w:line="360" w:lineRule="auto"/>
        <w:ind w:left="0" w:right="0" w:firstLine="422" w:firstLineChars="200"/>
        <w:jc w:val="both"/>
        <w:outlineLvl w:val="3"/>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第四条  违约责任</w:t>
      </w:r>
    </w:p>
    <w:p w14:paraId="042CB1D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（一）甲方违反本协议第一、第二条给乙方单位造成经济损失的，应予以赔偿。</w:t>
      </w:r>
    </w:p>
    <w:p w14:paraId="2AB0B93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（二）乙方违反本协议第一、第三条给甲方单位造成经济损失的，应予以赔偿。</w:t>
      </w:r>
    </w:p>
    <w:p w14:paraId="7F9B1FD5">
      <w:pPr>
        <w:keepNext w:val="0"/>
        <w:keepLines w:val="0"/>
        <w:widowControl w:val="0"/>
        <w:suppressLineNumbers w:val="0"/>
        <w:spacing w:before="0" w:beforeAutospacing="0" w:after="0" w:afterAutospacing="0" w:line="360" w:lineRule="auto"/>
        <w:ind w:left="0" w:right="0" w:firstLine="422" w:firstLineChars="200"/>
        <w:jc w:val="both"/>
        <w:outlineLvl w:val="3"/>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第五条  监督检查</w:t>
      </w:r>
    </w:p>
    <w:p w14:paraId="7F06D62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甲乙双方的廉洁从业行为由双方或双方上级单位的纪检、监察部门负责监督，对本协议履行情况进行检查。</w:t>
      </w:r>
    </w:p>
    <w:p w14:paraId="02A9A2A4">
      <w:pPr>
        <w:keepNext w:val="0"/>
        <w:keepLines w:val="0"/>
        <w:widowControl w:val="0"/>
        <w:suppressLineNumbers w:val="0"/>
        <w:spacing w:before="0" w:beforeAutospacing="0" w:after="0" w:afterAutospacing="0" w:line="360" w:lineRule="auto"/>
        <w:ind w:left="0" w:right="0" w:firstLine="422" w:firstLineChars="200"/>
        <w:jc w:val="both"/>
        <w:outlineLvl w:val="3"/>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第六条 举报信访受理</w:t>
      </w:r>
    </w:p>
    <w:p w14:paraId="68323C0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（一）举报受理部门：东莞市水务集团有限公司纪检监察部。</w:t>
      </w:r>
    </w:p>
    <w:p w14:paraId="7CCC2D0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（二）举报电话：（0769）23076092。</w:t>
      </w:r>
    </w:p>
    <w:p w14:paraId="7F06654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（三）举报邮箱：</w:t>
      </w:r>
      <w:r>
        <w:rPr>
          <w:rFonts w:hint="eastAsia" w:ascii="宋体" w:hAnsi="宋体" w:eastAsia="宋体" w:cs="宋体"/>
          <w:bCs/>
          <w:color w:val="auto"/>
          <w:kern w:val="2"/>
          <w:sz w:val="21"/>
          <w:szCs w:val="21"/>
          <w:highlight w:val="none"/>
          <w:u w:val="none"/>
        </w:rPr>
        <w:t>jcsj@dgswjt.cn。</w:t>
      </w:r>
    </w:p>
    <w:p w14:paraId="41DA8F4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（四）信访地址：广东省东莞市东城街道育华路1号。</w:t>
      </w:r>
    </w:p>
    <w:p w14:paraId="368DEEFA">
      <w:pPr>
        <w:keepNext w:val="0"/>
        <w:keepLines w:val="0"/>
        <w:widowControl w:val="0"/>
        <w:suppressLineNumbers w:val="0"/>
        <w:spacing w:before="0" w:beforeAutospacing="0" w:after="0" w:afterAutospacing="0" w:line="360" w:lineRule="auto"/>
        <w:ind w:left="0" w:right="0" w:firstLine="422" w:firstLineChars="200"/>
        <w:jc w:val="both"/>
        <w:outlineLvl w:val="3"/>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第七条 其他</w:t>
      </w:r>
    </w:p>
    <w:p w14:paraId="26DB7D6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本协议有效期为甲乙双方签字并加盖公章之日起至该工程/采购项目竣工验收完毕，质保期/服务期满后止。本协议一式   份，甲、乙双方各执   份，甲、乙双方上级主管部门各执   份。</w:t>
      </w:r>
    </w:p>
    <w:p w14:paraId="50677C7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 </w:t>
      </w:r>
    </w:p>
    <w:p w14:paraId="7D8781D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 </w:t>
      </w:r>
    </w:p>
    <w:p w14:paraId="0BABC14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甲方（盖章）：                     乙方（盖章）： </w:t>
      </w:r>
    </w:p>
    <w:p w14:paraId="7F852F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 </w:t>
      </w:r>
    </w:p>
    <w:p w14:paraId="7B38B76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法定代表人：                       法定代表人：</w:t>
      </w:r>
    </w:p>
    <w:p w14:paraId="362CA9E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甲方代表：                         乙方代表：</w:t>
      </w:r>
    </w:p>
    <w:p w14:paraId="7D84611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 </w:t>
      </w:r>
    </w:p>
    <w:p w14:paraId="4E6D2C6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签订日期：    年  月  日              年  月  日</w:t>
      </w:r>
    </w:p>
    <w:p w14:paraId="0D1645CE">
      <w:pPr>
        <w:autoSpaceDE w:val="0"/>
        <w:autoSpaceDN w:val="0"/>
        <w:adjustRightInd w:val="0"/>
        <w:snapToGrid w:val="0"/>
        <w:spacing w:line="360" w:lineRule="auto"/>
        <w:jc w:val="center"/>
        <w:rPr>
          <w:rFonts w:hint="eastAsia" w:ascii="宋体" w:hAnsi="宋体" w:eastAsia="宋体" w:cs="Times New Roman"/>
          <w:color w:val="auto"/>
          <w:kern w:val="0"/>
          <w:sz w:val="24"/>
          <w:szCs w:val="24"/>
          <w:highlight w:val="none"/>
          <w:lang w:eastAsia="zh-CN"/>
        </w:rPr>
      </w:pPr>
    </w:p>
    <w:bookmarkEnd w:id="405"/>
    <w:p w14:paraId="22D880FD">
      <w:pPr>
        <w:autoSpaceDE w:val="0"/>
        <w:autoSpaceDN w:val="0"/>
        <w:adjustRightInd w:val="0"/>
        <w:snapToGrid/>
        <w:spacing w:line="360" w:lineRule="auto"/>
        <w:jc w:val="left"/>
        <w:outlineLvl w:val="9"/>
        <w:rPr>
          <w:rFonts w:ascii="宋体" w:hAnsi="宋体" w:eastAsia="宋体" w:cs="Times New Roman"/>
          <w:color w:val="auto"/>
          <w:kern w:val="0"/>
          <w:szCs w:val="21"/>
          <w:highlight w:val="none"/>
        </w:rPr>
      </w:pPr>
      <w:bookmarkStart w:id="418" w:name="_Toc11495"/>
      <w:bookmarkStart w:id="419" w:name="_Toc10651"/>
      <w:r>
        <w:rPr>
          <w:rFonts w:hint="eastAsia" w:ascii="宋体" w:hAnsi="宋体" w:eastAsia="宋体" w:cs="宋体"/>
          <w:color w:val="auto"/>
          <w:kern w:val="0"/>
          <w:sz w:val="24"/>
          <w:szCs w:val="21"/>
          <w:highlight w:val="none"/>
        </w:rPr>
        <w:br w:type="page"/>
      </w:r>
      <w:bookmarkEnd w:id="418"/>
      <w:bookmarkEnd w:id="419"/>
    </w:p>
    <w:p w14:paraId="1F00CE7B">
      <w:pPr>
        <w:pageBreakBefore/>
        <w:spacing w:before="120" w:beforeLines="50" w:after="120" w:afterLines="50" w:line="360" w:lineRule="auto"/>
        <w:ind w:firstLine="640"/>
        <w:jc w:val="center"/>
        <w:outlineLvl w:val="1"/>
        <w:rPr>
          <w:rFonts w:ascii="宋体" w:hAnsi="宋体" w:eastAsia="宋体" w:cs="Times New Roman"/>
          <w:b/>
          <w:bCs/>
          <w:color w:val="auto"/>
          <w:sz w:val="32"/>
          <w:szCs w:val="32"/>
          <w:highlight w:val="none"/>
          <w:lang w:val="zh-CN"/>
        </w:rPr>
      </w:pPr>
      <w:bookmarkStart w:id="420" w:name="_Toc195714371"/>
      <w:bookmarkStart w:id="421" w:name="_Toc447044479"/>
      <w:bookmarkStart w:id="422" w:name="_Toc142508360"/>
      <w:bookmarkStart w:id="423" w:name="_Toc512353083"/>
      <w:bookmarkStart w:id="424" w:name="_Toc30025"/>
      <w:bookmarkStart w:id="425" w:name="_Toc25564"/>
      <w:bookmarkStart w:id="426" w:name="_Toc447044603"/>
      <w:bookmarkStart w:id="427" w:name="_Toc24427_WPSOffice_Level1"/>
      <w:bookmarkStart w:id="428" w:name="_Toc2749"/>
      <w:bookmarkStart w:id="429" w:name="_Toc447045090"/>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20"/>
      <w:bookmarkEnd w:id="421"/>
      <w:bookmarkEnd w:id="422"/>
      <w:bookmarkEnd w:id="423"/>
      <w:bookmarkEnd w:id="424"/>
      <w:bookmarkEnd w:id="425"/>
      <w:bookmarkEnd w:id="426"/>
      <w:bookmarkEnd w:id="427"/>
      <w:bookmarkEnd w:id="428"/>
      <w:bookmarkEnd w:id="429"/>
      <w:bookmarkStart w:id="430" w:name="_Toc447044604"/>
      <w:bookmarkStart w:id="431" w:name="_Toc447044480"/>
      <w:bookmarkStart w:id="432" w:name="_Toc447045091"/>
    </w:p>
    <w:p w14:paraId="127DBCA0">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433" w:name="_Toc26521_WPSOffice_Level2"/>
      <w:r>
        <w:rPr>
          <w:rFonts w:hint="eastAsia" w:ascii="宋体" w:hAnsi="宋体" w:eastAsia="宋体" w:cs="Times New Roman"/>
          <w:b/>
          <w:color w:val="auto"/>
          <w:kern w:val="0"/>
          <w:sz w:val="28"/>
          <w:szCs w:val="28"/>
          <w:highlight w:val="none"/>
        </w:rPr>
        <w:t>一、不可撤销银行履约保函格式</w:t>
      </w:r>
      <w:bookmarkEnd w:id="430"/>
      <w:bookmarkEnd w:id="431"/>
      <w:bookmarkEnd w:id="432"/>
      <w:bookmarkEnd w:id="433"/>
    </w:p>
    <w:p w14:paraId="20DE8202">
      <w:pPr>
        <w:autoSpaceDE w:val="0"/>
        <w:autoSpaceDN w:val="0"/>
        <w:adjustRightInd w:val="0"/>
        <w:jc w:val="center"/>
        <w:outlineLvl w:val="2"/>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3DD23314">
      <w:pPr>
        <w:widowControl/>
        <w:autoSpaceDE w:val="0"/>
        <w:autoSpaceDN w:val="0"/>
        <w:adjustRightInd w:val="0"/>
        <w:spacing w:line="360" w:lineRule="auto"/>
        <w:jc w:val="left"/>
        <w:rPr>
          <w:rFonts w:ascii="宋体" w:hAnsi="宋体" w:eastAsia="宋体" w:cs="宋体"/>
          <w:color w:val="auto"/>
          <w:kern w:val="0"/>
          <w:szCs w:val="21"/>
          <w:highlight w:val="none"/>
        </w:rPr>
      </w:pPr>
    </w:p>
    <w:p w14:paraId="6CBCCD87">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7F88BEA9">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C5BBB92">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41C7F402">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1F21FD8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2349467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89B611E">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0FA144A3">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kern w:val="0"/>
          <w:szCs w:val="21"/>
          <w:highlight w:val="none"/>
        </w:rPr>
        <w:t>应自合同签订之日起至合同期限届满并完成合同及补充协议项下全部服务义务，受益人向申请人支付全部款项后二十八（28）日内保持有效。</w:t>
      </w:r>
    </w:p>
    <w:p w14:paraId="3B599960">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1199D73">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2C6CBD0F">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67EFD1BD">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9166DB8">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BD68C58">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D9D8C81">
      <w:pPr>
        <w:widowControl/>
        <w:autoSpaceDE w:val="0"/>
        <w:autoSpaceDN w:val="0"/>
        <w:adjustRightInd w:val="0"/>
        <w:spacing w:line="360" w:lineRule="auto"/>
        <w:jc w:val="left"/>
        <w:rPr>
          <w:rFonts w:ascii="宋体" w:hAnsi="宋体" w:eastAsia="宋体" w:cs="宋体"/>
          <w:color w:val="auto"/>
          <w:kern w:val="0"/>
          <w:szCs w:val="21"/>
          <w:highlight w:val="none"/>
        </w:rPr>
      </w:pPr>
    </w:p>
    <w:p w14:paraId="35D3A2EA">
      <w:pPr>
        <w:widowControl/>
        <w:autoSpaceDE w:val="0"/>
        <w:autoSpaceDN w:val="0"/>
        <w:adjustRightInd w:val="0"/>
        <w:spacing w:line="360" w:lineRule="auto"/>
        <w:jc w:val="left"/>
        <w:rPr>
          <w:rFonts w:ascii="宋体" w:hAnsi="宋体" w:eastAsia="宋体" w:cs="宋体"/>
          <w:color w:val="auto"/>
          <w:kern w:val="0"/>
          <w:szCs w:val="21"/>
          <w:highlight w:val="none"/>
        </w:rPr>
      </w:pPr>
    </w:p>
    <w:p w14:paraId="752FAB5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pgSz w:w="12240" w:h="15840"/>
          <w:pgMar w:top="1191" w:right="1043" w:bottom="1191" w:left="1043" w:header="720" w:footer="720" w:gutter="0"/>
          <w:cols w:space="720" w:num="1"/>
          <w:titlePg/>
          <w:docGrid w:linePitch="326" w:charSpace="0"/>
        </w:sectPr>
      </w:pPr>
    </w:p>
    <w:p w14:paraId="73C1331E">
      <w:pPr>
        <w:outlineLvl w:val="1"/>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6B5C4F49">
      <w:pPr>
        <w:autoSpaceDE w:val="0"/>
        <w:autoSpaceDN w:val="0"/>
        <w:adjustRightInd w:val="0"/>
        <w:jc w:val="center"/>
        <w:rPr>
          <w:rFonts w:ascii="宋体" w:hAnsi="宋体" w:eastAsia="宋体" w:cs="Times New Roman"/>
          <w:b/>
          <w:color w:val="auto"/>
          <w:kern w:val="0"/>
          <w:sz w:val="30"/>
          <w:szCs w:val="30"/>
          <w:highlight w:val="none"/>
        </w:rPr>
      </w:pPr>
    </w:p>
    <w:p w14:paraId="4CE6E39C">
      <w:pPr>
        <w:autoSpaceDE w:val="0"/>
        <w:autoSpaceDN w:val="0"/>
        <w:adjustRightInd w:val="0"/>
        <w:jc w:val="center"/>
        <w:outlineLvl w:val="2"/>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34A5F517">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0D223DF">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4D5C58A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734FD3D6">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0C21919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7380A1C2">
      <w:pPr>
        <w:autoSpaceDE w:val="0"/>
        <w:autoSpaceDN w:val="0"/>
        <w:adjustRightInd w:val="0"/>
        <w:spacing w:line="360" w:lineRule="auto"/>
        <w:ind w:firstLine="437"/>
        <w:jc w:val="left"/>
        <w:outlineLvl w:val="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374A626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5F427030">
      <w:pPr>
        <w:autoSpaceDE w:val="0"/>
        <w:autoSpaceDN w:val="0"/>
        <w:adjustRightInd w:val="0"/>
        <w:spacing w:line="360" w:lineRule="auto"/>
        <w:ind w:firstLine="437"/>
        <w:jc w:val="left"/>
        <w:outlineLvl w:val="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4AC0604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4001A3A6">
      <w:pPr>
        <w:autoSpaceDE w:val="0"/>
        <w:autoSpaceDN w:val="0"/>
        <w:adjustRightInd w:val="0"/>
        <w:spacing w:line="360" w:lineRule="auto"/>
        <w:ind w:firstLine="437"/>
        <w:jc w:val="left"/>
        <w:outlineLvl w:val="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3D93757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EF67346">
      <w:pPr>
        <w:autoSpaceDE w:val="0"/>
        <w:autoSpaceDN w:val="0"/>
        <w:adjustRightInd w:val="0"/>
        <w:spacing w:line="360" w:lineRule="auto"/>
        <w:ind w:firstLine="437"/>
        <w:jc w:val="left"/>
        <w:outlineLvl w:val="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0E2138B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0266B841">
      <w:pPr>
        <w:autoSpaceDE w:val="0"/>
        <w:autoSpaceDN w:val="0"/>
        <w:adjustRightInd w:val="0"/>
        <w:spacing w:line="360" w:lineRule="auto"/>
        <w:ind w:firstLine="437"/>
        <w:jc w:val="left"/>
        <w:outlineLvl w:val="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74297BE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应自合同签订之日起至合同期限届满并完成合同及补充协议项下全部服务义务，受益人向申请人支付全部款项后二十八（28）日内保持有效。</w:t>
      </w:r>
    </w:p>
    <w:p w14:paraId="5206AE5E">
      <w:pPr>
        <w:autoSpaceDE w:val="0"/>
        <w:autoSpaceDN w:val="0"/>
        <w:adjustRightInd w:val="0"/>
        <w:spacing w:line="360" w:lineRule="auto"/>
        <w:ind w:firstLine="437"/>
        <w:jc w:val="left"/>
        <w:rPr>
          <w:color w:val="auto"/>
          <w:highlight w:val="none"/>
        </w:rPr>
      </w:pPr>
    </w:p>
    <w:p w14:paraId="5617306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附：《XXX</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509D134F">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F7EBD23">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5D99AA12">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18E23411">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p>
    <w:p w14:paraId="5E300F2E">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787A1869">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2A6D9508">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079ABCD8">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26A7EF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4BBB7EAD">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597392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2D3B002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C0DCD3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kern w:val="0"/>
          <w:szCs w:val="21"/>
          <w:highlight w:val="none"/>
        </w:rPr>
        <w:t>应自合同签订之日起至合同期限届满并完成合同及补充协议项下全部服务义务，受益人向申请人支付全部款项后二十八（28）日内保持有效。</w:t>
      </w:r>
    </w:p>
    <w:p w14:paraId="0ACFBF62">
      <w:pPr>
        <w:autoSpaceDE w:val="0"/>
        <w:autoSpaceDN w:val="0"/>
        <w:adjustRightInd w:val="0"/>
        <w:spacing w:line="360" w:lineRule="auto"/>
        <w:jc w:val="left"/>
        <w:rPr>
          <w:rFonts w:ascii="宋体" w:hAnsi="宋体" w:eastAsia="宋体" w:cs="Times New Roman"/>
          <w:color w:val="auto"/>
          <w:kern w:val="0"/>
          <w:szCs w:val="21"/>
          <w:highlight w:val="none"/>
        </w:rPr>
      </w:pPr>
    </w:p>
    <w:p w14:paraId="6A0FD61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2F3EA1B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75BA17A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524102D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4059D7B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152F5626">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3847672">
      <w:pPr>
        <w:autoSpaceDE w:val="0"/>
        <w:autoSpaceDN w:val="0"/>
        <w:adjustRightInd w:val="0"/>
        <w:spacing w:line="360" w:lineRule="auto"/>
        <w:jc w:val="left"/>
        <w:rPr>
          <w:rFonts w:ascii="宋体" w:hAnsi="宋体" w:eastAsia="宋体" w:cs="Times New Roman"/>
          <w:color w:val="auto"/>
          <w:kern w:val="0"/>
          <w:szCs w:val="21"/>
          <w:highlight w:val="none"/>
        </w:rPr>
      </w:pPr>
    </w:p>
    <w:p w14:paraId="365ED51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8BF397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233525D">
      <w:pPr>
        <w:jc w:val="left"/>
        <w:rPr>
          <w:rFonts w:ascii="宋体" w:hAnsi="宋体" w:eastAsia="宋体"/>
          <w:b/>
          <w:color w:val="auto"/>
          <w:kern w:val="0"/>
          <w:sz w:val="28"/>
          <w:szCs w:val="28"/>
          <w:highlight w:val="none"/>
        </w:rPr>
      </w:pPr>
      <w:bookmarkStart w:id="434" w:name="_Toc89552416"/>
      <w:bookmarkStart w:id="435" w:name="_Toc9085"/>
      <w:r>
        <w:rPr>
          <w:rFonts w:ascii="宋体" w:hAnsi="宋体" w:eastAsia="宋体"/>
          <w:b/>
          <w:color w:val="auto"/>
          <w:kern w:val="0"/>
          <w:sz w:val="28"/>
          <w:szCs w:val="28"/>
          <w:highlight w:val="none"/>
        </w:rPr>
        <w:br w:type="page"/>
      </w:r>
    </w:p>
    <w:bookmarkEnd w:id="434"/>
    <w:bookmarkEnd w:id="435"/>
    <w:p w14:paraId="35C688F8">
      <w:pPr>
        <w:pageBreakBefore/>
        <w:tabs>
          <w:tab w:val="left" w:pos="1080"/>
        </w:tabs>
        <w:autoSpaceDE w:val="0"/>
        <w:autoSpaceDN w:val="0"/>
        <w:adjustRightInd w:val="0"/>
        <w:spacing w:line="360" w:lineRule="auto"/>
        <w:ind w:left="357" w:leftChars="-100" w:hanging="567"/>
        <w:jc w:val="center"/>
        <w:outlineLvl w:val="2"/>
        <w:rPr>
          <w:rFonts w:ascii="宋体" w:hAnsi="宋体" w:eastAsia="宋体" w:cs="宋体"/>
          <w:b/>
          <w:bCs/>
          <w:color w:val="auto"/>
          <w:kern w:val="44"/>
          <w:sz w:val="32"/>
          <w:szCs w:val="32"/>
          <w:highlight w:val="none"/>
        </w:rPr>
      </w:pPr>
      <w:bookmarkStart w:id="436" w:name="_Toc142508361"/>
      <w:bookmarkStart w:id="437" w:name="_Toc9840"/>
      <w:bookmarkStart w:id="438" w:name="_Toc32761_WPSOffice_Level1"/>
      <w:bookmarkStart w:id="439" w:name="_Toc195714372"/>
      <w:bookmarkStart w:id="440" w:name="_Toc29078"/>
      <w:bookmarkStart w:id="441" w:name="_Toc15817"/>
      <w:bookmarkStart w:id="442" w:name="_Toc486167708"/>
      <w:bookmarkStart w:id="443" w:name="_Toc450662895"/>
      <w:r>
        <w:rPr>
          <w:rFonts w:hint="eastAsia" w:ascii="宋体" w:hAnsi="宋体" w:eastAsia="宋体" w:cs="宋体"/>
          <w:b/>
          <w:bCs/>
          <w:color w:val="auto"/>
          <w:kern w:val="44"/>
          <w:sz w:val="32"/>
          <w:szCs w:val="32"/>
          <w:highlight w:val="none"/>
          <w:lang w:val="zh-CN"/>
        </w:rPr>
        <w:t>第六篇 投标文件格式</w:t>
      </w:r>
      <w:bookmarkEnd w:id="436"/>
      <w:bookmarkEnd w:id="437"/>
      <w:bookmarkEnd w:id="438"/>
      <w:bookmarkEnd w:id="439"/>
      <w:bookmarkEnd w:id="440"/>
      <w:bookmarkEnd w:id="441"/>
      <w:bookmarkEnd w:id="442"/>
      <w:bookmarkEnd w:id="443"/>
    </w:p>
    <w:p w14:paraId="2EE93482">
      <w:pPr>
        <w:jc w:val="center"/>
        <w:outlineLvl w:val="1"/>
        <w:rPr>
          <w:rFonts w:ascii="宋体" w:hAnsi="宋体" w:eastAsia="宋体" w:cs="宋体"/>
          <w:b/>
          <w:color w:val="auto"/>
          <w:kern w:val="0"/>
          <w:sz w:val="32"/>
          <w:szCs w:val="32"/>
          <w:highlight w:val="none"/>
        </w:rPr>
      </w:pPr>
      <w:bookmarkStart w:id="444" w:name="_Toc195714373"/>
      <w:bookmarkStart w:id="445" w:name="_Toc5778"/>
      <w:bookmarkStart w:id="446" w:name="_Toc31978"/>
      <w:bookmarkStart w:id="447" w:name="_Toc12879"/>
      <w:bookmarkStart w:id="448" w:name="_Toc21648"/>
      <w:bookmarkStart w:id="449" w:name="_Toc142508362"/>
      <w:bookmarkStart w:id="450" w:name="_Toc1977721"/>
      <w:bookmarkStart w:id="451" w:name="_Toc94107202"/>
      <w:bookmarkStart w:id="452" w:name="_Toc486167709"/>
      <w:bookmarkStart w:id="453" w:name="_Toc102860411"/>
      <w:bookmarkStart w:id="454" w:name="_Toc21133_WPSOffice_Level2"/>
      <w:bookmarkStart w:id="455" w:name="_Toc140596921"/>
      <w:bookmarkStart w:id="456" w:name="_Toc102860067"/>
      <w:bookmarkStart w:id="457" w:name="_Toc104991868"/>
      <w:bookmarkStart w:id="458" w:name="_Toc533708121"/>
      <w:r>
        <w:rPr>
          <w:rFonts w:hint="eastAsia" w:ascii="宋体" w:hAnsi="宋体" w:eastAsia="宋体" w:cs="宋体"/>
          <w:b/>
          <w:color w:val="auto"/>
          <w:kern w:val="0"/>
          <w:sz w:val="32"/>
          <w:szCs w:val="32"/>
          <w:highlight w:val="none"/>
        </w:rPr>
        <w:t>一  商务标格式</w:t>
      </w:r>
      <w:bookmarkEnd w:id="444"/>
      <w:bookmarkEnd w:id="445"/>
      <w:bookmarkEnd w:id="446"/>
      <w:bookmarkEnd w:id="447"/>
      <w:bookmarkEnd w:id="448"/>
    </w:p>
    <w:p w14:paraId="17A77AB9">
      <w:pPr>
        <w:rPr>
          <w:rFonts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14:paraId="1D514003">
      <w:pPr>
        <w:pStyle w:val="20"/>
        <w:spacing w:line="360" w:lineRule="auto"/>
        <w:jc w:val="center"/>
        <w:rPr>
          <w:rFonts w:ascii="宋体" w:hAnsi="宋体" w:cs="宋体"/>
          <w:color w:val="auto"/>
          <w:sz w:val="84"/>
          <w:highlight w:val="none"/>
        </w:rPr>
      </w:pPr>
    </w:p>
    <w:p w14:paraId="63A9F1C5">
      <w:pPr>
        <w:pStyle w:val="20"/>
        <w:spacing w:line="360" w:lineRule="auto"/>
        <w:jc w:val="center"/>
        <w:rPr>
          <w:rFonts w:ascii="宋体" w:hAnsi="宋体" w:cs="宋体"/>
          <w:color w:val="auto"/>
          <w:sz w:val="84"/>
          <w:highlight w:val="none"/>
        </w:rPr>
      </w:pPr>
    </w:p>
    <w:p w14:paraId="78A1AF9E">
      <w:pPr>
        <w:pStyle w:val="20"/>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5AC96F87">
      <w:pPr>
        <w:pStyle w:val="20"/>
        <w:spacing w:line="360" w:lineRule="auto"/>
        <w:rPr>
          <w:rFonts w:ascii="宋体" w:hAnsi="宋体" w:cs="宋体"/>
          <w:color w:val="auto"/>
          <w:highlight w:val="none"/>
        </w:rPr>
      </w:pPr>
    </w:p>
    <w:p w14:paraId="0F56A711">
      <w:pPr>
        <w:pStyle w:val="20"/>
        <w:spacing w:line="360" w:lineRule="auto"/>
        <w:rPr>
          <w:rFonts w:ascii="宋体" w:hAnsi="宋体" w:cs="宋体"/>
          <w:color w:val="auto"/>
          <w:highlight w:val="none"/>
        </w:rPr>
      </w:pPr>
    </w:p>
    <w:p w14:paraId="1C529DA3">
      <w:pPr>
        <w:pStyle w:val="20"/>
        <w:spacing w:line="360" w:lineRule="auto"/>
        <w:rPr>
          <w:rFonts w:ascii="宋体" w:hAnsi="宋体" w:cs="宋体"/>
          <w:color w:val="auto"/>
          <w:highlight w:val="none"/>
        </w:rPr>
      </w:pPr>
    </w:p>
    <w:p w14:paraId="2DB7CE67">
      <w:pPr>
        <w:pStyle w:val="20"/>
        <w:spacing w:line="360" w:lineRule="auto"/>
        <w:rPr>
          <w:rFonts w:ascii="宋体" w:hAnsi="宋体" w:cs="宋体"/>
          <w:color w:val="auto"/>
          <w:highlight w:val="none"/>
        </w:rPr>
      </w:pPr>
    </w:p>
    <w:p w14:paraId="7590885A">
      <w:pPr>
        <w:pStyle w:val="20"/>
        <w:spacing w:line="360" w:lineRule="auto"/>
        <w:rPr>
          <w:rFonts w:ascii="宋体" w:hAnsi="宋体" w:cs="宋体"/>
          <w:color w:val="auto"/>
          <w:highlight w:val="none"/>
        </w:rPr>
      </w:pPr>
    </w:p>
    <w:p w14:paraId="54AD9EDD">
      <w:pPr>
        <w:pStyle w:val="20"/>
        <w:spacing w:line="360" w:lineRule="auto"/>
        <w:rPr>
          <w:rFonts w:ascii="宋体" w:hAnsi="宋体" w:cs="宋体"/>
          <w:color w:val="auto"/>
          <w:highlight w:val="none"/>
        </w:rPr>
      </w:pPr>
    </w:p>
    <w:p w14:paraId="03B87A83">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751FB803">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405416C6">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投标文件商务标 </w:t>
      </w:r>
    </w:p>
    <w:p w14:paraId="1D83FB94">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10938850">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4C24FB8E">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3A85D0F6">
      <w:pPr>
        <w:pStyle w:val="20"/>
        <w:spacing w:line="360" w:lineRule="auto"/>
        <w:rPr>
          <w:rFonts w:ascii="宋体" w:hAnsi="宋体" w:cs="宋体"/>
          <w:color w:val="auto"/>
          <w:highlight w:val="none"/>
        </w:rPr>
      </w:pPr>
    </w:p>
    <w:p w14:paraId="20924647">
      <w:pPr>
        <w:pStyle w:val="20"/>
        <w:spacing w:line="360" w:lineRule="auto"/>
        <w:rPr>
          <w:rFonts w:ascii="宋体" w:hAnsi="宋体" w:cs="宋体"/>
          <w:color w:val="auto"/>
          <w:highlight w:val="none"/>
        </w:rPr>
      </w:pPr>
      <w:r>
        <w:rPr>
          <w:rFonts w:hint="eastAsia" w:ascii="宋体" w:hAnsi="宋体" w:cs="宋体"/>
          <w:color w:val="auto"/>
          <w:highlight w:val="none"/>
        </w:rPr>
        <w:br w:type="page"/>
      </w:r>
    </w:p>
    <w:p w14:paraId="19A37520">
      <w:pPr>
        <w:pStyle w:val="20"/>
        <w:spacing w:line="500" w:lineRule="exact"/>
        <w:jc w:val="center"/>
        <w:outlineLvl w:val="2"/>
        <w:rPr>
          <w:rFonts w:ascii="宋体" w:hAnsi="宋体" w:cs="宋体"/>
          <w:b/>
          <w:bCs/>
          <w:color w:val="auto"/>
          <w:sz w:val="24"/>
          <w:szCs w:val="24"/>
          <w:highlight w:val="none"/>
        </w:rPr>
      </w:pPr>
      <w:bookmarkStart w:id="459" w:name="_Toc195714374"/>
      <w:bookmarkStart w:id="460" w:name="_Toc10999"/>
      <w:bookmarkStart w:id="461" w:name="_Toc17612"/>
      <w:bookmarkStart w:id="462" w:name="_Toc16205"/>
      <w:bookmarkStart w:id="463" w:name="_Toc31361"/>
      <w:r>
        <w:rPr>
          <w:rFonts w:hint="eastAsia" w:ascii="宋体" w:hAnsi="宋体" w:cs="宋体"/>
          <w:b/>
          <w:bCs/>
          <w:color w:val="auto"/>
          <w:sz w:val="24"/>
          <w:szCs w:val="24"/>
          <w:highlight w:val="none"/>
        </w:rPr>
        <w:t>目录</w:t>
      </w:r>
      <w:bookmarkEnd w:id="459"/>
      <w:bookmarkEnd w:id="460"/>
      <w:bookmarkEnd w:id="461"/>
      <w:bookmarkEnd w:id="462"/>
      <w:bookmarkEnd w:id="463"/>
    </w:p>
    <w:p w14:paraId="555D70C3">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一、投标函；</w:t>
      </w:r>
    </w:p>
    <w:p w14:paraId="3EE48DBA">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二、投标承诺书；</w:t>
      </w:r>
    </w:p>
    <w:p w14:paraId="04D24290">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三、供货及/或提供服务过程承诺函；</w:t>
      </w:r>
    </w:p>
    <w:p w14:paraId="74FF4CC3">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、投标人资格证明文件：</w:t>
      </w:r>
    </w:p>
    <w:p w14:paraId="15A4557D">
      <w:pPr>
        <w:pBdr>
          <w:bottom w:val="single" w:color="auto" w:sz="6" w:space="0"/>
        </w:pBdr>
        <w:spacing w:line="500" w:lineRule="exact"/>
        <w:ind w:firstLine="472" w:firstLineChars="224"/>
        <w:jc w:val="left"/>
        <w:outlineLvl w:val="2"/>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.1 多证合一营业执照（或事业单位法人证书）原件扫描件；</w:t>
      </w:r>
    </w:p>
    <w:p w14:paraId="336365FA">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77D70F2C">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.3 法定代表人身份证明书原件扫描件和法定代表人授权书原件扫描件（法定代表人投标时只提供法定代表人身份证明书，委托他人为投标代表时同时提供法定代表人授权书）；</w:t>
      </w:r>
    </w:p>
    <w:p w14:paraId="439AE415">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.4 资格业绩【投标人</w:t>
      </w:r>
      <w:r>
        <w:rPr>
          <w:rFonts w:hint="eastAsia" w:ascii="宋体" w:hAnsi="宋体" w:eastAsia="宋体" w:cs="宋体"/>
          <w:b/>
          <w:bCs/>
          <w:color w:val="auto"/>
          <w:szCs w:val="21"/>
          <w:highlight w:val="none"/>
          <w:lang w:val="en-US" w:eastAsia="zh-CN"/>
        </w:rPr>
        <w:t>2022</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日以来</w:t>
      </w:r>
      <w:r>
        <w:rPr>
          <w:rFonts w:hint="eastAsia" w:ascii="宋体" w:hAnsi="宋体" w:eastAsia="宋体" w:cs="宋体"/>
          <w:b/>
          <w:bCs/>
          <w:color w:val="auto"/>
          <w:szCs w:val="21"/>
          <w:highlight w:val="none"/>
          <w:lang w:val="zh-CN"/>
        </w:rPr>
        <w:t>具有造价咨询【含概算编制、概算审核、预算(或招标控制价)编制、预算(或招标控制价)审核、结算编制和结算审核，以上业绩可包括在同一合同或多份合同内】的服务业绩</w:t>
      </w:r>
      <w:r>
        <w:rPr>
          <w:rFonts w:hint="eastAsia" w:ascii="宋体" w:hAnsi="宋体" w:eastAsia="宋体" w:cs="宋体"/>
          <w:b/>
          <w:bCs/>
          <w:color w:val="auto"/>
          <w:szCs w:val="21"/>
          <w:highlight w:val="none"/>
        </w:rPr>
        <w:t>（合同签订日期为</w:t>
      </w:r>
      <w:r>
        <w:rPr>
          <w:rFonts w:hint="eastAsia" w:ascii="宋体" w:hAnsi="宋体" w:eastAsia="宋体" w:cs="宋体"/>
          <w:b/>
          <w:bCs/>
          <w:color w:val="auto"/>
          <w:szCs w:val="21"/>
          <w:highlight w:val="none"/>
          <w:lang w:val="en-US" w:eastAsia="zh-CN"/>
        </w:rPr>
        <w:t>2022</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日或以后</w:t>
      </w:r>
      <w:r>
        <w:rPr>
          <w:rFonts w:hint="eastAsia" w:ascii="宋体" w:hAnsi="宋体" w:eastAsia="宋体" w:cs="宋体"/>
          <w:b/>
          <w:bCs/>
          <w:color w:val="auto"/>
          <w:szCs w:val="21"/>
          <w:highlight w:val="none"/>
          <w:lang w:eastAsia="zh-CN"/>
        </w:rPr>
        <w:t>，金额在100万元（含）以上</w:t>
      </w:r>
      <w:r>
        <w:rPr>
          <w:rFonts w:hint="eastAsia" w:ascii="宋体" w:hAnsi="宋体" w:eastAsia="宋体" w:cs="宋体"/>
          <w:b/>
          <w:bCs/>
          <w:color w:val="auto"/>
          <w:szCs w:val="21"/>
          <w:highlight w:val="none"/>
        </w:rPr>
        <w:t>）；</w:t>
      </w:r>
    </w:p>
    <w:p w14:paraId="530B6111">
      <w:pPr>
        <w:pBdr>
          <w:bottom w:val="single" w:color="auto" w:sz="6" w:space="0"/>
        </w:pBdr>
        <w:spacing w:line="500" w:lineRule="exact"/>
        <w:ind w:firstLine="472" w:firstLineChars="224"/>
        <w:jc w:val="left"/>
        <w:outlineLvl w:val="2"/>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.5 最近3年投标人牵涉的其他（失信和违法）处罚说明；</w:t>
      </w:r>
    </w:p>
    <w:p w14:paraId="497D06BB">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、投标人基本情况一览表；</w:t>
      </w:r>
    </w:p>
    <w:p w14:paraId="1D8E09E1">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、投标人财务状况表；</w:t>
      </w:r>
    </w:p>
    <w:p w14:paraId="0746C7AA">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、合同条款响应程度（合同条款偏离表）；</w:t>
      </w:r>
    </w:p>
    <w:p w14:paraId="3058D6AC">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八</w:t>
      </w:r>
      <w:r>
        <w:rPr>
          <w:rFonts w:hint="eastAsia" w:ascii="宋体" w:hAnsi="宋体" w:eastAsia="宋体" w:cs="宋体"/>
          <w:b/>
          <w:bCs/>
          <w:color w:val="auto"/>
          <w:szCs w:val="21"/>
          <w:highlight w:val="none"/>
        </w:rPr>
        <w:t>、业绩表；</w:t>
      </w:r>
    </w:p>
    <w:p w14:paraId="3F250304">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九</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承诺书</w:t>
      </w:r>
    </w:p>
    <w:p w14:paraId="309506DB">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十、投入本项目服务人员情况</w:t>
      </w:r>
      <w:r>
        <w:rPr>
          <w:rFonts w:hint="eastAsia" w:ascii="宋体" w:hAnsi="宋体" w:eastAsia="宋体" w:cs="宋体"/>
          <w:b/>
          <w:bCs/>
          <w:color w:val="auto"/>
          <w:szCs w:val="21"/>
          <w:highlight w:val="none"/>
        </w:rPr>
        <w:t>；</w:t>
      </w:r>
    </w:p>
    <w:p w14:paraId="77600F09">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十一、服务便利性</w:t>
      </w:r>
    </w:p>
    <w:p w14:paraId="62601A5A">
      <w:pPr>
        <w:pBdr>
          <w:bottom w:val="single" w:color="auto" w:sz="6" w:space="0"/>
        </w:pBdr>
        <w:spacing w:line="500" w:lineRule="exact"/>
        <w:ind w:firstLine="472" w:firstLineChars="224"/>
        <w:jc w:val="left"/>
        <w:rPr>
          <w:rFonts w:ascii="宋体" w:hAnsi="宋体" w:eastAsia="宋体" w:cs="宋体"/>
          <w:b/>
          <w:color w:val="auto"/>
          <w:kern w:val="0"/>
          <w:sz w:val="32"/>
          <w:szCs w:val="32"/>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二</w:t>
      </w:r>
      <w:r>
        <w:rPr>
          <w:rFonts w:hint="eastAsia" w:ascii="宋体" w:hAnsi="宋体" w:eastAsia="宋体" w:cs="宋体"/>
          <w:b/>
          <w:bCs/>
          <w:color w:val="auto"/>
          <w:szCs w:val="21"/>
          <w:highlight w:val="none"/>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r>
        <w:rPr>
          <w:rFonts w:hint="eastAsia" w:ascii="宋体" w:hAnsi="宋体" w:eastAsia="宋体" w:cs="宋体"/>
          <w:b/>
          <w:color w:val="auto"/>
          <w:kern w:val="0"/>
          <w:sz w:val="32"/>
          <w:szCs w:val="32"/>
          <w:highlight w:val="none"/>
        </w:rPr>
        <w:br w:type="page"/>
      </w:r>
    </w:p>
    <w:p w14:paraId="0F4B42C4">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464" w:name="_Toc17613"/>
      <w:bookmarkStart w:id="465" w:name="_Toc13281"/>
      <w:bookmarkStart w:id="466" w:name="_Toc12810"/>
      <w:bookmarkStart w:id="467" w:name="_Toc7834"/>
      <w:bookmarkStart w:id="468" w:name="_Toc27679"/>
      <w:bookmarkStart w:id="469" w:name="_Toc195714375"/>
      <w:bookmarkStart w:id="470" w:name="_Toc3028"/>
      <w:bookmarkStart w:id="471" w:name="_Toc23782"/>
      <w:r>
        <w:rPr>
          <w:rFonts w:hint="eastAsia" w:ascii="宋体" w:hAnsi="宋体" w:eastAsia="宋体" w:cs="宋体"/>
          <w:b/>
          <w:color w:val="auto"/>
          <w:kern w:val="0"/>
          <w:sz w:val="32"/>
          <w:szCs w:val="32"/>
          <w:highlight w:val="none"/>
        </w:rPr>
        <w:t>一、投标函格式</w:t>
      </w:r>
      <w:bookmarkEnd w:id="449"/>
      <w:bookmarkEnd w:id="450"/>
      <w:bookmarkEnd w:id="451"/>
      <w:bookmarkEnd w:id="452"/>
      <w:bookmarkEnd w:id="453"/>
      <w:bookmarkEnd w:id="454"/>
      <w:bookmarkEnd w:id="455"/>
      <w:bookmarkEnd w:id="456"/>
      <w:bookmarkEnd w:id="457"/>
      <w:bookmarkEnd w:id="458"/>
      <w:bookmarkEnd w:id="464"/>
      <w:bookmarkEnd w:id="465"/>
      <w:bookmarkEnd w:id="466"/>
      <w:bookmarkEnd w:id="467"/>
      <w:bookmarkEnd w:id="468"/>
      <w:bookmarkEnd w:id="469"/>
      <w:bookmarkEnd w:id="470"/>
      <w:bookmarkEnd w:id="471"/>
    </w:p>
    <w:p w14:paraId="7E4652CC">
      <w:pPr>
        <w:autoSpaceDE w:val="0"/>
        <w:autoSpaceDN w:val="0"/>
        <w:adjustRightInd w:val="0"/>
        <w:spacing w:line="360" w:lineRule="auto"/>
        <w:jc w:val="center"/>
        <w:rPr>
          <w:rFonts w:ascii="宋体" w:hAnsi="宋体" w:eastAsia="宋体" w:cs="宋体"/>
          <w:b/>
          <w:bCs/>
          <w:color w:val="auto"/>
          <w:sz w:val="30"/>
          <w:szCs w:val="30"/>
          <w:highlight w:val="none"/>
        </w:rPr>
      </w:pPr>
      <w:bookmarkStart w:id="472" w:name="_Toc16695_WPSOffice_Level3"/>
      <w:r>
        <w:rPr>
          <w:rFonts w:hint="eastAsia" w:ascii="宋体" w:hAnsi="宋体" w:eastAsia="宋体" w:cs="宋体"/>
          <w:b/>
          <w:bCs/>
          <w:color w:val="auto"/>
          <w:sz w:val="30"/>
          <w:szCs w:val="30"/>
          <w:highlight w:val="none"/>
          <w:lang w:val="zh-CN"/>
        </w:rPr>
        <w:t>投 标 函</w:t>
      </w:r>
      <w:bookmarkEnd w:id="472"/>
    </w:p>
    <w:p w14:paraId="6507997C">
      <w:pPr>
        <w:autoSpaceDE w:val="0"/>
        <w:autoSpaceDN w:val="0"/>
        <w:adjustRightInd w:val="0"/>
        <w:spacing w:line="360" w:lineRule="auto"/>
        <w:rPr>
          <w:rFonts w:ascii="宋体" w:hAnsi="宋体" w:eastAsia="宋体" w:cs="宋体"/>
          <w:color w:val="auto"/>
          <w:szCs w:val="21"/>
          <w:highlight w:val="none"/>
          <w:lang w:val="zh-CN"/>
        </w:rPr>
      </w:pPr>
    </w:p>
    <w:p w14:paraId="425F9F74">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东莞市水务集团有限公司</w:t>
      </w:r>
    </w:p>
    <w:p w14:paraId="43E88361">
      <w:pPr>
        <w:autoSpaceDE w:val="0"/>
        <w:autoSpaceDN w:val="0"/>
        <w:adjustRightInd w:val="0"/>
        <w:spacing w:line="360" w:lineRule="auto"/>
        <w:rPr>
          <w:rFonts w:ascii="宋体" w:hAnsi="宋体" w:eastAsia="宋体" w:cs="宋体"/>
          <w:color w:val="auto"/>
          <w:szCs w:val="21"/>
          <w:highlight w:val="none"/>
        </w:rPr>
      </w:pPr>
    </w:p>
    <w:p w14:paraId="325DBB41">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东莞市水务集团造价咨询服务单位库(2025-2026)采购项目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0A3FFDF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0F037E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14:paraId="6FF7E81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AF1ABDE">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7EC3D85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w:t>
      </w:r>
      <w:r>
        <w:rPr>
          <w:rFonts w:hint="eastAsia" w:ascii="宋体" w:hAnsi="宋体" w:eastAsia="宋体" w:cs="宋体"/>
          <w:color w:val="auto"/>
          <w:szCs w:val="21"/>
          <w:highlight w:val="none"/>
          <w:lang w:val="en-US" w:eastAsia="zh-CN"/>
        </w:rPr>
        <w:t>回</w:t>
      </w:r>
      <w:r>
        <w:rPr>
          <w:rFonts w:hint="eastAsia" w:ascii="宋体" w:hAnsi="宋体" w:eastAsia="宋体" w:cs="宋体"/>
          <w:color w:val="auto"/>
          <w:szCs w:val="21"/>
          <w:highlight w:val="none"/>
          <w:lang w:val="zh-CN"/>
        </w:rPr>
        <w:t>投标，则不予退还我方投标保证金；</w:t>
      </w:r>
    </w:p>
    <w:p w14:paraId="30E1178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1E76F74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C6478C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1B287A9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A4D37F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2B424A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21F6E953">
      <w:pPr>
        <w:autoSpaceDE w:val="0"/>
        <w:autoSpaceDN w:val="0"/>
        <w:adjustRightInd w:val="0"/>
        <w:spacing w:line="360" w:lineRule="auto"/>
        <w:ind w:firstLine="315" w:firstLineChars="150"/>
        <w:outlineLvl w:val="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2A46E45A">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65623D36">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445811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5149ABD">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7AC8C458">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32A5B55">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340A7CE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2B21AE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26C0A6F0">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8EE1DC0">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0CADEE7D">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73" w:name="_Toc26992"/>
      <w:bookmarkStart w:id="474" w:name="_Toc486167710"/>
      <w:bookmarkStart w:id="475" w:name="_Toc140596922"/>
      <w:bookmarkStart w:id="476" w:name="_Toc533708122"/>
      <w:bookmarkStart w:id="477" w:name="_Toc102860068"/>
      <w:bookmarkStart w:id="478" w:name="_Toc9496"/>
      <w:bookmarkStart w:id="479" w:name="_Toc102860412"/>
      <w:bookmarkStart w:id="480" w:name="_Toc195714376"/>
      <w:bookmarkStart w:id="481" w:name="_Toc28613_WPSOffice_Level2"/>
      <w:bookmarkStart w:id="482" w:name="_Toc142508363"/>
      <w:bookmarkStart w:id="483" w:name="_Toc12417"/>
      <w:bookmarkStart w:id="484" w:name="_Toc30995"/>
      <w:bookmarkStart w:id="485" w:name="_Toc1977722"/>
      <w:bookmarkStart w:id="486" w:name="_Toc104991869"/>
      <w:bookmarkStart w:id="487" w:name="_Toc3104"/>
      <w:bookmarkStart w:id="488" w:name="_Toc21535"/>
      <w:bookmarkStart w:id="489" w:name="_Toc24901"/>
      <w:bookmarkStart w:id="490" w:name="_Toc94107203"/>
      <w:r>
        <w:rPr>
          <w:rFonts w:hint="eastAsia" w:ascii="宋体" w:hAnsi="宋体" w:eastAsia="宋体" w:cs="宋体"/>
          <w:b/>
          <w:color w:val="auto"/>
          <w:kern w:val="0"/>
          <w:sz w:val="32"/>
          <w:szCs w:val="32"/>
          <w:highlight w:val="none"/>
        </w:rPr>
        <w:t>二、投标承诺书格式</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63B62D88">
      <w:pPr>
        <w:autoSpaceDE w:val="0"/>
        <w:autoSpaceDN w:val="0"/>
        <w:adjustRightInd w:val="0"/>
        <w:spacing w:line="360" w:lineRule="auto"/>
        <w:jc w:val="center"/>
        <w:outlineLvl w:val="2"/>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3043FE21">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B6291F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东莞市水务集团造价咨询服务单位库(2025-2026)采购项目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 xml:space="preserve"> </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59062BE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若我方在投标或履行本合同过程中存在提供虚假材料、虚假响应招标文件要求等弄虚作假行为，或未能根据招标文件投标人须知第31</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45A31DC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2A5C6B9">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E169835">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879623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4E47BA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1CB112FC">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3CCA06A">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01D82847">
      <w:pPr>
        <w:autoSpaceDE w:val="0"/>
        <w:autoSpaceDN w:val="0"/>
        <w:adjustRightInd w:val="0"/>
        <w:spacing w:line="360" w:lineRule="auto"/>
        <w:jc w:val="left"/>
        <w:rPr>
          <w:rFonts w:ascii="宋体" w:hAnsi="宋体" w:eastAsia="宋体" w:cs="宋体"/>
          <w:color w:val="auto"/>
          <w:kern w:val="0"/>
          <w:sz w:val="24"/>
          <w:szCs w:val="24"/>
          <w:highlight w:val="none"/>
        </w:rPr>
      </w:pPr>
      <w:bookmarkStart w:id="491" w:name="_Toc326768876"/>
      <w:bookmarkStart w:id="492" w:name="_Toc316896755"/>
      <w:bookmarkStart w:id="493" w:name="_Toc311032584"/>
    </w:p>
    <w:p w14:paraId="6A0A04C4">
      <w:pPr>
        <w:pageBreakBefore/>
        <w:autoSpaceDE w:val="0"/>
        <w:autoSpaceDN w:val="0"/>
        <w:adjustRightInd w:val="0"/>
        <w:spacing w:line="360" w:lineRule="auto"/>
        <w:jc w:val="left"/>
        <w:outlineLvl w:val="1"/>
        <w:rPr>
          <w:rFonts w:ascii="宋体" w:hAnsi="宋体" w:eastAsia="宋体" w:cs="宋体"/>
          <w:b/>
          <w:color w:val="auto"/>
          <w:kern w:val="44"/>
          <w:sz w:val="32"/>
          <w:szCs w:val="32"/>
          <w:highlight w:val="none"/>
        </w:rPr>
      </w:pPr>
      <w:bookmarkStart w:id="494" w:name="_Toc24336"/>
      <w:bookmarkStart w:id="495" w:name="_Toc102860413"/>
      <w:bookmarkStart w:id="496" w:name="_Toc94107204"/>
      <w:bookmarkStart w:id="497" w:name="_Toc82182546"/>
      <w:bookmarkStart w:id="498" w:name="_Toc12063"/>
      <w:bookmarkStart w:id="499" w:name="_Toc86764083"/>
      <w:bookmarkStart w:id="500" w:name="_Toc195714377"/>
      <w:bookmarkStart w:id="501" w:name="_Toc5075"/>
      <w:bookmarkStart w:id="502" w:name="_Toc104991870"/>
      <w:bookmarkStart w:id="503" w:name="_Toc142508364"/>
      <w:bookmarkStart w:id="504" w:name="_Toc26786"/>
      <w:bookmarkStart w:id="505" w:name="_Toc11649"/>
      <w:bookmarkStart w:id="506" w:name="_Toc3108"/>
      <w:bookmarkStart w:id="507" w:name="_Toc140596923"/>
      <w:bookmarkStart w:id="508" w:name="_Toc102860069"/>
      <w:bookmarkStart w:id="509" w:name="_Toc29910"/>
      <w:bookmarkStart w:id="510" w:name="_Toc486167711"/>
      <w:bookmarkStart w:id="511" w:name="_Toc533708123"/>
      <w:bookmarkStart w:id="512" w:name="_Toc7024_WPSOffice_Level2"/>
      <w:bookmarkStart w:id="513" w:name="_Toc1977723"/>
      <w:r>
        <w:rPr>
          <w:rFonts w:hint="eastAsia" w:ascii="宋体" w:hAnsi="宋体" w:eastAsia="宋体" w:cs="宋体"/>
          <w:b/>
          <w:color w:val="auto"/>
          <w:kern w:val="44"/>
          <w:sz w:val="32"/>
          <w:szCs w:val="32"/>
          <w:highlight w:val="none"/>
        </w:rPr>
        <w:t>三、供货及/或提供服务过程承诺函格式</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018A7F7">
      <w:pPr>
        <w:autoSpaceDE w:val="0"/>
        <w:autoSpaceDN w:val="0"/>
        <w:adjustRightInd w:val="0"/>
        <w:spacing w:line="360" w:lineRule="auto"/>
        <w:jc w:val="center"/>
        <w:outlineLvl w:val="2"/>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39AC51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东莞市水务集团有限公司</w:t>
      </w:r>
      <w:r>
        <w:rPr>
          <w:rFonts w:hint="eastAsia" w:ascii="宋体" w:hAnsi="宋体" w:eastAsia="宋体" w:cs="宋体"/>
          <w:color w:val="auto"/>
          <w:kern w:val="0"/>
          <w:szCs w:val="21"/>
          <w:highlight w:val="none"/>
        </w:rPr>
        <w:t>：</w:t>
      </w:r>
    </w:p>
    <w:p w14:paraId="75CC0D0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东莞市水务集团造价咨询服务单位库(2025-2026)采购项目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49C23F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80D84F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E2761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1ED57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50C6C2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4FE3DC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E80933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686FAD0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60D36AB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DC5D3B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1DA161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5B5B80F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73DF93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0DCD7A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D66E421">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6A9D9D1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E841C2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4222A0A">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5BF0569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B9E34D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403B0D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23FF2AD">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C931C6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A2ED37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30E741AB">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18C2971">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1AAE14B9">
      <w:pPr>
        <w:autoSpaceDE w:val="0"/>
        <w:autoSpaceDN w:val="0"/>
        <w:adjustRightInd w:val="0"/>
        <w:spacing w:line="360" w:lineRule="auto"/>
        <w:ind w:right="420" w:firstLine="5760" w:firstLineChars="2400"/>
        <w:jc w:val="left"/>
        <w:rPr>
          <w:rFonts w:ascii="宋体" w:hAnsi="宋体" w:eastAsia="宋体" w:cs="宋体"/>
          <w:color w:val="auto"/>
          <w:kern w:val="0"/>
          <w:sz w:val="24"/>
          <w:szCs w:val="24"/>
          <w:highlight w:val="none"/>
        </w:rPr>
      </w:pPr>
    </w:p>
    <w:bookmarkEnd w:id="510"/>
    <w:bookmarkEnd w:id="511"/>
    <w:bookmarkEnd w:id="512"/>
    <w:bookmarkEnd w:id="513"/>
    <w:p w14:paraId="2A79CA1B">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514" w:name="_Toc142508369"/>
      <w:bookmarkStart w:id="515" w:name="_Toc26516"/>
      <w:bookmarkStart w:id="516" w:name="_Toc140596928"/>
      <w:bookmarkStart w:id="517" w:name="_Toc25034"/>
      <w:bookmarkStart w:id="518" w:name="_Toc94107209"/>
      <w:bookmarkStart w:id="519" w:name="_Toc19708"/>
      <w:bookmarkStart w:id="520" w:name="_Toc6190"/>
      <w:bookmarkStart w:id="521" w:name="_Toc195714382"/>
      <w:bookmarkStart w:id="522" w:name="_Toc102860418"/>
      <w:bookmarkStart w:id="523" w:name="_Toc1977725"/>
      <w:bookmarkStart w:id="524" w:name="_Toc23083"/>
      <w:bookmarkStart w:id="525" w:name="_Toc102860074"/>
      <w:bookmarkStart w:id="526" w:name="_Toc21067"/>
      <w:bookmarkStart w:id="527" w:name="_Toc25659"/>
      <w:bookmarkStart w:id="528" w:name="_Toc104991875"/>
      <w:bookmarkStart w:id="529" w:name="_Toc533708124"/>
      <w:bookmarkStart w:id="530" w:name="_Toc486167712"/>
      <w:bookmarkStart w:id="531" w:name="_Toc20759_WPSOffice_Level2"/>
      <w:r>
        <w:rPr>
          <w:rFonts w:hint="eastAsia" w:ascii="宋体" w:hAnsi="宋体" w:eastAsia="宋体" w:cs="宋体"/>
          <w:b/>
          <w:bCs/>
          <w:color w:val="auto"/>
          <w:sz w:val="30"/>
          <w:szCs w:val="30"/>
          <w:highlight w:val="none"/>
          <w:lang w:val="en-US" w:eastAsia="zh-CN"/>
        </w:rPr>
        <w:t>四</w:t>
      </w:r>
      <w:r>
        <w:rPr>
          <w:rFonts w:hint="eastAsia" w:ascii="宋体" w:hAnsi="宋体" w:eastAsia="宋体" w:cs="宋体"/>
          <w:b/>
          <w:color w:val="auto"/>
          <w:kern w:val="0"/>
          <w:sz w:val="32"/>
          <w:szCs w:val="32"/>
          <w:highlight w:val="none"/>
        </w:rPr>
        <w:t>、投标人资格证明文件</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780CD32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32" w:name="_Toc22003"/>
      <w:bookmarkStart w:id="533" w:name="_Toc3267"/>
      <w:bookmarkStart w:id="534" w:name="_Toc104991876"/>
      <w:bookmarkStart w:id="535" w:name="_Toc94107210"/>
      <w:bookmarkStart w:id="536" w:name="_Toc5002"/>
      <w:bookmarkStart w:id="537" w:name="_Toc195714383"/>
      <w:bookmarkStart w:id="538" w:name="_Toc102860419"/>
      <w:bookmarkStart w:id="539" w:name="_Toc142508370"/>
      <w:bookmarkStart w:id="540" w:name="_Toc6502"/>
      <w:bookmarkStart w:id="541" w:name="_Toc140596929"/>
      <w:bookmarkStart w:id="542" w:name="_Toc29874"/>
      <w:bookmarkStart w:id="543" w:name="_Toc102860075"/>
      <w:bookmarkStart w:id="544" w:name="_Toc25267"/>
      <w:bookmarkStart w:id="545" w:name="_Toc17358"/>
      <w:bookmarkStart w:id="546" w:name="_Toc19777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多证合一营业执照（或事业单位法人证书）原件扫描件</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09DE9DA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20AEFE3">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64CBBF3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47" w:name="_Toc142508371"/>
      <w:bookmarkStart w:id="548" w:name="_Toc195714384"/>
      <w:bookmarkStart w:id="549" w:name="_Toc94107211"/>
      <w:bookmarkStart w:id="550" w:name="_Toc102860420"/>
      <w:bookmarkStart w:id="551" w:name="_Toc7756"/>
      <w:bookmarkStart w:id="552" w:name="_Toc102860076"/>
      <w:bookmarkStart w:id="553" w:name="_Toc2750"/>
      <w:bookmarkStart w:id="554" w:name="_Toc104991877"/>
      <w:bookmarkStart w:id="555" w:name="_Toc2188"/>
      <w:bookmarkStart w:id="556" w:name="_Toc25013"/>
      <w:bookmarkStart w:id="557" w:name="_Toc27861"/>
      <w:bookmarkStart w:id="558" w:name="_Toc18165"/>
      <w:bookmarkStart w:id="559" w:name="_Toc140596930"/>
      <w:bookmarkStart w:id="560" w:name="_Toc11158"/>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6004BFC4">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61" w:name="_Toc195714385"/>
      <w:bookmarkStart w:id="562" w:name="_Toc17499"/>
      <w:bookmarkStart w:id="563" w:name="_Toc104991878"/>
      <w:bookmarkStart w:id="564" w:name="_Toc102860421"/>
      <w:bookmarkStart w:id="565" w:name="_Toc7441"/>
      <w:bookmarkStart w:id="566" w:name="_Toc140596931"/>
      <w:bookmarkStart w:id="567" w:name="_Toc142508372"/>
      <w:bookmarkStart w:id="568" w:name="_Toc94107212"/>
      <w:bookmarkStart w:id="569" w:name="_Toc9132"/>
      <w:bookmarkStart w:id="570" w:name="_Toc102860077"/>
      <w:bookmarkStart w:id="571" w:name="_Toc13128"/>
      <w:bookmarkStart w:id="572" w:name="_Toc2018"/>
      <w:bookmarkStart w:id="573" w:name="_Toc10802"/>
      <w:bookmarkStart w:id="574" w:name="_Toc10733"/>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法定代表人身份证明书、法定代表人授权书格式（法定代表人投标时只需提供法定代表人身份证明书，委托他人为投标代表或签署投标文件时需同时提供法定代表人授权书）</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3543C35C">
      <w:pPr>
        <w:spacing w:before="120" w:after="120" w:line="360" w:lineRule="auto"/>
        <w:ind w:firstLine="426" w:firstLineChars="202"/>
        <w:outlineLvl w:val="3"/>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29"/>
      <w:bookmarkEnd w:id="530"/>
      <w:bookmarkEnd w:id="531"/>
      <w:bookmarkEnd w:id="546"/>
    </w:p>
    <w:p w14:paraId="31B8CC80">
      <w:pPr>
        <w:spacing w:before="120" w:after="120" w:line="360" w:lineRule="auto"/>
        <w:ind w:firstLine="608" w:firstLineChars="202"/>
        <w:jc w:val="center"/>
        <w:outlineLvl w:val="4"/>
        <w:rPr>
          <w:rFonts w:ascii="宋体" w:hAnsi="宋体" w:eastAsia="宋体" w:cs="宋体"/>
          <w:b/>
          <w:bCs/>
          <w:color w:val="auto"/>
          <w:sz w:val="30"/>
          <w:szCs w:val="30"/>
          <w:highlight w:val="none"/>
        </w:rPr>
      </w:pPr>
      <w:bookmarkStart w:id="575" w:name="_Toc11033_WPSOffice_Level3"/>
      <w:r>
        <w:rPr>
          <w:rFonts w:hint="eastAsia" w:ascii="宋体" w:hAnsi="宋体" w:eastAsia="宋体" w:cs="宋体"/>
          <w:b/>
          <w:color w:val="auto"/>
          <w:sz w:val="30"/>
          <w:szCs w:val="30"/>
          <w:highlight w:val="none"/>
        </w:rPr>
        <w:t>法定代</w:t>
      </w:r>
      <w:bookmarkStart w:id="576" w:name="_Toc36971359"/>
      <w:bookmarkStart w:id="577" w:name="_Toc45995270"/>
      <w:r>
        <w:rPr>
          <w:rFonts w:hint="eastAsia" w:ascii="宋体" w:hAnsi="宋体" w:eastAsia="宋体" w:cs="宋体"/>
          <w:b/>
          <w:color w:val="auto"/>
          <w:sz w:val="30"/>
          <w:szCs w:val="30"/>
          <w:highlight w:val="none"/>
        </w:rPr>
        <w:t>表人身份证明书</w:t>
      </w:r>
      <w:bookmarkEnd w:id="575"/>
    </w:p>
    <w:bookmarkEnd w:id="576"/>
    <w:bookmarkEnd w:id="577"/>
    <w:p w14:paraId="412A404E">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50D46AC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2287BB5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2ED62E3">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629E10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33A5164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72337530">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7E5FBB49">
      <w:pPr>
        <w:snapToGrid w:val="0"/>
        <w:spacing w:line="360" w:lineRule="auto"/>
        <w:ind w:firstLine="3465" w:firstLineChars="1650"/>
        <w:rPr>
          <w:rFonts w:ascii="宋体" w:hAnsi="宋体" w:eastAsia="宋体" w:cs="Times New Roman"/>
          <w:color w:val="auto"/>
          <w:kern w:val="3"/>
          <w:szCs w:val="24"/>
          <w:highlight w:val="none"/>
        </w:rPr>
      </w:pPr>
    </w:p>
    <w:p w14:paraId="00C35110">
      <w:pPr>
        <w:snapToGrid w:val="0"/>
        <w:spacing w:line="360" w:lineRule="auto"/>
        <w:ind w:firstLine="3465" w:firstLineChars="1650"/>
        <w:rPr>
          <w:rFonts w:ascii="宋体" w:hAnsi="宋体" w:eastAsia="宋体" w:cs="Times New Roman"/>
          <w:color w:val="auto"/>
          <w:kern w:val="3"/>
          <w:szCs w:val="24"/>
          <w:highlight w:val="none"/>
          <w:u w:val="single"/>
        </w:rPr>
      </w:pPr>
      <w:r>
        <w:rPr>
          <w:rFonts w:ascii="宋体" w:hAnsi="宋体" w:eastAsia="宋体" w:cs="Times New Roman"/>
          <w:color w:val="auto"/>
          <w:kern w:val="3"/>
          <w:szCs w:val="24"/>
          <w:highlight w:val="none"/>
        </w:rPr>
        <w:t>投 标 人：</w:t>
      </w:r>
      <w:r>
        <w:rPr>
          <w:rFonts w:ascii="宋体" w:hAnsi="宋体" w:eastAsia="宋体" w:cs="Times New Roman"/>
          <w:color w:val="auto"/>
          <w:kern w:val="3"/>
          <w:szCs w:val="24"/>
          <w:highlight w:val="none"/>
          <w:u w:val="single"/>
        </w:rPr>
        <w:t xml:space="preserve">             </w:t>
      </w:r>
      <w:r>
        <w:rPr>
          <w:rFonts w:hint="eastAsia" w:ascii="宋体" w:hAnsi="宋体" w:eastAsia="宋体" w:cs="Times New Roman"/>
          <w:color w:val="auto"/>
          <w:szCs w:val="21"/>
          <w:highlight w:val="none"/>
          <w:u w:val="single"/>
        </w:rPr>
        <w:t>（企业数字证书电子签名）</w:t>
      </w:r>
    </w:p>
    <w:p w14:paraId="431C7AE2">
      <w:pPr>
        <w:spacing w:before="120" w:after="120" w:line="360" w:lineRule="auto"/>
        <w:ind w:left="340" w:leftChars="162" w:firstLine="47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14377CD">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F5FED98"/>
                          <w:p w14:paraId="6F10E5BE"/>
                          <w:p w14:paraId="3D233472"/>
                          <w:p w14:paraId="146B269B"/>
                          <w:p w14:paraId="5BB0266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F5FED98"/>
                    <w:p w14:paraId="6F10E5BE"/>
                    <w:p w14:paraId="3D233472"/>
                    <w:p w14:paraId="146B269B"/>
                    <w:p w14:paraId="5BB0266E">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98B9455"/>
                          <w:p w14:paraId="20C39FE8"/>
                          <w:p w14:paraId="7E9CD579"/>
                          <w:p w14:paraId="5C9F781D"/>
                          <w:p w14:paraId="30D43B21">
                            <w:pPr>
                              <w:jc w:val="center"/>
                              <w:rPr>
                                <w:szCs w:val="21"/>
                              </w:rPr>
                            </w:pPr>
                            <w:r>
                              <w:rPr>
                                <w:rFonts w:hint="eastAsia"/>
                                <w:szCs w:val="21"/>
                              </w:rPr>
                              <w:t>法定代表人身份证反面</w:t>
                            </w:r>
                          </w:p>
                          <w:p w14:paraId="3502210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98B9455"/>
                    <w:p w14:paraId="20C39FE8"/>
                    <w:p w14:paraId="7E9CD579"/>
                    <w:p w14:paraId="5C9F781D"/>
                    <w:p w14:paraId="30D43B21">
                      <w:pPr>
                        <w:jc w:val="center"/>
                        <w:rPr>
                          <w:szCs w:val="21"/>
                        </w:rPr>
                      </w:pPr>
                      <w:r>
                        <w:rPr>
                          <w:rFonts w:hint="eastAsia"/>
                          <w:szCs w:val="21"/>
                        </w:rPr>
                        <w:t>法定代表人身份证反面</w:t>
                      </w:r>
                    </w:p>
                    <w:p w14:paraId="35022100">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36260AB"/>
                          <w:p w14:paraId="1E2103D7"/>
                          <w:p w14:paraId="09F29858"/>
                          <w:p w14:paraId="42F7078B"/>
                          <w:p w14:paraId="5D3942B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36260AB"/>
                    <w:p w14:paraId="1E2103D7"/>
                    <w:p w14:paraId="09F29858"/>
                    <w:p w14:paraId="42F7078B"/>
                    <w:p w14:paraId="5D3942BA">
                      <w:pPr>
                        <w:jc w:val="center"/>
                      </w:pPr>
                      <w:r>
                        <w:rPr>
                          <w:rFonts w:hint="eastAsia"/>
                        </w:rPr>
                        <w:t>身份证正面</w:t>
                      </w:r>
                    </w:p>
                  </w:txbxContent>
                </v:textbox>
              </v:shape>
            </w:pict>
          </mc:Fallback>
        </mc:AlternateContent>
      </w:r>
    </w:p>
    <w:p w14:paraId="341CFA97">
      <w:pPr>
        <w:autoSpaceDE w:val="0"/>
        <w:autoSpaceDN w:val="0"/>
        <w:adjustRightInd w:val="0"/>
        <w:jc w:val="left"/>
        <w:rPr>
          <w:rFonts w:ascii="宋体" w:hAnsi="宋体" w:eastAsia="宋体" w:cs="宋体"/>
          <w:color w:val="auto"/>
          <w:kern w:val="0"/>
          <w:sz w:val="24"/>
          <w:szCs w:val="24"/>
          <w:highlight w:val="none"/>
        </w:rPr>
      </w:pPr>
    </w:p>
    <w:p w14:paraId="213F05FD">
      <w:pPr>
        <w:autoSpaceDE w:val="0"/>
        <w:autoSpaceDN w:val="0"/>
        <w:adjustRightInd w:val="0"/>
        <w:jc w:val="left"/>
        <w:rPr>
          <w:rFonts w:ascii="宋体" w:hAnsi="宋体" w:eastAsia="宋体" w:cs="宋体"/>
          <w:color w:val="auto"/>
          <w:kern w:val="0"/>
          <w:sz w:val="24"/>
          <w:szCs w:val="24"/>
          <w:highlight w:val="none"/>
        </w:rPr>
      </w:pPr>
    </w:p>
    <w:p w14:paraId="3EEEBA63">
      <w:pPr>
        <w:autoSpaceDE w:val="0"/>
        <w:autoSpaceDN w:val="0"/>
        <w:adjustRightInd w:val="0"/>
        <w:jc w:val="left"/>
        <w:rPr>
          <w:rFonts w:ascii="宋体" w:hAnsi="宋体" w:eastAsia="宋体" w:cs="宋体"/>
          <w:color w:val="auto"/>
          <w:kern w:val="0"/>
          <w:sz w:val="24"/>
          <w:szCs w:val="24"/>
          <w:highlight w:val="none"/>
        </w:rPr>
      </w:pPr>
    </w:p>
    <w:p w14:paraId="024567BA">
      <w:pPr>
        <w:autoSpaceDE w:val="0"/>
        <w:autoSpaceDN w:val="0"/>
        <w:adjustRightInd w:val="0"/>
        <w:jc w:val="left"/>
        <w:rPr>
          <w:rFonts w:ascii="宋体" w:hAnsi="宋体" w:eastAsia="宋体" w:cs="宋体"/>
          <w:color w:val="auto"/>
          <w:kern w:val="0"/>
          <w:sz w:val="24"/>
          <w:szCs w:val="24"/>
          <w:highlight w:val="none"/>
        </w:rPr>
      </w:pPr>
    </w:p>
    <w:p w14:paraId="636EE6C6">
      <w:pPr>
        <w:autoSpaceDE w:val="0"/>
        <w:autoSpaceDN w:val="0"/>
        <w:adjustRightInd w:val="0"/>
        <w:jc w:val="left"/>
        <w:rPr>
          <w:rFonts w:ascii="宋体" w:hAnsi="宋体" w:eastAsia="宋体" w:cs="宋体"/>
          <w:color w:val="auto"/>
          <w:kern w:val="0"/>
          <w:sz w:val="24"/>
          <w:szCs w:val="24"/>
          <w:highlight w:val="none"/>
        </w:rPr>
      </w:pPr>
    </w:p>
    <w:p w14:paraId="52FE2C28">
      <w:pPr>
        <w:autoSpaceDE w:val="0"/>
        <w:autoSpaceDN w:val="0"/>
        <w:adjustRightInd w:val="0"/>
        <w:jc w:val="left"/>
        <w:rPr>
          <w:rFonts w:ascii="宋体" w:hAnsi="宋体" w:eastAsia="宋体" w:cs="宋体"/>
          <w:color w:val="auto"/>
          <w:kern w:val="0"/>
          <w:sz w:val="24"/>
          <w:szCs w:val="24"/>
          <w:highlight w:val="none"/>
        </w:rPr>
      </w:pPr>
    </w:p>
    <w:p w14:paraId="7CD8EF63">
      <w:pPr>
        <w:autoSpaceDE w:val="0"/>
        <w:autoSpaceDN w:val="0"/>
        <w:adjustRightInd w:val="0"/>
        <w:jc w:val="left"/>
        <w:rPr>
          <w:rFonts w:ascii="宋体" w:hAnsi="宋体" w:eastAsia="宋体" w:cs="宋体"/>
          <w:color w:val="auto"/>
          <w:kern w:val="0"/>
          <w:sz w:val="24"/>
          <w:szCs w:val="24"/>
          <w:highlight w:val="none"/>
        </w:rPr>
      </w:pPr>
    </w:p>
    <w:p w14:paraId="1F50D948">
      <w:pPr>
        <w:autoSpaceDE w:val="0"/>
        <w:autoSpaceDN w:val="0"/>
        <w:adjustRightInd w:val="0"/>
        <w:jc w:val="left"/>
        <w:rPr>
          <w:rFonts w:ascii="宋体" w:hAnsi="宋体" w:eastAsia="宋体" w:cs="宋体"/>
          <w:color w:val="auto"/>
          <w:kern w:val="0"/>
          <w:sz w:val="24"/>
          <w:szCs w:val="24"/>
          <w:highlight w:val="none"/>
        </w:rPr>
      </w:pPr>
    </w:p>
    <w:p w14:paraId="25CB5DE9">
      <w:pPr>
        <w:autoSpaceDE w:val="0"/>
        <w:autoSpaceDN w:val="0"/>
        <w:adjustRightInd w:val="0"/>
        <w:jc w:val="left"/>
        <w:rPr>
          <w:rFonts w:ascii="宋体" w:hAnsi="宋体" w:eastAsia="宋体" w:cs="宋体"/>
          <w:color w:val="auto"/>
          <w:kern w:val="0"/>
          <w:sz w:val="24"/>
          <w:szCs w:val="24"/>
          <w:highlight w:val="none"/>
        </w:rPr>
      </w:pPr>
    </w:p>
    <w:p w14:paraId="25D5542E">
      <w:pPr>
        <w:autoSpaceDE w:val="0"/>
        <w:autoSpaceDN w:val="0"/>
        <w:adjustRightInd w:val="0"/>
        <w:jc w:val="left"/>
        <w:rPr>
          <w:rFonts w:ascii="宋体" w:hAnsi="宋体" w:eastAsia="宋体" w:cs="宋体"/>
          <w:b/>
          <w:color w:val="auto"/>
          <w:kern w:val="0"/>
          <w:szCs w:val="21"/>
          <w:highlight w:val="none"/>
        </w:rPr>
      </w:pPr>
    </w:p>
    <w:p w14:paraId="2B30C45D">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215E49A1">
      <w:pPr>
        <w:autoSpaceDE w:val="0"/>
        <w:autoSpaceDN w:val="0"/>
        <w:adjustRightInd w:val="0"/>
        <w:jc w:val="left"/>
        <w:rPr>
          <w:rFonts w:ascii="宋体" w:hAnsi="宋体" w:eastAsia="宋体" w:cs="宋体"/>
          <w:color w:val="auto"/>
          <w:kern w:val="0"/>
          <w:szCs w:val="21"/>
          <w:highlight w:val="none"/>
        </w:rPr>
      </w:pPr>
    </w:p>
    <w:p w14:paraId="7138A233">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r>
        <w:rPr>
          <w:rFonts w:hint="eastAsia" w:ascii="宋体" w:hAnsi="宋体" w:eastAsia="宋体" w:cs="宋体"/>
          <w:color w:val="auto"/>
          <w:szCs w:val="24"/>
          <w:highlight w:val="none"/>
          <w:lang w:val="zh-CN"/>
        </w:rPr>
        <w:br w:type="page"/>
      </w:r>
      <w:bookmarkEnd w:id="491"/>
      <w:bookmarkEnd w:id="492"/>
      <w:bookmarkEnd w:id="493"/>
      <w:bookmarkStart w:id="578" w:name="_Toc533708125"/>
      <w:bookmarkStart w:id="579" w:name="_Toc1977727"/>
      <w:bookmarkStart w:id="580" w:name="_Toc486167713"/>
      <w:bookmarkStart w:id="581" w:name="_Toc6240_WPSOffice_Level2"/>
      <w:r>
        <w:rPr>
          <w:rFonts w:hint="eastAsia" w:ascii="宋体" w:hAnsi="宋体" w:eastAsia="宋体" w:cs="宋体"/>
          <w:b/>
          <w:color w:val="auto"/>
          <w:szCs w:val="24"/>
          <w:highlight w:val="none"/>
        </w:rPr>
        <w:t>（2）法定代表人授权书格式</w:t>
      </w:r>
      <w:bookmarkEnd w:id="578"/>
      <w:bookmarkEnd w:id="579"/>
      <w:bookmarkEnd w:id="580"/>
      <w:bookmarkEnd w:id="581"/>
    </w:p>
    <w:p w14:paraId="596B354B">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3E4968C8">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82" w:name="_Toc29146_WPSOffice_Level3"/>
      <w:r>
        <w:rPr>
          <w:rFonts w:hint="eastAsia" w:ascii="宋体" w:hAnsi="宋体" w:eastAsia="宋体" w:cs="宋体"/>
          <w:b/>
          <w:bCs/>
          <w:color w:val="auto"/>
          <w:sz w:val="30"/>
          <w:szCs w:val="30"/>
          <w:highlight w:val="none"/>
          <w:lang w:val="zh-CN"/>
        </w:rPr>
        <w:t>法定代表人授权书</w:t>
      </w:r>
      <w:bookmarkEnd w:id="582"/>
    </w:p>
    <w:p w14:paraId="41A2FF2F">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致：东莞市水务集团有限公司</w:t>
      </w:r>
    </w:p>
    <w:p w14:paraId="1CA295D4">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东莞市水务集团造价咨询服务单位库(2025-2026)采购项目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应评标委员会的要求对投标文件进行澄清、进行合同谈判和签署合同，以我公司的名义处理一切与本次投标有关的事宜，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A9F8209">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1C1FD887">
      <w:pPr>
        <w:spacing w:before="120" w:after="120" w:line="360" w:lineRule="auto"/>
        <w:ind w:left="348" w:leftChars="136" w:hanging="62"/>
        <w:rPr>
          <w:rFonts w:ascii="宋体" w:hAnsi="宋体" w:eastAsia="宋体" w:cs="宋体"/>
          <w:color w:val="auto"/>
          <w:szCs w:val="24"/>
          <w:highlight w:val="none"/>
        </w:rPr>
      </w:pPr>
    </w:p>
    <w:p w14:paraId="00D3C7E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78378A7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5893B73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6E4AFC6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619AB3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6ED79BB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700EEC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DF46CB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39BC4DE0">
      <w:pPr>
        <w:pStyle w:val="39"/>
        <w:widowControl w:val="0"/>
        <w:snapToGrid w:val="0"/>
        <w:spacing w:before="0" w:beforeAutospacing="0" w:after="0" w:afterAutospacing="0" w:line="360" w:lineRule="auto"/>
        <w:jc w:val="center"/>
        <w:rPr>
          <w:rFonts w:eastAsia="宋体" w:cs="宋体"/>
          <w:b/>
          <w:color w:val="auto"/>
          <w:sz w:val="21"/>
          <w:szCs w:val="21"/>
          <w:highlight w:val="none"/>
          <w:lang w:bidi="ar"/>
        </w:rPr>
      </w:pPr>
    </w:p>
    <w:p w14:paraId="2057A490">
      <w:pPr>
        <w:widowControl/>
        <w:autoSpaceDE w:val="0"/>
        <w:autoSpaceDN w:val="0"/>
        <w:spacing w:before="120" w:after="120" w:line="360" w:lineRule="auto"/>
        <w:ind w:right="781" w:rightChars="372" w:firstLine="422" w:firstLineChars="200"/>
        <w:textAlignment w:val="bottom"/>
        <w:rPr>
          <w:rFonts w:ascii="宋体" w:hAnsi="宋体" w:eastAsia="宋体" w:cs="宋体"/>
          <w:color w:val="auto"/>
          <w:szCs w:val="24"/>
          <w:highlight w:val="none"/>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法定代表人、被授权人身份证原件扫描件</w:t>
      </w:r>
    </w:p>
    <w:p w14:paraId="662E499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3A8C81C"/>
                          <w:p w14:paraId="603364B0"/>
                          <w:p w14:paraId="58DB2409"/>
                          <w:p w14:paraId="14F3838B"/>
                          <w:p w14:paraId="2177B174">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73A8C81C"/>
                    <w:p w14:paraId="603364B0"/>
                    <w:p w14:paraId="58DB2409"/>
                    <w:p w14:paraId="14F3838B"/>
                    <w:p w14:paraId="2177B174">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526DB07"/>
                          <w:p w14:paraId="26E126B5"/>
                          <w:p w14:paraId="7242016C"/>
                          <w:p w14:paraId="184D6957"/>
                          <w:p w14:paraId="363BBB04">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4526DB07"/>
                    <w:p w14:paraId="26E126B5"/>
                    <w:p w14:paraId="7242016C"/>
                    <w:p w14:paraId="184D6957"/>
                    <w:p w14:paraId="363BBB04">
                      <w:pPr>
                        <w:jc w:val="center"/>
                        <w:rPr>
                          <w:rFonts w:hAnsi="宋体"/>
                        </w:rPr>
                      </w:pPr>
                      <w:r>
                        <w:rPr>
                          <w:rFonts w:hint="eastAsia" w:hAnsi="宋体"/>
                        </w:rPr>
                        <w:t>法定代表人身份证正面</w:t>
                      </w:r>
                    </w:p>
                  </w:txbxContent>
                </v:textbox>
              </v:shape>
            </w:pict>
          </mc:Fallback>
        </mc:AlternateContent>
      </w:r>
    </w:p>
    <w:p w14:paraId="05ABC82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02F325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6E645F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65445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8A477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B91C03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30402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F6195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4F0905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66D0EB2"/>
                          <w:p w14:paraId="276D2297">
                            <w:pPr>
                              <w:jc w:val="center"/>
                              <w:rPr>
                                <w:rFonts w:hAnsi="宋体"/>
                                <w:color w:val="FF0000"/>
                              </w:rPr>
                            </w:pPr>
                          </w:p>
                          <w:p w14:paraId="35240E0C">
                            <w:pPr>
                              <w:jc w:val="center"/>
                              <w:rPr>
                                <w:rFonts w:hAnsi="宋体"/>
                                <w:color w:val="FF0000"/>
                              </w:rPr>
                            </w:pPr>
                          </w:p>
                          <w:p w14:paraId="63EE2F37">
                            <w:pPr>
                              <w:jc w:val="center"/>
                              <w:rPr>
                                <w:rFonts w:hAnsi="宋体"/>
                                <w:color w:val="FF0000"/>
                              </w:rPr>
                            </w:pPr>
                          </w:p>
                          <w:p w14:paraId="4925EE7E">
                            <w:pPr>
                              <w:jc w:val="center"/>
                            </w:pPr>
                            <w:r>
                              <w:rPr>
                                <w:rFonts w:hint="eastAsia" w:hAnsi="宋体"/>
                              </w:rPr>
                              <w:t>被授权人身份证反面</w:t>
                            </w:r>
                          </w:p>
                          <w:p w14:paraId="2F163536"/>
                          <w:p w14:paraId="090F8BB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66D0EB2"/>
                    <w:p w14:paraId="276D2297">
                      <w:pPr>
                        <w:jc w:val="center"/>
                        <w:rPr>
                          <w:rFonts w:hAnsi="宋体"/>
                          <w:color w:val="FF0000"/>
                        </w:rPr>
                      </w:pPr>
                    </w:p>
                    <w:p w14:paraId="35240E0C">
                      <w:pPr>
                        <w:jc w:val="center"/>
                        <w:rPr>
                          <w:rFonts w:hAnsi="宋体"/>
                          <w:color w:val="FF0000"/>
                        </w:rPr>
                      </w:pPr>
                    </w:p>
                    <w:p w14:paraId="63EE2F37">
                      <w:pPr>
                        <w:jc w:val="center"/>
                        <w:rPr>
                          <w:rFonts w:hAnsi="宋体"/>
                          <w:color w:val="FF0000"/>
                        </w:rPr>
                      </w:pPr>
                    </w:p>
                    <w:p w14:paraId="4925EE7E">
                      <w:pPr>
                        <w:jc w:val="center"/>
                      </w:pPr>
                      <w:r>
                        <w:rPr>
                          <w:rFonts w:hint="eastAsia" w:hAnsi="宋体"/>
                        </w:rPr>
                        <w:t>被授权人身份证反面</w:t>
                      </w:r>
                    </w:p>
                    <w:p w14:paraId="2F163536"/>
                    <w:p w14:paraId="090F8BBB"/>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01EDC6B"/>
                          <w:p w14:paraId="095754A5">
                            <w:pPr>
                              <w:jc w:val="center"/>
                              <w:rPr>
                                <w:rFonts w:hAnsi="宋体"/>
                                <w:color w:val="FF0000"/>
                              </w:rPr>
                            </w:pPr>
                          </w:p>
                          <w:p w14:paraId="22EFD74B">
                            <w:pPr>
                              <w:jc w:val="center"/>
                              <w:rPr>
                                <w:rFonts w:hAnsi="宋体"/>
                                <w:color w:val="FF0000"/>
                              </w:rPr>
                            </w:pPr>
                          </w:p>
                          <w:p w14:paraId="603D8C5A">
                            <w:pPr>
                              <w:jc w:val="center"/>
                              <w:rPr>
                                <w:rFonts w:hAnsi="宋体"/>
                                <w:color w:val="FF0000"/>
                              </w:rPr>
                            </w:pPr>
                          </w:p>
                          <w:p w14:paraId="60512D33">
                            <w:pPr>
                              <w:jc w:val="center"/>
                            </w:pPr>
                            <w:r>
                              <w:rPr>
                                <w:rFonts w:hint="eastAsia" w:hAnsi="宋体"/>
                              </w:rPr>
                              <w:t>被授权人身份证正面</w:t>
                            </w:r>
                          </w:p>
                          <w:p w14:paraId="3386618F"/>
                          <w:p w14:paraId="583E84D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01EDC6B"/>
                    <w:p w14:paraId="095754A5">
                      <w:pPr>
                        <w:jc w:val="center"/>
                        <w:rPr>
                          <w:rFonts w:hAnsi="宋体"/>
                          <w:color w:val="FF0000"/>
                        </w:rPr>
                      </w:pPr>
                    </w:p>
                    <w:p w14:paraId="22EFD74B">
                      <w:pPr>
                        <w:jc w:val="center"/>
                        <w:rPr>
                          <w:rFonts w:hAnsi="宋体"/>
                          <w:color w:val="FF0000"/>
                        </w:rPr>
                      </w:pPr>
                    </w:p>
                    <w:p w14:paraId="603D8C5A">
                      <w:pPr>
                        <w:jc w:val="center"/>
                        <w:rPr>
                          <w:rFonts w:hAnsi="宋体"/>
                          <w:color w:val="FF0000"/>
                        </w:rPr>
                      </w:pPr>
                    </w:p>
                    <w:p w14:paraId="60512D33">
                      <w:pPr>
                        <w:jc w:val="center"/>
                      </w:pPr>
                      <w:r>
                        <w:rPr>
                          <w:rFonts w:hint="eastAsia" w:hAnsi="宋体"/>
                        </w:rPr>
                        <w:t>被授权人身份证正面</w:t>
                      </w:r>
                    </w:p>
                    <w:p w14:paraId="3386618F"/>
                    <w:p w14:paraId="583E84DE"/>
                  </w:txbxContent>
                </v:textbox>
              </v:shape>
            </w:pict>
          </mc:Fallback>
        </mc:AlternateContent>
      </w:r>
    </w:p>
    <w:p w14:paraId="6917AC0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D9F285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8C9AFA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9F45E8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C0A11E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8A48DEB">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6ECBD307">
      <w:pPr>
        <w:pStyle w:val="4"/>
        <w:pageBreakBefore/>
        <w:spacing w:line="360" w:lineRule="auto"/>
        <w:rPr>
          <w:rFonts w:hAnsi="宋体"/>
          <w:b/>
          <w:color w:val="auto"/>
          <w:sz w:val="30"/>
          <w:szCs w:val="30"/>
          <w:highlight w:val="none"/>
          <w:lang w:val="zh-CN"/>
        </w:rPr>
      </w:pPr>
      <w:bookmarkStart w:id="583" w:name="_Toc32328"/>
      <w:bookmarkStart w:id="584" w:name="_Toc12400"/>
      <w:bookmarkStart w:id="585" w:name="_Toc15716"/>
      <w:bookmarkStart w:id="586" w:name="_Toc21507"/>
      <w:bookmarkStart w:id="587" w:name="_Toc29471"/>
      <w:bookmarkStart w:id="588" w:name="_Toc10084"/>
      <w:bookmarkStart w:id="589" w:name="_Toc195714386"/>
      <w:bookmarkStart w:id="590" w:name="_Toc23849"/>
      <w:bookmarkStart w:id="591" w:name="_Toc140596933"/>
      <w:bookmarkStart w:id="592" w:name="_Toc142508373"/>
      <w:bookmarkStart w:id="593" w:name="_Toc104991880"/>
      <w:bookmarkStart w:id="594" w:name="_Toc94107214"/>
      <w:bookmarkStart w:id="595" w:name="_Toc1977730"/>
      <w:r>
        <w:rPr>
          <w:rFonts w:hint="eastAsia" w:hAnsi="宋体" w:cs="宋体"/>
          <w:b/>
          <w:color w:val="auto"/>
          <w:sz w:val="30"/>
          <w:szCs w:val="30"/>
          <w:highlight w:val="none"/>
          <w:lang w:val="en-US" w:eastAsia="zh-CN"/>
        </w:rPr>
        <w:t>4</w:t>
      </w:r>
      <w:r>
        <w:rPr>
          <w:rFonts w:hint="eastAsia" w:hAnsi="宋体" w:cs="宋体"/>
          <w:b/>
          <w:color w:val="auto"/>
          <w:sz w:val="30"/>
          <w:szCs w:val="30"/>
          <w:highlight w:val="none"/>
        </w:rPr>
        <w:t>.4</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w:t>
      </w:r>
      <w:bookmarkEnd w:id="583"/>
      <w:bookmarkEnd w:id="584"/>
      <w:bookmarkEnd w:id="585"/>
      <w:r>
        <w:rPr>
          <w:rFonts w:hint="eastAsia" w:hAnsi="宋体"/>
          <w:b/>
          <w:bCs/>
          <w:color w:val="auto"/>
          <w:sz w:val="32"/>
          <w:szCs w:val="32"/>
          <w:highlight w:val="none"/>
          <w:lang w:val="en-US" w:eastAsia="zh-CN"/>
        </w:rPr>
        <w:t>投标人2</w:t>
      </w:r>
      <w:r>
        <w:rPr>
          <w:rFonts w:hint="eastAsia" w:hAnsi="宋体" w:eastAsia="宋体" w:cs="Times New Roman"/>
          <w:b/>
          <w:bCs/>
          <w:color w:val="auto"/>
          <w:kern w:val="2"/>
          <w:sz w:val="32"/>
          <w:szCs w:val="32"/>
          <w:highlight w:val="none"/>
          <w:lang w:val="en-US" w:eastAsia="zh-CN"/>
        </w:rPr>
        <w:t>022</w:t>
      </w:r>
      <w:r>
        <w:rPr>
          <w:rFonts w:hint="eastAsia" w:hAnsi="宋体" w:eastAsia="宋体" w:cs="Times New Roman"/>
          <w:b/>
          <w:bCs/>
          <w:color w:val="auto"/>
          <w:kern w:val="2"/>
          <w:sz w:val="32"/>
          <w:szCs w:val="32"/>
          <w:highlight w:val="none"/>
          <w:lang w:val="zh-CN"/>
        </w:rPr>
        <w:t>年</w:t>
      </w:r>
      <w:r>
        <w:rPr>
          <w:rFonts w:hint="eastAsia" w:hAnsi="宋体" w:eastAsia="宋体" w:cs="Times New Roman"/>
          <w:b/>
          <w:bCs/>
          <w:color w:val="auto"/>
          <w:kern w:val="2"/>
          <w:sz w:val="32"/>
          <w:szCs w:val="32"/>
          <w:highlight w:val="none"/>
          <w:lang w:val="en-US" w:eastAsia="zh-CN"/>
        </w:rPr>
        <w:t>1</w:t>
      </w:r>
      <w:r>
        <w:rPr>
          <w:rFonts w:hint="eastAsia" w:hAnsi="宋体" w:eastAsia="宋体" w:cs="Times New Roman"/>
          <w:b/>
          <w:bCs/>
          <w:color w:val="auto"/>
          <w:kern w:val="2"/>
          <w:sz w:val="32"/>
          <w:szCs w:val="32"/>
          <w:highlight w:val="none"/>
          <w:lang w:val="zh-CN"/>
        </w:rPr>
        <w:t>月</w:t>
      </w:r>
      <w:r>
        <w:rPr>
          <w:rFonts w:hint="eastAsia" w:hAnsi="宋体" w:eastAsia="宋体" w:cs="Times New Roman"/>
          <w:b/>
          <w:bCs/>
          <w:color w:val="auto"/>
          <w:kern w:val="2"/>
          <w:sz w:val="32"/>
          <w:szCs w:val="32"/>
          <w:highlight w:val="none"/>
          <w:lang w:val="en-US" w:eastAsia="zh-CN"/>
        </w:rPr>
        <w:t>1</w:t>
      </w:r>
      <w:r>
        <w:rPr>
          <w:rFonts w:hint="eastAsia" w:hAnsi="宋体" w:eastAsia="宋体" w:cs="Times New Roman"/>
          <w:b/>
          <w:bCs/>
          <w:color w:val="auto"/>
          <w:kern w:val="2"/>
          <w:sz w:val="32"/>
          <w:szCs w:val="32"/>
          <w:highlight w:val="none"/>
          <w:lang w:val="zh-CN"/>
        </w:rPr>
        <w:t>日以来具有造价咨询</w:t>
      </w:r>
      <w:r>
        <w:rPr>
          <w:rFonts w:hint="eastAsia" w:ascii="宋体" w:hAnsi="宋体" w:eastAsia="宋体" w:cs="Times New Roman"/>
          <w:b/>
          <w:bCs/>
          <w:color w:val="auto"/>
          <w:kern w:val="2"/>
          <w:sz w:val="32"/>
          <w:szCs w:val="32"/>
          <w:highlight w:val="none"/>
          <w:lang w:val="zh-CN"/>
        </w:rPr>
        <w:t>【</w:t>
      </w:r>
      <w:r>
        <w:rPr>
          <w:rFonts w:hint="eastAsia" w:hAnsi="宋体" w:eastAsia="宋体" w:cs="Times New Roman"/>
          <w:b/>
          <w:bCs/>
          <w:color w:val="auto"/>
          <w:kern w:val="2"/>
          <w:sz w:val="32"/>
          <w:szCs w:val="32"/>
          <w:highlight w:val="none"/>
          <w:lang w:val="zh-CN"/>
        </w:rPr>
        <w:t>含概算编制、概算审核、预算(或招标控制价)编制、预算(或招标控制价)审核、结算编制和结算审核，以上业绩可包括在同一合同或多份合同内</w:t>
      </w:r>
      <w:r>
        <w:rPr>
          <w:rFonts w:hint="eastAsia" w:ascii="宋体" w:hAnsi="宋体" w:eastAsia="宋体" w:cs="Times New Roman"/>
          <w:b/>
          <w:bCs/>
          <w:color w:val="auto"/>
          <w:kern w:val="2"/>
          <w:sz w:val="32"/>
          <w:szCs w:val="32"/>
          <w:highlight w:val="none"/>
          <w:lang w:val="zh-CN"/>
        </w:rPr>
        <w:t>】</w:t>
      </w:r>
      <w:r>
        <w:rPr>
          <w:rFonts w:hint="eastAsia" w:hAnsi="宋体" w:eastAsia="宋体" w:cs="Times New Roman"/>
          <w:b/>
          <w:bCs/>
          <w:color w:val="auto"/>
          <w:kern w:val="2"/>
          <w:sz w:val="32"/>
          <w:szCs w:val="32"/>
          <w:highlight w:val="none"/>
          <w:lang w:val="zh-CN"/>
        </w:rPr>
        <w:t>的服务业绩（合同签订日期为</w:t>
      </w:r>
      <w:r>
        <w:rPr>
          <w:rFonts w:hint="eastAsia" w:hAnsi="宋体" w:eastAsia="宋体" w:cs="Times New Roman"/>
          <w:b/>
          <w:bCs/>
          <w:color w:val="auto"/>
          <w:kern w:val="2"/>
          <w:sz w:val="32"/>
          <w:szCs w:val="32"/>
          <w:highlight w:val="none"/>
          <w:lang w:val="en-US" w:eastAsia="zh-CN"/>
        </w:rPr>
        <w:t>2022</w:t>
      </w:r>
      <w:r>
        <w:rPr>
          <w:rFonts w:hint="eastAsia" w:hAnsi="宋体" w:eastAsia="宋体" w:cs="Times New Roman"/>
          <w:b/>
          <w:bCs/>
          <w:color w:val="auto"/>
          <w:kern w:val="2"/>
          <w:sz w:val="32"/>
          <w:szCs w:val="32"/>
          <w:highlight w:val="none"/>
          <w:lang w:val="zh-CN"/>
        </w:rPr>
        <w:t>年</w:t>
      </w:r>
      <w:r>
        <w:rPr>
          <w:rFonts w:hint="eastAsia" w:hAnsi="宋体" w:eastAsia="宋体" w:cs="Times New Roman"/>
          <w:b/>
          <w:bCs/>
          <w:color w:val="auto"/>
          <w:kern w:val="2"/>
          <w:sz w:val="32"/>
          <w:szCs w:val="32"/>
          <w:highlight w:val="none"/>
          <w:lang w:val="en-US" w:eastAsia="zh-CN"/>
        </w:rPr>
        <w:t>1</w:t>
      </w:r>
      <w:r>
        <w:rPr>
          <w:rFonts w:hint="eastAsia" w:hAnsi="宋体" w:eastAsia="宋体" w:cs="Times New Roman"/>
          <w:b/>
          <w:bCs/>
          <w:color w:val="auto"/>
          <w:kern w:val="2"/>
          <w:sz w:val="32"/>
          <w:szCs w:val="32"/>
          <w:highlight w:val="none"/>
          <w:lang w:val="zh-CN"/>
        </w:rPr>
        <w:t>月</w:t>
      </w:r>
      <w:r>
        <w:rPr>
          <w:rFonts w:hint="eastAsia" w:hAnsi="宋体" w:eastAsia="宋体" w:cs="Times New Roman"/>
          <w:b/>
          <w:bCs/>
          <w:color w:val="auto"/>
          <w:kern w:val="2"/>
          <w:sz w:val="32"/>
          <w:szCs w:val="32"/>
          <w:highlight w:val="none"/>
          <w:lang w:val="en-US" w:eastAsia="zh-CN"/>
        </w:rPr>
        <w:t>1</w:t>
      </w:r>
      <w:r>
        <w:rPr>
          <w:rFonts w:hint="eastAsia" w:hAnsi="宋体" w:eastAsia="宋体" w:cs="Times New Roman"/>
          <w:b/>
          <w:bCs/>
          <w:color w:val="auto"/>
          <w:kern w:val="2"/>
          <w:sz w:val="32"/>
          <w:szCs w:val="32"/>
          <w:highlight w:val="none"/>
          <w:lang w:val="zh-CN"/>
        </w:rPr>
        <w:t>日或以后，</w:t>
      </w:r>
      <w:r>
        <w:rPr>
          <w:rFonts w:hint="eastAsia" w:hAnsi="宋体" w:eastAsia="宋体" w:cs="Times New Roman"/>
          <w:b/>
          <w:bCs/>
          <w:color w:val="auto"/>
          <w:kern w:val="2"/>
          <w:sz w:val="32"/>
          <w:szCs w:val="32"/>
          <w:highlight w:val="none"/>
          <w:lang w:val="zh-CN" w:eastAsia="zh-CN"/>
        </w:rPr>
        <w:t>金额在100万元（含）以上</w:t>
      </w:r>
      <w:r>
        <w:rPr>
          <w:rFonts w:hint="eastAsia" w:hAnsi="宋体" w:eastAsia="宋体" w:cs="Times New Roman"/>
          <w:b/>
          <w:bCs/>
          <w:color w:val="auto"/>
          <w:kern w:val="2"/>
          <w:sz w:val="32"/>
          <w:szCs w:val="32"/>
          <w:highlight w:val="none"/>
          <w:lang w:val="zh-CN"/>
        </w:rPr>
        <w:t>）</w:t>
      </w:r>
      <w:r>
        <w:rPr>
          <w:rFonts w:hint="eastAsia" w:hAnsi="宋体"/>
          <w:b/>
          <w:bCs/>
          <w:color w:val="auto"/>
          <w:sz w:val="32"/>
          <w:szCs w:val="32"/>
          <w:highlight w:val="none"/>
        </w:rPr>
        <w:t>】</w:t>
      </w:r>
      <w:bookmarkEnd w:id="586"/>
      <w:bookmarkEnd w:id="587"/>
      <w:bookmarkEnd w:id="588"/>
      <w:bookmarkEnd w:id="589"/>
      <w:bookmarkEnd w:id="590"/>
    </w:p>
    <w:p w14:paraId="0636DC80">
      <w:pPr>
        <w:spacing w:line="360" w:lineRule="auto"/>
        <w:rPr>
          <w:rFonts w:ascii="宋体" w:hAnsi="宋体" w:eastAsia="宋体" w:cs="宋体"/>
          <w:b/>
          <w:color w:val="auto"/>
          <w:szCs w:val="21"/>
          <w:highlight w:val="none"/>
          <w:lang w:val="zh-CN"/>
        </w:rPr>
      </w:pP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20"/>
        <w:gridCol w:w="1187"/>
        <w:gridCol w:w="1280"/>
        <w:gridCol w:w="2422"/>
        <w:gridCol w:w="740"/>
        <w:gridCol w:w="873"/>
        <w:gridCol w:w="1118"/>
        <w:gridCol w:w="686"/>
      </w:tblGrid>
      <w:tr w14:paraId="0A8C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089" w:hRule="exact"/>
          <w:jc w:val="center"/>
        </w:trPr>
        <w:tc>
          <w:tcPr>
            <w:tcW w:w="449" w:type="pct"/>
            <w:noWrap w:val="0"/>
            <w:vAlign w:val="center"/>
          </w:tcPr>
          <w:p w14:paraId="035F7A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序号</w:t>
            </w:r>
          </w:p>
        </w:tc>
        <w:tc>
          <w:tcPr>
            <w:tcW w:w="650" w:type="pct"/>
            <w:noWrap w:val="0"/>
            <w:vAlign w:val="center"/>
          </w:tcPr>
          <w:p w14:paraId="73C32AA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01" w:type="pct"/>
            <w:noWrap w:val="0"/>
            <w:vAlign w:val="center"/>
          </w:tcPr>
          <w:p w14:paraId="7179314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业主方名称</w:t>
            </w:r>
          </w:p>
        </w:tc>
        <w:tc>
          <w:tcPr>
            <w:tcW w:w="1326" w:type="pct"/>
            <w:noWrap w:val="0"/>
            <w:vAlign w:val="center"/>
          </w:tcPr>
          <w:p w14:paraId="6F501F8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合同类型</w:t>
            </w:r>
          </w:p>
          <w:p w14:paraId="64D5A42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zh-CN" w:eastAsia="zh-CN"/>
              </w:rPr>
              <w:t>概算编制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eastAsia="zh-CN"/>
              </w:rPr>
              <w:t>概算审核</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eastAsia="zh-CN"/>
              </w:rPr>
              <w:t>预算(或招标控制价)编制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eastAsia="zh-CN"/>
              </w:rPr>
              <w:t>预算(或招标控制价)审核</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eastAsia="zh-CN"/>
              </w:rPr>
              <w:t>结算编制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eastAsia="zh-CN"/>
              </w:rPr>
              <w:t>结算审核</w:t>
            </w:r>
            <w:r>
              <w:rPr>
                <w:rFonts w:hint="eastAsia" w:ascii="宋体" w:hAnsi="宋体" w:eastAsia="宋体" w:cs="宋体"/>
                <w:color w:val="auto"/>
                <w:szCs w:val="21"/>
                <w:highlight w:val="none"/>
                <w:lang w:eastAsia="zh-CN"/>
              </w:rPr>
              <w:t>】</w:t>
            </w:r>
          </w:p>
        </w:tc>
        <w:tc>
          <w:tcPr>
            <w:tcW w:w="405" w:type="pct"/>
            <w:noWrap w:val="0"/>
            <w:vAlign w:val="center"/>
          </w:tcPr>
          <w:p w14:paraId="6AF6D8F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合同签订时间</w:t>
            </w:r>
          </w:p>
        </w:tc>
        <w:tc>
          <w:tcPr>
            <w:tcW w:w="478" w:type="pct"/>
            <w:noWrap w:val="0"/>
            <w:vAlign w:val="center"/>
          </w:tcPr>
          <w:p w14:paraId="792DFDF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服务完成情况</w:t>
            </w:r>
          </w:p>
        </w:tc>
        <w:tc>
          <w:tcPr>
            <w:tcW w:w="612" w:type="pct"/>
            <w:noWrap w:val="0"/>
            <w:vAlign w:val="center"/>
          </w:tcPr>
          <w:p w14:paraId="7C35C1C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业主联系人及电话</w:t>
            </w:r>
          </w:p>
        </w:tc>
        <w:tc>
          <w:tcPr>
            <w:tcW w:w="375" w:type="pct"/>
            <w:noWrap w:val="0"/>
            <w:vAlign w:val="center"/>
          </w:tcPr>
          <w:p w14:paraId="39BD85B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E85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9" w:type="pct"/>
            <w:noWrap w:val="0"/>
            <w:vAlign w:val="center"/>
          </w:tcPr>
          <w:p w14:paraId="4ABBE7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50" w:type="pct"/>
            <w:noWrap w:val="0"/>
            <w:vAlign w:val="center"/>
          </w:tcPr>
          <w:p w14:paraId="53FF400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01" w:type="pct"/>
            <w:noWrap w:val="0"/>
            <w:vAlign w:val="center"/>
          </w:tcPr>
          <w:p w14:paraId="07B2C1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26" w:type="pct"/>
            <w:noWrap w:val="0"/>
            <w:vAlign w:val="center"/>
          </w:tcPr>
          <w:p w14:paraId="072454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05" w:type="pct"/>
            <w:noWrap w:val="0"/>
            <w:vAlign w:val="center"/>
          </w:tcPr>
          <w:p w14:paraId="4F1FB4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8" w:type="pct"/>
            <w:noWrap w:val="0"/>
            <w:vAlign w:val="top"/>
          </w:tcPr>
          <w:p w14:paraId="1D29DA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2" w:type="pct"/>
            <w:noWrap w:val="0"/>
            <w:vAlign w:val="center"/>
          </w:tcPr>
          <w:p w14:paraId="127F9A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5" w:type="pct"/>
            <w:noWrap w:val="0"/>
            <w:vAlign w:val="center"/>
          </w:tcPr>
          <w:p w14:paraId="53B49A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8BA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9" w:type="pct"/>
            <w:noWrap w:val="0"/>
            <w:vAlign w:val="center"/>
          </w:tcPr>
          <w:p w14:paraId="5CE39A9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50" w:type="pct"/>
            <w:noWrap w:val="0"/>
            <w:vAlign w:val="center"/>
          </w:tcPr>
          <w:p w14:paraId="5805D8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01" w:type="pct"/>
            <w:noWrap w:val="0"/>
            <w:vAlign w:val="center"/>
          </w:tcPr>
          <w:p w14:paraId="69CDD0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26" w:type="pct"/>
            <w:noWrap w:val="0"/>
            <w:vAlign w:val="center"/>
          </w:tcPr>
          <w:p w14:paraId="44F037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05" w:type="pct"/>
            <w:noWrap w:val="0"/>
            <w:vAlign w:val="center"/>
          </w:tcPr>
          <w:p w14:paraId="358A2F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8" w:type="pct"/>
            <w:noWrap w:val="0"/>
            <w:vAlign w:val="top"/>
          </w:tcPr>
          <w:p w14:paraId="251A97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2" w:type="pct"/>
            <w:noWrap w:val="0"/>
            <w:vAlign w:val="center"/>
          </w:tcPr>
          <w:p w14:paraId="62E9E6A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5" w:type="pct"/>
            <w:noWrap w:val="0"/>
            <w:vAlign w:val="center"/>
          </w:tcPr>
          <w:p w14:paraId="0F363E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247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9" w:type="pct"/>
            <w:noWrap w:val="0"/>
            <w:vAlign w:val="center"/>
          </w:tcPr>
          <w:p w14:paraId="694A49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650" w:type="pct"/>
            <w:noWrap w:val="0"/>
            <w:vAlign w:val="center"/>
          </w:tcPr>
          <w:p w14:paraId="6B805C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01" w:type="pct"/>
            <w:noWrap w:val="0"/>
            <w:vAlign w:val="center"/>
          </w:tcPr>
          <w:p w14:paraId="31E422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26" w:type="pct"/>
            <w:noWrap w:val="0"/>
            <w:vAlign w:val="center"/>
          </w:tcPr>
          <w:p w14:paraId="36E47C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05" w:type="pct"/>
            <w:noWrap w:val="0"/>
            <w:vAlign w:val="center"/>
          </w:tcPr>
          <w:p w14:paraId="0EC90F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8" w:type="pct"/>
            <w:noWrap w:val="0"/>
            <w:vAlign w:val="top"/>
          </w:tcPr>
          <w:p w14:paraId="1BF39D2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2" w:type="pct"/>
            <w:noWrap w:val="0"/>
            <w:vAlign w:val="center"/>
          </w:tcPr>
          <w:p w14:paraId="5BD782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5" w:type="pct"/>
            <w:noWrap w:val="0"/>
            <w:vAlign w:val="center"/>
          </w:tcPr>
          <w:p w14:paraId="5E5D2B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C5A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9" w:type="pct"/>
            <w:noWrap w:val="0"/>
            <w:vAlign w:val="center"/>
          </w:tcPr>
          <w:p w14:paraId="064830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650" w:type="pct"/>
            <w:noWrap w:val="0"/>
            <w:vAlign w:val="center"/>
          </w:tcPr>
          <w:p w14:paraId="017B61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01" w:type="pct"/>
            <w:noWrap w:val="0"/>
            <w:vAlign w:val="center"/>
          </w:tcPr>
          <w:p w14:paraId="63063C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26" w:type="pct"/>
            <w:noWrap w:val="0"/>
            <w:vAlign w:val="center"/>
          </w:tcPr>
          <w:p w14:paraId="64FC67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05" w:type="pct"/>
            <w:noWrap w:val="0"/>
            <w:vAlign w:val="center"/>
          </w:tcPr>
          <w:p w14:paraId="04DDD0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8" w:type="pct"/>
            <w:noWrap w:val="0"/>
            <w:vAlign w:val="top"/>
          </w:tcPr>
          <w:p w14:paraId="695EF4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2" w:type="pct"/>
            <w:noWrap w:val="0"/>
            <w:vAlign w:val="center"/>
          </w:tcPr>
          <w:p w14:paraId="7309F1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5" w:type="pct"/>
            <w:noWrap w:val="0"/>
            <w:vAlign w:val="center"/>
          </w:tcPr>
          <w:p w14:paraId="42DB3F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03A9D87C">
      <w:pPr>
        <w:spacing w:line="360" w:lineRule="auto"/>
        <w:ind w:left="424" w:hanging="424" w:hangingChars="201"/>
        <w:rPr>
          <w:rFonts w:ascii="宋体" w:hAnsi="宋体" w:eastAsia="宋体" w:cs="宋体"/>
          <w:b/>
          <w:color w:val="auto"/>
          <w:szCs w:val="21"/>
          <w:highlight w:val="none"/>
          <w:lang w:val="zh-CN"/>
        </w:rPr>
      </w:pPr>
    </w:p>
    <w:p w14:paraId="1C96C639">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0DA265A1">
      <w:pPr>
        <w:spacing w:line="360" w:lineRule="auto"/>
        <w:outlineLvl w:val="3"/>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51A4C698">
      <w:pPr>
        <w:spacing w:line="360" w:lineRule="auto"/>
        <w:ind w:left="422" w:hanging="422" w:hangingChars="201"/>
        <w:rPr>
          <w:rFonts w:hint="eastAsia" w:ascii="宋体" w:hAnsi="宋体" w:eastAsia="宋体" w:cs="宋体"/>
          <w:color w:val="auto"/>
          <w:szCs w:val="21"/>
          <w:highlight w:val="none"/>
          <w:lang w:val="zh-CN"/>
        </w:rPr>
      </w:pPr>
      <w:bookmarkStart w:id="596" w:name="_Toc12931"/>
      <w:bookmarkStart w:id="597" w:name="_Toc24862"/>
      <w:bookmarkStart w:id="598" w:name="_Toc20010"/>
      <w:r>
        <w:rPr>
          <w:rFonts w:hint="eastAsia" w:ascii="宋体" w:hAnsi="宋体" w:eastAsia="宋体" w:cs="宋体"/>
          <w:color w:val="auto"/>
          <w:szCs w:val="21"/>
          <w:highlight w:val="none"/>
          <w:lang w:val="zh-CN"/>
        </w:rPr>
        <w:t>（2）</w:t>
      </w:r>
      <w:r>
        <w:rPr>
          <w:rFonts w:hint="eastAsia" w:ascii="宋体" w:hAnsi="宋体" w:eastAsia="宋体" w:cs="宋体"/>
          <w:b/>
          <w:bCs/>
          <w:color w:val="auto"/>
          <w:sz w:val="21"/>
          <w:szCs w:val="21"/>
          <w:highlight w:val="none"/>
          <w:lang w:val="zh-CN"/>
        </w:rPr>
        <w:t>业绩须附合同及项目的相关成果文件关键页</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lang w:val="zh-CN"/>
        </w:rPr>
        <w:t>加盖投标人公章</w:t>
      </w:r>
      <w:r>
        <w:rPr>
          <w:rFonts w:hint="eastAsia" w:ascii="宋体" w:hAnsi="宋体" w:eastAsia="宋体" w:cs="宋体"/>
          <w:color w:val="auto"/>
          <w:szCs w:val="21"/>
          <w:highlight w:val="none"/>
          <w:lang w:val="zh-CN"/>
        </w:rPr>
        <w:t>；</w:t>
      </w:r>
    </w:p>
    <w:p w14:paraId="58A94BC0">
      <w:pPr>
        <w:spacing w:line="360" w:lineRule="auto"/>
        <w:ind w:left="422" w:hanging="422" w:hangingChars="201"/>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宋体"/>
          <w:b/>
          <w:color w:val="auto"/>
          <w:sz w:val="21"/>
          <w:szCs w:val="21"/>
          <w:highlight w:val="none"/>
          <w:lang w:val="en-US" w:eastAsia="zh-CN"/>
        </w:rPr>
        <w:t>若</w:t>
      </w:r>
      <w:r>
        <w:rPr>
          <w:rFonts w:hint="eastAsia" w:ascii="宋体" w:hAnsi="宋体" w:eastAsia="宋体" w:cs="宋体"/>
          <w:b/>
          <w:color w:val="auto"/>
          <w:sz w:val="21"/>
          <w:szCs w:val="21"/>
          <w:highlight w:val="none"/>
        </w:rPr>
        <w:t>合同等业绩证明材料</w:t>
      </w:r>
      <w:r>
        <w:rPr>
          <w:rFonts w:hint="eastAsia" w:ascii="宋体" w:hAnsi="宋体" w:eastAsia="宋体" w:cs="宋体"/>
          <w:b/>
          <w:color w:val="auto"/>
          <w:sz w:val="21"/>
          <w:szCs w:val="21"/>
          <w:highlight w:val="none"/>
          <w:lang w:val="en-US" w:eastAsia="zh-CN"/>
        </w:rPr>
        <w:t>无法</w:t>
      </w:r>
      <w:r>
        <w:rPr>
          <w:rFonts w:hint="eastAsia" w:ascii="宋体" w:hAnsi="宋体" w:eastAsia="宋体" w:cs="宋体"/>
          <w:b/>
          <w:color w:val="auto"/>
          <w:sz w:val="21"/>
          <w:szCs w:val="21"/>
          <w:highlight w:val="none"/>
        </w:rPr>
        <w:t>反映</w:t>
      </w:r>
      <w:r>
        <w:rPr>
          <w:rFonts w:hint="eastAsia" w:ascii="宋体" w:hAnsi="宋体" w:eastAsia="宋体" w:cs="宋体"/>
          <w:b/>
          <w:color w:val="auto"/>
          <w:sz w:val="21"/>
          <w:szCs w:val="21"/>
          <w:highlight w:val="none"/>
          <w:lang w:val="en-US" w:eastAsia="zh-CN"/>
        </w:rPr>
        <w:t>资格</w:t>
      </w:r>
      <w:r>
        <w:rPr>
          <w:rFonts w:hint="eastAsia" w:ascii="宋体" w:hAnsi="宋体" w:eastAsia="宋体" w:cs="宋体"/>
          <w:b/>
          <w:color w:val="auto"/>
          <w:sz w:val="21"/>
          <w:szCs w:val="21"/>
          <w:highlight w:val="none"/>
        </w:rPr>
        <w:t>条件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合同签订日期为202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年1月1日或以后，合同标的必须为</w:t>
      </w:r>
      <w:r>
        <w:rPr>
          <w:rFonts w:hint="eastAsia" w:ascii="宋体" w:hAnsi="宋体" w:eastAsia="宋体" w:cs="宋体"/>
          <w:b/>
          <w:color w:val="auto"/>
          <w:sz w:val="21"/>
          <w:szCs w:val="21"/>
          <w:highlight w:val="none"/>
          <w:lang w:val="zh-CN" w:eastAsia="zh-CN"/>
        </w:rPr>
        <w:t>概算编制</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zh-CN" w:eastAsia="zh-CN"/>
        </w:rPr>
        <w:t>概算审核</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zh-CN" w:eastAsia="zh-CN"/>
        </w:rPr>
        <w:t>预算(或招标控制价)编制</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zh-CN" w:eastAsia="zh-CN"/>
        </w:rPr>
        <w:t>预算(或招标控制价)审核</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zh-CN" w:eastAsia="zh-CN"/>
        </w:rPr>
        <w:t>结算编制</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zh-CN" w:eastAsia="zh-CN"/>
        </w:rPr>
        <w:t>结算审核</w:t>
      </w:r>
      <w:r>
        <w:rPr>
          <w:rFonts w:hint="eastAsia" w:ascii="宋体" w:hAnsi="宋体" w:eastAsia="宋体" w:cs="宋体"/>
          <w:b/>
          <w:color w:val="auto"/>
          <w:sz w:val="21"/>
          <w:szCs w:val="21"/>
          <w:highlight w:val="none"/>
        </w:rPr>
        <w:t>业绩</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的</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还</w:t>
      </w:r>
      <w:r>
        <w:rPr>
          <w:rFonts w:hint="eastAsia" w:ascii="宋体" w:hAnsi="宋体" w:eastAsia="宋体" w:cs="宋体"/>
          <w:b/>
          <w:color w:val="auto"/>
          <w:sz w:val="21"/>
          <w:szCs w:val="21"/>
          <w:highlight w:val="none"/>
        </w:rPr>
        <w:t>需同时提供业主</w:t>
      </w:r>
      <w:r>
        <w:rPr>
          <w:rFonts w:hint="eastAsia" w:ascii="宋体" w:hAnsi="宋体" w:eastAsia="宋体" w:cs="宋体"/>
          <w:b/>
          <w:color w:val="auto"/>
          <w:sz w:val="21"/>
          <w:szCs w:val="21"/>
          <w:highlight w:val="none"/>
          <w:lang w:val="en-US" w:eastAsia="zh-CN"/>
        </w:rPr>
        <w:t>方</w:t>
      </w:r>
      <w:r>
        <w:rPr>
          <w:rFonts w:hint="eastAsia" w:ascii="宋体" w:hAnsi="宋体" w:eastAsia="宋体" w:cs="宋体"/>
          <w:b/>
          <w:color w:val="auto"/>
          <w:sz w:val="21"/>
          <w:szCs w:val="21"/>
          <w:highlight w:val="none"/>
        </w:rPr>
        <w:t>出具的书面补充情况说明文件</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shd w:val="clear" w:color="auto" w:fill="FFFFFF"/>
        </w:rPr>
        <w:t>补充情况说明文件</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bCs/>
          <w:color w:val="auto"/>
          <w:szCs w:val="21"/>
          <w:highlight w:val="none"/>
          <w:shd w:val="clear" w:color="auto" w:fill="FFFFFF"/>
        </w:rPr>
        <w:t>能显示</w:t>
      </w:r>
      <w:r>
        <w:rPr>
          <w:rFonts w:hint="eastAsia" w:ascii="宋体" w:hAnsi="宋体" w:eastAsia="宋体" w:cs="宋体"/>
          <w:b/>
          <w:bCs/>
          <w:color w:val="auto"/>
          <w:szCs w:val="21"/>
          <w:highlight w:val="none"/>
          <w:shd w:val="clear" w:color="auto" w:fill="FFFFFF"/>
          <w:lang w:val="en-US" w:eastAsia="zh-CN"/>
        </w:rPr>
        <w:t>业主</w:t>
      </w:r>
      <w:r>
        <w:rPr>
          <w:rFonts w:hint="eastAsia" w:ascii="宋体" w:hAnsi="宋体" w:eastAsia="宋体" w:cs="宋体"/>
          <w:b/>
          <w:bCs/>
          <w:color w:val="auto"/>
          <w:szCs w:val="21"/>
          <w:highlight w:val="none"/>
          <w:shd w:val="clear" w:color="auto" w:fill="FFFFFF"/>
        </w:rPr>
        <w:t>方公章</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w:t>
      </w:r>
    </w:p>
    <w:p w14:paraId="601F8DD6">
      <w:pPr>
        <w:spacing w:line="360" w:lineRule="auto"/>
        <w:ind w:left="424" w:hanging="424" w:hangingChars="201"/>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w:t>
      </w:r>
      <w:bookmarkEnd w:id="596"/>
      <w:bookmarkEnd w:id="597"/>
      <w:bookmarkEnd w:id="598"/>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60A1DFAF">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7C8FFEA">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99" w:name="_Toc7508"/>
      <w:bookmarkStart w:id="600" w:name="_Toc8121"/>
      <w:bookmarkStart w:id="601" w:name="_Toc8599"/>
      <w:bookmarkStart w:id="602" w:name="_Toc4556"/>
      <w:bookmarkStart w:id="603" w:name="_Toc21843"/>
      <w:bookmarkStart w:id="604" w:name="_Toc16429"/>
      <w:bookmarkStart w:id="605" w:name="_Toc17003"/>
      <w:bookmarkStart w:id="606" w:name="_Toc195714387"/>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.5 最近3年投标人牵涉的其他（失信和违法）处罚说明格式</w:t>
      </w:r>
      <w:bookmarkEnd w:id="591"/>
      <w:bookmarkEnd w:id="592"/>
      <w:bookmarkEnd w:id="593"/>
      <w:bookmarkEnd w:id="594"/>
      <w:bookmarkEnd w:id="595"/>
      <w:bookmarkEnd w:id="599"/>
      <w:bookmarkEnd w:id="600"/>
      <w:bookmarkEnd w:id="601"/>
      <w:bookmarkEnd w:id="602"/>
      <w:bookmarkEnd w:id="603"/>
      <w:bookmarkEnd w:id="604"/>
      <w:bookmarkEnd w:id="605"/>
      <w:bookmarkEnd w:id="606"/>
    </w:p>
    <w:p w14:paraId="522AAA31">
      <w:pPr>
        <w:autoSpaceDE w:val="0"/>
        <w:autoSpaceDN w:val="0"/>
        <w:adjustRightInd w:val="0"/>
        <w:spacing w:line="360" w:lineRule="auto"/>
        <w:jc w:val="center"/>
        <w:outlineLvl w:val="1"/>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676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248BB9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24A59A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698AAC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7C14A8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A6B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6742ABA">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17D7DFE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3605EB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2D3F1B2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7127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3EBB66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7B69A05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99F2C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1B7D8CE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90A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A680D3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399D107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64D7715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3C3439F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6D2DDE7A">
      <w:pPr>
        <w:autoSpaceDE w:val="0"/>
        <w:autoSpaceDN w:val="0"/>
        <w:adjustRightInd w:val="0"/>
        <w:spacing w:line="360" w:lineRule="auto"/>
        <w:jc w:val="left"/>
        <w:rPr>
          <w:rFonts w:ascii="宋体" w:hAnsi="宋体" w:eastAsia="宋体" w:cs="宋体"/>
          <w:color w:val="auto"/>
          <w:kern w:val="0"/>
          <w:szCs w:val="21"/>
          <w:highlight w:val="none"/>
        </w:rPr>
      </w:pPr>
    </w:p>
    <w:p w14:paraId="4C5A0884">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扫描件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047739ED">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27A556E3">
      <w:pPr>
        <w:autoSpaceDE w:val="0"/>
        <w:autoSpaceDN w:val="0"/>
        <w:adjustRightInd w:val="0"/>
        <w:spacing w:line="360" w:lineRule="auto"/>
        <w:jc w:val="center"/>
        <w:rPr>
          <w:rFonts w:ascii="宋体" w:hAnsi="宋体" w:eastAsia="宋体" w:cs="宋体"/>
          <w:color w:val="auto"/>
          <w:kern w:val="0"/>
          <w:sz w:val="24"/>
          <w:szCs w:val="24"/>
          <w:highlight w:val="none"/>
        </w:rPr>
      </w:pPr>
    </w:p>
    <w:p w14:paraId="2A2E365C">
      <w:pPr>
        <w:spacing w:line="360" w:lineRule="auto"/>
        <w:ind w:firstLine="494" w:firstLineChars="206"/>
        <w:rPr>
          <w:rFonts w:ascii="宋体" w:hAnsi="宋体" w:eastAsia="宋体" w:cs="宋体"/>
          <w:color w:val="auto"/>
          <w:kern w:val="0"/>
          <w:sz w:val="24"/>
          <w:szCs w:val="24"/>
          <w:highlight w:val="none"/>
        </w:rPr>
      </w:pPr>
    </w:p>
    <w:p w14:paraId="726CED6F">
      <w:pPr>
        <w:spacing w:line="360" w:lineRule="auto"/>
        <w:ind w:firstLine="494" w:firstLineChars="206"/>
        <w:rPr>
          <w:rFonts w:ascii="宋体" w:hAnsi="宋体" w:eastAsia="宋体" w:cs="宋体"/>
          <w:color w:val="auto"/>
          <w:kern w:val="0"/>
          <w:sz w:val="24"/>
          <w:szCs w:val="24"/>
          <w:highlight w:val="none"/>
        </w:rPr>
      </w:pPr>
    </w:p>
    <w:p w14:paraId="47204392">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DB47BAB">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4CCD662">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3061C5DC">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68BE58A5">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p>
    <w:p w14:paraId="67E1EE88">
      <w:pPr>
        <w:rPr>
          <w:rFonts w:ascii="宋体" w:hAnsi="宋体" w:eastAsia="宋体" w:cs="宋体"/>
          <w:color w:val="auto"/>
          <w:szCs w:val="24"/>
          <w:highlight w:val="none"/>
          <w:lang w:val="zh-CN"/>
        </w:rPr>
      </w:pPr>
      <w:bookmarkStart w:id="607" w:name="_Toc102860423"/>
      <w:bookmarkStart w:id="608" w:name="_Toc1977731"/>
      <w:bookmarkStart w:id="609" w:name="_Toc142508374"/>
      <w:bookmarkStart w:id="610" w:name="_Toc30939"/>
      <w:bookmarkStart w:id="611" w:name="_Toc2031_WPSOffice_Level2"/>
      <w:bookmarkStart w:id="612" w:name="_Toc104991881"/>
      <w:bookmarkStart w:id="613" w:name="_Toc486167714"/>
      <w:bookmarkStart w:id="614" w:name="_Toc94107215"/>
      <w:bookmarkStart w:id="615" w:name="_Toc533708126"/>
      <w:bookmarkStart w:id="616" w:name="_Toc140596934"/>
      <w:bookmarkStart w:id="617" w:name="_Toc6412"/>
      <w:bookmarkStart w:id="618" w:name="_Toc102860079"/>
      <w:r>
        <w:rPr>
          <w:rFonts w:ascii="宋体" w:hAnsi="宋体" w:eastAsia="宋体" w:cs="宋体"/>
          <w:color w:val="auto"/>
          <w:szCs w:val="24"/>
          <w:highlight w:val="none"/>
          <w:lang w:val="zh-CN"/>
        </w:rPr>
        <w:br w:type="page"/>
      </w:r>
    </w:p>
    <w:p w14:paraId="36E4CB68">
      <w:pPr>
        <w:tabs>
          <w:tab w:val="left" w:pos="567"/>
        </w:tabs>
        <w:autoSpaceDE w:val="0"/>
        <w:autoSpaceDN w:val="0"/>
        <w:adjustRightInd w:val="0"/>
        <w:spacing w:line="360" w:lineRule="auto"/>
        <w:jc w:val="left"/>
        <w:outlineLvl w:val="1"/>
        <w:rPr>
          <w:rFonts w:ascii="宋体" w:hAnsi="宋体" w:eastAsia="宋体" w:cs="Times New Roman"/>
          <w:color w:val="auto"/>
          <w:kern w:val="0"/>
          <w:szCs w:val="21"/>
          <w:highlight w:val="none"/>
          <w:u w:val="single"/>
        </w:rPr>
      </w:pPr>
      <w:bookmarkStart w:id="619" w:name="_Toc115"/>
      <w:bookmarkStart w:id="620" w:name="_Toc195714388"/>
      <w:bookmarkStart w:id="621" w:name="_Toc17508"/>
      <w:bookmarkStart w:id="622" w:name="_Toc3374"/>
      <w:bookmarkStart w:id="623" w:name="_Toc18126"/>
      <w:bookmarkStart w:id="624" w:name="_Toc18145"/>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kern w:val="0"/>
          <w:sz w:val="32"/>
          <w:szCs w:val="32"/>
          <w:highlight w:val="none"/>
        </w:rPr>
        <w:t>、投标人基本情况一览表</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72E2E318">
      <w:pPr>
        <w:autoSpaceDE w:val="0"/>
        <w:autoSpaceDN w:val="0"/>
        <w:adjustRightInd w:val="0"/>
        <w:spacing w:line="360" w:lineRule="auto"/>
        <w:jc w:val="center"/>
        <w:outlineLvl w:val="0"/>
        <w:rPr>
          <w:rFonts w:ascii="宋体" w:hAnsi="宋体" w:eastAsia="宋体" w:cs="宋体"/>
          <w:b/>
          <w:bCs/>
          <w:color w:val="auto"/>
          <w:sz w:val="30"/>
          <w:szCs w:val="30"/>
          <w:highlight w:val="none"/>
        </w:rPr>
      </w:pPr>
      <w:bookmarkStart w:id="625" w:name="_Toc2773_WPSOffice_Level3"/>
      <w:r>
        <w:rPr>
          <w:rFonts w:hint="eastAsia" w:ascii="宋体" w:hAnsi="宋体" w:eastAsia="宋体" w:cs="宋体"/>
          <w:b/>
          <w:bCs/>
          <w:color w:val="auto"/>
          <w:sz w:val="30"/>
          <w:szCs w:val="30"/>
          <w:highlight w:val="none"/>
          <w:lang w:val="zh-CN"/>
        </w:rPr>
        <w:t>投标人基本情况一览表</w:t>
      </w:r>
      <w:bookmarkEnd w:id="625"/>
    </w:p>
    <w:p w14:paraId="38EDD2C4">
      <w:pPr>
        <w:autoSpaceDE w:val="0"/>
        <w:autoSpaceDN w:val="0"/>
        <w:adjustRightInd w:val="0"/>
        <w:spacing w:line="360" w:lineRule="auto"/>
        <w:ind w:firstLine="420"/>
        <w:outlineLvl w:val="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51A4A3C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1A4326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7D2FE807">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141F982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68C972E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024E431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B4DFE1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（4）法人代表：__________________________________________</w:t>
      </w:r>
    </w:p>
    <w:p w14:paraId="6E9F99A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34BDD6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3E56CA8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8AA01B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76AAC42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94125B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49AA6F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89896CD">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EFE4165">
      <w:pPr>
        <w:autoSpaceDE w:val="0"/>
        <w:autoSpaceDN w:val="0"/>
        <w:adjustRightInd w:val="0"/>
        <w:spacing w:line="360" w:lineRule="auto"/>
        <w:ind w:firstLine="420"/>
        <w:outlineLvl w:val="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453E0617">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63C5BF6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5C05F77">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00536ED">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B5052BB">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（3）东莞市内设有分支机构情况介绍[应提供该分支机构的多证合一营业执照原件扫描件等证明材料]（若无前述分支机构的无需介绍）。</w:t>
      </w:r>
    </w:p>
    <w:p w14:paraId="3F6613DA">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520FDAD">
      <w:pPr>
        <w:autoSpaceDE w:val="0"/>
        <w:autoSpaceDN w:val="0"/>
        <w:adjustRightInd w:val="0"/>
        <w:spacing w:line="360" w:lineRule="auto"/>
        <w:ind w:firstLine="420" w:firstLineChars="200"/>
        <w:rPr>
          <w:rFonts w:ascii="宋体" w:hAnsi="宋体" w:eastAsia="宋体" w:cs="宋体"/>
          <w:color w:val="auto"/>
          <w:szCs w:val="24"/>
          <w:highlight w:val="none"/>
        </w:rPr>
      </w:pPr>
    </w:p>
    <w:p w14:paraId="57E7BD5D">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12FCF98">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7E1FFBA">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37E19B2">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2E52686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26" w:name="_Toc29014"/>
      <w:bookmarkStart w:id="627" w:name="_Toc31090"/>
      <w:bookmarkStart w:id="628" w:name="_Toc4023"/>
      <w:bookmarkStart w:id="629" w:name="_Toc285"/>
      <w:bookmarkStart w:id="630" w:name="_Toc104991882"/>
      <w:bookmarkStart w:id="631" w:name="_Toc13621"/>
      <w:bookmarkStart w:id="632" w:name="_Toc102860424"/>
      <w:bookmarkStart w:id="633" w:name="_Toc102860080"/>
      <w:bookmarkStart w:id="634" w:name="_Toc94107216"/>
      <w:bookmarkStart w:id="635" w:name="_Toc140596935"/>
      <w:bookmarkStart w:id="636" w:name="_Toc142508375"/>
      <w:bookmarkStart w:id="637" w:name="_Toc195714389"/>
      <w:bookmarkStart w:id="638" w:name="_Toc18075"/>
      <w:bookmarkStart w:id="639" w:name="_Toc10443"/>
      <w:bookmarkStart w:id="640" w:name="_Toc1977733"/>
      <w:bookmarkStart w:id="641" w:name="_Toc533708128"/>
      <w:bookmarkStart w:id="642" w:name="_Toc486167715"/>
      <w:bookmarkStart w:id="643" w:name="_Toc9051_WPSOffice_Level2"/>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lang w:val="zh-CN"/>
        </w:rPr>
        <w:t>、投标人财务状况表格式</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430C9720">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3D332FCE">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DC02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C02B5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EFB19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9E710B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06FB07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94ADA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DF57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0D5A8A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p>
        </w:tc>
        <w:tc>
          <w:tcPr>
            <w:tcW w:w="1944" w:type="dxa"/>
            <w:vAlign w:val="center"/>
          </w:tcPr>
          <w:p w14:paraId="32D6C5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0F82B57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62067FE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7FD2D3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CE63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4CA277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6D54A0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0811688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178AA82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9695BF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D80D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03ABD9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p>
        </w:tc>
        <w:tc>
          <w:tcPr>
            <w:tcW w:w="1944" w:type="dxa"/>
            <w:vAlign w:val="center"/>
          </w:tcPr>
          <w:p w14:paraId="7F4590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337043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5EDB543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34DA5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8EA7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4803E6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710F11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6210C3E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7A65646D">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BC08BD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4CA743E">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4B7C3EB5">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3DEA5C71">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FD7FA70">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826F57C">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47DE9DFF">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16A9C611">
      <w:pPr>
        <w:autoSpaceDE w:val="0"/>
        <w:autoSpaceDN w:val="0"/>
        <w:adjustRightInd w:val="0"/>
        <w:spacing w:line="360" w:lineRule="auto"/>
        <w:ind w:firstLine="6274"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p>
    <w:bookmarkEnd w:id="640"/>
    <w:bookmarkEnd w:id="641"/>
    <w:bookmarkEnd w:id="642"/>
    <w:bookmarkEnd w:id="643"/>
    <w:p w14:paraId="6DF0290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44" w:name="_Toc533708130"/>
      <w:bookmarkStart w:id="645" w:name="_Toc94107217"/>
      <w:bookmarkStart w:id="646" w:name="_Toc104991883"/>
      <w:bookmarkStart w:id="647" w:name="_Toc102860425"/>
      <w:bookmarkStart w:id="648" w:name="_Toc16948"/>
      <w:bookmarkStart w:id="649" w:name="_Toc5085"/>
      <w:bookmarkStart w:id="650" w:name="_Toc195714390"/>
      <w:bookmarkStart w:id="651" w:name="_Toc17995"/>
      <w:bookmarkStart w:id="652" w:name="_Toc739_WPSOffice_Level2"/>
      <w:bookmarkStart w:id="653" w:name="_Toc486167716"/>
      <w:bookmarkStart w:id="654" w:name="_Toc28458"/>
      <w:bookmarkStart w:id="655" w:name="_Toc6028"/>
      <w:bookmarkStart w:id="656" w:name="_Toc142508376"/>
      <w:bookmarkStart w:id="657" w:name="_Toc140596936"/>
      <w:bookmarkStart w:id="658" w:name="_Toc26821"/>
      <w:bookmarkStart w:id="659" w:name="_Toc102860081"/>
      <w:bookmarkStart w:id="660" w:name="_Toc333"/>
      <w:bookmarkStart w:id="661" w:name="_Toc1977736"/>
      <w:r>
        <w:rPr>
          <w:rFonts w:hint="eastAsia" w:ascii="宋体" w:hAnsi="宋体" w:eastAsia="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lang w:val="zh-CN"/>
        </w:rPr>
        <w:t>、合同条款偏离表格式</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6BC3C621">
      <w:pPr>
        <w:autoSpaceDE w:val="0"/>
        <w:autoSpaceDN w:val="0"/>
        <w:adjustRightInd w:val="0"/>
        <w:spacing w:line="360" w:lineRule="auto"/>
        <w:jc w:val="center"/>
        <w:outlineLvl w:val="3"/>
        <w:rPr>
          <w:rFonts w:ascii="宋体" w:hAnsi="宋体" w:eastAsia="宋体" w:cs="宋体"/>
          <w:b/>
          <w:bCs/>
          <w:color w:val="auto"/>
          <w:kern w:val="0"/>
          <w:sz w:val="28"/>
          <w:szCs w:val="30"/>
          <w:highlight w:val="none"/>
          <w:lang w:val="zh-CN"/>
        </w:rPr>
      </w:pPr>
      <w:bookmarkStart w:id="662" w:name="_Toc26412_WPSOffice_Level3"/>
      <w:r>
        <w:rPr>
          <w:rFonts w:hint="eastAsia" w:ascii="宋体" w:hAnsi="宋体" w:eastAsia="宋体" w:cs="宋体"/>
          <w:b/>
          <w:bCs/>
          <w:color w:val="auto"/>
          <w:kern w:val="0"/>
          <w:sz w:val="28"/>
          <w:szCs w:val="30"/>
          <w:highlight w:val="none"/>
          <w:lang w:val="zh-CN"/>
        </w:rPr>
        <w:t>东莞市水务集团造价咨询服务单位库(2025-2026)采购项目合同条款偏离表</w:t>
      </w:r>
      <w:bookmarkEnd w:id="662"/>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080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89956A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3F2CC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07EDD38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0B0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E611DB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0EE9C3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52A46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20D9B5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5C60A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3D7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526B8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25" w:type="dxa"/>
            <w:vAlign w:val="center"/>
          </w:tcPr>
          <w:p w14:paraId="241AF20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第一条</w:t>
            </w:r>
          </w:p>
        </w:tc>
        <w:tc>
          <w:tcPr>
            <w:tcW w:w="3055" w:type="dxa"/>
            <w:vAlign w:val="center"/>
          </w:tcPr>
          <w:p w14:paraId="1680C7C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合同范围及服务内容</w:t>
            </w:r>
          </w:p>
        </w:tc>
        <w:tc>
          <w:tcPr>
            <w:tcW w:w="1346" w:type="dxa"/>
            <w:vAlign w:val="center"/>
          </w:tcPr>
          <w:p w14:paraId="2C664C2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7B2086F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797D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4E97A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25" w:type="dxa"/>
            <w:vAlign w:val="center"/>
          </w:tcPr>
          <w:p w14:paraId="1591EE2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第二条</w:t>
            </w:r>
          </w:p>
        </w:tc>
        <w:tc>
          <w:tcPr>
            <w:tcW w:w="3055" w:type="dxa"/>
            <w:vAlign w:val="center"/>
          </w:tcPr>
          <w:p w14:paraId="7338505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服务期限</w:t>
            </w:r>
          </w:p>
        </w:tc>
        <w:tc>
          <w:tcPr>
            <w:tcW w:w="1346" w:type="dxa"/>
            <w:vAlign w:val="center"/>
          </w:tcPr>
          <w:p w14:paraId="6645951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182A6D2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2E8F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FAF40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25" w:type="dxa"/>
            <w:vAlign w:val="center"/>
          </w:tcPr>
          <w:p w14:paraId="20F39D8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第三条</w:t>
            </w:r>
          </w:p>
        </w:tc>
        <w:tc>
          <w:tcPr>
            <w:tcW w:w="3055" w:type="dxa"/>
            <w:vAlign w:val="center"/>
          </w:tcPr>
          <w:p w14:paraId="3B3C27C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服务费的计算及支付方式</w:t>
            </w:r>
          </w:p>
        </w:tc>
        <w:tc>
          <w:tcPr>
            <w:tcW w:w="1346" w:type="dxa"/>
            <w:vAlign w:val="center"/>
          </w:tcPr>
          <w:p w14:paraId="2AC0B4C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0BFEADD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43CF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14:paraId="454EA5F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425" w:type="dxa"/>
            <w:vAlign w:val="center"/>
          </w:tcPr>
          <w:p w14:paraId="3C24304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第四条</w:t>
            </w:r>
          </w:p>
        </w:tc>
        <w:tc>
          <w:tcPr>
            <w:tcW w:w="3055" w:type="dxa"/>
            <w:vAlign w:val="center"/>
          </w:tcPr>
          <w:p w14:paraId="1F0DEBA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项目分配方式</w:t>
            </w:r>
          </w:p>
        </w:tc>
        <w:tc>
          <w:tcPr>
            <w:tcW w:w="1346" w:type="dxa"/>
            <w:vAlign w:val="center"/>
          </w:tcPr>
          <w:p w14:paraId="271E610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6FE517E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4864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13D3D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425" w:type="dxa"/>
            <w:vAlign w:val="center"/>
          </w:tcPr>
          <w:p w14:paraId="36219A7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第五条</w:t>
            </w:r>
          </w:p>
        </w:tc>
        <w:tc>
          <w:tcPr>
            <w:tcW w:w="3055" w:type="dxa"/>
            <w:vAlign w:val="center"/>
          </w:tcPr>
          <w:p w14:paraId="501055D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服务要求</w:t>
            </w:r>
          </w:p>
        </w:tc>
        <w:tc>
          <w:tcPr>
            <w:tcW w:w="1346" w:type="dxa"/>
            <w:vAlign w:val="center"/>
          </w:tcPr>
          <w:p w14:paraId="611D552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64FA46E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4A9E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EB647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425" w:type="dxa"/>
            <w:vAlign w:val="center"/>
          </w:tcPr>
          <w:p w14:paraId="3130C4E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第六条</w:t>
            </w:r>
          </w:p>
        </w:tc>
        <w:tc>
          <w:tcPr>
            <w:tcW w:w="3055" w:type="dxa"/>
            <w:vAlign w:val="center"/>
          </w:tcPr>
          <w:p w14:paraId="2FEC695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单项造价</w:t>
            </w:r>
            <w:r>
              <w:rPr>
                <w:rFonts w:hint="eastAsia" w:ascii="宋体" w:hAnsi="宋体" w:eastAsia="宋体" w:cs="宋体"/>
                <w:b/>
                <w:bCs w:val="0"/>
                <w:color w:val="auto"/>
                <w:sz w:val="21"/>
                <w:szCs w:val="21"/>
                <w:highlight w:val="none"/>
                <w:lang w:eastAsia="zh-CN"/>
              </w:rPr>
              <w:t>咨询服务</w:t>
            </w:r>
            <w:r>
              <w:rPr>
                <w:rFonts w:hint="eastAsia" w:ascii="宋体" w:hAnsi="宋体" w:eastAsia="宋体" w:cs="宋体"/>
                <w:b/>
                <w:bCs w:val="0"/>
                <w:color w:val="auto"/>
                <w:sz w:val="21"/>
                <w:szCs w:val="21"/>
                <w:highlight w:val="none"/>
              </w:rPr>
              <w:t>完成时间要求</w:t>
            </w:r>
          </w:p>
        </w:tc>
        <w:tc>
          <w:tcPr>
            <w:tcW w:w="1346" w:type="dxa"/>
            <w:vAlign w:val="center"/>
          </w:tcPr>
          <w:p w14:paraId="4D2080A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7083FB1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7F5B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8C1E4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425" w:type="dxa"/>
            <w:vAlign w:val="center"/>
          </w:tcPr>
          <w:p w14:paraId="3E830E3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第七条</w:t>
            </w:r>
          </w:p>
        </w:tc>
        <w:tc>
          <w:tcPr>
            <w:tcW w:w="3055" w:type="dxa"/>
            <w:vAlign w:val="center"/>
          </w:tcPr>
          <w:p w14:paraId="1B58C63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日常管理</w:t>
            </w:r>
          </w:p>
        </w:tc>
        <w:tc>
          <w:tcPr>
            <w:tcW w:w="1346" w:type="dxa"/>
            <w:vAlign w:val="center"/>
          </w:tcPr>
          <w:p w14:paraId="6ACD8E5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4D026E3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71B1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77AEB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425" w:type="dxa"/>
            <w:vAlign w:val="center"/>
          </w:tcPr>
          <w:p w14:paraId="5E3A111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第八条</w:t>
            </w:r>
          </w:p>
        </w:tc>
        <w:tc>
          <w:tcPr>
            <w:tcW w:w="3055" w:type="dxa"/>
            <w:vAlign w:val="center"/>
          </w:tcPr>
          <w:p w14:paraId="64F372B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履约担保</w:t>
            </w:r>
          </w:p>
        </w:tc>
        <w:tc>
          <w:tcPr>
            <w:tcW w:w="1346" w:type="dxa"/>
            <w:vAlign w:val="center"/>
          </w:tcPr>
          <w:p w14:paraId="7077677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1CEFE7E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378A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0AC3C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425" w:type="dxa"/>
            <w:vAlign w:val="center"/>
          </w:tcPr>
          <w:p w14:paraId="02EF909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第九条</w:t>
            </w:r>
          </w:p>
        </w:tc>
        <w:tc>
          <w:tcPr>
            <w:tcW w:w="3055" w:type="dxa"/>
            <w:vAlign w:val="center"/>
          </w:tcPr>
          <w:p w14:paraId="54A2A9C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违约责任</w:t>
            </w:r>
          </w:p>
        </w:tc>
        <w:tc>
          <w:tcPr>
            <w:tcW w:w="1346" w:type="dxa"/>
            <w:vAlign w:val="center"/>
          </w:tcPr>
          <w:p w14:paraId="4003A8D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77D2A3C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7A76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F7077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425" w:type="dxa"/>
            <w:vAlign w:val="center"/>
          </w:tcPr>
          <w:p w14:paraId="4BA59C2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第十条</w:t>
            </w:r>
          </w:p>
        </w:tc>
        <w:tc>
          <w:tcPr>
            <w:tcW w:w="3055" w:type="dxa"/>
            <w:vAlign w:val="center"/>
          </w:tcPr>
          <w:p w14:paraId="25437E9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合同争议</w:t>
            </w:r>
          </w:p>
        </w:tc>
        <w:tc>
          <w:tcPr>
            <w:tcW w:w="1346" w:type="dxa"/>
            <w:vAlign w:val="center"/>
          </w:tcPr>
          <w:p w14:paraId="02315A3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0578002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26E3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147A3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425" w:type="dxa"/>
            <w:vAlign w:val="center"/>
          </w:tcPr>
          <w:p w14:paraId="7EB4B07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第十一条</w:t>
            </w:r>
          </w:p>
        </w:tc>
        <w:tc>
          <w:tcPr>
            <w:tcW w:w="3055" w:type="dxa"/>
            <w:vAlign w:val="center"/>
          </w:tcPr>
          <w:p w14:paraId="67CC147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合同的变更与解除</w:t>
            </w:r>
          </w:p>
        </w:tc>
        <w:tc>
          <w:tcPr>
            <w:tcW w:w="1346" w:type="dxa"/>
            <w:vAlign w:val="center"/>
          </w:tcPr>
          <w:p w14:paraId="7034F6D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32B5051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3FDE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9583C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425" w:type="dxa"/>
            <w:vAlign w:val="center"/>
          </w:tcPr>
          <w:p w14:paraId="392CBC7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第十二条</w:t>
            </w:r>
          </w:p>
        </w:tc>
        <w:tc>
          <w:tcPr>
            <w:tcW w:w="3055" w:type="dxa"/>
            <w:vAlign w:val="center"/>
          </w:tcPr>
          <w:p w14:paraId="0AD812E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合同生效及其他</w:t>
            </w:r>
          </w:p>
        </w:tc>
        <w:tc>
          <w:tcPr>
            <w:tcW w:w="1346" w:type="dxa"/>
            <w:vAlign w:val="center"/>
          </w:tcPr>
          <w:p w14:paraId="09C6DC9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06C00DA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738C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6B0F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1425" w:type="dxa"/>
            <w:vAlign w:val="center"/>
          </w:tcPr>
          <w:p w14:paraId="64367D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附件2</w:t>
            </w:r>
          </w:p>
        </w:tc>
        <w:tc>
          <w:tcPr>
            <w:tcW w:w="3055" w:type="dxa"/>
            <w:vAlign w:val="center"/>
          </w:tcPr>
          <w:p w14:paraId="75F4A11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造价咨询服务单位考核表</w:t>
            </w:r>
          </w:p>
        </w:tc>
        <w:tc>
          <w:tcPr>
            <w:tcW w:w="1346" w:type="dxa"/>
            <w:vAlign w:val="center"/>
          </w:tcPr>
          <w:p w14:paraId="06240C2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7CEDBA7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0965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C1D52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p>
        </w:tc>
        <w:tc>
          <w:tcPr>
            <w:tcW w:w="1425" w:type="dxa"/>
            <w:vAlign w:val="center"/>
          </w:tcPr>
          <w:p w14:paraId="05A6F57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附件4</w:t>
            </w:r>
          </w:p>
        </w:tc>
        <w:tc>
          <w:tcPr>
            <w:tcW w:w="3055" w:type="dxa"/>
            <w:vAlign w:val="center"/>
          </w:tcPr>
          <w:p w14:paraId="20C62B2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廉洁协议书</w:t>
            </w:r>
          </w:p>
        </w:tc>
        <w:tc>
          <w:tcPr>
            <w:tcW w:w="1346" w:type="dxa"/>
            <w:vAlign w:val="center"/>
          </w:tcPr>
          <w:p w14:paraId="06E8D6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53A1471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6DF1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7DA4B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p>
        </w:tc>
        <w:tc>
          <w:tcPr>
            <w:tcW w:w="1425" w:type="dxa"/>
            <w:vAlign w:val="center"/>
          </w:tcPr>
          <w:p w14:paraId="1DE7150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一</w:t>
            </w:r>
          </w:p>
        </w:tc>
        <w:tc>
          <w:tcPr>
            <w:tcW w:w="3055" w:type="dxa"/>
            <w:vAlign w:val="center"/>
          </w:tcPr>
          <w:p w14:paraId="579A0F1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不可撤销银行履约保函格式</w:t>
            </w:r>
          </w:p>
        </w:tc>
        <w:tc>
          <w:tcPr>
            <w:tcW w:w="1346" w:type="dxa"/>
            <w:vAlign w:val="center"/>
          </w:tcPr>
          <w:p w14:paraId="0ABC02C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37D768D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1A95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B8D92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6</w:t>
            </w:r>
          </w:p>
        </w:tc>
        <w:tc>
          <w:tcPr>
            <w:tcW w:w="1425" w:type="dxa"/>
            <w:vAlign w:val="center"/>
          </w:tcPr>
          <w:p w14:paraId="18C2CC4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SA"/>
              </w:rPr>
              <w:t>二</w:t>
            </w:r>
          </w:p>
        </w:tc>
        <w:tc>
          <w:tcPr>
            <w:tcW w:w="3055" w:type="dxa"/>
            <w:vAlign w:val="center"/>
          </w:tcPr>
          <w:p w14:paraId="2C8C57E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rPr>
              <w:t>履约保证保险凭证格式</w:t>
            </w:r>
          </w:p>
        </w:tc>
        <w:tc>
          <w:tcPr>
            <w:tcW w:w="1346" w:type="dxa"/>
            <w:vAlign w:val="center"/>
          </w:tcPr>
          <w:p w14:paraId="583AF69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045DA79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14:paraId="090E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C9CDC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7</w:t>
            </w:r>
          </w:p>
        </w:tc>
        <w:tc>
          <w:tcPr>
            <w:tcW w:w="1425" w:type="dxa"/>
            <w:vAlign w:val="center"/>
          </w:tcPr>
          <w:p w14:paraId="02128F5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rPr>
              <w:t>三</w:t>
            </w:r>
          </w:p>
        </w:tc>
        <w:tc>
          <w:tcPr>
            <w:tcW w:w="3055" w:type="dxa"/>
            <w:vAlign w:val="center"/>
          </w:tcPr>
          <w:p w14:paraId="0FD5DE5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担保公司履约担保书格式</w:t>
            </w:r>
          </w:p>
        </w:tc>
        <w:tc>
          <w:tcPr>
            <w:tcW w:w="1346" w:type="dxa"/>
            <w:vAlign w:val="center"/>
          </w:tcPr>
          <w:p w14:paraId="163FAD4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2622AD0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bl>
    <w:p w14:paraId="267CB1C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E5584CE">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BB6924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7546CF5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548B7EC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4F7B885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0937ECB9">
      <w:pPr>
        <w:spacing w:line="360" w:lineRule="auto"/>
        <w:ind w:left="357" w:leftChars="-100" w:hanging="567" w:hangingChars="270"/>
        <w:rPr>
          <w:rFonts w:ascii="宋体" w:hAnsi="宋体" w:eastAsia="宋体" w:cs="宋体"/>
          <w:color w:val="auto"/>
          <w:szCs w:val="21"/>
          <w:highlight w:val="none"/>
        </w:rPr>
      </w:pPr>
    </w:p>
    <w:p w14:paraId="62330164">
      <w:pPr>
        <w:spacing w:line="360" w:lineRule="auto"/>
        <w:ind w:left="357" w:leftChars="-100" w:hanging="567" w:hangingChars="270"/>
        <w:rPr>
          <w:rFonts w:ascii="宋体" w:hAnsi="宋体" w:eastAsia="宋体" w:cs="宋体"/>
          <w:color w:val="auto"/>
          <w:szCs w:val="21"/>
          <w:highlight w:val="none"/>
        </w:rPr>
      </w:pPr>
    </w:p>
    <w:p w14:paraId="3B559676">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204E4E99">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63E21B4">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D4D0D32">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C9203FD">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17F0E6F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63" w:name="_Toc31371"/>
      <w:bookmarkStart w:id="664" w:name="_Toc140596937"/>
      <w:bookmarkStart w:id="665" w:name="_Toc5473"/>
      <w:bookmarkStart w:id="666" w:name="_Toc29505"/>
      <w:bookmarkStart w:id="667" w:name="_Toc94107218"/>
      <w:bookmarkStart w:id="668" w:name="_Toc102860426"/>
      <w:bookmarkStart w:id="669" w:name="_Toc13179"/>
      <w:bookmarkStart w:id="670" w:name="_Toc6740"/>
      <w:bookmarkStart w:id="671" w:name="_Toc104991884"/>
      <w:bookmarkStart w:id="672" w:name="_Toc142508377"/>
      <w:bookmarkStart w:id="673" w:name="_Toc195714391"/>
      <w:bookmarkStart w:id="674" w:name="_Toc102860082"/>
      <w:bookmarkStart w:id="675" w:name="_Toc27005"/>
      <w:bookmarkStart w:id="676" w:name="_Toc6230"/>
      <w:bookmarkStart w:id="677" w:name="_Toc27980_WPSOffice_Level2"/>
      <w:bookmarkStart w:id="678" w:name="_Toc486167717"/>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rPr>
        <w:t>、业绩表格式</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F008747">
      <w:pPr>
        <w:autoSpaceDE w:val="0"/>
        <w:autoSpaceDN w:val="0"/>
        <w:adjustRightInd w:val="0"/>
        <w:spacing w:line="360" w:lineRule="auto"/>
        <w:jc w:val="both"/>
        <w:outlineLvl w:val="3"/>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8.1 工程造价咨询业绩</w:t>
      </w:r>
    </w:p>
    <w:p w14:paraId="2D66C7EF">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202</w:t>
      </w: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zh-CN"/>
        </w:rPr>
        <w:t>年、202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lang w:val="zh-CN"/>
        </w:rPr>
        <w:t>年、202</w:t>
      </w:r>
      <w:r>
        <w:rPr>
          <w:rFonts w:hint="eastAsia" w:ascii="宋体" w:hAnsi="宋体" w:eastAsia="宋体" w:cs="宋体"/>
          <w:b/>
          <w:bCs/>
          <w:color w:val="auto"/>
          <w:sz w:val="30"/>
          <w:szCs w:val="30"/>
          <w:highlight w:val="none"/>
          <w:lang w:val="en-US" w:eastAsia="zh-CN"/>
        </w:rPr>
        <w:t>4</w:t>
      </w:r>
      <w:r>
        <w:rPr>
          <w:rFonts w:hint="eastAsia" w:ascii="宋体" w:hAnsi="宋体" w:eastAsia="宋体" w:cs="宋体"/>
          <w:b/>
          <w:bCs/>
          <w:color w:val="auto"/>
          <w:sz w:val="30"/>
          <w:szCs w:val="30"/>
          <w:highlight w:val="none"/>
          <w:lang w:val="zh-CN"/>
        </w:rPr>
        <w:t>年各年</w:t>
      </w:r>
      <w:r>
        <w:rPr>
          <w:rFonts w:hint="eastAsia" w:ascii="宋体" w:hAnsi="宋体" w:eastAsia="宋体" w:cs="宋体"/>
          <w:b/>
          <w:bCs/>
          <w:color w:val="auto"/>
          <w:sz w:val="30"/>
          <w:szCs w:val="30"/>
          <w:highlight w:val="none"/>
          <w:lang w:val="en-US" w:eastAsia="zh-CN"/>
        </w:rPr>
        <w:t>度</w:t>
      </w:r>
      <w:r>
        <w:rPr>
          <w:rFonts w:hint="eastAsia" w:ascii="宋体" w:hAnsi="宋体" w:eastAsia="宋体" w:cs="宋体"/>
          <w:b/>
          <w:bCs/>
          <w:color w:val="auto"/>
          <w:sz w:val="30"/>
          <w:szCs w:val="30"/>
          <w:highlight w:val="none"/>
          <w:lang w:val="zh-CN"/>
        </w:rPr>
        <w:t>承接的概、预(或招标控制价)、结算编制和审核业绩</w:t>
      </w: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8"/>
        <w:gridCol w:w="2242"/>
        <w:gridCol w:w="1531"/>
        <w:gridCol w:w="2209"/>
        <w:gridCol w:w="1249"/>
        <w:gridCol w:w="1039"/>
        <w:gridCol w:w="1412"/>
      </w:tblGrid>
      <w:tr w14:paraId="1190F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5C3C88F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序号</w:t>
            </w:r>
          </w:p>
        </w:tc>
        <w:tc>
          <w:tcPr>
            <w:tcW w:w="1081" w:type="pct"/>
            <w:tcBorders>
              <w:top w:val="single" w:color="auto" w:sz="4" w:space="0"/>
              <w:left w:val="single" w:color="auto" w:sz="4" w:space="0"/>
              <w:bottom w:val="single" w:color="auto" w:sz="4" w:space="0"/>
              <w:right w:val="single" w:color="auto" w:sz="4" w:space="0"/>
            </w:tcBorders>
            <w:vAlign w:val="center"/>
          </w:tcPr>
          <w:p w14:paraId="53E2E5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项目名称</w:t>
            </w:r>
          </w:p>
        </w:tc>
        <w:tc>
          <w:tcPr>
            <w:tcW w:w="738" w:type="pct"/>
            <w:tcBorders>
              <w:top w:val="single" w:color="auto" w:sz="4" w:space="0"/>
              <w:left w:val="single" w:color="auto" w:sz="4" w:space="0"/>
              <w:bottom w:val="single" w:color="auto" w:sz="4" w:space="0"/>
              <w:right w:val="single" w:color="auto" w:sz="4" w:space="0"/>
            </w:tcBorders>
            <w:vAlign w:val="center"/>
          </w:tcPr>
          <w:p w14:paraId="7C3586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业主方名称</w:t>
            </w:r>
          </w:p>
        </w:tc>
        <w:tc>
          <w:tcPr>
            <w:tcW w:w="1065" w:type="pct"/>
            <w:tcBorders>
              <w:top w:val="single" w:color="auto" w:sz="4" w:space="0"/>
              <w:left w:val="single" w:color="auto" w:sz="4" w:space="0"/>
              <w:bottom w:val="single" w:color="auto" w:sz="4" w:space="0"/>
              <w:right w:val="single" w:color="auto" w:sz="4" w:space="0"/>
            </w:tcBorders>
            <w:vAlign w:val="center"/>
          </w:tcPr>
          <w:p w14:paraId="59438C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合同类型</w:t>
            </w:r>
          </w:p>
          <w:p w14:paraId="145A84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概/预</w:t>
            </w:r>
            <w:r>
              <w:rPr>
                <w:rFonts w:hint="eastAsia" w:ascii="宋体" w:hAnsi="宋体" w:eastAsia="宋体" w:cs="宋体"/>
                <w:color w:val="auto"/>
                <w:sz w:val="21"/>
                <w:szCs w:val="21"/>
                <w:highlight w:val="none"/>
                <w:lang w:val="zh-CN"/>
              </w:rPr>
              <w:t>(或招标控制价)</w:t>
            </w:r>
            <w:r>
              <w:rPr>
                <w:rFonts w:hint="eastAsia" w:ascii="宋体" w:hAnsi="宋体" w:eastAsia="宋体" w:cs="宋体"/>
                <w:color w:val="auto"/>
                <w:sz w:val="21"/>
                <w:szCs w:val="21"/>
                <w:highlight w:val="none"/>
              </w:rPr>
              <w:t>/结算</w:t>
            </w:r>
            <w:r>
              <w:rPr>
                <w:rFonts w:hint="eastAsia" w:ascii="宋体" w:hAnsi="宋体" w:eastAsia="宋体" w:cs="宋体"/>
                <w:b w:val="0"/>
                <w:bCs w:val="0"/>
                <w:color w:val="auto"/>
                <w:sz w:val="21"/>
                <w:szCs w:val="21"/>
                <w:highlight w:val="none"/>
                <w:lang w:val="zh-CN"/>
              </w:rPr>
              <w:t>编制</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zh-CN"/>
              </w:rPr>
              <w:t>审核</w:t>
            </w:r>
            <w:r>
              <w:rPr>
                <w:rFonts w:hint="eastAsia" w:ascii="宋体" w:hAnsi="宋体" w:eastAsia="宋体" w:cs="宋体"/>
                <w:color w:val="auto"/>
                <w:sz w:val="21"/>
                <w:szCs w:val="21"/>
                <w:highlight w:val="none"/>
                <w:lang w:eastAsia="zh-CN"/>
              </w:rPr>
              <w:t>】</w:t>
            </w:r>
          </w:p>
        </w:tc>
        <w:tc>
          <w:tcPr>
            <w:tcW w:w="602" w:type="pct"/>
            <w:tcBorders>
              <w:top w:val="single" w:color="auto" w:sz="4" w:space="0"/>
              <w:left w:val="single" w:color="auto" w:sz="4" w:space="0"/>
              <w:bottom w:val="single" w:color="auto" w:sz="4" w:space="0"/>
              <w:right w:val="single" w:color="auto" w:sz="4" w:space="0"/>
            </w:tcBorders>
            <w:vAlign w:val="center"/>
          </w:tcPr>
          <w:p w14:paraId="125570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501" w:type="pct"/>
            <w:tcBorders>
              <w:top w:val="single" w:color="auto" w:sz="4" w:space="0"/>
              <w:left w:val="single" w:color="auto" w:sz="4" w:space="0"/>
              <w:bottom w:val="single" w:color="auto" w:sz="4" w:space="0"/>
              <w:right w:val="single" w:color="auto" w:sz="4" w:space="0"/>
            </w:tcBorders>
            <w:vAlign w:val="center"/>
          </w:tcPr>
          <w:p w14:paraId="3551BE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lang w:val="zh-CN"/>
              </w:rPr>
              <w:t>完成情况</w:t>
            </w:r>
          </w:p>
        </w:tc>
        <w:tc>
          <w:tcPr>
            <w:tcW w:w="678" w:type="pct"/>
            <w:tcBorders>
              <w:top w:val="single" w:color="auto" w:sz="4" w:space="0"/>
              <w:left w:val="single" w:color="auto" w:sz="4" w:space="0"/>
              <w:bottom w:val="single" w:color="auto" w:sz="4" w:space="0"/>
              <w:right w:val="single" w:color="auto" w:sz="4" w:space="0"/>
            </w:tcBorders>
            <w:vAlign w:val="center"/>
          </w:tcPr>
          <w:p w14:paraId="28BFBC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业主</w:t>
            </w:r>
            <w:r>
              <w:rPr>
                <w:rFonts w:hint="eastAsia" w:ascii="宋体" w:hAnsi="宋体" w:eastAsia="宋体" w:cs="宋体"/>
                <w:color w:val="auto"/>
                <w:kern w:val="2"/>
                <w:sz w:val="21"/>
                <w:szCs w:val="21"/>
                <w:highlight w:val="none"/>
                <w:lang w:val="zh-CN"/>
              </w:rPr>
              <w:t>电话及联系人</w:t>
            </w:r>
          </w:p>
        </w:tc>
      </w:tr>
      <w:tr w14:paraId="2557F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03B58013">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一、202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年概、预</w:t>
            </w:r>
            <w:r>
              <w:rPr>
                <w:rFonts w:hint="eastAsia" w:ascii="宋体" w:hAnsi="宋体" w:eastAsia="宋体" w:cs="宋体"/>
                <w:b/>
                <w:bCs/>
                <w:color w:val="auto"/>
                <w:sz w:val="21"/>
                <w:szCs w:val="21"/>
                <w:highlight w:val="none"/>
                <w:lang w:val="zh-CN"/>
              </w:rPr>
              <w:t>(或招标控制价)</w:t>
            </w:r>
            <w:r>
              <w:rPr>
                <w:rFonts w:hint="eastAsia" w:ascii="宋体" w:hAnsi="宋体" w:eastAsia="宋体" w:cs="宋体"/>
                <w:b/>
                <w:bCs/>
                <w:color w:val="auto"/>
                <w:sz w:val="21"/>
                <w:szCs w:val="21"/>
                <w:highlight w:val="none"/>
              </w:rPr>
              <w:t>、结算</w:t>
            </w:r>
            <w:r>
              <w:rPr>
                <w:rFonts w:hint="eastAsia" w:ascii="宋体" w:hAnsi="宋体" w:eastAsia="宋体" w:cs="宋体"/>
                <w:b/>
                <w:bCs/>
                <w:color w:val="auto"/>
                <w:szCs w:val="21"/>
                <w:highlight w:val="none"/>
              </w:rPr>
              <w:t>编制</w:t>
            </w:r>
            <w:r>
              <w:rPr>
                <w:rFonts w:hint="eastAsia" w:ascii="宋体" w:hAnsi="宋体" w:eastAsia="宋体" w:cs="宋体"/>
                <w:b/>
                <w:bCs/>
                <w:color w:val="auto"/>
                <w:szCs w:val="21"/>
                <w:highlight w:val="none"/>
                <w:lang w:eastAsia="zh-CN"/>
              </w:rPr>
              <w:t>和</w:t>
            </w:r>
            <w:r>
              <w:rPr>
                <w:rFonts w:hint="eastAsia" w:ascii="宋体" w:hAnsi="宋体" w:eastAsia="宋体" w:cs="宋体"/>
                <w:b/>
                <w:bCs/>
                <w:color w:val="auto"/>
                <w:szCs w:val="21"/>
                <w:highlight w:val="none"/>
              </w:rPr>
              <w:t>审核</w:t>
            </w:r>
            <w:r>
              <w:rPr>
                <w:rFonts w:hint="eastAsia" w:ascii="宋体" w:hAnsi="宋体" w:eastAsia="宋体" w:cs="宋体"/>
                <w:b/>
                <w:bCs/>
                <w:color w:val="auto"/>
                <w:sz w:val="21"/>
                <w:szCs w:val="21"/>
                <w:highlight w:val="none"/>
              </w:rPr>
              <w:t>业绩</w:t>
            </w:r>
          </w:p>
        </w:tc>
      </w:tr>
      <w:tr w14:paraId="25140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298F6D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1" w:type="pct"/>
            <w:tcBorders>
              <w:top w:val="single" w:color="auto" w:sz="4" w:space="0"/>
              <w:left w:val="single" w:color="auto" w:sz="4" w:space="0"/>
              <w:bottom w:val="single" w:color="auto" w:sz="4" w:space="0"/>
              <w:right w:val="single" w:color="auto" w:sz="4" w:space="0"/>
            </w:tcBorders>
            <w:vAlign w:val="center"/>
          </w:tcPr>
          <w:p w14:paraId="6050596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705ADD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475FF4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397459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080F83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29154A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200B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317D8F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81" w:type="pct"/>
            <w:tcBorders>
              <w:top w:val="single" w:color="auto" w:sz="4" w:space="0"/>
              <w:left w:val="single" w:color="auto" w:sz="4" w:space="0"/>
              <w:bottom w:val="single" w:color="auto" w:sz="4" w:space="0"/>
              <w:right w:val="single" w:color="auto" w:sz="4" w:space="0"/>
            </w:tcBorders>
            <w:vAlign w:val="center"/>
          </w:tcPr>
          <w:p w14:paraId="488AA9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258772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7896A1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0B3F81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48289B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00537F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421D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5DEF498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81" w:type="pct"/>
            <w:tcBorders>
              <w:top w:val="single" w:color="auto" w:sz="4" w:space="0"/>
              <w:left w:val="single" w:color="auto" w:sz="4" w:space="0"/>
              <w:bottom w:val="single" w:color="auto" w:sz="4" w:space="0"/>
              <w:right w:val="single" w:color="auto" w:sz="4" w:space="0"/>
            </w:tcBorders>
            <w:vAlign w:val="center"/>
          </w:tcPr>
          <w:p w14:paraId="688C3B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1A3C85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4FA86E1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01EC87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BA0CC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46601E9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1454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38AC0C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1" w:type="pct"/>
            <w:tcBorders>
              <w:top w:val="single" w:color="auto" w:sz="4" w:space="0"/>
              <w:left w:val="single" w:color="auto" w:sz="4" w:space="0"/>
              <w:bottom w:val="single" w:color="auto" w:sz="4" w:space="0"/>
              <w:right w:val="single" w:color="auto" w:sz="4" w:space="0"/>
            </w:tcBorders>
            <w:vAlign w:val="center"/>
          </w:tcPr>
          <w:p w14:paraId="761B33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3403F0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393A03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6AF2EE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ACC36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396AFA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32FA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5D72B3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二、202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年概、预</w:t>
            </w:r>
            <w:r>
              <w:rPr>
                <w:rFonts w:hint="eastAsia" w:ascii="宋体" w:hAnsi="宋体" w:eastAsia="宋体" w:cs="宋体"/>
                <w:b/>
                <w:bCs/>
                <w:color w:val="auto"/>
                <w:sz w:val="21"/>
                <w:szCs w:val="21"/>
                <w:highlight w:val="none"/>
                <w:lang w:val="zh-CN"/>
              </w:rPr>
              <w:t>(或招标控制价)</w:t>
            </w:r>
            <w:r>
              <w:rPr>
                <w:rFonts w:hint="eastAsia" w:ascii="宋体" w:hAnsi="宋体" w:eastAsia="宋体" w:cs="宋体"/>
                <w:b/>
                <w:bCs/>
                <w:color w:val="auto"/>
                <w:sz w:val="21"/>
                <w:szCs w:val="21"/>
                <w:highlight w:val="none"/>
              </w:rPr>
              <w:t>、结算</w:t>
            </w:r>
            <w:r>
              <w:rPr>
                <w:rFonts w:hint="eastAsia" w:ascii="宋体" w:hAnsi="宋体" w:eastAsia="宋体" w:cs="宋体"/>
                <w:b/>
                <w:bCs/>
                <w:color w:val="auto"/>
                <w:szCs w:val="21"/>
                <w:highlight w:val="none"/>
              </w:rPr>
              <w:t>编制</w:t>
            </w:r>
            <w:r>
              <w:rPr>
                <w:rFonts w:hint="eastAsia" w:ascii="宋体" w:hAnsi="宋体" w:eastAsia="宋体" w:cs="宋体"/>
                <w:b/>
                <w:bCs/>
                <w:color w:val="auto"/>
                <w:szCs w:val="21"/>
                <w:highlight w:val="none"/>
                <w:lang w:eastAsia="zh-CN"/>
              </w:rPr>
              <w:t>和</w:t>
            </w:r>
            <w:r>
              <w:rPr>
                <w:rFonts w:hint="eastAsia" w:ascii="宋体" w:hAnsi="宋体" w:eastAsia="宋体" w:cs="宋体"/>
                <w:b/>
                <w:bCs/>
                <w:color w:val="auto"/>
                <w:szCs w:val="21"/>
                <w:highlight w:val="none"/>
              </w:rPr>
              <w:t>审核</w:t>
            </w:r>
            <w:r>
              <w:rPr>
                <w:rFonts w:hint="eastAsia" w:ascii="宋体" w:hAnsi="宋体" w:eastAsia="宋体" w:cs="宋体"/>
                <w:b/>
                <w:bCs/>
                <w:color w:val="auto"/>
                <w:sz w:val="21"/>
                <w:szCs w:val="21"/>
                <w:highlight w:val="none"/>
              </w:rPr>
              <w:t>业绩</w:t>
            </w:r>
          </w:p>
        </w:tc>
      </w:tr>
      <w:tr w14:paraId="62534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26573AD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081" w:type="pct"/>
            <w:tcBorders>
              <w:top w:val="single" w:color="auto" w:sz="4" w:space="0"/>
              <w:left w:val="single" w:color="auto" w:sz="4" w:space="0"/>
              <w:bottom w:val="single" w:color="auto" w:sz="4" w:space="0"/>
              <w:right w:val="single" w:color="auto" w:sz="4" w:space="0"/>
            </w:tcBorders>
            <w:vAlign w:val="center"/>
          </w:tcPr>
          <w:p w14:paraId="25FC61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222007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013F9E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1948F89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EBF4D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FB38E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09C9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1277B6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081" w:type="pct"/>
            <w:tcBorders>
              <w:top w:val="single" w:color="auto" w:sz="4" w:space="0"/>
              <w:left w:val="single" w:color="auto" w:sz="4" w:space="0"/>
              <w:bottom w:val="single" w:color="auto" w:sz="4" w:space="0"/>
              <w:right w:val="single" w:color="auto" w:sz="4" w:space="0"/>
            </w:tcBorders>
            <w:vAlign w:val="center"/>
          </w:tcPr>
          <w:p w14:paraId="3F4A27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1CD001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125AE6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656762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9D631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1092C2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BE50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560CC3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081" w:type="pct"/>
            <w:tcBorders>
              <w:top w:val="single" w:color="auto" w:sz="4" w:space="0"/>
              <w:left w:val="single" w:color="auto" w:sz="4" w:space="0"/>
              <w:bottom w:val="single" w:color="auto" w:sz="4" w:space="0"/>
              <w:right w:val="single" w:color="auto" w:sz="4" w:space="0"/>
            </w:tcBorders>
            <w:vAlign w:val="center"/>
          </w:tcPr>
          <w:p w14:paraId="4D32B9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0CE08F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5D6F379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65B3F8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70CC56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6DB5F3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D137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02A5281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1" w:type="pct"/>
            <w:tcBorders>
              <w:top w:val="single" w:color="auto" w:sz="4" w:space="0"/>
              <w:left w:val="single" w:color="auto" w:sz="4" w:space="0"/>
              <w:bottom w:val="single" w:color="auto" w:sz="4" w:space="0"/>
              <w:right w:val="single" w:color="auto" w:sz="4" w:space="0"/>
            </w:tcBorders>
            <w:vAlign w:val="center"/>
          </w:tcPr>
          <w:p w14:paraId="417A09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1247D4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0B6498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0AE887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7816299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4251EA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C62F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7D6EF2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年概、预</w:t>
            </w:r>
            <w:r>
              <w:rPr>
                <w:rFonts w:hint="eastAsia" w:ascii="宋体" w:hAnsi="宋体" w:eastAsia="宋体" w:cs="宋体"/>
                <w:b/>
                <w:bCs/>
                <w:color w:val="auto"/>
                <w:sz w:val="21"/>
                <w:szCs w:val="21"/>
                <w:highlight w:val="none"/>
                <w:lang w:val="zh-CN"/>
              </w:rPr>
              <w:t>(或招标控制价)</w:t>
            </w:r>
            <w:r>
              <w:rPr>
                <w:rFonts w:hint="eastAsia" w:ascii="宋体" w:hAnsi="宋体" w:eastAsia="宋体" w:cs="宋体"/>
                <w:b/>
                <w:bCs/>
                <w:color w:val="auto"/>
                <w:sz w:val="21"/>
                <w:szCs w:val="21"/>
                <w:highlight w:val="none"/>
              </w:rPr>
              <w:t>、结算</w:t>
            </w:r>
            <w:r>
              <w:rPr>
                <w:rFonts w:hint="eastAsia" w:ascii="宋体" w:hAnsi="宋体" w:eastAsia="宋体" w:cs="宋体"/>
                <w:b/>
                <w:bCs/>
                <w:color w:val="auto"/>
                <w:szCs w:val="21"/>
                <w:highlight w:val="none"/>
              </w:rPr>
              <w:t>编制</w:t>
            </w:r>
            <w:r>
              <w:rPr>
                <w:rFonts w:hint="eastAsia" w:ascii="宋体" w:hAnsi="宋体" w:eastAsia="宋体" w:cs="宋体"/>
                <w:b/>
                <w:bCs/>
                <w:color w:val="auto"/>
                <w:szCs w:val="21"/>
                <w:highlight w:val="none"/>
                <w:lang w:eastAsia="zh-CN"/>
              </w:rPr>
              <w:t>和</w:t>
            </w:r>
            <w:r>
              <w:rPr>
                <w:rFonts w:hint="eastAsia" w:ascii="宋体" w:hAnsi="宋体" w:eastAsia="宋体" w:cs="宋体"/>
                <w:b/>
                <w:bCs/>
                <w:color w:val="auto"/>
                <w:szCs w:val="21"/>
                <w:highlight w:val="none"/>
              </w:rPr>
              <w:t>审核</w:t>
            </w:r>
            <w:r>
              <w:rPr>
                <w:rFonts w:hint="eastAsia" w:ascii="宋体" w:hAnsi="宋体" w:eastAsia="宋体" w:cs="宋体"/>
                <w:b/>
                <w:bCs/>
                <w:color w:val="auto"/>
                <w:sz w:val="21"/>
                <w:szCs w:val="21"/>
                <w:highlight w:val="none"/>
              </w:rPr>
              <w:t>业绩</w:t>
            </w:r>
          </w:p>
        </w:tc>
      </w:tr>
      <w:tr w14:paraId="1F614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0DED8CA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081" w:type="pct"/>
            <w:tcBorders>
              <w:top w:val="single" w:color="auto" w:sz="4" w:space="0"/>
              <w:left w:val="single" w:color="auto" w:sz="4" w:space="0"/>
              <w:bottom w:val="single" w:color="auto" w:sz="4" w:space="0"/>
              <w:right w:val="single" w:color="auto" w:sz="4" w:space="0"/>
            </w:tcBorders>
            <w:vAlign w:val="center"/>
          </w:tcPr>
          <w:p w14:paraId="03A9489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09528A2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700F119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70E085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0465D6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244F9C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7F7D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6DB904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081" w:type="pct"/>
            <w:tcBorders>
              <w:top w:val="single" w:color="auto" w:sz="4" w:space="0"/>
              <w:left w:val="single" w:color="auto" w:sz="4" w:space="0"/>
              <w:bottom w:val="single" w:color="auto" w:sz="4" w:space="0"/>
              <w:right w:val="single" w:color="auto" w:sz="4" w:space="0"/>
            </w:tcBorders>
            <w:vAlign w:val="center"/>
          </w:tcPr>
          <w:p w14:paraId="637308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0E015A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585745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3E9D4A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7C6E07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81C60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62F7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2745EF2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081" w:type="pct"/>
            <w:tcBorders>
              <w:top w:val="single" w:color="auto" w:sz="4" w:space="0"/>
              <w:left w:val="single" w:color="auto" w:sz="4" w:space="0"/>
              <w:bottom w:val="single" w:color="auto" w:sz="4" w:space="0"/>
              <w:right w:val="single" w:color="auto" w:sz="4" w:space="0"/>
            </w:tcBorders>
            <w:vAlign w:val="center"/>
          </w:tcPr>
          <w:p w14:paraId="4136A0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530A06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0B11CE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696234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2A7A4E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1E67A1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4B00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70E3F9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1" w:type="pct"/>
            <w:tcBorders>
              <w:top w:val="single" w:color="auto" w:sz="4" w:space="0"/>
              <w:left w:val="single" w:color="auto" w:sz="4" w:space="0"/>
              <w:bottom w:val="single" w:color="auto" w:sz="4" w:space="0"/>
              <w:right w:val="single" w:color="auto" w:sz="4" w:space="0"/>
            </w:tcBorders>
            <w:vAlign w:val="center"/>
          </w:tcPr>
          <w:p w14:paraId="207BDE8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1B49A2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001B63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218AEA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9E976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14BA10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0A94395">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14:paraId="444BE4F0">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C33154E">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（1）同一个单项合同的业绩可以同时在资格业绩和评分业绩重复放置；</w:t>
      </w:r>
    </w:p>
    <w:p w14:paraId="75C8ADE8">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（2）业绩须附合同及项目的相关成果文件关键页</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color w:val="auto"/>
          <w:szCs w:val="24"/>
          <w:highlight w:val="none"/>
          <w:lang w:val="zh-CN"/>
        </w:rPr>
        <w:t>加盖投标人公章，否则不得分；</w:t>
      </w:r>
    </w:p>
    <w:p w14:paraId="4AB1658F">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w:t>
      </w:r>
      <w:r>
        <w:rPr>
          <w:rFonts w:hint="eastAsia" w:ascii="宋体" w:hAnsi="宋体" w:eastAsia="宋体" w:cs="宋体"/>
          <w:b/>
          <w:color w:val="auto"/>
          <w:szCs w:val="21"/>
          <w:highlight w:val="none"/>
          <w:lang w:val="en-US" w:eastAsia="zh-CN"/>
        </w:rPr>
        <w:t>若</w:t>
      </w:r>
      <w:r>
        <w:rPr>
          <w:rFonts w:hint="eastAsia" w:ascii="宋体" w:hAnsi="宋体" w:eastAsia="宋体" w:cs="宋体"/>
          <w:b/>
          <w:color w:val="auto"/>
          <w:sz w:val="21"/>
          <w:szCs w:val="21"/>
          <w:highlight w:val="none"/>
        </w:rPr>
        <w:t>合同等业绩证明材料</w:t>
      </w:r>
      <w:r>
        <w:rPr>
          <w:rFonts w:hint="eastAsia" w:ascii="宋体" w:hAnsi="宋体" w:eastAsia="宋体" w:cs="宋体"/>
          <w:b/>
          <w:color w:val="auto"/>
          <w:sz w:val="21"/>
          <w:szCs w:val="21"/>
          <w:highlight w:val="none"/>
          <w:lang w:val="en-US" w:eastAsia="zh-CN"/>
        </w:rPr>
        <w:t>无法</w:t>
      </w:r>
      <w:r>
        <w:rPr>
          <w:rFonts w:hint="eastAsia" w:ascii="宋体" w:hAnsi="宋体" w:eastAsia="宋体" w:cs="宋体"/>
          <w:b/>
          <w:color w:val="auto"/>
          <w:sz w:val="21"/>
          <w:szCs w:val="21"/>
          <w:highlight w:val="none"/>
        </w:rPr>
        <w:t>反映评分条件[合同签订日期为202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年1月1日或以后，合同标的必须为概</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预</w:t>
      </w:r>
      <w:r>
        <w:rPr>
          <w:rFonts w:hint="eastAsia" w:ascii="宋体" w:hAnsi="宋体" w:eastAsia="宋体" w:cs="宋体"/>
          <w:b/>
          <w:color w:val="auto"/>
          <w:sz w:val="21"/>
          <w:szCs w:val="21"/>
          <w:highlight w:val="none"/>
          <w:lang w:val="zh-CN"/>
        </w:rPr>
        <w:t>(或招标控制价)</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结算编制</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审核业绩]</w:t>
      </w:r>
      <w:r>
        <w:rPr>
          <w:rFonts w:hint="eastAsia" w:ascii="宋体" w:hAnsi="宋体" w:eastAsia="宋体" w:cs="宋体"/>
          <w:b/>
          <w:color w:val="auto"/>
          <w:sz w:val="21"/>
          <w:szCs w:val="21"/>
          <w:highlight w:val="none"/>
          <w:lang w:eastAsia="zh-CN"/>
        </w:rPr>
        <w:t>的</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还</w:t>
      </w:r>
      <w:r>
        <w:rPr>
          <w:rFonts w:hint="eastAsia" w:ascii="宋体" w:hAnsi="宋体" w:eastAsia="宋体" w:cs="宋体"/>
          <w:b/>
          <w:color w:val="auto"/>
          <w:sz w:val="21"/>
          <w:szCs w:val="21"/>
          <w:highlight w:val="none"/>
        </w:rPr>
        <w:t>需同时提供业主</w:t>
      </w:r>
      <w:r>
        <w:rPr>
          <w:rFonts w:hint="eastAsia" w:ascii="宋体" w:hAnsi="宋体" w:eastAsia="宋体" w:cs="宋体"/>
          <w:b/>
          <w:color w:val="auto"/>
          <w:sz w:val="21"/>
          <w:szCs w:val="21"/>
          <w:highlight w:val="none"/>
          <w:lang w:val="en-US" w:eastAsia="zh-CN"/>
        </w:rPr>
        <w:t>方</w:t>
      </w:r>
      <w:r>
        <w:rPr>
          <w:rFonts w:hint="eastAsia" w:ascii="宋体" w:hAnsi="宋体" w:eastAsia="宋体" w:cs="宋体"/>
          <w:b/>
          <w:color w:val="auto"/>
          <w:sz w:val="21"/>
          <w:szCs w:val="21"/>
          <w:highlight w:val="none"/>
        </w:rPr>
        <w:t>出具的书面补充情况说明文件</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shd w:val="clear" w:color="auto" w:fill="FFFFFF"/>
        </w:rPr>
        <w:t>补充情况说明文件</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bCs/>
          <w:color w:val="auto"/>
          <w:szCs w:val="21"/>
          <w:highlight w:val="none"/>
          <w:shd w:val="clear" w:color="auto" w:fill="FFFFFF"/>
        </w:rPr>
        <w:t>能显示</w:t>
      </w:r>
      <w:r>
        <w:rPr>
          <w:rFonts w:hint="eastAsia" w:ascii="宋体" w:hAnsi="宋体" w:eastAsia="宋体" w:cs="宋体"/>
          <w:b/>
          <w:bCs/>
          <w:color w:val="auto"/>
          <w:szCs w:val="21"/>
          <w:highlight w:val="none"/>
          <w:shd w:val="clear" w:color="auto" w:fill="FFFFFF"/>
          <w:lang w:val="en-US" w:eastAsia="zh-CN"/>
        </w:rPr>
        <w:t>业主</w:t>
      </w:r>
      <w:r>
        <w:rPr>
          <w:rFonts w:hint="eastAsia" w:ascii="宋体" w:hAnsi="宋体" w:eastAsia="宋体" w:cs="宋体"/>
          <w:b/>
          <w:bCs/>
          <w:color w:val="auto"/>
          <w:szCs w:val="21"/>
          <w:highlight w:val="none"/>
          <w:shd w:val="clear" w:color="auto" w:fill="FFFFFF"/>
        </w:rPr>
        <w:t>方公章</w:t>
      </w:r>
      <w:r>
        <w:rPr>
          <w:rFonts w:hint="eastAsia" w:ascii="宋体" w:hAnsi="宋体" w:eastAsia="宋体" w:cs="宋体"/>
          <w:b/>
          <w:color w:val="auto"/>
          <w:szCs w:val="21"/>
          <w:highlight w:val="none"/>
        </w:rPr>
        <w:t>），否则不得分</w:t>
      </w:r>
      <w:r>
        <w:rPr>
          <w:rFonts w:hint="eastAsia" w:ascii="宋体" w:hAnsi="宋体" w:eastAsia="宋体" w:cs="宋体"/>
          <w:color w:val="auto"/>
          <w:szCs w:val="24"/>
          <w:highlight w:val="none"/>
          <w:lang w:val="zh-CN"/>
        </w:rPr>
        <w:t>；</w:t>
      </w:r>
    </w:p>
    <w:p w14:paraId="2D37FF5E">
      <w:pPr>
        <w:pStyle w:val="138"/>
        <w:keepNext w:val="0"/>
        <w:keepLines w:val="0"/>
        <w:numPr>
          <w:ilvl w:val="0"/>
          <w:numId w:val="0"/>
        </w:numPr>
        <w:suppressLineNumbers w:val="0"/>
        <w:adjustRightInd/>
        <w:spacing w:before="0" w:beforeAutospacing="0" w:after="0" w:afterAutospacing="0" w:line="360" w:lineRule="auto"/>
        <w:ind w:left="436" w:leftChars="0" w:right="0" w:hanging="436" w:hangingChars="208"/>
        <w:jc w:val="both"/>
        <w:rPr>
          <w:rFonts w:hint="eastAsia" w:ascii="宋体" w:hAnsi="宋体" w:eastAsia="宋体" w:cs="宋体"/>
          <w:b/>
          <w:bCs/>
          <w:color w:val="auto"/>
          <w:sz w:val="21"/>
          <w:szCs w:val="21"/>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w:t>
      </w:r>
      <w:r>
        <w:rPr>
          <w:rFonts w:hint="eastAsia" w:ascii="宋体" w:hAnsi="宋体" w:eastAsia="宋体" w:cs="宋体"/>
          <w:b/>
          <w:bCs/>
          <w:color w:val="auto"/>
          <w:sz w:val="21"/>
          <w:szCs w:val="21"/>
          <w:highlight w:val="none"/>
          <w:lang w:val="zh-CN"/>
        </w:rPr>
        <w:t>若业绩合同为框架式协议或资格入围的，须同时提供</w:t>
      </w:r>
      <w:r>
        <w:rPr>
          <w:rFonts w:hint="eastAsia" w:ascii="宋体" w:hAnsi="宋体" w:eastAsia="宋体" w:cs="宋体"/>
          <w:b/>
          <w:bCs/>
          <w:color w:val="auto"/>
          <w:sz w:val="21"/>
          <w:szCs w:val="21"/>
          <w:highlight w:val="none"/>
          <w:lang w:val="en-US" w:eastAsia="zh-CN"/>
        </w:rPr>
        <w:t>框架协议合同（或资格入围合同）</w:t>
      </w:r>
      <w:r>
        <w:rPr>
          <w:rFonts w:hint="eastAsia" w:ascii="宋体" w:hAnsi="宋体" w:eastAsia="宋体" w:cs="宋体"/>
          <w:b/>
          <w:bCs/>
          <w:color w:val="auto"/>
          <w:sz w:val="21"/>
          <w:szCs w:val="21"/>
          <w:highlight w:val="none"/>
          <w:lang w:val="zh-CN"/>
        </w:rPr>
        <w:t>及合同期内对应的项目成果文件，按成果文件数量计算得分；</w:t>
      </w:r>
    </w:p>
    <w:p w14:paraId="15F58504">
      <w:pPr>
        <w:autoSpaceDE w:val="0"/>
        <w:autoSpaceDN w:val="0"/>
        <w:adjustRightInd w:val="0"/>
        <w:snapToGrid w:val="0"/>
        <w:spacing w:line="360" w:lineRule="auto"/>
        <w:ind w:left="422" w:leftChars="0" w:hanging="422" w:hangingChars="200"/>
        <w:jc w:val="left"/>
        <w:rPr>
          <w:rFonts w:hint="eastAsia" w:ascii="宋体" w:hAnsi="宋体" w:eastAsia="宋体" w:cs="宋体"/>
          <w:color w:val="auto"/>
          <w:szCs w:val="24"/>
          <w:highlight w:val="none"/>
          <w:lang w:val="zh-CN"/>
        </w:rPr>
      </w:pPr>
      <w:r>
        <w:rPr>
          <w:rFonts w:hint="eastAsia" w:ascii="宋体" w:hAnsi="宋体" w:eastAsia="宋体" w:cs="宋体"/>
          <w:b/>
          <w:bCs/>
          <w:color w:val="auto"/>
          <w:sz w:val="21"/>
          <w:szCs w:val="21"/>
          <w:highlight w:val="none"/>
          <w:lang w:val="en-US" w:eastAsia="zh-CN"/>
        </w:rPr>
        <w:t>（5）每年度至少须有10项造价咨询业绩【含概、预(或招标控制价)、结算</w:t>
      </w:r>
      <w:r>
        <w:rPr>
          <w:rFonts w:hint="eastAsia" w:ascii="宋体" w:hAnsi="宋体" w:eastAsia="宋体" w:cs="宋体"/>
          <w:b/>
          <w:bCs/>
          <w:color w:val="auto"/>
          <w:szCs w:val="21"/>
          <w:highlight w:val="none"/>
        </w:rPr>
        <w:t>编制</w:t>
      </w:r>
      <w:r>
        <w:rPr>
          <w:rFonts w:hint="eastAsia" w:ascii="宋体" w:hAnsi="宋体" w:eastAsia="宋体" w:cs="宋体"/>
          <w:b/>
          <w:bCs/>
          <w:color w:val="auto"/>
          <w:szCs w:val="21"/>
          <w:highlight w:val="none"/>
          <w:lang w:eastAsia="zh-CN"/>
        </w:rPr>
        <w:t>和</w:t>
      </w:r>
      <w:r>
        <w:rPr>
          <w:rFonts w:hint="eastAsia" w:ascii="宋体" w:hAnsi="宋体" w:eastAsia="宋体" w:cs="宋体"/>
          <w:b/>
          <w:bCs/>
          <w:color w:val="auto"/>
          <w:szCs w:val="21"/>
          <w:highlight w:val="none"/>
        </w:rPr>
        <w:t>审核</w:t>
      </w:r>
      <w:r>
        <w:rPr>
          <w:rFonts w:hint="eastAsia" w:ascii="宋体" w:hAnsi="宋体" w:eastAsia="宋体" w:cs="宋体"/>
          <w:b/>
          <w:bCs/>
          <w:color w:val="auto"/>
          <w:sz w:val="21"/>
          <w:szCs w:val="21"/>
          <w:highlight w:val="none"/>
          <w:lang w:val="en-US" w:eastAsia="zh-CN"/>
        </w:rPr>
        <w:t>业绩】是指：每一个年度内投标人业绩内容必须至少涵盖1个概算</w:t>
      </w:r>
      <w:r>
        <w:rPr>
          <w:rFonts w:hint="eastAsia" w:ascii="宋体" w:hAnsi="宋体" w:eastAsia="宋体" w:cs="宋体"/>
          <w:b/>
          <w:bCs/>
          <w:color w:val="auto"/>
          <w:szCs w:val="21"/>
          <w:highlight w:val="none"/>
        </w:rPr>
        <w:t>编制</w:t>
      </w:r>
      <w:r>
        <w:rPr>
          <w:rFonts w:hint="eastAsia" w:ascii="宋体" w:hAnsi="宋体" w:eastAsia="宋体" w:cs="宋体"/>
          <w:b/>
          <w:bCs/>
          <w:color w:val="auto"/>
          <w:szCs w:val="21"/>
          <w:highlight w:val="none"/>
          <w:lang w:eastAsia="zh-CN"/>
        </w:rPr>
        <w:t>和</w:t>
      </w:r>
      <w:r>
        <w:rPr>
          <w:rFonts w:hint="eastAsia" w:ascii="宋体" w:hAnsi="宋体" w:eastAsia="宋体" w:cs="宋体"/>
          <w:b/>
          <w:bCs/>
          <w:color w:val="auto"/>
          <w:szCs w:val="21"/>
          <w:highlight w:val="none"/>
        </w:rPr>
        <w:t>审核</w:t>
      </w:r>
      <w:r>
        <w:rPr>
          <w:rFonts w:hint="eastAsia" w:ascii="宋体" w:hAnsi="宋体" w:eastAsia="宋体" w:cs="宋体"/>
          <w:b/>
          <w:bCs/>
          <w:color w:val="auto"/>
          <w:sz w:val="21"/>
          <w:szCs w:val="21"/>
          <w:highlight w:val="none"/>
          <w:lang w:val="en-US" w:eastAsia="zh-CN"/>
        </w:rPr>
        <w:t>业绩、1个预算(或招标控制价)</w:t>
      </w:r>
      <w:r>
        <w:rPr>
          <w:rFonts w:hint="eastAsia" w:ascii="宋体" w:hAnsi="宋体" w:eastAsia="宋体" w:cs="宋体"/>
          <w:b/>
          <w:bCs/>
          <w:color w:val="auto"/>
          <w:szCs w:val="21"/>
          <w:highlight w:val="none"/>
        </w:rPr>
        <w:t>编制</w:t>
      </w:r>
      <w:r>
        <w:rPr>
          <w:rFonts w:hint="eastAsia" w:ascii="宋体" w:hAnsi="宋体" w:eastAsia="宋体" w:cs="宋体"/>
          <w:b/>
          <w:bCs/>
          <w:color w:val="auto"/>
          <w:szCs w:val="21"/>
          <w:highlight w:val="none"/>
          <w:lang w:eastAsia="zh-CN"/>
        </w:rPr>
        <w:t>和</w:t>
      </w:r>
      <w:r>
        <w:rPr>
          <w:rFonts w:hint="eastAsia" w:ascii="宋体" w:hAnsi="宋体" w:eastAsia="宋体" w:cs="宋体"/>
          <w:b/>
          <w:bCs/>
          <w:color w:val="auto"/>
          <w:szCs w:val="21"/>
          <w:highlight w:val="none"/>
        </w:rPr>
        <w:t>审核</w:t>
      </w:r>
      <w:r>
        <w:rPr>
          <w:rFonts w:hint="eastAsia" w:ascii="宋体" w:hAnsi="宋体" w:eastAsia="宋体" w:cs="宋体"/>
          <w:b/>
          <w:bCs/>
          <w:color w:val="auto"/>
          <w:sz w:val="21"/>
          <w:szCs w:val="21"/>
          <w:highlight w:val="none"/>
          <w:lang w:val="en-US" w:eastAsia="zh-CN"/>
        </w:rPr>
        <w:t>业绩、1个结算</w:t>
      </w:r>
      <w:r>
        <w:rPr>
          <w:rFonts w:hint="eastAsia" w:ascii="宋体" w:hAnsi="宋体" w:eastAsia="宋体" w:cs="宋体"/>
          <w:b/>
          <w:bCs/>
          <w:color w:val="auto"/>
          <w:szCs w:val="21"/>
          <w:highlight w:val="none"/>
        </w:rPr>
        <w:t>编制</w:t>
      </w:r>
      <w:r>
        <w:rPr>
          <w:rFonts w:hint="eastAsia" w:ascii="宋体" w:hAnsi="宋体" w:eastAsia="宋体" w:cs="宋体"/>
          <w:b/>
          <w:bCs/>
          <w:color w:val="auto"/>
          <w:szCs w:val="21"/>
          <w:highlight w:val="none"/>
          <w:lang w:eastAsia="zh-CN"/>
        </w:rPr>
        <w:t>和</w:t>
      </w:r>
      <w:r>
        <w:rPr>
          <w:rFonts w:hint="eastAsia" w:ascii="宋体" w:hAnsi="宋体" w:eastAsia="宋体" w:cs="宋体"/>
          <w:b/>
          <w:bCs/>
          <w:color w:val="auto"/>
          <w:szCs w:val="21"/>
          <w:highlight w:val="none"/>
        </w:rPr>
        <w:t>审核</w:t>
      </w:r>
      <w:r>
        <w:rPr>
          <w:rFonts w:hint="eastAsia" w:ascii="宋体" w:hAnsi="宋体" w:eastAsia="宋体" w:cs="宋体"/>
          <w:b/>
          <w:bCs/>
          <w:color w:val="auto"/>
          <w:sz w:val="21"/>
          <w:szCs w:val="21"/>
          <w:highlight w:val="none"/>
          <w:lang w:val="en-US" w:eastAsia="zh-CN"/>
        </w:rPr>
        <w:t>业绩，且三者总和达10项（含10项），而非三者分别需10项业绩。若一份合同中同时包括概、预(或招标控制价)、结算</w:t>
      </w:r>
      <w:r>
        <w:rPr>
          <w:rFonts w:hint="eastAsia" w:ascii="宋体" w:hAnsi="宋体" w:eastAsia="宋体" w:cs="宋体"/>
          <w:b/>
          <w:bCs/>
          <w:color w:val="auto"/>
          <w:szCs w:val="21"/>
          <w:highlight w:val="none"/>
        </w:rPr>
        <w:t>编制</w:t>
      </w:r>
      <w:r>
        <w:rPr>
          <w:rFonts w:hint="eastAsia" w:ascii="宋体" w:hAnsi="宋体" w:eastAsia="宋体" w:cs="宋体"/>
          <w:b/>
          <w:bCs/>
          <w:color w:val="auto"/>
          <w:szCs w:val="21"/>
          <w:highlight w:val="none"/>
          <w:lang w:eastAsia="zh-CN"/>
        </w:rPr>
        <w:t>和</w:t>
      </w:r>
      <w:r>
        <w:rPr>
          <w:rFonts w:hint="eastAsia" w:ascii="宋体" w:hAnsi="宋体" w:eastAsia="宋体" w:cs="宋体"/>
          <w:b/>
          <w:bCs/>
          <w:color w:val="auto"/>
          <w:szCs w:val="21"/>
          <w:highlight w:val="none"/>
        </w:rPr>
        <w:t>审核</w:t>
      </w:r>
      <w:r>
        <w:rPr>
          <w:rFonts w:hint="eastAsia" w:ascii="宋体" w:hAnsi="宋体" w:eastAsia="宋体" w:cs="宋体"/>
          <w:b/>
          <w:bCs/>
          <w:color w:val="auto"/>
          <w:sz w:val="21"/>
          <w:szCs w:val="21"/>
          <w:highlight w:val="none"/>
          <w:lang w:val="en-US" w:eastAsia="zh-CN"/>
        </w:rPr>
        <w:t>业绩的仅按一项业绩计算；</w:t>
      </w:r>
    </w:p>
    <w:p w14:paraId="3860364C">
      <w:pPr>
        <w:autoSpaceDE w:val="0"/>
        <w:autoSpaceDN w:val="0"/>
        <w:adjustRightInd w:val="0"/>
        <w:snapToGrid w:val="0"/>
        <w:spacing w:line="360" w:lineRule="auto"/>
        <w:ind w:left="481" w:leftChars="-41" w:hanging="567" w:hangingChars="270"/>
        <w:jc w:val="left"/>
        <w:outlineLvl w:val="1"/>
        <w:rPr>
          <w:rFonts w:hint="eastAsia" w:ascii="宋体" w:hAnsi="宋体" w:eastAsia="宋体" w:cs="宋体"/>
          <w:color w:val="auto"/>
          <w:szCs w:val="24"/>
          <w:highlight w:val="none"/>
          <w:lang w:val="zh-CN" w:eastAsia="zh-CN"/>
        </w:rPr>
      </w:pPr>
      <w:bookmarkStart w:id="679" w:name="_Toc6881"/>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lang w:val="zh-CN"/>
        </w:rPr>
        <w:t>）</w:t>
      </w:r>
      <w:r>
        <w:rPr>
          <w:rFonts w:hint="eastAsia" w:ascii="宋体" w:hAnsi="宋体" w:eastAsia="宋体" w:cs="宋体"/>
          <w:color w:val="auto"/>
          <w:kern w:val="2"/>
          <w:sz w:val="21"/>
          <w:szCs w:val="21"/>
          <w:highlight w:val="none"/>
        </w:rPr>
        <w:t>业绩不重复计算，由投标人自行放入对应的评分子项</w:t>
      </w:r>
      <w:r>
        <w:rPr>
          <w:rFonts w:hint="eastAsia" w:ascii="宋体" w:hAnsi="宋体" w:eastAsia="宋体" w:cs="宋体"/>
          <w:color w:val="auto"/>
          <w:kern w:val="2"/>
          <w:sz w:val="21"/>
          <w:szCs w:val="21"/>
          <w:highlight w:val="none"/>
          <w:lang w:eastAsia="zh-CN"/>
        </w:rPr>
        <w:t>；</w:t>
      </w:r>
      <w:bookmarkEnd w:id="679"/>
    </w:p>
    <w:p w14:paraId="0A56B042">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szCs w:val="24"/>
          <w:highlight w:val="none"/>
          <w:lang w:val="zh-CN"/>
        </w:rPr>
        <w:t>。</w:t>
      </w:r>
    </w:p>
    <w:p w14:paraId="3F47E6F0">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D0D02CC">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683845C">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BB22654">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0D59D98">
      <w:pPr>
        <w:autoSpaceDE w:val="0"/>
        <w:autoSpaceDN w:val="0"/>
        <w:adjustRightInd w:val="0"/>
        <w:spacing w:line="360" w:lineRule="auto"/>
        <w:jc w:val="center"/>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37DA2C41">
      <w:pPr>
        <w:widowControl/>
        <w:jc w:val="left"/>
        <w:rPr>
          <w:rFonts w:ascii="宋体" w:hAnsi="宋体" w:eastAsia="宋体" w:cs="宋体"/>
          <w:b/>
          <w:bCs/>
          <w:color w:val="auto"/>
          <w:sz w:val="30"/>
          <w:szCs w:val="30"/>
          <w:highlight w:val="none"/>
          <w:lang w:bidi="ar"/>
        </w:rPr>
      </w:pPr>
      <w:r>
        <w:rPr>
          <w:rFonts w:hint="eastAsia" w:ascii="宋体" w:hAnsi="宋体" w:eastAsia="宋体" w:cs="宋体"/>
          <w:b/>
          <w:bCs/>
          <w:color w:val="auto"/>
          <w:sz w:val="30"/>
          <w:szCs w:val="30"/>
          <w:highlight w:val="none"/>
          <w:lang w:bidi="ar"/>
        </w:rPr>
        <w:br w:type="page"/>
      </w:r>
    </w:p>
    <w:p w14:paraId="3E9F7668">
      <w:pPr>
        <w:keepNext w:val="0"/>
        <w:keepLines w:val="0"/>
        <w:pageBreakBefore/>
        <w:widowControl w:val="0"/>
        <w:kinsoku/>
        <w:wordWrap/>
        <w:overflowPunct/>
        <w:topLinePunct w:val="0"/>
        <w:autoSpaceDE w:val="0"/>
        <w:autoSpaceDN w:val="0"/>
        <w:bidi w:val="0"/>
        <w:adjustRightInd w:val="0"/>
        <w:snapToGrid/>
        <w:spacing w:line="360" w:lineRule="auto"/>
        <w:jc w:val="both"/>
        <w:textAlignment w:val="auto"/>
        <w:outlineLvl w:val="2"/>
        <w:rPr>
          <w:rFonts w:hint="eastAsia" w:ascii="宋体" w:hAnsi="宋体" w:eastAsia="宋体" w:cs="宋体"/>
          <w:b/>
          <w:bCs/>
          <w:color w:val="auto"/>
          <w:sz w:val="30"/>
          <w:szCs w:val="30"/>
          <w:highlight w:val="none"/>
          <w:lang w:val="en-US" w:eastAsia="zh-CN"/>
        </w:rPr>
      </w:pPr>
      <w:bookmarkStart w:id="680" w:name="_Toc6865"/>
      <w:r>
        <w:rPr>
          <w:rFonts w:hint="eastAsia" w:ascii="宋体" w:hAnsi="宋体" w:eastAsia="宋体" w:cs="宋体"/>
          <w:b/>
          <w:bCs/>
          <w:color w:val="auto"/>
          <w:sz w:val="30"/>
          <w:szCs w:val="30"/>
          <w:highlight w:val="none"/>
          <w:lang w:val="en-US" w:eastAsia="zh-CN"/>
        </w:rPr>
        <w:t>8.2不同类型工程编制和审核业绩</w:t>
      </w:r>
      <w:bookmarkEnd w:id="680"/>
    </w:p>
    <w:p w14:paraId="2DE11D64">
      <w:pPr>
        <w:autoSpaceDE w:val="0"/>
        <w:autoSpaceDN w:val="0"/>
        <w:adjustRightInd w:val="0"/>
        <w:spacing w:line="360" w:lineRule="auto"/>
        <w:jc w:val="center"/>
        <w:outlineLvl w:val="1"/>
        <w:rPr>
          <w:rFonts w:hint="eastAsia" w:ascii="宋体" w:hAnsi="宋体" w:eastAsia="宋体" w:cs="宋体"/>
          <w:b/>
          <w:bCs/>
          <w:color w:val="auto"/>
          <w:sz w:val="30"/>
          <w:szCs w:val="30"/>
          <w:highlight w:val="none"/>
          <w:lang w:val="en-US" w:eastAsia="zh-CN"/>
        </w:rPr>
      </w:pPr>
      <w:bookmarkStart w:id="681" w:name="_Toc16152"/>
      <w:r>
        <w:rPr>
          <w:rFonts w:hint="eastAsia" w:ascii="宋体" w:hAnsi="宋体" w:eastAsia="宋体" w:cs="宋体"/>
          <w:b/>
          <w:bCs/>
          <w:color w:val="auto"/>
          <w:sz w:val="30"/>
          <w:szCs w:val="30"/>
          <w:highlight w:val="none"/>
          <w:lang w:val="zh-CN" w:eastAsia="zh-CN"/>
        </w:rPr>
        <w:t>202</w:t>
      </w: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zh-CN" w:eastAsia="zh-CN"/>
        </w:rPr>
        <w:t>年1月1日至今</w:t>
      </w:r>
      <w:r>
        <w:rPr>
          <w:rFonts w:hint="eastAsia" w:ascii="宋体" w:hAnsi="宋体" w:eastAsia="宋体" w:cs="宋体"/>
          <w:b/>
          <w:bCs/>
          <w:color w:val="auto"/>
          <w:sz w:val="30"/>
          <w:szCs w:val="30"/>
          <w:highlight w:val="none"/>
          <w:lang w:val="en-US" w:eastAsia="zh-CN"/>
        </w:rPr>
        <w:t>承接</w:t>
      </w:r>
      <w:r>
        <w:rPr>
          <w:rFonts w:hint="eastAsia" w:ascii="宋体" w:hAnsi="宋体" w:eastAsia="宋体" w:cs="宋体"/>
          <w:b/>
          <w:bCs/>
          <w:color w:val="auto"/>
          <w:sz w:val="30"/>
          <w:szCs w:val="30"/>
          <w:highlight w:val="none"/>
          <w:lang w:val="zh-CN" w:eastAsia="zh-CN"/>
        </w:rPr>
        <w:t>的不同类型工程编制和审核业绩情况表</w:t>
      </w:r>
      <w:bookmarkEnd w:id="681"/>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9"/>
        <w:gridCol w:w="2173"/>
        <w:gridCol w:w="1679"/>
        <w:gridCol w:w="1738"/>
        <w:gridCol w:w="1505"/>
        <w:gridCol w:w="955"/>
        <w:gridCol w:w="1651"/>
      </w:tblGrid>
      <w:tr w14:paraId="31323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2355C7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序号</w:t>
            </w:r>
          </w:p>
        </w:tc>
        <w:tc>
          <w:tcPr>
            <w:tcW w:w="1047" w:type="pct"/>
            <w:tcBorders>
              <w:top w:val="single" w:color="auto" w:sz="4" w:space="0"/>
              <w:left w:val="single" w:color="auto" w:sz="4" w:space="0"/>
              <w:bottom w:val="single" w:color="auto" w:sz="4" w:space="0"/>
              <w:right w:val="single" w:color="auto" w:sz="4" w:space="0"/>
            </w:tcBorders>
            <w:vAlign w:val="center"/>
          </w:tcPr>
          <w:p w14:paraId="2CA12A2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项目名称</w:t>
            </w:r>
          </w:p>
        </w:tc>
        <w:tc>
          <w:tcPr>
            <w:tcW w:w="809" w:type="pct"/>
            <w:tcBorders>
              <w:top w:val="single" w:color="auto" w:sz="4" w:space="0"/>
              <w:left w:val="single" w:color="auto" w:sz="4" w:space="0"/>
              <w:bottom w:val="single" w:color="auto" w:sz="4" w:space="0"/>
              <w:right w:val="single" w:color="auto" w:sz="4" w:space="0"/>
            </w:tcBorders>
            <w:vAlign w:val="center"/>
          </w:tcPr>
          <w:p w14:paraId="12DC585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业主方名称</w:t>
            </w:r>
          </w:p>
        </w:tc>
        <w:tc>
          <w:tcPr>
            <w:tcW w:w="837" w:type="pct"/>
            <w:tcBorders>
              <w:top w:val="single" w:color="auto" w:sz="4" w:space="0"/>
              <w:left w:val="single" w:color="auto" w:sz="4" w:space="0"/>
              <w:bottom w:val="single" w:color="auto" w:sz="4" w:space="0"/>
              <w:right w:val="single" w:color="auto" w:sz="4" w:space="0"/>
            </w:tcBorders>
            <w:vAlign w:val="center"/>
          </w:tcPr>
          <w:p w14:paraId="1F295C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合同类型【概/预(或招标控制价)/结算</w:t>
            </w:r>
            <w:r>
              <w:rPr>
                <w:rFonts w:hint="eastAsia" w:ascii="宋体" w:hAnsi="宋体" w:eastAsia="宋体" w:cs="宋体"/>
                <w:b/>
                <w:bCs/>
                <w:color w:val="auto"/>
                <w:szCs w:val="21"/>
                <w:highlight w:val="none"/>
              </w:rPr>
              <w:t>编制</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审核</w:t>
            </w:r>
            <w:r>
              <w:rPr>
                <w:rFonts w:hint="eastAsia" w:ascii="宋体" w:hAnsi="宋体" w:eastAsia="宋体" w:cs="宋体"/>
                <w:color w:val="auto"/>
                <w:kern w:val="2"/>
                <w:sz w:val="21"/>
                <w:szCs w:val="21"/>
                <w:highlight w:val="none"/>
                <w:lang w:val="zh-CN"/>
              </w:rPr>
              <w:t>】</w:t>
            </w:r>
          </w:p>
        </w:tc>
        <w:tc>
          <w:tcPr>
            <w:tcW w:w="725" w:type="pct"/>
            <w:tcBorders>
              <w:top w:val="single" w:color="auto" w:sz="4" w:space="0"/>
              <w:left w:val="single" w:color="auto" w:sz="4" w:space="0"/>
              <w:bottom w:val="single" w:color="auto" w:sz="4" w:space="0"/>
              <w:right w:val="single" w:color="auto" w:sz="4" w:space="0"/>
            </w:tcBorders>
            <w:vAlign w:val="center"/>
          </w:tcPr>
          <w:p w14:paraId="39CB4E7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合同签订时间</w:t>
            </w:r>
          </w:p>
        </w:tc>
        <w:tc>
          <w:tcPr>
            <w:tcW w:w="460" w:type="pct"/>
            <w:tcBorders>
              <w:top w:val="single" w:color="auto" w:sz="4" w:space="0"/>
              <w:left w:val="single" w:color="auto" w:sz="4" w:space="0"/>
              <w:bottom w:val="single" w:color="auto" w:sz="4" w:space="0"/>
              <w:right w:val="single" w:color="auto" w:sz="4" w:space="0"/>
            </w:tcBorders>
            <w:vAlign w:val="center"/>
          </w:tcPr>
          <w:p w14:paraId="558A6C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lang w:val="zh-CN"/>
              </w:rPr>
              <w:t>完成情况</w:t>
            </w:r>
          </w:p>
        </w:tc>
        <w:tc>
          <w:tcPr>
            <w:tcW w:w="796" w:type="pct"/>
            <w:tcBorders>
              <w:top w:val="single" w:color="auto" w:sz="4" w:space="0"/>
              <w:left w:val="single" w:color="auto" w:sz="4" w:space="0"/>
              <w:bottom w:val="single" w:color="auto" w:sz="4" w:space="0"/>
              <w:right w:val="single" w:color="auto" w:sz="4" w:space="0"/>
            </w:tcBorders>
            <w:vAlign w:val="center"/>
          </w:tcPr>
          <w:p w14:paraId="7E0B64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业主</w:t>
            </w:r>
            <w:r>
              <w:rPr>
                <w:rFonts w:hint="eastAsia" w:ascii="宋体" w:hAnsi="宋体" w:eastAsia="宋体" w:cs="宋体"/>
                <w:color w:val="auto"/>
                <w:kern w:val="2"/>
                <w:sz w:val="21"/>
                <w:szCs w:val="21"/>
                <w:highlight w:val="none"/>
                <w:lang w:val="zh-CN"/>
              </w:rPr>
              <w:t>电话及联系人</w:t>
            </w:r>
          </w:p>
        </w:tc>
      </w:tr>
      <w:tr w14:paraId="2EF5A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6066F70E">
            <w:pPr>
              <w:keepNext w:val="0"/>
              <w:keepLines w:val="0"/>
              <w:suppressLineNumbers w:val="0"/>
              <w:spacing w:before="0" w:beforeAutospacing="0" w:after="0" w:afterAutospacing="0" w:line="360" w:lineRule="auto"/>
              <w:ind w:left="0" w:right="0"/>
              <w:jc w:val="center"/>
              <w:rPr>
                <w:rFonts w:hint="eastAsia"/>
                <w:color w:val="auto"/>
                <w:highlight w:val="none"/>
              </w:rPr>
            </w:pPr>
            <w:r>
              <w:rPr>
                <w:rFonts w:hint="eastAsia" w:ascii="宋体" w:hAnsi="宋体" w:eastAsia="宋体" w:cs="宋体"/>
                <w:b/>
                <w:bCs/>
                <w:color w:val="auto"/>
                <w:sz w:val="21"/>
                <w:szCs w:val="21"/>
                <w:highlight w:val="none"/>
              </w:rPr>
              <w:t>一、房建</w:t>
            </w:r>
            <w:r>
              <w:rPr>
                <w:rFonts w:hint="eastAsia" w:ascii="宋体" w:hAnsi="宋体" w:eastAsia="宋体" w:cs="宋体"/>
                <w:b/>
                <w:bCs/>
                <w:color w:val="auto"/>
                <w:sz w:val="21"/>
                <w:szCs w:val="21"/>
                <w:highlight w:val="none"/>
                <w:lang w:val="en-US" w:eastAsia="zh-CN"/>
              </w:rPr>
              <w:t>（含装饰）类</w:t>
            </w:r>
          </w:p>
        </w:tc>
      </w:tr>
      <w:tr w14:paraId="344A6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04690F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zh-CN"/>
              </w:rPr>
            </w:pPr>
          </w:p>
        </w:tc>
        <w:tc>
          <w:tcPr>
            <w:tcW w:w="1047" w:type="pct"/>
            <w:tcBorders>
              <w:top w:val="single" w:color="auto" w:sz="4" w:space="0"/>
              <w:left w:val="single" w:color="auto" w:sz="4" w:space="0"/>
              <w:bottom w:val="single" w:color="auto" w:sz="4" w:space="0"/>
              <w:right w:val="single" w:color="auto" w:sz="4" w:space="0"/>
            </w:tcBorders>
            <w:vAlign w:val="center"/>
          </w:tcPr>
          <w:p w14:paraId="1EC1B4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6009D2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0D9A789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66F413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6CE63E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6" w:type="pct"/>
            <w:tcBorders>
              <w:top w:val="single" w:color="auto" w:sz="4" w:space="0"/>
              <w:left w:val="single" w:color="auto" w:sz="4" w:space="0"/>
              <w:bottom w:val="single" w:color="auto" w:sz="4" w:space="0"/>
              <w:right w:val="single" w:color="auto" w:sz="4" w:space="0"/>
            </w:tcBorders>
            <w:vAlign w:val="center"/>
          </w:tcPr>
          <w:p w14:paraId="2A47C7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CFF6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2ECD712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zh-CN"/>
              </w:rPr>
            </w:pPr>
          </w:p>
        </w:tc>
        <w:tc>
          <w:tcPr>
            <w:tcW w:w="1047" w:type="pct"/>
            <w:tcBorders>
              <w:top w:val="single" w:color="auto" w:sz="4" w:space="0"/>
              <w:left w:val="single" w:color="auto" w:sz="4" w:space="0"/>
              <w:bottom w:val="single" w:color="auto" w:sz="4" w:space="0"/>
              <w:right w:val="single" w:color="auto" w:sz="4" w:space="0"/>
            </w:tcBorders>
            <w:vAlign w:val="center"/>
          </w:tcPr>
          <w:p w14:paraId="23EDE4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6CAD04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553B2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33FCAF1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2DE677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6" w:type="pct"/>
            <w:tcBorders>
              <w:top w:val="single" w:color="auto" w:sz="4" w:space="0"/>
              <w:left w:val="single" w:color="auto" w:sz="4" w:space="0"/>
              <w:bottom w:val="single" w:color="auto" w:sz="4" w:space="0"/>
              <w:right w:val="single" w:color="auto" w:sz="4" w:space="0"/>
            </w:tcBorders>
            <w:vAlign w:val="center"/>
          </w:tcPr>
          <w:p w14:paraId="028A5C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C05B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36944B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1047" w:type="pct"/>
            <w:tcBorders>
              <w:top w:val="single" w:color="auto" w:sz="4" w:space="0"/>
              <w:left w:val="single" w:color="auto" w:sz="4" w:space="0"/>
              <w:bottom w:val="single" w:color="auto" w:sz="4" w:space="0"/>
              <w:right w:val="single" w:color="auto" w:sz="4" w:space="0"/>
            </w:tcBorders>
            <w:vAlign w:val="center"/>
          </w:tcPr>
          <w:p w14:paraId="644AE1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3FAB73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F95D5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243B33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490CFA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6" w:type="pct"/>
            <w:tcBorders>
              <w:top w:val="single" w:color="auto" w:sz="4" w:space="0"/>
              <w:left w:val="single" w:color="auto" w:sz="4" w:space="0"/>
              <w:bottom w:val="single" w:color="auto" w:sz="4" w:space="0"/>
              <w:right w:val="single" w:color="auto" w:sz="4" w:space="0"/>
            </w:tcBorders>
            <w:vAlign w:val="center"/>
          </w:tcPr>
          <w:p w14:paraId="1A6291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8FFB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02DA3551">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二、市政</w:t>
            </w:r>
            <w:r>
              <w:rPr>
                <w:rFonts w:hint="eastAsia" w:ascii="宋体" w:hAnsi="宋体" w:eastAsia="宋体" w:cs="宋体"/>
                <w:b/>
                <w:bCs/>
                <w:color w:val="auto"/>
                <w:sz w:val="21"/>
                <w:szCs w:val="21"/>
                <w:highlight w:val="none"/>
                <w:lang w:val="en-US" w:eastAsia="zh-CN"/>
              </w:rPr>
              <w:t>类</w:t>
            </w:r>
          </w:p>
        </w:tc>
      </w:tr>
      <w:tr w14:paraId="6E305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726568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59105F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72703C6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5F6740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6CEFA9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64034E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6" w:type="pct"/>
            <w:tcBorders>
              <w:top w:val="single" w:color="auto" w:sz="4" w:space="0"/>
              <w:left w:val="single" w:color="auto" w:sz="4" w:space="0"/>
              <w:bottom w:val="single" w:color="auto" w:sz="4" w:space="0"/>
              <w:right w:val="single" w:color="auto" w:sz="4" w:space="0"/>
            </w:tcBorders>
            <w:vAlign w:val="center"/>
          </w:tcPr>
          <w:p w14:paraId="23EDDC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BE50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59BEF1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3D543F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365F27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5CB56C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190460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1E446C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6" w:type="pct"/>
            <w:tcBorders>
              <w:top w:val="single" w:color="auto" w:sz="4" w:space="0"/>
              <w:left w:val="single" w:color="auto" w:sz="4" w:space="0"/>
              <w:bottom w:val="single" w:color="auto" w:sz="4" w:space="0"/>
              <w:right w:val="single" w:color="auto" w:sz="4" w:space="0"/>
            </w:tcBorders>
            <w:vAlign w:val="center"/>
          </w:tcPr>
          <w:p w14:paraId="4DFD3E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E21D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78712B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47" w:type="pct"/>
            <w:tcBorders>
              <w:top w:val="single" w:color="auto" w:sz="4" w:space="0"/>
              <w:left w:val="single" w:color="auto" w:sz="4" w:space="0"/>
              <w:bottom w:val="single" w:color="auto" w:sz="4" w:space="0"/>
              <w:right w:val="single" w:color="auto" w:sz="4" w:space="0"/>
            </w:tcBorders>
            <w:vAlign w:val="center"/>
          </w:tcPr>
          <w:p w14:paraId="316A014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2FB7CE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B2AA3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1EF492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3EEA44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6" w:type="pct"/>
            <w:tcBorders>
              <w:top w:val="single" w:color="auto" w:sz="4" w:space="0"/>
              <w:left w:val="single" w:color="auto" w:sz="4" w:space="0"/>
              <w:bottom w:val="single" w:color="auto" w:sz="4" w:space="0"/>
              <w:right w:val="single" w:color="auto" w:sz="4" w:space="0"/>
            </w:tcBorders>
            <w:vAlign w:val="center"/>
          </w:tcPr>
          <w:p w14:paraId="3E30E79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3A70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4ADB5F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水利类</w:t>
            </w:r>
          </w:p>
        </w:tc>
      </w:tr>
      <w:tr w14:paraId="2E9EE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21CE5A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334C5C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3B52EC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46D29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0229C4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653928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6" w:type="pct"/>
            <w:tcBorders>
              <w:top w:val="single" w:color="auto" w:sz="4" w:space="0"/>
              <w:left w:val="single" w:color="auto" w:sz="4" w:space="0"/>
              <w:bottom w:val="single" w:color="auto" w:sz="4" w:space="0"/>
              <w:right w:val="single" w:color="auto" w:sz="4" w:space="0"/>
            </w:tcBorders>
            <w:vAlign w:val="center"/>
          </w:tcPr>
          <w:p w14:paraId="357EC4C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66D5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4537AF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6AB6F79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4A602F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0F3FCC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057961A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0F78A3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6" w:type="pct"/>
            <w:tcBorders>
              <w:top w:val="single" w:color="auto" w:sz="4" w:space="0"/>
              <w:left w:val="single" w:color="auto" w:sz="4" w:space="0"/>
              <w:bottom w:val="single" w:color="auto" w:sz="4" w:space="0"/>
              <w:right w:val="single" w:color="auto" w:sz="4" w:space="0"/>
            </w:tcBorders>
            <w:vAlign w:val="center"/>
          </w:tcPr>
          <w:p w14:paraId="005AA3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7630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016186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1A8C92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03EE4A2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30AF4B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7CAE48B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3593B3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6" w:type="pct"/>
            <w:tcBorders>
              <w:top w:val="single" w:color="auto" w:sz="4" w:space="0"/>
              <w:left w:val="single" w:color="auto" w:sz="4" w:space="0"/>
              <w:bottom w:val="single" w:color="auto" w:sz="4" w:space="0"/>
              <w:right w:val="single" w:color="auto" w:sz="4" w:space="0"/>
            </w:tcBorders>
            <w:vAlign w:val="center"/>
          </w:tcPr>
          <w:p w14:paraId="65B57B5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255F30C8">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p>
    <w:p w14:paraId="2CB3E428">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32E56259">
      <w:pPr>
        <w:numPr>
          <w:ilvl w:val="0"/>
          <w:numId w:val="0"/>
        </w:numPr>
        <w:snapToGrid w:val="0"/>
        <w:spacing w:line="360" w:lineRule="auto"/>
        <w:ind w:left="481" w:leftChars="-4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val="zh-CN"/>
        </w:rPr>
        <w:t>）同一个单项合同的业绩可以同时在资格业绩和评分业绩重复放置；</w:t>
      </w:r>
    </w:p>
    <w:p w14:paraId="5332B2B7">
      <w:pPr>
        <w:snapToGrid w:val="0"/>
        <w:spacing w:line="360" w:lineRule="auto"/>
        <w:ind w:left="481" w:leftChars="-4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2"/>
          <w:sz w:val="21"/>
          <w:szCs w:val="24"/>
          <w:highlight w:val="none"/>
          <w:lang w:val="zh-CN" w:eastAsia="zh-CN" w:bidi="ar-SA"/>
        </w:rPr>
        <w:t>（2）</w:t>
      </w:r>
      <w:r>
        <w:rPr>
          <w:rFonts w:hint="eastAsia" w:ascii="宋体" w:hAnsi="宋体" w:eastAsia="宋体" w:cs="宋体"/>
          <w:color w:val="auto"/>
          <w:szCs w:val="24"/>
          <w:highlight w:val="none"/>
          <w:lang w:val="zh-CN"/>
        </w:rPr>
        <w:t>业绩须附合同及项目的相关成果文件关键页</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color w:val="auto"/>
          <w:szCs w:val="24"/>
          <w:highlight w:val="none"/>
          <w:lang w:val="zh-CN"/>
        </w:rPr>
        <w:t>加盖投标人公章，否则不得分；</w:t>
      </w:r>
    </w:p>
    <w:p w14:paraId="150FAA9E">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宋体"/>
          <w:b/>
          <w:bCs/>
          <w:color w:val="auto"/>
          <w:sz w:val="21"/>
          <w:szCs w:val="21"/>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w:t>
      </w:r>
      <w:r>
        <w:rPr>
          <w:rFonts w:hint="eastAsia" w:ascii="宋体" w:hAnsi="宋体" w:eastAsia="宋体" w:cs="宋体"/>
          <w:b/>
          <w:bCs/>
          <w:color w:val="auto"/>
          <w:sz w:val="21"/>
          <w:szCs w:val="21"/>
          <w:highlight w:val="none"/>
          <w:lang w:val="zh-CN"/>
        </w:rPr>
        <w:t>若业绩合同为框架式协议或资格入围的，须同时提供</w:t>
      </w:r>
      <w:r>
        <w:rPr>
          <w:rFonts w:hint="eastAsia" w:ascii="宋体" w:hAnsi="宋体" w:eastAsia="宋体" w:cs="宋体"/>
          <w:b/>
          <w:bCs/>
          <w:color w:val="auto"/>
          <w:sz w:val="21"/>
          <w:szCs w:val="21"/>
          <w:highlight w:val="none"/>
          <w:lang w:val="en-US" w:eastAsia="zh-CN"/>
        </w:rPr>
        <w:t>框架协议合同（或资格入围合同）</w:t>
      </w:r>
      <w:r>
        <w:rPr>
          <w:rFonts w:hint="eastAsia" w:ascii="宋体" w:hAnsi="宋体" w:eastAsia="宋体" w:cs="宋体"/>
          <w:b/>
          <w:bCs/>
          <w:color w:val="auto"/>
          <w:sz w:val="21"/>
          <w:szCs w:val="21"/>
          <w:highlight w:val="none"/>
          <w:lang w:val="zh-CN"/>
        </w:rPr>
        <w:t>及合同期内对应的项目成果文件，按成果文件数量计算得分；</w:t>
      </w:r>
    </w:p>
    <w:p w14:paraId="5EC193AF">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w:t>
      </w:r>
      <w:r>
        <w:rPr>
          <w:rFonts w:hint="eastAsia" w:ascii="宋体" w:hAnsi="宋体" w:eastAsia="宋体" w:cs="宋体"/>
          <w:b/>
          <w:color w:val="auto"/>
          <w:szCs w:val="21"/>
          <w:highlight w:val="none"/>
          <w:lang w:val="en-US" w:eastAsia="zh-CN"/>
        </w:rPr>
        <w:t>若</w:t>
      </w:r>
      <w:r>
        <w:rPr>
          <w:rFonts w:hint="eastAsia" w:ascii="宋体" w:hAnsi="宋体" w:eastAsia="宋体" w:cs="宋体"/>
          <w:b/>
          <w:color w:val="auto"/>
          <w:sz w:val="21"/>
          <w:szCs w:val="21"/>
          <w:highlight w:val="none"/>
        </w:rPr>
        <w:t>合同等业绩证明材料</w:t>
      </w:r>
      <w:r>
        <w:rPr>
          <w:rFonts w:hint="eastAsia" w:ascii="宋体" w:hAnsi="宋体" w:eastAsia="宋体" w:cs="宋体"/>
          <w:b/>
          <w:color w:val="auto"/>
          <w:sz w:val="21"/>
          <w:szCs w:val="21"/>
          <w:highlight w:val="none"/>
          <w:lang w:val="en-US" w:eastAsia="zh-CN"/>
        </w:rPr>
        <w:t>无法</w:t>
      </w:r>
      <w:r>
        <w:rPr>
          <w:rFonts w:hint="eastAsia" w:ascii="宋体" w:hAnsi="宋体" w:eastAsia="宋体" w:cs="宋体"/>
          <w:b/>
          <w:color w:val="auto"/>
          <w:sz w:val="21"/>
          <w:szCs w:val="21"/>
          <w:highlight w:val="none"/>
        </w:rPr>
        <w:t>反映评分条件[合同签订日期为202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年1月1日或以后，合同标的必须为概</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预(或招标控制价)</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结算</w:t>
      </w:r>
      <w:r>
        <w:rPr>
          <w:rFonts w:hint="eastAsia" w:ascii="宋体" w:hAnsi="宋体" w:eastAsia="宋体" w:cs="宋体"/>
          <w:b/>
          <w:bCs/>
          <w:color w:val="auto"/>
          <w:szCs w:val="21"/>
          <w:highlight w:val="none"/>
        </w:rPr>
        <w:t>编制</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审核</w:t>
      </w:r>
      <w:r>
        <w:rPr>
          <w:rFonts w:hint="eastAsia" w:ascii="宋体" w:hAnsi="宋体" w:eastAsia="宋体" w:cs="宋体"/>
          <w:b/>
          <w:color w:val="auto"/>
          <w:sz w:val="21"/>
          <w:szCs w:val="21"/>
          <w:highlight w:val="none"/>
        </w:rPr>
        <w:t>业绩]</w:t>
      </w:r>
      <w:r>
        <w:rPr>
          <w:rFonts w:hint="eastAsia" w:ascii="宋体" w:hAnsi="宋体" w:eastAsia="宋体" w:cs="宋体"/>
          <w:b/>
          <w:color w:val="auto"/>
          <w:sz w:val="21"/>
          <w:szCs w:val="21"/>
          <w:highlight w:val="none"/>
          <w:lang w:eastAsia="zh-CN"/>
        </w:rPr>
        <w:t>的</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还</w:t>
      </w:r>
      <w:r>
        <w:rPr>
          <w:rFonts w:hint="eastAsia" w:ascii="宋体" w:hAnsi="宋体" w:eastAsia="宋体" w:cs="宋体"/>
          <w:b/>
          <w:color w:val="auto"/>
          <w:sz w:val="21"/>
          <w:szCs w:val="21"/>
          <w:highlight w:val="none"/>
        </w:rPr>
        <w:t>需同时提供业主</w:t>
      </w:r>
      <w:r>
        <w:rPr>
          <w:rFonts w:hint="eastAsia" w:ascii="宋体" w:hAnsi="宋体" w:eastAsia="宋体" w:cs="宋体"/>
          <w:b/>
          <w:color w:val="auto"/>
          <w:sz w:val="21"/>
          <w:szCs w:val="21"/>
          <w:highlight w:val="none"/>
          <w:lang w:val="en-US" w:eastAsia="zh-CN"/>
        </w:rPr>
        <w:t>方</w:t>
      </w:r>
      <w:r>
        <w:rPr>
          <w:rFonts w:hint="eastAsia" w:ascii="宋体" w:hAnsi="宋体" w:eastAsia="宋体" w:cs="宋体"/>
          <w:b/>
          <w:color w:val="auto"/>
          <w:sz w:val="21"/>
          <w:szCs w:val="21"/>
          <w:highlight w:val="none"/>
        </w:rPr>
        <w:t>出具的书面补充情况说明文件</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shd w:val="clear" w:color="auto" w:fill="FFFFFF"/>
        </w:rPr>
        <w:t>补充情况说明文件</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bCs/>
          <w:color w:val="auto"/>
          <w:szCs w:val="21"/>
          <w:highlight w:val="none"/>
          <w:shd w:val="clear" w:color="auto" w:fill="FFFFFF"/>
        </w:rPr>
        <w:t>能显示</w:t>
      </w:r>
      <w:r>
        <w:rPr>
          <w:rFonts w:hint="eastAsia" w:ascii="宋体" w:hAnsi="宋体" w:eastAsia="宋体" w:cs="宋体"/>
          <w:b/>
          <w:bCs/>
          <w:color w:val="auto"/>
          <w:szCs w:val="21"/>
          <w:highlight w:val="none"/>
          <w:shd w:val="clear" w:color="auto" w:fill="FFFFFF"/>
          <w:lang w:val="en-US" w:eastAsia="zh-CN"/>
        </w:rPr>
        <w:t>业主</w:t>
      </w:r>
      <w:r>
        <w:rPr>
          <w:rFonts w:hint="eastAsia" w:ascii="宋体" w:hAnsi="宋体" w:eastAsia="宋体" w:cs="宋体"/>
          <w:b/>
          <w:bCs/>
          <w:color w:val="auto"/>
          <w:szCs w:val="21"/>
          <w:highlight w:val="none"/>
          <w:shd w:val="clear" w:color="auto" w:fill="FFFFFF"/>
        </w:rPr>
        <w:t>方公章</w:t>
      </w:r>
      <w:r>
        <w:rPr>
          <w:rFonts w:hint="eastAsia" w:ascii="宋体" w:hAnsi="宋体" w:eastAsia="宋体" w:cs="宋体"/>
          <w:b/>
          <w:color w:val="auto"/>
          <w:szCs w:val="21"/>
          <w:highlight w:val="none"/>
        </w:rPr>
        <w:t>），否则不得分</w:t>
      </w:r>
      <w:r>
        <w:rPr>
          <w:rFonts w:hint="eastAsia" w:ascii="宋体" w:hAnsi="宋体" w:eastAsia="宋体" w:cs="宋体"/>
          <w:color w:val="auto"/>
          <w:szCs w:val="24"/>
          <w:highlight w:val="none"/>
          <w:lang w:val="zh-CN"/>
        </w:rPr>
        <w:t>；</w:t>
      </w:r>
    </w:p>
    <w:p w14:paraId="75DA1959">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w:t>
      </w:r>
      <w:r>
        <w:rPr>
          <w:rFonts w:hint="eastAsia" w:ascii="宋体" w:hAnsi="宋体" w:eastAsia="宋体" w:cs="宋体"/>
          <w:b/>
          <w:bCs/>
          <w:color w:val="auto"/>
          <w:sz w:val="21"/>
          <w:szCs w:val="21"/>
          <w:highlight w:val="none"/>
          <w:lang w:val="en-US" w:eastAsia="zh-CN"/>
        </w:rPr>
        <w:t>若一份合同中同时包括该对应类型的概、预</w:t>
      </w:r>
      <w:r>
        <w:rPr>
          <w:rFonts w:hint="eastAsia" w:ascii="宋体" w:hAnsi="宋体" w:eastAsia="宋体" w:cs="宋体"/>
          <w:b/>
          <w:color w:val="auto"/>
          <w:sz w:val="21"/>
          <w:szCs w:val="21"/>
          <w:highlight w:val="none"/>
        </w:rPr>
        <w:t>(或招标控制价)</w:t>
      </w:r>
      <w:r>
        <w:rPr>
          <w:rFonts w:hint="eastAsia" w:ascii="宋体" w:hAnsi="宋体" w:eastAsia="宋体" w:cs="宋体"/>
          <w:b/>
          <w:bCs/>
          <w:color w:val="auto"/>
          <w:sz w:val="21"/>
          <w:szCs w:val="21"/>
          <w:highlight w:val="none"/>
          <w:lang w:val="en-US" w:eastAsia="zh-CN"/>
        </w:rPr>
        <w:t>、结算编制和审核业绩则可视为满足业绩得分基础要求，但仅作为一份合同业绩计分；</w:t>
      </w:r>
    </w:p>
    <w:p w14:paraId="73D3A527">
      <w:pPr>
        <w:autoSpaceDE w:val="0"/>
        <w:autoSpaceDN w:val="0"/>
        <w:adjustRightInd w:val="0"/>
        <w:snapToGrid w:val="0"/>
        <w:spacing w:line="360" w:lineRule="auto"/>
        <w:ind w:left="481" w:leftChars="-41" w:hanging="567" w:hangingChars="270"/>
        <w:jc w:val="left"/>
        <w:outlineLvl w:val="1"/>
        <w:rPr>
          <w:rFonts w:hint="eastAsia" w:ascii="宋体" w:hAnsi="宋体" w:eastAsia="宋体" w:cs="宋体"/>
          <w:color w:val="auto"/>
          <w:szCs w:val="24"/>
          <w:highlight w:val="none"/>
          <w:lang w:val="zh-CN" w:eastAsia="zh-CN"/>
        </w:rPr>
      </w:pPr>
      <w:bookmarkStart w:id="682" w:name="_Toc1196"/>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lang w:val="zh-CN"/>
        </w:rPr>
        <w:t>）</w:t>
      </w:r>
      <w:r>
        <w:rPr>
          <w:rFonts w:hint="eastAsia" w:ascii="宋体" w:hAnsi="宋体" w:eastAsia="宋体" w:cs="宋体"/>
          <w:color w:val="auto"/>
          <w:kern w:val="2"/>
          <w:sz w:val="21"/>
          <w:szCs w:val="21"/>
          <w:highlight w:val="none"/>
        </w:rPr>
        <w:t>业绩不重复计算，由投标人自行放入对应的评分子项</w:t>
      </w:r>
      <w:r>
        <w:rPr>
          <w:rFonts w:hint="eastAsia" w:ascii="宋体" w:hAnsi="宋体" w:eastAsia="宋体" w:cs="宋体"/>
          <w:color w:val="auto"/>
          <w:kern w:val="2"/>
          <w:sz w:val="21"/>
          <w:szCs w:val="21"/>
          <w:highlight w:val="none"/>
          <w:lang w:eastAsia="zh-CN"/>
        </w:rPr>
        <w:t>；</w:t>
      </w:r>
      <w:bookmarkEnd w:id="682"/>
    </w:p>
    <w:p w14:paraId="41850855">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b/>
          <w:bCs/>
          <w:color w:val="auto"/>
          <w:szCs w:val="21"/>
          <w:highlight w:val="none"/>
          <w:lang w:bidi="ar"/>
        </w:rPr>
        <w:t>。</w:t>
      </w:r>
    </w:p>
    <w:p w14:paraId="5AD0C0FC">
      <w:pPr>
        <w:autoSpaceDE w:val="0"/>
        <w:autoSpaceDN w:val="0"/>
        <w:adjustRightInd w:val="0"/>
        <w:spacing w:line="360" w:lineRule="auto"/>
        <w:ind w:firstLine="5040" w:firstLineChars="24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71F36902">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D95BA0A">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F79815A">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E554D08">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257832D4">
      <w:pPr>
        <w:keepNext w:val="0"/>
        <w:keepLines w:val="0"/>
        <w:pageBreakBefore/>
        <w:widowControl w:val="0"/>
        <w:kinsoku/>
        <w:wordWrap/>
        <w:overflowPunct/>
        <w:topLinePunct w:val="0"/>
        <w:autoSpaceDE w:val="0"/>
        <w:autoSpaceDN w:val="0"/>
        <w:bidi w:val="0"/>
        <w:adjustRightInd w:val="0"/>
        <w:snapToGrid/>
        <w:spacing w:line="360" w:lineRule="auto"/>
        <w:jc w:val="both"/>
        <w:textAlignment w:val="auto"/>
        <w:outlineLvl w:val="2"/>
        <w:rPr>
          <w:rFonts w:hint="eastAsia" w:ascii="宋体" w:hAnsi="宋体" w:eastAsia="宋体" w:cs="宋体"/>
          <w:b/>
          <w:bCs/>
          <w:color w:val="auto"/>
          <w:sz w:val="30"/>
          <w:szCs w:val="30"/>
          <w:highlight w:val="none"/>
          <w:lang w:val="en-US" w:eastAsia="zh-CN"/>
        </w:rPr>
      </w:pPr>
      <w:bookmarkStart w:id="683" w:name="_Toc167"/>
      <w:r>
        <w:rPr>
          <w:rFonts w:hint="eastAsia" w:ascii="宋体" w:hAnsi="宋体" w:eastAsia="宋体" w:cs="宋体"/>
          <w:b/>
          <w:bCs/>
          <w:color w:val="auto"/>
          <w:sz w:val="30"/>
          <w:szCs w:val="30"/>
          <w:highlight w:val="none"/>
          <w:lang w:val="en-US" w:eastAsia="zh-CN"/>
        </w:rPr>
        <w:t>8.3货物、服务类造价咨询业绩</w:t>
      </w:r>
      <w:bookmarkEnd w:id="683"/>
    </w:p>
    <w:p w14:paraId="6F4E0C57">
      <w:pPr>
        <w:autoSpaceDE w:val="0"/>
        <w:autoSpaceDN w:val="0"/>
        <w:adjustRightInd w:val="0"/>
        <w:spacing w:line="360" w:lineRule="auto"/>
        <w:jc w:val="center"/>
        <w:outlineLvl w:val="1"/>
        <w:rPr>
          <w:rFonts w:hint="eastAsia" w:ascii="宋体" w:hAnsi="宋体" w:eastAsia="宋体" w:cs="宋体"/>
          <w:b/>
          <w:bCs/>
          <w:color w:val="auto"/>
          <w:sz w:val="30"/>
          <w:szCs w:val="30"/>
          <w:highlight w:val="none"/>
          <w:lang w:val="en-US" w:eastAsia="zh-CN"/>
        </w:rPr>
      </w:pPr>
      <w:bookmarkStart w:id="684" w:name="_Toc15042"/>
      <w:r>
        <w:rPr>
          <w:rFonts w:hint="eastAsia" w:ascii="宋体" w:hAnsi="宋体" w:eastAsia="宋体" w:cs="宋体"/>
          <w:b/>
          <w:bCs/>
          <w:color w:val="auto"/>
          <w:sz w:val="30"/>
          <w:szCs w:val="30"/>
          <w:highlight w:val="none"/>
          <w:lang w:val="zh-CN" w:eastAsia="zh-CN"/>
        </w:rPr>
        <w:t>202</w:t>
      </w: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zh-CN" w:eastAsia="zh-CN"/>
        </w:rPr>
        <w:t>年1月1日至今</w:t>
      </w:r>
      <w:r>
        <w:rPr>
          <w:rFonts w:hint="eastAsia" w:ascii="宋体" w:hAnsi="宋体" w:eastAsia="宋体" w:cs="宋体"/>
          <w:b/>
          <w:bCs/>
          <w:color w:val="auto"/>
          <w:sz w:val="30"/>
          <w:szCs w:val="30"/>
          <w:highlight w:val="none"/>
          <w:lang w:val="en-US" w:eastAsia="zh-CN"/>
        </w:rPr>
        <w:t>承接</w:t>
      </w:r>
      <w:r>
        <w:rPr>
          <w:rFonts w:hint="eastAsia" w:ascii="宋体" w:hAnsi="宋体" w:eastAsia="宋体" w:cs="宋体"/>
          <w:b/>
          <w:bCs/>
          <w:color w:val="auto"/>
          <w:sz w:val="30"/>
          <w:szCs w:val="30"/>
          <w:highlight w:val="none"/>
          <w:lang w:val="zh-CN" w:eastAsia="zh-CN"/>
        </w:rPr>
        <w:t>的货物、服务类造价咨询业绩情况表</w:t>
      </w:r>
      <w:bookmarkEnd w:id="684"/>
    </w:p>
    <w:tbl>
      <w:tblPr>
        <w:tblStyle w:val="4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5"/>
        <w:gridCol w:w="2492"/>
        <w:gridCol w:w="1924"/>
        <w:gridCol w:w="2179"/>
        <w:gridCol w:w="1095"/>
        <w:gridCol w:w="1911"/>
      </w:tblGrid>
      <w:tr w14:paraId="6A75F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6D24EA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序号</w:t>
            </w:r>
          </w:p>
        </w:tc>
        <w:tc>
          <w:tcPr>
            <w:tcW w:w="1202" w:type="pct"/>
            <w:tcBorders>
              <w:top w:val="single" w:color="auto" w:sz="4" w:space="0"/>
              <w:left w:val="single" w:color="auto" w:sz="4" w:space="0"/>
              <w:bottom w:val="single" w:color="auto" w:sz="4" w:space="0"/>
              <w:right w:val="single" w:color="auto" w:sz="4" w:space="0"/>
            </w:tcBorders>
            <w:vAlign w:val="center"/>
          </w:tcPr>
          <w:p w14:paraId="7D0730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项目名称</w:t>
            </w:r>
          </w:p>
        </w:tc>
        <w:tc>
          <w:tcPr>
            <w:tcW w:w="928" w:type="pct"/>
            <w:tcBorders>
              <w:top w:val="single" w:color="auto" w:sz="4" w:space="0"/>
              <w:left w:val="single" w:color="auto" w:sz="4" w:space="0"/>
              <w:bottom w:val="single" w:color="auto" w:sz="4" w:space="0"/>
              <w:right w:val="single" w:color="auto" w:sz="4" w:space="0"/>
            </w:tcBorders>
            <w:vAlign w:val="center"/>
          </w:tcPr>
          <w:p w14:paraId="62ADB9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业主方名称</w:t>
            </w:r>
          </w:p>
        </w:tc>
        <w:tc>
          <w:tcPr>
            <w:tcW w:w="1051" w:type="pct"/>
            <w:tcBorders>
              <w:top w:val="single" w:color="auto" w:sz="4" w:space="0"/>
              <w:left w:val="single" w:color="auto" w:sz="4" w:space="0"/>
              <w:bottom w:val="single" w:color="auto" w:sz="4" w:space="0"/>
              <w:right w:val="single" w:color="auto" w:sz="4" w:space="0"/>
            </w:tcBorders>
            <w:vAlign w:val="center"/>
          </w:tcPr>
          <w:p w14:paraId="746259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合同签订时间</w:t>
            </w:r>
          </w:p>
        </w:tc>
        <w:tc>
          <w:tcPr>
            <w:tcW w:w="528" w:type="pct"/>
            <w:tcBorders>
              <w:top w:val="single" w:color="auto" w:sz="4" w:space="0"/>
              <w:left w:val="single" w:color="auto" w:sz="4" w:space="0"/>
              <w:bottom w:val="single" w:color="auto" w:sz="4" w:space="0"/>
              <w:right w:val="single" w:color="auto" w:sz="4" w:space="0"/>
            </w:tcBorders>
            <w:vAlign w:val="center"/>
          </w:tcPr>
          <w:p w14:paraId="61BB20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lang w:val="zh-CN"/>
              </w:rPr>
              <w:t>完成情况</w:t>
            </w:r>
          </w:p>
        </w:tc>
        <w:tc>
          <w:tcPr>
            <w:tcW w:w="917" w:type="pct"/>
            <w:tcBorders>
              <w:top w:val="single" w:color="auto" w:sz="4" w:space="0"/>
              <w:left w:val="single" w:color="auto" w:sz="4" w:space="0"/>
              <w:bottom w:val="single" w:color="auto" w:sz="4" w:space="0"/>
              <w:right w:val="single" w:color="auto" w:sz="4" w:space="0"/>
            </w:tcBorders>
            <w:vAlign w:val="center"/>
          </w:tcPr>
          <w:p w14:paraId="5EC7F7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业主</w:t>
            </w:r>
            <w:r>
              <w:rPr>
                <w:rFonts w:hint="eastAsia" w:ascii="宋体" w:hAnsi="宋体" w:eastAsia="宋体" w:cs="宋体"/>
                <w:color w:val="auto"/>
                <w:kern w:val="2"/>
                <w:sz w:val="21"/>
                <w:szCs w:val="21"/>
                <w:highlight w:val="none"/>
                <w:lang w:val="zh-CN"/>
              </w:rPr>
              <w:t>电话及联系人</w:t>
            </w:r>
          </w:p>
        </w:tc>
      </w:tr>
      <w:tr w14:paraId="0255F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7AAEA4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一、货物类造价咨询业绩</w:t>
            </w:r>
          </w:p>
        </w:tc>
      </w:tr>
      <w:tr w14:paraId="4AE41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0DB214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zh-CN"/>
              </w:rPr>
            </w:pPr>
          </w:p>
        </w:tc>
        <w:tc>
          <w:tcPr>
            <w:tcW w:w="1202" w:type="pct"/>
            <w:tcBorders>
              <w:top w:val="single" w:color="auto" w:sz="4" w:space="0"/>
              <w:left w:val="single" w:color="auto" w:sz="4" w:space="0"/>
              <w:bottom w:val="single" w:color="auto" w:sz="4" w:space="0"/>
              <w:right w:val="single" w:color="auto" w:sz="4" w:space="0"/>
            </w:tcBorders>
            <w:vAlign w:val="center"/>
          </w:tcPr>
          <w:p w14:paraId="3FA41E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2BF9D1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24463E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29970B5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4318C2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6B2E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0D0C988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zh-CN"/>
              </w:rPr>
            </w:pPr>
          </w:p>
        </w:tc>
        <w:tc>
          <w:tcPr>
            <w:tcW w:w="1202" w:type="pct"/>
            <w:tcBorders>
              <w:top w:val="single" w:color="auto" w:sz="4" w:space="0"/>
              <w:left w:val="single" w:color="auto" w:sz="4" w:space="0"/>
              <w:bottom w:val="single" w:color="auto" w:sz="4" w:space="0"/>
              <w:right w:val="single" w:color="auto" w:sz="4" w:space="0"/>
            </w:tcBorders>
            <w:vAlign w:val="center"/>
          </w:tcPr>
          <w:p w14:paraId="3B18A9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5D596A3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3502C4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050BC5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6139E19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FE19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59DAED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664DAB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1BB21E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04BD58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5FFD66D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1F16A68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87F1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F1A364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二、服务类造价咨询业绩</w:t>
            </w:r>
          </w:p>
        </w:tc>
      </w:tr>
      <w:tr w14:paraId="1010C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4C3190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150608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07FC2E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04359C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0BE754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0CFDB94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DCBA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492B138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7682E8B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630394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1E46E7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61B20D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5E4504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681D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2C1CDE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2970A2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3FE2A93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750A15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5B87E4D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6049AD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0D31E57B">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p>
    <w:p w14:paraId="6F14D83E">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4E9BC40">
      <w:pPr>
        <w:numPr>
          <w:ilvl w:val="0"/>
          <w:numId w:val="0"/>
        </w:numPr>
        <w:snapToGrid w:val="0"/>
        <w:spacing w:line="360" w:lineRule="auto"/>
        <w:ind w:left="481" w:leftChars="-4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val="zh-CN"/>
        </w:rPr>
        <w:t>）同一个单项合同的业绩可以同时在资格业绩和评分业绩重复放置；</w:t>
      </w:r>
    </w:p>
    <w:p w14:paraId="30DC366C">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481" w:leftChars="-41" w:right="0"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kern w:val="2"/>
          <w:sz w:val="21"/>
          <w:szCs w:val="24"/>
          <w:highlight w:val="none"/>
          <w:lang w:val="zh-CN" w:eastAsia="zh-CN" w:bidi="ar-SA"/>
        </w:rPr>
        <w:t>（2）</w:t>
      </w:r>
      <w:r>
        <w:rPr>
          <w:rFonts w:hint="eastAsia" w:ascii="宋体" w:hAnsi="宋体" w:eastAsia="宋体" w:cs="宋体"/>
          <w:color w:val="auto"/>
          <w:szCs w:val="24"/>
          <w:highlight w:val="none"/>
          <w:lang w:val="zh-CN"/>
        </w:rPr>
        <w:t>业绩须附合同及项目的相关成果文件关键页</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color w:val="auto"/>
          <w:szCs w:val="24"/>
          <w:highlight w:val="none"/>
          <w:lang w:val="zh-CN"/>
        </w:rPr>
        <w:t>加盖投标人公章，否则不得分；</w:t>
      </w:r>
    </w:p>
    <w:p w14:paraId="1A094807">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宋体"/>
          <w:b/>
          <w:bCs/>
          <w:color w:val="auto"/>
          <w:sz w:val="21"/>
          <w:szCs w:val="21"/>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w:t>
      </w:r>
      <w:r>
        <w:rPr>
          <w:rFonts w:hint="eastAsia" w:ascii="宋体" w:hAnsi="宋体" w:eastAsia="宋体" w:cs="宋体"/>
          <w:b/>
          <w:bCs/>
          <w:color w:val="auto"/>
          <w:sz w:val="21"/>
          <w:szCs w:val="21"/>
          <w:highlight w:val="none"/>
          <w:lang w:val="zh-CN"/>
        </w:rPr>
        <w:t>若业绩合同为框架式协议或资格入围的，须同时提供</w:t>
      </w:r>
      <w:r>
        <w:rPr>
          <w:rFonts w:hint="eastAsia" w:ascii="宋体" w:hAnsi="宋体" w:eastAsia="宋体" w:cs="宋体"/>
          <w:b/>
          <w:bCs/>
          <w:color w:val="auto"/>
          <w:sz w:val="21"/>
          <w:szCs w:val="21"/>
          <w:highlight w:val="none"/>
          <w:lang w:val="en-US" w:eastAsia="zh-CN"/>
        </w:rPr>
        <w:t>框架协议合同（或资格入围合同）</w:t>
      </w:r>
      <w:r>
        <w:rPr>
          <w:rFonts w:hint="eastAsia" w:ascii="宋体" w:hAnsi="宋体" w:eastAsia="宋体" w:cs="宋体"/>
          <w:b/>
          <w:bCs/>
          <w:color w:val="auto"/>
          <w:sz w:val="21"/>
          <w:szCs w:val="21"/>
          <w:highlight w:val="none"/>
          <w:lang w:val="zh-CN"/>
        </w:rPr>
        <w:t>及合同期内对应的项目成果文件，按成果文件数量计算得分；</w:t>
      </w:r>
    </w:p>
    <w:p w14:paraId="28CAEF36">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w:t>
      </w:r>
      <w:r>
        <w:rPr>
          <w:rFonts w:hint="eastAsia" w:ascii="宋体" w:hAnsi="宋体" w:eastAsia="宋体" w:cs="宋体"/>
          <w:b/>
          <w:color w:val="auto"/>
          <w:szCs w:val="21"/>
          <w:highlight w:val="none"/>
          <w:lang w:val="en-US" w:eastAsia="zh-CN"/>
        </w:rPr>
        <w:t>若</w:t>
      </w:r>
      <w:r>
        <w:rPr>
          <w:rFonts w:hint="eastAsia" w:ascii="宋体" w:hAnsi="宋体" w:eastAsia="宋体" w:cs="宋体"/>
          <w:b/>
          <w:color w:val="auto"/>
          <w:sz w:val="21"/>
          <w:szCs w:val="21"/>
          <w:highlight w:val="none"/>
        </w:rPr>
        <w:t>合同等业绩证明材料</w:t>
      </w:r>
      <w:r>
        <w:rPr>
          <w:rFonts w:hint="eastAsia" w:ascii="宋体" w:hAnsi="宋体" w:eastAsia="宋体" w:cs="宋体"/>
          <w:b/>
          <w:color w:val="auto"/>
          <w:sz w:val="21"/>
          <w:szCs w:val="21"/>
          <w:highlight w:val="none"/>
          <w:lang w:val="en-US" w:eastAsia="zh-CN"/>
        </w:rPr>
        <w:t>无法</w:t>
      </w:r>
      <w:r>
        <w:rPr>
          <w:rFonts w:hint="eastAsia" w:ascii="宋体" w:hAnsi="宋体" w:eastAsia="宋体" w:cs="宋体"/>
          <w:b/>
          <w:color w:val="auto"/>
          <w:sz w:val="21"/>
          <w:szCs w:val="21"/>
          <w:highlight w:val="none"/>
        </w:rPr>
        <w:t>反映评分条件[合同签订日期为202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年1月1日或以后，合同标的必须为</w:t>
      </w:r>
      <w:r>
        <w:rPr>
          <w:rFonts w:hint="eastAsia" w:ascii="宋体" w:hAnsi="宋体" w:eastAsia="宋体" w:cs="宋体"/>
          <w:b/>
          <w:color w:val="auto"/>
          <w:sz w:val="21"/>
          <w:szCs w:val="21"/>
          <w:highlight w:val="none"/>
          <w:lang w:val="en-US" w:eastAsia="zh-CN"/>
        </w:rPr>
        <w:t>货物、服务类造价咨询业绩</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的</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还</w:t>
      </w:r>
      <w:r>
        <w:rPr>
          <w:rFonts w:hint="eastAsia" w:ascii="宋体" w:hAnsi="宋体" w:eastAsia="宋体" w:cs="宋体"/>
          <w:b/>
          <w:color w:val="auto"/>
          <w:sz w:val="21"/>
          <w:szCs w:val="21"/>
          <w:highlight w:val="none"/>
        </w:rPr>
        <w:t>需同时提供业主</w:t>
      </w:r>
      <w:r>
        <w:rPr>
          <w:rFonts w:hint="eastAsia" w:ascii="宋体" w:hAnsi="宋体" w:eastAsia="宋体" w:cs="宋体"/>
          <w:b/>
          <w:color w:val="auto"/>
          <w:sz w:val="21"/>
          <w:szCs w:val="21"/>
          <w:highlight w:val="none"/>
          <w:lang w:val="en-US" w:eastAsia="zh-CN"/>
        </w:rPr>
        <w:t>方</w:t>
      </w:r>
      <w:r>
        <w:rPr>
          <w:rFonts w:hint="eastAsia" w:ascii="宋体" w:hAnsi="宋体" w:eastAsia="宋体" w:cs="宋体"/>
          <w:b/>
          <w:color w:val="auto"/>
          <w:sz w:val="21"/>
          <w:szCs w:val="21"/>
          <w:highlight w:val="none"/>
        </w:rPr>
        <w:t>出具的书面补充情况说明文件</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shd w:val="clear" w:color="auto" w:fill="FFFFFF"/>
        </w:rPr>
        <w:t>补充情况说明文件</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bCs/>
          <w:color w:val="auto"/>
          <w:szCs w:val="21"/>
          <w:highlight w:val="none"/>
          <w:shd w:val="clear" w:color="auto" w:fill="FFFFFF"/>
        </w:rPr>
        <w:t>能显示</w:t>
      </w:r>
      <w:r>
        <w:rPr>
          <w:rFonts w:hint="eastAsia" w:ascii="宋体" w:hAnsi="宋体" w:eastAsia="宋体" w:cs="宋体"/>
          <w:b/>
          <w:bCs/>
          <w:color w:val="auto"/>
          <w:szCs w:val="21"/>
          <w:highlight w:val="none"/>
          <w:shd w:val="clear" w:color="auto" w:fill="FFFFFF"/>
          <w:lang w:val="en-US" w:eastAsia="zh-CN"/>
        </w:rPr>
        <w:t>业主</w:t>
      </w:r>
      <w:r>
        <w:rPr>
          <w:rFonts w:hint="eastAsia" w:ascii="宋体" w:hAnsi="宋体" w:eastAsia="宋体" w:cs="宋体"/>
          <w:b/>
          <w:bCs/>
          <w:color w:val="auto"/>
          <w:szCs w:val="21"/>
          <w:highlight w:val="none"/>
          <w:shd w:val="clear" w:color="auto" w:fill="FFFFFF"/>
        </w:rPr>
        <w:t>方公章</w:t>
      </w:r>
      <w:r>
        <w:rPr>
          <w:rFonts w:hint="eastAsia" w:ascii="宋体" w:hAnsi="宋体" w:eastAsia="宋体" w:cs="宋体"/>
          <w:b/>
          <w:color w:val="auto"/>
          <w:szCs w:val="21"/>
          <w:highlight w:val="none"/>
        </w:rPr>
        <w:t>），否则不得分</w:t>
      </w:r>
      <w:r>
        <w:rPr>
          <w:rFonts w:hint="eastAsia" w:ascii="宋体" w:hAnsi="宋体" w:eastAsia="宋体" w:cs="宋体"/>
          <w:color w:val="auto"/>
          <w:szCs w:val="24"/>
          <w:highlight w:val="none"/>
          <w:lang w:val="zh-CN"/>
        </w:rPr>
        <w:t>；</w:t>
      </w:r>
    </w:p>
    <w:p w14:paraId="41CD555A">
      <w:pPr>
        <w:autoSpaceDE w:val="0"/>
        <w:autoSpaceDN w:val="0"/>
        <w:adjustRightInd w:val="0"/>
        <w:snapToGrid w:val="0"/>
        <w:spacing w:line="360" w:lineRule="auto"/>
        <w:ind w:left="481" w:leftChars="-41" w:hanging="567" w:hangingChars="270"/>
        <w:jc w:val="left"/>
        <w:outlineLvl w:val="1"/>
        <w:rPr>
          <w:rFonts w:hint="eastAsia" w:ascii="宋体" w:hAnsi="宋体" w:eastAsia="宋体" w:cs="宋体"/>
          <w:color w:val="auto"/>
          <w:kern w:val="2"/>
          <w:sz w:val="21"/>
          <w:szCs w:val="21"/>
          <w:highlight w:val="none"/>
          <w:lang w:eastAsia="zh-CN"/>
        </w:rPr>
      </w:pPr>
      <w:bookmarkStart w:id="685" w:name="_Toc1474"/>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w:t>
      </w:r>
      <w:r>
        <w:rPr>
          <w:rFonts w:hint="eastAsia" w:ascii="宋体" w:hAnsi="宋体" w:eastAsia="宋体" w:cs="宋体"/>
          <w:color w:val="auto"/>
          <w:kern w:val="2"/>
          <w:sz w:val="21"/>
          <w:szCs w:val="21"/>
          <w:highlight w:val="none"/>
        </w:rPr>
        <w:t>业绩不重复计算，由投标人自行放入对应的评分子项</w:t>
      </w:r>
      <w:r>
        <w:rPr>
          <w:rFonts w:hint="eastAsia" w:ascii="宋体" w:hAnsi="宋体" w:eastAsia="宋体" w:cs="宋体"/>
          <w:color w:val="auto"/>
          <w:kern w:val="2"/>
          <w:sz w:val="21"/>
          <w:szCs w:val="21"/>
          <w:highlight w:val="none"/>
          <w:lang w:eastAsia="zh-CN"/>
        </w:rPr>
        <w:t>；</w:t>
      </w:r>
      <w:bookmarkEnd w:id="685"/>
    </w:p>
    <w:p w14:paraId="26CE5703">
      <w:pPr>
        <w:autoSpaceDE w:val="0"/>
        <w:autoSpaceDN w:val="0"/>
        <w:adjustRightInd w:val="0"/>
        <w:snapToGrid w:val="0"/>
        <w:spacing w:line="360" w:lineRule="auto"/>
        <w:ind w:left="481" w:leftChars="-41" w:hanging="567" w:hangingChars="270"/>
        <w:jc w:val="left"/>
        <w:outlineLvl w:val="1"/>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p>
    <w:p w14:paraId="4D45096C">
      <w:pPr>
        <w:autoSpaceDE w:val="0"/>
        <w:autoSpaceDN w:val="0"/>
        <w:adjustRightInd w:val="0"/>
        <w:spacing w:line="360" w:lineRule="auto"/>
        <w:ind w:firstLine="5040" w:firstLineChars="24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64059BD5">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13DF838">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B0B2564">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39CBC5E3">
      <w:pPr>
        <w:widowControl/>
        <w:autoSpaceDE w:val="0"/>
        <w:autoSpaceDN w:val="0"/>
        <w:adjustRightInd w:val="0"/>
        <w:spacing w:line="360" w:lineRule="auto"/>
        <w:jc w:val="center"/>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bookmarkEnd w:id="677"/>
      <w:bookmarkEnd w:id="678"/>
      <w:bookmarkStart w:id="686" w:name="_Toc140596939"/>
      <w:bookmarkStart w:id="687" w:name="_Toc24616"/>
      <w:bookmarkStart w:id="688" w:name="_Toc29652"/>
      <w:bookmarkStart w:id="689" w:name="_Toc2007"/>
      <w:bookmarkStart w:id="690" w:name="_Toc94107221"/>
      <w:bookmarkStart w:id="691" w:name="_Toc104991886"/>
      <w:bookmarkStart w:id="692" w:name="_Toc102860084"/>
      <w:bookmarkStart w:id="693" w:name="_Toc102860428"/>
      <w:bookmarkStart w:id="694" w:name="_Toc1977738"/>
      <w:bookmarkStart w:id="695" w:name="_Toc142508379"/>
      <w:bookmarkStart w:id="696" w:name="_Toc533708134"/>
      <w:bookmarkStart w:id="697" w:name="_Toc486167721"/>
    </w:p>
    <w:p w14:paraId="5D89D9D3">
      <w:pPr>
        <w:keepNext w:val="0"/>
        <w:keepLines w:val="0"/>
        <w:pageBreakBefore/>
        <w:widowControl w:val="0"/>
        <w:kinsoku/>
        <w:wordWrap/>
        <w:overflowPunct/>
        <w:topLinePunct w:val="0"/>
        <w:autoSpaceDE w:val="0"/>
        <w:autoSpaceDN w:val="0"/>
        <w:bidi w:val="0"/>
        <w:adjustRightInd w:val="0"/>
        <w:snapToGrid/>
        <w:spacing w:line="360" w:lineRule="auto"/>
        <w:jc w:val="both"/>
        <w:textAlignment w:val="auto"/>
        <w:outlineLvl w:val="2"/>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8.4信息化建设项目造价咨询业绩</w:t>
      </w:r>
    </w:p>
    <w:p w14:paraId="4C18DA7C">
      <w:pPr>
        <w:spacing w:line="360" w:lineRule="auto"/>
        <w:jc w:val="center"/>
        <w:outlineLvl w:val="1"/>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202</w:t>
      </w:r>
      <w:r>
        <w:rPr>
          <w:rFonts w:hint="eastAsia" w:ascii="宋体" w:hAnsi="宋体" w:eastAsia="宋体" w:cs="宋体"/>
          <w:b/>
          <w:bCs/>
          <w:color w:val="auto"/>
          <w:kern w:val="2"/>
          <w:sz w:val="30"/>
          <w:szCs w:val="30"/>
          <w:highlight w:val="none"/>
          <w:lang w:val="zh-CN" w:eastAsia="zh-CN"/>
        </w:rPr>
        <w:t>2</w:t>
      </w:r>
      <w:r>
        <w:rPr>
          <w:rFonts w:hint="eastAsia" w:ascii="宋体" w:hAnsi="宋体" w:eastAsia="宋体" w:cs="宋体"/>
          <w:b/>
          <w:bCs/>
          <w:color w:val="auto"/>
          <w:kern w:val="2"/>
          <w:sz w:val="30"/>
          <w:szCs w:val="30"/>
          <w:highlight w:val="none"/>
          <w:lang w:val="zh-CN"/>
        </w:rPr>
        <w:t>年1月1日至今承接过的信息化建设项目造价咨询业绩情况表</w:t>
      </w: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2242"/>
        <w:gridCol w:w="1531"/>
        <w:gridCol w:w="1883"/>
        <w:gridCol w:w="1446"/>
        <w:gridCol w:w="871"/>
        <w:gridCol w:w="1699"/>
      </w:tblGrid>
      <w:tr w14:paraId="6A7E3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4C7E7AD1">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rPr>
            </w:pPr>
            <w:r>
              <w:rPr>
                <w:rFonts w:hint="eastAsia" w:ascii="宋体" w:hAnsi="宋体" w:eastAsia="宋体" w:cs="宋体"/>
                <w:b/>
                <w:bCs/>
                <w:kern w:val="2"/>
                <w:sz w:val="21"/>
                <w:szCs w:val="21"/>
                <w:highlight w:val="none"/>
                <w:lang w:val="zh-CN"/>
              </w:rPr>
              <w:t>序号</w:t>
            </w:r>
          </w:p>
        </w:tc>
        <w:tc>
          <w:tcPr>
            <w:tcW w:w="1081" w:type="pct"/>
            <w:tcBorders>
              <w:top w:val="single" w:color="auto" w:sz="4" w:space="0"/>
              <w:left w:val="single" w:color="auto" w:sz="4" w:space="0"/>
              <w:bottom w:val="single" w:color="auto" w:sz="4" w:space="0"/>
              <w:right w:val="single" w:color="auto" w:sz="4" w:space="0"/>
            </w:tcBorders>
            <w:vAlign w:val="center"/>
          </w:tcPr>
          <w:p w14:paraId="2B3A91D9">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rPr>
            </w:pPr>
            <w:r>
              <w:rPr>
                <w:rFonts w:hint="eastAsia" w:ascii="宋体" w:hAnsi="宋体" w:eastAsia="宋体" w:cs="宋体"/>
                <w:b/>
                <w:bCs/>
                <w:kern w:val="2"/>
                <w:sz w:val="21"/>
                <w:szCs w:val="21"/>
                <w:highlight w:val="none"/>
                <w:lang w:val="zh-CN"/>
              </w:rPr>
              <w:t>项目名称</w:t>
            </w:r>
          </w:p>
        </w:tc>
        <w:tc>
          <w:tcPr>
            <w:tcW w:w="738" w:type="pct"/>
            <w:tcBorders>
              <w:top w:val="single" w:color="auto" w:sz="4" w:space="0"/>
              <w:left w:val="single" w:color="auto" w:sz="4" w:space="0"/>
              <w:bottom w:val="single" w:color="auto" w:sz="4" w:space="0"/>
              <w:right w:val="single" w:color="auto" w:sz="4" w:space="0"/>
            </w:tcBorders>
            <w:vAlign w:val="center"/>
          </w:tcPr>
          <w:p w14:paraId="00F9F738">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rPr>
            </w:pPr>
            <w:r>
              <w:rPr>
                <w:rFonts w:hint="eastAsia" w:ascii="宋体" w:hAnsi="宋体" w:eastAsia="宋体" w:cs="宋体"/>
                <w:b/>
                <w:bCs/>
                <w:kern w:val="2"/>
                <w:sz w:val="21"/>
                <w:szCs w:val="21"/>
                <w:highlight w:val="none"/>
              </w:rPr>
              <w:t>招标人</w:t>
            </w:r>
          </w:p>
        </w:tc>
        <w:tc>
          <w:tcPr>
            <w:tcW w:w="908" w:type="pct"/>
            <w:tcBorders>
              <w:top w:val="single" w:color="auto" w:sz="4" w:space="0"/>
              <w:left w:val="single" w:color="auto" w:sz="4" w:space="0"/>
              <w:bottom w:val="single" w:color="auto" w:sz="4" w:space="0"/>
              <w:right w:val="single" w:color="auto" w:sz="4" w:space="0"/>
            </w:tcBorders>
            <w:vAlign w:val="center"/>
          </w:tcPr>
          <w:p w14:paraId="108DDA77">
            <w:pPr>
              <w:keepNext w:val="0"/>
              <w:keepLines w:val="0"/>
              <w:suppressLineNumbers w:val="0"/>
              <w:spacing w:before="0" w:beforeAutospacing="0" w:after="0" w:afterAutospacing="0" w:line="360" w:lineRule="auto"/>
              <w:ind w:left="0" w:right="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合同类型（概/预</w:t>
            </w:r>
            <w:r>
              <w:rPr>
                <w:rFonts w:hint="eastAsia" w:ascii="宋体" w:hAnsi="宋体" w:eastAsia="宋体" w:cs="宋体"/>
                <w:b/>
                <w:bCs/>
                <w:color w:val="auto"/>
                <w:sz w:val="21"/>
                <w:szCs w:val="21"/>
                <w:highlight w:val="none"/>
              </w:rPr>
              <w:t>(或招标控制价)</w:t>
            </w:r>
            <w:r>
              <w:rPr>
                <w:rFonts w:hint="eastAsia" w:ascii="宋体" w:hAnsi="宋体" w:eastAsia="宋体" w:cs="宋体"/>
                <w:b/>
                <w:bCs/>
                <w:sz w:val="21"/>
                <w:szCs w:val="21"/>
                <w:highlight w:val="none"/>
              </w:rPr>
              <w:t>/结算</w:t>
            </w:r>
            <w:r>
              <w:rPr>
                <w:rFonts w:hint="eastAsia" w:ascii="宋体" w:hAnsi="宋体" w:eastAsia="宋体" w:cs="宋体"/>
                <w:b/>
                <w:bCs/>
                <w:sz w:val="21"/>
                <w:szCs w:val="21"/>
                <w:highlight w:val="none"/>
                <w:lang w:val="en-US" w:eastAsia="zh-CN"/>
              </w:rPr>
              <w:t>编制/审核</w:t>
            </w:r>
            <w:r>
              <w:rPr>
                <w:rFonts w:hint="eastAsia" w:ascii="宋体" w:hAnsi="宋体" w:eastAsia="宋体" w:cs="宋体"/>
                <w:b/>
                <w:bCs/>
                <w:sz w:val="21"/>
                <w:szCs w:val="21"/>
                <w:highlight w:val="none"/>
              </w:rPr>
              <w:t>）</w:t>
            </w:r>
          </w:p>
        </w:tc>
        <w:tc>
          <w:tcPr>
            <w:tcW w:w="697" w:type="pct"/>
            <w:tcBorders>
              <w:top w:val="single" w:color="auto" w:sz="4" w:space="0"/>
              <w:left w:val="single" w:color="auto" w:sz="4" w:space="0"/>
              <w:bottom w:val="single" w:color="auto" w:sz="4" w:space="0"/>
              <w:right w:val="single" w:color="auto" w:sz="4" w:space="0"/>
            </w:tcBorders>
            <w:vAlign w:val="center"/>
          </w:tcPr>
          <w:p w14:paraId="2D02C6C6">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合同签订时间</w:t>
            </w:r>
          </w:p>
        </w:tc>
        <w:tc>
          <w:tcPr>
            <w:tcW w:w="420" w:type="pct"/>
            <w:tcBorders>
              <w:top w:val="single" w:color="auto" w:sz="4" w:space="0"/>
              <w:left w:val="single" w:color="auto" w:sz="4" w:space="0"/>
              <w:bottom w:val="single" w:color="auto" w:sz="4" w:space="0"/>
              <w:right w:val="single" w:color="auto" w:sz="4" w:space="0"/>
            </w:tcBorders>
            <w:vAlign w:val="center"/>
          </w:tcPr>
          <w:p w14:paraId="5E905A1B">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rPr>
            </w:pPr>
            <w:r>
              <w:rPr>
                <w:rFonts w:hint="eastAsia" w:ascii="宋体" w:hAnsi="宋体" w:eastAsia="宋体" w:cs="宋体"/>
                <w:b/>
                <w:bCs/>
                <w:kern w:val="2"/>
                <w:sz w:val="21"/>
                <w:szCs w:val="21"/>
                <w:highlight w:val="none"/>
                <w:lang w:val="zh-CN"/>
              </w:rPr>
              <w:t>完成情况</w:t>
            </w:r>
          </w:p>
        </w:tc>
        <w:tc>
          <w:tcPr>
            <w:tcW w:w="819" w:type="pct"/>
            <w:tcBorders>
              <w:top w:val="single" w:color="auto" w:sz="4" w:space="0"/>
              <w:left w:val="single" w:color="auto" w:sz="4" w:space="0"/>
              <w:bottom w:val="single" w:color="auto" w:sz="4" w:space="0"/>
              <w:right w:val="single" w:color="auto" w:sz="4" w:space="0"/>
            </w:tcBorders>
            <w:vAlign w:val="center"/>
          </w:tcPr>
          <w:p w14:paraId="62DD9A88">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rPr>
            </w:pPr>
            <w:r>
              <w:rPr>
                <w:rFonts w:hint="eastAsia" w:ascii="宋体" w:hAnsi="宋体" w:eastAsia="宋体" w:cs="宋体"/>
                <w:b/>
                <w:bCs/>
                <w:kern w:val="2"/>
                <w:sz w:val="21"/>
                <w:szCs w:val="21"/>
                <w:highlight w:val="none"/>
                <w:lang w:val="zh-CN"/>
              </w:rPr>
              <w:t>招标人电话及联系人</w:t>
            </w:r>
          </w:p>
        </w:tc>
      </w:tr>
      <w:tr w14:paraId="1B6D5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148B22D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1081" w:type="pct"/>
            <w:tcBorders>
              <w:top w:val="single" w:color="auto" w:sz="4" w:space="0"/>
              <w:left w:val="single" w:color="auto" w:sz="4" w:space="0"/>
              <w:bottom w:val="single" w:color="auto" w:sz="4" w:space="0"/>
              <w:right w:val="single" w:color="auto" w:sz="4" w:space="0"/>
            </w:tcBorders>
            <w:vAlign w:val="center"/>
          </w:tcPr>
          <w:p w14:paraId="38C3E5E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4E577BF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908" w:type="pct"/>
            <w:tcBorders>
              <w:top w:val="single" w:color="auto" w:sz="4" w:space="0"/>
              <w:left w:val="single" w:color="auto" w:sz="4" w:space="0"/>
              <w:bottom w:val="single" w:color="auto" w:sz="4" w:space="0"/>
              <w:right w:val="single" w:color="auto" w:sz="4" w:space="0"/>
            </w:tcBorders>
            <w:vAlign w:val="center"/>
          </w:tcPr>
          <w:p w14:paraId="0D3AF97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2A81EC9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420" w:type="pct"/>
            <w:tcBorders>
              <w:top w:val="single" w:color="auto" w:sz="4" w:space="0"/>
              <w:left w:val="single" w:color="auto" w:sz="4" w:space="0"/>
              <w:bottom w:val="single" w:color="auto" w:sz="4" w:space="0"/>
              <w:right w:val="single" w:color="auto" w:sz="4" w:space="0"/>
            </w:tcBorders>
            <w:vAlign w:val="center"/>
          </w:tcPr>
          <w:p w14:paraId="555DBE2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819" w:type="pct"/>
            <w:tcBorders>
              <w:top w:val="single" w:color="auto" w:sz="4" w:space="0"/>
              <w:left w:val="single" w:color="auto" w:sz="4" w:space="0"/>
              <w:bottom w:val="single" w:color="auto" w:sz="4" w:space="0"/>
              <w:right w:val="single" w:color="auto" w:sz="4" w:space="0"/>
            </w:tcBorders>
            <w:vAlign w:val="center"/>
          </w:tcPr>
          <w:p w14:paraId="08540C6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r>
      <w:tr w14:paraId="2AC933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4DD146D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1081" w:type="pct"/>
            <w:tcBorders>
              <w:top w:val="single" w:color="auto" w:sz="4" w:space="0"/>
              <w:left w:val="single" w:color="auto" w:sz="4" w:space="0"/>
              <w:bottom w:val="single" w:color="auto" w:sz="4" w:space="0"/>
              <w:right w:val="single" w:color="auto" w:sz="4" w:space="0"/>
            </w:tcBorders>
            <w:vAlign w:val="center"/>
          </w:tcPr>
          <w:p w14:paraId="7096F34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6A00CB5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908" w:type="pct"/>
            <w:tcBorders>
              <w:top w:val="single" w:color="auto" w:sz="4" w:space="0"/>
              <w:left w:val="single" w:color="auto" w:sz="4" w:space="0"/>
              <w:bottom w:val="single" w:color="auto" w:sz="4" w:space="0"/>
              <w:right w:val="single" w:color="auto" w:sz="4" w:space="0"/>
            </w:tcBorders>
            <w:vAlign w:val="center"/>
          </w:tcPr>
          <w:p w14:paraId="3B85472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03089E9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420" w:type="pct"/>
            <w:tcBorders>
              <w:top w:val="single" w:color="auto" w:sz="4" w:space="0"/>
              <w:left w:val="single" w:color="auto" w:sz="4" w:space="0"/>
              <w:bottom w:val="single" w:color="auto" w:sz="4" w:space="0"/>
              <w:right w:val="single" w:color="auto" w:sz="4" w:space="0"/>
            </w:tcBorders>
            <w:vAlign w:val="center"/>
          </w:tcPr>
          <w:p w14:paraId="7CB9738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819" w:type="pct"/>
            <w:tcBorders>
              <w:top w:val="single" w:color="auto" w:sz="4" w:space="0"/>
              <w:left w:val="single" w:color="auto" w:sz="4" w:space="0"/>
              <w:bottom w:val="single" w:color="auto" w:sz="4" w:space="0"/>
              <w:right w:val="single" w:color="auto" w:sz="4" w:space="0"/>
            </w:tcBorders>
            <w:vAlign w:val="center"/>
          </w:tcPr>
          <w:p w14:paraId="7192E0D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r>
      <w:tr w14:paraId="53AC6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03C614B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1081" w:type="pct"/>
            <w:tcBorders>
              <w:top w:val="single" w:color="auto" w:sz="4" w:space="0"/>
              <w:left w:val="single" w:color="auto" w:sz="4" w:space="0"/>
              <w:bottom w:val="single" w:color="auto" w:sz="4" w:space="0"/>
              <w:right w:val="single" w:color="auto" w:sz="4" w:space="0"/>
            </w:tcBorders>
            <w:vAlign w:val="center"/>
          </w:tcPr>
          <w:p w14:paraId="61168F7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3989DAC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908" w:type="pct"/>
            <w:tcBorders>
              <w:top w:val="single" w:color="auto" w:sz="4" w:space="0"/>
              <w:left w:val="single" w:color="auto" w:sz="4" w:space="0"/>
              <w:bottom w:val="single" w:color="auto" w:sz="4" w:space="0"/>
              <w:right w:val="single" w:color="auto" w:sz="4" w:space="0"/>
            </w:tcBorders>
            <w:vAlign w:val="center"/>
          </w:tcPr>
          <w:p w14:paraId="789A363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4F1ED1D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420" w:type="pct"/>
            <w:tcBorders>
              <w:top w:val="single" w:color="auto" w:sz="4" w:space="0"/>
              <w:left w:val="single" w:color="auto" w:sz="4" w:space="0"/>
              <w:bottom w:val="single" w:color="auto" w:sz="4" w:space="0"/>
              <w:right w:val="single" w:color="auto" w:sz="4" w:space="0"/>
            </w:tcBorders>
            <w:vAlign w:val="center"/>
          </w:tcPr>
          <w:p w14:paraId="6C651AA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819" w:type="pct"/>
            <w:tcBorders>
              <w:top w:val="single" w:color="auto" w:sz="4" w:space="0"/>
              <w:left w:val="single" w:color="auto" w:sz="4" w:space="0"/>
              <w:bottom w:val="single" w:color="auto" w:sz="4" w:space="0"/>
              <w:right w:val="single" w:color="auto" w:sz="4" w:space="0"/>
            </w:tcBorders>
            <w:vAlign w:val="center"/>
          </w:tcPr>
          <w:p w14:paraId="7DBCEBB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r>
      <w:tr w14:paraId="0105E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1915316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r>
              <w:rPr>
                <w:rFonts w:hint="default" w:asciiTheme="minorEastAsia" w:hAnsiTheme="minorEastAsia" w:eastAsiaTheme="minorEastAsia"/>
                <w:sz w:val="21"/>
                <w:szCs w:val="21"/>
                <w:highlight w:val="none"/>
              </w:rPr>
              <w:t>…</w:t>
            </w:r>
          </w:p>
        </w:tc>
        <w:tc>
          <w:tcPr>
            <w:tcW w:w="1081" w:type="pct"/>
            <w:tcBorders>
              <w:top w:val="single" w:color="auto" w:sz="4" w:space="0"/>
              <w:left w:val="single" w:color="auto" w:sz="4" w:space="0"/>
              <w:bottom w:val="single" w:color="auto" w:sz="4" w:space="0"/>
              <w:right w:val="single" w:color="auto" w:sz="4" w:space="0"/>
            </w:tcBorders>
            <w:vAlign w:val="center"/>
          </w:tcPr>
          <w:p w14:paraId="5D15F6A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2EA4D05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908" w:type="pct"/>
            <w:tcBorders>
              <w:top w:val="single" w:color="auto" w:sz="4" w:space="0"/>
              <w:left w:val="single" w:color="auto" w:sz="4" w:space="0"/>
              <w:bottom w:val="single" w:color="auto" w:sz="4" w:space="0"/>
              <w:right w:val="single" w:color="auto" w:sz="4" w:space="0"/>
            </w:tcBorders>
            <w:vAlign w:val="center"/>
          </w:tcPr>
          <w:p w14:paraId="03D8973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272E8A2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420" w:type="pct"/>
            <w:tcBorders>
              <w:top w:val="single" w:color="auto" w:sz="4" w:space="0"/>
              <w:left w:val="single" w:color="auto" w:sz="4" w:space="0"/>
              <w:bottom w:val="single" w:color="auto" w:sz="4" w:space="0"/>
              <w:right w:val="single" w:color="auto" w:sz="4" w:space="0"/>
            </w:tcBorders>
            <w:vAlign w:val="center"/>
          </w:tcPr>
          <w:p w14:paraId="3F77AEB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c>
          <w:tcPr>
            <w:tcW w:w="819" w:type="pct"/>
            <w:tcBorders>
              <w:top w:val="single" w:color="auto" w:sz="4" w:space="0"/>
              <w:left w:val="single" w:color="auto" w:sz="4" w:space="0"/>
              <w:bottom w:val="single" w:color="auto" w:sz="4" w:space="0"/>
              <w:right w:val="single" w:color="auto" w:sz="4" w:space="0"/>
            </w:tcBorders>
            <w:vAlign w:val="center"/>
          </w:tcPr>
          <w:p w14:paraId="6D76C8E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p>
        </w:tc>
      </w:tr>
    </w:tbl>
    <w:p w14:paraId="4CC00961">
      <w:pPr>
        <w:snapToGrid w:val="0"/>
        <w:spacing w:before="164" w:beforeLines="50" w:line="360" w:lineRule="auto"/>
        <w:ind w:left="399" w:leftChars="-58" w:hanging="521" w:hangingChars="247"/>
        <w:rPr>
          <w:rFonts w:hint="eastAsia" w:ascii="宋体" w:hAnsi="宋体" w:eastAsia="宋体" w:cs="宋体"/>
          <w:b/>
          <w:bCs/>
          <w:kern w:val="2"/>
          <w:sz w:val="21"/>
          <w:highlight w:val="none"/>
          <w:lang w:val="zh-CN"/>
        </w:rPr>
      </w:pPr>
      <w:r>
        <w:rPr>
          <w:rFonts w:hint="eastAsia" w:ascii="宋体" w:hAnsi="宋体" w:eastAsia="宋体" w:cs="宋体"/>
          <w:b/>
          <w:bCs/>
          <w:kern w:val="2"/>
          <w:sz w:val="21"/>
          <w:highlight w:val="none"/>
          <w:lang w:val="zh-CN"/>
        </w:rPr>
        <w:t>备注：</w:t>
      </w:r>
    </w:p>
    <w:p w14:paraId="64CC22B5">
      <w:pPr>
        <w:snapToGrid w:val="0"/>
        <w:spacing w:line="360" w:lineRule="auto"/>
        <w:ind w:left="396" w:leftChars="-58" w:hanging="518" w:hangingChars="247"/>
        <w:rPr>
          <w:rFonts w:hint="eastAsia" w:ascii="宋体" w:hAnsi="宋体" w:eastAsia="宋体" w:cs="宋体"/>
          <w:b/>
          <w:bCs/>
          <w:sz w:val="21"/>
          <w:szCs w:val="21"/>
          <w:highlight w:val="none"/>
        </w:rPr>
      </w:pPr>
      <w:r>
        <w:rPr>
          <w:rFonts w:hint="eastAsia" w:ascii="宋体" w:hAnsi="宋体" w:eastAsia="宋体" w:cs="宋体"/>
          <w:kern w:val="2"/>
          <w:sz w:val="21"/>
          <w:highlight w:val="none"/>
          <w:lang w:val="zh-CN"/>
        </w:rPr>
        <w:t>（</w:t>
      </w:r>
      <w:r>
        <w:rPr>
          <w:rFonts w:hint="eastAsia" w:ascii="宋体" w:hAnsi="宋体" w:eastAsia="宋体" w:cs="宋体"/>
          <w:kern w:val="2"/>
          <w:sz w:val="21"/>
          <w:highlight w:val="none"/>
          <w:lang w:val="en-US" w:eastAsia="zh-CN"/>
        </w:rPr>
        <w:t>1</w:t>
      </w:r>
      <w:r>
        <w:rPr>
          <w:rFonts w:hint="eastAsia" w:ascii="宋体" w:hAnsi="宋体" w:eastAsia="宋体" w:cs="宋体"/>
          <w:kern w:val="2"/>
          <w:sz w:val="21"/>
          <w:highlight w:val="none"/>
          <w:lang w:val="zh-CN"/>
        </w:rPr>
        <w:t>）本项目所述“信息化建设项目”是指硬件和通用软件采购类、软件开发类、机房及网络工程类项目，其他类型造价咨询业绩不得分。</w:t>
      </w:r>
      <w:r>
        <w:rPr>
          <w:rFonts w:hint="eastAsia" w:ascii="宋体" w:hAnsi="宋体" w:eastAsia="宋体" w:cs="宋体"/>
          <w:b/>
          <w:bCs/>
          <w:sz w:val="21"/>
          <w:szCs w:val="21"/>
          <w:highlight w:val="none"/>
          <w:lang w:val="zh-CN"/>
        </w:rPr>
        <w:t>业绩须附合同及项目的相关成果文件关键页</w:t>
      </w:r>
      <w:r>
        <w:rPr>
          <w:rFonts w:hint="eastAsia" w:ascii="宋体" w:hAnsi="宋体" w:eastAsia="宋体" w:cs="宋体"/>
          <w:b/>
          <w:bCs/>
          <w:sz w:val="21"/>
          <w:szCs w:val="21"/>
          <w:highlight w:val="none"/>
          <w:lang w:val="en-US" w:eastAsia="zh-CN"/>
        </w:rPr>
        <w:t>扫描件</w:t>
      </w:r>
      <w:r>
        <w:rPr>
          <w:rFonts w:hint="eastAsia" w:ascii="宋体" w:hAnsi="宋体" w:eastAsia="宋体" w:cs="宋体"/>
          <w:b/>
          <w:bCs/>
          <w:sz w:val="21"/>
          <w:szCs w:val="21"/>
          <w:highlight w:val="none"/>
          <w:lang w:val="zh-CN"/>
        </w:rPr>
        <w:t>加盖投标人公章，否则不得分</w:t>
      </w:r>
      <w:r>
        <w:rPr>
          <w:rFonts w:hint="eastAsia" w:ascii="宋体" w:hAnsi="宋体" w:eastAsia="宋体" w:cs="宋体"/>
          <w:b/>
          <w:bCs/>
          <w:sz w:val="21"/>
          <w:szCs w:val="21"/>
          <w:highlight w:val="none"/>
        </w:rPr>
        <w:t>；</w:t>
      </w:r>
    </w:p>
    <w:p w14:paraId="0F90D5C7">
      <w:pPr>
        <w:snapToGrid w:val="0"/>
        <w:spacing w:line="360" w:lineRule="auto"/>
        <w:ind w:left="396" w:leftChars="-58" w:hanging="518" w:hangingChars="247"/>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rPr>
        <w:t>）合同等业绩证明材料必须能反映评分条件[合同签订日期为202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年1月1日或以后，合同标的必须为</w:t>
      </w:r>
      <w:r>
        <w:rPr>
          <w:rFonts w:hint="eastAsia" w:ascii="宋体" w:hAnsi="宋体" w:eastAsia="宋体" w:cs="宋体"/>
          <w:sz w:val="21"/>
          <w:szCs w:val="21"/>
          <w:highlight w:val="none"/>
          <w:lang w:val="zh-CN"/>
        </w:rPr>
        <w:t>信息化建设项目造价咨询</w:t>
      </w:r>
      <w:r>
        <w:rPr>
          <w:rFonts w:hint="eastAsia" w:ascii="宋体" w:hAnsi="宋体" w:eastAsia="宋体" w:cs="宋体"/>
          <w:sz w:val="21"/>
          <w:szCs w:val="21"/>
          <w:highlight w:val="none"/>
        </w:rPr>
        <w:t>业绩]，否则，</w:t>
      </w:r>
      <w:r>
        <w:rPr>
          <w:rFonts w:hint="eastAsia" w:ascii="宋体" w:hAnsi="宋体" w:eastAsia="宋体" w:cs="宋体"/>
          <w:b/>
          <w:color w:val="auto"/>
          <w:sz w:val="21"/>
          <w:szCs w:val="21"/>
          <w:highlight w:val="none"/>
          <w:lang w:val="en-US" w:eastAsia="zh-CN"/>
        </w:rPr>
        <w:t>还</w:t>
      </w:r>
      <w:r>
        <w:rPr>
          <w:rFonts w:hint="eastAsia" w:ascii="宋体" w:hAnsi="宋体" w:eastAsia="宋体" w:cs="宋体"/>
          <w:b/>
          <w:color w:val="auto"/>
          <w:sz w:val="21"/>
          <w:szCs w:val="21"/>
          <w:highlight w:val="none"/>
        </w:rPr>
        <w:t>需同时提供业主</w:t>
      </w:r>
      <w:r>
        <w:rPr>
          <w:rFonts w:hint="eastAsia" w:ascii="宋体" w:hAnsi="宋体" w:eastAsia="宋体" w:cs="宋体"/>
          <w:b/>
          <w:color w:val="auto"/>
          <w:sz w:val="21"/>
          <w:szCs w:val="21"/>
          <w:highlight w:val="none"/>
          <w:lang w:val="en-US" w:eastAsia="zh-CN"/>
        </w:rPr>
        <w:t>方</w:t>
      </w:r>
      <w:r>
        <w:rPr>
          <w:rFonts w:hint="eastAsia" w:ascii="宋体" w:hAnsi="宋体" w:eastAsia="宋体" w:cs="宋体"/>
          <w:b/>
          <w:color w:val="auto"/>
          <w:sz w:val="21"/>
          <w:szCs w:val="21"/>
          <w:highlight w:val="none"/>
        </w:rPr>
        <w:t>出具的书面补充情况说明文件</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shd w:val="clear" w:color="auto" w:fill="FFFFFF"/>
        </w:rPr>
        <w:t>补充情况说明文件</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bCs/>
          <w:color w:val="auto"/>
          <w:szCs w:val="21"/>
          <w:highlight w:val="none"/>
          <w:shd w:val="clear" w:color="auto" w:fill="FFFFFF"/>
        </w:rPr>
        <w:t>能显示</w:t>
      </w:r>
      <w:r>
        <w:rPr>
          <w:rFonts w:hint="eastAsia" w:ascii="宋体" w:hAnsi="宋体" w:eastAsia="宋体" w:cs="宋体"/>
          <w:b/>
          <w:bCs/>
          <w:color w:val="auto"/>
          <w:szCs w:val="21"/>
          <w:highlight w:val="none"/>
          <w:shd w:val="clear" w:color="auto" w:fill="FFFFFF"/>
          <w:lang w:val="en-US" w:eastAsia="zh-CN"/>
        </w:rPr>
        <w:t>业主</w:t>
      </w:r>
      <w:r>
        <w:rPr>
          <w:rFonts w:hint="eastAsia" w:ascii="宋体" w:hAnsi="宋体" w:eastAsia="宋体" w:cs="宋体"/>
          <w:b/>
          <w:bCs/>
          <w:color w:val="auto"/>
          <w:szCs w:val="21"/>
          <w:highlight w:val="none"/>
          <w:shd w:val="clear" w:color="auto" w:fill="FFFFFF"/>
        </w:rPr>
        <w:t>方公章</w:t>
      </w:r>
      <w:r>
        <w:rPr>
          <w:rFonts w:hint="eastAsia" w:ascii="宋体" w:hAnsi="宋体" w:eastAsia="宋体" w:cs="宋体"/>
          <w:b/>
          <w:color w:val="auto"/>
          <w:szCs w:val="21"/>
          <w:highlight w:val="none"/>
        </w:rPr>
        <w:t>）</w:t>
      </w:r>
      <w:r>
        <w:rPr>
          <w:rFonts w:hint="eastAsia" w:ascii="宋体" w:hAnsi="宋体" w:eastAsia="宋体" w:cs="宋体"/>
          <w:sz w:val="21"/>
          <w:szCs w:val="21"/>
          <w:highlight w:val="none"/>
          <w:lang w:eastAsia="zh-CN"/>
        </w:rPr>
        <w:t>；</w:t>
      </w:r>
    </w:p>
    <w:p w14:paraId="048B063B">
      <w:pPr>
        <w:snapToGrid w:val="0"/>
        <w:spacing w:line="360" w:lineRule="auto"/>
        <w:ind w:left="396" w:leftChars="-58" w:hanging="518" w:hangingChars="247"/>
        <w:rPr>
          <w:rFonts w:hint="eastAsia" w:ascii="宋体" w:hAnsi="宋体" w:eastAsia="宋体" w:cs="宋体"/>
          <w:sz w:val="21"/>
          <w:szCs w:val="21"/>
          <w:highlight w:val="none"/>
        </w:rPr>
      </w:pP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eastAsia="zh-CN"/>
        </w:rPr>
        <w:t>3</w:t>
      </w:r>
      <w:r>
        <w:rPr>
          <w:rFonts w:hint="eastAsia" w:ascii="宋体" w:hAnsi="宋体" w:eastAsia="宋体" w:cs="宋体"/>
          <w:kern w:val="2"/>
          <w:sz w:val="21"/>
          <w:szCs w:val="21"/>
          <w:highlight w:val="none"/>
        </w:rPr>
        <w:t>）</w:t>
      </w:r>
      <w:r>
        <w:rPr>
          <w:rFonts w:hint="eastAsia" w:ascii="宋体" w:hAnsi="宋体" w:eastAsia="宋体" w:cs="宋体"/>
          <w:sz w:val="21"/>
          <w:szCs w:val="21"/>
          <w:highlight w:val="none"/>
          <w:lang w:val="zh-CN"/>
        </w:rPr>
        <w:t>若业绩合同为框架式协议或资格入围的，须同时提供中标（成交）通知书及合同期内对应的项目成果文件，按成果文件数量计算得分</w:t>
      </w:r>
      <w:r>
        <w:rPr>
          <w:rFonts w:hint="eastAsia" w:ascii="宋体" w:hAnsi="宋体" w:eastAsia="宋体" w:cs="宋体"/>
          <w:b w:val="0"/>
          <w:bCs w:val="0"/>
          <w:sz w:val="21"/>
          <w:szCs w:val="21"/>
          <w:highlight w:val="none"/>
          <w:lang w:val="zh-CN"/>
        </w:rPr>
        <w:t>；</w:t>
      </w:r>
    </w:p>
    <w:p w14:paraId="2252999D">
      <w:pPr>
        <w:snapToGrid w:val="0"/>
        <w:spacing w:line="360" w:lineRule="auto"/>
        <w:ind w:left="396" w:leftChars="-58" w:hanging="518" w:hangingChars="247"/>
        <w:outlineLvl w:val="1"/>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eastAsia="zh-CN"/>
        </w:rPr>
        <w:t>4</w:t>
      </w:r>
      <w:r>
        <w:rPr>
          <w:rFonts w:hint="eastAsia" w:ascii="宋体" w:hAnsi="宋体" w:eastAsia="宋体" w:cs="宋体"/>
          <w:kern w:val="2"/>
          <w:sz w:val="21"/>
          <w:szCs w:val="21"/>
          <w:highlight w:val="none"/>
        </w:rPr>
        <w:t>）业绩不重复计算，由投标人自行放入对应的评分子项</w:t>
      </w:r>
      <w:r>
        <w:rPr>
          <w:rFonts w:hint="eastAsia" w:ascii="宋体" w:hAnsi="宋体" w:eastAsia="宋体" w:cs="宋体"/>
          <w:sz w:val="21"/>
          <w:szCs w:val="21"/>
          <w:highlight w:val="none"/>
        </w:rPr>
        <w:t>；</w:t>
      </w:r>
    </w:p>
    <w:p w14:paraId="55DBD6DA">
      <w:pPr>
        <w:snapToGrid w:val="0"/>
        <w:spacing w:line="360" w:lineRule="auto"/>
        <w:ind w:left="443" w:leftChars="-59" w:right="-248" w:rightChars="-118" w:hanging="567" w:hangingChars="27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eastAsia="zh-CN"/>
        </w:rPr>
        <w:t>5</w:t>
      </w:r>
      <w:r>
        <w:rPr>
          <w:rFonts w:hint="eastAsia" w:ascii="宋体" w:hAnsi="宋体" w:eastAsia="宋体" w:cs="宋体"/>
          <w:kern w:val="2"/>
          <w:sz w:val="21"/>
          <w:szCs w:val="21"/>
          <w:highlight w:val="none"/>
        </w:rPr>
        <w:t>）未按上述要求提供证明材料的业绩，或所附材料无法证明填报项目符合本项评分要求的业绩，在评标时将不予考虑。</w:t>
      </w:r>
    </w:p>
    <w:p w14:paraId="603B3520">
      <w:pPr>
        <w:spacing w:line="360" w:lineRule="auto"/>
        <w:ind w:firstLine="5040" w:firstLineChars="2400"/>
        <w:rPr>
          <w:rFonts w:hAnsi="宋体"/>
          <w:kern w:val="2"/>
          <w:sz w:val="21"/>
          <w:highlight w:val="none"/>
          <w:lang w:val="zh-CN"/>
        </w:rPr>
      </w:pPr>
    </w:p>
    <w:p w14:paraId="61C810B0">
      <w:pPr>
        <w:spacing w:line="360" w:lineRule="auto"/>
        <w:ind w:firstLine="5040" w:firstLineChars="2400"/>
        <w:rPr>
          <w:rFonts w:hAnsi="宋体"/>
          <w:kern w:val="2"/>
          <w:sz w:val="21"/>
          <w:highlight w:val="none"/>
          <w:lang w:val="zh-CN"/>
        </w:rPr>
      </w:pPr>
    </w:p>
    <w:p w14:paraId="4BE04A62">
      <w:pPr>
        <w:spacing w:line="360" w:lineRule="auto"/>
        <w:ind w:firstLine="5040" w:firstLineChars="2400"/>
        <w:rPr>
          <w:rFonts w:hint="eastAsia" w:ascii="宋体" w:hAnsi="宋体" w:eastAsia="宋体" w:cs="宋体"/>
          <w:kern w:val="2"/>
          <w:sz w:val="21"/>
          <w:highlight w:val="none"/>
          <w:lang w:val="zh-CN"/>
        </w:rPr>
      </w:pPr>
      <w:r>
        <w:rPr>
          <w:rFonts w:hint="eastAsia" w:ascii="宋体" w:hAnsi="宋体" w:eastAsia="宋体" w:cs="宋体"/>
          <w:kern w:val="2"/>
          <w:sz w:val="21"/>
          <w:highlight w:val="none"/>
          <w:lang w:val="zh-CN"/>
        </w:rPr>
        <w:t>投标人：（加盖投标人法人公章）</w:t>
      </w:r>
    </w:p>
    <w:p w14:paraId="769276D4">
      <w:pPr>
        <w:spacing w:line="360" w:lineRule="auto"/>
        <w:ind w:firstLine="5040" w:firstLineChars="2400"/>
        <w:rPr>
          <w:rFonts w:hint="eastAsia" w:ascii="宋体" w:hAnsi="宋体" w:eastAsia="宋体" w:cs="宋体"/>
          <w:kern w:val="2"/>
          <w:sz w:val="21"/>
          <w:highlight w:val="none"/>
          <w:lang w:val="zh-CN"/>
        </w:rPr>
      </w:pPr>
      <w:r>
        <w:rPr>
          <w:rFonts w:hint="eastAsia" w:ascii="宋体" w:hAnsi="宋体" w:eastAsia="宋体" w:cs="宋体"/>
          <w:kern w:val="2"/>
          <w:sz w:val="21"/>
          <w:highlight w:val="none"/>
          <w:lang w:val="zh-CN"/>
        </w:rPr>
        <w:t>日期：   年   月   日</w:t>
      </w:r>
    </w:p>
    <w:p w14:paraId="5F24A51B">
      <w:pPr>
        <w:widowControl/>
        <w:autoSpaceDE w:val="0"/>
        <w:autoSpaceDN w:val="0"/>
        <w:adjustRightInd w:val="0"/>
        <w:spacing w:line="360" w:lineRule="auto"/>
        <w:jc w:val="center"/>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6D3AD645">
      <w:pPr>
        <w:numPr>
          <w:ilvl w:val="0"/>
          <w:numId w:val="0"/>
        </w:num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2"/>
          <w:sz w:val="32"/>
          <w:szCs w:val="32"/>
          <w:highlight w:val="none"/>
          <w:lang w:val="en-US" w:eastAsia="zh-CN" w:bidi="ar"/>
        </w:rPr>
      </w:pPr>
      <w:bookmarkStart w:id="698" w:name="_Toc28283"/>
      <w:bookmarkStart w:id="699" w:name="_Toc10961"/>
      <w:bookmarkStart w:id="700" w:name="_Toc29650"/>
      <w:bookmarkStart w:id="701" w:name="_Toc195714395"/>
      <w:bookmarkStart w:id="702" w:name="_Toc1476"/>
      <w:r>
        <w:rPr>
          <w:rFonts w:hint="eastAsia" w:ascii="宋体" w:hAnsi="宋体" w:eastAsia="宋体" w:cs="宋体"/>
          <w:b/>
          <w:bCs/>
          <w:color w:val="auto"/>
          <w:kern w:val="2"/>
          <w:sz w:val="32"/>
          <w:szCs w:val="32"/>
          <w:highlight w:val="none"/>
          <w:lang w:val="en-US" w:eastAsia="zh-CN" w:bidi="ar"/>
        </w:rPr>
        <w:t>九、承诺书格式</w:t>
      </w:r>
      <w:bookmarkEnd w:id="698"/>
    </w:p>
    <w:p w14:paraId="6EA003F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承诺书</w:t>
      </w:r>
    </w:p>
    <w:p w14:paraId="30B68E92">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default"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
        </w:rPr>
        <w:t>致：</w:t>
      </w:r>
      <w:r>
        <w:rPr>
          <w:rFonts w:hint="eastAsia" w:ascii="宋体" w:hAnsi="宋体" w:eastAsia="宋体" w:cs="宋体"/>
          <w:b/>
          <w:bCs/>
          <w:color w:val="auto"/>
          <w:szCs w:val="21"/>
          <w:highlight w:val="none"/>
        </w:rPr>
        <w:t>东莞市水务集</w:t>
      </w:r>
      <w:r>
        <w:rPr>
          <w:rFonts w:hint="eastAsia" w:ascii="宋体" w:hAnsi="宋体" w:eastAsia="宋体" w:cs="宋体"/>
          <w:b/>
          <w:bCs/>
          <w:color w:val="auto"/>
          <w:szCs w:val="21"/>
          <w:highlight w:val="none"/>
          <w:lang w:val="en-US" w:eastAsia="zh-CN"/>
        </w:rPr>
        <w:t>有限公司</w:t>
      </w:r>
    </w:p>
    <w:p w14:paraId="13BA99CC">
      <w:pPr>
        <w:keepNext w:val="0"/>
        <w:keepLines w:val="0"/>
        <w:widowControl w:val="0"/>
        <w:suppressLineNumbers w:val="0"/>
        <w:autoSpaceDE w:val="0"/>
        <w:autoSpaceDN w:val="0"/>
        <w:adjustRightInd w:val="0"/>
        <w:spacing w:before="0" w:beforeAutospacing="0" w:after="0" w:afterAutospacing="0" w:line="360" w:lineRule="auto"/>
        <w:ind w:left="-31" w:leftChars="-15" w:right="18" w:firstLine="457" w:firstLineChars="218"/>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在贵单位组织招标的</w:t>
      </w:r>
      <w:r>
        <w:rPr>
          <w:rFonts w:hint="eastAsia" w:ascii="宋体" w:hAnsi="宋体" w:eastAsia="宋体" w:cs="宋体"/>
          <w:b/>
          <w:bCs/>
          <w:color w:val="auto"/>
          <w:szCs w:val="21"/>
          <w:highlight w:val="none"/>
        </w:rPr>
        <w:t>东莞市水务集团造价咨询服务单位库(2025-2026)采购项目（招标编号：</w:t>
      </w:r>
      <w:r>
        <w:rPr>
          <w:rFonts w:hint="eastAsia" w:ascii="宋体" w:hAnsi="宋体" w:eastAsia="宋体" w:cs="宋体"/>
          <w:b/>
          <w:bCs/>
          <w:color w:val="auto"/>
          <w:szCs w:val="21"/>
          <w:highlight w:val="none"/>
          <w:lang w:eastAsia="zh-CN"/>
        </w:rPr>
        <w:t xml:space="preserve"> </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w:t>
      </w:r>
      <w:r>
        <w:rPr>
          <w:rFonts w:hint="eastAsia" w:ascii="宋体" w:hAnsi="宋体" w:eastAsia="宋体" w:cs="宋体"/>
          <w:color w:val="auto"/>
          <w:kern w:val="2"/>
          <w:sz w:val="21"/>
          <w:szCs w:val="21"/>
          <w:highlight w:val="none"/>
          <w:lang w:val="en-US" w:eastAsia="zh-CN" w:bidi="ar"/>
        </w:rPr>
        <w:t>招标中，我司如获中标，承诺如下：</w:t>
      </w:r>
    </w:p>
    <w:p w14:paraId="53801DDD">
      <w:pPr>
        <w:keepNext w:val="0"/>
        <w:keepLines w:val="0"/>
        <w:widowControl w:val="0"/>
        <w:suppressLineNumbers w:val="0"/>
        <w:autoSpaceDE w:val="0"/>
        <w:autoSpaceDN w:val="0"/>
        <w:adjustRightInd w:val="0"/>
        <w:spacing w:before="0" w:beforeAutospacing="0" w:after="0" w:afterAutospacing="0" w:line="360" w:lineRule="auto"/>
        <w:ind w:left="-31" w:leftChars="-15" w:right="18" w:firstLine="460" w:firstLineChars="218"/>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若我公司</w:t>
      </w:r>
      <w:r>
        <w:rPr>
          <w:rFonts w:hint="eastAsia" w:ascii="宋体" w:hAnsi="宋体" w:eastAsia="宋体" w:cs="宋体"/>
          <w:b/>
          <w:bCs/>
          <w:color w:val="auto"/>
          <w:kern w:val="2"/>
          <w:sz w:val="21"/>
          <w:szCs w:val="21"/>
          <w:highlight w:val="none"/>
          <w:lang w:val="en-US" w:eastAsia="zh-CN" w:bidi="ar"/>
        </w:rPr>
        <w:t>在提交投标文件截止时间尚未</w:t>
      </w:r>
      <w:r>
        <w:rPr>
          <w:rFonts w:hint="eastAsia" w:ascii="宋体" w:hAnsi="宋体" w:eastAsia="宋体" w:cs="宋体"/>
          <w:b/>
          <w:bCs/>
          <w:color w:val="auto"/>
          <w:sz w:val="21"/>
          <w:szCs w:val="21"/>
          <w:highlight w:val="none"/>
        </w:rPr>
        <w:t>东莞市住房和城乡建设局（网址：http://zjj.dg.gov.cn/）</w:t>
      </w:r>
      <w:r>
        <w:rPr>
          <w:rFonts w:hint="eastAsia" w:ascii="宋体" w:hAnsi="宋体" w:eastAsia="宋体" w:cs="宋体"/>
          <w:b/>
          <w:bCs/>
          <w:color w:val="auto"/>
          <w:sz w:val="21"/>
          <w:szCs w:val="21"/>
          <w:highlight w:val="none"/>
          <w:lang w:val="en-US" w:eastAsia="zh-CN"/>
        </w:rPr>
        <w:t>及</w:t>
      </w:r>
      <w:r>
        <w:rPr>
          <w:rFonts w:hint="eastAsia" w:ascii="宋体" w:hAnsi="宋体" w:eastAsia="宋体" w:cs="宋体"/>
          <w:b/>
          <w:bCs/>
          <w:snapToGrid w:val="0"/>
          <w:color w:val="auto"/>
          <w:spacing w:val="0"/>
          <w:kern w:val="0"/>
          <w:sz w:val="21"/>
          <w:szCs w:val="21"/>
          <w:highlight w:val="none"/>
          <w:lang w:val="en-US" w:eastAsia="en-US" w:bidi="ar-SA"/>
        </w:rPr>
        <w:t>东莞市水务局“水务工程参建企业信用管理系统”（简称“水务信用系统”）</w:t>
      </w:r>
      <w:r>
        <w:rPr>
          <w:rFonts w:hint="eastAsia" w:ascii="宋体" w:hAnsi="宋体" w:eastAsia="宋体" w:cs="宋体"/>
          <w:b/>
          <w:bCs/>
          <w:color w:val="auto"/>
          <w:sz w:val="21"/>
          <w:szCs w:val="21"/>
          <w:highlight w:val="none"/>
        </w:rPr>
        <w:t>完成企业信息档案登记（企业类型必须为：工程造价咨询机构）</w:t>
      </w:r>
      <w:r>
        <w:rPr>
          <w:rFonts w:hint="eastAsia" w:ascii="宋体" w:hAnsi="宋体" w:eastAsia="宋体" w:cs="宋体"/>
          <w:b/>
          <w:bCs/>
          <w:color w:val="auto"/>
          <w:kern w:val="2"/>
          <w:sz w:val="21"/>
          <w:szCs w:val="21"/>
          <w:highlight w:val="none"/>
          <w:lang w:val="en-US" w:eastAsia="zh-CN" w:bidi="ar"/>
        </w:rPr>
        <w:t>，我公司承诺中标后一个月内</w:t>
      </w:r>
      <w:r>
        <w:rPr>
          <w:rFonts w:hint="eastAsia" w:ascii="宋体" w:hAnsi="宋体" w:eastAsia="宋体" w:cs="宋体"/>
          <w:b/>
          <w:bCs/>
          <w:color w:val="auto"/>
          <w:sz w:val="21"/>
          <w:szCs w:val="21"/>
          <w:highlight w:val="none"/>
        </w:rPr>
        <w:t>在东莞市住房和城乡建设局</w:t>
      </w:r>
      <w:r>
        <w:rPr>
          <w:rFonts w:hint="eastAsia" w:ascii="宋体" w:hAnsi="宋体" w:eastAsia="宋体" w:cs="宋体"/>
          <w:b/>
          <w:bCs/>
          <w:color w:val="auto"/>
          <w:sz w:val="21"/>
          <w:szCs w:val="21"/>
          <w:highlight w:val="none"/>
          <w:lang w:val="en-US" w:eastAsia="zh-CN"/>
        </w:rPr>
        <w:t>及</w:t>
      </w:r>
      <w:r>
        <w:rPr>
          <w:rFonts w:hint="eastAsia" w:ascii="宋体" w:hAnsi="宋体" w:eastAsia="宋体" w:cs="宋体"/>
          <w:b/>
          <w:bCs/>
          <w:color w:val="auto"/>
          <w:sz w:val="21"/>
          <w:szCs w:val="21"/>
          <w:highlight w:val="none"/>
          <w:lang w:val="en-US" w:eastAsia="en-US"/>
        </w:rPr>
        <w:t>水务信用系统</w:t>
      </w: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b/>
          <w:bCs/>
          <w:color w:val="auto"/>
          <w:sz w:val="21"/>
          <w:szCs w:val="21"/>
          <w:highlight w:val="none"/>
        </w:rPr>
        <w:t>完成企业信息登记工作</w:t>
      </w:r>
      <w:r>
        <w:rPr>
          <w:rFonts w:hint="eastAsia" w:ascii="宋体" w:hAnsi="宋体" w:eastAsia="宋体" w:cs="宋体"/>
          <w:b/>
          <w:bCs/>
          <w:snapToGrid w:val="0"/>
          <w:color w:val="auto"/>
          <w:spacing w:val="0"/>
          <w:kern w:val="0"/>
          <w:sz w:val="21"/>
          <w:szCs w:val="21"/>
          <w:highlight w:val="none"/>
          <w:lang w:val="en-US" w:eastAsia="zh-CN" w:bidi="ar-SA"/>
        </w:rPr>
        <w:t>，</w:t>
      </w:r>
      <w:r>
        <w:rPr>
          <w:rFonts w:hint="eastAsia" w:ascii="宋体" w:hAnsi="宋体" w:eastAsia="宋体" w:cs="宋体"/>
          <w:b/>
          <w:bCs/>
          <w:snapToGrid w:val="0"/>
          <w:color w:val="auto"/>
          <w:spacing w:val="0"/>
          <w:kern w:val="0"/>
          <w:sz w:val="21"/>
          <w:szCs w:val="21"/>
          <w:highlight w:val="none"/>
          <w:lang w:val="en-US" w:eastAsia="en-US" w:bidi="ar-SA"/>
        </w:rPr>
        <w:t>否则视为放弃中标</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snapToGrid w:val="0"/>
          <w:color w:val="auto"/>
          <w:kern w:val="0"/>
          <w:szCs w:val="21"/>
          <w:highlight w:val="none"/>
          <w:lang w:val="en-US" w:eastAsia="en-US"/>
        </w:rPr>
        <w:t>如</w:t>
      </w:r>
      <w:r>
        <w:rPr>
          <w:rFonts w:hint="eastAsia" w:ascii="宋体" w:hAnsi="宋体" w:eastAsia="宋体" w:cs="宋体"/>
          <w:b/>
          <w:bCs/>
          <w:snapToGrid w:val="0"/>
          <w:color w:val="auto"/>
          <w:spacing w:val="0"/>
          <w:kern w:val="0"/>
          <w:sz w:val="21"/>
          <w:szCs w:val="21"/>
          <w:highlight w:val="none"/>
          <w:lang w:val="en-US" w:eastAsia="en-US" w:bidi="ar-SA"/>
        </w:rPr>
        <w:t>投标人</w:t>
      </w:r>
      <w:r>
        <w:rPr>
          <w:rFonts w:hint="eastAsia" w:ascii="宋体" w:hAnsi="宋体" w:eastAsia="宋体" w:cs="宋体"/>
          <w:b/>
          <w:bCs/>
          <w:snapToGrid w:val="0"/>
          <w:color w:val="auto"/>
          <w:spacing w:val="0"/>
          <w:kern w:val="0"/>
          <w:sz w:val="21"/>
          <w:szCs w:val="21"/>
          <w:highlight w:val="none"/>
          <w:lang w:val="en-US" w:eastAsia="zh-CN" w:bidi="ar-SA"/>
        </w:rPr>
        <w:t>在提交投标文件截止时间前</w:t>
      </w:r>
      <w:r>
        <w:rPr>
          <w:rFonts w:hint="eastAsia" w:ascii="宋体" w:hAnsi="宋体" w:eastAsia="宋体" w:cs="宋体"/>
          <w:b/>
          <w:bCs/>
          <w:snapToGrid w:val="0"/>
          <w:color w:val="auto"/>
          <w:spacing w:val="0"/>
          <w:kern w:val="0"/>
          <w:sz w:val="21"/>
          <w:szCs w:val="21"/>
          <w:highlight w:val="none"/>
          <w:lang w:val="en-US" w:eastAsia="en-US" w:bidi="ar-SA"/>
        </w:rPr>
        <w:t>在</w:t>
      </w:r>
      <w:r>
        <w:rPr>
          <w:rFonts w:hint="eastAsia" w:ascii="宋体" w:hAnsi="宋体" w:eastAsia="宋体" w:cs="宋体"/>
          <w:b/>
          <w:bCs/>
          <w:color w:val="auto"/>
          <w:sz w:val="21"/>
          <w:szCs w:val="21"/>
          <w:highlight w:val="none"/>
        </w:rPr>
        <w:t>东莞市住房和城乡建设局（网址：http://zjj.dg.gov.cn/）</w:t>
      </w:r>
      <w:r>
        <w:rPr>
          <w:rFonts w:hint="eastAsia" w:ascii="宋体" w:hAnsi="宋体" w:eastAsia="宋体" w:cs="宋体"/>
          <w:b/>
          <w:bCs/>
          <w:color w:val="auto"/>
          <w:sz w:val="21"/>
          <w:szCs w:val="21"/>
          <w:highlight w:val="none"/>
          <w:lang w:val="en-US" w:eastAsia="zh-CN"/>
        </w:rPr>
        <w:t>及</w:t>
      </w:r>
      <w:r>
        <w:rPr>
          <w:rFonts w:hint="eastAsia" w:ascii="宋体" w:hAnsi="宋体" w:eastAsia="宋体" w:cs="宋体"/>
          <w:b/>
          <w:bCs/>
          <w:snapToGrid w:val="0"/>
          <w:color w:val="auto"/>
          <w:spacing w:val="0"/>
          <w:kern w:val="0"/>
          <w:sz w:val="21"/>
          <w:szCs w:val="21"/>
          <w:highlight w:val="none"/>
          <w:lang w:val="en-US" w:eastAsia="en-US" w:bidi="ar-SA"/>
        </w:rPr>
        <w:t>东莞市水务局“水务工程参建企业信用管理系统”（简称“水务信用系统”）</w:t>
      </w:r>
      <w:r>
        <w:rPr>
          <w:rFonts w:hint="eastAsia" w:ascii="宋体" w:hAnsi="宋体" w:eastAsia="宋体" w:cs="宋体"/>
          <w:b/>
          <w:bCs/>
          <w:color w:val="auto"/>
          <w:sz w:val="21"/>
          <w:szCs w:val="21"/>
          <w:highlight w:val="none"/>
        </w:rPr>
        <w:t>完成企业信息档案登记（企业类型必须为：工程造价咨询机构）</w:t>
      </w:r>
      <w:r>
        <w:rPr>
          <w:rFonts w:hint="eastAsia" w:ascii="宋体" w:hAnsi="宋体" w:eastAsia="宋体" w:cs="宋体"/>
          <w:b/>
          <w:bCs/>
          <w:snapToGrid w:val="0"/>
          <w:color w:val="auto"/>
          <w:spacing w:val="0"/>
          <w:kern w:val="0"/>
          <w:sz w:val="21"/>
          <w:szCs w:val="21"/>
          <w:highlight w:val="none"/>
          <w:lang w:val="en-US" w:eastAsia="en-US" w:bidi="ar-SA"/>
        </w:rPr>
        <w:t>，</w:t>
      </w:r>
      <w:r>
        <w:rPr>
          <w:rFonts w:hint="eastAsia" w:ascii="宋体" w:hAnsi="宋体" w:eastAsia="宋体" w:cs="宋体"/>
          <w:b/>
          <w:bCs/>
          <w:snapToGrid w:val="0"/>
          <w:color w:val="auto"/>
          <w:spacing w:val="0"/>
          <w:kern w:val="0"/>
          <w:sz w:val="21"/>
          <w:szCs w:val="21"/>
          <w:highlight w:val="none"/>
          <w:lang w:val="en-US" w:eastAsia="zh-CN" w:bidi="ar-SA"/>
        </w:rPr>
        <w:t>则本项无需勾选，并同时提供</w:t>
      </w:r>
      <w:r>
        <w:rPr>
          <w:rFonts w:hint="eastAsia" w:ascii="宋体" w:hAnsi="宋体" w:eastAsia="宋体" w:cs="宋体"/>
          <w:b/>
          <w:bCs/>
          <w:color w:val="auto"/>
          <w:sz w:val="21"/>
          <w:szCs w:val="21"/>
          <w:highlight w:val="none"/>
        </w:rPr>
        <w:t>东莞市住房和城乡建设局</w:t>
      </w:r>
      <w:r>
        <w:rPr>
          <w:rFonts w:hint="eastAsia" w:ascii="宋体" w:hAnsi="宋体" w:eastAsia="宋体" w:cs="宋体"/>
          <w:b/>
          <w:bCs/>
          <w:snapToGrid w:val="0"/>
          <w:color w:val="auto"/>
          <w:spacing w:val="0"/>
          <w:kern w:val="0"/>
          <w:sz w:val="21"/>
          <w:szCs w:val="21"/>
          <w:highlight w:val="none"/>
          <w:lang w:val="en-US" w:eastAsia="zh-CN" w:bidi="ar-SA"/>
        </w:rPr>
        <w:t>系统及</w:t>
      </w:r>
      <w:r>
        <w:rPr>
          <w:rFonts w:hint="eastAsia" w:ascii="宋体" w:hAnsi="宋体" w:eastAsia="宋体" w:cs="宋体"/>
          <w:b/>
          <w:bCs/>
          <w:snapToGrid w:val="0"/>
          <w:color w:val="auto"/>
          <w:spacing w:val="0"/>
          <w:kern w:val="0"/>
          <w:sz w:val="21"/>
          <w:szCs w:val="21"/>
          <w:highlight w:val="none"/>
          <w:lang w:val="en-US" w:eastAsia="en-US" w:bidi="ar-SA"/>
        </w:rPr>
        <w:t>水务信用系统</w:t>
      </w:r>
      <w:r>
        <w:rPr>
          <w:rFonts w:hint="eastAsia" w:ascii="宋体" w:hAnsi="宋体" w:eastAsia="宋体" w:cs="宋体"/>
          <w:b/>
          <w:bCs/>
          <w:snapToGrid w:val="0"/>
          <w:color w:val="auto"/>
          <w:spacing w:val="0"/>
          <w:kern w:val="0"/>
          <w:sz w:val="21"/>
          <w:szCs w:val="21"/>
          <w:highlight w:val="none"/>
          <w:lang w:val="en-US" w:eastAsia="zh-CN" w:bidi="ar-SA"/>
        </w:rPr>
        <w:t>查询截图加盖投标人公章，否则视为未满足本项目“</w:t>
      </w:r>
      <w:r>
        <w:rPr>
          <w:rFonts w:hint="eastAsia" w:ascii="宋体" w:hAnsi="宋体" w:eastAsia="宋体" w:cs="宋体"/>
          <w:b/>
          <w:bCs/>
          <w:color w:val="auto"/>
          <w:szCs w:val="21"/>
          <w:highlight w:val="none"/>
          <w:u w:val="none"/>
        </w:rPr>
        <w:t>★</w:t>
      </w:r>
      <w:r>
        <w:rPr>
          <w:rFonts w:hint="eastAsia" w:ascii="宋体" w:hAnsi="宋体" w:eastAsia="宋体" w:cs="宋体"/>
          <w:b/>
          <w:bCs/>
          <w:snapToGrid w:val="0"/>
          <w:color w:val="auto"/>
          <w:spacing w:val="0"/>
          <w:kern w:val="0"/>
          <w:sz w:val="21"/>
          <w:szCs w:val="21"/>
          <w:highlight w:val="none"/>
          <w:lang w:val="en-US" w:eastAsia="zh-CN" w:bidi="ar-SA"/>
        </w:rPr>
        <w:t>”条款要求。</w:t>
      </w:r>
      <w:r>
        <w:rPr>
          <w:rFonts w:hint="eastAsia" w:ascii="宋体" w:hAnsi="宋体" w:eastAsia="宋体" w:cs="宋体"/>
          <w:b/>
          <w:bCs/>
          <w:color w:val="auto"/>
          <w:kern w:val="2"/>
          <w:sz w:val="21"/>
          <w:szCs w:val="21"/>
          <w:highlight w:val="none"/>
          <w:lang w:val="en-US" w:eastAsia="zh-CN" w:bidi="ar"/>
        </w:rPr>
        <w:t>】</w:t>
      </w:r>
    </w:p>
    <w:p w14:paraId="169889FD">
      <w:pPr>
        <w:keepNext w:val="0"/>
        <w:keepLines w:val="0"/>
        <w:widowControl w:val="0"/>
        <w:suppressLineNumbers w:val="0"/>
        <w:autoSpaceDE w:val="0"/>
        <w:autoSpaceDN w:val="0"/>
        <w:adjustRightInd w:val="0"/>
        <w:spacing w:before="0" w:beforeAutospacing="0" w:after="0" w:afterAutospacing="0" w:line="360" w:lineRule="auto"/>
        <w:ind w:left="-31" w:leftChars="-15" w:right="18" w:firstLine="460" w:firstLineChars="218"/>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□我公司承诺中标后</w:t>
      </w:r>
      <w:r>
        <w:rPr>
          <w:rFonts w:hint="eastAsia" w:ascii="宋体" w:hAnsi="宋体" w:eastAsia="宋体" w:cs="宋体"/>
          <w:b/>
          <w:bCs/>
          <w:color w:val="auto"/>
          <w:kern w:val="0"/>
          <w:sz w:val="21"/>
          <w:szCs w:val="21"/>
          <w:highlight w:val="none"/>
          <w:lang w:val="en-US" w:eastAsia="zh-CN" w:bidi="ar"/>
        </w:rPr>
        <w:t>招标结果公示期间，招标人有权核查中标候选人办公场所、设备以及拟投入服务人员情况，如与我公司提交的投标文件不相符，</w:t>
      </w:r>
      <w:r>
        <w:rPr>
          <w:rFonts w:hint="eastAsia" w:ascii="宋体" w:hAnsi="宋体" w:eastAsia="宋体" w:cs="宋体"/>
          <w:b/>
          <w:bCs/>
          <w:color w:val="auto"/>
          <w:kern w:val="2"/>
          <w:sz w:val="21"/>
          <w:szCs w:val="21"/>
          <w:highlight w:val="none"/>
          <w:lang w:val="en-US" w:eastAsia="zh-CN" w:bidi="ar"/>
        </w:rPr>
        <w:t>招标人有权取消我公司中标资格，并根据评标委员会推荐顺序确定其他中标人。</w:t>
      </w:r>
    </w:p>
    <w:p w14:paraId="1856DF2C">
      <w:pPr>
        <w:keepNext w:val="0"/>
        <w:keepLines w:val="0"/>
        <w:widowControl w:val="0"/>
        <w:suppressLineNumbers w:val="0"/>
        <w:autoSpaceDE w:val="0"/>
        <w:autoSpaceDN w:val="0"/>
        <w:adjustRightInd w:val="0"/>
        <w:spacing w:before="0" w:beforeAutospacing="0" w:after="0" w:afterAutospacing="0" w:line="360" w:lineRule="auto"/>
        <w:ind w:left="0" w:right="893" w:firstLine="48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特此承诺。</w:t>
      </w:r>
    </w:p>
    <w:p w14:paraId="4BB31837">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0"/>
          <w:sz w:val="22"/>
          <w:szCs w:val="22"/>
          <w:highlight w:val="none"/>
          <w:lang w:val="en-US" w:eastAsia="zh-CN" w:bidi="ar"/>
        </w:rPr>
        <w:t xml:space="preserve"> </w:t>
      </w:r>
    </w:p>
    <w:p w14:paraId="70A44BD2">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0"/>
          <w:sz w:val="22"/>
          <w:szCs w:val="22"/>
          <w:highlight w:val="none"/>
          <w:lang w:val="en-US" w:eastAsia="zh-CN" w:bidi="ar"/>
        </w:rPr>
        <w:t>注：各投标人根据实际情况对以上承诺事项进行勾选承诺，注有“■”或“</w:t>
      </w:r>
      <w:r>
        <w:rPr>
          <w:rFonts w:hint="default" w:ascii="Wingdings" w:hAnsi="Wingdings" w:eastAsia="宋体" w:cs="Wingdings"/>
          <w:b/>
          <w:bCs w:val="0"/>
          <w:color w:val="auto"/>
          <w:kern w:val="0"/>
          <w:sz w:val="22"/>
          <w:szCs w:val="22"/>
          <w:highlight w:val="none"/>
          <w:lang w:val="en-US" w:eastAsia="zh-CN" w:bidi="ar"/>
        </w:rPr>
        <w:t>þ</w:t>
      </w:r>
      <w:r>
        <w:rPr>
          <w:rFonts w:hint="eastAsia" w:ascii="宋体" w:hAnsi="宋体" w:eastAsia="宋体" w:cs="宋体"/>
          <w:b/>
          <w:bCs w:val="0"/>
          <w:color w:val="auto"/>
          <w:kern w:val="0"/>
          <w:sz w:val="22"/>
          <w:szCs w:val="22"/>
          <w:highlight w:val="none"/>
          <w:lang w:val="en-US" w:eastAsia="zh-CN" w:bidi="ar"/>
        </w:rPr>
        <w:t>”符号的视为作出承诺，否则视为未作承诺。</w:t>
      </w:r>
    </w:p>
    <w:p w14:paraId="6B6CCC40">
      <w:pPr>
        <w:autoSpaceDE w:val="0"/>
        <w:autoSpaceDN w:val="0"/>
        <w:adjustRightInd w:val="0"/>
        <w:spacing w:line="360" w:lineRule="auto"/>
        <w:ind w:firstLine="5040" w:firstLineChars="24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0B9129C8">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00E75B6">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C7A9DAA">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1D82339F">
      <w:pPr>
        <w:pStyle w:val="16"/>
        <w:numPr>
          <w:ilvl w:val="0"/>
          <w:numId w:val="0"/>
        </w:numPr>
        <w:jc w:val="center"/>
        <w:rPr>
          <w:rFonts w:hint="eastAsia"/>
          <w:color w:val="auto"/>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7EC2A033">
      <w:pPr>
        <w:keepNext w:val="0"/>
        <w:keepLines w:val="0"/>
        <w:pageBreakBefore/>
        <w:widowControl w:val="0"/>
        <w:kinsoku/>
        <w:wordWrap/>
        <w:overflowPunct/>
        <w:topLinePunct w:val="0"/>
        <w:autoSpaceDE/>
        <w:autoSpaceDN/>
        <w:bidi w:val="0"/>
        <w:adjustRightInd/>
        <w:snapToGrid/>
        <w:textAlignment w:val="auto"/>
        <w:outlineLvl w:val="2"/>
        <w:rPr>
          <w:rFonts w:hint="eastAsia" w:ascii="宋体" w:hAnsi="宋体" w:eastAsia="宋体" w:cs="宋体"/>
          <w:b/>
          <w:color w:val="auto"/>
          <w:kern w:val="0"/>
          <w:sz w:val="30"/>
          <w:szCs w:val="30"/>
          <w:highlight w:val="none"/>
          <w:lang w:val="en-US" w:eastAsia="zh-CN"/>
        </w:rPr>
      </w:pPr>
      <w:bookmarkStart w:id="703" w:name="_Toc32066"/>
      <w:r>
        <w:rPr>
          <w:rFonts w:hint="eastAsia" w:ascii="宋体" w:hAnsi="宋体" w:eastAsia="宋体" w:cs="宋体"/>
          <w:b/>
          <w:bCs/>
          <w:color w:val="auto"/>
          <w:kern w:val="0"/>
          <w:sz w:val="32"/>
          <w:szCs w:val="32"/>
          <w:highlight w:val="none"/>
          <w:lang w:val="en-US" w:eastAsia="zh-CN"/>
        </w:rPr>
        <w:t>十、</w:t>
      </w:r>
      <w:bookmarkEnd w:id="699"/>
      <w:bookmarkEnd w:id="700"/>
      <w:bookmarkEnd w:id="701"/>
      <w:bookmarkEnd w:id="702"/>
      <w:r>
        <w:rPr>
          <w:rFonts w:hint="eastAsia" w:ascii="宋体" w:hAnsi="宋体" w:eastAsia="宋体" w:cs="宋体"/>
          <w:b/>
          <w:color w:val="auto"/>
          <w:kern w:val="0"/>
          <w:sz w:val="30"/>
          <w:szCs w:val="30"/>
          <w:highlight w:val="none"/>
          <w:lang w:val="en-US" w:eastAsia="zh-CN"/>
        </w:rPr>
        <w:t>投入本项目服务人员情况</w:t>
      </w:r>
      <w:bookmarkEnd w:id="703"/>
    </w:p>
    <w:p w14:paraId="66D72899">
      <w:pPr>
        <w:spacing w:before="240" w:beforeLines="100" w:line="360" w:lineRule="auto"/>
        <w:jc w:val="center"/>
        <w:outlineLvl w:val="3"/>
        <w:rPr>
          <w:rFonts w:hint="eastAsia" w:ascii="宋体" w:hAnsi="宋体" w:eastAsia="宋体" w:cs="宋体"/>
          <w:b/>
          <w:color w:val="auto"/>
          <w:sz w:val="30"/>
          <w:szCs w:val="30"/>
          <w:highlight w:val="none"/>
        </w:rPr>
      </w:pPr>
      <w:bookmarkStart w:id="704" w:name="_Toc9285"/>
      <w:r>
        <w:rPr>
          <w:rFonts w:hint="eastAsia" w:ascii="宋体" w:hAnsi="宋体" w:eastAsia="宋体" w:cs="宋体"/>
          <w:b/>
          <w:color w:val="auto"/>
          <w:sz w:val="30"/>
          <w:szCs w:val="30"/>
          <w:highlight w:val="none"/>
        </w:rPr>
        <w:t>投入本项目服务人员表</w:t>
      </w:r>
      <w:bookmarkEnd w:id="704"/>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89"/>
        <w:gridCol w:w="1473"/>
        <w:gridCol w:w="1558"/>
        <w:gridCol w:w="947"/>
      </w:tblGrid>
      <w:tr w14:paraId="5F6E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vAlign w:val="center"/>
          </w:tcPr>
          <w:p w14:paraId="26D303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69" w:type="dxa"/>
            <w:vAlign w:val="center"/>
          </w:tcPr>
          <w:p w14:paraId="16B7D1F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77" w:type="dxa"/>
            <w:vAlign w:val="center"/>
          </w:tcPr>
          <w:p w14:paraId="2421F9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77" w:type="dxa"/>
            <w:vAlign w:val="center"/>
          </w:tcPr>
          <w:p w14:paraId="63BC2F0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677" w:type="dxa"/>
            <w:vAlign w:val="center"/>
          </w:tcPr>
          <w:p w14:paraId="63614F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689" w:type="dxa"/>
            <w:vAlign w:val="center"/>
          </w:tcPr>
          <w:p w14:paraId="0B3752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资格/职称证书</w:t>
            </w:r>
          </w:p>
        </w:tc>
        <w:tc>
          <w:tcPr>
            <w:tcW w:w="1473" w:type="dxa"/>
            <w:vAlign w:val="center"/>
          </w:tcPr>
          <w:p w14:paraId="332028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本项目担任职务</w:t>
            </w:r>
          </w:p>
        </w:tc>
        <w:tc>
          <w:tcPr>
            <w:tcW w:w="1558" w:type="dxa"/>
            <w:vAlign w:val="center"/>
          </w:tcPr>
          <w:p w14:paraId="6B58C4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947" w:type="dxa"/>
            <w:vAlign w:val="center"/>
          </w:tcPr>
          <w:p w14:paraId="5C94CB27">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备注</w:t>
            </w:r>
          </w:p>
        </w:tc>
      </w:tr>
      <w:tr w14:paraId="3E93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Align w:val="center"/>
          </w:tcPr>
          <w:p w14:paraId="3C6AC1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578B22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5FE6245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340F59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749B93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3688D5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3E671AA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0EC5EE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23456B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288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vAlign w:val="center"/>
          </w:tcPr>
          <w:p w14:paraId="6EF3A3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2BC9F3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50E4939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600F3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1790C9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1FF1601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254869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4FF0921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767C62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7D4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3B2ADF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091B42A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53CB4B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012D70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3D5F49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355904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7721C0B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3FFE87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0D6EE3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F18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207A42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565D42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649ADF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5B8D13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6DA10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2687309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3E67E7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39ED340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4CB89D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43C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7E523F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59290C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6CDAA5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38E15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814F8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5BACE71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568CB43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3D866E8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3EC1C5E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45F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1AAF74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0780B8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7804D6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73CDAE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926E6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418D92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7DD0FB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6A9251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4F7FB62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2F2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5786F3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6A182A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A1768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29DE57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B77F4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7B2A0E6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7A38B38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646D5C9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52AEA6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050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vAlign w:val="center"/>
          </w:tcPr>
          <w:p w14:paraId="2E7B70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49C163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178D3E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AE462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796E764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5D104B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0C6142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523AC9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3DF950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1CE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vAlign w:val="center"/>
          </w:tcPr>
          <w:p w14:paraId="184B68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3BA6DE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557288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A5ED5A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44F627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6CD104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629390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39D4D1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1EDA2D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4AE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vAlign w:val="center"/>
          </w:tcPr>
          <w:p w14:paraId="28C9234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23A882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089A02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342FF2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0BAD02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626948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123832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69BBA3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39DC5B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B00C855">
      <w:pPr>
        <w:spacing w:line="360" w:lineRule="auto"/>
        <w:rPr>
          <w:rFonts w:hint="eastAsia" w:ascii="宋体" w:hAnsi="宋体" w:eastAsia="宋体" w:cs="宋体"/>
          <w:color w:val="auto"/>
          <w:sz w:val="21"/>
          <w:szCs w:val="21"/>
          <w:highlight w:val="none"/>
        </w:rPr>
      </w:pPr>
    </w:p>
    <w:p w14:paraId="7FE16BBA">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b/>
          <w:bCs/>
          <w:color w:val="auto"/>
          <w:sz w:val="21"/>
          <w:szCs w:val="21"/>
          <w:highlight w:val="none"/>
        </w:rPr>
        <w:t>注：以上人员须提供</w:t>
      </w:r>
      <w:r>
        <w:rPr>
          <w:rFonts w:hint="eastAsia" w:ascii="宋体" w:hAnsi="宋体" w:eastAsia="宋体" w:cs="宋体"/>
          <w:b/>
          <w:bCs/>
          <w:color w:val="auto"/>
          <w:sz w:val="21"/>
          <w:szCs w:val="21"/>
          <w:highlight w:val="none"/>
          <w:lang w:val="en-US" w:eastAsia="zh-CN"/>
        </w:rPr>
        <w:t>以下证明材料扫描件加盖投标人公章：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1）人员</w:t>
      </w:r>
      <w:r>
        <w:rPr>
          <w:rFonts w:hint="eastAsia" w:ascii="宋体" w:hAnsi="宋体" w:eastAsia="宋体" w:cs="宋体"/>
          <w:b/>
          <w:bCs/>
          <w:color w:val="auto"/>
          <w:sz w:val="21"/>
          <w:szCs w:val="21"/>
          <w:highlight w:val="none"/>
        </w:rPr>
        <w:t>身份证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造价工程师职业资格证书；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w:t>
      </w:r>
      <w:r>
        <w:rPr>
          <w:rFonts w:hint="eastAsia" w:ascii="宋体" w:hAnsi="宋体" w:eastAsia="宋体" w:cs="宋体"/>
          <w:b/>
          <w:bCs/>
          <w:color w:val="auto"/>
          <w:sz w:val="21"/>
          <w:szCs w:val="21"/>
          <w:highlight w:val="none"/>
        </w:rPr>
        <w:t>注册证书（或在“全国建筑市场公共服务平台”上的执业注册信息截图）</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职称证书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人力资源和社会保障部门（或税务部门）出具</w:t>
      </w:r>
      <w:r>
        <w:rPr>
          <w:rFonts w:hint="eastAsia" w:ascii="宋体" w:hAnsi="宋体" w:eastAsia="宋体" w:cs="宋体"/>
          <w:b/>
          <w:bCs/>
          <w:color w:val="auto"/>
          <w:sz w:val="21"/>
          <w:szCs w:val="21"/>
          <w:highlight w:val="none"/>
        </w:rPr>
        <w:t>的202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月至202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Cs w:val="21"/>
          <w:highlight w:val="none"/>
        </w:rPr>
        <w:t>的投标人为其缴纳的社保证明</w:t>
      </w:r>
      <w:r>
        <w:rPr>
          <w:rFonts w:hint="eastAsia" w:ascii="宋体" w:hAnsi="宋体" w:eastAsia="宋体" w:cs="宋体"/>
          <w:b/>
          <w:bCs/>
          <w:color w:val="auto"/>
          <w:szCs w:val="21"/>
          <w:highlight w:val="none"/>
          <w:lang w:val="en-US" w:eastAsia="zh-CN"/>
        </w:rPr>
        <w:t>材料。</w:t>
      </w:r>
    </w:p>
    <w:p w14:paraId="1D0A07AB">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24E9A696">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F4E9474">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DA33A06">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578CF4E8">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47394B09">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219C8EE0">
      <w:pPr>
        <w:rPr>
          <w:rFonts w:ascii="宋体" w:hAnsi="宋体" w:eastAsia="宋体" w:cs="宋体"/>
          <w:b/>
          <w:bCs/>
          <w:color w:val="auto"/>
          <w:kern w:val="0"/>
          <w:sz w:val="30"/>
          <w:szCs w:val="30"/>
          <w:highlight w:val="none"/>
          <w:lang w:bidi="ar"/>
        </w:rPr>
      </w:pPr>
      <w:r>
        <w:rPr>
          <w:rFonts w:hint="eastAsia" w:ascii="宋体" w:hAnsi="宋体" w:eastAsia="宋体" w:cs="宋体"/>
          <w:b/>
          <w:bCs/>
          <w:color w:val="auto"/>
          <w:kern w:val="0"/>
          <w:sz w:val="30"/>
          <w:szCs w:val="30"/>
          <w:highlight w:val="none"/>
          <w:lang w:bidi="ar"/>
        </w:rPr>
        <w:br w:type="page"/>
      </w:r>
    </w:p>
    <w:p w14:paraId="263DAB19">
      <w:pPr>
        <w:keepNext w:val="0"/>
        <w:keepLines w:val="0"/>
        <w:pageBreakBefore/>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auto"/>
          <w:kern w:val="0"/>
          <w:sz w:val="30"/>
          <w:szCs w:val="30"/>
          <w:highlight w:val="none"/>
          <w:lang w:val="en-US" w:eastAsia="zh-CN"/>
        </w:rPr>
      </w:pPr>
      <w:bookmarkStart w:id="705" w:name="_Toc30246"/>
      <w:r>
        <w:rPr>
          <w:rFonts w:hint="eastAsia" w:ascii="宋体" w:hAnsi="宋体" w:eastAsia="宋体" w:cs="宋体"/>
          <w:b/>
          <w:color w:val="auto"/>
          <w:kern w:val="0"/>
          <w:sz w:val="30"/>
          <w:szCs w:val="30"/>
          <w:highlight w:val="none"/>
          <w:lang w:val="en-US" w:eastAsia="zh-CN"/>
        </w:rPr>
        <w:t>十一、服务便利性</w:t>
      </w:r>
      <w:bookmarkEnd w:id="705"/>
    </w:p>
    <w:p w14:paraId="5F994A71">
      <w:pPr>
        <w:spacing w:line="360" w:lineRule="auto"/>
        <w:jc w:val="center"/>
        <w:outlineLvl w:val="3"/>
        <w:rPr>
          <w:rFonts w:hint="eastAsia" w:ascii="宋体" w:hAnsi="宋体" w:eastAsia="宋体" w:cs="宋体"/>
          <w:b/>
          <w:bCs/>
          <w:color w:val="auto"/>
          <w:kern w:val="2"/>
          <w:sz w:val="30"/>
          <w:szCs w:val="30"/>
          <w:highlight w:val="none"/>
          <w:lang w:val="zh-CN"/>
        </w:rPr>
      </w:pPr>
      <w:bookmarkStart w:id="706" w:name="_Toc30133"/>
      <w:r>
        <w:rPr>
          <w:rFonts w:hint="eastAsia" w:ascii="宋体" w:hAnsi="宋体" w:eastAsia="宋体" w:cs="宋体"/>
          <w:b/>
          <w:bCs/>
          <w:color w:val="auto"/>
          <w:kern w:val="2"/>
          <w:sz w:val="30"/>
          <w:szCs w:val="30"/>
          <w:highlight w:val="none"/>
          <w:lang w:val="zh-CN"/>
        </w:rPr>
        <w:t>服务便利性响应时间承诺表</w:t>
      </w:r>
      <w:bookmarkEnd w:id="706"/>
    </w:p>
    <w:tbl>
      <w:tblPr>
        <w:tblStyle w:val="44"/>
        <w:tblW w:w="4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1"/>
      </w:tblGrid>
      <w:tr w14:paraId="5B43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vAlign w:val="center"/>
          </w:tcPr>
          <w:p w14:paraId="6AB39AEB">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shd w:val="clear" w:color="auto" w:fill="FFFFFF"/>
              </w:rPr>
            </w:pPr>
            <w:r>
              <w:rPr>
                <w:rFonts w:hint="eastAsia" w:ascii="宋体" w:hAnsi="宋体" w:eastAsia="宋体" w:cs="宋体"/>
                <w:color w:val="auto"/>
                <w:kern w:val="2"/>
                <w:sz w:val="21"/>
                <w:szCs w:val="21"/>
                <w:highlight w:val="none"/>
                <w:shd w:val="clear" w:color="auto" w:fill="FFFFFF"/>
              </w:rPr>
              <w:t>承诺事项</w:t>
            </w:r>
          </w:p>
        </w:tc>
      </w:tr>
      <w:tr w14:paraId="62D4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vAlign w:val="center"/>
          </w:tcPr>
          <w:p w14:paraId="73151F4F">
            <w:pPr>
              <w:keepNext w:val="0"/>
              <w:keepLines w:val="0"/>
              <w:widowControl/>
              <w:suppressLineNumbers w:val="0"/>
              <w:spacing w:before="0" w:beforeAutospacing="0" w:after="0" w:afterAutospacing="0" w:line="360" w:lineRule="auto"/>
              <w:ind w:left="199" w:leftChars="95" w:right="0" w:firstLine="0" w:firstLineChars="0"/>
              <w:jc w:val="both"/>
              <w:rPr>
                <w:rFonts w:hint="eastAsia" w:ascii="宋体" w:hAnsi="宋体" w:eastAsia="宋体" w:cs="宋体"/>
                <w:color w:val="auto"/>
                <w:kern w:val="2"/>
                <w:sz w:val="21"/>
                <w:szCs w:val="21"/>
                <w:highlight w:val="none"/>
                <w:shd w:val="clear" w:color="auto" w:fill="FFFFFF"/>
              </w:rPr>
            </w:pPr>
            <w:r>
              <w:rPr>
                <w:rFonts w:hint="eastAsia" w:ascii="宋体" w:hAnsi="宋体" w:eastAsia="宋体" w:cs="宋体"/>
                <w:color w:val="auto"/>
                <w:szCs w:val="21"/>
                <w:highlight w:val="none"/>
              </w:rPr>
              <w:t>承诺本项目管理人员接到招标人通知后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小时(含)内响应，</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小时(含)内到达</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p>
        </w:tc>
      </w:tr>
    </w:tbl>
    <w:p w14:paraId="71038D0A">
      <w:pPr>
        <w:spacing w:line="360" w:lineRule="auto"/>
        <w:ind w:firstLine="420" w:firstLineChars="200"/>
        <w:rPr>
          <w:rFonts w:hint="eastAsia" w:ascii="宋体" w:hAnsi="宋体" w:eastAsia="宋体" w:cs="宋体"/>
          <w:color w:val="auto"/>
          <w:sz w:val="21"/>
          <w:szCs w:val="21"/>
          <w:highlight w:val="none"/>
        </w:rPr>
      </w:pPr>
    </w:p>
    <w:p w14:paraId="6B8465FF">
      <w:pPr>
        <w:autoSpaceDE w:val="0"/>
        <w:autoSpaceDN w:val="0"/>
        <w:adjustRightInd w:val="0"/>
        <w:spacing w:line="360" w:lineRule="auto"/>
        <w:ind w:left="525" w:hanging="525" w:hangingChars="250"/>
        <w:jc w:val="left"/>
        <w:rPr>
          <w:rFonts w:ascii="宋体" w:hAnsi="Times New Roman" w:eastAsia="宋体" w:cs="Times New Roman"/>
          <w:color w:val="auto"/>
          <w:kern w:val="0"/>
          <w:szCs w:val="21"/>
          <w:highlight w:val="none"/>
          <w:lang w:bidi="ar"/>
        </w:rPr>
      </w:pPr>
    </w:p>
    <w:p w14:paraId="1DFC7996">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0A704797">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82E881A">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A0FEF12">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52EDA2E0">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1EED0648">
      <w:pPr>
        <w:autoSpaceDE w:val="0"/>
        <w:autoSpaceDN w:val="0"/>
        <w:adjustRightInd w:val="0"/>
        <w:ind w:left="5040" w:leftChars="2400"/>
        <w:jc w:val="left"/>
        <w:rPr>
          <w:rFonts w:ascii="宋体" w:hAnsi="宋体" w:eastAsia="宋体" w:cs="宋体"/>
          <w:b/>
          <w:bCs/>
          <w:color w:val="auto"/>
          <w:kern w:val="0"/>
          <w:sz w:val="30"/>
          <w:szCs w:val="30"/>
          <w:highlight w:val="none"/>
          <w:lang w:val="zh-CN"/>
        </w:rPr>
      </w:pPr>
    </w:p>
    <w:p w14:paraId="4F8FFE04">
      <w:pPr>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1AF1C1F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07" w:name="_Toc31135"/>
      <w:bookmarkStart w:id="708" w:name="_Toc18185"/>
      <w:bookmarkStart w:id="709" w:name="_Toc18762"/>
      <w:bookmarkStart w:id="710" w:name="_Toc195714398"/>
      <w:bookmarkStart w:id="711" w:name="_Toc2804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bookmarkEnd w:id="686"/>
      <w:bookmarkEnd w:id="687"/>
      <w:bookmarkEnd w:id="688"/>
      <w:bookmarkEnd w:id="689"/>
      <w:bookmarkEnd w:id="690"/>
      <w:bookmarkEnd w:id="691"/>
      <w:bookmarkEnd w:id="692"/>
      <w:bookmarkEnd w:id="693"/>
      <w:bookmarkEnd w:id="694"/>
      <w:bookmarkEnd w:id="695"/>
      <w:bookmarkEnd w:id="707"/>
      <w:bookmarkEnd w:id="708"/>
      <w:bookmarkEnd w:id="709"/>
      <w:bookmarkEnd w:id="710"/>
      <w:bookmarkEnd w:id="711"/>
    </w:p>
    <w:p w14:paraId="4ACEBE91">
      <w:pPr>
        <w:jc w:val="center"/>
        <w:outlineLvl w:val="1"/>
        <w:rPr>
          <w:rFonts w:ascii="宋体" w:hAnsi="宋体" w:eastAsia="宋体" w:cs="宋体"/>
          <w:b/>
          <w:color w:val="auto"/>
          <w:kern w:val="0"/>
          <w:sz w:val="32"/>
          <w:szCs w:val="32"/>
          <w:highlight w:val="none"/>
        </w:rPr>
      </w:pPr>
      <w:bookmarkStart w:id="712" w:name="_Toc14997"/>
      <w:bookmarkStart w:id="713" w:name="_Toc27993"/>
      <w:bookmarkStart w:id="714" w:name="_Toc32650"/>
      <w:bookmarkStart w:id="715" w:name="_Toc195714399"/>
      <w:bookmarkStart w:id="716" w:name="_Toc4972"/>
      <w:bookmarkStart w:id="717" w:name="_Toc27482"/>
      <w:bookmarkStart w:id="718" w:name="_Toc94107222"/>
      <w:bookmarkStart w:id="719" w:name="_Toc1977739"/>
      <w:bookmarkStart w:id="720" w:name="_Toc142508380"/>
      <w:bookmarkStart w:id="721" w:name="_Toc18038"/>
      <w:bookmarkStart w:id="722" w:name="_Toc102860085"/>
      <w:bookmarkStart w:id="723" w:name="_Toc104991887"/>
      <w:bookmarkStart w:id="724" w:name="_Toc31916"/>
      <w:bookmarkStart w:id="725" w:name="_Toc140596940"/>
      <w:bookmarkStart w:id="726" w:name="_Toc102860429"/>
      <w:r>
        <w:rPr>
          <w:rFonts w:hint="eastAsia" w:ascii="宋体" w:hAnsi="宋体" w:eastAsia="宋体" w:cs="宋体"/>
          <w:b/>
          <w:color w:val="auto"/>
          <w:kern w:val="0"/>
          <w:sz w:val="32"/>
          <w:szCs w:val="32"/>
          <w:highlight w:val="none"/>
        </w:rPr>
        <w:t>二  技术标格式</w:t>
      </w:r>
      <w:bookmarkEnd w:id="712"/>
      <w:bookmarkEnd w:id="713"/>
      <w:bookmarkEnd w:id="714"/>
      <w:bookmarkEnd w:id="715"/>
      <w:bookmarkEnd w:id="716"/>
    </w:p>
    <w:p w14:paraId="1F01CA17">
      <w:pPr>
        <w:jc w:val="left"/>
        <w:rPr>
          <w:rFonts w:ascii="宋体" w:hAnsi="宋体" w:eastAsia="宋体" w:cs="宋体"/>
          <w:b/>
          <w:color w:val="auto"/>
          <w:kern w:val="0"/>
          <w:sz w:val="32"/>
          <w:szCs w:val="32"/>
          <w:highlight w:val="none"/>
        </w:rPr>
      </w:pPr>
    </w:p>
    <w:bookmarkEnd w:id="696"/>
    <w:bookmarkEnd w:id="717"/>
    <w:bookmarkEnd w:id="718"/>
    <w:bookmarkEnd w:id="719"/>
    <w:bookmarkEnd w:id="720"/>
    <w:bookmarkEnd w:id="721"/>
    <w:bookmarkEnd w:id="722"/>
    <w:bookmarkEnd w:id="723"/>
    <w:bookmarkEnd w:id="724"/>
    <w:bookmarkEnd w:id="725"/>
    <w:bookmarkEnd w:id="726"/>
    <w:p w14:paraId="24228267">
      <w:pPr>
        <w:pStyle w:val="2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697"/>
      <w:bookmarkStart w:id="727" w:name="_Toc102860086"/>
      <w:bookmarkStart w:id="728" w:name="_Toc104991888"/>
      <w:bookmarkStart w:id="729" w:name="_Toc533708135"/>
      <w:bookmarkStart w:id="730" w:name="_Toc140596941"/>
      <w:bookmarkStart w:id="731" w:name="_Toc102860430"/>
      <w:bookmarkStart w:id="732" w:name="_Toc142508381"/>
      <w:bookmarkStart w:id="733" w:name="_Toc1977740"/>
      <w:bookmarkStart w:id="734" w:name="_Toc94107223"/>
    </w:p>
    <w:p w14:paraId="762B7410">
      <w:pPr>
        <w:pStyle w:val="20"/>
        <w:spacing w:line="360" w:lineRule="auto"/>
        <w:jc w:val="center"/>
        <w:rPr>
          <w:rFonts w:ascii="宋体" w:hAnsi="宋体" w:cs="宋体"/>
          <w:b/>
          <w:color w:val="auto"/>
          <w:kern w:val="0"/>
          <w:szCs w:val="21"/>
          <w:highlight w:val="none"/>
        </w:rPr>
      </w:pPr>
    </w:p>
    <w:p w14:paraId="131CCB0B">
      <w:pPr>
        <w:pStyle w:val="20"/>
        <w:spacing w:line="360" w:lineRule="auto"/>
        <w:jc w:val="center"/>
        <w:rPr>
          <w:rFonts w:ascii="宋体" w:hAnsi="宋体" w:cs="宋体"/>
          <w:b/>
          <w:color w:val="auto"/>
          <w:kern w:val="0"/>
          <w:szCs w:val="21"/>
          <w:highlight w:val="none"/>
        </w:rPr>
      </w:pPr>
    </w:p>
    <w:p w14:paraId="5E72110F">
      <w:pPr>
        <w:pStyle w:val="20"/>
        <w:spacing w:line="360" w:lineRule="auto"/>
        <w:jc w:val="center"/>
        <w:rPr>
          <w:rFonts w:ascii="宋体" w:hAnsi="宋体" w:cs="宋体"/>
          <w:b/>
          <w:color w:val="auto"/>
          <w:kern w:val="0"/>
          <w:szCs w:val="21"/>
          <w:highlight w:val="none"/>
        </w:rPr>
      </w:pPr>
    </w:p>
    <w:p w14:paraId="744CD4E6">
      <w:pPr>
        <w:pStyle w:val="20"/>
        <w:spacing w:line="360" w:lineRule="auto"/>
        <w:jc w:val="center"/>
        <w:rPr>
          <w:rFonts w:ascii="宋体" w:hAnsi="宋体" w:cs="宋体"/>
          <w:b/>
          <w:color w:val="auto"/>
          <w:kern w:val="0"/>
          <w:szCs w:val="21"/>
          <w:highlight w:val="none"/>
        </w:rPr>
      </w:pPr>
    </w:p>
    <w:p w14:paraId="50425C6C">
      <w:pPr>
        <w:pStyle w:val="20"/>
        <w:spacing w:line="360" w:lineRule="auto"/>
        <w:jc w:val="center"/>
        <w:rPr>
          <w:rFonts w:ascii="宋体" w:hAnsi="宋体" w:cs="宋体"/>
          <w:b/>
          <w:color w:val="auto"/>
          <w:kern w:val="0"/>
          <w:szCs w:val="21"/>
          <w:highlight w:val="none"/>
        </w:rPr>
      </w:pPr>
    </w:p>
    <w:p w14:paraId="45C99D71">
      <w:pPr>
        <w:pStyle w:val="20"/>
        <w:spacing w:line="360" w:lineRule="auto"/>
        <w:jc w:val="center"/>
        <w:rPr>
          <w:rFonts w:ascii="宋体" w:hAnsi="宋体" w:cs="宋体"/>
          <w:b/>
          <w:color w:val="auto"/>
          <w:kern w:val="0"/>
          <w:szCs w:val="21"/>
          <w:highlight w:val="none"/>
        </w:rPr>
      </w:pPr>
    </w:p>
    <w:p w14:paraId="6765F2E6">
      <w:pPr>
        <w:pStyle w:val="20"/>
        <w:spacing w:line="360" w:lineRule="auto"/>
        <w:jc w:val="center"/>
        <w:rPr>
          <w:rFonts w:ascii="宋体" w:hAnsi="宋体" w:cs="宋体"/>
          <w:b/>
          <w:color w:val="auto"/>
          <w:kern w:val="0"/>
          <w:szCs w:val="21"/>
          <w:highlight w:val="none"/>
        </w:rPr>
      </w:pPr>
    </w:p>
    <w:p w14:paraId="775A15B9">
      <w:pPr>
        <w:pStyle w:val="20"/>
        <w:spacing w:line="360" w:lineRule="auto"/>
        <w:jc w:val="center"/>
        <w:rPr>
          <w:rFonts w:ascii="宋体" w:hAnsi="宋体" w:cs="宋体"/>
          <w:b/>
          <w:color w:val="auto"/>
          <w:kern w:val="0"/>
          <w:szCs w:val="21"/>
          <w:highlight w:val="none"/>
        </w:rPr>
      </w:pPr>
    </w:p>
    <w:p w14:paraId="692AB23E">
      <w:pPr>
        <w:pStyle w:val="20"/>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09F7E3CB">
      <w:pPr>
        <w:pStyle w:val="20"/>
        <w:spacing w:line="360" w:lineRule="auto"/>
        <w:rPr>
          <w:rFonts w:ascii="宋体" w:hAnsi="宋体" w:cs="宋体"/>
          <w:color w:val="auto"/>
          <w:highlight w:val="none"/>
        </w:rPr>
      </w:pPr>
    </w:p>
    <w:p w14:paraId="274BFA87">
      <w:pPr>
        <w:pStyle w:val="20"/>
        <w:spacing w:line="360" w:lineRule="auto"/>
        <w:rPr>
          <w:rFonts w:ascii="宋体" w:hAnsi="宋体" w:cs="宋体"/>
          <w:color w:val="auto"/>
          <w:highlight w:val="none"/>
        </w:rPr>
      </w:pPr>
    </w:p>
    <w:p w14:paraId="2EC9016B">
      <w:pPr>
        <w:pStyle w:val="20"/>
        <w:spacing w:line="360" w:lineRule="auto"/>
        <w:rPr>
          <w:rFonts w:ascii="宋体" w:hAnsi="宋体" w:cs="宋体"/>
          <w:color w:val="auto"/>
          <w:highlight w:val="none"/>
        </w:rPr>
      </w:pPr>
    </w:p>
    <w:p w14:paraId="63B43AC0">
      <w:pPr>
        <w:pStyle w:val="20"/>
        <w:spacing w:line="360" w:lineRule="auto"/>
        <w:rPr>
          <w:rFonts w:ascii="宋体" w:hAnsi="宋体" w:cs="宋体"/>
          <w:color w:val="auto"/>
          <w:highlight w:val="none"/>
        </w:rPr>
      </w:pPr>
    </w:p>
    <w:p w14:paraId="7DB25015">
      <w:pPr>
        <w:pStyle w:val="20"/>
        <w:spacing w:line="360" w:lineRule="auto"/>
        <w:rPr>
          <w:rFonts w:ascii="宋体" w:hAnsi="宋体" w:cs="宋体"/>
          <w:color w:val="auto"/>
          <w:highlight w:val="none"/>
        </w:rPr>
      </w:pPr>
    </w:p>
    <w:p w14:paraId="68958B53">
      <w:pPr>
        <w:pStyle w:val="20"/>
        <w:spacing w:line="360" w:lineRule="auto"/>
        <w:rPr>
          <w:rFonts w:ascii="宋体" w:hAnsi="宋体" w:cs="宋体"/>
          <w:color w:val="auto"/>
          <w:highlight w:val="none"/>
        </w:rPr>
      </w:pPr>
    </w:p>
    <w:p w14:paraId="3E650627">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1A1A29AC">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1BD47B69">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投标文件技术标 </w:t>
      </w:r>
    </w:p>
    <w:p w14:paraId="37715235">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337F4484">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03CC2770">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1D3EBF94">
      <w:pPr>
        <w:pStyle w:val="20"/>
        <w:spacing w:line="360" w:lineRule="auto"/>
        <w:rPr>
          <w:rFonts w:ascii="宋体" w:hAnsi="宋体" w:cs="宋体"/>
          <w:color w:val="auto"/>
          <w:highlight w:val="none"/>
        </w:rPr>
      </w:pPr>
    </w:p>
    <w:p w14:paraId="7D532CF4">
      <w:pPr>
        <w:pStyle w:val="20"/>
        <w:spacing w:line="360" w:lineRule="auto"/>
        <w:rPr>
          <w:rFonts w:ascii="宋体" w:hAnsi="宋体" w:cs="宋体"/>
          <w:color w:val="auto"/>
          <w:highlight w:val="none"/>
        </w:rPr>
      </w:pPr>
      <w:r>
        <w:rPr>
          <w:rFonts w:hint="eastAsia" w:ascii="宋体" w:hAnsi="宋体" w:cs="宋体"/>
          <w:color w:val="auto"/>
          <w:highlight w:val="none"/>
        </w:rPr>
        <w:br w:type="page"/>
      </w:r>
    </w:p>
    <w:p w14:paraId="536B4177">
      <w:pPr>
        <w:tabs>
          <w:tab w:val="left" w:pos="567"/>
        </w:tabs>
        <w:autoSpaceDE w:val="0"/>
        <w:autoSpaceDN w:val="0"/>
        <w:adjustRightInd w:val="0"/>
        <w:spacing w:line="360" w:lineRule="auto"/>
        <w:ind w:left="357" w:leftChars="-100" w:hanging="567"/>
        <w:jc w:val="center"/>
        <w:outlineLvl w:val="2"/>
        <w:rPr>
          <w:rFonts w:ascii="宋体" w:hAnsi="宋体" w:eastAsia="宋体" w:cs="宋体"/>
          <w:b/>
          <w:color w:val="auto"/>
          <w:kern w:val="0"/>
          <w:sz w:val="24"/>
          <w:szCs w:val="24"/>
          <w:highlight w:val="none"/>
        </w:rPr>
      </w:pPr>
      <w:bookmarkStart w:id="735" w:name="_Toc195714400"/>
      <w:bookmarkStart w:id="736" w:name="_Toc23902"/>
      <w:bookmarkStart w:id="737" w:name="_Toc14054"/>
      <w:bookmarkStart w:id="738" w:name="_Toc11390"/>
      <w:bookmarkStart w:id="739" w:name="_Toc8004"/>
      <w:r>
        <w:rPr>
          <w:rFonts w:hint="eastAsia" w:ascii="宋体" w:hAnsi="宋体" w:eastAsia="宋体" w:cs="宋体"/>
          <w:b/>
          <w:color w:val="auto"/>
          <w:kern w:val="0"/>
          <w:sz w:val="24"/>
          <w:szCs w:val="24"/>
          <w:highlight w:val="none"/>
        </w:rPr>
        <w:t>目录</w:t>
      </w:r>
      <w:bookmarkEnd w:id="735"/>
      <w:bookmarkEnd w:id="736"/>
      <w:bookmarkEnd w:id="737"/>
      <w:bookmarkEnd w:id="738"/>
      <w:bookmarkEnd w:id="739"/>
    </w:p>
    <w:p w14:paraId="2A7B9B57">
      <w:pPr>
        <w:pBdr>
          <w:bottom w:val="single" w:color="auto" w:sz="6" w:space="0"/>
        </w:pBdr>
        <w:spacing w:line="500" w:lineRule="exact"/>
        <w:ind w:left="0" w:leftChars="0" w:firstLine="472" w:firstLineChars="224"/>
        <w:jc w:val="left"/>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rPr>
        <w:t>一、用户需求的响应程度（用户需求偏离表）；</w:t>
      </w:r>
    </w:p>
    <w:p w14:paraId="06139FA0">
      <w:pPr>
        <w:pBdr>
          <w:bottom w:val="single" w:color="auto" w:sz="6" w:space="0"/>
        </w:pBdr>
        <w:spacing w:line="500" w:lineRule="exact"/>
        <w:ind w:left="0" w:leftChars="0" w:firstLine="472" w:firstLineChars="224"/>
        <w:jc w:val="left"/>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二、工作流程及政策了解；</w:t>
      </w:r>
    </w:p>
    <w:p w14:paraId="0F06C100">
      <w:pPr>
        <w:pBdr>
          <w:bottom w:val="single" w:color="auto" w:sz="6" w:space="0"/>
        </w:pBdr>
        <w:spacing w:line="500" w:lineRule="exact"/>
        <w:ind w:left="0" w:leftChars="0" w:firstLine="472" w:firstLineChars="224"/>
        <w:jc w:val="left"/>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三、进度保障；</w:t>
      </w:r>
    </w:p>
    <w:p w14:paraId="1E1590BA">
      <w:pPr>
        <w:pBdr>
          <w:bottom w:val="single" w:color="auto" w:sz="6" w:space="0"/>
        </w:pBdr>
        <w:spacing w:line="500" w:lineRule="exact"/>
        <w:ind w:left="0" w:leftChars="0" w:firstLine="472" w:firstLineChars="224"/>
        <w:jc w:val="left"/>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四、质量保证措施；</w:t>
      </w:r>
    </w:p>
    <w:p w14:paraId="14F6EE43">
      <w:pPr>
        <w:pBdr>
          <w:bottom w:val="single" w:color="auto" w:sz="6" w:space="0"/>
        </w:pBdr>
        <w:spacing w:line="500" w:lineRule="exact"/>
        <w:ind w:left="0" w:leftChars="0" w:firstLine="472" w:firstLineChars="224"/>
        <w:jc w:val="left"/>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五、质量跟踪及信息反馈机制；</w:t>
      </w:r>
    </w:p>
    <w:p w14:paraId="5F12DFE7">
      <w:pPr>
        <w:pBdr>
          <w:bottom w:val="single" w:color="auto" w:sz="6" w:space="0"/>
        </w:pBdr>
        <w:spacing w:line="500" w:lineRule="exact"/>
        <w:ind w:left="0" w:leftChars="0" w:firstLine="472" w:firstLineChars="224"/>
        <w:jc w:val="left"/>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lang w:val="en-US" w:eastAsia="zh-CN"/>
        </w:rPr>
        <w:t>六、</w:t>
      </w:r>
      <w:r>
        <w:rPr>
          <w:rFonts w:hint="eastAsia" w:ascii="宋体" w:hAnsi="宋体" w:eastAsia="宋体" w:cs="宋体"/>
          <w:b/>
          <w:bCs/>
          <w:color w:val="auto"/>
          <w:kern w:val="2"/>
          <w:szCs w:val="21"/>
          <w:highlight w:val="none"/>
        </w:rPr>
        <w:t>投标人认为有必要提供的其它材料（不做强制要求）。</w:t>
      </w:r>
    </w:p>
    <w:p w14:paraId="6D4B59E5">
      <w:pPr>
        <w:pBdr>
          <w:bottom w:val="single" w:color="auto" w:sz="6" w:space="0"/>
        </w:pBdr>
        <w:spacing w:line="500" w:lineRule="exact"/>
        <w:ind w:firstLine="675" w:firstLineChars="224"/>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5D230C4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40" w:name="_Toc24879"/>
      <w:bookmarkStart w:id="741" w:name="_Toc24129"/>
      <w:bookmarkStart w:id="742" w:name="_Toc30448"/>
      <w:bookmarkStart w:id="743" w:name="_Toc23268"/>
      <w:bookmarkStart w:id="744" w:name="_Toc20085"/>
      <w:bookmarkStart w:id="745" w:name="_Toc195714401"/>
      <w:bookmarkStart w:id="746" w:name="_Toc18999"/>
      <w:bookmarkStart w:id="747" w:name="_Toc27934"/>
      <w:r>
        <w:rPr>
          <w:rFonts w:hint="eastAsia" w:ascii="宋体" w:hAnsi="宋体" w:eastAsia="宋体" w:cs="宋体"/>
          <w:b/>
          <w:color w:val="auto"/>
          <w:kern w:val="0"/>
          <w:sz w:val="30"/>
          <w:szCs w:val="30"/>
          <w:highlight w:val="none"/>
        </w:rPr>
        <w:t>一、用户需求偏离表</w:t>
      </w:r>
      <w:bookmarkEnd w:id="727"/>
      <w:bookmarkEnd w:id="728"/>
      <w:bookmarkEnd w:id="729"/>
      <w:bookmarkEnd w:id="730"/>
      <w:bookmarkEnd w:id="731"/>
      <w:bookmarkEnd w:id="732"/>
      <w:bookmarkEnd w:id="733"/>
      <w:bookmarkEnd w:id="734"/>
      <w:bookmarkEnd w:id="740"/>
      <w:bookmarkEnd w:id="741"/>
      <w:bookmarkEnd w:id="742"/>
      <w:bookmarkEnd w:id="743"/>
      <w:bookmarkEnd w:id="744"/>
      <w:bookmarkEnd w:id="745"/>
      <w:bookmarkEnd w:id="746"/>
      <w:bookmarkEnd w:id="747"/>
    </w:p>
    <w:p w14:paraId="7E9BF0DE">
      <w:pPr>
        <w:spacing w:before="120" w:after="120" w:line="360" w:lineRule="auto"/>
        <w:jc w:val="center"/>
        <w:outlineLvl w:val="3"/>
        <w:rPr>
          <w:rFonts w:ascii="宋体" w:hAnsi="宋体" w:eastAsia="宋体" w:cs="Times New Roman"/>
          <w:color w:val="auto"/>
          <w:kern w:val="0"/>
          <w:szCs w:val="21"/>
          <w:highlight w:val="none"/>
        </w:rPr>
      </w:pPr>
      <w:bookmarkStart w:id="748" w:name="_Toc17449_WPSOffice_Level3"/>
      <w:r>
        <w:rPr>
          <w:rFonts w:hint="eastAsia" w:ascii="宋体" w:hAnsi="宋体" w:eastAsia="宋体" w:cs="宋体"/>
          <w:b/>
          <w:color w:val="auto"/>
          <w:kern w:val="0"/>
          <w:sz w:val="30"/>
          <w:szCs w:val="30"/>
          <w:highlight w:val="none"/>
          <w:lang w:val="zh-CN"/>
        </w:rPr>
        <w:t>用户需求偏离表</w:t>
      </w:r>
      <w:bookmarkEnd w:id="748"/>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952"/>
        <w:gridCol w:w="6413"/>
        <w:gridCol w:w="722"/>
        <w:gridCol w:w="867"/>
        <w:gridCol w:w="825"/>
      </w:tblGrid>
      <w:tr w14:paraId="5D73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restart"/>
            <w:vAlign w:val="center"/>
          </w:tcPr>
          <w:p w14:paraId="7113E15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1A8C5F3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2" w:type="pct"/>
            <w:gridSpan w:val="3"/>
            <w:vAlign w:val="center"/>
          </w:tcPr>
          <w:p w14:paraId="6AC9DF1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7B8D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continue"/>
            <w:vAlign w:val="center"/>
          </w:tcPr>
          <w:p w14:paraId="75232A52">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59" w:type="pct"/>
            <w:vAlign w:val="center"/>
          </w:tcPr>
          <w:p w14:paraId="3D88FCD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5101C00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19AA525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485F8C6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6" w:type="pct"/>
            <w:vAlign w:val="center"/>
          </w:tcPr>
          <w:p w14:paraId="4F62645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3942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5" w:type="pct"/>
            <w:vAlign w:val="center"/>
          </w:tcPr>
          <w:p w14:paraId="019797F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45B8F50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w:t>
            </w:r>
          </w:p>
        </w:tc>
        <w:tc>
          <w:tcPr>
            <w:tcW w:w="3092" w:type="pct"/>
            <w:vAlign w:val="center"/>
          </w:tcPr>
          <w:p w14:paraId="31A4AB3A">
            <w:pPr>
              <w:keepNext w:val="0"/>
              <w:keepLines w:val="0"/>
              <w:suppressLineNumbers w:val="0"/>
              <w:adjustRightInd w:val="0"/>
              <w:snapToGrid w:val="0"/>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项目概况</w:t>
            </w:r>
          </w:p>
        </w:tc>
        <w:tc>
          <w:tcPr>
            <w:tcW w:w="348" w:type="pct"/>
            <w:vAlign w:val="center"/>
          </w:tcPr>
          <w:p w14:paraId="49301EF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589C1CD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6" w:type="pct"/>
            <w:vAlign w:val="center"/>
          </w:tcPr>
          <w:p w14:paraId="7E36A72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3E84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6EE3B79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541CCA77">
            <w:pPr>
              <w:keepNext w:val="0"/>
              <w:keepLines w:val="0"/>
              <w:suppressLineNumbers w:val="0"/>
              <w:spacing w:before="0" w:beforeAutospacing="0" w:after="0" w:afterAutospacing="0"/>
              <w:ind w:left="0" w:right="0"/>
              <w:jc w:val="center"/>
              <w:rPr>
                <w:rFonts w:hint="eastAsia" w:ascii="宋体" w:hAnsi="宋体" w:eastAsia="宋体" w:cs="宋体"/>
                <w:bCs w:val="0"/>
                <w:color w:val="auto"/>
                <w:kern w:val="0"/>
                <w:sz w:val="21"/>
                <w:szCs w:val="21"/>
                <w:highlight w:val="none"/>
                <w:lang w:val="zh-CN"/>
              </w:rPr>
            </w:pPr>
            <w:r>
              <w:rPr>
                <w:rFonts w:hint="eastAsia" w:ascii="宋体" w:hAnsi="宋体" w:eastAsia="宋体" w:cs="宋体"/>
                <w:bCs w:val="0"/>
                <w:color w:val="auto"/>
                <w:kern w:val="0"/>
                <w:sz w:val="21"/>
                <w:szCs w:val="21"/>
                <w:highlight w:val="none"/>
                <w:lang w:val="zh-CN"/>
              </w:rPr>
              <w:t>二</w:t>
            </w:r>
          </w:p>
        </w:tc>
        <w:tc>
          <w:tcPr>
            <w:tcW w:w="3092" w:type="pct"/>
            <w:vAlign w:val="center"/>
          </w:tcPr>
          <w:p w14:paraId="200EE7B5">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服务期限</w:t>
            </w:r>
            <w:r>
              <w:rPr>
                <w:rFonts w:hint="eastAsia" w:ascii="宋体" w:hAnsi="宋体" w:eastAsia="宋体" w:cs="宋体"/>
                <w:b/>
                <w:bCs/>
                <w:color w:val="auto"/>
                <w:sz w:val="21"/>
                <w:szCs w:val="21"/>
                <w:highlight w:val="none"/>
              </w:rPr>
              <w:t>及服务内容</w:t>
            </w:r>
          </w:p>
        </w:tc>
        <w:tc>
          <w:tcPr>
            <w:tcW w:w="348" w:type="pct"/>
            <w:vAlign w:val="center"/>
          </w:tcPr>
          <w:p w14:paraId="4A222C3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790386A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6" w:type="pct"/>
            <w:vAlign w:val="center"/>
          </w:tcPr>
          <w:p w14:paraId="0C99CD3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6CC6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5" w:type="pct"/>
            <w:vAlign w:val="center"/>
          </w:tcPr>
          <w:p w14:paraId="5D1F5CC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2E121357">
            <w:pPr>
              <w:keepNext w:val="0"/>
              <w:keepLines w:val="0"/>
              <w:suppressLineNumbers w:val="0"/>
              <w:spacing w:before="0" w:beforeAutospacing="0" w:after="0" w:afterAutospacing="0"/>
              <w:ind w:left="0" w:right="0"/>
              <w:jc w:val="center"/>
              <w:rPr>
                <w:rFonts w:hint="eastAsia" w:ascii="宋体" w:hAnsi="宋体" w:eastAsia="宋体" w:cs="宋体"/>
                <w:bCs w:val="0"/>
                <w:color w:val="auto"/>
                <w:sz w:val="21"/>
                <w:szCs w:val="21"/>
                <w:highlight w:val="none"/>
                <w:lang w:val="zh-CN"/>
              </w:rPr>
            </w:pPr>
            <w:r>
              <w:rPr>
                <w:rFonts w:hint="eastAsia" w:ascii="宋体" w:hAnsi="宋体" w:eastAsia="宋体" w:cs="宋体"/>
                <w:bCs w:val="0"/>
                <w:color w:val="auto"/>
                <w:sz w:val="21"/>
                <w:szCs w:val="21"/>
                <w:highlight w:val="none"/>
                <w:lang w:val="zh-CN"/>
              </w:rPr>
              <w:t>三</w:t>
            </w:r>
          </w:p>
        </w:tc>
        <w:tc>
          <w:tcPr>
            <w:tcW w:w="3092" w:type="pct"/>
            <w:vAlign w:val="center"/>
          </w:tcPr>
          <w:p w14:paraId="7AEB4EB7">
            <w:pPr>
              <w:keepNext w:val="0"/>
              <w:keepLines w:val="0"/>
              <w:suppressLineNumbers w:val="0"/>
              <w:adjustRightInd w:val="0"/>
              <w:snapToGrid w:val="0"/>
              <w:spacing w:before="0" w:beforeAutospacing="0" w:after="0" w:afterAutospacing="0"/>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服务费的计算及支付方式</w:t>
            </w:r>
          </w:p>
        </w:tc>
        <w:tc>
          <w:tcPr>
            <w:tcW w:w="348" w:type="pct"/>
            <w:vAlign w:val="center"/>
          </w:tcPr>
          <w:p w14:paraId="386917B3">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7E4CC33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6" w:type="pct"/>
            <w:vAlign w:val="center"/>
          </w:tcPr>
          <w:p w14:paraId="11C730BE">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6969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5" w:type="pct"/>
            <w:vAlign w:val="center"/>
          </w:tcPr>
          <w:p w14:paraId="244267D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bookmarkStart w:id="749" w:name="_Toc440"/>
            <w:bookmarkStart w:id="750" w:name="_Toc4860"/>
            <w:bookmarkStart w:id="751" w:name="_Toc32583"/>
            <w:bookmarkStart w:id="752" w:name="_Toc195714402"/>
            <w:r>
              <w:rPr>
                <w:rFonts w:hint="eastAsia" w:ascii="宋体" w:hAnsi="宋体" w:eastAsia="宋体" w:cs="宋体"/>
                <w:color w:val="auto"/>
                <w:kern w:val="0"/>
                <w:sz w:val="21"/>
                <w:szCs w:val="21"/>
                <w:highlight w:val="none"/>
                <w:lang w:val="en-US" w:eastAsia="zh-CN"/>
              </w:rPr>
              <w:t>4</w:t>
            </w:r>
          </w:p>
        </w:tc>
        <w:tc>
          <w:tcPr>
            <w:tcW w:w="459" w:type="pct"/>
            <w:vAlign w:val="center"/>
          </w:tcPr>
          <w:p w14:paraId="3EA10750">
            <w:pPr>
              <w:keepNext w:val="0"/>
              <w:keepLines w:val="0"/>
              <w:suppressLineNumbers w:val="0"/>
              <w:spacing w:before="0" w:beforeAutospacing="0" w:after="0" w:afterAutospacing="0"/>
              <w:ind w:left="0" w:right="0"/>
              <w:jc w:val="center"/>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四</w:t>
            </w:r>
          </w:p>
        </w:tc>
        <w:tc>
          <w:tcPr>
            <w:tcW w:w="3092" w:type="pct"/>
            <w:vAlign w:val="center"/>
          </w:tcPr>
          <w:p w14:paraId="230EC97C">
            <w:pPr>
              <w:keepNext w:val="0"/>
              <w:keepLines w:val="0"/>
              <w:suppressLineNumbers w:val="0"/>
              <w:adjustRightInd w:val="0"/>
              <w:snapToGrid w:val="0"/>
              <w:spacing w:before="0" w:beforeAutospacing="0" w:after="0" w:afterAutospacing="0"/>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单项造价咨询服务完成时间要求</w:t>
            </w:r>
          </w:p>
        </w:tc>
        <w:tc>
          <w:tcPr>
            <w:tcW w:w="348" w:type="pct"/>
            <w:vAlign w:val="center"/>
          </w:tcPr>
          <w:p w14:paraId="6DB9554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1FF957C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6" w:type="pct"/>
            <w:vAlign w:val="center"/>
          </w:tcPr>
          <w:p w14:paraId="1FFCDA54">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1E7E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51E562BA">
            <w:pPr>
              <w:keepNext/>
              <w:keepLines/>
              <w:suppressLineNumbers w:val="0"/>
              <w:spacing w:before="0" w:beforeAutospacing="0" w:after="0" w:afterAutospacing="0" w:line="400" w:lineRule="exact"/>
              <w:ind w:left="0" w:right="0"/>
              <w:jc w:val="left"/>
              <w:outlineLvl w:val="2"/>
              <w:rPr>
                <w:rFonts w:hint="eastAsia" w:ascii="宋体" w:hAnsi="宋体" w:eastAsia="宋体" w:cs="宋体"/>
                <w:color w:val="auto"/>
                <w:kern w:val="0"/>
                <w:sz w:val="21"/>
                <w:szCs w:val="21"/>
                <w:highlight w:val="none"/>
              </w:rPr>
            </w:pPr>
            <w:bookmarkStart w:id="753" w:name="_Toc32586"/>
            <w:r>
              <w:rPr>
                <w:rFonts w:hint="eastAsia" w:ascii="宋体" w:hAnsi="宋体" w:eastAsia="宋体" w:cs="宋体"/>
                <w:color w:val="auto"/>
                <w:kern w:val="0"/>
                <w:sz w:val="21"/>
                <w:szCs w:val="21"/>
                <w:highlight w:val="none"/>
              </w:rPr>
              <w:t>用户需求书“★”条款汇总：</w:t>
            </w:r>
            <w:bookmarkEnd w:id="749"/>
            <w:bookmarkEnd w:id="750"/>
            <w:bookmarkEnd w:id="751"/>
            <w:bookmarkEnd w:id="752"/>
            <w:bookmarkEnd w:id="753"/>
          </w:p>
        </w:tc>
      </w:tr>
      <w:tr w14:paraId="5BD1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68616CC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248CA19B">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五</w:t>
            </w:r>
          </w:p>
        </w:tc>
        <w:tc>
          <w:tcPr>
            <w:tcW w:w="3092" w:type="pct"/>
            <w:vAlign w:val="center"/>
          </w:tcPr>
          <w:p w14:paraId="02CA7890">
            <w:pPr>
              <w:keepNext w:val="0"/>
              <w:keepLines w:val="0"/>
              <w:suppressLineNumbers w:val="0"/>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★五、服务要求</w:t>
            </w:r>
          </w:p>
          <w:p w14:paraId="749A5FB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 根据国家和省、市有关工程造价的法规、政策、文件、以及基建财务管理的有关规定，本着为甲方节约投资的原则，科学、客观、公正地开展工程造价咨询服务工作；应按甲方的要求，按时按质按量提供咨询报告，对成果报告的真实性、准确性、完整性、合法性、合理性负责，并负有保密责任。</w:t>
            </w:r>
          </w:p>
          <w:p w14:paraId="3A609D95">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5.2 根据甲方的委托，编制和审核的工程概预算(含最高限价)、招标工程量清单应确保结果完整、科学、准确，符合工程项目的实际情况和国家有关工程计价规范；招标工程量清单设置要科学、合理，不得有高估冒算、虚列项目，也不得有漏项漏量、重项错量等错误，如有上述错误，应负相应的责任。</w:t>
            </w:r>
          </w:p>
          <w:p w14:paraId="018EFE3F">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 在编制和审核工程概预算(含最高限价)、招标工程量清单时，如甲方有相关需求，乙方须对项目的设计方案作出技术经济分析，并向甲方提出优化方案和合理化建议；</w:t>
            </w:r>
          </w:p>
          <w:p w14:paraId="4670F668">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5.4货物（服务）采购项目的采购控制价进行市场询价(特殊材料除外)，应提交不少于三家或三家以上的有效报价，内容包括供应商名称、联系人、联系电话、报价明细、有效期，并提交对报价单位资质查询、对用户需求的响应分析、拟定价格方案等资料。具体以招标人相关制度要求为准。</w:t>
            </w:r>
          </w:p>
          <w:p w14:paraId="60F0BF0D">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5.5 要坚持科学准确、客观真实、公平公正、合理合法、廉洁高效的原则，审核工程竣工结算。必须及时配合甲方解决结算审核中存在的技术问题，在服务过程中，如发现计价原则方法的确定、重大的签证审核以及工程管理中存在违规行为要及时向甲方反映，不得擅自作出处理，要对项目的全过程管理依法作出正确的评价。</w:t>
            </w:r>
          </w:p>
          <w:p w14:paraId="13BD2316">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5.6 对存有疑问的地方，应配合甲方深入现场调查取证，逐一核实，按实际情况调整，保证工程造价咨询服务成果文件的合理性和真实性。重要的材料或设备价格，应及时与甲方沟通，协商确定合理的价格。</w:t>
            </w:r>
          </w:p>
          <w:p w14:paraId="013BF99A">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5.7 配合甲方做好编审依据的收集及取证工作，所有的编审依据必须是有效的书面资料，并妥善保存。</w:t>
            </w:r>
          </w:p>
          <w:p w14:paraId="1927E94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5.8 不得接受同一项目不同委托人的造价咨询服务委托，即就同一项目既接受招标人的委托，又接受项目投标供应商、承包单位等相对利益关系人的委托。</w:t>
            </w:r>
          </w:p>
          <w:p w14:paraId="0C5229FD">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5.9 项目的结果未经甲方许可，不得泄露给他人。乙方应对受托任务涉及的有关资料、内容、成果以及结论承担保密的义务。</w:t>
            </w:r>
          </w:p>
          <w:p w14:paraId="1201E7BB">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5.10 对于甲方要求乙方驻场服务的项目，乙方有义务派出专业的人员驻场服务，</w:t>
            </w:r>
            <w:r>
              <w:rPr>
                <w:rFonts w:hint="eastAsia" w:ascii="宋体" w:hAnsi="宋体" w:eastAsia="宋体" w:cs="宋体"/>
                <w:color w:val="auto"/>
                <w:sz w:val="21"/>
                <w:szCs w:val="21"/>
                <w:highlight w:val="none"/>
              </w:rPr>
              <w:t>招标人仅提供服务场地。</w:t>
            </w:r>
          </w:p>
          <w:p w14:paraId="363E1D3F">
            <w:pPr>
              <w:keepNext w:val="0"/>
              <w:keepLines w:val="0"/>
              <w:suppressLineNumbers w:val="0"/>
              <w:spacing w:before="0" w:beforeAutospacing="0" w:after="0" w:afterAutospacing="0" w:line="360" w:lineRule="auto"/>
              <w:ind w:left="0" w:right="0" w:firstLine="422" w:firstLineChars="200"/>
              <w:jc w:val="both"/>
              <w:outlineLvl w:val="2"/>
              <w:rPr>
                <w:rFonts w:hint="eastAsia" w:ascii="宋体" w:hAnsi="宋体" w:eastAsia="宋体" w:cs="宋体"/>
                <w:b/>
                <w:bCs/>
                <w:color w:val="auto"/>
                <w:sz w:val="21"/>
                <w:szCs w:val="21"/>
                <w:highlight w:val="none"/>
              </w:rPr>
            </w:pPr>
            <w:bookmarkStart w:id="754" w:name="_Toc13584"/>
            <w:r>
              <w:rPr>
                <w:rFonts w:hint="eastAsia" w:ascii="宋体" w:hAnsi="宋体" w:eastAsia="宋体" w:cs="宋体"/>
                <w:b/>
                <w:bCs/>
                <w:color w:val="auto"/>
                <w:sz w:val="21"/>
                <w:szCs w:val="21"/>
                <w:highlight w:val="none"/>
              </w:rPr>
              <w:t>5.1</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 xml:space="preserve"> 人员要求</w:t>
            </w:r>
            <w:bookmarkEnd w:id="754"/>
          </w:p>
          <w:p w14:paraId="34AAAD75">
            <w:pPr>
              <w:keepNext w:val="0"/>
              <w:keepLines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（1）拟投入本项目的技术负责人（仅一人）须具有一级注册造价工程师证书，并具有工程或者经济系列高级专业技术职称。</w:t>
            </w:r>
          </w:p>
          <w:p w14:paraId="405A459D">
            <w:pPr>
              <w:keepNext w:val="0"/>
              <w:keepLines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（2）拟投入本项目的服务团队（除技术负责人外）取得二级造价工程师（或以上）注册证书的人员应不少于6人。</w:t>
            </w:r>
          </w:p>
          <w:p w14:paraId="642570DF">
            <w:pPr>
              <w:pStyle w:val="16"/>
              <w:keepNext w:val="0"/>
              <w:keepLines w:val="0"/>
              <w:suppressLineNumbers w:val="0"/>
              <w:spacing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rPr>
              <w:t>注：1、同一人员具备同一种类证书的仅按最高等级证书计算；2、以上人员须提供身份证、注册证书（或职称证）、社会保障部门出具的最近3个月（即202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月至202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月）在投标人单位缴纳社会养老保险有效凭证等证明材料</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rPr>
              <w:t>加盖投标人公章。</w:t>
            </w:r>
          </w:p>
        </w:tc>
        <w:tc>
          <w:tcPr>
            <w:tcW w:w="348" w:type="pct"/>
            <w:vAlign w:val="center"/>
          </w:tcPr>
          <w:p w14:paraId="617F7616">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5E8F3CB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6" w:type="pct"/>
            <w:vAlign w:val="center"/>
          </w:tcPr>
          <w:p w14:paraId="210B247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3B0B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239027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14:paraId="2FCF7A41">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六</w:t>
            </w:r>
          </w:p>
        </w:tc>
        <w:tc>
          <w:tcPr>
            <w:tcW w:w="3092" w:type="pct"/>
            <w:vAlign w:val="center"/>
          </w:tcPr>
          <w:p w14:paraId="43E5F449">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六、</w:t>
            </w:r>
            <w:r>
              <w:rPr>
                <w:rFonts w:hint="eastAsia" w:ascii="宋体" w:hAnsi="宋体" w:eastAsia="宋体" w:cs="宋体"/>
                <w:b/>
                <w:color w:val="auto"/>
                <w:sz w:val="21"/>
                <w:szCs w:val="21"/>
                <w:highlight w:val="none"/>
                <w:lang w:val="en-US" w:eastAsia="zh-CN"/>
              </w:rPr>
              <w:t>投标人需在东莞市住房和城乡建设局（网址：http://zjj.dg.gov.cn/）及</w:t>
            </w:r>
            <w:r>
              <w:rPr>
                <w:rFonts w:hint="eastAsia" w:ascii="宋体" w:hAnsi="宋体" w:eastAsia="宋体" w:cs="宋体"/>
                <w:b/>
                <w:color w:val="auto"/>
                <w:sz w:val="21"/>
                <w:szCs w:val="21"/>
                <w:highlight w:val="none"/>
                <w:lang w:val="en-US" w:eastAsia="en-US"/>
              </w:rPr>
              <w:t>东莞市水务局“水务工程参建企业信用管理系统”（简称“水务信用系统”）</w:t>
            </w:r>
            <w:r>
              <w:rPr>
                <w:rFonts w:hint="eastAsia" w:ascii="宋体" w:hAnsi="宋体" w:eastAsia="宋体" w:cs="宋体"/>
                <w:b/>
                <w:color w:val="auto"/>
                <w:sz w:val="21"/>
                <w:szCs w:val="21"/>
                <w:highlight w:val="none"/>
                <w:lang w:val="en-US" w:eastAsia="zh-CN"/>
              </w:rPr>
              <w:t>完成企业信息档案登记（企业类型必须为：造价咨询机构），并且处于“可用状态”。如果投标人在提交投标文件截止时间未能完成企业信息</w:t>
            </w:r>
            <w:bookmarkStart w:id="812" w:name="_GoBack"/>
            <w:bookmarkEnd w:id="812"/>
            <w:r>
              <w:rPr>
                <w:rFonts w:hint="eastAsia" w:ascii="宋体" w:hAnsi="宋体" w:eastAsia="宋体" w:cs="宋体"/>
                <w:b/>
                <w:color w:val="auto"/>
                <w:sz w:val="21"/>
                <w:szCs w:val="21"/>
                <w:highlight w:val="none"/>
                <w:lang w:val="en-US" w:eastAsia="zh-CN"/>
              </w:rPr>
              <w:t>档案登记，需提供单独的承诺书，承诺中标后一个月内在东莞市住房和城乡建设局及</w:t>
            </w:r>
            <w:r>
              <w:rPr>
                <w:rFonts w:hint="eastAsia" w:ascii="宋体" w:hAnsi="宋体" w:eastAsia="宋体" w:cs="宋体"/>
                <w:b/>
                <w:color w:val="auto"/>
                <w:sz w:val="21"/>
                <w:szCs w:val="21"/>
                <w:highlight w:val="none"/>
                <w:lang w:val="en-US" w:eastAsia="en-US"/>
              </w:rPr>
              <w:t>水务信用系统</w:t>
            </w:r>
            <w:r>
              <w:rPr>
                <w:rFonts w:hint="eastAsia" w:ascii="宋体" w:hAnsi="宋体" w:eastAsia="宋体" w:cs="宋体"/>
                <w:b/>
                <w:color w:val="auto"/>
                <w:sz w:val="21"/>
                <w:szCs w:val="21"/>
                <w:highlight w:val="none"/>
                <w:lang w:val="en-US" w:eastAsia="zh-CN"/>
              </w:rPr>
              <w:t>中完成企业信息登记工作（须提供承诺函加盖投标人法人公章）。</w:t>
            </w:r>
          </w:p>
        </w:tc>
        <w:tc>
          <w:tcPr>
            <w:tcW w:w="348" w:type="pct"/>
            <w:vAlign w:val="center"/>
          </w:tcPr>
          <w:p w14:paraId="0D40B122">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3D8F40A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6" w:type="pct"/>
            <w:vAlign w:val="center"/>
          </w:tcPr>
          <w:p w14:paraId="445CE04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5B10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2A0703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0A28A80D">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七</w:t>
            </w:r>
          </w:p>
        </w:tc>
        <w:tc>
          <w:tcPr>
            <w:tcW w:w="3092" w:type="pct"/>
            <w:vAlign w:val="center"/>
          </w:tcPr>
          <w:p w14:paraId="0C0F35AE">
            <w:pPr>
              <w:keepNext w:val="0"/>
              <w:keepLines w:val="0"/>
              <w:suppressLineNumbers w:val="0"/>
              <w:spacing w:before="0" w:beforeAutospacing="0" w:after="0" w:afterAutospacing="0" w:line="360" w:lineRule="auto"/>
              <w:ind w:left="0" w:right="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★七、招标结果公示期间，招标人有权核查中标候选人办公场所、设备以及拟投入服务人员情况，如与造价</w:t>
            </w:r>
            <w:r>
              <w:rPr>
                <w:rFonts w:hint="eastAsia" w:ascii="宋体" w:hAnsi="宋体" w:eastAsia="宋体" w:cs="宋体"/>
                <w:b/>
                <w:bCs/>
                <w:color w:val="auto"/>
                <w:sz w:val="21"/>
                <w:szCs w:val="21"/>
                <w:highlight w:val="none"/>
                <w:lang w:eastAsia="zh-CN"/>
              </w:rPr>
              <w:t>咨询服务</w:t>
            </w:r>
            <w:r>
              <w:rPr>
                <w:rFonts w:hint="eastAsia" w:ascii="宋体" w:hAnsi="宋体" w:eastAsia="宋体" w:cs="宋体"/>
                <w:b/>
                <w:bCs/>
                <w:color w:val="auto"/>
                <w:sz w:val="21"/>
                <w:szCs w:val="21"/>
                <w:highlight w:val="none"/>
              </w:rPr>
              <w:t>单位投标文件不相符，招标人有权取消其中标资格，并根据评标委员会</w:t>
            </w:r>
            <w:r>
              <w:rPr>
                <w:rFonts w:hint="eastAsia" w:ascii="宋体" w:hAnsi="宋体" w:eastAsia="宋体" w:cs="宋体"/>
                <w:b/>
                <w:color w:val="auto"/>
                <w:sz w:val="21"/>
                <w:szCs w:val="21"/>
                <w:highlight w:val="none"/>
              </w:rPr>
              <w:t>推荐顺序</w:t>
            </w:r>
            <w:r>
              <w:rPr>
                <w:rFonts w:hint="eastAsia" w:ascii="宋体" w:hAnsi="宋体" w:eastAsia="宋体" w:cs="宋体"/>
                <w:b/>
                <w:bCs/>
                <w:color w:val="auto"/>
                <w:sz w:val="21"/>
                <w:szCs w:val="21"/>
                <w:highlight w:val="none"/>
              </w:rPr>
              <w:t>确定其他</w:t>
            </w:r>
            <w:r>
              <w:rPr>
                <w:rFonts w:hint="eastAsia" w:ascii="宋体" w:hAnsi="宋体" w:eastAsia="宋体" w:cs="宋体"/>
                <w:b/>
                <w:color w:val="auto"/>
                <w:sz w:val="21"/>
                <w:szCs w:val="21"/>
                <w:highlight w:val="none"/>
              </w:rPr>
              <w:t>中标人</w:t>
            </w:r>
            <w:r>
              <w:rPr>
                <w:rFonts w:hint="eastAsia" w:ascii="宋体" w:hAnsi="宋体" w:eastAsia="宋体" w:cs="宋体"/>
                <w:b/>
                <w:bCs/>
                <w:color w:val="auto"/>
                <w:sz w:val="21"/>
                <w:szCs w:val="21"/>
                <w:highlight w:val="none"/>
              </w:rPr>
              <w:t>（须提供承诺函加盖投标人法人公章）。</w:t>
            </w:r>
          </w:p>
        </w:tc>
        <w:tc>
          <w:tcPr>
            <w:tcW w:w="348" w:type="pct"/>
            <w:vAlign w:val="center"/>
          </w:tcPr>
          <w:p w14:paraId="2401C4D2">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306B1EC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6" w:type="pct"/>
            <w:vAlign w:val="center"/>
          </w:tcPr>
          <w:p w14:paraId="4DB9764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bl>
    <w:p w14:paraId="5D6D8DCD">
      <w:pPr>
        <w:spacing w:line="360" w:lineRule="auto"/>
        <w:rPr>
          <w:rFonts w:ascii="宋体" w:hAnsi="宋体" w:eastAsia="宋体" w:cs="宋体"/>
          <w:color w:val="auto"/>
          <w:szCs w:val="21"/>
          <w:highlight w:val="none"/>
        </w:rPr>
      </w:pPr>
    </w:p>
    <w:p w14:paraId="2EC5A07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24187FEE">
      <w:pPr>
        <w:spacing w:line="360" w:lineRule="auto"/>
        <w:ind w:left="605" w:leftChars="18" w:hanging="567" w:hangingChars="27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39A6BF9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3EC8BDF">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5334F323">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w:t>
      </w:r>
      <w:r>
        <w:rPr>
          <w:rFonts w:hint="eastAsia" w:ascii="宋体" w:hAnsi="宋体" w:eastAsia="宋体" w:cs="Times New Roman"/>
          <w:b/>
          <w:color w:val="auto"/>
          <w:kern w:val="0"/>
          <w:szCs w:val="21"/>
          <w:highlight w:val="none"/>
          <w:u w:val="single"/>
        </w:rPr>
        <w:t>商务</w:t>
      </w:r>
      <w:r>
        <w:rPr>
          <w:rFonts w:ascii="宋体" w:hAnsi="宋体" w:eastAsia="宋体" w:cs="Times New Roman"/>
          <w:b/>
          <w:color w:val="auto"/>
          <w:kern w:val="0"/>
          <w:szCs w:val="21"/>
          <w:highlight w:val="none"/>
          <w:u w:val="single"/>
        </w:rPr>
        <w:t>要求或</w:t>
      </w:r>
      <w:r>
        <w:rPr>
          <w:rFonts w:hint="eastAsia" w:ascii="宋体" w:hAnsi="宋体" w:eastAsia="宋体" w:cs="Times New Roman"/>
          <w:b/>
          <w:color w:val="auto"/>
          <w:kern w:val="0"/>
          <w:szCs w:val="21"/>
          <w:highlight w:val="none"/>
          <w:u w:val="single"/>
        </w:rPr>
        <w:t>技术</w:t>
      </w:r>
      <w:r>
        <w:rPr>
          <w:rFonts w:ascii="宋体" w:hAnsi="宋体" w:eastAsia="宋体" w:cs="Times New Roman"/>
          <w:b/>
          <w:color w:val="auto"/>
          <w:kern w:val="0"/>
          <w:szCs w:val="21"/>
          <w:highlight w:val="none"/>
          <w:u w:val="single"/>
        </w:rPr>
        <w:t>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w:t>
      </w:r>
      <w:r>
        <w:rPr>
          <w:rFonts w:hint="eastAsia" w:ascii="宋体" w:hAnsi="宋体" w:eastAsia="宋体" w:cs="Times New Roman"/>
          <w:b/>
          <w:color w:val="auto"/>
          <w:kern w:val="0"/>
          <w:szCs w:val="21"/>
          <w:highlight w:val="none"/>
          <w:u w:val="single"/>
        </w:rPr>
        <w:t>条款</w:t>
      </w:r>
      <w:r>
        <w:rPr>
          <w:rFonts w:ascii="宋体" w:hAnsi="宋体" w:eastAsia="宋体" w:cs="Times New Roman"/>
          <w:b/>
          <w:color w:val="auto"/>
          <w:kern w:val="0"/>
          <w:szCs w:val="21"/>
          <w:highlight w:val="none"/>
          <w:u w:val="single"/>
        </w:rPr>
        <w:t>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66BED1C">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63A58FE4">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5987ED24">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8714E27">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1FD2F64">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19FA3723">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2098407A">
      <w:pPr>
        <w:autoSpaceDE w:val="0"/>
        <w:autoSpaceDN w:val="0"/>
        <w:adjustRightInd w:val="0"/>
        <w:ind w:left="15" w:leftChars="-50" w:hanging="120"/>
        <w:jc w:val="left"/>
        <w:rPr>
          <w:rFonts w:ascii="宋体" w:hAnsi="宋体" w:eastAsia="宋体" w:cs="宋体"/>
          <w:color w:val="auto"/>
          <w:kern w:val="0"/>
          <w:szCs w:val="21"/>
          <w:highlight w:val="none"/>
        </w:rPr>
      </w:pPr>
    </w:p>
    <w:p w14:paraId="19BA8FFF">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55" w:name="_Toc102860094"/>
      <w:bookmarkStart w:id="756" w:name="_Toc142508389"/>
      <w:bookmarkStart w:id="757" w:name="_Toc140596949"/>
      <w:bookmarkStart w:id="758" w:name="_Toc104991896"/>
      <w:bookmarkStart w:id="759" w:name="_Toc102860438"/>
      <w:bookmarkStart w:id="760" w:name="_Toc533708139"/>
    </w:p>
    <w:p w14:paraId="4F4FE9EA">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61" w:name="_Toc2738"/>
      <w:bookmarkStart w:id="762" w:name="_Toc25329"/>
      <w:bookmarkStart w:id="763" w:name="_Toc195714407"/>
      <w:bookmarkStart w:id="764" w:name="_Toc19562"/>
      <w:bookmarkStart w:id="765" w:name="_Toc21914"/>
      <w:r>
        <w:rPr>
          <w:rFonts w:hint="eastAsia" w:ascii="宋体" w:hAnsi="宋体" w:eastAsia="宋体" w:cs="宋体"/>
          <w:b/>
          <w:color w:val="auto"/>
          <w:kern w:val="0"/>
          <w:sz w:val="30"/>
          <w:szCs w:val="30"/>
          <w:highlight w:val="none"/>
          <w:lang w:val="en-US" w:eastAsia="zh-CN"/>
        </w:rPr>
        <w:t>二</w:t>
      </w:r>
      <w:r>
        <w:rPr>
          <w:rFonts w:hint="eastAsia" w:ascii="宋体" w:hAnsi="宋体" w:eastAsia="宋体" w:cs="宋体"/>
          <w:b/>
          <w:color w:val="auto"/>
          <w:kern w:val="0"/>
          <w:sz w:val="30"/>
          <w:szCs w:val="30"/>
          <w:highlight w:val="none"/>
        </w:rPr>
        <w:t>、</w:t>
      </w:r>
      <w:bookmarkEnd w:id="761"/>
      <w:bookmarkEnd w:id="762"/>
      <w:bookmarkEnd w:id="763"/>
      <w:bookmarkEnd w:id="764"/>
      <w:r>
        <w:rPr>
          <w:rFonts w:hint="eastAsia" w:ascii="宋体" w:hAnsi="宋体" w:eastAsia="宋体" w:cs="宋体"/>
          <w:b/>
          <w:color w:val="auto"/>
          <w:kern w:val="0"/>
          <w:sz w:val="30"/>
          <w:szCs w:val="30"/>
          <w:highlight w:val="none"/>
          <w:lang w:eastAsia="zh-CN"/>
        </w:rPr>
        <w:t>工作流程及政策了解</w:t>
      </w:r>
      <w:bookmarkEnd w:id="765"/>
    </w:p>
    <w:p w14:paraId="6E74046C">
      <w:pPr>
        <w:widowControl/>
        <w:spacing w:line="360" w:lineRule="auto"/>
        <w:jc w:val="left"/>
        <w:rPr>
          <w:rFonts w:ascii="宋体" w:hAnsi="宋体" w:eastAsia="宋体" w:cs="宋体"/>
          <w:b/>
          <w:color w:val="auto"/>
          <w:kern w:val="0"/>
          <w:sz w:val="30"/>
          <w:szCs w:val="30"/>
          <w:highlight w:val="none"/>
        </w:rPr>
      </w:pPr>
    </w:p>
    <w:p w14:paraId="4F90F0A8">
      <w:pPr>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9273FFD">
      <w:pPr>
        <w:numPr>
          <w:ilvl w:val="0"/>
          <w:numId w:val="3"/>
        </w:num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0"/>
          <w:szCs w:val="30"/>
          <w:highlight w:val="none"/>
          <w:lang w:val="en-US" w:eastAsia="zh-CN"/>
        </w:rPr>
      </w:pPr>
      <w:bookmarkStart w:id="766" w:name="_Toc7771"/>
      <w:bookmarkStart w:id="767" w:name="_Toc29450"/>
      <w:bookmarkStart w:id="768" w:name="_Toc195714408"/>
      <w:bookmarkStart w:id="769" w:name="_Toc6066"/>
      <w:bookmarkStart w:id="770" w:name="_Toc24563"/>
      <w:r>
        <w:rPr>
          <w:rFonts w:hint="eastAsia" w:ascii="宋体" w:hAnsi="宋体" w:eastAsia="宋体" w:cs="宋体"/>
          <w:b/>
          <w:color w:val="auto"/>
          <w:kern w:val="0"/>
          <w:sz w:val="30"/>
          <w:szCs w:val="30"/>
          <w:highlight w:val="none"/>
          <w:lang w:val="en-US" w:eastAsia="zh-CN"/>
        </w:rPr>
        <w:t>进度保障</w:t>
      </w:r>
      <w:bookmarkEnd w:id="766"/>
    </w:p>
    <w:p w14:paraId="783B3909">
      <w:pPr>
        <w:keepNext w:val="0"/>
        <w:keepLines w:val="0"/>
        <w:pageBreakBefore/>
        <w:widowControl w:val="0"/>
        <w:numPr>
          <w:ilvl w:val="0"/>
          <w:numId w:val="3"/>
        </w:numPr>
        <w:tabs>
          <w:tab w:val="left" w:pos="567"/>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ascii="宋体" w:hAnsi="宋体" w:eastAsia="宋体" w:cs="宋体"/>
          <w:b/>
          <w:color w:val="auto"/>
          <w:kern w:val="0"/>
          <w:sz w:val="30"/>
          <w:szCs w:val="30"/>
          <w:highlight w:val="none"/>
        </w:rPr>
      </w:pPr>
      <w:bookmarkStart w:id="771" w:name="_Toc13611"/>
      <w:r>
        <w:rPr>
          <w:rFonts w:hint="eastAsia" w:ascii="宋体" w:hAnsi="宋体" w:eastAsia="宋体" w:cs="宋体"/>
          <w:b/>
          <w:color w:val="auto"/>
          <w:kern w:val="0"/>
          <w:sz w:val="30"/>
          <w:szCs w:val="30"/>
          <w:highlight w:val="none"/>
          <w:lang w:val="en-US" w:eastAsia="zh-CN"/>
        </w:rPr>
        <w:t>质量保证措施</w:t>
      </w:r>
      <w:bookmarkEnd w:id="771"/>
    </w:p>
    <w:p w14:paraId="1519524F">
      <w:pPr>
        <w:keepNext w:val="0"/>
        <w:keepLines w:val="0"/>
        <w:pageBreakBefore/>
        <w:widowControl w:val="0"/>
        <w:numPr>
          <w:ilvl w:val="0"/>
          <w:numId w:val="3"/>
        </w:numPr>
        <w:tabs>
          <w:tab w:val="left" w:pos="567"/>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ascii="宋体" w:hAnsi="宋体" w:eastAsia="宋体" w:cs="宋体"/>
          <w:b/>
          <w:color w:val="auto"/>
          <w:kern w:val="0"/>
          <w:sz w:val="30"/>
          <w:szCs w:val="30"/>
          <w:highlight w:val="none"/>
        </w:rPr>
      </w:pPr>
      <w:bookmarkStart w:id="772" w:name="_Toc3308"/>
      <w:r>
        <w:rPr>
          <w:rFonts w:hint="eastAsia" w:ascii="宋体" w:hAnsi="宋体" w:eastAsia="宋体" w:cs="宋体"/>
          <w:b/>
          <w:color w:val="auto"/>
          <w:kern w:val="0"/>
          <w:sz w:val="30"/>
          <w:szCs w:val="30"/>
          <w:highlight w:val="none"/>
          <w:lang w:val="en-US" w:eastAsia="zh-CN"/>
        </w:rPr>
        <w:t>质量跟踪及信息反馈机制</w:t>
      </w:r>
      <w:bookmarkEnd w:id="772"/>
    </w:p>
    <w:p w14:paraId="52C448DC">
      <w:pPr>
        <w:keepNext w:val="0"/>
        <w:keepLines w:val="0"/>
        <w:pageBreakBefore/>
        <w:widowControl w:val="0"/>
        <w:numPr>
          <w:ilvl w:val="0"/>
          <w:numId w:val="3"/>
        </w:numPr>
        <w:tabs>
          <w:tab w:val="left" w:pos="567"/>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ascii="宋体" w:hAnsi="宋体" w:eastAsia="宋体" w:cs="宋体"/>
          <w:b/>
          <w:color w:val="auto"/>
          <w:kern w:val="0"/>
          <w:sz w:val="30"/>
          <w:szCs w:val="30"/>
          <w:highlight w:val="none"/>
        </w:rPr>
      </w:pPr>
      <w:bookmarkStart w:id="773" w:name="_Toc8905"/>
      <w:r>
        <w:rPr>
          <w:rFonts w:hint="eastAsia" w:ascii="宋体" w:hAnsi="宋体" w:eastAsia="宋体" w:cs="宋体"/>
          <w:b/>
          <w:color w:val="auto"/>
          <w:kern w:val="0"/>
          <w:sz w:val="30"/>
          <w:szCs w:val="30"/>
          <w:highlight w:val="none"/>
        </w:rPr>
        <w:t>投标人认为有必要提供的其它材料（不做强制要求）</w:t>
      </w:r>
      <w:bookmarkEnd w:id="773"/>
    </w:p>
    <w:bookmarkEnd w:id="767"/>
    <w:bookmarkEnd w:id="768"/>
    <w:bookmarkEnd w:id="769"/>
    <w:bookmarkEnd w:id="770"/>
    <w:p w14:paraId="7F957216">
      <w:pPr>
        <w:widowControl/>
        <w:autoSpaceDE w:val="0"/>
        <w:autoSpaceDN w:val="0"/>
        <w:adjustRightInd w:val="0"/>
        <w:spacing w:line="360" w:lineRule="auto"/>
        <w:jc w:val="center"/>
        <w:rPr>
          <w:rFonts w:ascii="宋体" w:hAnsi="宋体" w:eastAsia="宋体" w:cs="Times New Roman"/>
          <w:color w:val="auto"/>
          <w:szCs w:val="21"/>
          <w:highlight w:val="none"/>
        </w:rPr>
      </w:pPr>
    </w:p>
    <w:p w14:paraId="6547DE46">
      <w:pPr>
        <w:pStyle w:val="16"/>
        <w:rPr>
          <w:color w:val="auto"/>
          <w:highlight w:val="none"/>
        </w:rPr>
      </w:pPr>
    </w:p>
    <w:p w14:paraId="71DE2DA3">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p>
    <w:p w14:paraId="0272F6C9">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p>
    <w:bookmarkEnd w:id="755"/>
    <w:bookmarkEnd w:id="756"/>
    <w:bookmarkEnd w:id="757"/>
    <w:bookmarkEnd w:id="758"/>
    <w:bookmarkEnd w:id="759"/>
    <w:p w14:paraId="47AD93DC">
      <w:pPr>
        <w:autoSpaceDE w:val="0"/>
        <w:autoSpaceDN w:val="0"/>
        <w:adjustRightInd w:val="0"/>
        <w:jc w:val="left"/>
        <w:rPr>
          <w:rFonts w:ascii="宋体" w:hAnsi="宋体" w:eastAsia="宋体" w:cs="Times New Roman"/>
          <w:color w:val="auto"/>
          <w:kern w:val="0"/>
          <w:sz w:val="24"/>
          <w:szCs w:val="24"/>
          <w:highlight w:val="none"/>
        </w:rPr>
      </w:pPr>
    </w:p>
    <w:p w14:paraId="57A65BEB">
      <w:pPr>
        <w:autoSpaceDE w:val="0"/>
        <w:autoSpaceDN w:val="0"/>
        <w:adjustRightInd w:val="0"/>
        <w:jc w:val="left"/>
        <w:rPr>
          <w:rFonts w:ascii="宋体" w:hAnsi="宋体" w:eastAsia="宋体" w:cs="Times New Roman"/>
          <w:color w:val="auto"/>
          <w:kern w:val="0"/>
          <w:sz w:val="24"/>
          <w:szCs w:val="24"/>
          <w:highlight w:val="none"/>
        </w:rPr>
      </w:pPr>
    </w:p>
    <w:p w14:paraId="1667AC96">
      <w:pPr>
        <w:autoSpaceDE w:val="0"/>
        <w:autoSpaceDN w:val="0"/>
        <w:adjustRightInd w:val="0"/>
        <w:jc w:val="left"/>
        <w:rPr>
          <w:rFonts w:ascii="宋体" w:hAnsi="宋体" w:eastAsia="宋体" w:cs="Times New Roman"/>
          <w:color w:val="auto"/>
          <w:kern w:val="0"/>
          <w:sz w:val="24"/>
          <w:szCs w:val="24"/>
          <w:highlight w:val="none"/>
        </w:rPr>
      </w:pPr>
    </w:p>
    <w:p w14:paraId="54C2B12B">
      <w:pPr>
        <w:autoSpaceDE w:val="0"/>
        <w:autoSpaceDN w:val="0"/>
        <w:adjustRightInd w:val="0"/>
        <w:jc w:val="left"/>
        <w:rPr>
          <w:rFonts w:ascii="宋体" w:hAnsi="宋体" w:eastAsia="宋体" w:cs="Times New Roman"/>
          <w:color w:val="auto"/>
          <w:kern w:val="0"/>
          <w:sz w:val="24"/>
          <w:szCs w:val="24"/>
          <w:highlight w:val="none"/>
        </w:rPr>
      </w:pPr>
    </w:p>
    <w:p w14:paraId="761B8F2F">
      <w:pPr>
        <w:autoSpaceDE/>
        <w:autoSpaceDN/>
        <w:adjustRightInd/>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17DAB5">
      <w:pPr>
        <w:jc w:val="center"/>
        <w:outlineLvl w:val="0"/>
        <w:rPr>
          <w:rFonts w:ascii="宋体" w:hAnsi="宋体" w:eastAsia="宋体" w:cs="宋体"/>
          <w:b/>
          <w:color w:val="auto"/>
          <w:kern w:val="0"/>
          <w:sz w:val="32"/>
          <w:szCs w:val="32"/>
          <w:highlight w:val="none"/>
        </w:rPr>
      </w:pPr>
      <w:bookmarkStart w:id="774" w:name="_Toc18687"/>
      <w:bookmarkStart w:id="775" w:name="_Toc13597"/>
      <w:bookmarkStart w:id="776" w:name="_Toc29896"/>
      <w:bookmarkStart w:id="777" w:name="_Toc13980"/>
      <w:bookmarkStart w:id="778" w:name="_Toc195714410"/>
      <w:r>
        <w:rPr>
          <w:rFonts w:hint="eastAsia" w:ascii="宋体" w:hAnsi="宋体" w:eastAsia="宋体" w:cs="宋体"/>
          <w:b/>
          <w:color w:val="auto"/>
          <w:kern w:val="0"/>
          <w:sz w:val="32"/>
          <w:szCs w:val="32"/>
          <w:highlight w:val="none"/>
        </w:rPr>
        <w:t>三  投标文件报价信封格式</w:t>
      </w:r>
      <w:bookmarkEnd w:id="774"/>
      <w:bookmarkEnd w:id="775"/>
      <w:bookmarkEnd w:id="776"/>
      <w:bookmarkEnd w:id="777"/>
      <w:bookmarkEnd w:id="778"/>
    </w:p>
    <w:p w14:paraId="4D41762F">
      <w:pPr>
        <w:jc w:val="center"/>
        <w:rPr>
          <w:rFonts w:ascii="宋体" w:hAnsi="宋体" w:eastAsia="宋体" w:cs="宋体"/>
          <w:b/>
          <w:color w:val="auto"/>
          <w:kern w:val="0"/>
          <w:sz w:val="32"/>
          <w:szCs w:val="32"/>
          <w:highlight w:val="none"/>
        </w:rPr>
      </w:pPr>
    </w:p>
    <w:p w14:paraId="7EFD82B6">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60EDC745">
      <w:pPr>
        <w:autoSpaceDE w:val="0"/>
        <w:autoSpaceDN w:val="0"/>
        <w:adjustRightInd w:val="0"/>
        <w:jc w:val="left"/>
        <w:rPr>
          <w:rFonts w:ascii="宋体" w:hAnsi="宋体" w:eastAsia="宋体" w:cs="Times New Roman"/>
          <w:color w:val="auto"/>
          <w:kern w:val="0"/>
          <w:sz w:val="24"/>
          <w:szCs w:val="24"/>
          <w:highlight w:val="none"/>
        </w:rPr>
      </w:pPr>
    </w:p>
    <w:p w14:paraId="00592BEB">
      <w:pPr>
        <w:autoSpaceDE w:val="0"/>
        <w:autoSpaceDN w:val="0"/>
        <w:adjustRightInd w:val="0"/>
        <w:jc w:val="left"/>
        <w:rPr>
          <w:rFonts w:ascii="宋体" w:hAnsi="宋体" w:eastAsia="宋体" w:cs="Times New Roman"/>
          <w:color w:val="auto"/>
          <w:kern w:val="0"/>
          <w:sz w:val="24"/>
          <w:szCs w:val="24"/>
          <w:highlight w:val="none"/>
        </w:rPr>
      </w:pPr>
    </w:p>
    <w:p w14:paraId="50233794">
      <w:pPr>
        <w:autoSpaceDE w:val="0"/>
        <w:autoSpaceDN w:val="0"/>
        <w:adjustRightInd w:val="0"/>
        <w:jc w:val="left"/>
        <w:rPr>
          <w:rFonts w:ascii="宋体" w:hAnsi="宋体" w:eastAsia="宋体" w:cs="Times New Roman"/>
          <w:color w:val="auto"/>
          <w:kern w:val="0"/>
          <w:sz w:val="24"/>
          <w:szCs w:val="24"/>
          <w:highlight w:val="none"/>
        </w:rPr>
      </w:pPr>
    </w:p>
    <w:p w14:paraId="68E16F30">
      <w:pPr>
        <w:autoSpaceDE w:val="0"/>
        <w:autoSpaceDN w:val="0"/>
        <w:adjustRightInd w:val="0"/>
        <w:jc w:val="left"/>
        <w:rPr>
          <w:rFonts w:ascii="宋体" w:hAnsi="宋体" w:eastAsia="宋体" w:cs="Times New Roman"/>
          <w:color w:val="auto"/>
          <w:kern w:val="0"/>
          <w:sz w:val="24"/>
          <w:szCs w:val="24"/>
          <w:highlight w:val="none"/>
        </w:rPr>
      </w:pPr>
    </w:p>
    <w:p w14:paraId="22B3B62A">
      <w:pPr>
        <w:autoSpaceDE w:val="0"/>
        <w:autoSpaceDN w:val="0"/>
        <w:adjustRightInd w:val="0"/>
        <w:jc w:val="left"/>
        <w:rPr>
          <w:rFonts w:ascii="宋体" w:hAnsi="宋体" w:eastAsia="宋体" w:cs="Times New Roman"/>
          <w:color w:val="auto"/>
          <w:kern w:val="0"/>
          <w:sz w:val="24"/>
          <w:szCs w:val="24"/>
          <w:highlight w:val="none"/>
        </w:rPr>
      </w:pPr>
    </w:p>
    <w:p w14:paraId="14D40DFB">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241893FD">
      <w:pPr>
        <w:autoSpaceDE w:val="0"/>
        <w:autoSpaceDN w:val="0"/>
        <w:adjustRightInd w:val="0"/>
        <w:jc w:val="left"/>
        <w:rPr>
          <w:rFonts w:ascii="宋体" w:hAnsi="宋体" w:eastAsia="宋体" w:cs="Times New Roman"/>
          <w:color w:val="auto"/>
          <w:kern w:val="0"/>
          <w:sz w:val="24"/>
          <w:szCs w:val="24"/>
          <w:highlight w:val="none"/>
        </w:rPr>
      </w:pPr>
    </w:p>
    <w:p w14:paraId="252363FD">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79" w:name="_Toc17208"/>
      <w:bookmarkStart w:id="780" w:name="_Toc142508390"/>
      <w:bookmarkStart w:id="781" w:name="_Toc195714411"/>
      <w:bookmarkStart w:id="782" w:name="_Toc14977"/>
      <w:bookmarkStart w:id="783" w:name="_Toc21059"/>
      <w:bookmarkStart w:id="784" w:name="_Toc522047402"/>
      <w:bookmarkStart w:id="785" w:name="_Toc22601_WPSOffice_Level1"/>
      <w:bookmarkStart w:id="786" w:name="_Toc521918141"/>
      <w:r>
        <w:rPr>
          <w:rFonts w:hint="eastAsia" w:ascii="宋体" w:hAnsi="宋体" w:eastAsia="宋体" w:cs="宋体"/>
          <w:b/>
          <w:bCs/>
          <w:color w:val="auto"/>
          <w:kern w:val="44"/>
          <w:sz w:val="32"/>
          <w:szCs w:val="32"/>
          <w:highlight w:val="none"/>
          <w:lang w:val="zh-CN"/>
        </w:rPr>
        <w:t>附件一：评标工作大纲</w:t>
      </w:r>
      <w:bookmarkEnd w:id="779"/>
      <w:bookmarkEnd w:id="780"/>
      <w:bookmarkEnd w:id="781"/>
      <w:bookmarkEnd w:id="782"/>
      <w:bookmarkEnd w:id="783"/>
    </w:p>
    <w:p w14:paraId="2C3A8895">
      <w:pPr>
        <w:autoSpaceDE w:val="0"/>
        <w:autoSpaceDN w:val="0"/>
        <w:adjustRightInd w:val="0"/>
        <w:spacing w:line="400" w:lineRule="atLeast"/>
        <w:jc w:val="center"/>
        <w:rPr>
          <w:rFonts w:ascii="宋体" w:hAnsi="宋体" w:eastAsia="宋体" w:cs="宋体"/>
          <w:b/>
          <w:bCs/>
          <w:color w:val="auto"/>
          <w:szCs w:val="21"/>
          <w:highlight w:val="none"/>
        </w:rPr>
      </w:pPr>
    </w:p>
    <w:p w14:paraId="0044A26A">
      <w:pPr>
        <w:autoSpaceDE w:val="0"/>
        <w:autoSpaceDN w:val="0"/>
        <w:adjustRightInd w:val="0"/>
        <w:spacing w:line="400" w:lineRule="atLeast"/>
        <w:jc w:val="center"/>
        <w:rPr>
          <w:rFonts w:ascii="宋体" w:hAnsi="宋体" w:eastAsia="宋体" w:cs="宋体"/>
          <w:b/>
          <w:bCs/>
          <w:color w:val="auto"/>
          <w:szCs w:val="21"/>
          <w:highlight w:val="none"/>
        </w:rPr>
      </w:pPr>
    </w:p>
    <w:p w14:paraId="2AFF6248">
      <w:pPr>
        <w:autoSpaceDE w:val="0"/>
        <w:autoSpaceDN w:val="0"/>
        <w:adjustRightInd w:val="0"/>
        <w:spacing w:line="400" w:lineRule="atLeast"/>
        <w:jc w:val="center"/>
        <w:rPr>
          <w:rFonts w:ascii="宋体" w:hAnsi="宋体" w:eastAsia="宋体" w:cs="宋体"/>
          <w:b/>
          <w:bCs/>
          <w:color w:val="auto"/>
          <w:szCs w:val="21"/>
          <w:highlight w:val="none"/>
        </w:rPr>
      </w:pPr>
    </w:p>
    <w:p w14:paraId="7F970593">
      <w:pPr>
        <w:autoSpaceDE w:val="0"/>
        <w:autoSpaceDN w:val="0"/>
        <w:adjustRightInd w:val="0"/>
        <w:spacing w:line="400" w:lineRule="atLeast"/>
        <w:jc w:val="center"/>
        <w:rPr>
          <w:rFonts w:ascii="宋体" w:hAnsi="宋体" w:eastAsia="宋体" w:cs="宋体"/>
          <w:b/>
          <w:bCs/>
          <w:color w:val="auto"/>
          <w:szCs w:val="21"/>
          <w:highlight w:val="none"/>
        </w:rPr>
      </w:pPr>
    </w:p>
    <w:p w14:paraId="230824AC">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东莞市水务集团造价咨询服务单位库(2025-2026)采购项目</w:t>
      </w:r>
    </w:p>
    <w:p w14:paraId="1480B2CF">
      <w:pPr>
        <w:autoSpaceDE w:val="0"/>
        <w:autoSpaceDN w:val="0"/>
        <w:adjustRightInd w:val="0"/>
        <w:spacing w:line="360" w:lineRule="auto"/>
        <w:jc w:val="center"/>
        <w:rPr>
          <w:rFonts w:ascii="宋体" w:hAnsi="宋体" w:eastAsia="宋体" w:cs="宋体"/>
          <w:b/>
          <w:bCs/>
          <w:color w:val="auto"/>
          <w:sz w:val="36"/>
          <w:szCs w:val="36"/>
          <w:highlight w:val="none"/>
        </w:rPr>
      </w:pPr>
      <w:bookmarkStart w:id="787" w:name="_Toc14752_WPSOffice_Level1"/>
      <w:r>
        <w:rPr>
          <w:rFonts w:hint="eastAsia" w:ascii="宋体" w:hAnsi="宋体" w:eastAsia="宋体" w:cs="宋体"/>
          <w:b/>
          <w:bCs/>
          <w:color w:val="auto"/>
          <w:sz w:val="36"/>
          <w:szCs w:val="36"/>
          <w:highlight w:val="none"/>
          <w:lang w:val="zh-CN"/>
        </w:rPr>
        <w:t>（招标编号：</w:t>
      </w:r>
      <w:r>
        <w:rPr>
          <w:rFonts w:hint="eastAsia" w:ascii="宋体" w:hAnsi="宋体" w:eastAsia="宋体" w:cs="宋体"/>
          <w:b/>
          <w:bCs/>
          <w:color w:val="auto"/>
          <w:sz w:val="36"/>
          <w:szCs w:val="36"/>
          <w:highlight w:val="none"/>
          <w:lang w:val="en-US" w:eastAsia="zh-CN"/>
        </w:rPr>
        <w:t>SSRSSV12501076</w:t>
      </w:r>
      <w:r>
        <w:rPr>
          <w:rFonts w:hint="eastAsia" w:ascii="宋体" w:hAnsi="宋体" w:eastAsia="宋体" w:cs="宋体"/>
          <w:b/>
          <w:bCs/>
          <w:color w:val="auto"/>
          <w:sz w:val="36"/>
          <w:szCs w:val="36"/>
          <w:highlight w:val="none"/>
          <w:lang w:val="zh-CN"/>
        </w:rPr>
        <w:t>）</w:t>
      </w:r>
      <w:bookmarkEnd w:id="787"/>
    </w:p>
    <w:p w14:paraId="45A8E2FD">
      <w:pPr>
        <w:autoSpaceDE w:val="0"/>
        <w:autoSpaceDN w:val="0"/>
        <w:adjustRightInd w:val="0"/>
        <w:spacing w:line="400" w:lineRule="atLeast"/>
        <w:jc w:val="center"/>
        <w:rPr>
          <w:rFonts w:ascii="宋体" w:hAnsi="宋体" w:eastAsia="宋体" w:cs="宋体"/>
          <w:b/>
          <w:bCs/>
          <w:color w:val="auto"/>
          <w:sz w:val="36"/>
          <w:szCs w:val="36"/>
          <w:highlight w:val="none"/>
        </w:rPr>
      </w:pPr>
    </w:p>
    <w:p w14:paraId="14C84482">
      <w:pPr>
        <w:autoSpaceDE w:val="0"/>
        <w:autoSpaceDN w:val="0"/>
        <w:adjustRightInd w:val="0"/>
        <w:spacing w:line="400" w:lineRule="atLeast"/>
        <w:jc w:val="center"/>
        <w:rPr>
          <w:rFonts w:ascii="宋体" w:hAnsi="宋体" w:eastAsia="宋体" w:cs="宋体"/>
          <w:b/>
          <w:bCs/>
          <w:color w:val="auto"/>
          <w:sz w:val="36"/>
          <w:szCs w:val="36"/>
          <w:highlight w:val="none"/>
        </w:rPr>
      </w:pPr>
    </w:p>
    <w:p w14:paraId="47069310">
      <w:pPr>
        <w:autoSpaceDE w:val="0"/>
        <w:autoSpaceDN w:val="0"/>
        <w:adjustRightInd w:val="0"/>
        <w:spacing w:line="400" w:lineRule="atLeast"/>
        <w:jc w:val="center"/>
        <w:rPr>
          <w:rFonts w:ascii="宋体" w:hAnsi="宋体" w:eastAsia="宋体" w:cs="宋体"/>
          <w:b/>
          <w:bCs/>
          <w:color w:val="auto"/>
          <w:sz w:val="36"/>
          <w:szCs w:val="36"/>
          <w:highlight w:val="none"/>
        </w:rPr>
      </w:pPr>
    </w:p>
    <w:p w14:paraId="758A5702">
      <w:pPr>
        <w:autoSpaceDE w:val="0"/>
        <w:autoSpaceDN w:val="0"/>
        <w:adjustRightInd w:val="0"/>
        <w:spacing w:line="400" w:lineRule="atLeast"/>
        <w:jc w:val="center"/>
        <w:rPr>
          <w:rFonts w:ascii="宋体" w:hAnsi="宋体" w:eastAsia="宋体" w:cs="宋体"/>
          <w:b/>
          <w:bCs/>
          <w:color w:val="auto"/>
          <w:sz w:val="36"/>
          <w:szCs w:val="36"/>
          <w:highlight w:val="none"/>
        </w:rPr>
      </w:pPr>
    </w:p>
    <w:p w14:paraId="19636AA8">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88" w:name="_Toc18947_WPSOffice_Level2"/>
      <w:r>
        <w:rPr>
          <w:rFonts w:hint="eastAsia" w:ascii="宋体" w:hAnsi="宋体" w:eastAsia="宋体" w:cs="宋体"/>
          <w:b/>
          <w:bCs/>
          <w:color w:val="auto"/>
          <w:sz w:val="72"/>
          <w:szCs w:val="72"/>
          <w:highlight w:val="none"/>
          <w:lang w:val="zh-CN"/>
        </w:rPr>
        <w:t>评标工作大纲</w:t>
      </w:r>
      <w:bookmarkEnd w:id="788"/>
    </w:p>
    <w:p w14:paraId="74AB1FB4">
      <w:pPr>
        <w:autoSpaceDE w:val="0"/>
        <w:autoSpaceDN w:val="0"/>
        <w:adjustRightInd w:val="0"/>
        <w:spacing w:line="400" w:lineRule="atLeast"/>
        <w:jc w:val="center"/>
        <w:rPr>
          <w:rFonts w:ascii="宋体" w:hAnsi="宋体" w:eastAsia="宋体" w:cs="宋体"/>
          <w:b/>
          <w:bCs/>
          <w:color w:val="auto"/>
          <w:sz w:val="36"/>
          <w:szCs w:val="36"/>
          <w:highlight w:val="none"/>
        </w:rPr>
      </w:pPr>
    </w:p>
    <w:p w14:paraId="77EBD1F2">
      <w:pPr>
        <w:autoSpaceDE w:val="0"/>
        <w:autoSpaceDN w:val="0"/>
        <w:adjustRightInd w:val="0"/>
        <w:spacing w:line="400" w:lineRule="atLeast"/>
        <w:rPr>
          <w:rFonts w:ascii="宋体" w:hAnsi="宋体" w:eastAsia="宋体" w:cs="宋体"/>
          <w:b/>
          <w:bCs/>
          <w:color w:val="auto"/>
          <w:sz w:val="36"/>
          <w:szCs w:val="36"/>
          <w:highlight w:val="none"/>
        </w:rPr>
      </w:pPr>
    </w:p>
    <w:p w14:paraId="3283F2FC">
      <w:pPr>
        <w:autoSpaceDE w:val="0"/>
        <w:autoSpaceDN w:val="0"/>
        <w:adjustRightInd w:val="0"/>
        <w:spacing w:line="400" w:lineRule="atLeast"/>
        <w:jc w:val="center"/>
        <w:rPr>
          <w:rFonts w:ascii="宋体" w:hAnsi="宋体" w:eastAsia="宋体" w:cs="宋体"/>
          <w:b/>
          <w:bCs/>
          <w:color w:val="auto"/>
          <w:sz w:val="36"/>
          <w:szCs w:val="36"/>
          <w:highlight w:val="none"/>
        </w:rPr>
      </w:pPr>
    </w:p>
    <w:p w14:paraId="5C10CF78">
      <w:pPr>
        <w:autoSpaceDE w:val="0"/>
        <w:autoSpaceDN w:val="0"/>
        <w:adjustRightInd w:val="0"/>
        <w:spacing w:line="400" w:lineRule="atLeast"/>
        <w:jc w:val="center"/>
        <w:rPr>
          <w:rFonts w:ascii="宋体" w:hAnsi="宋体" w:eastAsia="宋体" w:cs="宋体"/>
          <w:b/>
          <w:bCs/>
          <w:color w:val="auto"/>
          <w:sz w:val="36"/>
          <w:szCs w:val="36"/>
          <w:highlight w:val="none"/>
        </w:rPr>
      </w:pPr>
    </w:p>
    <w:p w14:paraId="7A08F6D8">
      <w:pPr>
        <w:autoSpaceDE w:val="0"/>
        <w:autoSpaceDN w:val="0"/>
        <w:adjustRightInd w:val="0"/>
        <w:spacing w:line="400" w:lineRule="atLeast"/>
        <w:jc w:val="center"/>
        <w:rPr>
          <w:rFonts w:ascii="宋体" w:hAnsi="宋体" w:eastAsia="宋体" w:cs="宋体"/>
          <w:b/>
          <w:bCs/>
          <w:color w:val="auto"/>
          <w:sz w:val="36"/>
          <w:szCs w:val="36"/>
          <w:highlight w:val="none"/>
        </w:rPr>
      </w:pPr>
    </w:p>
    <w:p w14:paraId="65108A83">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2AC4D2D8">
      <w:pPr>
        <w:autoSpaceDE w:val="0"/>
        <w:autoSpaceDN w:val="0"/>
        <w:adjustRightInd w:val="0"/>
        <w:spacing w:line="400" w:lineRule="atLeast"/>
        <w:jc w:val="center"/>
        <w:rPr>
          <w:rFonts w:ascii="宋体" w:hAnsi="宋体" w:eastAsia="宋体" w:cs="宋体"/>
          <w:b/>
          <w:bCs/>
          <w:color w:val="auto"/>
          <w:sz w:val="36"/>
          <w:szCs w:val="36"/>
          <w:highlight w:val="none"/>
        </w:rPr>
      </w:pPr>
    </w:p>
    <w:p w14:paraId="4E4EDDEC">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89" w:name="_Toc32395_WPSOffice_Level1"/>
      <w:r>
        <w:rPr>
          <w:rFonts w:hint="eastAsia" w:ascii="宋体" w:hAnsi="宋体" w:eastAsia="宋体" w:cs="宋体"/>
          <w:b/>
          <w:bCs/>
          <w:color w:val="auto"/>
          <w:sz w:val="36"/>
          <w:szCs w:val="36"/>
          <w:highlight w:val="none"/>
          <w:lang w:val="zh-CN"/>
        </w:rPr>
        <w:t>目录</w:t>
      </w:r>
      <w:bookmarkEnd w:id="789"/>
    </w:p>
    <w:p w14:paraId="3F6450BF">
      <w:pPr>
        <w:autoSpaceDE w:val="0"/>
        <w:autoSpaceDN w:val="0"/>
        <w:adjustRightInd w:val="0"/>
        <w:spacing w:line="400" w:lineRule="atLeast"/>
        <w:jc w:val="center"/>
        <w:rPr>
          <w:rFonts w:ascii="宋体" w:hAnsi="宋体" w:eastAsia="宋体" w:cs="宋体"/>
          <w:color w:val="auto"/>
          <w:sz w:val="44"/>
          <w:szCs w:val="44"/>
          <w:highlight w:val="none"/>
        </w:rPr>
      </w:pPr>
    </w:p>
    <w:p w14:paraId="1CFA5D38">
      <w:pPr>
        <w:autoSpaceDE w:val="0"/>
        <w:autoSpaceDN w:val="0"/>
        <w:adjustRightInd w:val="0"/>
        <w:spacing w:line="360" w:lineRule="auto"/>
        <w:ind w:left="567" w:hanging="567"/>
        <w:rPr>
          <w:rFonts w:ascii="宋体" w:hAnsi="宋体" w:eastAsia="宋体" w:cs="宋体"/>
          <w:color w:val="auto"/>
          <w:szCs w:val="30"/>
          <w:highlight w:val="none"/>
        </w:rPr>
      </w:pPr>
      <w:bookmarkStart w:id="790"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90"/>
    </w:p>
    <w:p w14:paraId="7D3EAEA0">
      <w:pPr>
        <w:autoSpaceDE w:val="0"/>
        <w:autoSpaceDN w:val="0"/>
        <w:adjustRightInd w:val="0"/>
        <w:spacing w:line="360" w:lineRule="auto"/>
        <w:ind w:left="567" w:hanging="567"/>
        <w:rPr>
          <w:rFonts w:ascii="宋体" w:hAnsi="宋体" w:eastAsia="宋体" w:cs="宋体"/>
          <w:color w:val="auto"/>
          <w:szCs w:val="30"/>
          <w:highlight w:val="none"/>
        </w:rPr>
      </w:pPr>
      <w:bookmarkStart w:id="791"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91"/>
    </w:p>
    <w:p w14:paraId="1B3695CD">
      <w:pPr>
        <w:autoSpaceDE w:val="0"/>
        <w:autoSpaceDN w:val="0"/>
        <w:adjustRightInd w:val="0"/>
        <w:spacing w:line="360" w:lineRule="auto"/>
        <w:ind w:left="567" w:hanging="567"/>
        <w:rPr>
          <w:rFonts w:ascii="宋体" w:hAnsi="宋体" w:eastAsia="宋体" w:cs="宋体"/>
          <w:color w:val="auto"/>
          <w:szCs w:val="30"/>
          <w:highlight w:val="none"/>
        </w:rPr>
      </w:pPr>
      <w:bookmarkStart w:id="792"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92"/>
    </w:p>
    <w:p w14:paraId="0B973D04">
      <w:pPr>
        <w:autoSpaceDE w:val="0"/>
        <w:autoSpaceDN w:val="0"/>
        <w:adjustRightInd w:val="0"/>
        <w:spacing w:line="360" w:lineRule="auto"/>
        <w:ind w:left="567" w:hanging="567"/>
        <w:rPr>
          <w:rFonts w:ascii="宋体" w:hAnsi="宋体" w:eastAsia="宋体" w:cs="宋体"/>
          <w:color w:val="auto"/>
          <w:szCs w:val="30"/>
          <w:highlight w:val="none"/>
        </w:rPr>
      </w:pPr>
      <w:bookmarkStart w:id="793" w:name="_Toc1206_WPSOffice_Level1"/>
      <w:r>
        <w:rPr>
          <w:rFonts w:hint="eastAsia" w:ascii="宋体" w:hAnsi="宋体" w:eastAsia="宋体" w:cs="宋体"/>
          <w:color w:val="auto"/>
          <w:szCs w:val="30"/>
          <w:highlight w:val="none"/>
        </w:rPr>
        <w:t>四、 比较和评价</w:t>
      </w:r>
      <w:bookmarkEnd w:id="793"/>
    </w:p>
    <w:p w14:paraId="4E28F2BF">
      <w:pPr>
        <w:autoSpaceDE w:val="0"/>
        <w:autoSpaceDN w:val="0"/>
        <w:adjustRightInd w:val="0"/>
        <w:spacing w:line="360" w:lineRule="auto"/>
        <w:ind w:left="567" w:hanging="567"/>
        <w:rPr>
          <w:rFonts w:ascii="宋体" w:hAnsi="宋体" w:eastAsia="宋体" w:cs="宋体"/>
          <w:color w:val="auto"/>
          <w:szCs w:val="30"/>
          <w:highlight w:val="none"/>
        </w:rPr>
      </w:pPr>
      <w:bookmarkStart w:id="794"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94"/>
    </w:p>
    <w:p w14:paraId="3A91D0FF">
      <w:pPr>
        <w:autoSpaceDE w:val="0"/>
        <w:autoSpaceDN w:val="0"/>
        <w:adjustRightInd w:val="0"/>
        <w:spacing w:line="360" w:lineRule="auto"/>
        <w:ind w:left="567" w:hanging="567"/>
        <w:rPr>
          <w:rFonts w:ascii="宋体" w:hAnsi="宋体" w:eastAsia="宋体" w:cs="宋体"/>
          <w:color w:val="auto"/>
          <w:szCs w:val="30"/>
          <w:highlight w:val="none"/>
        </w:rPr>
      </w:pPr>
      <w:bookmarkStart w:id="795"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95"/>
    </w:p>
    <w:p w14:paraId="1E512053">
      <w:pPr>
        <w:autoSpaceDE w:val="0"/>
        <w:autoSpaceDN w:val="0"/>
        <w:adjustRightInd w:val="0"/>
        <w:spacing w:line="360" w:lineRule="auto"/>
        <w:ind w:left="567" w:hanging="567"/>
        <w:rPr>
          <w:rFonts w:ascii="宋体" w:hAnsi="宋体" w:eastAsia="宋体" w:cs="宋体"/>
          <w:color w:val="auto"/>
          <w:szCs w:val="30"/>
          <w:highlight w:val="none"/>
        </w:rPr>
      </w:pPr>
      <w:bookmarkStart w:id="796"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96"/>
    </w:p>
    <w:p w14:paraId="4E614A5C">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0EC58DD">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CC6985F">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70857759">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97"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97"/>
    </w:p>
    <w:p w14:paraId="64518E03">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0CA792F1">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东莞市水务集团造价咨询服务单位库(2025-2026)采购项目</w:t>
      </w:r>
      <w:r>
        <w:rPr>
          <w:rFonts w:hint="eastAsia" w:ascii="宋体" w:hAnsi="宋体" w:eastAsia="宋体" w:cs="宋体"/>
          <w:color w:val="auto"/>
          <w:szCs w:val="21"/>
          <w:highlight w:val="none"/>
          <w:lang w:val="zh-CN"/>
        </w:rPr>
        <w:t>(招标编号：SSRSSV12501076</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7AC2B53">
      <w:pPr>
        <w:autoSpaceDE w:val="0"/>
        <w:autoSpaceDN w:val="0"/>
        <w:adjustRightInd w:val="0"/>
        <w:spacing w:line="360" w:lineRule="auto"/>
        <w:ind w:left="567" w:hanging="567"/>
        <w:outlineLvl w:val="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70D372C5">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0D0039E5">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3EB51AA2">
      <w:pPr>
        <w:numPr>
          <w:ilvl w:val="1"/>
          <w:numId w:val="4"/>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22622115">
      <w:pPr>
        <w:autoSpaceDE w:val="0"/>
        <w:autoSpaceDN w:val="0"/>
        <w:adjustRightInd w:val="0"/>
        <w:spacing w:line="360" w:lineRule="auto"/>
        <w:rPr>
          <w:rFonts w:ascii="宋体" w:hAnsi="宋体" w:eastAsia="宋体" w:cs="宋体"/>
          <w:color w:val="auto"/>
          <w:sz w:val="24"/>
          <w:szCs w:val="24"/>
          <w:highlight w:val="none"/>
          <w:lang w:val="zh-CN"/>
        </w:rPr>
      </w:pPr>
    </w:p>
    <w:p w14:paraId="6EBB748C">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68067C33">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w:t>
      </w:r>
      <w:r>
        <w:rPr>
          <w:rFonts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rPr>
        <w:t>5</w:t>
      </w:r>
      <w:r>
        <w:rPr>
          <w:rFonts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BE37FDC">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12CCB477">
      <w:pPr>
        <w:autoSpaceDE w:val="0"/>
        <w:autoSpaceDN w:val="0"/>
        <w:adjustRightInd w:val="0"/>
        <w:spacing w:line="360" w:lineRule="auto"/>
        <w:ind w:left="600" w:hanging="600"/>
        <w:outlineLvl w:val="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7348AF4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E12B0E2">
      <w:pPr>
        <w:autoSpaceDE w:val="0"/>
        <w:autoSpaceDN w:val="0"/>
        <w:adjustRightInd w:val="0"/>
        <w:spacing w:line="360" w:lineRule="auto"/>
        <w:rPr>
          <w:rFonts w:ascii="宋体" w:hAnsi="宋体" w:eastAsia="宋体" w:cs="宋体"/>
          <w:color w:val="auto"/>
          <w:sz w:val="24"/>
          <w:szCs w:val="24"/>
          <w:highlight w:val="none"/>
          <w:lang w:val="zh-CN"/>
        </w:rPr>
      </w:pPr>
    </w:p>
    <w:p w14:paraId="5732F0E6">
      <w:pPr>
        <w:autoSpaceDE w:val="0"/>
        <w:autoSpaceDN w:val="0"/>
        <w:adjustRightInd w:val="0"/>
        <w:spacing w:line="360" w:lineRule="auto"/>
        <w:outlineLvl w:val="0"/>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CBB00C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4A13B25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C6D5C4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251B169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4F173632">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6DDF63FC">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72A84D70">
      <w:pPr>
        <w:autoSpaceDE w:val="0"/>
        <w:autoSpaceDN w:val="0"/>
        <w:adjustRightInd w:val="0"/>
        <w:spacing w:line="360" w:lineRule="auto"/>
        <w:jc w:val="left"/>
        <w:outlineLvl w:val="1"/>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7AC8397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0700418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C786ED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3341D58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89D42F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18102A6B">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7EB3AEEB">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6081EC34">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324AE651">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05F9FCB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33547E61">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0E99E68F">
      <w:pPr>
        <w:autoSpaceDE w:val="0"/>
        <w:autoSpaceDN w:val="0"/>
        <w:adjustRightInd w:val="0"/>
        <w:spacing w:line="360" w:lineRule="auto"/>
        <w:ind w:left="567" w:hanging="567"/>
        <w:outlineLvl w:val="1"/>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w:t>
      </w:r>
    </w:p>
    <w:p w14:paraId="759C410A">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投标人的技术打分的最终综合得分、商务打分的算术平均值得出投标人的总分。</w:t>
      </w:r>
    </w:p>
    <w:p w14:paraId="567180E2">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4508806A">
      <w:pPr>
        <w:autoSpaceDE w:val="0"/>
        <w:autoSpaceDN w:val="0"/>
        <w:adjustRightInd w:val="0"/>
        <w:spacing w:line="360" w:lineRule="auto"/>
        <w:ind w:left="525" w:hanging="525" w:hangingChars="250"/>
        <w:jc w:val="left"/>
        <w:outlineLvl w:val="1"/>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6A606C2C">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1F389EAC">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798" w:name="_Toc19435_WPSOffice_Level1"/>
      <w:r>
        <w:rPr>
          <w:rFonts w:hint="eastAsia" w:ascii="宋体" w:hAnsi="宋体" w:eastAsia="宋体" w:cs="宋体"/>
          <w:b/>
          <w:bCs/>
          <w:color w:val="auto"/>
          <w:sz w:val="28"/>
          <w:szCs w:val="28"/>
          <w:highlight w:val="none"/>
          <w:lang w:val="zh-CN"/>
        </w:rPr>
        <w:t>二、投标文件的初审</w:t>
      </w:r>
      <w:bookmarkEnd w:id="798"/>
    </w:p>
    <w:p w14:paraId="03B5BAA5">
      <w:pPr>
        <w:autoSpaceDE w:val="0"/>
        <w:autoSpaceDN w:val="0"/>
        <w:adjustRightInd w:val="0"/>
        <w:spacing w:line="360" w:lineRule="auto"/>
        <w:outlineLvl w:val="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7D7069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A526710">
      <w:pPr>
        <w:autoSpaceDE w:val="0"/>
        <w:autoSpaceDN w:val="0"/>
        <w:adjustRightInd w:val="0"/>
        <w:spacing w:line="360" w:lineRule="auto"/>
        <w:ind w:left="0" w:leftChars="0" w:firstLine="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A3FA814">
      <w:pPr>
        <w:autoSpaceDE/>
        <w:autoSpaceDN/>
        <w:adjustRightInd/>
        <w:spacing w:line="360" w:lineRule="auto"/>
        <w:ind w:left="0" w:leftChars="0" w:firstLine="527" w:firstLineChars="25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w:t>
      </w:r>
      <w:r>
        <w:rPr>
          <w:rFonts w:hint="eastAsia" w:ascii="宋体" w:hAnsi="宋体" w:eastAsia="宋体" w:cs="宋体"/>
          <w:color w:val="auto"/>
          <w:szCs w:val="24"/>
          <w:highlight w:val="none"/>
          <w:lang w:val="en-US" w:eastAsia="zh-CN"/>
        </w:rPr>
        <w:tab/>
      </w:r>
      <w:r>
        <w:rPr>
          <w:rFonts w:hint="eastAsia" w:ascii="宋体" w:hAnsi="宋体" w:eastAsia="宋体" w:cs="宋体"/>
          <w:color w:val="auto"/>
          <w:szCs w:val="24"/>
          <w:highlight w:val="none"/>
          <w:lang w:val="zh-CN"/>
        </w:rPr>
        <w:t>偏离或保留系指实质上影响到合同项下的服务范围、质量，或指与招标文件有实质不一致，限制了合同项</w:t>
      </w:r>
      <w:r>
        <w:rPr>
          <w:rFonts w:hint="eastAsia" w:ascii="宋体" w:hAnsi="宋体" w:eastAsia="宋体" w:cs="宋体"/>
          <w:color w:val="auto"/>
          <w:szCs w:val="24"/>
          <w:highlight w:val="none"/>
          <w:lang w:val="en-US" w:eastAsia="zh-CN"/>
        </w:rPr>
        <w:tab/>
      </w:r>
      <w:r>
        <w:rPr>
          <w:rFonts w:hint="eastAsia" w:ascii="宋体" w:hAnsi="宋体" w:eastAsia="宋体" w:cs="宋体"/>
          <w:color w:val="auto"/>
          <w:szCs w:val="24"/>
          <w:highlight w:val="none"/>
          <w:lang w:val="zh-CN"/>
        </w:rPr>
        <w:t>下委托人的权利和承包人的义务, 或对该重大偏离的修改对提交实质性响应投标的其他投标人将不公平。</w:t>
      </w:r>
    </w:p>
    <w:p w14:paraId="2861C93C">
      <w:pPr>
        <w:autoSpaceDE/>
        <w:autoSpaceDN/>
        <w:adjustRightInd/>
        <w:spacing w:line="360" w:lineRule="auto"/>
        <w:ind w:left="0" w:firstLine="42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0918FCDA">
      <w:pPr>
        <w:autoSpaceDE/>
        <w:autoSpaceDN/>
        <w:adjustRightInd/>
        <w:spacing w:line="360" w:lineRule="auto"/>
        <w:ind w:left="0" w:leftChars="0" w:firstLine="420" w:firstLineChars="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对是否符合实质性响应招标文件有争议的投标文件,评标委员会成员将以记名方式表决,根据少数服从多数</w:t>
      </w:r>
      <w:r>
        <w:rPr>
          <w:rFonts w:hint="eastAsia" w:ascii="宋体" w:hAnsi="宋体" w:eastAsia="宋体" w:cs="宋体"/>
          <w:b/>
          <w:bCs/>
          <w:color w:val="auto"/>
          <w:szCs w:val="24"/>
          <w:highlight w:val="none"/>
          <w:lang w:val="en-US" w:eastAsia="zh-CN"/>
        </w:rPr>
        <w:tab/>
      </w:r>
      <w:r>
        <w:rPr>
          <w:rFonts w:hint="eastAsia" w:ascii="宋体" w:hAnsi="宋体" w:eastAsia="宋体" w:cs="宋体"/>
          <w:b/>
          <w:bCs/>
          <w:color w:val="auto"/>
          <w:szCs w:val="24"/>
          <w:highlight w:val="none"/>
          <w:lang w:val="zh-CN"/>
        </w:rPr>
        <w:t>的原则，获多数表决通过的投标人才有资格进入下一阶段的评审,否则将被认定为无效投标文件。</w:t>
      </w:r>
    </w:p>
    <w:p w14:paraId="7EBA4542">
      <w:pPr>
        <w:pStyle w:val="16"/>
        <w:outlineLvl w:val="0"/>
        <w:rPr>
          <w:rFonts w:hint="eastAsia" w:ascii="宋体" w:hAnsi="宋体" w:eastAsia="宋体" w:cs="宋体"/>
          <w:b/>
          <w:snapToGrid/>
          <w:color w:val="auto"/>
          <w:kern w:val="2"/>
          <w:szCs w:val="21"/>
          <w:highlight w:val="none"/>
          <w:lang w:val="zh-CN"/>
        </w:rPr>
      </w:pPr>
      <w:r>
        <w:rPr>
          <w:rFonts w:hint="eastAsia" w:ascii="宋体" w:hAnsi="宋体" w:eastAsia="宋体" w:cs="宋体"/>
          <w:b/>
          <w:snapToGrid/>
          <w:color w:val="auto"/>
          <w:kern w:val="2"/>
          <w:szCs w:val="21"/>
          <w:highlight w:val="none"/>
          <w:lang w:val="zh-CN"/>
        </w:rPr>
        <w:t>7、投标文件出现下列情况之一的，被认定为无效投标:</w:t>
      </w:r>
    </w:p>
    <w:p w14:paraId="1D57F466">
      <w:pPr>
        <w:autoSpaceDE w:val="0"/>
        <w:autoSpaceDN w:val="0"/>
        <w:adjustRightInd w:val="0"/>
        <w:spacing w:line="360" w:lineRule="auto"/>
        <w:outlineLvl w:val="1"/>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 上传的投标文件损坏或无法读取的；</w:t>
      </w:r>
    </w:p>
    <w:p w14:paraId="3D808345">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5235214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3EA7DB82">
      <w:pPr>
        <w:autoSpaceDE w:val="0"/>
        <w:autoSpaceDN w:val="0"/>
        <w:adjustRightInd w:val="0"/>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7.4 投标文件未使用企业数字证书签名的；</w:t>
      </w:r>
    </w:p>
    <w:p w14:paraId="37568A2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投标文件签名使用的数字证书与签到的投标人名称不一致的；</w:t>
      </w:r>
    </w:p>
    <w:p w14:paraId="0E6CEF0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14:paraId="62671B58">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投标文件附有招标人不能接受的条件的；</w:t>
      </w:r>
    </w:p>
    <w:p w14:paraId="68ACE88C">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投标人资格不满足第二篇投标人须知第2款的要求；</w:t>
      </w:r>
    </w:p>
    <w:p w14:paraId="1FC61C99">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投标人未按招标文件要求交纳投标保证金的；</w:t>
      </w:r>
    </w:p>
    <w:p w14:paraId="51809007">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lang w:val="zh-CN"/>
        </w:rPr>
        <w:t xml:space="preserve"> </w:t>
      </w:r>
      <w:r>
        <w:rPr>
          <w:rFonts w:hint="eastAsia" w:ascii="宋体" w:hAnsi="宋体" w:eastAsia="宋体" w:cs="宋体"/>
          <w:b/>
          <w:color w:val="auto"/>
          <w:kern w:val="0"/>
          <w:szCs w:val="21"/>
          <w:highlight w:val="none"/>
        </w:rPr>
        <w:t>投标文件中的投标报价</w:t>
      </w:r>
      <w:r>
        <w:rPr>
          <w:rFonts w:hint="eastAsia" w:ascii="宋体" w:hAnsi="宋体" w:eastAsia="宋体" w:cs="宋体"/>
          <w:b/>
          <w:color w:val="auto"/>
          <w:kern w:val="0"/>
          <w:szCs w:val="21"/>
          <w:highlight w:val="none"/>
          <w:lang w:val="en-US" w:eastAsia="zh-CN"/>
        </w:rPr>
        <w:t>未按招标文件要求进行填报</w:t>
      </w:r>
      <w:r>
        <w:rPr>
          <w:rFonts w:hint="eastAsia" w:ascii="宋体" w:hAnsi="宋体" w:eastAsia="宋体" w:cs="宋体"/>
          <w:b/>
          <w:color w:val="auto"/>
          <w:szCs w:val="21"/>
          <w:highlight w:val="none"/>
          <w:lang w:val="zh-CN"/>
        </w:rPr>
        <w:t>；</w:t>
      </w:r>
    </w:p>
    <w:p w14:paraId="121C857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1846EF9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31D94CBF">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 xml:space="preserve"> 投标文件未按第二篇投标人须知第17款的要求编制、使用企业数字证书或个人数字证书电子签名的； </w:t>
      </w:r>
    </w:p>
    <w:p w14:paraId="4C05A745">
      <w:pPr>
        <w:autoSpaceDE w:val="0"/>
        <w:autoSpaceDN w:val="0"/>
        <w:adjustRightInd w:val="0"/>
        <w:spacing w:line="360" w:lineRule="auto"/>
        <w:outlineLvl w:val="1"/>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投标有效期限不符合要求；</w:t>
      </w:r>
    </w:p>
    <w:p w14:paraId="5EB95830">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4A97D348">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735E9B17">
      <w:pPr>
        <w:autoSpaceDE w:val="0"/>
        <w:autoSpaceDN w:val="0"/>
        <w:adjustRightInd w:val="0"/>
        <w:spacing w:line="360" w:lineRule="auto"/>
        <w:outlineLvl w:val="1"/>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未填写或虚假填写《用户需求偏离表》的；</w:t>
      </w:r>
    </w:p>
    <w:p w14:paraId="0DFB1436">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未响应招标文件提出的实质性要求和条件（标注★的条款）；</w:t>
      </w:r>
    </w:p>
    <w:p w14:paraId="4CB7A2DB">
      <w:pPr>
        <w:autoSpaceDE w:val="0"/>
        <w:autoSpaceDN w:val="0"/>
        <w:adjustRightInd w:val="0"/>
        <w:spacing w:line="360" w:lineRule="auto"/>
        <w:ind w:left="315" w:hanging="316" w:hangingChars="1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4ADD76D4">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ACBC424">
      <w:pPr>
        <w:spacing w:line="360" w:lineRule="auto"/>
        <w:ind w:left="480"/>
        <w:rPr>
          <w:rFonts w:ascii="宋体" w:hAnsi="宋体" w:eastAsia="宋体" w:cs="宋体"/>
          <w:b/>
          <w:color w:val="auto"/>
          <w:kern w:val="0"/>
          <w:szCs w:val="21"/>
          <w:highlight w:val="none"/>
        </w:rPr>
      </w:pPr>
    </w:p>
    <w:p w14:paraId="0B11BAD8">
      <w:pPr>
        <w:tabs>
          <w:tab w:val="left" w:pos="1140"/>
        </w:tabs>
        <w:autoSpaceDE w:val="0"/>
        <w:autoSpaceDN w:val="0"/>
        <w:adjustRightInd w:val="0"/>
        <w:spacing w:line="360" w:lineRule="auto"/>
        <w:ind w:firstLine="3528" w:firstLineChars="1255"/>
        <w:jc w:val="left"/>
        <w:outlineLvl w:val="2"/>
        <w:rPr>
          <w:rFonts w:ascii="宋体" w:hAnsi="宋体" w:eastAsia="宋体" w:cs="宋体"/>
          <w:b/>
          <w:bCs/>
          <w:color w:val="auto"/>
          <w:sz w:val="28"/>
          <w:szCs w:val="28"/>
          <w:highlight w:val="none"/>
        </w:rPr>
      </w:pPr>
      <w:bookmarkStart w:id="799" w:name="_Toc4109_WPSOffice_Level1"/>
      <w:r>
        <w:rPr>
          <w:rFonts w:hint="eastAsia" w:ascii="宋体" w:hAnsi="宋体" w:eastAsia="宋体" w:cs="宋体"/>
          <w:b/>
          <w:bCs/>
          <w:color w:val="auto"/>
          <w:sz w:val="28"/>
          <w:szCs w:val="28"/>
          <w:highlight w:val="none"/>
          <w:lang w:val="zh-CN"/>
        </w:rPr>
        <w:t>三、澄清有关问题</w:t>
      </w:r>
      <w:bookmarkEnd w:id="799"/>
    </w:p>
    <w:p w14:paraId="12BB1931">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3B680071">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531BFE9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66D5854">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A0B2CB7">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00" w:name="_Toc8518_WPSOffice_Level1"/>
    </w:p>
    <w:p w14:paraId="4F43A816">
      <w:pPr>
        <w:autoSpaceDE w:val="0"/>
        <w:autoSpaceDN w:val="0"/>
        <w:adjustRightInd w:val="0"/>
        <w:spacing w:line="360" w:lineRule="auto"/>
        <w:jc w:val="center"/>
        <w:outlineLvl w:val="2"/>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00"/>
    </w:p>
    <w:p w14:paraId="70B00DF2">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等内容进行打分。</w:t>
      </w:r>
    </w:p>
    <w:p w14:paraId="5C1CED60">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0CA87EFF">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31DC684">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3127E4D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46DDFFCE">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评标委员会专家组的每一位评委根据招标文件评分标准对投标文件分别评审，对有效投标人投标文件的商务、技术分别评分。</w:t>
      </w:r>
    </w:p>
    <w:p w14:paraId="12A8C16C">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513D6011">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评审的评分因素的评分低于权重分值60%的，应在评标报告中作出说明。</w:t>
      </w:r>
    </w:p>
    <w:p w14:paraId="3B3F76CE">
      <w:pPr>
        <w:tabs>
          <w:tab w:val="left" w:pos="600"/>
        </w:tabs>
        <w:autoSpaceDE w:val="0"/>
        <w:autoSpaceDN w:val="0"/>
        <w:adjustRightInd w:val="0"/>
        <w:spacing w:line="360" w:lineRule="auto"/>
        <w:outlineLvl w:val="1"/>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1E4A697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2F95D903">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750AB0FF">
      <w:pPr>
        <w:tabs>
          <w:tab w:val="left" w:pos="600"/>
        </w:tabs>
        <w:autoSpaceDE w:val="0"/>
        <w:autoSpaceDN w:val="0"/>
        <w:adjustRightInd w:val="0"/>
        <w:spacing w:line="360" w:lineRule="auto"/>
        <w:outlineLvl w:val="1"/>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2479557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24C5DD2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40699D74">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）评分统计表中各投标人技术得分应为最终综合得分，商务得分应为评委打分的算术平均值。</w:t>
      </w:r>
    </w:p>
    <w:p w14:paraId="611D4274">
      <w:pPr>
        <w:autoSpaceDE w:val="0"/>
        <w:autoSpaceDN w:val="0"/>
        <w:adjustRightInd w:val="0"/>
        <w:spacing w:line="360" w:lineRule="auto"/>
        <w:rPr>
          <w:rFonts w:ascii="宋体" w:hAnsi="宋体" w:eastAsia="宋体" w:cs="宋体"/>
          <w:color w:val="auto"/>
          <w:szCs w:val="24"/>
          <w:highlight w:val="none"/>
          <w:lang w:val="zh-CN"/>
        </w:rPr>
      </w:pPr>
    </w:p>
    <w:p w14:paraId="2FC88EE4">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6"/>
        <w:gridCol w:w="5174"/>
      </w:tblGrid>
      <w:tr w14:paraId="2A883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B2EAAC2">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CB79FF6">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14:paraId="0BB0D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E3A4E66">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15F43C6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70</w:t>
            </w:r>
            <w:r>
              <w:rPr>
                <w:rFonts w:hint="eastAsia" w:ascii="宋体" w:hAnsi="宋体" w:eastAsia="宋体" w:cs="宋体"/>
                <w:b/>
                <w:color w:val="auto"/>
                <w:sz w:val="21"/>
                <w:szCs w:val="21"/>
                <w:highlight w:val="none"/>
                <w:lang w:val="zh-CN"/>
              </w:rPr>
              <w:t>分</w:t>
            </w:r>
          </w:p>
        </w:tc>
      </w:tr>
      <w:tr w14:paraId="75F67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CFAF845">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21BAFFD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lang w:val="zh-CN"/>
              </w:rPr>
              <w:t>分</w:t>
            </w:r>
          </w:p>
        </w:tc>
      </w:tr>
    </w:tbl>
    <w:p w14:paraId="7CE892FB">
      <w:pPr>
        <w:keepNext w:val="0"/>
        <w:keepLines w:val="0"/>
        <w:widowControl w:val="0"/>
        <w:suppressLineNumbers w:val="0"/>
        <w:tabs>
          <w:tab w:val="left" w:pos="585"/>
        </w:tabs>
        <w:autoSpaceDE w:val="0"/>
        <w:autoSpaceDN w:val="0"/>
        <w:adjustRightInd w:val="0"/>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p>
    <w:p w14:paraId="41C613C9">
      <w:pPr>
        <w:keepNext w:val="0"/>
        <w:keepLines w:val="0"/>
        <w:widowControl w:val="0"/>
        <w:suppressLineNumbers w:val="0"/>
        <w:tabs>
          <w:tab w:val="left" w:pos="585"/>
        </w:tabs>
        <w:autoSpaceDE w:val="0"/>
        <w:autoSpaceDN w:val="0"/>
        <w:adjustRightInd w:val="0"/>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（1）商务：总分70分</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71"/>
        <w:gridCol w:w="1164"/>
        <w:gridCol w:w="7800"/>
        <w:gridCol w:w="935"/>
      </w:tblGrid>
      <w:tr w14:paraId="598E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14:paraId="46AF1E6B">
            <w:pPr>
              <w:keepNext w:val="0"/>
              <w:keepLines w:val="0"/>
              <w:pageBreakBefore w:val="0"/>
              <w:widowControl w:val="0"/>
              <w:suppressLineNumbers w:val="0"/>
              <w:tabs>
                <w:tab w:val="left" w:pos="585"/>
              </w:tabs>
              <w:kinsoku/>
              <w:wordWrap/>
              <w:overflowPunct/>
              <w:topLinePunct w:val="0"/>
              <w:bidi w:val="0"/>
              <w:adjustRightInd/>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bookmarkStart w:id="801" w:name="_Toc11639_WPSOffice_Level2"/>
            <w:r>
              <w:rPr>
                <w:rFonts w:hint="eastAsia" w:ascii="宋体" w:hAnsi="宋体" w:eastAsia="宋体" w:cs="宋体"/>
                <w:b/>
                <w:bCs w:val="0"/>
                <w:color w:val="auto"/>
                <w:kern w:val="2"/>
                <w:sz w:val="21"/>
                <w:szCs w:val="21"/>
                <w:highlight w:val="none"/>
                <w:lang w:val="en-US" w:eastAsia="zh-CN" w:bidi="ar"/>
              </w:rPr>
              <w:t>序号</w:t>
            </w:r>
            <w:bookmarkEnd w:id="801"/>
          </w:p>
        </w:tc>
        <w:tc>
          <w:tcPr>
            <w:tcW w:w="561" w:type="pct"/>
            <w:tcBorders>
              <w:top w:val="single" w:color="auto" w:sz="4" w:space="0"/>
              <w:left w:val="nil"/>
              <w:bottom w:val="single" w:color="auto" w:sz="4" w:space="0"/>
              <w:right w:val="single" w:color="auto" w:sz="4" w:space="0"/>
            </w:tcBorders>
            <w:shd w:val="clear" w:color="auto" w:fill="auto"/>
            <w:vAlign w:val="center"/>
          </w:tcPr>
          <w:p w14:paraId="73570AE1">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评审内容</w:t>
            </w:r>
          </w:p>
        </w:tc>
        <w:tc>
          <w:tcPr>
            <w:tcW w:w="3760" w:type="pct"/>
            <w:tcBorders>
              <w:top w:val="single" w:color="auto" w:sz="4" w:space="0"/>
              <w:left w:val="nil"/>
              <w:bottom w:val="single" w:color="auto" w:sz="4" w:space="0"/>
              <w:right w:val="single" w:color="auto" w:sz="4" w:space="0"/>
            </w:tcBorders>
            <w:shd w:val="clear" w:color="auto" w:fill="auto"/>
            <w:vAlign w:val="center"/>
          </w:tcPr>
          <w:p w14:paraId="53D6D2DB">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评审细则</w:t>
            </w:r>
          </w:p>
        </w:tc>
        <w:tc>
          <w:tcPr>
            <w:tcW w:w="451" w:type="pct"/>
            <w:tcBorders>
              <w:top w:val="single" w:color="auto" w:sz="4" w:space="0"/>
              <w:left w:val="nil"/>
              <w:bottom w:val="single" w:color="auto" w:sz="4" w:space="0"/>
              <w:right w:val="single" w:color="auto" w:sz="4" w:space="0"/>
            </w:tcBorders>
            <w:shd w:val="clear" w:color="auto" w:fill="auto"/>
            <w:vAlign w:val="center"/>
          </w:tcPr>
          <w:p w14:paraId="698C4493">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满分值</w:t>
            </w:r>
          </w:p>
        </w:tc>
      </w:tr>
      <w:tr w14:paraId="2062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14:paraId="2A3F0951">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561" w:type="pct"/>
            <w:tcBorders>
              <w:top w:val="single" w:color="auto" w:sz="4" w:space="0"/>
              <w:left w:val="nil"/>
              <w:bottom w:val="single" w:color="auto" w:sz="4" w:space="0"/>
              <w:right w:val="single" w:color="auto" w:sz="4" w:space="0"/>
            </w:tcBorders>
            <w:shd w:val="clear" w:color="auto" w:fill="auto"/>
            <w:vAlign w:val="center"/>
          </w:tcPr>
          <w:p w14:paraId="5794E25B">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财务状况</w:t>
            </w:r>
          </w:p>
        </w:tc>
        <w:tc>
          <w:tcPr>
            <w:tcW w:w="3760" w:type="pct"/>
            <w:tcBorders>
              <w:top w:val="single" w:color="auto" w:sz="4" w:space="0"/>
              <w:left w:val="nil"/>
              <w:bottom w:val="single" w:color="auto" w:sz="4" w:space="0"/>
              <w:right w:val="single" w:color="auto" w:sz="4" w:space="0"/>
            </w:tcBorders>
            <w:shd w:val="clear" w:color="auto" w:fill="auto"/>
            <w:vAlign w:val="center"/>
          </w:tcPr>
          <w:p w14:paraId="13978DC7">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
              </w:rPr>
              <w:t>投标人2022年-2024年三个年度，每具有1个年度盈利的得1分，满分3分。</w:t>
            </w:r>
          </w:p>
          <w:p w14:paraId="736FEEE9">
            <w:pPr>
              <w:keepNext w:val="0"/>
              <w:keepLines w:val="0"/>
              <w:pageBreakBefore w:val="0"/>
              <w:widowControl w:val="0"/>
              <w:suppressLineNumbers w:val="0"/>
              <w:kinsoku/>
              <w:wordWrap/>
              <w:overflowPunct/>
              <w:topLinePunct w:val="0"/>
              <w:autoSpaceDE w:val="0"/>
              <w:autoSpaceDN/>
              <w:bidi w:val="0"/>
              <w:adjustRightInd/>
              <w:snapToGrid w:val="0"/>
              <w:spacing w:before="164" w:beforeLines="5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注：盈利指净利润为正数（非零、非负数），投标人应提供2022年、2023年、2024年三个年度的财务报表，净利润以对应年度经审计的财务报表为准，应提供经独立会计师事务所审计过的有效的财务报表</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bCs w:val="0"/>
                <w:color w:val="auto"/>
                <w:kern w:val="0"/>
                <w:sz w:val="21"/>
                <w:szCs w:val="21"/>
                <w:highlight w:val="none"/>
                <w:lang w:val="en-US" w:eastAsia="zh-CN" w:bidi="ar"/>
              </w:rPr>
              <w:t>；未提供前述财务报表或财务报表未能反映净利润的，不得分。</w:t>
            </w:r>
          </w:p>
        </w:tc>
        <w:tc>
          <w:tcPr>
            <w:tcW w:w="451" w:type="pct"/>
            <w:tcBorders>
              <w:top w:val="single" w:color="auto" w:sz="4" w:space="0"/>
              <w:left w:val="nil"/>
              <w:bottom w:val="single" w:color="auto" w:sz="4" w:space="0"/>
              <w:right w:val="single" w:color="auto" w:sz="4" w:space="0"/>
            </w:tcBorders>
            <w:shd w:val="clear" w:color="auto" w:fill="auto"/>
            <w:vAlign w:val="center"/>
          </w:tcPr>
          <w:p w14:paraId="4FCC255B">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3分</w:t>
            </w:r>
          </w:p>
        </w:tc>
      </w:tr>
      <w:tr w14:paraId="5154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14:paraId="6500F6E9">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561" w:type="pct"/>
            <w:tcBorders>
              <w:top w:val="single" w:color="auto" w:sz="4" w:space="0"/>
              <w:left w:val="nil"/>
              <w:bottom w:val="single" w:color="auto" w:sz="4" w:space="0"/>
              <w:right w:val="single" w:color="auto" w:sz="4" w:space="0"/>
            </w:tcBorders>
            <w:shd w:val="clear" w:color="auto" w:fill="auto"/>
            <w:vAlign w:val="center"/>
          </w:tcPr>
          <w:p w14:paraId="670B523C">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标准化程度</w:t>
            </w:r>
          </w:p>
        </w:tc>
        <w:tc>
          <w:tcPr>
            <w:tcW w:w="3760" w:type="pct"/>
            <w:tcBorders>
              <w:top w:val="single" w:color="auto" w:sz="4" w:space="0"/>
              <w:left w:val="nil"/>
              <w:bottom w:val="single" w:color="auto" w:sz="4" w:space="0"/>
              <w:right w:val="single" w:color="auto" w:sz="4" w:space="0"/>
            </w:tcBorders>
            <w:shd w:val="clear" w:color="auto" w:fill="auto"/>
            <w:vAlign w:val="center"/>
          </w:tcPr>
          <w:p w14:paraId="3A58924E">
            <w:pPr>
              <w:keepNext w:val="0"/>
              <w:keepLines w:val="0"/>
              <w:pageBreakBefore w:val="0"/>
              <w:widowControl w:val="0"/>
              <w:suppressLineNumbers w:val="0"/>
              <w:tabs>
                <w:tab w:val="left" w:pos="134"/>
              </w:tabs>
              <w:kinsoku/>
              <w:wordWrap/>
              <w:overflowPunct/>
              <w:topLinePunct w:val="0"/>
              <w:autoSpaceDE w:val="0"/>
              <w:autoSpaceDN/>
              <w:bidi w:val="0"/>
              <w:adjustRightInd/>
              <w:snapToGrid w:val="0"/>
              <w:spacing w:before="164"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（1）投标人具有有效期内的ISO9001质量管理体系认证证书得1分；</w:t>
            </w:r>
          </w:p>
          <w:p w14:paraId="3D4FBBAD">
            <w:pPr>
              <w:keepNext w:val="0"/>
              <w:keepLines w:val="0"/>
              <w:pageBreakBefore w:val="0"/>
              <w:widowControl w:val="0"/>
              <w:suppressLineNumbers w:val="0"/>
              <w:tabs>
                <w:tab w:val="left" w:pos="134"/>
              </w:tabs>
              <w:kinsoku/>
              <w:wordWrap/>
              <w:overflowPunct/>
              <w:topLinePunct w:val="0"/>
              <w:bidi w:val="0"/>
              <w:adjustRightInd/>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（2）投标人具有有效期内的ISO14001环境管理体系认证证书得1分；</w:t>
            </w:r>
          </w:p>
          <w:p w14:paraId="31F90C1A">
            <w:pPr>
              <w:keepNext w:val="0"/>
              <w:keepLines w:val="0"/>
              <w:pageBreakBefore w:val="0"/>
              <w:widowControl w:val="0"/>
              <w:suppressLineNumbers w:val="0"/>
              <w:tabs>
                <w:tab w:val="left" w:pos="134"/>
              </w:tabs>
              <w:kinsoku/>
              <w:wordWrap/>
              <w:overflowPunct/>
              <w:topLinePunct w:val="0"/>
              <w:bidi w:val="0"/>
              <w:adjustRightInd/>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bookmarkStart w:id="802" w:name="OLE_LINK2"/>
            <w:r>
              <w:rPr>
                <w:rFonts w:hint="eastAsia" w:ascii="宋体" w:hAnsi="宋体" w:eastAsia="宋体" w:cs="宋体"/>
                <w:color w:val="auto"/>
                <w:kern w:val="2"/>
                <w:sz w:val="21"/>
                <w:szCs w:val="21"/>
                <w:highlight w:val="none"/>
                <w:lang w:val="en-US" w:eastAsia="zh-CN" w:bidi="ar"/>
              </w:rPr>
              <w:t>（3）</w:t>
            </w:r>
            <w:bookmarkEnd w:id="802"/>
            <w:r>
              <w:rPr>
                <w:rFonts w:hint="eastAsia" w:ascii="宋体" w:hAnsi="宋体" w:eastAsia="宋体" w:cs="宋体"/>
                <w:color w:val="auto"/>
                <w:kern w:val="2"/>
                <w:sz w:val="21"/>
                <w:szCs w:val="21"/>
                <w:highlight w:val="none"/>
                <w:lang w:val="en-US" w:eastAsia="zh-CN" w:bidi="ar"/>
              </w:rPr>
              <w:t>投标人具有有效期内的OHSAS18001（或GB/T45001-2020，或ISO45001）职业健康安全管理体系认证证书得1分。</w:t>
            </w:r>
          </w:p>
          <w:p w14:paraId="451D3E1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p>
          <w:p w14:paraId="0D80BA1E">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投标人应提供上述有效证书</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bCs w:val="0"/>
                <w:color w:val="auto"/>
                <w:kern w:val="2"/>
                <w:sz w:val="21"/>
                <w:szCs w:val="21"/>
                <w:highlight w:val="none"/>
                <w:lang w:val="en-US" w:eastAsia="zh-CN" w:bidi="ar"/>
              </w:rPr>
              <w:t>及能显示证书有效状态的全国认证认可信息公共服务平台（http://cx.cnca.cn/）查询结果凭证{凭证界面需显示有“全国认证认可信息公共服务平台”或“认证证书（需显示网址cx.cnca.cn）”}，否则不得分。</w:t>
            </w:r>
          </w:p>
        </w:tc>
        <w:tc>
          <w:tcPr>
            <w:tcW w:w="451" w:type="pct"/>
            <w:tcBorders>
              <w:top w:val="single" w:color="auto" w:sz="4" w:space="0"/>
              <w:left w:val="nil"/>
              <w:bottom w:val="single" w:color="auto" w:sz="4" w:space="0"/>
              <w:right w:val="single" w:color="auto" w:sz="4" w:space="0"/>
            </w:tcBorders>
            <w:shd w:val="clear" w:color="auto" w:fill="auto"/>
            <w:vAlign w:val="center"/>
          </w:tcPr>
          <w:p w14:paraId="66866F94">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3分</w:t>
            </w:r>
          </w:p>
        </w:tc>
      </w:tr>
      <w:tr w14:paraId="4E01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14:paraId="259E02E7">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561" w:type="pct"/>
            <w:tcBorders>
              <w:top w:val="single" w:color="auto" w:sz="4" w:space="0"/>
              <w:left w:val="nil"/>
              <w:bottom w:val="single" w:color="auto" w:sz="4" w:space="0"/>
              <w:right w:val="single" w:color="auto" w:sz="4" w:space="0"/>
            </w:tcBorders>
            <w:shd w:val="clear" w:color="auto" w:fill="auto"/>
            <w:vAlign w:val="center"/>
          </w:tcPr>
          <w:p w14:paraId="019BEDFA">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企业荣誉</w:t>
            </w:r>
          </w:p>
        </w:tc>
        <w:tc>
          <w:tcPr>
            <w:tcW w:w="3760" w:type="pct"/>
            <w:tcBorders>
              <w:top w:val="single" w:color="auto" w:sz="4" w:space="0"/>
              <w:left w:val="nil"/>
              <w:bottom w:val="single" w:color="auto" w:sz="4" w:space="0"/>
              <w:right w:val="single" w:color="auto" w:sz="4" w:space="0"/>
            </w:tcBorders>
            <w:shd w:val="clear" w:color="auto" w:fill="auto"/>
            <w:vAlign w:val="center"/>
          </w:tcPr>
          <w:p w14:paraId="769CF01C">
            <w:pPr>
              <w:keepNext w:val="0"/>
              <w:keepLines w:val="0"/>
              <w:pageBreakBefore w:val="0"/>
              <w:widowControl w:val="0"/>
              <w:suppressLineNumbers w:val="0"/>
              <w:kinsoku/>
              <w:wordWrap/>
              <w:overflowPunct/>
              <w:topLinePunct w:val="0"/>
              <w:autoSpaceDE w:val="0"/>
              <w:autoSpaceDN/>
              <w:bidi w:val="0"/>
              <w:adjustRightInd/>
              <w:spacing w:before="164" w:beforeLines="5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根据投标人2022年以来获得行政主管部门或行业协会颁发的有关工程造价咨询的奖项荣誉的，省级或以上的每个得2分，市级的每个得1分，最高得8分。</w:t>
            </w:r>
          </w:p>
          <w:p w14:paraId="1F176596">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备注：须提供奖项证明材料</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bCs/>
                <w:color w:val="auto"/>
                <w:kern w:val="2"/>
                <w:sz w:val="21"/>
                <w:szCs w:val="21"/>
                <w:highlight w:val="none"/>
                <w:lang w:val="en-US" w:eastAsia="zh-CN" w:bidi="ar"/>
              </w:rPr>
              <w:t>加盖投标人公章。</w:t>
            </w:r>
          </w:p>
        </w:tc>
        <w:tc>
          <w:tcPr>
            <w:tcW w:w="451" w:type="pct"/>
            <w:tcBorders>
              <w:top w:val="single" w:color="auto" w:sz="4" w:space="0"/>
              <w:left w:val="nil"/>
              <w:bottom w:val="single" w:color="auto" w:sz="4" w:space="0"/>
              <w:right w:val="single" w:color="auto" w:sz="4" w:space="0"/>
            </w:tcBorders>
            <w:shd w:val="clear" w:color="auto" w:fill="auto"/>
            <w:vAlign w:val="center"/>
          </w:tcPr>
          <w:p w14:paraId="7DE96EDF">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8分</w:t>
            </w:r>
          </w:p>
        </w:tc>
      </w:tr>
      <w:tr w14:paraId="0CF0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14:paraId="4602E8EA">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561" w:type="pct"/>
            <w:tcBorders>
              <w:top w:val="single" w:color="auto" w:sz="4" w:space="0"/>
              <w:left w:val="nil"/>
              <w:bottom w:val="single" w:color="auto" w:sz="4" w:space="0"/>
              <w:right w:val="single" w:color="auto" w:sz="4" w:space="0"/>
            </w:tcBorders>
            <w:shd w:val="clear" w:color="auto" w:fill="auto"/>
            <w:vAlign w:val="center"/>
          </w:tcPr>
          <w:p w14:paraId="4637736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业绩</w:t>
            </w:r>
          </w:p>
        </w:tc>
        <w:tc>
          <w:tcPr>
            <w:tcW w:w="3760" w:type="pct"/>
            <w:tcBorders>
              <w:top w:val="single" w:color="auto" w:sz="4" w:space="0"/>
              <w:left w:val="nil"/>
              <w:bottom w:val="single" w:color="auto" w:sz="4" w:space="0"/>
              <w:right w:val="single" w:color="auto" w:sz="4" w:space="0"/>
            </w:tcBorders>
            <w:shd w:val="clear" w:color="auto" w:fill="auto"/>
            <w:vAlign w:val="center"/>
          </w:tcPr>
          <w:p w14:paraId="4E082C5A">
            <w:pPr>
              <w:pStyle w:val="39"/>
              <w:keepNext w:val="0"/>
              <w:keepLines w:val="0"/>
              <w:pageBreakBefore w:val="0"/>
              <w:widowControl w:val="0"/>
              <w:suppressLineNumbers w:val="0"/>
              <w:kinsoku/>
              <w:wordWrap/>
              <w:overflowPunct/>
              <w:topLinePunct w:val="0"/>
              <w:autoSpaceDE/>
              <w:autoSpaceDN/>
              <w:bidi w:val="0"/>
              <w:adjustRightInd/>
              <w:spacing w:before="164" w:beforeLines="5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1、工程造价咨询业绩（满分18分）</w:t>
            </w:r>
          </w:p>
          <w:p w14:paraId="5CDA0850">
            <w:pPr>
              <w:pStyle w:val="39"/>
              <w:keepNext w:val="0"/>
              <w:keepLines w:val="0"/>
              <w:pageBreakBefore w:val="0"/>
              <w:widowControl w:val="0"/>
              <w:suppressLineNumbers w:val="0"/>
              <w:kinsoku/>
              <w:wordWrap/>
              <w:overflowPunct/>
              <w:topLinePunct w:val="0"/>
              <w:bidi w:val="0"/>
              <w:adjustRightInd/>
              <w:spacing w:before="0" w:beforeLines="0" w:beforeAutospacing="0" w:after="0" w:afterAutospacing="0" w:line="360" w:lineRule="auto"/>
              <w:ind w:left="0" w:leftChars="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根据投标人在2022年、2023年、2024年各年度承接的概、预</w:t>
            </w:r>
            <w:r>
              <w:rPr>
                <w:rFonts w:hint="eastAsia" w:ascii="宋体" w:hAnsi="宋体" w:eastAsia="宋体" w:cs="宋体"/>
                <w:color w:val="auto"/>
                <w:sz w:val="21"/>
                <w:szCs w:val="21"/>
                <w:highlight w:val="none"/>
              </w:rPr>
              <w:t>(或招标控制价)</w:t>
            </w:r>
            <w:r>
              <w:rPr>
                <w:rFonts w:hint="eastAsia" w:ascii="宋体" w:hAnsi="宋体" w:eastAsia="宋体" w:cs="宋体"/>
                <w:color w:val="auto"/>
                <w:kern w:val="2"/>
                <w:sz w:val="21"/>
                <w:szCs w:val="21"/>
                <w:highlight w:val="none"/>
                <w:lang w:val="en-US" w:eastAsia="zh-CN" w:bidi="ar"/>
              </w:rPr>
              <w:t>、结算</w:t>
            </w:r>
            <w:r>
              <w:rPr>
                <w:rFonts w:hint="eastAsia" w:eastAsia="宋体" w:cs="宋体"/>
                <w:color w:val="auto"/>
                <w:kern w:val="2"/>
                <w:sz w:val="21"/>
                <w:szCs w:val="21"/>
                <w:highlight w:val="none"/>
                <w:lang w:val="en-US" w:eastAsia="zh-CN" w:bidi="ar"/>
              </w:rPr>
              <w:t>编制和审核</w:t>
            </w:r>
            <w:r>
              <w:rPr>
                <w:rFonts w:hint="eastAsia" w:ascii="宋体" w:hAnsi="宋体" w:eastAsia="宋体" w:cs="宋体"/>
                <w:color w:val="auto"/>
                <w:kern w:val="2"/>
                <w:sz w:val="21"/>
                <w:szCs w:val="21"/>
                <w:highlight w:val="none"/>
                <w:lang w:val="en-US" w:eastAsia="zh-CN" w:bidi="ar"/>
              </w:rPr>
              <w:t>业绩情况进行评审，每年度至少须有10项造价咨询业绩（含概、预</w:t>
            </w:r>
            <w:r>
              <w:rPr>
                <w:rFonts w:hint="eastAsia" w:ascii="宋体" w:hAnsi="宋体" w:eastAsia="宋体" w:cs="宋体"/>
                <w:color w:val="auto"/>
                <w:sz w:val="21"/>
                <w:szCs w:val="21"/>
                <w:highlight w:val="none"/>
              </w:rPr>
              <w:t>(或招标控制价)</w:t>
            </w:r>
            <w:r>
              <w:rPr>
                <w:rFonts w:hint="eastAsia" w:ascii="宋体" w:hAnsi="宋体" w:eastAsia="宋体" w:cs="宋体"/>
                <w:color w:val="auto"/>
                <w:kern w:val="2"/>
                <w:sz w:val="21"/>
                <w:szCs w:val="21"/>
                <w:highlight w:val="none"/>
                <w:lang w:val="en-US" w:eastAsia="zh-CN" w:bidi="ar"/>
              </w:rPr>
              <w:t>、结算</w:t>
            </w:r>
            <w:r>
              <w:rPr>
                <w:rFonts w:hint="eastAsia" w:eastAsia="宋体" w:cs="宋体"/>
                <w:color w:val="auto"/>
                <w:kern w:val="2"/>
                <w:sz w:val="21"/>
                <w:szCs w:val="21"/>
                <w:highlight w:val="none"/>
                <w:lang w:val="en-US" w:eastAsia="zh-CN" w:bidi="ar"/>
              </w:rPr>
              <w:t>编制和审核</w:t>
            </w:r>
            <w:r>
              <w:rPr>
                <w:rFonts w:hint="eastAsia" w:ascii="宋体" w:hAnsi="宋体" w:eastAsia="宋体" w:cs="宋体"/>
                <w:color w:val="auto"/>
                <w:kern w:val="2"/>
                <w:sz w:val="21"/>
                <w:szCs w:val="21"/>
                <w:highlight w:val="none"/>
                <w:lang w:val="en-US" w:eastAsia="zh-CN" w:bidi="ar"/>
              </w:rPr>
              <w:t>业绩</w:t>
            </w:r>
            <w:bookmarkStart w:id="803" w:name="OLE_LINK3"/>
            <w:r>
              <w:rPr>
                <w:rFonts w:hint="eastAsia" w:ascii="宋体" w:hAnsi="宋体" w:eastAsia="宋体" w:cs="宋体"/>
                <w:color w:val="auto"/>
                <w:kern w:val="2"/>
                <w:sz w:val="21"/>
                <w:szCs w:val="21"/>
                <w:highlight w:val="none"/>
                <w:lang w:val="en-US" w:eastAsia="zh-CN" w:bidi="ar"/>
              </w:rPr>
              <w:t>，金额在100万元（含）以上</w:t>
            </w:r>
            <w:r>
              <w:rPr>
                <w:rStyle w:val="46"/>
                <w:rFonts w:hint="eastAsia" w:ascii="宋体" w:hAnsi="宋体" w:eastAsia="宋体" w:cs="宋体"/>
                <w:i w:val="0"/>
                <w:iCs w:val="0"/>
                <w:caps w:val="0"/>
                <w:color w:val="auto"/>
                <w:spacing w:val="0"/>
                <w:sz w:val="21"/>
                <w:szCs w:val="21"/>
                <w:highlight w:val="none"/>
                <w:vertAlign w:val="baseline"/>
                <w:lang w:val="en-US" w:eastAsia="zh-CN" w:bidi="ar"/>
              </w:rPr>
              <w:t>）</w:t>
            </w:r>
            <w:bookmarkEnd w:id="803"/>
            <w:r>
              <w:rPr>
                <w:rFonts w:hint="eastAsia" w:ascii="宋体" w:hAnsi="宋体" w:eastAsia="宋体" w:cs="宋体"/>
                <w:color w:val="auto"/>
                <w:kern w:val="2"/>
                <w:sz w:val="21"/>
                <w:szCs w:val="21"/>
                <w:highlight w:val="none"/>
                <w:lang w:val="en-US" w:eastAsia="zh-CN" w:bidi="ar"/>
              </w:rPr>
              <w:t>，否则该年度不得分，满足业绩数量及金额要求的，该年度满分可得6分，3年度满分18分。具体金额标准如下：</w:t>
            </w:r>
          </w:p>
          <w:p w14:paraId="5C5D9B8F">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Lines="0" w:beforeAutospacing="0" w:after="0" w:afterAutospacing="0" w:line="360" w:lineRule="auto"/>
              <w:ind w:left="0" w:leftChars="0" w:right="0" w:firstLineChars="0"/>
              <w:jc w:val="left"/>
              <w:textAlignment w:val="baseline"/>
              <w:rPr>
                <w:rStyle w:val="46"/>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r>
              <w:rPr>
                <w:rStyle w:val="46"/>
                <w:rFonts w:hint="eastAsia" w:ascii="宋体" w:hAnsi="宋体" w:eastAsia="宋体" w:cs="宋体"/>
                <w:i w:val="0"/>
                <w:iCs w:val="0"/>
                <w:caps w:val="0"/>
                <w:color w:val="auto"/>
                <w:spacing w:val="0"/>
                <w:sz w:val="21"/>
                <w:szCs w:val="21"/>
                <w:highlight w:val="none"/>
                <w:vertAlign w:val="baseline"/>
                <w:lang w:bidi="ar"/>
              </w:rPr>
              <w:t xml:space="preserve">单项工程造价咨询业绩金额在 </w:t>
            </w:r>
            <w:r>
              <w:rPr>
                <w:rStyle w:val="46"/>
                <w:rFonts w:hint="eastAsia" w:ascii="宋体" w:hAnsi="宋体" w:eastAsia="宋体" w:cs="宋体"/>
                <w:i w:val="0"/>
                <w:iCs w:val="0"/>
                <w:caps w:val="0"/>
                <w:color w:val="auto"/>
                <w:spacing w:val="0"/>
                <w:sz w:val="21"/>
                <w:szCs w:val="21"/>
                <w:highlight w:val="none"/>
                <w:vertAlign w:val="baseline"/>
                <w:lang w:val="en-US" w:eastAsia="zh-CN" w:bidi="ar"/>
              </w:rPr>
              <w:t>1</w:t>
            </w:r>
            <w:r>
              <w:rPr>
                <w:rStyle w:val="46"/>
                <w:rFonts w:hint="eastAsia" w:ascii="宋体" w:hAnsi="宋体" w:eastAsia="宋体" w:cs="宋体"/>
                <w:i w:val="0"/>
                <w:iCs w:val="0"/>
                <w:caps w:val="0"/>
                <w:color w:val="auto"/>
                <w:spacing w:val="0"/>
                <w:sz w:val="21"/>
                <w:szCs w:val="21"/>
                <w:highlight w:val="none"/>
                <w:vertAlign w:val="baseline"/>
                <w:lang w:bidi="ar"/>
              </w:rPr>
              <w:t>000 万元（含）以上，</w:t>
            </w:r>
            <w:r>
              <w:rPr>
                <w:rStyle w:val="46"/>
                <w:rFonts w:hint="eastAsia" w:ascii="宋体" w:hAnsi="宋体" w:eastAsia="宋体" w:cs="宋体"/>
                <w:i w:val="0"/>
                <w:iCs w:val="0"/>
                <w:caps w:val="0"/>
                <w:color w:val="auto"/>
                <w:spacing w:val="0"/>
                <w:sz w:val="21"/>
                <w:szCs w:val="21"/>
                <w:highlight w:val="none"/>
                <w:vertAlign w:val="baseline"/>
                <w:lang w:val="en-US" w:eastAsia="zh-CN" w:bidi="ar"/>
              </w:rPr>
              <w:t>每项1.8分</w:t>
            </w:r>
            <w:r>
              <w:rPr>
                <w:rStyle w:val="46"/>
                <w:rFonts w:hint="eastAsia" w:ascii="宋体" w:hAnsi="宋体" w:eastAsia="宋体" w:cs="宋体"/>
                <w:i w:val="0"/>
                <w:iCs w:val="0"/>
                <w:caps w:val="0"/>
                <w:color w:val="auto"/>
                <w:spacing w:val="0"/>
                <w:sz w:val="21"/>
                <w:szCs w:val="21"/>
                <w:highlight w:val="none"/>
                <w:vertAlign w:val="baseline"/>
                <w:lang w:bidi="ar"/>
              </w:rPr>
              <w:t>。</w:t>
            </w:r>
          </w:p>
          <w:p w14:paraId="1BF57A7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Lines="0" w:beforeAutospacing="0" w:after="0" w:afterAutospacing="0" w:line="360" w:lineRule="auto"/>
              <w:ind w:left="0" w:right="0" w:firstLine="0"/>
              <w:jc w:val="left"/>
              <w:textAlignment w:val="baseline"/>
              <w:rPr>
                <w:rStyle w:val="46"/>
                <w:rFonts w:hint="eastAsia" w:ascii="宋体" w:hAnsi="宋体" w:eastAsia="宋体" w:cs="宋体"/>
                <w:i w:val="0"/>
                <w:iCs w:val="0"/>
                <w:caps w:val="0"/>
                <w:color w:val="auto"/>
                <w:spacing w:val="0"/>
                <w:sz w:val="21"/>
                <w:szCs w:val="21"/>
                <w:highlight w:val="none"/>
                <w:vertAlign w:val="baseline"/>
                <w:lang w:bidi="ar"/>
              </w:rPr>
            </w:pPr>
            <w:r>
              <w:rPr>
                <w:rFonts w:hint="eastAsia" w:ascii="宋体" w:hAnsi="宋体" w:eastAsia="宋体" w:cs="宋体"/>
                <w:color w:val="auto"/>
                <w:kern w:val="2"/>
                <w:sz w:val="21"/>
                <w:szCs w:val="21"/>
                <w:highlight w:val="none"/>
                <w:lang w:val="en-US" w:eastAsia="zh-CN" w:bidi="ar"/>
              </w:rPr>
              <w:t>（2）</w:t>
            </w:r>
            <w:r>
              <w:rPr>
                <w:rStyle w:val="46"/>
                <w:rFonts w:hint="eastAsia" w:ascii="宋体" w:hAnsi="宋体" w:eastAsia="宋体" w:cs="宋体"/>
                <w:i w:val="0"/>
                <w:iCs w:val="0"/>
                <w:caps w:val="0"/>
                <w:color w:val="auto"/>
                <w:spacing w:val="0"/>
                <w:sz w:val="21"/>
                <w:szCs w:val="21"/>
                <w:highlight w:val="none"/>
                <w:vertAlign w:val="baseline"/>
                <w:lang w:bidi="ar"/>
              </w:rPr>
              <w:t xml:space="preserve">单项工程造价咨询业绩金额在 </w:t>
            </w:r>
            <w:r>
              <w:rPr>
                <w:rStyle w:val="46"/>
                <w:rFonts w:hint="eastAsia" w:ascii="宋体" w:hAnsi="宋体" w:eastAsia="宋体" w:cs="宋体"/>
                <w:i w:val="0"/>
                <w:iCs w:val="0"/>
                <w:caps w:val="0"/>
                <w:color w:val="auto"/>
                <w:spacing w:val="0"/>
                <w:sz w:val="21"/>
                <w:szCs w:val="21"/>
                <w:highlight w:val="none"/>
                <w:vertAlign w:val="baseline"/>
                <w:lang w:val="en-US" w:eastAsia="zh-CN" w:bidi="ar"/>
              </w:rPr>
              <w:t>4</w:t>
            </w:r>
            <w:r>
              <w:rPr>
                <w:rStyle w:val="46"/>
                <w:rFonts w:hint="eastAsia" w:ascii="宋体" w:hAnsi="宋体" w:eastAsia="宋体" w:cs="宋体"/>
                <w:i w:val="0"/>
                <w:iCs w:val="0"/>
                <w:caps w:val="0"/>
                <w:color w:val="auto"/>
                <w:spacing w:val="0"/>
                <w:sz w:val="21"/>
                <w:szCs w:val="21"/>
                <w:highlight w:val="none"/>
                <w:vertAlign w:val="baseline"/>
                <w:lang w:bidi="ar"/>
              </w:rPr>
              <w:t xml:space="preserve">00 万元（含）至 </w:t>
            </w:r>
            <w:r>
              <w:rPr>
                <w:rStyle w:val="46"/>
                <w:rFonts w:hint="eastAsia" w:ascii="宋体" w:hAnsi="宋体" w:eastAsia="宋体" w:cs="宋体"/>
                <w:i w:val="0"/>
                <w:iCs w:val="0"/>
                <w:caps w:val="0"/>
                <w:color w:val="auto"/>
                <w:spacing w:val="0"/>
                <w:sz w:val="21"/>
                <w:szCs w:val="21"/>
                <w:highlight w:val="none"/>
                <w:vertAlign w:val="baseline"/>
                <w:lang w:val="en-US" w:eastAsia="zh-CN" w:bidi="ar"/>
              </w:rPr>
              <w:t>1</w:t>
            </w:r>
            <w:r>
              <w:rPr>
                <w:rStyle w:val="46"/>
                <w:rFonts w:hint="eastAsia" w:ascii="宋体" w:hAnsi="宋体" w:eastAsia="宋体" w:cs="宋体"/>
                <w:i w:val="0"/>
                <w:iCs w:val="0"/>
                <w:caps w:val="0"/>
                <w:color w:val="auto"/>
                <w:spacing w:val="0"/>
                <w:sz w:val="21"/>
                <w:szCs w:val="21"/>
                <w:highlight w:val="none"/>
                <w:vertAlign w:val="baseline"/>
                <w:lang w:bidi="ar"/>
              </w:rPr>
              <w:t>000 万元（</w:t>
            </w:r>
            <w:r>
              <w:rPr>
                <w:rStyle w:val="46"/>
                <w:rFonts w:hint="eastAsia" w:ascii="宋体" w:hAnsi="宋体" w:eastAsia="宋体" w:cs="宋体"/>
                <w:i w:val="0"/>
                <w:iCs w:val="0"/>
                <w:caps w:val="0"/>
                <w:color w:val="auto"/>
                <w:spacing w:val="0"/>
                <w:sz w:val="21"/>
                <w:szCs w:val="21"/>
                <w:highlight w:val="none"/>
                <w:vertAlign w:val="baseline"/>
                <w:lang w:val="en-US" w:eastAsia="zh-CN" w:bidi="ar"/>
              </w:rPr>
              <w:t>不</w:t>
            </w:r>
            <w:r>
              <w:rPr>
                <w:rStyle w:val="46"/>
                <w:rFonts w:hint="eastAsia" w:ascii="宋体" w:hAnsi="宋体" w:eastAsia="宋体" w:cs="宋体"/>
                <w:i w:val="0"/>
                <w:iCs w:val="0"/>
                <w:caps w:val="0"/>
                <w:color w:val="auto"/>
                <w:spacing w:val="0"/>
                <w:sz w:val="21"/>
                <w:szCs w:val="21"/>
                <w:highlight w:val="none"/>
                <w:vertAlign w:val="baseline"/>
                <w:lang w:bidi="ar"/>
              </w:rPr>
              <w:t>含）之间，</w:t>
            </w:r>
            <w:r>
              <w:rPr>
                <w:rStyle w:val="46"/>
                <w:rFonts w:hint="eastAsia" w:ascii="宋体" w:hAnsi="宋体" w:eastAsia="宋体" w:cs="宋体"/>
                <w:i w:val="0"/>
                <w:iCs w:val="0"/>
                <w:caps w:val="0"/>
                <w:color w:val="auto"/>
                <w:spacing w:val="0"/>
                <w:sz w:val="21"/>
                <w:szCs w:val="21"/>
                <w:highlight w:val="none"/>
                <w:vertAlign w:val="baseline"/>
                <w:lang w:val="en-US" w:eastAsia="zh-CN" w:bidi="ar"/>
              </w:rPr>
              <w:t>每项0.9分</w:t>
            </w:r>
            <w:r>
              <w:rPr>
                <w:rStyle w:val="46"/>
                <w:rFonts w:hint="eastAsia" w:ascii="宋体" w:hAnsi="宋体" w:eastAsia="宋体" w:cs="宋体"/>
                <w:i w:val="0"/>
                <w:iCs w:val="0"/>
                <w:caps w:val="0"/>
                <w:color w:val="auto"/>
                <w:spacing w:val="0"/>
                <w:sz w:val="21"/>
                <w:szCs w:val="21"/>
                <w:highlight w:val="none"/>
                <w:vertAlign w:val="baseline"/>
                <w:lang w:bidi="ar"/>
              </w:rPr>
              <w:t>。</w:t>
            </w:r>
          </w:p>
          <w:p w14:paraId="2C5391C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Lines="0" w:beforeAutospacing="0" w:after="0" w:afterAutospacing="0" w:line="360" w:lineRule="auto"/>
              <w:ind w:left="0" w:right="0" w:firstLine="0"/>
              <w:jc w:val="left"/>
              <w:textAlignment w:val="baseline"/>
              <w:rPr>
                <w:rStyle w:val="46"/>
                <w:rFonts w:hint="eastAsia" w:ascii="宋体" w:hAnsi="宋体" w:eastAsia="宋体" w:cs="宋体"/>
                <w:i w:val="0"/>
                <w:iCs w:val="0"/>
                <w:caps w:val="0"/>
                <w:color w:val="auto"/>
                <w:spacing w:val="0"/>
                <w:sz w:val="21"/>
                <w:szCs w:val="21"/>
                <w:highlight w:val="none"/>
                <w:vertAlign w:val="baseline"/>
                <w:lang w:bidi="ar"/>
              </w:rPr>
            </w:pPr>
            <w:r>
              <w:rPr>
                <w:rFonts w:hint="eastAsia" w:ascii="宋体" w:hAnsi="宋体" w:eastAsia="宋体" w:cs="宋体"/>
                <w:color w:val="auto"/>
                <w:kern w:val="2"/>
                <w:sz w:val="21"/>
                <w:szCs w:val="21"/>
                <w:highlight w:val="none"/>
                <w:lang w:val="en-US" w:eastAsia="zh-CN" w:bidi="ar"/>
              </w:rPr>
              <w:t>（3）</w:t>
            </w:r>
            <w:r>
              <w:rPr>
                <w:rStyle w:val="46"/>
                <w:rFonts w:hint="eastAsia" w:ascii="宋体" w:hAnsi="宋体" w:eastAsia="宋体" w:cs="宋体"/>
                <w:i w:val="0"/>
                <w:iCs w:val="0"/>
                <w:caps w:val="0"/>
                <w:color w:val="auto"/>
                <w:spacing w:val="0"/>
                <w:sz w:val="21"/>
                <w:szCs w:val="21"/>
                <w:highlight w:val="none"/>
                <w:vertAlign w:val="baseline"/>
                <w:lang w:bidi="ar"/>
              </w:rPr>
              <w:t xml:space="preserve">单项工程造价咨询业绩金额在 </w:t>
            </w:r>
            <w:r>
              <w:rPr>
                <w:rStyle w:val="46"/>
                <w:rFonts w:hint="eastAsia" w:ascii="宋体" w:hAnsi="宋体" w:eastAsia="宋体" w:cs="宋体"/>
                <w:i w:val="0"/>
                <w:iCs w:val="0"/>
                <w:caps w:val="0"/>
                <w:color w:val="auto"/>
                <w:spacing w:val="0"/>
                <w:sz w:val="21"/>
                <w:szCs w:val="21"/>
                <w:highlight w:val="none"/>
                <w:vertAlign w:val="baseline"/>
                <w:lang w:val="en-US" w:eastAsia="zh-CN" w:bidi="ar"/>
              </w:rPr>
              <w:t>1</w:t>
            </w:r>
            <w:r>
              <w:rPr>
                <w:rStyle w:val="46"/>
                <w:rFonts w:hint="eastAsia" w:ascii="宋体" w:hAnsi="宋体" w:eastAsia="宋体" w:cs="宋体"/>
                <w:i w:val="0"/>
                <w:iCs w:val="0"/>
                <w:caps w:val="0"/>
                <w:color w:val="auto"/>
                <w:spacing w:val="0"/>
                <w:sz w:val="21"/>
                <w:szCs w:val="21"/>
                <w:highlight w:val="none"/>
                <w:vertAlign w:val="baseline"/>
                <w:lang w:bidi="ar"/>
              </w:rPr>
              <w:t>00 万元以</w:t>
            </w:r>
            <w:r>
              <w:rPr>
                <w:rStyle w:val="46"/>
                <w:rFonts w:hint="eastAsia" w:ascii="宋体" w:hAnsi="宋体" w:eastAsia="宋体" w:cs="宋体"/>
                <w:i w:val="0"/>
                <w:iCs w:val="0"/>
                <w:caps w:val="0"/>
                <w:color w:val="auto"/>
                <w:spacing w:val="0"/>
                <w:sz w:val="21"/>
                <w:szCs w:val="21"/>
                <w:highlight w:val="none"/>
                <w:vertAlign w:val="baseline"/>
                <w:lang w:val="en-US" w:eastAsia="zh-CN" w:bidi="ar"/>
              </w:rPr>
              <w:t>上（含）至400万元</w:t>
            </w:r>
            <w:r>
              <w:rPr>
                <w:rStyle w:val="46"/>
                <w:rFonts w:hint="eastAsia" w:ascii="宋体" w:hAnsi="宋体" w:eastAsia="宋体" w:cs="宋体"/>
                <w:i w:val="0"/>
                <w:iCs w:val="0"/>
                <w:caps w:val="0"/>
                <w:color w:val="auto"/>
                <w:spacing w:val="0"/>
                <w:sz w:val="21"/>
                <w:szCs w:val="21"/>
                <w:highlight w:val="none"/>
                <w:vertAlign w:val="baseline"/>
                <w:lang w:bidi="ar"/>
              </w:rPr>
              <w:t>（</w:t>
            </w:r>
            <w:r>
              <w:rPr>
                <w:rStyle w:val="46"/>
                <w:rFonts w:hint="eastAsia" w:ascii="宋体" w:hAnsi="宋体" w:eastAsia="宋体" w:cs="宋体"/>
                <w:i w:val="0"/>
                <w:iCs w:val="0"/>
                <w:caps w:val="0"/>
                <w:color w:val="auto"/>
                <w:spacing w:val="0"/>
                <w:sz w:val="21"/>
                <w:szCs w:val="21"/>
                <w:highlight w:val="none"/>
                <w:vertAlign w:val="baseline"/>
                <w:lang w:val="en-US" w:eastAsia="zh-CN" w:bidi="ar"/>
              </w:rPr>
              <w:t>不</w:t>
            </w:r>
            <w:r>
              <w:rPr>
                <w:rStyle w:val="46"/>
                <w:rFonts w:hint="eastAsia" w:ascii="宋体" w:hAnsi="宋体" w:eastAsia="宋体" w:cs="宋体"/>
                <w:i w:val="0"/>
                <w:iCs w:val="0"/>
                <w:caps w:val="0"/>
                <w:color w:val="auto"/>
                <w:spacing w:val="0"/>
                <w:sz w:val="21"/>
                <w:szCs w:val="21"/>
                <w:highlight w:val="none"/>
                <w:vertAlign w:val="baseline"/>
                <w:lang w:bidi="ar"/>
              </w:rPr>
              <w:t>含）</w:t>
            </w:r>
            <w:r>
              <w:rPr>
                <w:rStyle w:val="46"/>
                <w:rFonts w:hint="eastAsia" w:ascii="宋体" w:hAnsi="宋体" w:eastAsia="宋体" w:cs="宋体"/>
                <w:i w:val="0"/>
                <w:iCs w:val="0"/>
                <w:caps w:val="0"/>
                <w:color w:val="auto"/>
                <w:spacing w:val="0"/>
                <w:sz w:val="21"/>
                <w:szCs w:val="21"/>
                <w:highlight w:val="none"/>
                <w:vertAlign w:val="baseline"/>
                <w:lang w:val="en-US" w:eastAsia="zh-CN" w:bidi="ar"/>
              </w:rPr>
              <w:t>之间</w:t>
            </w:r>
            <w:r>
              <w:rPr>
                <w:rStyle w:val="46"/>
                <w:rFonts w:hint="eastAsia" w:ascii="宋体" w:hAnsi="宋体" w:eastAsia="宋体" w:cs="宋体"/>
                <w:i w:val="0"/>
                <w:iCs w:val="0"/>
                <w:caps w:val="0"/>
                <w:color w:val="auto"/>
                <w:spacing w:val="0"/>
                <w:sz w:val="21"/>
                <w:szCs w:val="21"/>
                <w:highlight w:val="none"/>
                <w:vertAlign w:val="baseline"/>
                <w:lang w:bidi="ar"/>
              </w:rPr>
              <w:t>，</w:t>
            </w:r>
            <w:r>
              <w:rPr>
                <w:rStyle w:val="46"/>
                <w:rFonts w:hint="eastAsia" w:ascii="宋体" w:hAnsi="宋体" w:eastAsia="宋体" w:cs="宋体"/>
                <w:i w:val="0"/>
                <w:iCs w:val="0"/>
                <w:caps w:val="0"/>
                <w:color w:val="auto"/>
                <w:spacing w:val="0"/>
                <w:sz w:val="21"/>
                <w:szCs w:val="21"/>
                <w:highlight w:val="none"/>
                <w:vertAlign w:val="baseline"/>
                <w:lang w:val="en-US" w:eastAsia="zh-CN" w:bidi="ar"/>
              </w:rPr>
              <w:t>得0.45分</w:t>
            </w:r>
            <w:r>
              <w:rPr>
                <w:rStyle w:val="46"/>
                <w:rFonts w:hint="eastAsia" w:ascii="宋体" w:hAnsi="宋体" w:eastAsia="宋体" w:cs="宋体"/>
                <w:i w:val="0"/>
                <w:iCs w:val="0"/>
                <w:caps w:val="0"/>
                <w:color w:val="auto"/>
                <w:spacing w:val="0"/>
                <w:sz w:val="21"/>
                <w:szCs w:val="21"/>
                <w:highlight w:val="none"/>
                <w:vertAlign w:val="baseline"/>
                <w:lang w:bidi="ar"/>
              </w:rPr>
              <w:t>。</w:t>
            </w:r>
          </w:p>
          <w:p w14:paraId="4A62940D">
            <w:pPr>
              <w:pStyle w:val="39"/>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2、不同类型工程</w:t>
            </w:r>
            <w:r>
              <w:rPr>
                <w:rFonts w:hint="eastAsia" w:eastAsia="宋体" w:cs="宋体"/>
                <w:color w:val="auto"/>
                <w:kern w:val="2"/>
                <w:sz w:val="21"/>
                <w:szCs w:val="21"/>
                <w:highlight w:val="none"/>
                <w:lang w:val="en-US" w:eastAsia="zh-CN" w:bidi="ar"/>
              </w:rPr>
              <w:t>编制和审核</w:t>
            </w:r>
            <w:r>
              <w:rPr>
                <w:rFonts w:hint="eastAsia" w:ascii="宋体" w:hAnsi="宋体" w:eastAsia="宋体" w:cs="宋体"/>
                <w:b/>
                <w:bCs/>
                <w:color w:val="auto"/>
                <w:kern w:val="2"/>
                <w:sz w:val="21"/>
                <w:szCs w:val="21"/>
                <w:highlight w:val="none"/>
                <w:lang w:val="en-US" w:eastAsia="zh-CN" w:bidi="ar"/>
              </w:rPr>
              <w:t>业绩（满分9分）：</w:t>
            </w:r>
          </w:p>
          <w:p w14:paraId="65BC80F9">
            <w:pPr>
              <w:pStyle w:val="39"/>
              <w:keepNext w:val="0"/>
              <w:keepLines w:val="0"/>
              <w:pageBreakBefore w:val="0"/>
              <w:widowControl w:val="0"/>
              <w:suppressLineNumbers w:val="0"/>
              <w:tabs>
                <w:tab w:val="left" w:pos="210"/>
              </w:tabs>
              <w:kinsoku/>
              <w:wordWrap/>
              <w:overflowPunct/>
              <w:topLinePunct w:val="0"/>
              <w:bidi w:val="0"/>
              <w:adjustRightInd/>
              <w:spacing w:before="0" w:beforeLines="0" w:beforeAutospacing="0" w:after="0" w:afterAutospacing="0" w:line="360" w:lineRule="auto"/>
              <w:ind w:left="0" w:leftChars="0" w:right="0" w:firstLine="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根据投标人2022年1月1日至今</w:t>
            </w:r>
            <w:bookmarkStart w:id="804" w:name="_Hlk122543198"/>
            <w:r>
              <w:rPr>
                <w:rFonts w:hint="eastAsia" w:ascii="宋体" w:hAnsi="宋体" w:eastAsia="宋体" w:cs="宋体"/>
                <w:color w:val="auto"/>
                <w:kern w:val="2"/>
                <w:sz w:val="21"/>
                <w:szCs w:val="21"/>
                <w:highlight w:val="none"/>
                <w:lang w:val="en-US" w:eastAsia="zh-CN" w:bidi="ar"/>
              </w:rPr>
              <w:t>承接的不同类型工程</w:t>
            </w:r>
            <w:r>
              <w:rPr>
                <w:rFonts w:hint="eastAsia" w:eastAsia="宋体" w:cs="宋体"/>
                <w:color w:val="auto"/>
                <w:kern w:val="2"/>
                <w:sz w:val="21"/>
                <w:szCs w:val="21"/>
                <w:highlight w:val="none"/>
                <w:lang w:val="en-US" w:eastAsia="zh-CN" w:bidi="ar"/>
              </w:rPr>
              <w:t>编制和审核</w:t>
            </w:r>
            <w:r>
              <w:rPr>
                <w:rFonts w:hint="eastAsia" w:ascii="宋体" w:hAnsi="宋体" w:eastAsia="宋体" w:cs="宋体"/>
                <w:color w:val="auto"/>
                <w:kern w:val="2"/>
                <w:sz w:val="21"/>
                <w:szCs w:val="21"/>
                <w:highlight w:val="none"/>
                <w:lang w:val="en-US" w:eastAsia="zh-CN" w:bidi="ar"/>
              </w:rPr>
              <w:t>业绩</w:t>
            </w:r>
            <w:bookmarkEnd w:id="804"/>
            <w:r>
              <w:rPr>
                <w:rFonts w:hint="eastAsia" w:ascii="宋体" w:hAnsi="宋体" w:eastAsia="宋体" w:cs="宋体"/>
                <w:color w:val="auto"/>
                <w:kern w:val="2"/>
                <w:sz w:val="21"/>
                <w:szCs w:val="21"/>
                <w:highlight w:val="none"/>
                <w:lang w:val="en-US" w:eastAsia="zh-CN" w:bidi="ar"/>
              </w:rPr>
              <w:t>进行评审，【房建（含装饰）类、市政类、</w:t>
            </w:r>
            <w:bookmarkStart w:id="805" w:name="OLE_LINK1"/>
            <w:r>
              <w:rPr>
                <w:rFonts w:hint="eastAsia" w:ascii="宋体" w:hAnsi="宋体" w:eastAsia="宋体" w:cs="宋体"/>
                <w:color w:val="auto"/>
                <w:kern w:val="2"/>
                <w:sz w:val="21"/>
                <w:szCs w:val="21"/>
                <w:highlight w:val="none"/>
                <w:lang w:val="en-US" w:eastAsia="zh-CN" w:bidi="ar"/>
              </w:rPr>
              <w:t>水利</w:t>
            </w:r>
            <w:bookmarkEnd w:id="805"/>
            <w:r>
              <w:rPr>
                <w:rFonts w:hint="eastAsia" w:ascii="宋体" w:hAnsi="宋体" w:eastAsia="宋体" w:cs="宋体"/>
                <w:color w:val="auto"/>
                <w:kern w:val="2"/>
                <w:sz w:val="21"/>
                <w:szCs w:val="21"/>
                <w:highlight w:val="none"/>
                <w:lang w:val="en-US" w:eastAsia="zh-CN" w:bidi="ar"/>
              </w:rPr>
              <w:t>类】，每一种专业类型得3分，</w:t>
            </w:r>
            <w:r>
              <w:rPr>
                <w:rFonts w:hint="eastAsia" w:ascii="宋体" w:hAnsi="宋体" w:eastAsia="宋体" w:cs="宋体"/>
                <w:b/>
                <w:bCs/>
                <w:color w:val="auto"/>
                <w:kern w:val="2"/>
                <w:sz w:val="21"/>
                <w:szCs w:val="21"/>
                <w:highlight w:val="none"/>
                <w:lang w:val="en-US" w:eastAsia="zh-CN" w:bidi="ar"/>
              </w:rPr>
              <w:t>每一种专业类型（即前述的房建（含装饰）类或市政类或水利类）工程</w:t>
            </w:r>
            <w:r>
              <w:rPr>
                <w:rFonts w:hint="eastAsia" w:eastAsia="宋体" w:cs="宋体"/>
                <w:b/>
                <w:bCs/>
                <w:color w:val="auto"/>
                <w:kern w:val="2"/>
                <w:sz w:val="21"/>
                <w:szCs w:val="21"/>
                <w:highlight w:val="none"/>
                <w:lang w:val="en-US" w:eastAsia="zh-CN" w:bidi="ar"/>
              </w:rPr>
              <w:t>编制和审核</w:t>
            </w:r>
            <w:r>
              <w:rPr>
                <w:rFonts w:hint="eastAsia" w:ascii="宋体" w:hAnsi="宋体" w:eastAsia="宋体" w:cs="宋体"/>
                <w:b/>
                <w:bCs/>
                <w:color w:val="auto"/>
                <w:kern w:val="2"/>
                <w:sz w:val="21"/>
                <w:szCs w:val="21"/>
                <w:highlight w:val="none"/>
                <w:lang w:val="en-US" w:eastAsia="zh-CN" w:bidi="ar"/>
              </w:rPr>
              <w:t>业绩均须包含该类型概、预</w:t>
            </w:r>
            <w:r>
              <w:rPr>
                <w:rFonts w:hint="eastAsia" w:ascii="宋体" w:hAnsi="宋体" w:eastAsia="宋体" w:cs="宋体"/>
                <w:b/>
                <w:bCs/>
                <w:color w:val="auto"/>
                <w:sz w:val="21"/>
                <w:szCs w:val="21"/>
                <w:highlight w:val="none"/>
                <w:lang w:bidi="ar"/>
              </w:rPr>
              <w:t>(或招标控制价)</w:t>
            </w:r>
            <w:r>
              <w:rPr>
                <w:rFonts w:hint="eastAsia" w:ascii="宋体" w:hAnsi="宋体" w:eastAsia="宋体" w:cs="宋体"/>
                <w:b/>
                <w:bCs/>
                <w:color w:val="auto"/>
                <w:kern w:val="2"/>
                <w:sz w:val="21"/>
                <w:szCs w:val="21"/>
                <w:highlight w:val="none"/>
                <w:lang w:val="en-US" w:eastAsia="zh-CN" w:bidi="ar"/>
              </w:rPr>
              <w:t>、结算编制和审核业绩，否则该类型工程编制和审核业绩不得分，本项目满分9分。</w:t>
            </w:r>
          </w:p>
          <w:p w14:paraId="3FEE4C60">
            <w:pPr>
              <w:keepNext w:val="0"/>
              <w:keepLines w:val="0"/>
              <w:pageBreakBefore w:val="0"/>
              <w:widowControl w:val="0"/>
              <w:suppressLineNumbers w:val="0"/>
              <w:kinsoku/>
              <w:wordWrap/>
              <w:overflowPunct/>
              <w:topLinePunct w:val="0"/>
              <w:autoSpaceDE/>
              <w:autoSpaceDN/>
              <w:bidi w:val="0"/>
              <w:adjustRightInd/>
              <w:spacing w:before="164" w:beforeLines="5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3、货物、服务类造价咨询业绩（满分7分）：</w:t>
            </w:r>
          </w:p>
          <w:p w14:paraId="53A15F79">
            <w:pPr>
              <w:keepNext w:val="0"/>
              <w:keepLines w:val="0"/>
              <w:pageBreakBefore w:val="0"/>
              <w:widowControl w:val="0"/>
              <w:suppressLineNumbers w:val="0"/>
              <w:kinsoku/>
              <w:wordWrap/>
              <w:overflowPunct/>
              <w:topLinePunct w:val="0"/>
              <w:bidi w:val="0"/>
              <w:adjustRightInd/>
              <w:spacing w:before="0" w:beforeLines="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根据投标人2022年1月1日至今承接的货物、服务类造价咨询业绩进行评审：每提供一个货物类造价咨询业绩的，得1分，最高得3分；每提供一个服务类造价咨询业绩的，得1分，最高得4分。</w:t>
            </w:r>
          </w:p>
          <w:p w14:paraId="7D2EC77D">
            <w:pPr>
              <w:keepNext w:val="0"/>
              <w:keepLines w:val="0"/>
              <w:pageBreakBefore w:val="0"/>
              <w:widowControl w:val="0"/>
              <w:suppressLineNumbers w:val="0"/>
              <w:kinsoku/>
              <w:wordWrap/>
              <w:overflowPunct/>
              <w:topLinePunct w:val="0"/>
              <w:bidi w:val="0"/>
              <w:adjustRightInd/>
              <w:spacing w:before="0" w:beforeLines="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4、信息化建设项目造价咨询业绩（满分4分）</w:t>
            </w:r>
          </w:p>
          <w:p w14:paraId="6E528994">
            <w:pPr>
              <w:keepNext w:val="0"/>
              <w:keepLines w:val="0"/>
              <w:pageBreakBefore w:val="0"/>
              <w:widowControl w:val="0"/>
              <w:suppressLineNumbers w:val="0"/>
              <w:kinsoku/>
              <w:wordWrap/>
              <w:overflowPunct/>
              <w:topLinePunct w:val="0"/>
              <w:bidi w:val="0"/>
              <w:adjustRightInd/>
              <w:spacing w:before="0" w:beforeLines="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根据投标人2022年1月1日至今承接过的信息化建设项目造价咨询业绩进行评审，每提供一个有效业绩得1分，本项最高4分。</w:t>
            </w:r>
          </w:p>
          <w:p w14:paraId="768ADAFB">
            <w:pPr>
              <w:keepNext w:val="0"/>
              <w:keepLines w:val="0"/>
              <w:pageBreakBefore w:val="0"/>
              <w:widowControl w:val="0"/>
              <w:suppressLineNumbers w:val="0"/>
              <w:kinsoku/>
              <w:wordWrap/>
              <w:overflowPunct/>
              <w:topLinePunct w:val="0"/>
              <w:bidi w:val="0"/>
              <w:adjustRightInd/>
              <w:spacing w:before="0" w:beforeLines="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备注：</w:t>
            </w:r>
          </w:p>
          <w:p w14:paraId="658E2FDC">
            <w:pPr>
              <w:pStyle w:val="39"/>
              <w:keepNext w:val="0"/>
              <w:keepLines w:val="0"/>
              <w:pageBreakBefore w:val="0"/>
              <w:widowControl w:val="0"/>
              <w:suppressLineNumbers w:val="0"/>
              <w:kinsoku/>
              <w:wordWrap/>
              <w:overflowPunct/>
              <w:topLinePunct w:val="0"/>
              <w:bidi w:val="0"/>
              <w:adjustRightInd/>
              <w:spacing w:before="0" w:beforeLines="0" w:beforeAutospacing="0" w:after="0" w:afterAutospacing="0" w:line="360" w:lineRule="auto"/>
              <w:ind w:left="0" w:leftChars="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w:t>
            </w:r>
            <w:r>
              <w:rPr>
                <w:rFonts w:hint="eastAsia" w:ascii="宋体" w:hAnsi="宋体" w:eastAsia="宋体" w:cs="宋体"/>
                <w:b/>
                <w:bCs/>
                <w:color w:val="auto"/>
                <w:kern w:val="2"/>
                <w:sz w:val="21"/>
                <w:szCs w:val="21"/>
                <w:highlight w:val="none"/>
                <w:lang w:val="en-US" w:eastAsia="zh-CN" w:bidi="ar"/>
              </w:rPr>
              <w:t>业绩须附合同及项目的相关成果文件关键页</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bCs/>
                <w:color w:val="auto"/>
                <w:kern w:val="2"/>
                <w:sz w:val="21"/>
                <w:szCs w:val="21"/>
                <w:highlight w:val="none"/>
                <w:lang w:val="en-US" w:eastAsia="zh-CN" w:bidi="ar"/>
              </w:rPr>
              <w:t>加盖投标人公章，否则不得分；</w:t>
            </w:r>
          </w:p>
          <w:p w14:paraId="69615C73">
            <w:pPr>
              <w:pStyle w:val="39"/>
              <w:keepNext w:val="0"/>
              <w:keepLines w:val="0"/>
              <w:pageBreakBefore w:val="0"/>
              <w:widowControl w:val="0"/>
              <w:suppressLineNumbers w:val="0"/>
              <w:kinsoku/>
              <w:wordWrap/>
              <w:overflowPunct/>
              <w:topLinePunct w:val="0"/>
              <w:bidi w:val="0"/>
              <w:adjustRightInd/>
              <w:spacing w:before="0" w:beforeLines="0" w:beforeAutospacing="0" w:after="0" w:afterAutospacing="0" w:line="360" w:lineRule="auto"/>
              <w:ind w:left="0" w:leftChars="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）若合同等业绩证明材料无法反映评分条件[合同签订日期为2022年1月1日或以后，合同标的必须为概/预(或招标控制价)/结算编制</w:t>
            </w:r>
            <w:r>
              <w:rPr>
                <w:rFonts w:hint="eastAsia" w:eastAsia="宋体" w:cs="宋体"/>
                <w:b/>
                <w:bCs w:val="0"/>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审核业绩或货物、服务类造价咨询业绩或信息化建设项目造价咨询业绩]的，还需同时提供业主方出具的书面补充情况说明文件</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bCs w:val="0"/>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shd w:val="clear" w:fill="FFFFFF"/>
                <w:lang w:val="en-US" w:eastAsia="zh-CN" w:bidi="ar"/>
              </w:rPr>
              <w:t>补充情况说明文件</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bCs/>
                <w:color w:val="auto"/>
                <w:kern w:val="2"/>
                <w:sz w:val="21"/>
                <w:szCs w:val="21"/>
                <w:highlight w:val="none"/>
                <w:shd w:val="clear" w:fill="FFFFFF"/>
                <w:lang w:val="en-US" w:eastAsia="zh-CN" w:bidi="ar"/>
              </w:rPr>
              <w:t>能显示业主方公章</w:t>
            </w:r>
            <w:r>
              <w:rPr>
                <w:rFonts w:hint="eastAsia" w:ascii="宋体" w:hAnsi="宋体" w:eastAsia="宋体" w:cs="宋体"/>
                <w:b/>
                <w:bCs w:val="0"/>
                <w:color w:val="auto"/>
                <w:kern w:val="2"/>
                <w:sz w:val="21"/>
                <w:szCs w:val="21"/>
                <w:highlight w:val="none"/>
                <w:lang w:val="en-US" w:eastAsia="zh-CN" w:bidi="ar"/>
              </w:rPr>
              <w:t>），否则不得分；</w:t>
            </w:r>
          </w:p>
          <w:p w14:paraId="7D697A0F">
            <w:pPr>
              <w:pStyle w:val="39"/>
              <w:keepNext w:val="0"/>
              <w:keepLines w:val="0"/>
              <w:pageBreakBefore w:val="0"/>
              <w:widowControl w:val="0"/>
              <w:suppressLineNumbers w:val="0"/>
              <w:kinsoku/>
              <w:wordWrap/>
              <w:overflowPunct/>
              <w:topLinePunct w:val="0"/>
              <w:bidi w:val="0"/>
              <w:adjustRightInd/>
              <w:spacing w:before="0" w:beforeLines="0" w:beforeAutospacing="0" w:after="0" w:afterAutospacing="0" w:line="360" w:lineRule="auto"/>
              <w:ind w:left="0" w:leftChars="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3）若业绩合同为框架式协议或资格入围的，须同时提供框架协议合同（或资格入围合同）及合同期内对应的项目成果文件，按成果文件数量计算得分；</w:t>
            </w:r>
          </w:p>
          <w:p w14:paraId="5E67218F">
            <w:pPr>
              <w:pStyle w:val="39"/>
              <w:keepNext w:val="0"/>
              <w:keepLines w:val="0"/>
              <w:pageBreakBefore w:val="0"/>
              <w:widowControl w:val="0"/>
              <w:suppressLineNumbers w:val="0"/>
              <w:kinsoku/>
              <w:wordWrap/>
              <w:overflowPunct/>
              <w:topLinePunct w:val="0"/>
              <w:bidi w:val="0"/>
              <w:adjustRightInd/>
              <w:spacing w:before="0" w:beforeLines="0" w:beforeAutospacing="0" w:after="0" w:afterAutospacing="0" w:line="360" w:lineRule="auto"/>
              <w:ind w:left="0" w:leftChars="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4）第1项“工程造价咨询业绩”评审中的每年度至少须有10项造价咨询业绩（含概、预(或招标控制价)、结算</w:t>
            </w:r>
            <w:r>
              <w:rPr>
                <w:rFonts w:hint="eastAsia" w:eastAsia="宋体" w:cs="宋体"/>
                <w:b/>
                <w:bCs/>
                <w:color w:val="auto"/>
                <w:sz w:val="21"/>
                <w:szCs w:val="21"/>
                <w:highlight w:val="none"/>
                <w:lang w:bidi="ar"/>
              </w:rPr>
              <w:t>编制和审核</w:t>
            </w:r>
            <w:r>
              <w:rPr>
                <w:rFonts w:hint="eastAsia" w:ascii="宋体" w:hAnsi="宋体" w:eastAsia="宋体" w:cs="宋体"/>
                <w:b/>
                <w:bCs/>
                <w:color w:val="auto"/>
                <w:kern w:val="2"/>
                <w:sz w:val="21"/>
                <w:szCs w:val="21"/>
                <w:highlight w:val="none"/>
                <w:lang w:val="en-US" w:eastAsia="zh-CN" w:bidi="ar"/>
              </w:rPr>
              <w:t>业绩）是指：每一个年度内投标人业绩内容必须至少涵盖1个概算</w:t>
            </w:r>
            <w:r>
              <w:rPr>
                <w:rFonts w:hint="eastAsia" w:eastAsia="宋体" w:cs="宋体"/>
                <w:b/>
                <w:bCs/>
                <w:color w:val="auto"/>
                <w:sz w:val="21"/>
                <w:szCs w:val="21"/>
                <w:highlight w:val="none"/>
                <w:lang w:bidi="ar"/>
              </w:rPr>
              <w:t>编制和审核</w:t>
            </w:r>
            <w:r>
              <w:rPr>
                <w:rFonts w:hint="eastAsia" w:ascii="宋体" w:hAnsi="宋体" w:eastAsia="宋体" w:cs="宋体"/>
                <w:b/>
                <w:bCs/>
                <w:color w:val="auto"/>
                <w:kern w:val="2"/>
                <w:sz w:val="21"/>
                <w:szCs w:val="21"/>
                <w:highlight w:val="none"/>
                <w:lang w:val="en-US" w:eastAsia="zh-CN" w:bidi="ar"/>
              </w:rPr>
              <w:t>业绩、1个预算(或招标控制价)编制和审核业绩、1个结算</w:t>
            </w:r>
            <w:r>
              <w:rPr>
                <w:rFonts w:hint="eastAsia" w:eastAsia="宋体" w:cs="宋体"/>
                <w:b/>
                <w:bCs/>
                <w:color w:val="auto"/>
                <w:sz w:val="21"/>
                <w:szCs w:val="21"/>
                <w:highlight w:val="none"/>
                <w:lang w:bidi="ar"/>
              </w:rPr>
              <w:t>编制和审核</w:t>
            </w:r>
            <w:r>
              <w:rPr>
                <w:rFonts w:hint="eastAsia" w:ascii="宋体" w:hAnsi="宋体" w:eastAsia="宋体" w:cs="宋体"/>
                <w:b/>
                <w:bCs/>
                <w:color w:val="auto"/>
                <w:kern w:val="2"/>
                <w:sz w:val="21"/>
                <w:szCs w:val="21"/>
                <w:highlight w:val="none"/>
                <w:lang w:val="en-US" w:eastAsia="zh-CN" w:bidi="ar"/>
              </w:rPr>
              <w:t>业绩，且三者总和达10项（含10项），而非三者分别需10项业绩。若一份合同中同时包括概、预(或招标控制价)、结算</w:t>
            </w:r>
            <w:r>
              <w:rPr>
                <w:rFonts w:hint="eastAsia" w:eastAsia="宋体" w:cs="宋体"/>
                <w:b/>
                <w:bCs/>
                <w:color w:val="auto"/>
                <w:sz w:val="21"/>
                <w:szCs w:val="21"/>
                <w:highlight w:val="none"/>
                <w:lang w:bidi="ar"/>
              </w:rPr>
              <w:t>编制和审核</w:t>
            </w:r>
            <w:r>
              <w:rPr>
                <w:rFonts w:hint="eastAsia" w:ascii="宋体" w:hAnsi="宋体" w:eastAsia="宋体" w:cs="宋体"/>
                <w:b/>
                <w:bCs/>
                <w:color w:val="auto"/>
                <w:kern w:val="2"/>
                <w:sz w:val="21"/>
                <w:szCs w:val="21"/>
                <w:highlight w:val="none"/>
                <w:lang w:val="en-US" w:eastAsia="zh-CN" w:bidi="ar"/>
              </w:rPr>
              <w:t>业绩的仅按一项业绩计算；</w:t>
            </w:r>
          </w:p>
          <w:p w14:paraId="732402C8">
            <w:pPr>
              <w:pStyle w:val="39"/>
              <w:keepNext w:val="0"/>
              <w:keepLines w:val="0"/>
              <w:pageBreakBefore w:val="0"/>
              <w:widowControl w:val="0"/>
              <w:suppressLineNumbers w:val="0"/>
              <w:kinsoku/>
              <w:wordWrap/>
              <w:overflowPunct/>
              <w:topLinePunct w:val="0"/>
              <w:bidi w:val="0"/>
              <w:adjustRightInd/>
              <w:spacing w:before="0" w:beforeLines="0" w:beforeAutospacing="0" w:after="0" w:afterAutospacing="0" w:line="360" w:lineRule="auto"/>
              <w:ind w:left="0" w:leftChars="0" w:right="0" w:firstLine="422" w:firstLineChars="20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5</w:t>
            </w:r>
            <w:bookmarkStart w:id="806" w:name="OLE_LINK6"/>
            <w:r>
              <w:rPr>
                <w:rFonts w:hint="eastAsia" w:ascii="宋体" w:hAnsi="宋体" w:eastAsia="宋体" w:cs="宋体"/>
                <w:b/>
                <w:bCs/>
                <w:color w:val="auto"/>
                <w:kern w:val="2"/>
                <w:sz w:val="21"/>
                <w:szCs w:val="21"/>
                <w:highlight w:val="none"/>
                <w:lang w:val="en-US" w:eastAsia="zh-CN" w:bidi="ar"/>
              </w:rPr>
              <w:t>）</w:t>
            </w:r>
            <w:bookmarkEnd w:id="806"/>
            <w:r>
              <w:rPr>
                <w:rFonts w:hint="eastAsia" w:ascii="宋体" w:hAnsi="宋体" w:eastAsia="宋体" w:cs="宋体"/>
                <w:b/>
                <w:bCs/>
                <w:color w:val="auto"/>
                <w:kern w:val="2"/>
                <w:sz w:val="21"/>
                <w:szCs w:val="21"/>
                <w:highlight w:val="none"/>
                <w:lang w:val="en-US" w:eastAsia="zh-CN" w:bidi="ar"/>
              </w:rPr>
              <w:t>第2项“工程编制和审核业绩”评审中，若一份合同中同时包括该对应类型的概、预(或招标控制价)、结算编制和审核业绩可视为满足业绩得分要求；</w:t>
            </w:r>
            <w:bookmarkStart w:id="807" w:name="_Hlk131667431"/>
          </w:p>
          <w:p w14:paraId="02D4D75C">
            <w:pPr>
              <w:pStyle w:val="39"/>
              <w:keepNext w:val="0"/>
              <w:keepLines w:val="0"/>
              <w:pageBreakBefore w:val="0"/>
              <w:widowControl w:val="0"/>
              <w:suppressLineNumbers w:val="0"/>
              <w:kinsoku/>
              <w:wordWrap/>
              <w:overflowPunct/>
              <w:topLinePunct w:val="0"/>
              <w:bidi w:val="0"/>
              <w:adjustRightInd/>
              <w:spacing w:before="0" w:beforeLines="0" w:beforeAutospacing="0" w:after="0" w:afterAutospacing="0" w:line="360" w:lineRule="auto"/>
              <w:ind w:left="0" w:leftChars="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6</w:t>
            </w:r>
            <w:bookmarkEnd w:id="807"/>
            <w:r>
              <w:rPr>
                <w:rFonts w:hint="eastAsia" w:ascii="宋体" w:hAnsi="宋体" w:eastAsia="宋体" w:cs="宋体"/>
                <w:b/>
                <w:bCs/>
                <w:color w:val="auto"/>
                <w:kern w:val="2"/>
                <w:sz w:val="21"/>
                <w:szCs w:val="21"/>
                <w:highlight w:val="none"/>
                <w:lang w:val="en-US" w:eastAsia="zh-CN" w:bidi="ar"/>
              </w:rPr>
              <w:t>）第4项“信息化建设项目”是指硬件和通用软件采购类、软件开发类、机房及网络工程类项目，其他类型造价咨询业绩不得分；</w:t>
            </w:r>
          </w:p>
          <w:p w14:paraId="34834C4A">
            <w:pPr>
              <w:pStyle w:val="39"/>
              <w:keepNext w:val="0"/>
              <w:keepLines w:val="0"/>
              <w:pageBreakBefore w:val="0"/>
              <w:widowControl w:val="0"/>
              <w:suppressLineNumbers w:val="0"/>
              <w:kinsoku/>
              <w:wordWrap/>
              <w:overflowPunct/>
              <w:topLinePunct w:val="0"/>
              <w:bidi w:val="0"/>
              <w:adjustRightInd/>
              <w:spacing w:before="0" w:beforeLines="0" w:beforeAutospacing="0" w:after="0" w:afterAutospacing="0" w:line="360" w:lineRule="auto"/>
              <w:ind w:left="0" w:leftChars="0" w:right="0" w:firstLine="422"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7）以上4种业绩不重复计算，由投标人自行放入对应的评分子项；</w:t>
            </w:r>
          </w:p>
          <w:p w14:paraId="4DB1FBC7">
            <w:pPr>
              <w:pStyle w:val="39"/>
              <w:keepNext w:val="0"/>
              <w:keepLines w:val="0"/>
              <w:pageBreakBefore w:val="0"/>
              <w:widowControl w:val="0"/>
              <w:suppressLineNumbers w:val="0"/>
              <w:kinsoku/>
              <w:wordWrap/>
              <w:overflowPunct/>
              <w:topLinePunct w:val="0"/>
              <w:bidi w:val="0"/>
              <w:adjustRightInd/>
              <w:spacing w:before="0" w:beforeLines="0" w:beforeAutospacing="0" w:after="0" w:afterAutospacing="0" w:line="360" w:lineRule="auto"/>
              <w:ind w:left="0" w:right="0" w:firstLine="42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8）未按上述要求提供证明材料的业绩，或所附材料无法证明填报项目符合本项评分要求的业绩，在评标时将不予考虑。</w:t>
            </w:r>
          </w:p>
        </w:tc>
        <w:tc>
          <w:tcPr>
            <w:tcW w:w="451" w:type="pct"/>
            <w:tcBorders>
              <w:top w:val="single" w:color="auto" w:sz="4" w:space="0"/>
              <w:left w:val="nil"/>
              <w:bottom w:val="single" w:color="auto" w:sz="4" w:space="0"/>
              <w:right w:val="single" w:color="auto" w:sz="4" w:space="0"/>
            </w:tcBorders>
            <w:shd w:val="clear" w:color="auto" w:fill="auto"/>
            <w:vAlign w:val="center"/>
          </w:tcPr>
          <w:p w14:paraId="23A7E09F">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38分</w:t>
            </w:r>
          </w:p>
        </w:tc>
      </w:tr>
      <w:tr w14:paraId="7B9A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14:paraId="6862DF39">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561" w:type="pct"/>
            <w:tcBorders>
              <w:top w:val="single" w:color="auto" w:sz="4" w:space="0"/>
              <w:left w:val="nil"/>
              <w:bottom w:val="single" w:color="auto" w:sz="4" w:space="0"/>
              <w:right w:val="single" w:color="auto" w:sz="4" w:space="0"/>
            </w:tcBorders>
            <w:shd w:val="clear" w:color="auto" w:fill="auto"/>
            <w:vAlign w:val="center"/>
          </w:tcPr>
          <w:p w14:paraId="44043B2D">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拟投入人员</w:t>
            </w:r>
          </w:p>
        </w:tc>
        <w:tc>
          <w:tcPr>
            <w:tcW w:w="3760" w:type="pct"/>
            <w:tcBorders>
              <w:top w:val="single" w:color="auto" w:sz="4" w:space="0"/>
              <w:left w:val="nil"/>
              <w:bottom w:val="single" w:color="auto" w:sz="4" w:space="0"/>
              <w:right w:val="single" w:color="auto" w:sz="4" w:space="0"/>
            </w:tcBorders>
            <w:shd w:val="clear" w:color="auto" w:fill="auto"/>
            <w:vAlign w:val="center"/>
          </w:tcPr>
          <w:p w14:paraId="3FFEEA4B">
            <w:pPr>
              <w:keepNext w:val="0"/>
              <w:keepLines w:val="0"/>
              <w:pageBreakBefore w:val="0"/>
              <w:widowControl w:val="0"/>
              <w:suppressLineNumbers w:val="0"/>
              <w:kinsoku/>
              <w:wordWrap/>
              <w:overflowPunct/>
              <w:topLinePunct w:val="0"/>
              <w:bidi w:val="0"/>
              <w:adjustRightInd/>
              <w:spacing w:before="164"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1、投标人拟投入本项目的服务团队（技术负责人除外）中具备</w:t>
            </w:r>
            <w:r>
              <w:rPr>
                <w:rFonts w:hint="eastAsia" w:ascii="宋体" w:hAnsi="宋体" w:eastAsia="宋体" w:cs="宋体"/>
                <w:b/>
                <w:bCs/>
                <w:color w:val="auto"/>
                <w:kern w:val="2"/>
                <w:sz w:val="21"/>
                <w:szCs w:val="21"/>
                <w:highlight w:val="none"/>
                <w:lang w:val="en-US" w:eastAsia="zh-CN" w:bidi="ar"/>
              </w:rPr>
              <w:t>二级或以上造价工程师注册证书</w:t>
            </w:r>
            <w:r>
              <w:rPr>
                <w:rFonts w:hint="eastAsia" w:ascii="宋体" w:hAnsi="宋体" w:eastAsia="宋体" w:cs="宋体"/>
                <w:color w:val="auto"/>
                <w:kern w:val="2"/>
                <w:sz w:val="21"/>
                <w:szCs w:val="21"/>
                <w:highlight w:val="none"/>
                <w:lang w:val="en-US" w:eastAsia="zh-CN" w:bidi="ar"/>
              </w:rPr>
              <w:t>的人员在不少于6人的基础上，每增加1人具备</w:t>
            </w:r>
            <w:r>
              <w:rPr>
                <w:rFonts w:hint="eastAsia" w:ascii="宋体" w:hAnsi="宋体" w:eastAsia="宋体" w:cs="宋体"/>
                <w:b/>
                <w:bCs/>
                <w:color w:val="auto"/>
                <w:kern w:val="2"/>
                <w:sz w:val="21"/>
                <w:szCs w:val="21"/>
                <w:highlight w:val="none"/>
                <w:lang w:val="en-US" w:eastAsia="zh-CN" w:bidi="ar"/>
              </w:rPr>
              <w:t>二级或以上造价工程师注册证书</w:t>
            </w:r>
            <w:r>
              <w:rPr>
                <w:rFonts w:hint="eastAsia" w:ascii="宋体" w:hAnsi="宋体" w:eastAsia="宋体" w:cs="宋体"/>
                <w:color w:val="auto"/>
                <w:kern w:val="2"/>
                <w:sz w:val="21"/>
                <w:szCs w:val="21"/>
                <w:highlight w:val="none"/>
                <w:lang w:val="en-US" w:eastAsia="zh-CN" w:bidi="ar"/>
              </w:rPr>
              <w:t>的得1分，</w:t>
            </w:r>
            <w:r>
              <w:rPr>
                <w:rFonts w:hint="eastAsia" w:ascii="宋体" w:hAnsi="宋体" w:eastAsia="宋体" w:cs="宋体"/>
                <w:b/>
                <w:bCs/>
                <w:color w:val="auto"/>
                <w:kern w:val="2"/>
                <w:sz w:val="21"/>
                <w:szCs w:val="21"/>
                <w:highlight w:val="none"/>
                <w:lang w:val="en-US" w:eastAsia="zh-CN" w:bidi="ar"/>
              </w:rPr>
              <w:t>本子项满分5分</w:t>
            </w:r>
            <w:r>
              <w:rPr>
                <w:rFonts w:hint="eastAsia" w:ascii="宋体" w:hAnsi="宋体" w:eastAsia="宋体" w:cs="宋体"/>
                <w:color w:val="auto"/>
                <w:kern w:val="2"/>
                <w:sz w:val="21"/>
                <w:szCs w:val="21"/>
                <w:highlight w:val="none"/>
                <w:lang w:val="en-US" w:eastAsia="zh-CN" w:bidi="ar"/>
              </w:rPr>
              <w:t>。</w:t>
            </w:r>
          </w:p>
          <w:p w14:paraId="087AB390">
            <w:pPr>
              <w:keepNext w:val="0"/>
              <w:keepLines w:val="0"/>
              <w:pageBreakBefore w:val="0"/>
              <w:widowControl w:val="0"/>
              <w:suppressLineNumbers w:val="0"/>
              <w:kinsoku/>
              <w:wordWrap/>
              <w:overflowPunct/>
              <w:topLinePunct w:val="0"/>
              <w:bidi w:val="0"/>
              <w:adjustRightInd/>
              <w:spacing w:before="164"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2、以上人员中每1人具有</w:t>
            </w:r>
            <w:r>
              <w:rPr>
                <w:rFonts w:hint="eastAsia" w:ascii="宋体" w:hAnsi="宋体" w:eastAsia="宋体" w:cs="宋体"/>
                <w:b/>
                <w:bCs/>
                <w:color w:val="auto"/>
                <w:kern w:val="2"/>
                <w:sz w:val="21"/>
                <w:szCs w:val="21"/>
                <w:highlight w:val="none"/>
                <w:lang w:val="en-US" w:eastAsia="zh-CN" w:bidi="ar"/>
              </w:rPr>
              <w:t>一级造价工程师注册证书</w:t>
            </w:r>
            <w:r>
              <w:rPr>
                <w:rFonts w:hint="eastAsia" w:ascii="宋体" w:hAnsi="宋体" w:eastAsia="宋体" w:cs="宋体"/>
                <w:color w:val="auto"/>
                <w:spacing w:val="0"/>
                <w:kern w:val="0"/>
                <w:sz w:val="21"/>
                <w:szCs w:val="21"/>
                <w:highlight w:val="none"/>
                <w:lang w:val="en-US" w:eastAsia="zh-CN" w:bidi="ar"/>
              </w:rPr>
              <w:t>的加1分，</w:t>
            </w:r>
            <w:r>
              <w:rPr>
                <w:rFonts w:hint="eastAsia" w:ascii="宋体" w:hAnsi="宋体" w:eastAsia="宋体" w:cs="宋体"/>
                <w:b/>
                <w:bCs/>
                <w:color w:val="auto"/>
                <w:kern w:val="2"/>
                <w:sz w:val="21"/>
                <w:szCs w:val="21"/>
                <w:highlight w:val="none"/>
                <w:lang w:val="en-US" w:eastAsia="zh-CN" w:bidi="ar"/>
              </w:rPr>
              <w:t>本子项满分5分</w:t>
            </w:r>
            <w:r>
              <w:rPr>
                <w:rFonts w:hint="eastAsia" w:ascii="宋体" w:hAnsi="宋体" w:eastAsia="宋体" w:cs="宋体"/>
                <w:color w:val="auto"/>
                <w:kern w:val="2"/>
                <w:sz w:val="21"/>
                <w:szCs w:val="21"/>
                <w:highlight w:val="none"/>
                <w:lang w:val="en-US" w:eastAsia="zh-CN" w:bidi="ar"/>
              </w:rPr>
              <w:t>。</w:t>
            </w:r>
          </w:p>
          <w:p w14:paraId="3595B62D">
            <w:pPr>
              <w:keepNext w:val="0"/>
              <w:keepLines w:val="0"/>
              <w:pageBreakBefore w:val="0"/>
              <w:widowControl w:val="0"/>
              <w:suppressLineNumbers w:val="0"/>
              <w:kinsoku/>
              <w:wordWrap/>
              <w:overflowPunct/>
              <w:topLinePunct w:val="0"/>
              <w:bidi w:val="0"/>
              <w:adjustRightInd/>
              <w:spacing w:before="164"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以上人员同时具备工程类相关高级专业技术职称的，每人得2分；或同时具备工程类相关中级专业技术职称的，每人得1分。同一人同时具备中级、高级专业技术职称的，不重复计分，按具备高级专业技术职称计分，</w:t>
            </w:r>
            <w:r>
              <w:rPr>
                <w:rFonts w:hint="eastAsia" w:ascii="宋体" w:hAnsi="宋体" w:eastAsia="宋体" w:cs="宋体"/>
                <w:b/>
                <w:bCs/>
                <w:color w:val="auto"/>
                <w:kern w:val="2"/>
                <w:sz w:val="21"/>
                <w:szCs w:val="21"/>
                <w:highlight w:val="none"/>
                <w:lang w:val="en-US" w:eastAsia="zh-CN" w:bidi="ar"/>
              </w:rPr>
              <w:t>本子项满分6分</w:t>
            </w:r>
            <w:r>
              <w:rPr>
                <w:rFonts w:hint="eastAsia" w:ascii="宋体" w:hAnsi="宋体" w:eastAsia="宋体" w:cs="宋体"/>
                <w:color w:val="auto"/>
                <w:kern w:val="2"/>
                <w:sz w:val="21"/>
                <w:szCs w:val="21"/>
                <w:highlight w:val="none"/>
                <w:lang w:val="en-US" w:eastAsia="zh-CN" w:bidi="ar"/>
              </w:rPr>
              <w:t>。</w:t>
            </w:r>
          </w:p>
          <w:p w14:paraId="471A4C6A">
            <w:pPr>
              <w:keepNext w:val="0"/>
              <w:keepLines w:val="0"/>
              <w:pageBreakBefore w:val="0"/>
              <w:widowControl w:val="0"/>
              <w:suppressLineNumbers w:val="0"/>
              <w:kinsoku/>
              <w:wordWrap/>
              <w:overflowPunct/>
              <w:topLinePunct w:val="0"/>
              <w:autoSpaceDE w:val="0"/>
              <w:autoSpaceDN/>
              <w:bidi w:val="0"/>
              <w:adjustRightInd/>
              <w:spacing w:before="164" w:beforeLines="5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备注：以上人员须提供以下证明材料</w:t>
            </w:r>
            <w:r>
              <w:rPr>
                <w:rFonts w:hint="eastAsia" w:ascii="宋体" w:hAnsi="宋体" w:eastAsia="宋体" w:cs="宋体"/>
                <w:b/>
                <w:bCs/>
                <w:color w:val="auto"/>
                <w:sz w:val="21"/>
                <w:szCs w:val="21"/>
                <w:highlight w:val="none"/>
                <w:lang w:val="en-US" w:eastAsia="zh-CN"/>
              </w:rPr>
              <w:t>扫描件</w:t>
            </w:r>
            <w:r>
              <w:rPr>
                <w:rFonts w:hint="eastAsia" w:ascii="宋体" w:hAnsi="宋体" w:eastAsia="宋体" w:cs="宋体"/>
                <w:b/>
                <w:bCs/>
                <w:color w:val="auto"/>
                <w:kern w:val="2"/>
                <w:sz w:val="21"/>
                <w:szCs w:val="21"/>
                <w:highlight w:val="none"/>
                <w:lang w:val="en-US" w:eastAsia="zh-CN" w:bidi="ar"/>
              </w:rPr>
              <w:t>加盖投标人公章：（1）人员身份证；（2）造价工程师职业资格证书；（3）造价工程师注册证书（或在“全国建筑市场公共服务平台”上的执业注册信息截图）；（4）职称证书；（5）人力资源和社会保障部门（或税务部门）出具的2025年3月至2025年5月的投标人为其缴纳的社保证明材料。</w:t>
            </w:r>
          </w:p>
        </w:tc>
        <w:tc>
          <w:tcPr>
            <w:tcW w:w="451" w:type="pct"/>
            <w:tcBorders>
              <w:top w:val="single" w:color="auto" w:sz="4" w:space="0"/>
              <w:left w:val="nil"/>
              <w:bottom w:val="single" w:color="auto" w:sz="4" w:space="0"/>
              <w:right w:val="single" w:color="auto" w:sz="4" w:space="0"/>
            </w:tcBorders>
            <w:shd w:val="clear" w:color="auto" w:fill="auto"/>
            <w:vAlign w:val="center"/>
          </w:tcPr>
          <w:p w14:paraId="1F79BF6B">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16分</w:t>
            </w:r>
          </w:p>
        </w:tc>
      </w:tr>
      <w:tr w14:paraId="0407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14:paraId="7B09E94D">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561" w:type="pct"/>
            <w:tcBorders>
              <w:top w:val="single" w:color="auto" w:sz="4" w:space="0"/>
              <w:left w:val="nil"/>
              <w:bottom w:val="single" w:color="auto" w:sz="4" w:space="0"/>
              <w:right w:val="single" w:color="auto" w:sz="4" w:space="0"/>
            </w:tcBorders>
            <w:shd w:val="clear" w:color="auto" w:fill="auto"/>
            <w:vAlign w:val="center"/>
          </w:tcPr>
          <w:p w14:paraId="585DD23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服务便利性</w:t>
            </w:r>
          </w:p>
        </w:tc>
        <w:tc>
          <w:tcPr>
            <w:tcW w:w="3760" w:type="pct"/>
            <w:tcBorders>
              <w:top w:val="single" w:color="auto" w:sz="4" w:space="0"/>
              <w:left w:val="nil"/>
              <w:bottom w:val="single" w:color="auto" w:sz="4" w:space="0"/>
              <w:right w:val="single" w:color="auto" w:sz="4" w:space="0"/>
            </w:tcBorders>
            <w:shd w:val="clear" w:color="auto" w:fill="auto"/>
            <w:vAlign w:val="center"/>
          </w:tcPr>
          <w:p w14:paraId="5426C26C">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根据投标人承诺的服务便利性响应时间进行评审：</w:t>
            </w:r>
          </w:p>
          <w:p w14:paraId="11E8B66A">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（1）投标人承诺本项目管理人员接到招标人通知后1小时(含)内响应，2小时(含)内到达服务地点的，得2分；</w:t>
            </w:r>
          </w:p>
          <w:p w14:paraId="769E9F18">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（2）投标人承诺本项目管理人员接到招标人通知后2小时(含)内响应，4小时(含)内到达服务地点的，得1分。</w:t>
            </w:r>
          </w:p>
          <w:p w14:paraId="26E39B8A">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备注：根据《服务便利性响应时间承诺表》对应的内容进行评审。</w:t>
            </w:r>
          </w:p>
        </w:tc>
        <w:tc>
          <w:tcPr>
            <w:tcW w:w="451" w:type="pct"/>
            <w:tcBorders>
              <w:top w:val="single" w:color="auto" w:sz="4" w:space="0"/>
              <w:left w:val="nil"/>
              <w:bottom w:val="single" w:color="auto" w:sz="4" w:space="0"/>
              <w:right w:val="single" w:color="auto" w:sz="4" w:space="0"/>
            </w:tcBorders>
            <w:shd w:val="clear" w:color="auto" w:fill="auto"/>
            <w:vAlign w:val="center"/>
          </w:tcPr>
          <w:p w14:paraId="09462493">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2分</w:t>
            </w:r>
          </w:p>
        </w:tc>
      </w:tr>
      <w:tr w14:paraId="6D80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45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AE5878">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商务总分</w:t>
            </w:r>
          </w:p>
        </w:tc>
        <w:tc>
          <w:tcPr>
            <w:tcW w:w="451" w:type="pct"/>
            <w:tcBorders>
              <w:top w:val="single" w:color="auto" w:sz="4" w:space="0"/>
              <w:left w:val="nil"/>
              <w:bottom w:val="single" w:color="auto" w:sz="4" w:space="0"/>
              <w:right w:val="single" w:color="auto" w:sz="4" w:space="0"/>
            </w:tcBorders>
            <w:shd w:val="clear" w:color="auto" w:fill="auto"/>
            <w:vAlign w:val="center"/>
          </w:tcPr>
          <w:p w14:paraId="61F5B96B">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70</w:t>
            </w:r>
          </w:p>
        </w:tc>
      </w:tr>
    </w:tbl>
    <w:p w14:paraId="4AE62E81">
      <w:pPr>
        <w:keepNext w:val="0"/>
        <w:keepLines w:val="0"/>
        <w:widowControl w:val="0"/>
        <w:suppressLineNumbers w:val="0"/>
        <w:autoSpaceDE w:val="0"/>
        <w:autoSpaceDN w:val="0"/>
        <w:adjustRightInd w:val="0"/>
        <w:spacing w:before="0" w:beforeAutospacing="0" w:after="0" w:afterAutospacing="0"/>
        <w:ind w:left="0" w:right="-26" w:firstLine="48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 xml:space="preserve"> </w:t>
      </w:r>
    </w:p>
    <w:p w14:paraId="5BA0190C">
      <w:pPr>
        <w:keepNext w:val="0"/>
        <w:keepLines w:val="0"/>
        <w:widowControl w:val="0"/>
        <w:suppressLineNumbers w:val="0"/>
        <w:tabs>
          <w:tab w:val="left" w:pos="585"/>
        </w:tabs>
        <w:autoSpaceDE w:val="0"/>
        <w:autoSpaceDN w:val="0"/>
        <w:adjustRightInd w:val="0"/>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（2）技术：总分30分</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60"/>
        <w:gridCol w:w="1184"/>
        <w:gridCol w:w="7782"/>
        <w:gridCol w:w="944"/>
      </w:tblGrid>
      <w:tr w14:paraId="7E08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jc w:val="center"/>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773A96C7">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序号</w:t>
            </w:r>
          </w:p>
        </w:tc>
        <w:tc>
          <w:tcPr>
            <w:tcW w:w="571" w:type="pct"/>
            <w:tcBorders>
              <w:top w:val="single" w:color="auto" w:sz="4" w:space="0"/>
              <w:left w:val="nil"/>
              <w:bottom w:val="single" w:color="auto" w:sz="4" w:space="0"/>
              <w:right w:val="single" w:color="auto" w:sz="4" w:space="0"/>
            </w:tcBorders>
            <w:shd w:val="clear" w:color="auto" w:fill="auto"/>
            <w:vAlign w:val="center"/>
          </w:tcPr>
          <w:p w14:paraId="0F0C9A69">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评审内容</w:t>
            </w:r>
          </w:p>
        </w:tc>
        <w:tc>
          <w:tcPr>
            <w:tcW w:w="3752" w:type="pct"/>
            <w:tcBorders>
              <w:top w:val="single" w:color="auto" w:sz="4" w:space="0"/>
              <w:left w:val="nil"/>
              <w:bottom w:val="single" w:color="auto" w:sz="4" w:space="0"/>
              <w:right w:val="single" w:color="auto" w:sz="4" w:space="0"/>
            </w:tcBorders>
            <w:shd w:val="clear" w:color="auto" w:fill="auto"/>
            <w:vAlign w:val="center"/>
          </w:tcPr>
          <w:p w14:paraId="3C599650">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评审细则</w:t>
            </w:r>
          </w:p>
        </w:tc>
        <w:tc>
          <w:tcPr>
            <w:tcW w:w="455" w:type="pct"/>
            <w:tcBorders>
              <w:top w:val="single" w:color="auto" w:sz="4" w:space="0"/>
              <w:left w:val="nil"/>
              <w:bottom w:val="single" w:color="auto" w:sz="4" w:space="0"/>
              <w:right w:val="single" w:color="auto" w:sz="4" w:space="0"/>
            </w:tcBorders>
            <w:shd w:val="clear" w:color="auto" w:fill="auto"/>
            <w:vAlign w:val="center"/>
          </w:tcPr>
          <w:p w14:paraId="460B421A">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满分值（分）</w:t>
            </w:r>
          </w:p>
        </w:tc>
      </w:tr>
      <w:tr w14:paraId="3A71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38FA1D39">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184" w:type="dxa"/>
            <w:tcBorders>
              <w:top w:val="single" w:color="auto" w:sz="4" w:space="0"/>
              <w:left w:val="nil"/>
              <w:bottom w:val="single" w:color="auto" w:sz="4" w:space="0"/>
              <w:right w:val="single" w:color="auto" w:sz="4" w:space="0"/>
            </w:tcBorders>
            <w:shd w:val="clear" w:color="auto" w:fill="auto"/>
            <w:vAlign w:val="center"/>
          </w:tcPr>
          <w:p w14:paraId="714C72A9">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rightChars="0"/>
              <w:jc w:val="center"/>
              <w:textAlignment w:val="baseline"/>
              <w:rPr>
                <w:rFonts w:hint="eastAsia" w:ascii="宋体" w:hAnsi="宋体" w:eastAsia="宋体" w:cs="宋体"/>
                <w:bCs/>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用户需求的响应程度</w:t>
            </w:r>
          </w:p>
        </w:tc>
        <w:tc>
          <w:tcPr>
            <w:tcW w:w="7782" w:type="dxa"/>
            <w:tcBorders>
              <w:top w:val="single" w:color="auto" w:sz="4" w:space="0"/>
              <w:left w:val="nil"/>
              <w:bottom w:val="single" w:color="auto" w:sz="4" w:space="0"/>
              <w:right w:val="single" w:color="auto" w:sz="4" w:space="0"/>
            </w:tcBorders>
            <w:shd w:val="clear" w:color="auto" w:fill="auto"/>
            <w:vAlign w:val="center"/>
          </w:tcPr>
          <w:p w14:paraId="4CD0280D">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leftChars="0" w:right="0" w:rightChars="0"/>
              <w:jc w:val="both"/>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用户需求偏离表的偏离情况进行评审计分，完全满足用户需求书的要求得满分；每一处负偏离，扣1分；同时参照其投标文件中技术资料内容进行对比，每发现一处投标人填写为无偏离或正偏离，但评标委员会评审认定其为负偏离的，每处扣3分；本项最低分为0分。</w:t>
            </w:r>
          </w:p>
        </w:tc>
        <w:tc>
          <w:tcPr>
            <w:tcW w:w="944" w:type="dxa"/>
            <w:tcBorders>
              <w:top w:val="single" w:color="auto" w:sz="4" w:space="0"/>
              <w:left w:val="nil"/>
              <w:bottom w:val="single" w:color="auto" w:sz="4" w:space="0"/>
              <w:right w:val="single" w:color="auto" w:sz="4" w:space="0"/>
            </w:tcBorders>
            <w:shd w:val="clear" w:color="auto" w:fill="auto"/>
            <w:vAlign w:val="center"/>
          </w:tcPr>
          <w:p w14:paraId="0E1E0E66">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6分</w:t>
            </w:r>
          </w:p>
        </w:tc>
      </w:tr>
      <w:tr w14:paraId="2431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228F16C4">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1184" w:type="dxa"/>
            <w:tcBorders>
              <w:top w:val="single" w:color="auto" w:sz="4" w:space="0"/>
              <w:left w:val="nil"/>
              <w:bottom w:val="single" w:color="auto" w:sz="4" w:space="0"/>
              <w:right w:val="single" w:color="auto" w:sz="4" w:space="0"/>
            </w:tcBorders>
            <w:shd w:val="clear" w:color="auto" w:fill="auto"/>
            <w:vAlign w:val="center"/>
          </w:tcPr>
          <w:p w14:paraId="3A69F0FC">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工作流程及政策了解</w:t>
            </w:r>
          </w:p>
        </w:tc>
        <w:tc>
          <w:tcPr>
            <w:tcW w:w="7782" w:type="dxa"/>
            <w:tcBorders>
              <w:top w:val="single" w:color="auto" w:sz="4" w:space="0"/>
              <w:left w:val="nil"/>
              <w:bottom w:val="single" w:color="auto" w:sz="4" w:space="0"/>
              <w:right w:val="single" w:color="auto" w:sz="4" w:space="0"/>
            </w:tcBorders>
            <w:shd w:val="clear" w:color="auto" w:fill="auto"/>
            <w:vAlign w:val="center"/>
          </w:tcPr>
          <w:p w14:paraId="6563005B">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横向比较各投标人造价咨询的工作流程，对造价咨询方面的政策、法规、知识和现行做法的理解程度等方面进行评审：</w:t>
            </w:r>
          </w:p>
          <w:p w14:paraId="02195610">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优：</w:t>
            </w:r>
            <w:r>
              <w:rPr>
                <w:rFonts w:hint="eastAsia" w:ascii="宋体" w:hAnsi="宋体" w:eastAsia="宋体" w:cs="宋体"/>
                <w:bCs/>
                <w:color w:val="auto"/>
                <w:kern w:val="2"/>
                <w:sz w:val="21"/>
                <w:szCs w:val="21"/>
                <w:highlight w:val="none"/>
                <w:lang w:val="en-US" w:eastAsia="zh-CN" w:bidi="ar"/>
              </w:rPr>
              <w:t>造价咨询工作流程科学合理、清晰明确，各个环节紧密衔接；每一个步骤都有详细的操作规范和质量控制措施，确保造价咨询结果的准确性和可靠性能够高效地完成项目任务，对造价咨询方面的政策、法规、知识和现行做法有深入的理解和准确的把握，能够熟练运用相关政策法规指导造价咨询工作，对行业动态和最新知识保持高度关注，并及时应用到实际项目中，得6分。</w:t>
            </w:r>
          </w:p>
          <w:p w14:paraId="5B2C9946">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良：</w:t>
            </w:r>
            <w:r>
              <w:rPr>
                <w:rFonts w:hint="eastAsia" w:ascii="宋体" w:hAnsi="宋体" w:eastAsia="宋体" w:cs="宋体"/>
                <w:bCs/>
                <w:color w:val="auto"/>
                <w:kern w:val="2"/>
                <w:sz w:val="21"/>
                <w:szCs w:val="21"/>
                <w:highlight w:val="none"/>
                <w:lang w:val="en-US" w:eastAsia="zh-CN" w:bidi="ar"/>
              </w:rPr>
              <w:t>造价咨询工作流程较为规范，基本能够满足造价咨询的要求，在主要环节上有一定的操作流程和质量把控；对政策法规等有较好的理解，能够在造价咨询工作中正确运用，得4分。</w:t>
            </w:r>
          </w:p>
          <w:p w14:paraId="6163C8D4">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中：</w:t>
            </w:r>
            <w:r>
              <w:rPr>
                <w:rFonts w:hint="eastAsia" w:ascii="宋体" w:hAnsi="宋体" w:eastAsia="宋体" w:cs="宋体"/>
                <w:bCs/>
                <w:color w:val="auto"/>
                <w:kern w:val="2"/>
                <w:sz w:val="21"/>
                <w:szCs w:val="21"/>
                <w:highlight w:val="none"/>
                <w:lang w:val="en-US" w:eastAsia="zh-CN" w:bidi="ar"/>
              </w:rPr>
              <w:t>造价咨询工作流程存在一定的合理性，但在部分环节上不够清晰或缺乏有效的质量控制手段，对政策法规等有一定的认识，但理解不够深入，得2分。</w:t>
            </w:r>
          </w:p>
          <w:p w14:paraId="3F8D5714">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both"/>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差：</w:t>
            </w:r>
            <w:r>
              <w:rPr>
                <w:rFonts w:hint="eastAsia" w:ascii="宋体" w:hAnsi="宋体" w:eastAsia="宋体" w:cs="宋体"/>
                <w:bCs/>
                <w:color w:val="auto"/>
                <w:kern w:val="2"/>
                <w:sz w:val="21"/>
                <w:szCs w:val="21"/>
                <w:highlight w:val="none"/>
                <w:lang w:val="en-US" w:eastAsia="zh-CN" w:bidi="ar"/>
              </w:rPr>
              <w:t>造价咨询工作流程混乱，缺乏系统性和规范性，对政策法规等缺乏了解，在造价咨询工作中不能正确运用，得0分。</w:t>
            </w:r>
          </w:p>
        </w:tc>
        <w:tc>
          <w:tcPr>
            <w:tcW w:w="944" w:type="dxa"/>
            <w:tcBorders>
              <w:top w:val="single" w:color="auto" w:sz="4" w:space="0"/>
              <w:left w:val="nil"/>
              <w:bottom w:val="single" w:color="auto" w:sz="4" w:space="0"/>
              <w:right w:val="single" w:color="auto" w:sz="4" w:space="0"/>
            </w:tcBorders>
            <w:shd w:val="clear" w:color="auto" w:fill="auto"/>
            <w:vAlign w:val="center"/>
          </w:tcPr>
          <w:p w14:paraId="394B5B38">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6分</w:t>
            </w:r>
          </w:p>
        </w:tc>
      </w:tr>
      <w:tr w14:paraId="41AA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05FD62F9">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1184" w:type="dxa"/>
            <w:tcBorders>
              <w:top w:val="single" w:color="auto" w:sz="4" w:space="0"/>
              <w:left w:val="nil"/>
              <w:bottom w:val="single" w:color="auto" w:sz="4" w:space="0"/>
              <w:right w:val="single" w:color="auto" w:sz="4" w:space="0"/>
            </w:tcBorders>
            <w:shd w:val="clear" w:color="auto" w:fill="auto"/>
            <w:vAlign w:val="center"/>
          </w:tcPr>
          <w:p w14:paraId="4D2C5E0E">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进度保障</w:t>
            </w:r>
          </w:p>
        </w:tc>
        <w:tc>
          <w:tcPr>
            <w:tcW w:w="7782" w:type="dxa"/>
            <w:tcBorders>
              <w:top w:val="single" w:color="auto" w:sz="4" w:space="0"/>
              <w:left w:val="nil"/>
              <w:bottom w:val="single" w:color="auto" w:sz="4" w:space="0"/>
              <w:right w:val="single" w:color="auto" w:sz="4" w:space="0"/>
            </w:tcBorders>
            <w:shd w:val="clear" w:color="auto" w:fill="auto"/>
            <w:vAlign w:val="center"/>
          </w:tcPr>
          <w:p w14:paraId="4FCAE098">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横向比较各投标人在造价咨询委托业务实施过程中的进度保障措施方案进行评审：</w:t>
            </w:r>
          </w:p>
          <w:p w14:paraId="7309E428">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优：制定了详细的项目进度计划，将整个造价咨询委托业务分解为多个具体的阶段和任务，并明确了每个任务的时间节点和责任人，对项目进度进行实时监控和调整，确保项目始终按照计划顺利推进，得6分。</w:t>
            </w:r>
          </w:p>
          <w:p w14:paraId="4F86C1B3">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良：有较为清晰的项目进度规划，对各个阶段的任务和时间安排较为合理，对进度有一定的监控和调整能力，进度保障措施方案较为完善，得4分。</w:t>
            </w:r>
          </w:p>
          <w:p w14:paraId="4022D0C0">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中：项目进度计划不够详细，任务分解不够明确，可能会导致执行过程中出现混乱，缺乏有效的监控和调整手段，对进度的把控能力较弱，得2分。</w:t>
            </w:r>
          </w:p>
          <w:p w14:paraId="724E277E">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差：没有明确的项目进度计划，没有任何有效的手段来监控和调整进度，得0分。</w:t>
            </w:r>
          </w:p>
        </w:tc>
        <w:tc>
          <w:tcPr>
            <w:tcW w:w="944" w:type="dxa"/>
            <w:tcBorders>
              <w:top w:val="single" w:color="auto" w:sz="4" w:space="0"/>
              <w:left w:val="nil"/>
              <w:bottom w:val="single" w:color="auto" w:sz="4" w:space="0"/>
              <w:right w:val="single" w:color="auto" w:sz="4" w:space="0"/>
            </w:tcBorders>
            <w:shd w:val="clear" w:color="auto" w:fill="auto"/>
            <w:vAlign w:val="center"/>
          </w:tcPr>
          <w:p w14:paraId="112223C6">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6分</w:t>
            </w:r>
          </w:p>
        </w:tc>
      </w:tr>
      <w:tr w14:paraId="3614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63ADD7EA">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1184" w:type="dxa"/>
            <w:tcBorders>
              <w:top w:val="single" w:color="auto" w:sz="4" w:space="0"/>
              <w:left w:val="nil"/>
              <w:bottom w:val="single" w:color="auto" w:sz="4" w:space="0"/>
              <w:right w:val="single" w:color="auto" w:sz="4" w:space="0"/>
            </w:tcBorders>
            <w:shd w:val="clear" w:color="auto" w:fill="auto"/>
            <w:vAlign w:val="center"/>
          </w:tcPr>
          <w:p w14:paraId="51C3E9CE">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质量保证措施</w:t>
            </w:r>
          </w:p>
        </w:tc>
        <w:tc>
          <w:tcPr>
            <w:tcW w:w="7782" w:type="dxa"/>
            <w:tcBorders>
              <w:top w:val="single" w:color="auto" w:sz="4" w:space="0"/>
              <w:left w:val="nil"/>
              <w:bottom w:val="single" w:color="auto" w:sz="4" w:space="0"/>
              <w:right w:val="single" w:color="auto" w:sz="4" w:space="0"/>
            </w:tcBorders>
            <w:shd w:val="clear" w:color="auto" w:fill="auto"/>
            <w:vAlign w:val="center"/>
          </w:tcPr>
          <w:p w14:paraId="30EEC69B">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横向比较各投标人的相关质量保证措施包括但不限于是否能够承诺保证有足够的人力、物力等资源按时按质按量完成委托的造价咨询服务任务进行评审：</w:t>
            </w:r>
          </w:p>
          <w:p w14:paraId="3466D8A8">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优：</w:t>
            </w:r>
            <w:r>
              <w:rPr>
                <w:rFonts w:hint="eastAsia" w:ascii="宋体" w:hAnsi="宋体" w:eastAsia="宋体" w:cs="宋体"/>
                <w:bCs/>
                <w:color w:val="auto"/>
                <w:kern w:val="2"/>
                <w:sz w:val="21"/>
                <w:szCs w:val="21"/>
                <w:highlight w:val="none"/>
                <w:lang w:val="en-US" w:eastAsia="zh-CN" w:bidi="ar"/>
              </w:rPr>
              <w:t>有充足的人力、物力等资源投入到委托的造价咨询服务任务中，拥有一支专业素质高、经验丰富的造价咨询团队，人员配备齐全，能够满足不同类型项目的需求；同时，具备先进的技术设备和软件工具，为高质量完成任务提供有力保障，得6分。</w:t>
            </w:r>
          </w:p>
          <w:p w14:paraId="764D842D">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良：</w:t>
            </w:r>
            <w:r>
              <w:rPr>
                <w:rFonts w:hint="eastAsia" w:ascii="宋体" w:hAnsi="宋体" w:eastAsia="宋体" w:cs="宋体"/>
                <w:bCs/>
                <w:color w:val="auto"/>
                <w:kern w:val="2"/>
                <w:sz w:val="21"/>
                <w:szCs w:val="21"/>
                <w:highlight w:val="none"/>
                <w:lang w:val="en-US" w:eastAsia="zh-CN" w:bidi="ar"/>
              </w:rPr>
              <w:t>有一定的人力、物力资源来完成造价咨询服务任务，团队成员具备较好的专业能力，技术设备和软件工具能够满足基本需求，得4分。</w:t>
            </w:r>
          </w:p>
          <w:p w14:paraId="2FBF37BB">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中：</w:t>
            </w:r>
            <w:r>
              <w:rPr>
                <w:rFonts w:hint="eastAsia" w:ascii="宋体" w:hAnsi="宋体" w:eastAsia="宋体" w:cs="宋体"/>
                <w:bCs/>
                <w:color w:val="auto"/>
                <w:kern w:val="2"/>
                <w:sz w:val="21"/>
                <w:szCs w:val="21"/>
                <w:highlight w:val="none"/>
                <w:lang w:val="en-US" w:eastAsia="zh-CN" w:bidi="ar"/>
              </w:rPr>
              <w:t>人力、物力资源相对有限，可能在某些方面存在不足，团队的专业能力和经验参差不齐，技术设备和软件工具可能需要进一步更新和完善，得2分。</w:t>
            </w:r>
          </w:p>
          <w:p w14:paraId="27E51ED8">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both"/>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差：</w:t>
            </w:r>
            <w:r>
              <w:rPr>
                <w:rFonts w:hint="eastAsia" w:ascii="宋体" w:hAnsi="宋体" w:eastAsia="宋体" w:cs="宋体"/>
                <w:bCs/>
                <w:color w:val="auto"/>
                <w:kern w:val="2"/>
                <w:sz w:val="21"/>
                <w:szCs w:val="21"/>
                <w:highlight w:val="none"/>
                <w:lang w:val="en-US" w:eastAsia="zh-CN" w:bidi="ar"/>
              </w:rPr>
              <w:t>难以保证有足够的人力、物力资源完成任务，团队规模较小，专业能力不足，技术设备和软件工具落后，得0分。</w:t>
            </w:r>
          </w:p>
        </w:tc>
        <w:tc>
          <w:tcPr>
            <w:tcW w:w="944" w:type="dxa"/>
            <w:tcBorders>
              <w:top w:val="single" w:color="auto" w:sz="4" w:space="0"/>
              <w:left w:val="nil"/>
              <w:bottom w:val="single" w:color="auto" w:sz="4" w:space="0"/>
              <w:right w:val="single" w:color="auto" w:sz="4" w:space="0"/>
            </w:tcBorders>
            <w:shd w:val="clear" w:color="auto" w:fill="auto"/>
            <w:vAlign w:val="center"/>
          </w:tcPr>
          <w:p w14:paraId="78F2BD25">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6分</w:t>
            </w:r>
          </w:p>
        </w:tc>
      </w:tr>
      <w:tr w14:paraId="6649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7E35E7B6">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1184" w:type="dxa"/>
            <w:tcBorders>
              <w:top w:val="single" w:color="auto" w:sz="4" w:space="0"/>
              <w:left w:val="nil"/>
              <w:bottom w:val="single" w:color="auto" w:sz="4" w:space="0"/>
              <w:right w:val="single" w:color="auto" w:sz="4" w:space="0"/>
            </w:tcBorders>
            <w:shd w:val="clear" w:color="auto" w:fill="auto"/>
            <w:vAlign w:val="center"/>
          </w:tcPr>
          <w:p w14:paraId="68DA7152">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质量跟踪及信息反馈机制</w:t>
            </w:r>
          </w:p>
        </w:tc>
        <w:tc>
          <w:tcPr>
            <w:tcW w:w="7782" w:type="dxa"/>
            <w:tcBorders>
              <w:top w:val="single" w:color="auto" w:sz="4" w:space="0"/>
              <w:left w:val="nil"/>
              <w:bottom w:val="single" w:color="auto" w:sz="4" w:space="0"/>
              <w:right w:val="single" w:color="auto" w:sz="4" w:space="0"/>
            </w:tcBorders>
            <w:shd w:val="clear" w:color="auto" w:fill="auto"/>
            <w:vAlign w:val="center"/>
          </w:tcPr>
          <w:p w14:paraId="0455DF19">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横向比较各投标人质量跟踪与信息反馈机制是否完善，问题分析是否到位，实施措施与渠道是否齐全合理等方面进行评审：</w:t>
            </w:r>
          </w:p>
          <w:p w14:paraId="4DB0E16D">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优：</w:t>
            </w:r>
            <w:r>
              <w:rPr>
                <w:rFonts w:hint="eastAsia" w:ascii="宋体" w:hAnsi="宋体" w:eastAsia="宋体" w:cs="宋体"/>
                <w:bCs/>
                <w:color w:val="auto"/>
                <w:kern w:val="2"/>
                <w:sz w:val="21"/>
                <w:szCs w:val="21"/>
                <w:highlight w:val="none"/>
                <w:lang w:val="en-US" w:eastAsia="zh-CN" w:bidi="ar"/>
              </w:rPr>
              <w:t>投标人具备完善的质量跟踪与信息反馈机制。建立了专门的质量跟踪团队，对项目实施全过程进行严格监控，能够及时发现并解决问题，对问题的分析深入到位。能够迅速准确地识别问题的本质和根源，运用专业知识和经验进行全面分析，提出具有针对性和可操作性的解决方案，实施措施与渠道丰富齐全且合理，得6分。</w:t>
            </w:r>
          </w:p>
          <w:p w14:paraId="03F162D0">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良：</w:t>
            </w:r>
            <w:r>
              <w:rPr>
                <w:rFonts w:hint="eastAsia" w:ascii="宋体" w:hAnsi="宋体" w:eastAsia="宋体" w:cs="宋体"/>
                <w:bCs/>
                <w:color w:val="auto"/>
                <w:kern w:val="2"/>
                <w:sz w:val="21"/>
                <w:szCs w:val="21"/>
                <w:highlight w:val="none"/>
                <w:lang w:val="en-US" w:eastAsia="zh-CN" w:bidi="ar"/>
              </w:rPr>
              <w:t>质量跟踪与信息反馈机制较为完善。有明确的质量跟踪流程和责任人，能够对项目关键节点进行有效监控，对问题分析较为准确。能够在一定程度上识别问题的关键所在，进行较为合理的分析并提出解决方案，实施措施与渠道较为齐全合理，得4分。</w:t>
            </w:r>
          </w:p>
          <w:p w14:paraId="5FFE2873">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中：</w:t>
            </w:r>
            <w:r>
              <w:rPr>
                <w:rFonts w:hint="eastAsia" w:ascii="宋体" w:hAnsi="宋体" w:eastAsia="宋体" w:cs="宋体"/>
                <w:bCs/>
                <w:color w:val="auto"/>
                <w:kern w:val="2"/>
                <w:sz w:val="21"/>
                <w:szCs w:val="21"/>
                <w:highlight w:val="none"/>
                <w:lang w:val="en-US" w:eastAsia="zh-CN" w:bidi="ar"/>
              </w:rPr>
              <w:t>质量跟踪与信息反馈机制有一定基础，但存在一些不足。质量跟踪的力度和频率不够，可能会遗漏一些问题，对问题分析能力一般。能够发现问题，但在分析过程中不够深入，解决方案的针对性不强，实施措施与渠道有一定基础，但不够完善，得2分。</w:t>
            </w:r>
          </w:p>
          <w:p w14:paraId="557D28B2">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both"/>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差：</w:t>
            </w:r>
            <w:r>
              <w:rPr>
                <w:rFonts w:hint="eastAsia" w:ascii="宋体" w:hAnsi="宋体" w:eastAsia="宋体" w:cs="宋体"/>
                <w:bCs/>
                <w:color w:val="auto"/>
                <w:kern w:val="2"/>
                <w:sz w:val="21"/>
                <w:szCs w:val="21"/>
                <w:highlight w:val="none"/>
                <w:lang w:val="en-US" w:eastAsia="zh-CN" w:bidi="ar"/>
              </w:rPr>
              <w:t>质量跟踪与信息反馈机制不完善。缺乏有效的质量跟踪手段，信息反馈渠道不畅通，对问题分析不到位。难以准确识别问题的本质，分析过程混乱，提出的解决方案不切实际，没有明确的实施措施和渠道，得0分。</w:t>
            </w:r>
          </w:p>
        </w:tc>
        <w:tc>
          <w:tcPr>
            <w:tcW w:w="944" w:type="dxa"/>
            <w:tcBorders>
              <w:top w:val="single" w:color="auto" w:sz="4" w:space="0"/>
              <w:left w:val="nil"/>
              <w:bottom w:val="single" w:color="auto" w:sz="4" w:space="0"/>
              <w:right w:val="single" w:color="auto" w:sz="4" w:space="0"/>
            </w:tcBorders>
            <w:shd w:val="clear" w:color="auto" w:fill="auto"/>
            <w:vAlign w:val="center"/>
          </w:tcPr>
          <w:p w14:paraId="05661622">
            <w:pPr>
              <w:keepNext w:val="0"/>
              <w:keepLines w:val="0"/>
              <w:pageBreakBefore w:val="0"/>
              <w:widowControl w:val="0"/>
              <w:suppressLineNumbers w:val="0"/>
              <w:kinsoku/>
              <w:wordWrap/>
              <w:overflowPunct/>
              <w:topLinePunct w:val="0"/>
              <w:autoSpaceDN/>
              <w:bidi w:val="0"/>
              <w:spacing w:before="0" w:beforeLines="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6分</w:t>
            </w:r>
          </w:p>
        </w:tc>
      </w:tr>
      <w:tr w14:paraId="00A1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454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4EB6C7">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技术总分</w:t>
            </w:r>
          </w:p>
        </w:tc>
        <w:tc>
          <w:tcPr>
            <w:tcW w:w="455" w:type="pct"/>
            <w:tcBorders>
              <w:top w:val="single" w:color="auto" w:sz="4" w:space="0"/>
              <w:left w:val="nil"/>
              <w:bottom w:val="single" w:color="auto" w:sz="4" w:space="0"/>
              <w:right w:val="single" w:color="auto" w:sz="4" w:space="0"/>
            </w:tcBorders>
            <w:shd w:val="clear" w:color="auto" w:fill="auto"/>
            <w:vAlign w:val="center"/>
          </w:tcPr>
          <w:p w14:paraId="7A1E966A">
            <w:pPr>
              <w:pStyle w:val="39"/>
              <w:keepNext/>
              <w:keepLines w:val="0"/>
              <w:pageBreakBefore w:val="0"/>
              <w:widowControl w:val="0"/>
              <w:suppressLineNumbers w:val="0"/>
              <w:tabs>
                <w:tab w:val="left" w:pos="585"/>
                <w:tab w:val="left" w:pos="680"/>
              </w:tabs>
              <w:kinsoku/>
              <w:wordWrap/>
              <w:overflowPunct/>
              <w:topLinePunct w:val="0"/>
              <w:autoSpaceDE w:val="0"/>
              <w:autoSpaceDN/>
              <w:bidi w:val="0"/>
              <w:adjustRightInd/>
              <w:spacing w:before="0" w:beforeAutospacing="1"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eastAsia="宋体" w:cs="宋体"/>
                <w:b/>
                <w:bCs w:val="0"/>
                <w:color w:val="auto"/>
                <w:kern w:val="2"/>
                <w:sz w:val="21"/>
                <w:szCs w:val="21"/>
                <w:highlight w:val="none"/>
                <w:lang w:val="en-US" w:eastAsia="zh-CN" w:bidi="ar"/>
              </w:rPr>
              <w:t>3</w:t>
            </w:r>
            <w:r>
              <w:rPr>
                <w:rFonts w:hint="eastAsia" w:ascii="宋体" w:hAnsi="宋体" w:eastAsia="宋体" w:cs="宋体"/>
                <w:b/>
                <w:bCs w:val="0"/>
                <w:color w:val="auto"/>
                <w:kern w:val="2"/>
                <w:sz w:val="21"/>
                <w:szCs w:val="21"/>
                <w:highlight w:val="none"/>
                <w:lang w:val="en-US" w:eastAsia="zh-CN" w:bidi="ar"/>
              </w:rPr>
              <w:t>0</w:t>
            </w:r>
          </w:p>
        </w:tc>
      </w:tr>
    </w:tbl>
    <w:p w14:paraId="7400CB5B">
      <w:pPr>
        <w:keepNext w:val="0"/>
        <w:keepLines w:val="0"/>
        <w:widowControl w:val="0"/>
        <w:suppressLineNumbers w:val="0"/>
        <w:autoSpaceDE w:val="0"/>
        <w:autoSpaceDN w:val="0"/>
        <w:adjustRightInd w:val="0"/>
        <w:spacing w:before="0" w:beforeAutospacing="0" w:after="0" w:afterAutospacing="0" w:line="360" w:lineRule="auto"/>
        <w:ind w:left="420" w:leftChars="20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p w14:paraId="6D85B57B">
      <w:pPr>
        <w:keepNext w:val="0"/>
        <w:keepLines w:val="0"/>
        <w:widowControl w:val="0"/>
        <w:suppressLineNumbers w:val="0"/>
        <w:autoSpaceDE w:val="0"/>
        <w:autoSpaceDN w:val="0"/>
        <w:adjustRightInd w:val="0"/>
        <w:spacing w:before="0" w:beforeAutospacing="0" w:after="0" w:afterAutospacing="0" w:line="360" w:lineRule="auto"/>
        <w:ind w:left="420" w:leftChars="20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①分数出现小数点，保留小数点后2位，从小数点后第3位四舍五入。</w:t>
      </w:r>
    </w:p>
    <w:p w14:paraId="1E499D37">
      <w:pPr>
        <w:keepNext w:val="0"/>
        <w:keepLines w:val="0"/>
        <w:widowControl w:val="0"/>
        <w:suppressLineNumbers w:val="0"/>
        <w:autoSpaceDE w:val="0"/>
        <w:autoSpaceDN w:val="0"/>
        <w:adjustRightInd w:val="0"/>
        <w:spacing w:before="0" w:beforeAutospacing="0" w:after="0" w:afterAutospacing="0" w:line="360" w:lineRule="auto"/>
        <w:ind w:left="420" w:leftChars="20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②上述“评分项目”中按“优、良、中、差”区间评审的，若低于该项满分分值60%时，评标专家需详细填写该项低分的充分理由，例如：该项目内容存在违反国家有关标准和规范或与项目实际不符等原则性问题。</w:t>
      </w:r>
    </w:p>
    <w:p w14:paraId="02E04DFE">
      <w:pPr>
        <w:keepNext w:val="0"/>
        <w:keepLines w:val="0"/>
        <w:widowControl w:val="0"/>
        <w:suppressLineNumbers w:val="0"/>
        <w:autoSpaceDE w:val="0"/>
        <w:autoSpaceDN w:val="0"/>
        <w:adjustRightInd w:val="0"/>
        <w:spacing w:before="0" w:beforeAutospacing="0" w:after="0" w:afterAutospacing="0" w:line="360" w:lineRule="auto"/>
        <w:ind w:left="420" w:leftChars="200" w:right="0" w:firstLine="422" w:firstLineChars="200"/>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2"/>
          <w:sz w:val="21"/>
          <w:szCs w:val="21"/>
          <w:highlight w:val="none"/>
          <w:lang w:val="en-US" w:eastAsia="zh-CN" w:bidi="ar"/>
        </w:rPr>
        <w:t>③</w:t>
      </w:r>
      <w:r>
        <w:rPr>
          <w:rFonts w:hint="eastAsia" w:ascii="宋体" w:hAnsi="宋体" w:eastAsia="宋体" w:cs="宋体"/>
          <w:b/>
          <w:bCs/>
          <w:color w:val="auto"/>
          <w:kern w:val="0"/>
          <w:sz w:val="21"/>
          <w:szCs w:val="21"/>
          <w:highlight w:val="none"/>
          <w:lang w:val="en-US" w:eastAsia="zh-CN" w:bidi="ar"/>
        </w:rPr>
        <w:t>对于各评标委员会成员存在客观分打分不一致时,根据少数服从多数的原则，以记名方式表决确定该项的评分。</w:t>
      </w:r>
    </w:p>
    <w:p w14:paraId="1F6A5B25">
      <w:pPr>
        <w:keepNext w:val="0"/>
        <w:keepLines w:val="0"/>
        <w:widowControl w:val="0"/>
        <w:suppressLineNumbers w:val="0"/>
        <w:tabs>
          <w:tab w:val="left" w:pos="585"/>
        </w:tabs>
        <w:autoSpaceDE w:val="0"/>
        <w:autoSpaceDN w:val="0"/>
        <w:adjustRightInd w:val="0"/>
        <w:spacing w:before="0" w:beforeAutospacing="0" w:after="0" w:afterAutospacing="0" w:line="400" w:lineRule="exact"/>
        <w:ind w:left="0" w:right="0"/>
        <w:jc w:val="both"/>
        <w:outlineLvl w:val="1"/>
        <w:rPr>
          <w:rFonts w:hint="eastAsia" w:ascii="宋体" w:hAnsi="宋体" w:eastAsia="宋体" w:cs="宋体"/>
          <w:b/>
          <w:bCs w:val="0"/>
          <w:color w:val="auto"/>
          <w:kern w:val="2"/>
          <w:sz w:val="21"/>
          <w:szCs w:val="21"/>
          <w:highlight w:val="none"/>
        </w:rPr>
      </w:pPr>
      <w:bookmarkStart w:id="808" w:name="_Toc19726"/>
      <w:r>
        <w:rPr>
          <w:rFonts w:hint="eastAsia" w:ascii="宋体" w:hAnsi="宋体" w:eastAsia="宋体" w:cs="宋体"/>
          <w:b/>
          <w:bCs w:val="0"/>
          <w:color w:val="auto"/>
          <w:kern w:val="2"/>
          <w:sz w:val="21"/>
          <w:szCs w:val="21"/>
          <w:highlight w:val="none"/>
          <w:lang w:val="en-US" w:eastAsia="zh-CN" w:bidi="ar"/>
        </w:rPr>
        <w:t>（4）综合得分</w:t>
      </w:r>
      <w:bookmarkEnd w:id="808"/>
    </w:p>
    <w:p w14:paraId="6DFFB1CE">
      <w:pPr>
        <w:keepNext w:val="0"/>
        <w:keepLines w:val="0"/>
        <w:widowControl w:val="0"/>
        <w:suppressLineNumbers w:val="0"/>
        <w:spacing w:before="0" w:beforeAutospacing="0" w:after="0" w:afterAutospacing="0" w:line="400" w:lineRule="exact"/>
        <w:ind w:left="0" w:right="0" w:firstLine="848" w:firstLineChars="404"/>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评标总得分=F1＋F2＋……+Fn</w:t>
      </w:r>
    </w:p>
    <w:p w14:paraId="3F79E88C">
      <w:pPr>
        <w:keepNext w:val="0"/>
        <w:keepLines w:val="0"/>
        <w:widowControl/>
        <w:suppressLineNumbers w:val="0"/>
        <w:autoSpaceDE w:val="0"/>
        <w:autoSpaceDN w:val="0"/>
        <w:adjustRightInd w:val="0"/>
        <w:spacing w:before="0" w:beforeAutospacing="0" w:after="0" w:afterAutospacing="0" w:line="400" w:lineRule="exact"/>
        <w:ind w:left="0" w:right="0" w:firstLine="840" w:firstLineChars="4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F1、F2、……Fn分别为各项评分因素的得分。</w:t>
      </w:r>
    </w:p>
    <w:p w14:paraId="0E5CD0D5">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lang w:eastAsia="zh-CN"/>
        </w:rPr>
      </w:pPr>
    </w:p>
    <w:p w14:paraId="384593B6">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809" w:name="_Toc518_WPSOffice_Level1"/>
      <w:r>
        <w:rPr>
          <w:rFonts w:hint="eastAsia" w:ascii="宋体" w:hAnsi="宋体" w:eastAsia="宋体" w:cs="宋体"/>
          <w:b/>
          <w:bCs/>
          <w:color w:val="auto"/>
          <w:sz w:val="28"/>
          <w:szCs w:val="28"/>
          <w:highlight w:val="none"/>
          <w:lang w:val="zh-CN"/>
        </w:rPr>
        <w:t>五、推荐中标人</w:t>
      </w:r>
      <w:bookmarkEnd w:id="809"/>
    </w:p>
    <w:p w14:paraId="1604DB83">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评标委员会按评审后得分由高到低顺序排列</w:t>
      </w:r>
      <w:r>
        <w:rPr>
          <w:rFonts w:hint="eastAsia" w:ascii="宋体" w:hAnsi="宋体" w:eastAsia="宋体" w:cs="宋体"/>
          <w:color w:val="auto"/>
          <w:kern w:val="0"/>
          <w:szCs w:val="21"/>
          <w:highlight w:val="none"/>
        </w:rPr>
        <w:t>，并向招标人推荐综合得分前六名的投标人为第一中标候选人，综合得分排名第七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名的为第二中标候选人，</w:t>
      </w:r>
      <w:r>
        <w:rPr>
          <w:rFonts w:hint="eastAsia" w:ascii="宋体" w:hAnsi="宋体" w:eastAsia="宋体" w:cs="Times New Roman"/>
          <w:color w:val="auto"/>
          <w:kern w:val="0"/>
          <w:szCs w:val="21"/>
          <w:highlight w:val="none"/>
        </w:rPr>
        <w:t>招标人将确定第一中标候选人为中标人</w:t>
      </w:r>
      <w:r>
        <w:rPr>
          <w:rFonts w:hint="eastAsia" w:ascii="宋体" w:hAnsi="宋体" w:eastAsia="宋体" w:cs="Times New Roman"/>
          <w:color w:val="auto"/>
          <w:kern w:val="0"/>
          <w:szCs w:val="21"/>
          <w:highlight w:val="none"/>
          <w:lang w:eastAsia="zh-CN"/>
        </w:rPr>
        <w:t>（日常使用单位），</w:t>
      </w:r>
      <w:r>
        <w:rPr>
          <w:rFonts w:hint="eastAsia" w:ascii="宋体" w:hAnsi="宋体" w:eastAsia="宋体" w:cs="Times New Roman"/>
          <w:color w:val="auto"/>
          <w:kern w:val="0"/>
          <w:szCs w:val="21"/>
          <w:highlight w:val="none"/>
          <w:lang w:val="en-US" w:eastAsia="zh-CN"/>
        </w:rPr>
        <w:t>确定第二中标候选人为候补单位</w:t>
      </w:r>
      <w:r>
        <w:rPr>
          <w:rFonts w:hint="eastAsia" w:ascii="宋体" w:hAnsi="宋体" w:eastAsia="宋体" w:cs="Times New Roman"/>
          <w:color w:val="auto"/>
          <w:kern w:val="0"/>
          <w:szCs w:val="21"/>
          <w:highlight w:val="none"/>
        </w:rPr>
        <w:t>。</w:t>
      </w:r>
    </w:p>
    <w:p w14:paraId="1269155F">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宋体"/>
          <w:color w:val="auto"/>
          <w:sz w:val="21"/>
          <w:szCs w:val="21"/>
          <w:highlight w:val="none"/>
        </w:rPr>
        <w:t>如果有两个或以上的投标人的综合得分相同，则按以下方式确定得分相同的投标人的排名次序：在综合得分相同的投标人中按商务得分由高至低排出次序，得分高的排前，得分低的排后；按上述环节依然存在同分情形而不能确认排名顺序时</w:t>
      </w:r>
      <w:r>
        <w:rPr>
          <w:rFonts w:hint="eastAsia" w:ascii="宋体" w:hAnsi="宋体" w:eastAsia="宋体" w:cs="Times New Roman"/>
          <w:color w:val="auto"/>
          <w:kern w:val="0"/>
          <w:szCs w:val="21"/>
          <w:highlight w:val="none"/>
        </w:rPr>
        <w:t>，由评标委员会进行投票，得票多的排名在先。当第一轮投票结果为投标人得票数相同时，再次进行投票，如此类推，直到能确定排序次序为止。</w:t>
      </w:r>
    </w:p>
    <w:p w14:paraId="6B74C21C">
      <w:pPr>
        <w:widowControl/>
        <w:spacing w:line="360" w:lineRule="auto"/>
        <w:jc w:val="left"/>
        <w:rPr>
          <w:rFonts w:ascii="宋体" w:hAnsi="宋体" w:eastAsia="宋体" w:cs="宋体"/>
          <w:color w:val="auto"/>
          <w:kern w:val="0"/>
          <w:szCs w:val="21"/>
          <w:highlight w:val="none"/>
        </w:rPr>
      </w:pPr>
    </w:p>
    <w:p w14:paraId="4BAC9969">
      <w:pPr>
        <w:autoSpaceDE w:val="0"/>
        <w:autoSpaceDN w:val="0"/>
        <w:adjustRightInd w:val="0"/>
        <w:spacing w:line="360" w:lineRule="auto"/>
        <w:ind w:left="185" w:leftChars="88" w:firstLine="3443" w:firstLineChars="1225"/>
        <w:outlineLvl w:val="2"/>
        <w:rPr>
          <w:rFonts w:ascii="宋体" w:hAnsi="宋体" w:eastAsia="宋体" w:cs="宋体"/>
          <w:b/>
          <w:bCs/>
          <w:color w:val="auto"/>
          <w:sz w:val="28"/>
          <w:szCs w:val="28"/>
          <w:highlight w:val="none"/>
          <w:lang w:val="zh-CN"/>
        </w:rPr>
      </w:pPr>
      <w:bookmarkStart w:id="810" w:name="_Toc22724_WPSOffice_Level1"/>
      <w:r>
        <w:rPr>
          <w:rFonts w:hint="eastAsia" w:ascii="宋体" w:hAnsi="宋体" w:eastAsia="宋体" w:cs="宋体"/>
          <w:b/>
          <w:bCs/>
          <w:color w:val="auto"/>
          <w:sz w:val="28"/>
          <w:szCs w:val="28"/>
          <w:highlight w:val="none"/>
          <w:lang w:val="zh-CN"/>
        </w:rPr>
        <w:t>六、编写评标报告</w:t>
      </w:r>
      <w:bookmarkEnd w:id="810"/>
    </w:p>
    <w:p w14:paraId="3400D2D6">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75D5F9F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54911E9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F1F40A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7DB89EE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5CF8D48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3387316">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21FCE07D">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50C16EFC">
      <w:pPr>
        <w:autoSpaceDE w:val="0"/>
        <w:autoSpaceDN w:val="0"/>
        <w:adjustRightInd w:val="0"/>
        <w:spacing w:line="360" w:lineRule="auto"/>
        <w:jc w:val="center"/>
        <w:outlineLvl w:val="2"/>
        <w:rPr>
          <w:rFonts w:ascii="宋体" w:hAnsi="宋体" w:eastAsia="宋体" w:cs="宋体"/>
          <w:b/>
          <w:bCs/>
          <w:color w:val="auto"/>
          <w:sz w:val="30"/>
          <w:szCs w:val="30"/>
          <w:highlight w:val="none"/>
          <w:lang w:val="zh-CN"/>
        </w:rPr>
      </w:pPr>
      <w:bookmarkStart w:id="811" w:name="_Toc23773_WPSOffice_Level1"/>
      <w:r>
        <w:rPr>
          <w:rFonts w:hint="eastAsia" w:ascii="宋体" w:hAnsi="宋体" w:eastAsia="宋体" w:cs="宋体"/>
          <w:b/>
          <w:bCs/>
          <w:color w:val="auto"/>
          <w:sz w:val="28"/>
          <w:szCs w:val="28"/>
          <w:highlight w:val="none"/>
          <w:lang w:val="zh-CN"/>
        </w:rPr>
        <w:t>七、注意事项</w:t>
      </w:r>
      <w:bookmarkEnd w:id="811"/>
    </w:p>
    <w:p w14:paraId="07BBA1E6">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4591770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07F06B8B">
      <w:pPr>
        <w:autoSpaceDE w:val="0"/>
        <w:autoSpaceDN w:val="0"/>
        <w:adjustRightInd w:val="0"/>
        <w:spacing w:line="360" w:lineRule="auto"/>
        <w:ind w:left="436" w:leftChars="-59" w:hanging="560" w:hangingChars="267"/>
        <w:outlineLvl w:val="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09F4A17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55093E6D">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7FC4F90">
      <w:pPr>
        <w:widowControl/>
        <w:jc w:val="left"/>
        <w:outlineLvl w:val="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760"/>
      <w:bookmarkEnd w:id="784"/>
      <w:bookmarkEnd w:id="785"/>
      <w:bookmarkEnd w:id="786"/>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921038B-3453-44D2-BA96-998527EB5D9B}"/>
  </w:font>
  <w:font w:name="Arial">
    <w:panose1 w:val="020B0604020202020204"/>
    <w:charset w:val="01"/>
    <w:family w:val="swiss"/>
    <w:pitch w:val="default"/>
    <w:sig w:usb0="E0002EFF" w:usb1="C000785B" w:usb2="00000009" w:usb3="00000000" w:csb0="400001FF" w:csb1="FFFF0000"/>
    <w:embedRegular r:id="rId2" w:fontKey="{710E615B-93B4-4712-B202-8419B563736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58B700FE-821A-4625-97A1-4DA82B07E22A}"/>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9EAF5953-AD2C-44D0-ABB1-2D3F5B2A3B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61B9">
    <w:pPr>
      <w:pStyle w:val="28"/>
      <w:jc w:val="center"/>
    </w:pPr>
    <w:r>
      <w:rPr>
        <w:rFonts w:hint="eastAsia"/>
      </w:rPr>
      <w:t>第</w:t>
    </w:r>
    <w:r>
      <w:rPr>
        <w:bCs/>
      </w:rPr>
      <w:fldChar w:fldCharType="begin"/>
    </w:r>
    <w:r>
      <w:rPr>
        <w:bCs/>
      </w:rPr>
      <w:instrText xml:space="preserve">PAGE</w:instrText>
    </w:r>
    <w:r>
      <w:rPr>
        <w:bCs/>
      </w:rPr>
      <w:fldChar w:fldCharType="separate"/>
    </w:r>
    <w:r>
      <w:rPr>
        <w:bCs/>
      </w:rPr>
      <w:t>157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2158">
    <w:pPr>
      <w:pStyle w:val="28"/>
      <w:jc w:val="center"/>
    </w:pPr>
    <w:r>
      <w:rPr>
        <w:rFonts w:hint="eastAsia"/>
      </w:rPr>
      <w:t>第</w:t>
    </w:r>
    <w:r>
      <w:rPr>
        <w:bCs/>
      </w:rPr>
      <w:fldChar w:fldCharType="begin"/>
    </w:r>
    <w:r>
      <w:rPr>
        <w:bCs/>
      </w:rPr>
      <w:instrText xml:space="preserve">PAGE</w:instrText>
    </w:r>
    <w:r>
      <w:rPr>
        <w:bCs/>
      </w:rPr>
      <w:fldChar w:fldCharType="separate"/>
    </w:r>
    <w:r>
      <w:rPr>
        <w:bCs/>
      </w:rPr>
      <w:t>140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3E200">
    <w:pPr>
      <w:pStyle w:val="28"/>
      <w:jc w:val="center"/>
    </w:pPr>
    <w:r>
      <w:rPr>
        <w:rFonts w:hint="eastAsia"/>
      </w:rPr>
      <w:t>第</w:t>
    </w:r>
    <w:r>
      <w:rPr>
        <w:bCs/>
      </w:rPr>
      <w:fldChar w:fldCharType="begin"/>
    </w:r>
    <w:r>
      <w:rPr>
        <w:bCs/>
      </w:rPr>
      <w:instrText xml:space="preserve">PAGE</w:instrText>
    </w:r>
    <w:r>
      <w:rPr>
        <w:bCs/>
      </w:rPr>
      <w:fldChar w:fldCharType="separate"/>
    </w:r>
    <w:r>
      <w:rPr>
        <w:bCs/>
      </w:rPr>
      <w:t>161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124E8">
    <w:pPr>
      <w:pStyle w:val="28"/>
      <w:jc w:val="center"/>
    </w:pPr>
    <w:r>
      <w:rPr>
        <w:rFonts w:hint="eastAsia"/>
      </w:rPr>
      <w:t>第</w:t>
    </w:r>
    <w:r>
      <w:rPr>
        <w:bCs/>
      </w:rPr>
      <w:fldChar w:fldCharType="begin"/>
    </w:r>
    <w:r>
      <w:rPr>
        <w:bCs/>
      </w:rPr>
      <w:instrText xml:space="preserve">PAGE</w:instrText>
    </w:r>
    <w:r>
      <w:rPr>
        <w:bCs/>
      </w:rPr>
      <w:fldChar w:fldCharType="separate"/>
    </w:r>
    <w:r>
      <w:rPr>
        <w:bCs/>
      </w:rPr>
      <w:t>175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A026">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201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202</w:t>
    </w:r>
    <w:r>
      <w:rPr>
        <w:bCs/>
        <w:sz w:val="24"/>
        <w:szCs w:val="24"/>
      </w:rPr>
      <w:fldChar w:fldCharType="end"/>
    </w:r>
    <w:r>
      <w:rPr>
        <w:b/>
        <w:bCs/>
        <w:sz w:val="24"/>
        <w:szCs w:val="24"/>
      </w:rPr>
      <w:t xml:space="preserve"> </w:t>
    </w:r>
    <w:r>
      <w:rPr>
        <w:rFonts w:hint="eastAsia"/>
      </w:rPr>
      <w:t>页</w:t>
    </w:r>
  </w:p>
  <w:p w14:paraId="42142C2B">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9C317"/>
    <w:multiLevelType w:val="multilevel"/>
    <w:tmpl w:val="8189C317"/>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88186F6"/>
    <w:multiLevelType w:val="multilevel"/>
    <w:tmpl w:val="788186F6"/>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0NDg5OTQ2MGFlN2EyNGU1ZWNjNjc4ZmI5MDlhMTA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317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A6B09"/>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61B2"/>
    <w:rsid w:val="00481AFA"/>
    <w:rsid w:val="0049337D"/>
    <w:rsid w:val="004B093D"/>
    <w:rsid w:val="004B14B8"/>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6349"/>
    <w:rsid w:val="006D479F"/>
    <w:rsid w:val="006E2E51"/>
    <w:rsid w:val="006F4BBB"/>
    <w:rsid w:val="006F6DB2"/>
    <w:rsid w:val="00704B3A"/>
    <w:rsid w:val="00710CF8"/>
    <w:rsid w:val="00711E08"/>
    <w:rsid w:val="007138FD"/>
    <w:rsid w:val="00716BB1"/>
    <w:rsid w:val="007172FD"/>
    <w:rsid w:val="007200C8"/>
    <w:rsid w:val="007215F6"/>
    <w:rsid w:val="00721BAA"/>
    <w:rsid w:val="00737401"/>
    <w:rsid w:val="00745968"/>
    <w:rsid w:val="00747A3E"/>
    <w:rsid w:val="007730C9"/>
    <w:rsid w:val="00775150"/>
    <w:rsid w:val="00776B48"/>
    <w:rsid w:val="0078099D"/>
    <w:rsid w:val="00787DE8"/>
    <w:rsid w:val="007942D8"/>
    <w:rsid w:val="00794983"/>
    <w:rsid w:val="00796ED7"/>
    <w:rsid w:val="007A7740"/>
    <w:rsid w:val="007B00BF"/>
    <w:rsid w:val="007B4F1D"/>
    <w:rsid w:val="007C002A"/>
    <w:rsid w:val="007C024B"/>
    <w:rsid w:val="007C4664"/>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0F88"/>
    <w:rsid w:val="009077A0"/>
    <w:rsid w:val="009113DE"/>
    <w:rsid w:val="00913121"/>
    <w:rsid w:val="009171D5"/>
    <w:rsid w:val="00917709"/>
    <w:rsid w:val="00917C84"/>
    <w:rsid w:val="009220F2"/>
    <w:rsid w:val="009227C1"/>
    <w:rsid w:val="00923EDB"/>
    <w:rsid w:val="00925D9A"/>
    <w:rsid w:val="00926978"/>
    <w:rsid w:val="00932BD9"/>
    <w:rsid w:val="00943742"/>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3EAF"/>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5838"/>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7E60"/>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D28C9"/>
    <w:rsid w:val="015059EE"/>
    <w:rsid w:val="01710365"/>
    <w:rsid w:val="01970CE9"/>
    <w:rsid w:val="01BD616A"/>
    <w:rsid w:val="01D63A04"/>
    <w:rsid w:val="02975DA2"/>
    <w:rsid w:val="02D20623"/>
    <w:rsid w:val="02D34569"/>
    <w:rsid w:val="03211F11"/>
    <w:rsid w:val="0334789D"/>
    <w:rsid w:val="035622D5"/>
    <w:rsid w:val="03E0798B"/>
    <w:rsid w:val="03EA2651"/>
    <w:rsid w:val="03EC461B"/>
    <w:rsid w:val="04274CAC"/>
    <w:rsid w:val="0435036D"/>
    <w:rsid w:val="04403A48"/>
    <w:rsid w:val="04554F55"/>
    <w:rsid w:val="0455554A"/>
    <w:rsid w:val="04D055E9"/>
    <w:rsid w:val="05225564"/>
    <w:rsid w:val="05282AA4"/>
    <w:rsid w:val="056903FC"/>
    <w:rsid w:val="058F7720"/>
    <w:rsid w:val="0592587A"/>
    <w:rsid w:val="065055F6"/>
    <w:rsid w:val="06A75D00"/>
    <w:rsid w:val="06AE2959"/>
    <w:rsid w:val="06D05CDA"/>
    <w:rsid w:val="06E710CA"/>
    <w:rsid w:val="070D455F"/>
    <w:rsid w:val="071426B7"/>
    <w:rsid w:val="071C5217"/>
    <w:rsid w:val="07462FD2"/>
    <w:rsid w:val="07E37E3E"/>
    <w:rsid w:val="08607386"/>
    <w:rsid w:val="08797942"/>
    <w:rsid w:val="087D1CE6"/>
    <w:rsid w:val="08AB7738"/>
    <w:rsid w:val="08AF05F8"/>
    <w:rsid w:val="08E00F81"/>
    <w:rsid w:val="08F33D56"/>
    <w:rsid w:val="09403496"/>
    <w:rsid w:val="0946657C"/>
    <w:rsid w:val="09664528"/>
    <w:rsid w:val="0A097F22"/>
    <w:rsid w:val="0A0D22B5"/>
    <w:rsid w:val="0A171CC6"/>
    <w:rsid w:val="0A51342A"/>
    <w:rsid w:val="0A8B68D1"/>
    <w:rsid w:val="0A911A78"/>
    <w:rsid w:val="0AF54A38"/>
    <w:rsid w:val="0B3C2236"/>
    <w:rsid w:val="0C3952B8"/>
    <w:rsid w:val="0C3F46FB"/>
    <w:rsid w:val="0CCE0066"/>
    <w:rsid w:val="0CEA0AED"/>
    <w:rsid w:val="0DCB6F7B"/>
    <w:rsid w:val="0DF748F5"/>
    <w:rsid w:val="0E774FF5"/>
    <w:rsid w:val="0EF645A0"/>
    <w:rsid w:val="0F037F40"/>
    <w:rsid w:val="0F241091"/>
    <w:rsid w:val="0F2561EC"/>
    <w:rsid w:val="0F370844"/>
    <w:rsid w:val="0F482829"/>
    <w:rsid w:val="0F697A75"/>
    <w:rsid w:val="0F9230D3"/>
    <w:rsid w:val="0FE102BB"/>
    <w:rsid w:val="10230FB4"/>
    <w:rsid w:val="103D33B1"/>
    <w:rsid w:val="108C58F8"/>
    <w:rsid w:val="10B72B6A"/>
    <w:rsid w:val="10BC03C7"/>
    <w:rsid w:val="11094EF4"/>
    <w:rsid w:val="11851182"/>
    <w:rsid w:val="118D5137"/>
    <w:rsid w:val="11CF7AC1"/>
    <w:rsid w:val="1208099D"/>
    <w:rsid w:val="12B46E52"/>
    <w:rsid w:val="12C22B33"/>
    <w:rsid w:val="12D616CB"/>
    <w:rsid w:val="12E32EDE"/>
    <w:rsid w:val="12FE1C75"/>
    <w:rsid w:val="130F4A87"/>
    <w:rsid w:val="131E6243"/>
    <w:rsid w:val="141C0B09"/>
    <w:rsid w:val="14237C67"/>
    <w:rsid w:val="143C0BC9"/>
    <w:rsid w:val="150F3DBE"/>
    <w:rsid w:val="153732D2"/>
    <w:rsid w:val="15820CF9"/>
    <w:rsid w:val="158A77F0"/>
    <w:rsid w:val="15A13C38"/>
    <w:rsid w:val="15E909BB"/>
    <w:rsid w:val="16047038"/>
    <w:rsid w:val="161E3E86"/>
    <w:rsid w:val="16225C7A"/>
    <w:rsid w:val="162E65C0"/>
    <w:rsid w:val="163D1C9C"/>
    <w:rsid w:val="16527416"/>
    <w:rsid w:val="16B60189"/>
    <w:rsid w:val="16BF171B"/>
    <w:rsid w:val="16C115CB"/>
    <w:rsid w:val="16CF5E02"/>
    <w:rsid w:val="16E6367E"/>
    <w:rsid w:val="1706559C"/>
    <w:rsid w:val="171A2056"/>
    <w:rsid w:val="17321A57"/>
    <w:rsid w:val="174A48BA"/>
    <w:rsid w:val="176C0D57"/>
    <w:rsid w:val="177E4989"/>
    <w:rsid w:val="17C05342"/>
    <w:rsid w:val="17E01765"/>
    <w:rsid w:val="182745FA"/>
    <w:rsid w:val="18450EF1"/>
    <w:rsid w:val="19293D73"/>
    <w:rsid w:val="19643BF1"/>
    <w:rsid w:val="19A76BC3"/>
    <w:rsid w:val="1A010EDF"/>
    <w:rsid w:val="1A6920CA"/>
    <w:rsid w:val="1AD559B1"/>
    <w:rsid w:val="1ADD7A62"/>
    <w:rsid w:val="1AE34571"/>
    <w:rsid w:val="1B0940FF"/>
    <w:rsid w:val="1B667448"/>
    <w:rsid w:val="1B8D2C3F"/>
    <w:rsid w:val="1BB76E65"/>
    <w:rsid w:val="1BB84D32"/>
    <w:rsid w:val="1BC27D0F"/>
    <w:rsid w:val="1BEE10DD"/>
    <w:rsid w:val="1C2756DA"/>
    <w:rsid w:val="1C3B7A96"/>
    <w:rsid w:val="1C7A0F4E"/>
    <w:rsid w:val="1C7C1ACE"/>
    <w:rsid w:val="1CBA2D9A"/>
    <w:rsid w:val="1CE011DA"/>
    <w:rsid w:val="1CED5B5F"/>
    <w:rsid w:val="1CF814E3"/>
    <w:rsid w:val="1D16347D"/>
    <w:rsid w:val="1D4A4B12"/>
    <w:rsid w:val="1DB62E2E"/>
    <w:rsid w:val="1E0D0FBE"/>
    <w:rsid w:val="1E753AFD"/>
    <w:rsid w:val="1F5C3FAB"/>
    <w:rsid w:val="1F6F787D"/>
    <w:rsid w:val="1FA30D6D"/>
    <w:rsid w:val="1FEA5A5B"/>
    <w:rsid w:val="20141E2D"/>
    <w:rsid w:val="2035390D"/>
    <w:rsid w:val="207A1985"/>
    <w:rsid w:val="20A41B57"/>
    <w:rsid w:val="20B75F78"/>
    <w:rsid w:val="2125070E"/>
    <w:rsid w:val="212D6B7C"/>
    <w:rsid w:val="216E39A4"/>
    <w:rsid w:val="22055633"/>
    <w:rsid w:val="222907BE"/>
    <w:rsid w:val="223E0DB0"/>
    <w:rsid w:val="22602008"/>
    <w:rsid w:val="227036B8"/>
    <w:rsid w:val="22AD273C"/>
    <w:rsid w:val="22C62CF4"/>
    <w:rsid w:val="22FA4207"/>
    <w:rsid w:val="23A06120"/>
    <w:rsid w:val="23AC3ABD"/>
    <w:rsid w:val="23D1648D"/>
    <w:rsid w:val="246B437F"/>
    <w:rsid w:val="248D5FC1"/>
    <w:rsid w:val="24AA6654"/>
    <w:rsid w:val="25070D37"/>
    <w:rsid w:val="250A3135"/>
    <w:rsid w:val="25127EC9"/>
    <w:rsid w:val="25873916"/>
    <w:rsid w:val="25941224"/>
    <w:rsid w:val="265577FD"/>
    <w:rsid w:val="26AD27CC"/>
    <w:rsid w:val="27223D2C"/>
    <w:rsid w:val="28093668"/>
    <w:rsid w:val="284B0D66"/>
    <w:rsid w:val="286D408E"/>
    <w:rsid w:val="286E02B3"/>
    <w:rsid w:val="28814A83"/>
    <w:rsid w:val="289018A6"/>
    <w:rsid w:val="28AC24C6"/>
    <w:rsid w:val="28CD7B64"/>
    <w:rsid w:val="28DA73F5"/>
    <w:rsid w:val="297B3849"/>
    <w:rsid w:val="298001BF"/>
    <w:rsid w:val="29AE6B2F"/>
    <w:rsid w:val="29BD1AEA"/>
    <w:rsid w:val="2A4276AF"/>
    <w:rsid w:val="2A7B69A9"/>
    <w:rsid w:val="2A947DE8"/>
    <w:rsid w:val="2A9E4307"/>
    <w:rsid w:val="2AEA2DB3"/>
    <w:rsid w:val="2B163BA8"/>
    <w:rsid w:val="2B382728"/>
    <w:rsid w:val="2B5E4C51"/>
    <w:rsid w:val="2B7129F4"/>
    <w:rsid w:val="2BBD2276"/>
    <w:rsid w:val="2BFE33E2"/>
    <w:rsid w:val="2C437642"/>
    <w:rsid w:val="2C4955AF"/>
    <w:rsid w:val="2C892158"/>
    <w:rsid w:val="2CFC2BFE"/>
    <w:rsid w:val="2D4F50B7"/>
    <w:rsid w:val="2D81695F"/>
    <w:rsid w:val="2D89631C"/>
    <w:rsid w:val="2DB149E8"/>
    <w:rsid w:val="2DDB1DA3"/>
    <w:rsid w:val="2DF46565"/>
    <w:rsid w:val="2E2F6C9B"/>
    <w:rsid w:val="2EBD59CF"/>
    <w:rsid w:val="2F071B18"/>
    <w:rsid w:val="2F5A49A3"/>
    <w:rsid w:val="2F646705"/>
    <w:rsid w:val="2FBB4D1E"/>
    <w:rsid w:val="301164E2"/>
    <w:rsid w:val="30AB47A7"/>
    <w:rsid w:val="30FB5744"/>
    <w:rsid w:val="30FD40AA"/>
    <w:rsid w:val="30FD4EC2"/>
    <w:rsid w:val="31126BC0"/>
    <w:rsid w:val="31267AAE"/>
    <w:rsid w:val="31444881"/>
    <w:rsid w:val="314D028A"/>
    <w:rsid w:val="31CA749A"/>
    <w:rsid w:val="31E676C8"/>
    <w:rsid w:val="3202189B"/>
    <w:rsid w:val="320A66A5"/>
    <w:rsid w:val="322F554F"/>
    <w:rsid w:val="32C91500"/>
    <w:rsid w:val="32D27B67"/>
    <w:rsid w:val="334C1F0A"/>
    <w:rsid w:val="33B915C6"/>
    <w:rsid w:val="34237336"/>
    <w:rsid w:val="34266DEB"/>
    <w:rsid w:val="3491604D"/>
    <w:rsid w:val="34A46A8E"/>
    <w:rsid w:val="34AC627E"/>
    <w:rsid w:val="34DE113B"/>
    <w:rsid w:val="34E95E89"/>
    <w:rsid w:val="352805DA"/>
    <w:rsid w:val="355530AA"/>
    <w:rsid w:val="355D42FC"/>
    <w:rsid w:val="355E7835"/>
    <w:rsid w:val="35646712"/>
    <w:rsid w:val="35D13A3C"/>
    <w:rsid w:val="360016DD"/>
    <w:rsid w:val="361000EE"/>
    <w:rsid w:val="3623361D"/>
    <w:rsid w:val="364631D7"/>
    <w:rsid w:val="3688292B"/>
    <w:rsid w:val="36890EF7"/>
    <w:rsid w:val="368928C2"/>
    <w:rsid w:val="36C86BF9"/>
    <w:rsid w:val="36DB257F"/>
    <w:rsid w:val="36E0506A"/>
    <w:rsid w:val="36E55870"/>
    <w:rsid w:val="36FA3F13"/>
    <w:rsid w:val="374D1701"/>
    <w:rsid w:val="37623CD1"/>
    <w:rsid w:val="37850378"/>
    <w:rsid w:val="37D51F88"/>
    <w:rsid w:val="38065969"/>
    <w:rsid w:val="380E11B5"/>
    <w:rsid w:val="38224438"/>
    <w:rsid w:val="385578DD"/>
    <w:rsid w:val="389E4A58"/>
    <w:rsid w:val="38CA6DC7"/>
    <w:rsid w:val="38F00B77"/>
    <w:rsid w:val="390B0C5E"/>
    <w:rsid w:val="39684950"/>
    <w:rsid w:val="39A34800"/>
    <w:rsid w:val="39B57C6A"/>
    <w:rsid w:val="39DF350D"/>
    <w:rsid w:val="3A025137"/>
    <w:rsid w:val="3A0D3672"/>
    <w:rsid w:val="3A940645"/>
    <w:rsid w:val="3AA77E3B"/>
    <w:rsid w:val="3AB03A41"/>
    <w:rsid w:val="3AC86541"/>
    <w:rsid w:val="3B1F29B6"/>
    <w:rsid w:val="3B443718"/>
    <w:rsid w:val="3BA71F2B"/>
    <w:rsid w:val="3C234450"/>
    <w:rsid w:val="3C633344"/>
    <w:rsid w:val="3D060D95"/>
    <w:rsid w:val="3D246484"/>
    <w:rsid w:val="3D604F23"/>
    <w:rsid w:val="3D9E13E7"/>
    <w:rsid w:val="3DBA6D6D"/>
    <w:rsid w:val="3E375EB7"/>
    <w:rsid w:val="3E9B4320"/>
    <w:rsid w:val="3EBA2645"/>
    <w:rsid w:val="3EF83BC6"/>
    <w:rsid w:val="3F5B255F"/>
    <w:rsid w:val="3F6F1E30"/>
    <w:rsid w:val="3F8213B4"/>
    <w:rsid w:val="3FB72902"/>
    <w:rsid w:val="40550877"/>
    <w:rsid w:val="40DC5A18"/>
    <w:rsid w:val="40EB41E2"/>
    <w:rsid w:val="41410D52"/>
    <w:rsid w:val="415305A0"/>
    <w:rsid w:val="4183060E"/>
    <w:rsid w:val="41863429"/>
    <w:rsid w:val="41CA0DF1"/>
    <w:rsid w:val="41F4275B"/>
    <w:rsid w:val="42083B1B"/>
    <w:rsid w:val="424F13FD"/>
    <w:rsid w:val="42BC0B52"/>
    <w:rsid w:val="42E6560B"/>
    <w:rsid w:val="43B50E83"/>
    <w:rsid w:val="4482063F"/>
    <w:rsid w:val="44A27BED"/>
    <w:rsid w:val="44C45FCB"/>
    <w:rsid w:val="44C77AAC"/>
    <w:rsid w:val="456C22D6"/>
    <w:rsid w:val="459D251C"/>
    <w:rsid w:val="45DA7613"/>
    <w:rsid w:val="45EC0586"/>
    <w:rsid w:val="460320FD"/>
    <w:rsid w:val="4687710A"/>
    <w:rsid w:val="46E22723"/>
    <w:rsid w:val="475573AE"/>
    <w:rsid w:val="476F0470"/>
    <w:rsid w:val="478101A3"/>
    <w:rsid w:val="47B656EC"/>
    <w:rsid w:val="47D13163"/>
    <w:rsid w:val="482A4397"/>
    <w:rsid w:val="48EC035B"/>
    <w:rsid w:val="490715C7"/>
    <w:rsid w:val="49172B6D"/>
    <w:rsid w:val="492E0DFE"/>
    <w:rsid w:val="49313AF9"/>
    <w:rsid w:val="4931445C"/>
    <w:rsid w:val="4933371F"/>
    <w:rsid w:val="49514A8C"/>
    <w:rsid w:val="49900B72"/>
    <w:rsid w:val="49A11F60"/>
    <w:rsid w:val="4A010F2E"/>
    <w:rsid w:val="4A1A5044"/>
    <w:rsid w:val="4A224AAB"/>
    <w:rsid w:val="4A3E05CE"/>
    <w:rsid w:val="4A977611"/>
    <w:rsid w:val="4AC578F8"/>
    <w:rsid w:val="4ACF1226"/>
    <w:rsid w:val="4B3E33A3"/>
    <w:rsid w:val="4B641F01"/>
    <w:rsid w:val="4BB01057"/>
    <w:rsid w:val="4BBB3648"/>
    <w:rsid w:val="4BC8467F"/>
    <w:rsid w:val="4BE42812"/>
    <w:rsid w:val="4C0513A3"/>
    <w:rsid w:val="4C0D2006"/>
    <w:rsid w:val="4CCE2A6C"/>
    <w:rsid w:val="4CCF375F"/>
    <w:rsid w:val="4CFB049C"/>
    <w:rsid w:val="4CFE53E3"/>
    <w:rsid w:val="4D06388C"/>
    <w:rsid w:val="4D1203EE"/>
    <w:rsid w:val="4D267823"/>
    <w:rsid w:val="4D9D6E87"/>
    <w:rsid w:val="4DFD4457"/>
    <w:rsid w:val="4E6B5986"/>
    <w:rsid w:val="4E8924B7"/>
    <w:rsid w:val="4ED82D9F"/>
    <w:rsid w:val="4F0A4599"/>
    <w:rsid w:val="4F177B13"/>
    <w:rsid w:val="4F1B4F8F"/>
    <w:rsid w:val="4F581B68"/>
    <w:rsid w:val="4F5F72FE"/>
    <w:rsid w:val="4F9662AF"/>
    <w:rsid w:val="4FE17411"/>
    <w:rsid w:val="4FE63648"/>
    <w:rsid w:val="4FF954B0"/>
    <w:rsid w:val="501036E9"/>
    <w:rsid w:val="503B1D58"/>
    <w:rsid w:val="5105515C"/>
    <w:rsid w:val="512A47D7"/>
    <w:rsid w:val="514C7451"/>
    <w:rsid w:val="515D7E0E"/>
    <w:rsid w:val="51964EBE"/>
    <w:rsid w:val="51DD7ACF"/>
    <w:rsid w:val="51E33768"/>
    <w:rsid w:val="528B5F99"/>
    <w:rsid w:val="52F368EA"/>
    <w:rsid w:val="5314221C"/>
    <w:rsid w:val="53624CAE"/>
    <w:rsid w:val="53CE7CE3"/>
    <w:rsid w:val="53DF5D8C"/>
    <w:rsid w:val="54196C13"/>
    <w:rsid w:val="54615848"/>
    <w:rsid w:val="546926EB"/>
    <w:rsid w:val="54F06565"/>
    <w:rsid w:val="55461CD0"/>
    <w:rsid w:val="55562C6F"/>
    <w:rsid w:val="559A0800"/>
    <w:rsid w:val="55BD2CEE"/>
    <w:rsid w:val="562C4293"/>
    <w:rsid w:val="567012E7"/>
    <w:rsid w:val="56876E58"/>
    <w:rsid w:val="56B37004"/>
    <w:rsid w:val="56E6127C"/>
    <w:rsid w:val="571B04AD"/>
    <w:rsid w:val="57392849"/>
    <w:rsid w:val="576A47B0"/>
    <w:rsid w:val="578E3178"/>
    <w:rsid w:val="57C739B1"/>
    <w:rsid w:val="57F75816"/>
    <w:rsid w:val="580659AE"/>
    <w:rsid w:val="589477E8"/>
    <w:rsid w:val="589C308F"/>
    <w:rsid w:val="592B73FA"/>
    <w:rsid w:val="59367EC7"/>
    <w:rsid w:val="59633BAD"/>
    <w:rsid w:val="59FB128F"/>
    <w:rsid w:val="5A0B7CD0"/>
    <w:rsid w:val="5A455D9B"/>
    <w:rsid w:val="5A8E6A07"/>
    <w:rsid w:val="5AA72721"/>
    <w:rsid w:val="5AE60011"/>
    <w:rsid w:val="5B37709F"/>
    <w:rsid w:val="5BB0235D"/>
    <w:rsid w:val="5BE12FA3"/>
    <w:rsid w:val="5BE37C7D"/>
    <w:rsid w:val="5C4D6613"/>
    <w:rsid w:val="5C917C8F"/>
    <w:rsid w:val="5C936557"/>
    <w:rsid w:val="5D52369F"/>
    <w:rsid w:val="5D7E0FB5"/>
    <w:rsid w:val="5D8866EC"/>
    <w:rsid w:val="5D967CCA"/>
    <w:rsid w:val="5D9B2DBB"/>
    <w:rsid w:val="5DAE1741"/>
    <w:rsid w:val="5E3E0B9A"/>
    <w:rsid w:val="5EBF421E"/>
    <w:rsid w:val="5FE73417"/>
    <w:rsid w:val="60011A2A"/>
    <w:rsid w:val="600E5712"/>
    <w:rsid w:val="605B6755"/>
    <w:rsid w:val="608F64D8"/>
    <w:rsid w:val="60974DF7"/>
    <w:rsid w:val="60F8107F"/>
    <w:rsid w:val="621A4CCD"/>
    <w:rsid w:val="62297FF7"/>
    <w:rsid w:val="62716746"/>
    <w:rsid w:val="62B13874"/>
    <w:rsid w:val="62C57A58"/>
    <w:rsid w:val="62D943E0"/>
    <w:rsid w:val="62F647CF"/>
    <w:rsid w:val="635A1B7D"/>
    <w:rsid w:val="63672753"/>
    <w:rsid w:val="6372336A"/>
    <w:rsid w:val="638E0D2F"/>
    <w:rsid w:val="63AD0583"/>
    <w:rsid w:val="64632CB3"/>
    <w:rsid w:val="64786EB7"/>
    <w:rsid w:val="64A010A4"/>
    <w:rsid w:val="64D651F4"/>
    <w:rsid w:val="653B5B23"/>
    <w:rsid w:val="657E2BA4"/>
    <w:rsid w:val="65E62E7A"/>
    <w:rsid w:val="6651045E"/>
    <w:rsid w:val="66EC7F6C"/>
    <w:rsid w:val="66F2338B"/>
    <w:rsid w:val="67402739"/>
    <w:rsid w:val="67BB5990"/>
    <w:rsid w:val="67F105D6"/>
    <w:rsid w:val="681A3036"/>
    <w:rsid w:val="68DB72BC"/>
    <w:rsid w:val="68F13272"/>
    <w:rsid w:val="690A5DF3"/>
    <w:rsid w:val="691E27F7"/>
    <w:rsid w:val="69683870"/>
    <w:rsid w:val="699110D7"/>
    <w:rsid w:val="69EC5DE8"/>
    <w:rsid w:val="69F452BC"/>
    <w:rsid w:val="69F85BB3"/>
    <w:rsid w:val="6A210462"/>
    <w:rsid w:val="6A241D9D"/>
    <w:rsid w:val="6A942593"/>
    <w:rsid w:val="6AAD178D"/>
    <w:rsid w:val="6AB73874"/>
    <w:rsid w:val="6B7439F8"/>
    <w:rsid w:val="6B863082"/>
    <w:rsid w:val="6BA14108"/>
    <w:rsid w:val="6BFF7765"/>
    <w:rsid w:val="6C12075B"/>
    <w:rsid w:val="6C33653A"/>
    <w:rsid w:val="6C567ACE"/>
    <w:rsid w:val="6C5F620F"/>
    <w:rsid w:val="6C762F3B"/>
    <w:rsid w:val="6CC649E7"/>
    <w:rsid w:val="6D27431E"/>
    <w:rsid w:val="6D593B65"/>
    <w:rsid w:val="6DC2298A"/>
    <w:rsid w:val="6DDA5CDD"/>
    <w:rsid w:val="6E661C4B"/>
    <w:rsid w:val="6E737F96"/>
    <w:rsid w:val="6EB570F1"/>
    <w:rsid w:val="6EB74327"/>
    <w:rsid w:val="6EF54E4F"/>
    <w:rsid w:val="6F5F71DE"/>
    <w:rsid w:val="6F77163A"/>
    <w:rsid w:val="6FC4095F"/>
    <w:rsid w:val="6FFD4727"/>
    <w:rsid w:val="7016507D"/>
    <w:rsid w:val="70553DF8"/>
    <w:rsid w:val="707D1C40"/>
    <w:rsid w:val="7086127D"/>
    <w:rsid w:val="70C943AC"/>
    <w:rsid w:val="70F45895"/>
    <w:rsid w:val="711D41EA"/>
    <w:rsid w:val="713B2DF3"/>
    <w:rsid w:val="717958C4"/>
    <w:rsid w:val="71EF23D9"/>
    <w:rsid w:val="724A45D8"/>
    <w:rsid w:val="72603664"/>
    <w:rsid w:val="728313C6"/>
    <w:rsid w:val="72AA0928"/>
    <w:rsid w:val="73597B32"/>
    <w:rsid w:val="7362231C"/>
    <w:rsid w:val="73A409FB"/>
    <w:rsid w:val="73A66718"/>
    <w:rsid w:val="74177616"/>
    <w:rsid w:val="742F670E"/>
    <w:rsid w:val="7441037B"/>
    <w:rsid w:val="745028BB"/>
    <w:rsid w:val="74825555"/>
    <w:rsid w:val="750648B2"/>
    <w:rsid w:val="751D3132"/>
    <w:rsid w:val="75CF1E94"/>
    <w:rsid w:val="764E578E"/>
    <w:rsid w:val="766975F4"/>
    <w:rsid w:val="76AE7BE8"/>
    <w:rsid w:val="76B146A9"/>
    <w:rsid w:val="76B37127"/>
    <w:rsid w:val="76D14890"/>
    <w:rsid w:val="771F0CBB"/>
    <w:rsid w:val="77281627"/>
    <w:rsid w:val="773C1CB6"/>
    <w:rsid w:val="77A2369A"/>
    <w:rsid w:val="783B7DD5"/>
    <w:rsid w:val="78930E2C"/>
    <w:rsid w:val="78C22246"/>
    <w:rsid w:val="78E53565"/>
    <w:rsid w:val="78FD1E3E"/>
    <w:rsid w:val="790D22C6"/>
    <w:rsid w:val="796C6890"/>
    <w:rsid w:val="79F24465"/>
    <w:rsid w:val="79F44E2E"/>
    <w:rsid w:val="79FE1940"/>
    <w:rsid w:val="7A087E4F"/>
    <w:rsid w:val="7A287E87"/>
    <w:rsid w:val="7A2F68BA"/>
    <w:rsid w:val="7A4831E2"/>
    <w:rsid w:val="7A583B2A"/>
    <w:rsid w:val="7A5E1AFB"/>
    <w:rsid w:val="7A666C01"/>
    <w:rsid w:val="7A6D7F90"/>
    <w:rsid w:val="7ADD216B"/>
    <w:rsid w:val="7AE40AEA"/>
    <w:rsid w:val="7AEC35AA"/>
    <w:rsid w:val="7B705F89"/>
    <w:rsid w:val="7B8F3F36"/>
    <w:rsid w:val="7B96103C"/>
    <w:rsid w:val="7BBA49A3"/>
    <w:rsid w:val="7BD008BB"/>
    <w:rsid w:val="7BDC53CD"/>
    <w:rsid w:val="7C093CE8"/>
    <w:rsid w:val="7C69271F"/>
    <w:rsid w:val="7C7F6AF7"/>
    <w:rsid w:val="7C9931A2"/>
    <w:rsid w:val="7CE7709B"/>
    <w:rsid w:val="7D052D9F"/>
    <w:rsid w:val="7D630A43"/>
    <w:rsid w:val="7D6457E7"/>
    <w:rsid w:val="7D990506"/>
    <w:rsid w:val="7EC1023D"/>
    <w:rsid w:val="7EF36664"/>
    <w:rsid w:val="7EFB200E"/>
    <w:rsid w:val="7F1B5BE6"/>
    <w:rsid w:val="7F370B6C"/>
    <w:rsid w:val="7F5F6799"/>
    <w:rsid w:val="7F6C4CBA"/>
    <w:rsid w:val="7FCA0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9"/>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7"/>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3"/>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9"/>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4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51"/>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62"/>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10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autoRedefine/>
    <w:unhideWhenUsed/>
    <w:qFormat/>
    <w:uiPriority w:val="39"/>
    <w:pPr>
      <w:ind w:left="2520" w:leftChars="1200"/>
    </w:p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92"/>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72"/>
    <w:autoRedefine/>
    <w:unhideWhenUsed/>
    <w:qFormat/>
    <w:uiPriority w:val="99"/>
    <w:pPr>
      <w:jc w:val="left"/>
    </w:pPr>
    <w:rPr>
      <w:rFonts w:hint="eastAsia" w:ascii="等线" w:hAnsi="等线" w:eastAsia="等线" w:cs="Times New Roman"/>
    </w:rPr>
  </w:style>
  <w:style w:type="paragraph" w:styleId="18">
    <w:name w:val="Body Text 3"/>
    <w:basedOn w:val="1"/>
    <w:link w:val="16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1"/>
    <w:link w:val="127"/>
    <w:autoRedefine/>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link w:val="101"/>
    <w:autoRedefine/>
    <w:qFormat/>
    <w:uiPriority w:val="0"/>
    <w:pPr>
      <w:ind w:left="567" w:leftChars="270"/>
    </w:pPr>
    <w:rPr>
      <w:rFonts w:ascii="Times New Roman" w:hAnsi="Times New Roman" w:eastAsia="宋体" w:cs="Times New Roman"/>
      <w:szCs w:val="20"/>
    </w:rPr>
  </w:style>
  <w:style w:type="paragraph" w:styleId="21">
    <w:name w:val="toc 5"/>
    <w:basedOn w:val="1"/>
    <w:next w:val="1"/>
    <w:autoRedefine/>
    <w:unhideWhenUsed/>
    <w:qFormat/>
    <w:uiPriority w:val="39"/>
    <w:pPr>
      <w:ind w:left="1680" w:leftChars="800"/>
    </w:pPr>
  </w:style>
  <w:style w:type="paragraph" w:styleId="22">
    <w:name w:val="toc 3"/>
    <w:basedOn w:val="1"/>
    <w:next w:val="1"/>
    <w:autoRedefine/>
    <w:unhideWhenUsed/>
    <w:qFormat/>
    <w:uiPriority w:val="39"/>
    <w:pPr>
      <w:tabs>
        <w:tab w:val="right" w:leader="dot" w:pos="10144"/>
      </w:tabs>
      <w:ind w:left="840" w:leftChars="400"/>
    </w:pPr>
  </w:style>
  <w:style w:type="paragraph" w:styleId="23">
    <w:name w:val="Plain Text"/>
    <w:basedOn w:val="1"/>
    <w:link w:val="109"/>
    <w:autoRedefine/>
    <w:qFormat/>
    <w:uiPriority w:val="0"/>
    <w:rPr>
      <w:rFonts w:ascii="宋体" w:hAnsi="Courier New" w:eastAsia="宋体"/>
    </w:rPr>
  </w:style>
  <w:style w:type="paragraph" w:styleId="24">
    <w:name w:val="toc 8"/>
    <w:basedOn w:val="1"/>
    <w:next w:val="1"/>
    <w:autoRedefine/>
    <w:unhideWhenUsed/>
    <w:qFormat/>
    <w:uiPriority w:val="39"/>
    <w:pPr>
      <w:ind w:left="2940" w:leftChars="1400"/>
    </w:pPr>
  </w:style>
  <w:style w:type="paragraph" w:styleId="25">
    <w:name w:val="Date"/>
    <w:basedOn w:val="1"/>
    <w:next w:val="1"/>
    <w:link w:val="11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110"/>
    <w:autoRedefine/>
    <w:qFormat/>
    <w:uiPriority w:val="0"/>
    <w:pPr>
      <w:tabs>
        <w:tab w:val="left" w:pos="8640"/>
      </w:tabs>
      <w:ind w:left="1260"/>
    </w:pPr>
    <w:rPr>
      <w:rFonts w:ascii="宋体" w:hAnsi="Times New Roman" w:eastAsia="宋体" w:cs="Times New Roman"/>
      <w:szCs w:val="20"/>
    </w:rPr>
  </w:style>
  <w:style w:type="paragraph" w:styleId="27">
    <w:name w:val="Balloon Text"/>
    <w:basedOn w:val="1"/>
    <w:link w:val="83"/>
    <w:autoRedefine/>
    <w:qFormat/>
    <w:uiPriority w:val="0"/>
    <w:rPr>
      <w:rFonts w:ascii="Times New Roman" w:hAnsi="Times New Roman" w:eastAsia="宋体" w:cs="Times New Roman"/>
      <w:sz w:val="18"/>
      <w:szCs w:val="18"/>
    </w:rPr>
  </w:style>
  <w:style w:type="paragraph" w:styleId="28">
    <w:name w:val="footer"/>
    <w:basedOn w:val="1"/>
    <w:link w:val="212"/>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12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autoRedefine/>
    <w:unhideWhenUsed/>
    <w:qFormat/>
    <w:uiPriority w:val="39"/>
  </w:style>
  <w:style w:type="paragraph" w:styleId="31">
    <w:name w:val="toc 4"/>
    <w:basedOn w:val="1"/>
    <w:next w:val="1"/>
    <w:autoRedefine/>
    <w:unhideWhenUsed/>
    <w:qFormat/>
    <w:uiPriority w:val="39"/>
    <w:pPr>
      <w:ind w:left="1260" w:leftChars="600"/>
    </w:pPr>
  </w:style>
  <w:style w:type="paragraph" w:styleId="32">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3">
    <w:name w:val="toc 6"/>
    <w:basedOn w:val="1"/>
    <w:next w:val="1"/>
    <w:autoRedefine/>
    <w:unhideWhenUsed/>
    <w:qFormat/>
    <w:uiPriority w:val="39"/>
    <w:pPr>
      <w:ind w:left="2100" w:leftChars="1000"/>
    </w:pPr>
  </w:style>
  <w:style w:type="paragraph" w:styleId="34">
    <w:name w:val="Body Text Indent 3"/>
    <w:basedOn w:val="1"/>
    <w:link w:val="16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5">
    <w:name w:val="toc 2"/>
    <w:basedOn w:val="1"/>
    <w:next w:val="1"/>
    <w:autoRedefine/>
    <w:unhideWhenUsed/>
    <w:qFormat/>
    <w:uiPriority w:val="39"/>
    <w:pPr>
      <w:ind w:left="420" w:leftChars="200"/>
    </w:pPr>
  </w:style>
  <w:style w:type="paragraph" w:styleId="36">
    <w:name w:val="toc 9"/>
    <w:basedOn w:val="1"/>
    <w:next w:val="1"/>
    <w:autoRedefine/>
    <w:unhideWhenUsed/>
    <w:qFormat/>
    <w:uiPriority w:val="39"/>
    <w:pPr>
      <w:ind w:left="3360" w:leftChars="1600"/>
    </w:pPr>
  </w:style>
  <w:style w:type="paragraph" w:styleId="37">
    <w:name w:val="Body Text 2"/>
    <w:basedOn w:val="1"/>
    <w:link w:val="152"/>
    <w:autoRedefine/>
    <w:qFormat/>
    <w:uiPriority w:val="0"/>
    <w:pPr>
      <w:tabs>
        <w:tab w:val="left" w:pos="0"/>
      </w:tabs>
      <w:spacing w:line="400" w:lineRule="atLeast"/>
    </w:pPr>
    <w:rPr>
      <w:rFonts w:ascii="Arial" w:hAnsi="Arial" w:eastAsia="宋体" w:cs="Times New Roman"/>
      <w:color w:val="000000"/>
      <w:szCs w:val="24"/>
    </w:rPr>
  </w:style>
  <w:style w:type="paragraph" w:styleId="38">
    <w:name w:val="HTML Preformatted"/>
    <w:basedOn w:val="1"/>
    <w:link w:val="9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9">
    <w:name w:val="Normal (Web)"/>
    <w:basedOn w:val="1"/>
    <w:link w:val="102"/>
    <w:autoRedefine/>
    <w:qFormat/>
    <w:uiPriority w:val="0"/>
    <w:pPr>
      <w:widowControl/>
      <w:spacing w:before="100" w:beforeAutospacing="1" w:after="100" w:afterAutospacing="1"/>
      <w:jc w:val="left"/>
    </w:pPr>
    <w:rPr>
      <w:rFonts w:ascii="宋体" w:hAnsi="宋体"/>
      <w:sz w:val="15"/>
      <w:szCs w:val="15"/>
    </w:rPr>
  </w:style>
  <w:style w:type="paragraph" w:styleId="40">
    <w:name w:val="Title"/>
    <w:basedOn w:val="1"/>
    <w:next w:val="1"/>
    <w:link w:val="67"/>
    <w:autoRedefine/>
    <w:qFormat/>
    <w:uiPriority w:val="10"/>
    <w:pPr>
      <w:spacing w:before="120" w:after="60" w:line="300" w:lineRule="auto"/>
      <w:jc w:val="left"/>
      <w:outlineLvl w:val="0"/>
    </w:pPr>
    <w:rPr>
      <w:rFonts w:ascii="等线 Light" w:hAnsi="等线 Light" w:eastAsia="仿宋"/>
      <w:b/>
      <w:bCs/>
      <w:sz w:val="28"/>
      <w:szCs w:val="32"/>
    </w:rPr>
  </w:style>
  <w:style w:type="paragraph" w:styleId="41">
    <w:name w:val="annotation subject"/>
    <w:basedOn w:val="17"/>
    <w:next w:val="17"/>
    <w:link w:val="119"/>
    <w:autoRedefine/>
    <w:qFormat/>
    <w:uiPriority w:val="99"/>
    <w:pPr>
      <w:autoSpaceDE w:val="0"/>
      <w:autoSpaceDN w:val="0"/>
      <w:adjustRightInd w:val="0"/>
    </w:pPr>
    <w:rPr>
      <w:rFonts w:ascii="宋体" w:hAnsi="Times New Roman" w:eastAsia="宋体"/>
      <w:b/>
      <w:bCs/>
      <w:kern w:val="0"/>
      <w:sz w:val="24"/>
      <w:szCs w:val="24"/>
    </w:rPr>
  </w:style>
  <w:style w:type="paragraph" w:styleId="42">
    <w:name w:val="Body Text First Indent"/>
    <w:basedOn w:val="19"/>
    <w:link w:val="210"/>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3">
    <w:name w:val="Body Text First Indent 2"/>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45">
    <w:name w:val="Table Grid"/>
    <w:basedOn w:val="44"/>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b/>
      <w:bCs/>
    </w:rPr>
  </w:style>
  <w:style w:type="character" w:styleId="48">
    <w:name w:val="page number"/>
    <w:basedOn w:val="46"/>
    <w:qFormat/>
    <w:uiPriority w:val="0"/>
  </w:style>
  <w:style w:type="character" w:styleId="49">
    <w:name w:val="FollowedHyperlink"/>
    <w:autoRedefine/>
    <w:unhideWhenUsed/>
    <w:qFormat/>
    <w:uiPriority w:val="99"/>
    <w:rPr>
      <w:color w:val="954F72"/>
      <w:u w:val="single"/>
    </w:rPr>
  </w:style>
  <w:style w:type="character" w:styleId="50">
    <w:name w:val="Emphasis"/>
    <w:autoRedefine/>
    <w:qFormat/>
    <w:uiPriority w:val="0"/>
    <w:rPr>
      <w:i/>
      <w:iCs/>
    </w:rPr>
  </w:style>
  <w:style w:type="character" w:styleId="51">
    <w:name w:val="Hyperlink"/>
    <w:autoRedefine/>
    <w:qFormat/>
    <w:uiPriority w:val="99"/>
    <w:rPr>
      <w:rFonts w:hint="default" w:ascii="Arial" w:hAnsi="Arial" w:cs="Arial"/>
      <w:color w:val="000000"/>
      <w:sz w:val="20"/>
      <w:szCs w:val="20"/>
      <w:u w:val="none"/>
    </w:rPr>
  </w:style>
  <w:style w:type="character" w:styleId="52">
    <w:name w:val="HTML Code"/>
    <w:basedOn w:val="46"/>
    <w:semiHidden/>
    <w:unhideWhenUsed/>
    <w:qFormat/>
    <w:uiPriority w:val="99"/>
    <w:rPr>
      <w:rFonts w:ascii="Courier New" w:hAnsi="Courier New"/>
      <w:sz w:val="20"/>
    </w:rPr>
  </w:style>
  <w:style w:type="character" w:styleId="53">
    <w:name w:val="annotation reference"/>
    <w:basedOn w:val="46"/>
    <w:autoRedefine/>
    <w:qFormat/>
    <w:uiPriority w:val="99"/>
    <w:rPr>
      <w:sz w:val="21"/>
      <w:szCs w:val="21"/>
    </w:rPr>
  </w:style>
  <w:style w:type="paragraph" w:customStyle="1" w:styleId="54">
    <w:name w:val="文档正文"/>
    <w:basedOn w:val="1"/>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jc w:val="left"/>
    </w:pPr>
    <w:rPr>
      <w:rFonts w:hint="eastAsia" w:ascii="宋体" w:hAnsi="Times New Roman" w:eastAsia="宋体" w:cs="Arial"/>
      <w:bCs/>
      <w:kern w:val="0"/>
      <w:sz w:val="24"/>
      <w:szCs w:val="24"/>
      <w:lang w:val="en-US" w:eastAsia="zh-CN" w:bidi="ar"/>
    </w:rPr>
  </w:style>
  <w:style w:type="paragraph" w:customStyle="1" w:styleId="55">
    <w:name w:val="首行缩进"/>
    <w:basedOn w:val="1"/>
    <w:autoRedefine/>
    <w:qFormat/>
    <w:uiPriority w:val="0"/>
    <w:pPr>
      <w:ind w:firstLine="480" w:firstLineChars="200"/>
    </w:pPr>
    <w:rPr>
      <w:lang w:val="zh-CN"/>
    </w:rPr>
  </w:style>
  <w:style w:type="character" w:customStyle="1" w:styleId="56">
    <w:name w:val="标题 1 字符"/>
    <w:basedOn w:val="46"/>
    <w:autoRedefine/>
    <w:qFormat/>
    <w:uiPriority w:val="0"/>
    <w:rPr>
      <w:b/>
      <w:bCs/>
      <w:kern w:val="44"/>
      <w:sz w:val="44"/>
      <w:szCs w:val="44"/>
    </w:rPr>
  </w:style>
  <w:style w:type="character" w:customStyle="1" w:styleId="57">
    <w:name w:val="标题 2 字符"/>
    <w:basedOn w:val="46"/>
    <w:link w:val="3"/>
    <w:autoRedefine/>
    <w:qFormat/>
    <w:uiPriority w:val="0"/>
    <w:rPr>
      <w:rFonts w:ascii="宋体" w:hAnsi="Calibri" w:eastAsia="宋体" w:cs="Times New Roman"/>
      <w:kern w:val="0"/>
      <w:sz w:val="24"/>
      <w:szCs w:val="24"/>
    </w:rPr>
  </w:style>
  <w:style w:type="character" w:customStyle="1" w:styleId="58">
    <w:name w:val="标题 3 字符"/>
    <w:basedOn w:val="46"/>
    <w:autoRedefine/>
    <w:qFormat/>
    <w:uiPriority w:val="0"/>
    <w:rPr>
      <w:b/>
      <w:bCs/>
      <w:sz w:val="32"/>
      <w:szCs w:val="32"/>
    </w:rPr>
  </w:style>
  <w:style w:type="character" w:customStyle="1" w:styleId="59">
    <w:name w:val="标题 4 字符"/>
    <w:basedOn w:val="46"/>
    <w:link w:val="5"/>
    <w:autoRedefine/>
    <w:qFormat/>
    <w:uiPriority w:val="9"/>
    <w:rPr>
      <w:rFonts w:ascii="Arial" w:hAnsi="Arial" w:eastAsia="黑体" w:cs="Times New Roman"/>
      <w:b/>
      <w:bCs/>
      <w:kern w:val="0"/>
      <w:sz w:val="28"/>
      <w:szCs w:val="28"/>
    </w:rPr>
  </w:style>
  <w:style w:type="character" w:customStyle="1" w:styleId="60">
    <w:name w:val="标题 5 字符"/>
    <w:basedOn w:val="46"/>
    <w:autoRedefine/>
    <w:qFormat/>
    <w:uiPriority w:val="9"/>
    <w:rPr>
      <w:b/>
      <w:bCs/>
      <w:sz w:val="28"/>
      <w:szCs w:val="28"/>
    </w:rPr>
  </w:style>
  <w:style w:type="character" w:customStyle="1" w:styleId="61">
    <w:name w:val="标题 6 字符"/>
    <w:basedOn w:val="46"/>
    <w:autoRedefine/>
    <w:qFormat/>
    <w:uiPriority w:val="0"/>
    <w:rPr>
      <w:rFonts w:asciiTheme="majorHAnsi" w:hAnsiTheme="majorHAnsi" w:eastAsiaTheme="majorEastAsia" w:cstheme="majorBidi"/>
      <w:b/>
      <w:bCs/>
      <w:sz w:val="24"/>
      <w:szCs w:val="24"/>
    </w:rPr>
  </w:style>
  <w:style w:type="character" w:customStyle="1" w:styleId="62">
    <w:name w:val="标题 7 字符"/>
    <w:basedOn w:val="46"/>
    <w:link w:val="9"/>
    <w:autoRedefine/>
    <w:qFormat/>
    <w:uiPriority w:val="9"/>
    <w:rPr>
      <w:rFonts w:ascii="Times New Roman" w:hAnsi="Calibri" w:eastAsia="黑体" w:cs="Times New Roman"/>
      <w:b/>
      <w:bCs/>
      <w:kern w:val="0"/>
      <w:sz w:val="28"/>
      <w:szCs w:val="24"/>
    </w:rPr>
  </w:style>
  <w:style w:type="character" w:customStyle="1" w:styleId="63">
    <w:name w:val="标题 8 字符"/>
    <w:basedOn w:val="46"/>
    <w:link w:val="10"/>
    <w:autoRedefine/>
    <w:qFormat/>
    <w:uiPriority w:val="9"/>
    <w:rPr>
      <w:rFonts w:ascii="Times New Roman" w:hAnsi="Calibri" w:eastAsia="黑体" w:cs="Times New Roman"/>
      <w:b/>
      <w:kern w:val="0"/>
      <w:sz w:val="28"/>
      <w:szCs w:val="24"/>
    </w:rPr>
  </w:style>
  <w:style w:type="character" w:customStyle="1" w:styleId="64">
    <w:name w:val="标题 9 字符"/>
    <w:basedOn w:val="46"/>
    <w:link w:val="11"/>
    <w:autoRedefine/>
    <w:qFormat/>
    <w:uiPriority w:val="9"/>
    <w:rPr>
      <w:rFonts w:ascii="Times New Roman" w:hAnsi="Calibri" w:eastAsia="黑体" w:cs="Times New Roman"/>
      <w:b/>
      <w:kern w:val="0"/>
      <w:sz w:val="28"/>
      <w:szCs w:val="24"/>
    </w:rPr>
  </w:style>
  <w:style w:type="character" w:customStyle="1" w:styleId="65">
    <w:name w:val="正文文本缩进 字符"/>
    <w:autoRedefine/>
    <w:qFormat/>
    <w:uiPriority w:val="0"/>
    <w:rPr>
      <w:rFonts w:ascii="Times New Roman" w:hAnsi="Times New Roman" w:eastAsia="宋体" w:cs="Times New Roman"/>
      <w:szCs w:val="20"/>
    </w:rPr>
  </w:style>
  <w:style w:type="character" w:customStyle="1" w:styleId="66">
    <w:name w:val="普通(网站) Char"/>
    <w:autoRedefine/>
    <w:qFormat/>
    <w:locked/>
    <w:uiPriority w:val="0"/>
    <w:rPr>
      <w:rFonts w:ascii="宋体" w:hAnsi="宋体"/>
      <w:sz w:val="15"/>
      <w:szCs w:val="15"/>
    </w:rPr>
  </w:style>
  <w:style w:type="character" w:customStyle="1" w:styleId="67">
    <w:name w:val="标题 字符1"/>
    <w:link w:val="40"/>
    <w:autoRedefine/>
    <w:qFormat/>
    <w:uiPriority w:val="10"/>
    <w:rPr>
      <w:rFonts w:ascii="等线 Light" w:hAnsi="等线 Light" w:eastAsia="仿宋"/>
      <w:b/>
      <w:bCs/>
      <w:sz w:val="28"/>
      <w:szCs w:val="32"/>
    </w:rPr>
  </w:style>
  <w:style w:type="character" w:customStyle="1" w:styleId="68">
    <w:name w:val="日期 Char"/>
    <w:autoRedefine/>
    <w:semiHidden/>
    <w:qFormat/>
    <w:uiPriority w:val="99"/>
    <w:rPr>
      <w:kern w:val="2"/>
      <w:sz w:val="21"/>
    </w:rPr>
  </w:style>
  <w:style w:type="character" w:customStyle="1" w:styleId="6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70">
    <w:name w:val="批注文字 Char"/>
    <w:autoRedefine/>
    <w:semiHidden/>
    <w:qFormat/>
    <w:uiPriority w:val="99"/>
    <w:rPr>
      <w:kern w:val="2"/>
      <w:sz w:val="21"/>
    </w:rPr>
  </w:style>
  <w:style w:type="character" w:customStyle="1" w:styleId="71">
    <w:name w:val="正文缩进2格 Char"/>
    <w:link w:val="72"/>
    <w:autoRedefine/>
    <w:qFormat/>
    <w:uiPriority w:val="0"/>
    <w:rPr>
      <w:rFonts w:ascii="仿宋_GB2312" w:hAnsi="宋体" w:eastAsia="仿宋_GB2312"/>
      <w:sz w:val="31"/>
      <w:szCs w:val="28"/>
    </w:rPr>
  </w:style>
  <w:style w:type="paragraph" w:customStyle="1" w:styleId="72">
    <w:name w:val="正文缩进2格"/>
    <w:basedOn w:val="1"/>
    <w:link w:val="71"/>
    <w:autoRedefine/>
    <w:qFormat/>
    <w:uiPriority w:val="0"/>
    <w:pPr>
      <w:spacing w:line="600" w:lineRule="exact"/>
      <w:ind w:firstLine="639" w:firstLineChars="206"/>
    </w:pPr>
    <w:rPr>
      <w:rFonts w:ascii="仿宋_GB2312" w:hAnsi="宋体" w:eastAsia="仿宋_GB2312"/>
      <w:sz w:val="31"/>
      <w:szCs w:val="28"/>
    </w:rPr>
  </w:style>
  <w:style w:type="character" w:customStyle="1" w:styleId="73">
    <w:name w:val="批注文字 字符"/>
    <w:autoRedefine/>
    <w:semiHidden/>
    <w:qFormat/>
    <w:uiPriority w:val="99"/>
    <w:rPr>
      <w:rFonts w:ascii="Times New Roman" w:hAnsi="Times New Roman"/>
      <w:kern w:val="2"/>
      <w:sz w:val="24"/>
      <w:szCs w:val="24"/>
    </w:rPr>
  </w:style>
  <w:style w:type="character" w:customStyle="1" w:styleId="74">
    <w:name w:val="正文文本缩进 Char"/>
    <w:autoRedefine/>
    <w:qFormat/>
    <w:uiPriority w:val="0"/>
    <w:rPr>
      <w:rFonts w:ascii="Times New Roman" w:hAnsi="Times New Roman" w:eastAsia="宋体" w:cs="Times New Roman"/>
      <w:szCs w:val="20"/>
      <w:lang w:val="en-US" w:eastAsia="zh-CN"/>
    </w:rPr>
  </w:style>
  <w:style w:type="character" w:customStyle="1" w:styleId="75">
    <w:name w:val="批注框文本 字符1"/>
    <w:autoRedefine/>
    <w:semiHidden/>
    <w:qFormat/>
    <w:uiPriority w:val="99"/>
    <w:rPr>
      <w:rFonts w:ascii="宋体" w:hAnsi="Calibri" w:eastAsia="宋体" w:cs="Times New Roman"/>
      <w:kern w:val="0"/>
      <w:sz w:val="18"/>
      <w:szCs w:val="18"/>
    </w:rPr>
  </w:style>
  <w:style w:type="character" w:customStyle="1" w:styleId="76">
    <w:name w:val="List Paragraph Char"/>
    <w:link w:val="77"/>
    <w:autoRedefine/>
    <w:qFormat/>
    <w:uiPriority w:val="34"/>
    <w:rPr>
      <w:rFonts w:ascii="Calibri" w:hAnsi="Calibri"/>
    </w:rPr>
  </w:style>
  <w:style w:type="paragraph" w:customStyle="1" w:styleId="77">
    <w:name w:val="列出段落1"/>
    <w:basedOn w:val="1"/>
    <w:link w:val="76"/>
    <w:autoRedefine/>
    <w:qFormat/>
    <w:uiPriority w:val="34"/>
    <w:pPr>
      <w:ind w:firstLine="420" w:firstLineChars="200"/>
    </w:pPr>
    <w:rPr>
      <w:rFonts w:ascii="Calibri" w:hAnsi="Calibri"/>
    </w:rPr>
  </w:style>
  <w:style w:type="character" w:customStyle="1" w:styleId="78">
    <w:name w:val="标书正文 字符"/>
    <w:link w:val="79"/>
    <w:autoRedefine/>
    <w:qFormat/>
    <w:uiPriority w:val="0"/>
    <w:rPr>
      <w:rFonts w:ascii="Calibri" w:hAnsi="Calibri" w:eastAsia="仿宋"/>
      <w:sz w:val="24"/>
      <w:szCs w:val="21"/>
    </w:rPr>
  </w:style>
  <w:style w:type="paragraph" w:customStyle="1" w:styleId="79">
    <w:name w:val="标书正文"/>
    <w:basedOn w:val="1"/>
    <w:link w:val="7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80">
    <w:name w:val="正文文本 字符"/>
    <w:autoRedefine/>
    <w:semiHidden/>
    <w:qFormat/>
    <w:uiPriority w:val="99"/>
    <w:rPr>
      <w:rFonts w:ascii="Times New Roman" w:hAnsi="Times New Roman"/>
      <w:kern w:val="2"/>
      <w:sz w:val="24"/>
      <w:szCs w:val="24"/>
    </w:rPr>
  </w:style>
  <w:style w:type="character" w:customStyle="1" w:styleId="81">
    <w:name w:val="页脚 Char"/>
    <w:autoRedefine/>
    <w:qFormat/>
    <w:uiPriority w:val="0"/>
    <w:rPr>
      <w:kern w:val="2"/>
      <w:sz w:val="18"/>
      <w:szCs w:val="18"/>
    </w:rPr>
  </w:style>
  <w:style w:type="character" w:customStyle="1" w:styleId="82">
    <w:name w:val="neir1"/>
    <w:autoRedefine/>
    <w:qFormat/>
    <w:uiPriority w:val="0"/>
    <w:rPr>
      <w:rFonts w:hint="default" w:ascii="ˎ̥" w:hAnsi="ˎ̥"/>
      <w:color w:val="333333"/>
      <w:sz w:val="21"/>
      <w:szCs w:val="21"/>
      <w:u w:val="none"/>
    </w:rPr>
  </w:style>
  <w:style w:type="character" w:customStyle="1" w:styleId="83">
    <w:name w:val="批注框文本 字符"/>
    <w:link w:val="27"/>
    <w:autoRedefine/>
    <w:qFormat/>
    <w:uiPriority w:val="0"/>
    <w:rPr>
      <w:rFonts w:ascii="Times New Roman" w:hAnsi="Times New Roman" w:eastAsia="宋体" w:cs="Times New Roman"/>
      <w:sz w:val="18"/>
      <w:szCs w:val="18"/>
    </w:rPr>
  </w:style>
  <w:style w:type="character" w:customStyle="1" w:styleId="84">
    <w:name w:val="正文文本 3 字符1"/>
    <w:autoRedefine/>
    <w:semiHidden/>
    <w:qFormat/>
    <w:uiPriority w:val="99"/>
    <w:rPr>
      <w:rFonts w:ascii="宋体" w:hAnsi="Calibri" w:eastAsia="宋体" w:cs="Times New Roman"/>
      <w:kern w:val="0"/>
      <w:sz w:val="16"/>
      <w:szCs w:val="16"/>
    </w:rPr>
  </w:style>
  <w:style w:type="character" w:customStyle="1" w:styleId="85">
    <w:name w:val="正文文本 字符3"/>
    <w:autoRedefine/>
    <w:semiHidden/>
    <w:qFormat/>
    <w:uiPriority w:val="99"/>
    <w:rPr>
      <w:rFonts w:ascii="宋体" w:hAnsi="Calibri" w:eastAsia="宋体" w:cs="Times New Roman"/>
      <w:kern w:val="0"/>
      <w:sz w:val="24"/>
      <w:szCs w:val="24"/>
    </w:rPr>
  </w:style>
  <w:style w:type="character" w:customStyle="1" w:styleId="86">
    <w:name w:val="日期 字符1"/>
    <w:autoRedefine/>
    <w:semiHidden/>
    <w:qFormat/>
    <w:uiPriority w:val="99"/>
    <w:rPr>
      <w:rFonts w:ascii="宋体" w:hAnsi="Calibri" w:eastAsia="宋体" w:cs="Times New Roman"/>
      <w:kern w:val="0"/>
      <w:sz w:val="24"/>
      <w:szCs w:val="24"/>
    </w:rPr>
  </w:style>
  <w:style w:type="character" w:customStyle="1" w:styleId="87">
    <w:name w:val="页脚 Char2"/>
    <w:autoRedefine/>
    <w:qFormat/>
    <w:uiPriority w:val="99"/>
    <w:rPr>
      <w:rFonts w:ascii="宋体" w:eastAsia="宋体"/>
      <w:sz w:val="18"/>
      <w:szCs w:val="18"/>
    </w:rPr>
  </w:style>
  <w:style w:type="character" w:customStyle="1" w:styleId="88">
    <w:name w:val="吉奥正文 Char"/>
    <w:link w:val="89"/>
    <w:autoRedefine/>
    <w:qFormat/>
    <w:locked/>
    <w:uiPriority w:val="0"/>
    <w:rPr>
      <w:rFonts w:eastAsia="仿宋_GB2312"/>
      <w:sz w:val="28"/>
    </w:rPr>
  </w:style>
  <w:style w:type="paragraph" w:customStyle="1" w:styleId="89">
    <w:name w:val="吉奥正文"/>
    <w:basedOn w:val="1"/>
    <w:link w:val="8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90">
    <w:name w:val="页脚 Char1"/>
    <w:autoRedefine/>
    <w:qFormat/>
    <w:uiPriority w:val="99"/>
    <w:rPr>
      <w:rFonts w:ascii="宋体" w:hAnsi="Times New Roman" w:eastAsia="宋体" w:cs="Times New Roman"/>
      <w:kern w:val="0"/>
      <w:sz w:val="18"/>
      <w:szCs w:val="18"/>
    </w:rPr>
  </w:style>
  <w:style w:type="character" w:customStyle="1" w:styleId="91">
    <w:name w:val="标题 字符"/>
    <w:autoRedefine/>
    <w:qFormat/>
    <w:uiPriority w:val="10"/>
    <w:rPr>
      <w:rFonts w:ascii="Cambria" w:hAnsi="Cambria" w:eastAsia="宋体" w:cs="Times New Roman"/>
      <w:b/>
      <w:bCs/>
      <w:kern w:val="0"/>
      <w:sz w:val="32"/>
      <w:szCs w:val="32"/>
      <w:lang w:val="en-US" w:eastAsia="zh-CN"/>
    </w:rPr>
  </w:style>
  <w:style w:type="character" w:customStyle="1" w:styleId="92">
    <w:name w:val="题注 字符1"/>
    <w:link w:val="14"/>
    <w:autoRedefine/>
    <w:qFormat/>
    <w:uiPriority w:val="0"/>
    <w:rPr>
      <w:rFonts w:ascii="Arial" w:hAnsi="Arial" w:eastAsia="黑体" w:cs="Arial"/>
    </w:rPr>
  </w:style>
  <w:style w:type="character" w:customStyle="1" w:styleId="93">
    <w:name w:val="批注文字 字符2"/>
    <w:autoRedefine/>
    <w:qFormat/>
    <w:uiPriority w:val="99"/>
    <w:rPr>
      <w:rFonts w:ascii="宋体" w:hAnsi="Times New Roman" w:eastAsia="宋体" w:cs="Times New Roman"/>
      <w:kern w:val="0"/>
      <w:sz w:val="24"/>
      <w:szCs w:val="24"/>
    </w:rPr>
  </w:style>
  <w:style w:type="character" w:customStyle="1" w:styleId="94">
    <w:name w:val="批注主题 字符1"/>
    <w:autoRedefine/>
    <w:semiHidden/>
    <w:qFormat/>
    <w:uiPriority w:val="99"/>
    <w:rPr>
      <w:rFonts w:ascii="宋体" w:hAnsi="Calibri" w:eastAsia="宋体" w:cs="Times New Roman"/>
      <w:b/>
      <w:bCs/>
      <w:kern w:val="0"/>
      <w:sz w:val="24"/>
      <w:szCs w:val="24"/>
    </w:rPr>
  </w:style>
  <w:style w:type="character" w:customStyle="1" w:styleId="95">
    <w:name w:val="HTML 预设格式 字符"/>
    <w:link w:val="38"/>
    <w:autoRedefine/>
    <w:qFormat/>
    <w:uiPriority w:val="99"/>
    <w:rPr>
      <w:rFonts w:ascii="Arial" w:hAnsi="Arial" w:eastAsia="宋体" w:cs="Arial"/>
      <w:szCs w:val="21"/>
    </w:rPr>
  </w:style>
  <w:style w:type="character" w:customStyle="1" w:styleId="96">
    <w:name w:val="标题 3.1 Char"/>
    <w:link w:val="97"/>
    <w:autoRedefine/>
    <w:qFormat/>
    <w:uiPriority w:val="0"/>
    <w:rPr>
      <w:rFonts w:ascii="宋体" w:hAnsi="宋体"/>
      <w:b/>
      <w:bCs/>
      <w:sz w:val="32"/>
      <w:szCs w:val="32"/>
    </w:rPr>
  </w:style>
  <w:style w:type="paragraph" w:customStyle="1" w:styleId="97">
    <w:name w:val="标题 3.1"/>
    <w:basedOn w:val="4"/>
    <w:link w:val="9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8">
    <w:name w:val="HTML 预设格式 Char1"/>
    <w:autoRedefine/>
    <w:semiHidden/>
    <w:qFormat/>
    <w:uiPriority w:val="99"/>
    <w:rPr>
      <w:rFonts w:ascii="Courier New" w:hAnsi="Courier New" w:eastAsia="宋体" w:cs="Courier New"/>
      <w:kern w:val="0"/>
      <w:sz w:val="20"/>
      <w:szCs w:val="20"/>
    </w:rPr>
  </w:style>
  <w:style w:type="character" w:customStyle="1" w:styleId="99">
    <w:name w:val="批注文字 字符1"/>
    <w:autoRedefine/>
    <w:qFormat/>
    <w:uiPriority w:val="0"/>
    <w:rPr>
      <w:rFonts w:eastAsia="宋体"/>
      <w:kern w:val="2"/>
      <w:sz w:val="24"/>
      <w:szCs w:val="24"/>
      <w:lang w:val="en-US" w:eastAsia="zh-CN" w:bidi="ar-SA"/>
    </w:rPr>
  </w:style>
  <w:style w:type="character" w:customStyle="1" w:styleId="100">
    <w:name w:val="正文文本缩进 字符2"/>
    <w:autoRedefine/>
    <w:semiHidden/>
    <w:qFormat/>
    <w:uiPriority w:val="99"/>
    <w:rPr>
      <w:rFonts w:ascii="宋体" w:hAnsi="Calibri" w:eastAsia="宋体" w:cs="Times New Roman"/>
      <w:kern w:val="0"/>
      <w:sz w:val="24"/>
      <w:szCs w:val="24"/>
    </w:rPr>
  </w:style>
  <w:style w:type="character" w:customStyle="1" w:styleId="101">
    <w:name w:val="正文文本缩进 字符1"/>
    <w:link w:val="20"/>
    <w:autoRedefine/>
    <w:qFormat/>
    <w:uiPriority w:val="0"/>
    <w:rPr>
      <w:rFonts w:ascii="Times New Roman" w:hAnsi="Times New Roman" w:eastAsia="宋体" w:cs="Times New Roman"/>
      <w:szCs w:val="20"/>
    </w:rPr>
  </w:style>
  <w:style w:type="character" w:customStyle="1" w:styleId="102">
    <w:name w:val="普通(网站) 字符2"/>
    <w:link w:val="39"/>
    <w:autoRedefine/>
    <w:qFormat/>
    <w:locked/>
    <w:uiPriority w:val="0"/>
    <w:rPr>
      <w:rFonts w:ascii="宋体" w:hAnsi="宋体"/>
      <w:sz w:val="15"/>
      <w:szCs w:val="15"/>
    </w:rPr>
  </w:style>
  <w:style w:type="character" w:customStyle="1" w:styleId="103">
    <w:name w:val="模板正文 Char"/>
    <w:link w:val="8"/>
    <w:autoRedefine/>
    <w:qFormat/>
    <w:uiPriority w:val="0"/>
    <w:rPr>
      <w:rFonts w:ascii="宋体" w:eastAsia="仿宋"/>
      <w:sz w:val="24"/>
      <w:szCs w:val="21"/>
    </w:rPr>
  </w:style>
  <w:style w:type="character" w:customStyle="1" w:styleId="104">
    <w:name w:val="批注主题 Char"/>
    <w:autoRedefine/>
    <w:semiHidden/>
    <w:qFormat/>
    <w:uiPriority w:val="99"/>
    <w:rPr>
      <w:b/>
      <w:bCs/>
      <w:kern w:val="2"/>
      <w:sz w:val="21"/>
    </w:rPr>
  </w:style>
  <w:style w:type="character" w:customStyle="1" w:styleId="105">
    <w:name w:val="正文文本 Char1"/>
    <w:autoRedefine/>
    <w:qFormat/>
    <w:uiPriority w:val="0"/>
    <w:rPr>
      <w:rFonts w:ascii="宋体" w:hAnsi="Times New Roman" w:eastAsia="宋体" w:cs="Times New Roman"/>
      <w:kern w:val="0"/>
      <w:sz w:val="24"/>
      <w:szCs w:val="24"/>
    </w:rPr>
  </w:style>
  <w:style w:type="character" w:customStyle="1" w:styleId="106">
    <w:name w:val="正文文本 字符1"/>
    <w:autoRedefine/>
    <w:qFormat/>
    <w:uiPriority w:val="99"/>
    <w:rPr>
      <w:rFonts w:ascii="宋体" w:eastAsia="宋体"/>
      <w:b/>
      <w:bCs/>
      <w:sz w:val="84"/>
      <w:szCs w:val="84"/>
      <w:lang w:val="zh-CN"/>
    </w:rPr>
  </w:style>
  <w:style w:type="character" w:customStyle="1" w:styleId="107">
    <w:name w:val="标题 1 Char"/>
    <w:autoRedefine/>
    <w:qFormat/>
    <w:uiPriority w:val="9"/>
    <w:rPr>
      <w:rFonts w:ascii="宋体" w:hAnsi="Times New Roman" w:eastAsia="宋体" w:cs="Times New Roman"/>
      <w:kern w:val="0"/>
      <w:sz w:val="24"/>
      <w:szCs w:val="24"/>
    </w:rPr>
  </w:style>
  <w:style w:type="character" w:customStyle="1" w:styleId="108">
    <w:name w:val="正文文本 Char2"/>
    <w:autoRedefine/>
    <w:qFormat/>
    <w:uiPriority w:val="99"/>
    <w:rPr>
      <w:rFonts w:ascii="宋体" w:eastAsia="宋体"/>
      <w:b/>
      <w:bCs/>
      <w:sz w:val="84"/>
      <w:szCs w:val="84"/>
      <w:lang w:val="zh-CN"/>
    </w:rPr>
  </w:style>
  <w:style w:type="character" w:customStyle="1" w:styleId="109">
    <w:name w:val="纯文本 字符2"/>
    <w:link w:val="23"/>
    <w:autoRedefine/>
    <w:qFormat/>
    <w:uiPriority w:val="0"/>
    <w:rPr>
      <w:rFonts w:ascii="宋体" w:hAnsi="Courier New" w:eastAsia="宋体"/>
    </w:rPr>
  </w:style>
  <w:style w:type="character" w:customStyle="1" w:styleId="110">
    <w:name w:val="正文文本缩进 2 字符"/>
    <w:link w:val="26"/>
    <w:autoRedefine/>
    <w:qFormat/>
    <w:uiPriority w:val="0"/>
    <w:rPr>
      <w:rFonts w:ascii="宋体" w:hAnsi="Times New Roman" w:eastAsia="宋体" w:cs="Times New Roman"/>
      <w:szCs w:val="20"/>
    </w:rPr>
  </w:style>
  <w:style w:type="character" w:customStyle="1" w:styleId="111">
    <w:name w:val="HTML Markup"/>
    <w:autoRedefine/>
    <w:qFormat/>
    <w:uiPriority w:val="0"/>
    <w:rPr>
      <w:vanish/>
      <w:color w:val="FF0000"/>
    </w:rPr>
  </w:style>
  <w:style w:type="character" w:customStyle="1" w:styleId="112">
    <w:name w:val="页眉 Char1"/>
    <w:autoRedefine/>
    <w:qFormat/>
    <w:uiPriority w:val="0"/>
    <w:rPr>
      <w:rFonts w:ascii="宋体" w:hAnsi="Times New Roman" w:eastAsia="宋体" w:cs="Times New Roman"/>
      <w:kern w:val="0"/>
      <w:sz w:val="18"/>
      <w:szCs w:val="18"/>
    </w:rPr>
  </w:style>
  <w:style w:type="character" w:customStyle="1" w:styleId="113">
    <w:name w:val="font11"/>
    <w:autoRedefine/>
    <w:qFormat/>
    <w:uiPriority w:val="0"/>
    <w:rPr>
      <w:rFonts w:hint="eastAsia" w:ascii="宋体" w:hAnsi="宋体" w:eastAsia="宋体" w:cs="宋体"/>
      <w:color w:val="FF0000"/>
      <w:sz w:val="22"/>
      <w:szCs w:val="22"/>
      <w:u w:val="none"/>
    </w:rPr>
  </w:style>
  <w:style w:type="character" w:customStyle="1" w:styleId="114">
    <w:name w:val="style61"/>
    <w:autoRedefine/>
    <w:qFormat/>
    <w:uiPriority w:val="0"/>
    <w:rPr>
      <w:b/>
      <w:bCs/>
    </w:rPr>
  </w:style>
  <w:style w:type="character" w:customStyle="1" w:styleId="115">
    <w:name w:val="表头文字 Char"/>
    <w:link w:val="116"/>
    <w:autoRedefine/>
    <w:qFormat/>
    <w:uiPriority w:val="0"/>
    <w:rPr>
      <w:rFonts w:eastAsia="仿宋_GB2312"/>
      <w:b/>
      <w:sz w:val="28"/>
      <w:szCs w:val="21"/>
    </w:rPr>
  </w:style>
  <w:style w:type="paragraph" w:customStyle="1" w:styleId="116">
    <w:name w:val="表头文字"/>
    <w:basedOn w:val="1"/>
    <w:link w:val="11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7">
    <w:name w:val="日期 字符"/>
    <w:link w:val="25"/>
    <w:autoRedefine/>
    <w:qFormat/>
    <w:uiPriority w:val="99"/>
    <w:rPr>
      <w:rFonts w:ascii="宋体" w:hAnsi="Times New Roman" w:eastAsia="宋体" w:cs="Times New Roman"/>
      <w:b/>
      <w:bCs/>
      <w:szCs w:val="21"/>
      <w:lang w:val="zh-CN"/>
    </w:rPr>
  </w:style>
  <w:style w:type="character" w:customStyle="1" w:styleId="118">
    <w:name w:val="纯文本 Char1"/>
    <w:autoRedefine/>
    <w:qFormat/>
    <w:uiPriority w:val="0"/>
    <w:rPr>
      <w:rFonts w:ascii="宋体" w:hAnsi="Courier New" w:eastAsia="宋体" w:cs="Courier New"/>
      <w:kern w:val="0"/>
      <w:szCs w:val="21"/>
    </w:rPr>
  </w:style>
  <w:style w:type="character" w:customStyle="1" w:styleId="119">
    <w:name w:val="批注主题 字符"/>
    <w:link w:val="41"/>
    <w:autoRedefine/>
    <w:qFormat/>
    <w:uiPriority w:val="99"/>
    <w:rPr>
      <w:rFonts w:ascii="宋体" w:hAnsi="Times New Roman" w:eastAsia="宋体" w:cs="Times New Roman"/>
      <w:b/>
      <w:bCs/>
      <w:kern w:val="0"/>
      <w:sz w:val="24"/>
      <w:szCs w:val="24"/>
    </w:rPr>
  </w:style>
  <w:style w:type="character" w:customStyle="1" w:styleId="120">
    <w:name w:val="纯文本 字符"/>
    <w:autoRedefine/>
    <w:qFormat/>
    <w:uiPriority w:val="99"/>
    <w:rPr>
      <w:rFonts w:ascii="宋体" w:hAnsi="Courier New" w:eastAsia="宋体" w:cs="Times New Roman"/>
      <w:szCs w:val="20"/>
      <w:lang w:val="en-US" w:eastAsia="zh-CN"/>
    </w:rPr>
  </w:style>
  <w:style w:type="character" w:customStyle="1" w:styleId="121">
    <w:name w:val="font71"/>
    <w:autoRedefine/>
    <w:qFormat/>
    <w:uiPriority w:val="0"/>
    <w:rPr>
      <w:rFonts w:hint="eastAsia" w:ascii="宋体" w:hAnsi="宋体" w:eastAsia="宋体" w:cs="宋体"/>
      <w:color w:val="FF0000"/>
      <w:sz w:val="18"/>
      <w:szCs w:val="18"/>
      <w:u w:val="none"/>
    </w:rPr>
  </w:style>
  <w:style w:type="character" w:customStyle="1" w:styleId="122">
    <w:name w:val="font21"/>
    <w:autoRedefine/>
    <w:qFormat/>
    <w:uiPriority w:val="0"/>
    <w:rPr>
      <w:rFonts w:hint="eastAsia" w:ascii="宋体" w:hAnsi="宋体" w:eastAsia="宋体" w:cs="宋体"/>
      <w:b/>
      <w:color w:val="000000"/>
      <w:sz w:val="21"/>
      <w:szCs w:val="21"/>
      <w:u w:val="none"/>
    </w:rPr>
  </w:style>
  <w:style w:type="character" w:customStyle="1" w:styleId="123">
    <w:name w:val="纯文本 字符3"/>
    <w:autoRedefine/>
    <w:semiHidden/>
    <w:qFormat/>
    <w:uiPriority w:val="99"/>
    <w:rPr>
      <w:rFonts w:ascii="等线" w:hAnsi="Courier New" w:cs="Courier New"/>
      <w:kern w:val="0"/>
      <w:sz w:val="24"/>
      <w:szCs w:val="24"/>
    </w:rPr>
  </w:style>
  <w:style w:type="character" w:customStyle="1" w:styleId="124">
    <w:name w:val="font31"/>
    <w:autoRedefine/>
    <w:qFormat/>
    <w:uiPriority w:val="0"/>
    <w:rPr>
      <w:rFonts w:hint="eastAsia" w:ascii="宋体" w:hAnsi="宋体" w:eastAsia="宋体" w:cs="宋体"/>
      <w:color w:val="000000"/>
      <w:sz w:val="18"/>
      <w:szCs w:val="18"/>
      <w:u w:val="none"/>
    </w:rPr>
  </w:style>
  <w:style w:type="character" w:customStyle="1" w:styleId="125">
    <w:name w:val="文档结构图 字符"/>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26">
    <w:name w:val="普通(网站) 字符1"/>
    <w:autoRedefine/>
    <w:qFormat/>
    <w:locked/>
    <w:uiPriority w:val="0"/>
    <w:rPr>
      <w:rFonts w:ascii="宋体" w:hAnsi="宋体"/>
      <w:sz w:val="15"/>
      <w:szCs w:val="15"/>
    </w:rPr>
  </w:style>
  <w:style w:type="character" w:customStyle="1" w:styleId="127">
    <w:name w:val="正文文本 字符2"/>
    <w:link w:val="19"/>
    <w:autoRedefine/>
    <w:qFormat/>
    <w:uiPriority w:val="99"/>
    <w:rPr>
      <w:rFonts w:ascii="宋体" w:eastAsia="宋体"/>
      <w:b/>
      <w:bCs/>
      <w:sz w:val="84"/>
      <w:szCs w:val="84"/>
      <w:lang w:val="zh-CN"/>
    </w:rPr>
  </w:style>
  <w:style w:type="character" w:customStyle="1" w:styleId="128">
    <w:name w:val="标题 5 Char"/>
    <w:autoRedefine/>
    <w:semiHidden/>
    <w:qFormat/>
    <w:uiPriority w:val="9"/>
    <w:rPr>
      <w:b/>
      <w:bCs/>
      <w:kern w:val="2"/>
      <w:sz w:val="28"/>
      <w:szCs w:val="28"/>
    </w:rPr>
  </w:style>
  <w:style w:type="character" w:customStyle="1" w:styleId="129">
    <w:name w:val="页眉 字符"/>
    <w:link w:val="29"/>
    <w:autoRedefine/>
    <w:qFormat/>
    <w:uiPriority w:val="99"/>
    <w:rPr>
      <w:rFonts w:ascii="宋体" w:eastAsia="宋体"/>
      <w:sz w:val="18"/>
      <w:szCs w:val="18"/>
    </w:rPr>
  </w:style>
  <w:style w:type="character" w:customStyle="1" w:styleId="130">
    <w:name w:val="表格文字 Char"/>
    <w:link w:val="131"/>
    <w:autoRedefine/>
    <w:qFormat/>
    <w:uiPriority w:val="0"/>
    <w:rPr>
      <w:rFonts w:eastAsia="仿宋_GB2312"/>
      <w:sz w:val="28"/>
      <w:szCs w:val="24"/>
    </w:rPr>
  </w:style>
  <w:style w:type="paragraph" w:customStyle="1" w:styleId="131">
    <w:name w:val="表格文字"/>
    <w:basedOn w:val="1"/>
    <w:link w:val="130"/>
    <w:autoRedefine/>
    <w:qFormat/>
    <w:uiPriority w:val="0"/>
    <w:rPr>
      <w:rFonts w:eastAsia="仿宋_GB2312"/>
      <w:sz w:val="28"/>
      <w:szCs w:val="24"/>
    </w:rPr>
  </w:style>
  <w:style w:type="character" w:customStyle="1" w:styleId="132">
    <w:name w:val="标题 字符2"/>
    <w:autoRedefine/>
    <w:qFormat/>
    <w:uiPriority w:val="10"/>
    <w:rPr>
      <w:rFonts w:ascii="等线 Light" w:hAnsi="等线 Light" w:eastAsia="等线 Light" w:cs="Times New Roman"/>
      <w:b/>
      <w:bCs/>
      <w:kern w:val="0"/>
      <w:sz w:val="32"/>
      <w:szCs w:val="32"/>
    </w:rPr>
  </w:style>
  <w:style w:type="character" w:customStyle="1" w:styleId="133">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34">
    <w:name w:val="小 Char"/>
    <w:autoRedefine/>
    <w:qFormat/>
    <w:uiPriority w:val="0"/>
    <w:rPr>
      <w:rFonts w:ascii="宋体" w:hAnsi="Courier New" w:eastAsia="宋体"/>
      <w:kern w:val="2"/>
      <w:sz w:val="21"/>
      <w:lang w:val="en-US" w:eastAsia="zh-CN" w:bidi="ar-SA"/>
    </w:rPr>
  </w:style>
  <w:style w:type="character" w:customStyle="1" w:styleId="135">
    <w:name w:val="themebody1"/>
    <w:autoRedefine/>
    <w:qFormat/>
    <w:uiPriority w:val="0"/>
    <w:rPr>
      <w:color w:val="FFFFFF"/>
    </w:rPr>
  </w:style>
  <w:style w:type="character" w:customStyle="1" w:styleId="136">
    <w:name w:val="页脚 字符1"/>
    <w:autoRedefine/>
    <w:semiHidden/>
    <w:qFormat/>
    <w:uiPriority w:val="99"/>
    <w:rPr>
      <w:rFonts w:ascii="宋体" w:hAnsi="Calibri" w:eastAsia="宋体" w:cs="Times New Roman"/>
      <w:kern w:val="0"/>
      <w:sz w:val="18"/>
      <w:szCs w:val="18"/>
    </w:rPr>
  </w:style>
  <w:style w:type="character" w:customStyle="1" w:styleId="137">
    <w:name w:val="列出段落 字符"/>
    <w:link w:val="138"/>
    <w:autoRedefine/>
    <w:qFormat/>
    <w:uiPriority w:val="34"/>
    <w:rPr>
      <w:kern w:val="2"/>
      <w:sz w:val="21"/>
      <w:szCs w:val="22"/>
    </w:rPr>
  </w:style>
  <w:style w:type="paragraph" w:styleId="138">
    <w:name w:val="List Paragraph"/>
    <w:basedOn w:val="1"/>
    <w:link w:val="137"/>
    <w:autoRedefine/>
    <w:qFormat/>
    <w:uiPriority w:val="34"/>
    <w:pPr>
      <w:ind w:firstLine="420" w:firstLineChars="200"/>
    </w:pPr>
  </w:style>
  <w:style w:type="character" w:customStyle="1" w:styleId="139">
    <w:name w:val="正文文本 Char"/>
    <w:autoRedefine/>
    <w:qFormat/>
    <w:uiPriority w:val="99"/>
    <w:rPr>
      <w:rFonts w:ascii="宋体" w:eastAsia="宋体"/>
      <w:b/>
      <w:bCs/>
      <w:sz w:val="84"/>
      <w:szCs w:val="84"/>
      <w:lang w:val="zh-CN"/>
    </w:rPr>
  </w:style>
  <w:style w:type="character" w:customStyle="1" w:styleId="140">
    <w:name w:val="页眉 字符1"/>
    <w:autoRedefine/>
    <w:semiHidden/>
    <w:qFormat/>
    <w:uiPriority w:val="99"/>
    <w:rPr>
      <w:rFonts w:ascii="宋体" w:hAnsi="Calibri" w:eastAsia="宋体" w:cs="Times New Roman"/>
      <w:kern w:val="0"/>
      <w:sz w:val="18"/>
      <w:szCs w:val="18"/>
    </w:rPr>
  </w:style>
  <w:style w:type="character" w:customStyle="1" w:styleId="141">
    <w:name w:val="标题 5 字符1"/>
    <w:link w:val="6"/>
    <w:autoRedefine/>
    <w:qFormat/>
    <w:uiPriority w:val="9"/>
    <w:rPr>
      <w:rFonts w:ascii="宋体" w:hAnsi="Calibri" w:eastAsia="宋体" w:cs="Times New Roman"/>
      <w:b/>
      <w:bCs/>
      <w:kern w:val="0"/>
      <w:sz w:val="28"/>
      <w:szCs w:val="28"/>
    </w:rPr>
  </w:style>
  <w:style w:type="character" w:customStyle="1" w:styleId="142">
    <w:name w:val="keyfeatures1"/>
    <w:autoRedefine/>
    <w:qFormat/>
    <w:uiPriority w:val="0"/>
    <w:rPr>
      <w:rFonts w:hint="default" w:ascii="Arial" w:hAnsi="Arial" w:cs="Arial"/>
      <w:color w:val="003366"/>
      <w:sz w:val="17"/>
      <w:szCs w:val="17"/>
      <w:u w:val="none"/>
    </w:rPr>
  </w:style>
  <w:style w:type="character" w:customStyle="1" w:styleId="143">
    <w:name w:val="题注 字符"/>
    <w:autoRedefine/>
    <w:qFormat/>
    <w:uiPriority w:val="0"/>
    <w:rPr>
      <w:rFonts w:ascii="宋体" w:hAnsi="宋体" w:eastAsia="黑体" w:cs="Times New Roman"/>
      <w:b/>
      <w:szCs w:val="21"/>
    </w:rPr>
  </w:style>
  <w:style w:type="character" w:customStyle="1" w:styleId="144">
    <w:name w:val="标题 4 Char"/>
    <w:autoRedefine/>
    <w:qFormat/>
    <w:uiPriority w:val="0"/>
    <w:rPr>
      <w:rFonts w:ascii="宋体" w:hAnsi="宋体" w:eastAsia="宋体"/>
      <w:b/>
      <w:kern w:val="2"/>
      <w:sz w:val="21"/>
      <w:szCs w:val="24"/>
      <w:lang w:val="en-US" w:eastAsia="zh-CN" w:bidi="ar-SA"/>
    </w:rPr>
  </w:style>
  <w:style w:type="character" w:customStyle="1" w:styleId="145">
    <w:name w:val="批注文字 字符3"/>
    <w:autoRedefine/>
    <w:semiHidden/>
    <w:qFormat/>
    <w:uiPriority w:val="99"/>
    <w:rPr>
      <w:rFonts w:ascii="宋体" w:hAnsi="Calibri" w:eastAsia="宋体" w:cs="Times New Roman"/>
      <w:kern w:val="0"/>
      <w:sz w:val="24"/>
      <w:szCs w:val="24"/>
    </w:rPr>
  </w:style>
  <w:style w:type="character" w:customStyle="1" w:styleId="146">
    <w:name w:val="纯文本 字符1"/>
    <w:autoRedefine/>
    <w:qFormat/>
    <w:uiPriority w:val="0"/>
    <w:rPr>
      <w:rFonts w:ascii="宋体" w:hAnsi="Courier New" w:eastAsia="宋体"/>
      <w:kern w:val="2"/>
      <w:sz w:val="21"/>
      <w:szCs w:val="24"/>
      <w:lang w:val="en-US" w:eastAsia="zh-CN" w:bidi="ar-SA"/>
    </w:rPr>
  </w:style>
  <w:style w:type="character" w:customStyle="1" w:styleId="147">
    <w:name w:val="列出段落 Char1"/>
    <w:autoRedefine/>
    <w:qFormat/>
    <w:uiPriority w:val="34"/>
    <w:rPr>
      <w:rFonts w:ascii="宋体"/>
      <w:sz w:val="24"/>
      <w:szCs w:val="24"/>
    </w:rPr>
  </w:style>
  <w:style w:type="character" w:customStyle="1" w:styleId="148">
    <w:name w:val="彩色列表 - 着色 1 字符"/>
    <w:link w:val="149"/>
    <w:autoRedefine/>
    <w:qFormat/>
    <w:uiPriority w:val="0"/>
    <w:rPr>
      <w:rFonts w:ascii="Calibri" w:hAnsi="Calibri"/>
    </w:rPr>
  </w:style>
  <w:style w:type="paragraph" w:customStyle="1" w:styleId="149">
    <w:name w:val="彩色列表 - 着色 11"/>
    <w:basedOn w:val="1"/>
    <w:link w:val="148"/>
    <w:autoRedefine/>
    <w:qFormat/>
    <w:uiPriority w:val="0"/>
    <w:pPr>
      <w:ind w:firstLine="420" w:firstLineChars="200"/>
    </w:pPr>
    <w:rPr>
      <w:rFonts w:ascii="Calibri" w:hAnsi="Calibri"/>
    </w:rPr>
  </w:style>
  <w:style w:type="character" w:customStyle="1" w:styleId="150">
    <w:name w:val="纯文本 Char"/>
    <w:autoRedefine/>
    <w:qFormat/>
    <w:uiPriority w:val="0"/>
    <w:rPr>
      <w:rFonts w:ascii="宋体" w:hAnsi="Courier New" w:eastAsia="宋体" w:cs="Times New Roman"/>
      <w:szCs w:val="20"/>
    </w:rPr>
  </w:style>
  <w:style w:type="character" w:customStyle="1" w:styleId="151">
    <w:name w:val="标题 6 字符1"/>
    <w:link w:val="7"/>
    <w:autoRedefine/>
    <w:qFormat/>
    <w:uiPriority w:val="9"/>
    <w:rPr>
      <w:rFonts w:ascii="Times New Roman" w:hAnsi="Calibri" w:eastAsia="黑体" w:cs="Times New Roman"/>
      <w:b/>
      <w:bCs/>
      <w:kern w:val="0"/>
      <w:sz w:val="28"/>
      <w:szCs w:val="24"/>
    </w:rPr>
  </w:style>
  <w:style w:type="character" w:customStyle="1" w:styleId="152">
    <w:name w:val="正文文本 2 字符"/>
    <w:link w:val="37"/>
    <w:autoRedefine/>
    <w:qFormat/>
    <w:uiPriority w:val="0"/>
    <w:rPr>
      <w:rFonts w:ascii="Arial" w:hAnsi="Arial" w:eastAsia="宋体" w:cs="Times New Roman"/>
      <w:color w:val="000000"/>
      <w:szCs w:val="24"/>
    </w:rPr>
  </w:style>
  <w:style w:type="character" w:customStyle="1" w:styleId="153">
    <w:name w:val="标题 3 字符1"/>
    <w:link w:val="4"/>
    <w:autoRedefine/>
    <w:qFormat/>
    <w:uiPriority w:val="0"/>
    <w:rPr>
      <w:rFonts w:ascii="宋体" w:hAnsi="Calibri" w:eastAsia="宋体" w:cs="Times New Roman"/>
      <w:kern w:val="0"/>
      <w:sz w:val="24"/>
      <w:szCs w:val="24"/>
    </w:rPr>
  </w:style>
  <w:style w:type="character" w:customStyle="1" w:styleId="154">
    <w:name w:val="正文文本缩进 2 字符1"/>
    <w:autoRedefine/>
    <w:semiHidden/>
    <w:qFormat/>
    <w:uiPriority w:val="99"/>
    <w:rPr>
      <w:rFonts w:ascii="宋体" w:hAnsi="Calibri" w:eastAsia="宋体" w:cs="Times New Roman"/>
      <w:kern w:val="0"/>
      <w:sz w:val="24"/>
      <w:szCs w:val="24"/>
    </w:rPr>
  </w:style>
  <w:style w:type="character" w:customStyle="1" w:styleId="155">
    <w:name w:val="正文文本缩进 3 字符1"/>
    <w:autoRedefine/>
    <w:semiHidden/>
    <w:qFormat/>
    <w:uiPriority w:val="99"/>
    <w:rPr>
      <w:rFonts w:ascii="宋体" w:hAnsi="Calibri" w:eastAsia="宋体" w:cs="Times New Roman"/>
      <w:kern w:val="0"/>
      <w:sz w:val="16"/>
      <w:szCs w:val="16"/>
    </w:rPr>
  </w:style>
  <w:style w:type="character" w:customStyle="1" w:styleId="156">
    <w:name w:val="正文文本 2 字符1"/>
    <w:autoRedefine/>
    <w:semiHidden/>
    <w:qFormat/>
    <w:uiPriority w:val="99"/>
    <w:rPr>
      <w:rFonts w:ascii="宋体" w:hAnsi="Calibri" w:eastAsia="宋体" w:cs="Times New Roman"/>
      <w:kern w:val="0"/>
      <w:sz w:val="24"/>
      <w:szCs w:val="24"/>
    </w:rPr>
  </w:style>
  <w:style w:type="character" w:customStyle="1" w:styleId="157">
    <w:name w:val="eschoolnr"/>
    <w:autoRedefine/>
    <w:qFormat/>
    <w:uiPriority w:val="0"/>
    <w:rPr>
      <w:sz w:val="23"/>
      <w:szCs w:val="23"/>
    </w:rPr>
  </w:style>
  <w:style w:type="character" w:customStyle="1" w:styleId="158">
    <w:name w:val="访问过的超链接1"/>
    <w:autoRedefine/>
    <w:qFormat/>
    <w:uiPriority w:val="0"/>
    <w:rPr>
      <w:rFonts w:ascii="Arial" w:hAnsi="Arial" w:cs="Arial"/>
      <w:color w:val="000000"/>
      <w:sz w:val="20"/>
      <w:szCs w:val="20"/>
      <w:u w:val="none"/>
    </w:rPr>
  </w:style>
  <w:style w:type="character" w:customStyle="1" w:styleId="159">
    <w:name w:val="标题 1 字符1"/>
    <w:link w:val="2"/>
    <w:autoRedefine/>
    <w:qFormat/>
    <w:uiPriority w:val="0"/>
    <w:rPr>
      <w:rFonts w:ascii="宋体" w:hAnsi="Calibri" w:eastAsia="宋体" w:cs="Times New Roman"/>
      <w:kern w:val="0"/>
      <w:sz w:val="24"/>
      <w:szCs w:val="24"/>
    </w:rPr>
  </w:style>
  <w:style w:type="character" w:customStyle="1" w:styleId="160">
    <w:name w:val="批注文字 Char1"/>
    <w:autoRedefine/>
    <w:qFormat/>
    <w:uiPriority w:val="0"/>
    <w:rPr>
      <w:kern w:val="2"/>
      <w:sz w:val="21"/>
      <w:szCs w:val="24"/>
    </w:rPr>
  </w:style>
  <w:style w:type="character" w:customStyle="1" w:styleId="161">
    <w:name w:val="批注框文本 Char"/>
    <w:autoRedefine/>
    <w:semiHidden/>
    <w:qFormat/>
    <w:uiPriority w:val="99"/>
    <w:rPr>
      <w:kern w:val="2"/>
      <w:sz w:val="18"/>
      <w:szCs w:val="18"/>
    </w:rPr>
  </w:style>
  <w:style w:type="character" w:customStyle="1" w:styleId="162">
    <w:name w:val="DAS正文 Char"/>
    <w:autoRedefine/>
    <w:qFormat/>
    <w:uiPriority w:val="0"/>
    <w:rPr>
      <w:rFonts w:ascii="Verdana" w:hAnsi="Verdana" w:eastAsia="宋体"/>
      <w:kern w:val="2"/>
      <w:sz w:val="21"/>
      <w:szCs w:val="21"/>
      <w:lang w:val="en-US" w:eastAsia="zh-CN" w:bidi="ar-SA"/>
    </w:rPr>
  </w:style>
  <w:style w:type="character" w:customStyle="1" w:styleId="163">
    <w:name w:val="正文文本缩进 3 字符"/>
    <w:link w:val="34"/>
    <w:autoRedefine/>
    <w:qFormat/>
    <w:uiPriority w:val="0"/>
    <w:rPr>
      <w:rFonts w:ascii="宋体" w:hAnsi="Times New Roman" w:eastAsia="宋体" w:cs="Times New Roman"/>
      <w:kern w:val="0"/>
      <w:sz w:val="24"/>
      <w:szCs w:val="24"/>
    </w:rPr>
  </w:style>
  <w:style w:type="character" w:customStyle="1" w:styleId="164">
    <w:name w:val="页眉 Char"/>
    <w:autoRedefine/>
    <w:qFormat/>
    <w:uiPriority w:val="99"/>
    <w:rPr>
      <w:kern w:val="2"/>
      <w:sz w:val="18"/>
      <w:szCs w:val="18"/>
    </w:rPr>
  </w:style>
  <w:style w:type="character" w:customStyle="1" w:styleId="165">
    <w:name w:val="正文文本 3 字符"/>
    <w:link w:val="18"/>
    <w:autoRedefine/>
    <w:qFormat/>
    <w:uiPriority w:val="0"/>
    <w:rPr>
      <w:rFonts w:ascii="宋体" w:hAnsi="Times New Roman" w:eastAsia="宋体" w:cs="Times New Roman"/>
      <w:b/>
      <w:bCs/>
      <w:color w:val="3366FF"/>
      <w:sz w:val="52"/>
      <w:szCs w:val="52"/>
      <w:lang w:val="zh-CN"/>
    </w:rPr>
  </w:style>
  <w:style w:type="character" w:customStyle="1" w:styleId="166">
    <w:name w:val="HTML 预设格式 字符1"/>
    <w:autoRedefine/>
    <w:semiHidden/>
    <w:qFormat/>
    <w:uiPriority w:val="99"/>
    <w:rPr>
      <w:rFonts w:ascii="Courier New" w:hAnsi="Courier New" w:eastAsia="宋体" w:cs="Courier New"/>
      <w:kern w:val="0"/>
      <w:sz w:val="20"/>
      <w:szCs w:val="20"/>
    </w:rPr>
  </w:style>
  <w:style w:type="character" w:customStyle="1" w:styleId="167">
    <w:name w:val="彩色列表 - 强调文字颜色 1 Char"/>
    <w:link w:val="168"/>
    <w:autoRedefine/>
    <w:qFormat/>
    <w:uiPriority w:val="0"/>
    <w:rPr>
      <w:rFonts w:ascii="宋体"/>
      <w:sz w:val="24"/>
      <w:szCs w:val="24"/>
    </w:rPr>
  </w:style>
  <w:style w:type="paragraph" w:customStyle="1" w:styleId="168">
    <w:name w:val="彩色列表 - 强调文字颜色 11"/>
    <w:basedOn w:val="1"/>
    <w:link w:val="167"/>
    <w:autoRedefine/>
    <w:qFormat/>
    <w:uiPriority w:val="0"/>
    <w:pPr>
      <w:autoSpaceDE w:val="0"/>
      <w:autoSpaceDN w:val="0"/>
      <w:adjustRightInd w:val="0"/>
      <w:ind w:firstLine="420" w:firstLineChars="200"/>
      <w:jc w:val="left"/>
    </w:pPr>
    <w:rPr>
      <w:rFonts w:ascii="宋体"/>
      <w:sz w:val="24"/>
      <w:szCs w:val="24"/>
    </w:rPr>
  </w:style>
  <w:style w:type="character" w:customStyle="1" w:styleId="169">
    <w:name w:val="普通(网站) 字符"/>
    <w:autoRedefine/>
    <w:qFormat/>
    <w:locked/>
    <w:uiPriority w:val="99"/>
    <w:rPr>
      <w:rFonts w:ascii="宋体" w:hAnsi="宋体" w:eastAsia="宋体" w:cs="Times New Roman"/>
      <w:kern w:val="0"/>
      <w:sz w:val="15"/>
      <w:szCs w:val="15"/>
      <w:lang w:val="en-US" w:eastAsia="zh-CN"/>
    </w:rPr>
  </w:style>
  <w:style w:type="paragraph" w:customStyle="1" w:styleId="170">
    <w:name w:val="_Style 123"/>
    <w:basedOn w:val="1"/>
    <w:next w:val="138"/>
    <w:autoRedefine/>
    <w:qFormat/>
    <w:uiPriority w:val="34"/>
    <w:pPr>
      <w:spacing w:line="360" w:lineRule="auto"/>
      <w:ind w:firstLine="420" w:firstLineChars="200"/>
    </w:pPr>
    <w:rPr>
      <w:rFonts w:ascii="Calibri" w:hAnsi="Calibri" w:eastAsia="宋体" w:cs="Times New Roman"/>
    </w:rPr>
  </w:style>
  <w:style w:type="character" w:customStyle="1" w:styleId="171">
    <w:name w:val="纯文本 字符4"/>
    <w:basedOn w:val="46"/>
    <w:autoRedefine/>
    <w:semiHidden/>
    <w:qFormat/>
    <w:uiPriority w:val="99"/>
    <w:rPr>
      <w:rFonts w:hAnsi="Courier New" w:cs="Courier New" w:asciiTheme="minorEastAsia"/>
    </w:rPr>
  </w:style>
  <w:style w:type="character" w:customStyle="1" w:styleId="172">
    <w:name w:val="批注文字 字符4"/>
    <w:basedOn w:val="46"/>
    <w:link w:val="17"/>
    <w:autoRedefine/>
    <w:semiHidden/>
    <w:qFormat/>
    <w:uiPriority w:val="99"/>
  </w:style>
  <w:style w:type="character" w:customStyle="1" w:styleId="173">
    <w:name w:val="批注主题 字符2"/>
    <w:basedOn w:val="172"/>
    <w:autoRedefine/>
    <w:semiHidden/>
    <w:qFormat/>
    <w:uiPriority w:val="99"/>
    <w:rPr>
      <w:b/>
      <w:bCs/>
    </w:rPr>
  </w:style>
  <w:style w:type="character" w:customStyle="1" w:styleId="174">
    <w:name w:val="标题 字符3"/>
    <w:basedOn w:val="46"/>
    <w:autoRedefine/>
    <w:qFormat/>
    <w:uiPriority w:val="10"/>
    <w:rPr>
      <w:rFonts w:asciiTheme="majorHAnsi" w:hAnsiTheme="majorHAnsi" w:eastAsiaTheme="majorEastAsia" w:cstheme="majorBidi"/>
      <w:b/>
      <w:bCs/>
      <w:sz w:val="32"/>
      <w:szCs w:val="32"/>
    </w:rPr>
  </w:style>
  <w:style w:type="character" w:customStyle="1" w:styleId="175">
    <w:name w:val="正文文本缩进 字符3"/>
    <w:basedOn w:val="46"/>
    <w:autoRedefine/>
    <w:semiHidden/>
    <w:qFormat/>
    <w:uiPriority w:val="99"/>
  </w:style>
  <w:style w:type="character" w:customStyle="1" w:styleId="176">
    <w:name w:val="正文文本 字符4"/>
    <w:basedOn w:val="46"/>
    <w:autoRedefine/>
    <w:semiHidden/>
    <w:qFormat/>
    <w:uiPriority w:val="99"/>
  </w:style>
  <w:style w:type="character" w:customStyle="1" w:styleId="177">
    <w:name w:val="正文文本缩进 3 字符2"/>
    <w:basedOn w:val="46"/>
    <w:autoRedefine/>
    <w:semiHidden/>
    <w:qFormat/>
    <w:uiPriority w:val="99"/>
    <w:rPr>
      <w:sz w:val="16"/>
      <w:szCs w:val="16"/>
    </w:rPr>
  </w:style>
  <w:style w:type="character" w:customStyle="1" w:styleId="178">
    <w:name w:val="页眉 字符2"/>
    <w:basedOn w:val="46"/>
    <w:autoRedefine/>
    <w:semiHidden/>
    <w:qFormat/>
    <w:uiPriority w:val="99"/>
    <w:rPr>
      <w:sz w:val="18"/>
      <w:szCs w:val="18"/>
    </w:rPr>
  </w:style>
  <w:style w:type="character" w:customStyle="1" w:styleId="179">
    <w:name w:val="批注框文本 字符2"/>
    <w:basedOn w:val="46"/>
    <w:autoRedefine/>
    <w:semiHidden/>
    <w:qFormat/>
    <w:uiPriority w:val="99"/>
    <w:rPr>
      <w:sz w:val="18"/>
      <w:szCs w:val="18"/>
    </w:rPr>
  </w:style>
  <w:style w:type="character" w:customStyle="1" w:styleId="180">
    <w:name w:val="HTML 预设格式 字符2"/>
    <w:basedOn w:val="46"/>
    <w:autoRedefine/>
    <w:semiHidden/>
    <w:qFormat/>
    <w:uiPriority w:val="99"/>
    <w:rPr>
      <w:rFonts w:ascii="Courier New" w:hAnsi="Courier New" w:cs="Courier New"/>
      <w:sz w:val="20"/>
      <w:szCs w:val="20"/>
    </w:rPr>
  </w:style>
  <w:style w:type="character" w:customStyle="1" w:styleId="181">
    <w:name w:val="页脚 字符2"/>
    <w:basedOn w:val="46"/>
    <w:autoRedefine/>
    <w:semiHidden/>
    <w:qFormat/>
    <w:uiPriority w:val="99"/>
    <w:rPr>
      <w:sz w:val="18"/>
      <w:szCs w:val="18"/>
    </w:rPr>
  </w:style>
  <w:style w:type="character" w:customStyle="1" w:styleId="182">
    <w:name w:val="正文文本缩进 2 字符2"/>
    <w:basedOn w:val="46"/>
    <w:autoRedefine/>
    <w:semiHidden/>
    <w:qFormat/>
    <w:uiPriority w:val="99"/>
  </w:style>
  <w:style w:type="character" w:customStyle="1" w:styleId="183">
    <w:name w:val="正文文本 3 字符2"/>
    <w:basedOn w:val="46"/>
    <w:autoRedefine/>
    <w:semiHidden/>
    <w:qFormat/>
    <w:uiPriority w:val="99"/>
    <w:rPr>
      <w:sz w:val="16"/>
      <w:szCs w:val="16"/>
    </w:rPr>
  </w:style>
  <w:style w:type="character" w:customStyle="1" w:styleId="184">
    <w:name w:val="正文文本 2 字符2"/>
    <w:basedOn w:val="46"/>
    <w:autoRedefine/>
    <w:semiHidden/>
    <w:qFormat/>
    <w:uiPriority w:val="99"/>
  </w:style>
  <w:style w:type="paragraph" w:customStyle="1" w:styleId="18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8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7">
    <w:name w:val="文档结构图 字符2"/>
    <w:basedOn w:val="46"/>
    <w:autoRedefine/>
    <w:semiHidden/>
    <w:qFormat/>
    <w:uiPriority w:val="99"/>
    <w:rPr>
      <w:rFonts w:ascii="Microsoft YaHei UI" w:eastAsia="Microsoft YaHei UI"/>
      <w:sz w:val="18"/>
      <w:szCs w:val="18"/>
    </w:rPr>
  </w:style>
  <w:style w:type="character" w:customStyle="1" w:styleId="188">
    <w:name w:val="日期 字符2"/>
    <w:basedOn w:val="46"/>
    <w:autoRedefine/>
    <w:semiHidden/>
    <w:qFormat/>
    <w:uiPriority w:val="99"/>
  </w:style>
  <w:style w:type="paragraph" w:customStyle="1" w:styleId="189">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90">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91">
    <w:name w:val="修订1"/>
    <w:autoRedefine/>
    <w:semiHidden/>
    <w:qFormat/>
    <w:uiPriority w:val="99"/>
    <w:rPr>
      <w:rFonts w:ascii="宋体" w:hAnsi="Calibri" w:eastAsia="宋体" w:cs="Times New Roman"/>
      <w:sz w:val="24"/>
      <w:szCs w:val="24"/>
      <w:lang w:val="en-US" w:eastAsia="zh-CN" w:bidi="ar-SA"/>
    </w:rPr>
  </w:style>
  <w:style w:type="paragraph" w:customStyle="1" w:styleId="192">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5">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6">
    <w:name w:val="p0"/>
    <w:basedOn w:val="1"/>
    <w:autoRedefine/>
    <w:qFormat/>
    <w:uiPriority w:val="0"/>
    <w:pPr>
      <w:widowControl/>
    </w:pPr>
    <w:rPr>
      <w:rFonts w:ascii="Times New Roman" w:hAnsi="Calibri" w:eastAsia="宋体" w:cs="Times New Roman"/>
      <w:kern w:val="0"/>
      <w:szCs w:val="20"/>
    </w:rPr>
  </w:style>
  <w:style w:type="paragraph" w:customStyle="1" w:styleId="197">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9">
    <w:name w:val="网格表 32"/>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WPSOffice手动目录 1"/>
    <w:autoRedefine/>
    <w:qFormat/>
    <w:uiPriority w:val="0"/>
    <w:rPr>
      <w:rFonts w:ascii="Calibri" w:hAnsi="Calibri" w:eastAsia="宋体" w:cs="Times New Roman"/>
      <w:lang w:val="en-US" w:eastAsia="zh-CN" w:bidi="ar-SA"/>
    </w:rPr>
  </w:style>
  <w:style w:type="paragraph" w:customStyle="1" w:styleId="201">
    <w:name w:val="_Style 69"/>
    <w:basedOn w:val="1"/>
    <w:next w:val="138"/>
    <w:autoRedefine/>
    <w:qFormat/>
    <w:uiPriority w:val="34"/>
    <w:pPr>
      <w:spacing w:line="360" w:lineRule="auto"/>
      <w:ind w:firstLine="420" w:firstLineChars="200"/>
    </w:pPr>
    <w:rPr>
      <w:rFonts w:ascii="Calibri" w:hAnsi="Calibri" w:eastAsia="宋体" w:cs="Times New Roman"/>
    </w:rPr>
  </w:style>
  <w:style w:type="paragraph" w:customStyle="1" w:styleId="202">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保留正文"/>
    <w:basedOn w:val="19"/>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4">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205">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206">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7">
    <w:name w:val="表格文字居中"/>
    <w:basedOn w:val="131"/>
    <w:autoRedefine/>
    <w:qFormat/>
    <w:uiPriority w:val="0"/>
    <w:pPr>
      <w:jc w:val="center"/>
    </w:pPr>
    <w:rPr>
      <w:rFonts w:cs="宋体"/>
      <w:szCs w:val="20"/>
    </w:rPr>
  </w:style>
  <w:style w:type="paragraph" w:customStyle="1" w:styleId="208">
    <w:name w:val="正文缩进4格"/>
    <w:basedOn w:val="72"/>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9">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10">
    <w:name w:val="正文首行缩进 字符"/>
    <w:basedOn w:val="127"/>
    <w:link w:val="42"/>
    <w:autoRedefine/>
    <w:semiHidden/>
    <w:qFormat/>
    <w:uiPriority w:val="99"/>
    <w:rPr>
      <w:rFonts w:ascii="宋体" w:eastAsia="宋体"/>
      <w:b w:val="0"/>
      <w:bCs w:val="0"/>
      <w:sz w:val="84"/>
      <w:szCs w:val="84"/>
      <w:lang w:val="zh-CN"/>
    </w:rPr>
  </w:style>
  <w:style w:type="paragraph" w:customStyle="1" w:styleId="21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2">
    <w:name w:val="页脚 字符"/>
    <w:basedOn w:val="46"/>
    <w:link w:val="28"/>
    <w:autoRedefine/>
    <w:qFormat/>
    <w:uiPriority w:val="0"/>
    <w:rPr>
      <w:kern w:val="2"/>
      <w:sz w:val="18"/>
    </w:rPr>
  </w:style>
  <w:style w:type="paragraph" w:customStyle="1" w:styleId="213">
    <w:name w:val="Table Text"/>
    <w:basedOn w:val="1"/>
    <w:link w:val="214"/>
    <w:autoRedefine/>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14">
    <w:name w:val="Table Text Char1"/>
    <w:basedOn w:val="46"/>
    <w:link w:val="213"/>
    <w:autoRedefine/>
    <w:qFormat/>
    <w:uiPriority w:val="0"/>
    <w:rPr>
      <w:rFonts w:hint="default" w:ascii="Arial" w:hAnsi="Arial" w:cs="Arial"/>
      <w:snapToGrid/>
      <w:sz w:val="21"/>
      <w:szCs w:val="21"/>
    </w:rPr>
  </w:style>
  <w:style w:type="table" w:customStyle="1" w:styleId="215">
    <w:name w:val="Table Normal"/>
    <w:basedOn w:val="44"/>
    <w:autoRedefine/>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16">
    <w:name w:val="！正文"/>
    <w:basedOn w:val="1"/>
    <w:autoRedefine/>
    <w:qFormat/>
    <w:uiPriority w:val="0"/>
    <w:pPr>
      <w:spacing w:line="360" w:lineRule="auto"/>
      <w:ind w:firstLine="624" w:firstLineChars="200"/>
    </w:pPr>
    <w:rPr>
      <w:rFonts w:ascii="Times New Roman" w:hAnsi="Times New Roman" w:eastAsia="仿宋_GB2312" w:cs="Times New Roman"/>
      <w:bCs/>
      <w:color w:val="000000"/>
      <w:sz w:val="28"/>
      <w:szCs w:val="28"/>
    </w:rPr>
  </w:style>
  <w:style w:type="paragraph" w:customStyle="1" w:styleId="217">
    <w:name w:val="列出段落2"/>
    <w:basedOn w:val="1"/>
    <w:qFormat/>
    <w:uiPriority w:val="99"/>
    <w:pPr>
      <w:ind w:firstLine="420" w:firstLineChars="200"/>
    </w:pPr>
  </w:style>
  <w:style w:type="character" w:customStyle="1" w:styleId="218">
    <w:name w:val="10"/>
    <w:basedOn w:val="46"/>
    <w:qFormat/>
    <w:uiPriority w:val="0"/>
    <w:rPr>
      <w:rFonts w:hint="default" w:ascii="Times New Roman" w:hAnsi="Times New Roman" w:cs="Times New Roman"/>
    </w:rPr>
  </w:style>
  <w:style w:type="character" w:customStyle="1" w:styleId="219">
    <w:name w:val="15"/>
    <w:basedOn w:val="4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20822</Words>
  <Characters>22039</Characters>
  <Lines>1</Lines>
  <Paragraphs>1</Paragraphs>
  <TotalTime>4</TotalTime>
  <ScaleCrop>false</ScaleCrop>
  <LinksUpToDate>false</LinksUpToDate>
  <CharactersWithSpaces>22614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郑翠婷</cp:lastModifiedBy>
  <cp:lastPrinted>2025-06-24T01:44:07Z</cp:lastPrinted>
  <dcterms:modified xsi:type="dcterms:W3CDTF">2025-06-24T01:46:54Z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DD63FAA4C0D04FA09843BF30691A743C_13</vt:lpwstr>
  </property>
  <property fmtid="{D5CDD505-2E9C-101B-9397-08002B2CF9AE}" pid="4" name="KSOTemplateDocerSaveRecord">
    <vt:lpwstr>eyJoZGlkIjoiMTc5YzhiYWE3NjUwZTczOTVhM2Y3YjhmMzQ2NGQwMWEiLCJ1c2VySWQiOiI0MzczNTY5ODQifQ==</vt:lpwstr>
  </property>
</Properties>
</file>