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/>
        <w:tabs>
          <w:tab w:val="left" w:pos="1080"/>
        </w:tabs>
        <w:spacing w:line="360" w:lineRule="auto"/>
        <w:ind w:left="567" w:hanging="567"/>
        <w:jc w:val="center"/>
        <w:rPr>
          <w:rFonts w:ascii="宋体" w:hAnsi="宋体" w:eastAsia="宋体"/>
          <w:b/>
          <w:bCs/>
          <w:kern w:val="44"/>
          <w:sz w:val="32"/>
          <w:szCs w:val="32"/>
          <w:lang w:val="zh-CN"/>
        </w:rPr>
      </w:pPr>
      <w:bookmarkStart w:id="0" w:name="_Toc54333949"/>
      <w:bookmarkStart w:id="1" w:name="_Toc521918064"/>
      <w:bookmarkStart w:id="2" w:name="_Toc450662846"/>
      <w:r>
        <w:rPr>
          <w:rFonts w:hint="eastAsia" w:ascii="宋体" w:hAnsi="宋体" w:eastAsia="宋体"/>
          <w:b/>
          <w:bCs/>
          <w:kern w:val="44"/>
          <w:sz w:val="32"/>
          <w:szCs w:val="32"/>
          <w:lang w:val="zh-CN"/>
        </w:rPr>
        <w:t>东莞市水务集团有限公司2025年污水处理厂专项审计采购项目公开</w:t>
      </w:r>
      <w:r>
        <w:rPr>
          <w:rFonts w:hint="eastAsia" w:ascii="宋体" w:hAnsi="宋体" w:eastAsia="宋体"/>
          <w:b/>
          <w:bCs/>
          <w:kern w:val="44"/>
          <w:sz w:val="32"/>
          <w:szCs w:val="32"/>
          <w:lang w:val="en-US" w:eastAsia="zh-CN"/>
        </w:rPr>
        <w:t>比选</w:t>
      </w:r>
      <w:r>
        <w:rPr>
          <w:rFonts w:ascii="宋体" w:hAnsi="宋体" w:eastAsia="宋体"/>
          <w:b/>
          <w:bCs/>
          <w:kern w:val="44"/>
          <w:sz w:val="32"/>
          <w:szCs w:val="32"/>
          <w:lang w:val="zh-CN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各潜在供应商：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 w:firstLine="420" w:firstLineChars="20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广东有德招标采购有限公司（以下简称“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采购代理机构</w:t>
      </w:r>
      <w:r>
        <w:rPr>
          <w:rFonts w:hint="eastAsia" w:ascii="宋体" w:hAnsi="宋体" w:eastAsia="宋体" w:cs="宋体"/>
          <w:kern w:val="0"/>
          <w:sz w:val="21"/>
          <w:szCs w:val="21"/>
        </w:rPr>
        <w:t>”）受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东莞市水务集团有限公司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（以下简称“采购人”）</w:t>
      </w:r>
      <w:r>
        <w:rPr>
          <w:rFonts w:hint="eastAsia" w:ascii="宋体" w:hAnsi="宋体" w:eastAsia="宋体" w:cs="宋体"/>
          <w:kern w:val="2"/>
          <w:sz w:val="21"/>
          <w:szCs w:val="21"/>
        </w:rPr>
        <w:t>的委托，对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东莞市水务集团有限公司2025年污水处理厂专项审计采购项目</w:t>
      </w:r>
      <w:r>
        <w:rPr>
          <w:rFonts w:hint="eastAsia" w:ascii="宋体" w:hAnsi="宋体" w:eastAsia="宋体" w:cs="宋体"/>
          <w:kern w:val="2"/>
          <w:sz w:val="21"/>
          <w:szCs w:val="21"/>
        </w:rPr>
        <w:t>进行公开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比选工作</w:t>
      </w:r>
      <w:r>
        <w:rPr>
          <w:rFonts w:hint="eastAsia" w:ascii="宋体" w:hAnsi="宋体" w:eastAsia="宋体" w:cs="宋体"/>
          <w:kern w:val="2"/>
          <w:sz w:val="21"/>
          <w:szCs w:val="21"/>
        </w:rPr>
        <w:t>，详细内容请参见本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比选文件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。欢迎符合条件的合格供应商参加，有关事项如下：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right="-34" w:firstLine="0"/>
        <w:jc w:val="both"/>
        <w:rPr>
          <w:rFonts w:hint="eastAsia" w:ascii="宋体" w:hAnsi="宋体" w:eastAsia="宋体" w:cs="宋体"/>
          <w:b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zh-CN"/>
        </w:rPr>
        <w:t>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hanging="424" w:hangingChars="202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3" w:name="_Toc16523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1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 w:eastAsia="zh-CN" w:bidi="ar-SA"/>
        </w:rPr>
        <w:t>东莞市水务集团有限公司2025年污水处理厂专项审计采购项目服务范围包括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对东莞市水务集团有限公司下属的六个污水处理厂（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清溪厦坭污水处理厂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东莞市高埗镇污水处理厂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东莞市常平西部污水处理厂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东莞市黄江梅塘南部污水处理厂、东莞市沙田福禄沙污水处理厂、东莞市大岭山连马污水处理厂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）工程项目的专项审计（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 w:eastAsia="zh-CN" w:bidi="ar-SA"/>
        </w:rPr>
        <w:t>具体服务内容详见用户需求书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）。</w:t>
      </w:r>
      <w:bookmarkEnd w:id="3"/>
      <w:bookmarkStart w:id="4" w:name="_Toc20765"/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b/>
          <w:color w:val="auto"/>
          <w:kern w:val="2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</w:rPr>
        <w:t xml:space="preserve">2   </w:t>
      </w:r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lang w:val="zh-CN"/>
        </w:rPr>
        <w:t>合格供应商资格要求：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hanging="426" w:hangingChars="202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</w:pPr>
      <w:bookmarkStart w:id="5" w:name="_Toc1358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2.1 在中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华人民共和国境内登记注册的、合法存续、正常经营且具有独立承担民事责任能力的法人或其他组织；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200" w:firstLine="0" w:firstLineChars="0"/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highlight w:val="none"/>
          <w:lang w:val="zh-CN"/>
        </w:rPr>
        <w:t>若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highlight w:val="none"/>
          <w:lang w:val="zh-CN" w:eastAsia="zh-CN"/>
        </w:rPr>
        <w:t>响应供应商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highlight w:val="none"/>
          <w:lang w:val="zh-CN"/>
        </w:rPr>
        <w:t>为非独立法人(即由合法法人依法建立的分公司/分所)，还必须同时提供①总公司/总所的多证合一营业执照；②总公司/总所对分公司/分所出具的独家授权其参加本次投标的授权书；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24" w:hanging="426" w:hangingChars="20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2.2响应供应商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应遵守国家有关法律、法规、规章以及政策规定，严格履行法定职责，参加招标活动的近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年内在经营活动、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招投标活动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中没有重大违法记录。重大违法记录，是指供应商因违法经营受到刑事处罚或者责令停产停业、吊销许可证或者执照、较大数额罚款等行政处罚。(根据财库(2022)3号文，“较大数额罚款”认定为200万元以上的罚款，法律、行政法规以及国务院有关部门明确规定相关领域“较大数额罚款”标准高于200万元的，从其规定，如有最新发文通知，按最新文件执行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hanging="426" w:hangingChars="202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 xml:space="preserve"> 响应供应商自202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年1月1日以来至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截止时间范围内具有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 w:eastAsia="zh-CN"/>
        </w:rPr>
        <w:t>一份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国有企业或政府事业单位投资的工程审计项目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业绩（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合同签订日期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为2022年1月1日或以后）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zh-CN"/>
        </w:rPr>
        <w:t>；</w:t>
      </w:r>
    </w:p>
    <w:bookmarkEnd w:id="5"/>
    <w:p>
      <w:pPr>
        <w:keepNext w:val="0"/>
        <w:keepLines w:val="0"/>
        <w:pageBreakBefore w:val="0"/>
        <w:tabs>
          <w:tab w:val="left" w:pos="0"/>
          <w:tab w:val="left" w:pos="142"/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2" w:leftChars="-1" w:right="-34" w:firstLine="1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</w:pPr>
      <w:bookmarkStart w:id="6" w:name="_Toc4173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 xml:space="preserve"> 本项目不接受联合体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参与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。</w:t>
      </w:r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bCs/>
          <w:kern w:val="2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bCs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</w:rPr>
        <w:t xml:space="preserve">3   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供应商获取比选文件的方式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18" w:leftChars="174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有意愿参与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响应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的供应商请自行在中国招标投标公共服务平台（www.cebpubservice.com）、东莞市水务集团有限公司网站（www.dgswjt.cn）、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采购代理机构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网站（www.youde.net）下载本项目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比选文件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，并根据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比选文件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的规定编制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响应文件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采购代理机构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将通过“信用中国”网站（ 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instrText xml:space="preserve"> HYPERLINK "http://www.creditchina.gov.cn）查询"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fldChar w:fldCharType="separate"/>
      </w:r>
      <w:r>
        <w:rPr>
          <w:rStyle w:val="15"/>
          <w:rFonts w:hint="eastAsia" w:ascii="宋体" w:hAnsi="宋体" w:eastAsia="宋体" w:cs="宋体"/>
          <w:color w:val="auto"/>
          <w:kern w:val="2"/>
          <w:sz w:val="21"/>
          <w:szCs w:val="21"/>
          <w:lang w:val="zh-CN"/>
        </w:rPr>
        <w:t>www.creditchina.gov.cn）查询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供应商（含其不具有独立法人资格的分支机构）信用记录。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采购代理机构</w:t>
      </w:r>
      <w:r>
        <w:rPr>
          <w:rFonts w:hint="eastAsia" w:ascii="宋体" w:hAnsi="宋体" w:eastAsia="宋体" w:cs="宋体"/>
          <w:kern w:val="2"/>
          <w:sz w:val="21"/>
          <w:szCs w:val="21"/>
        </w:rPr>
        <w:t>或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采购人对供应商信用记录进行甄别，对列入失信被执行人、重大税收违法</w:t>
      </w:r>
      <w:r>
        <w:rPr>
          <w:rFonts w:hint="eastAsia" w:ascii="宋体" w:hAnsi="宋体" w:eastAsia="宋体" w:cs="宋体"/>
          <w:kern w:val="2"/>
          <w:sz w:val="21"/>
          <w:szCs w:val="21"/>
        </w:rPr>
        <w:t>失信主体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、严重违法失信行为记录名单的供应商，做好相关记录（处罚期限届满的除外）。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  响应文件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递交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时间及地点：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.1 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  <w:lang w:eastAsia="zh-CN"/>
        </w:rPr>
        <w:t>响应文件</w:t>
      </w:r>
      <w:r>
        <w:rPr>
          <w:rFonts w:hint="eastAsia" w:ascii="宋体" w:hAnsi="宋体" w:eastAsia="宋体" w:cs="宋体"/>
          <w:kern w:val="2"/>
          <w:sz w:val="21"/>
          <w:szCs w:val="21"/>
          <w:u w:val="none"/>
        </w:rPr>
        <w:t>递交时间：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年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月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日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: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00 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～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: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.</w:t>
      </w:r>
      <w:r>
        <w:rPr>
          <w:rFonts w:hint="eastAsia" w:ascii="宋体" w:hAnsi="宋体" w:eastAsia="宋体" w:cs="宋体"/>
          <w:kern w:val="2"/>
          <w:sz w:val="21"/>
          <w:szCs w:val="21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响应文件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递交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地点：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zh-CN"/>
        </w:rPr>
        <w:t>东莞市东城街道新源路海德琥珀台6栋1703室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  响应文件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审查时间及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地点：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.1 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响应文件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审查时间：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年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月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日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:</w:t>
      </w:r>
      <w:r>
        <w:rPr>
          <w:rFonts w:hint="eastAsia" w:ascii="宋体" w:hAnsi="宋体" w:cs="Times New Roman"/>
          <w:kern w:val="2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0 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～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2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  <w:t>: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2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/>
        </w:rPr>
        <w:t xml:space="preserve">0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.</w:t>
      </w:r>
      <w:r>
        <w:rPr>
          <w:rFonts w:hint="eastAsia" w:ascii="宋体" w:hAnsi="宋体" w:eastAsia="宋体" w:cs="宋体"/>
          <w:kern w:val="2"/>
          <w:sz w:val="21"/>
          <w:szCs w:val="21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响应文件</w:t>
      </w:r>
      <w:r>
        <w:rPr>
          <w:rFonts w:hint="eastAsia" w:ascii="宋体" w:hAnsi="宋体" w:eastAsia="宋体" w:cs="宋体"/>
          <w:kern w:val="2"/>
          <w:sz w:val="21"/>
          <w:szCs w:val="21"/>
        </w:rPr>
        <w:t>审查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地点：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zh-CN"/>
        </w:rPr>
        <w:t>东莞市东城街道新源路海德琥珀台6栋1712室</w:t>
      </w:r>
      <w:r>
        <w:rPr>
          <w:rFonts w:hint="eastAsia" w:ascii="宋体" w:hAnsi="宋体" w:eastAsia="宋体" w:cs="宋体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 w:right="-34" w:hanging="420" w:hanging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7   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本项目补充通知在中国招标投标公共服务平台（www.cebpubservice.com）、东莞市水务集团有限公司网站（www.dgswjt.cn）、采购代理机构网站（www.youde.net）予以公告，除此方式外，不再另行通知。供应商必须密切留意本项目补充通知发放信息，并自行下载补充通知及相关资料。如未留意或及时下载，一切后果由供应商自负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8  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采购人联系方式：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 w:firstLine="283" w:firstLineChars="135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采购人：东莞市水务集团有限公司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联系人地址：东莞市东城街道育华路1号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联 系 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莫建斌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电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0769-22293252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4"/>
        <w:jc w:val="both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采购代理机构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联系方式：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采购代理机构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：广东有德招标采购有限公司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地    址：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东莞市东城街道新源路海德琥珀台6栋1703室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联 系 人：郑翠婷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283" w:firstLineChars="135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电    话：0769-23362836-8019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36" w:firstLine="386" w:firstLineChars="184"/>
        <w:jc w:val="left"/>
        <w:textAlignment w:val="bottom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邮    箱：youdedg@163.com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</w:rPr>
        <w:t>：东莞市水务集团有限公司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代理机构：</w:t>
      </w:r>
      <w:r>
        <w:rPr>
          <w:rFonts w:hint="eastAsia" w:ascii="宋体" w:hAnsi="宋体" w:eastAsia="宋体" w:cs="宋体"/>
          <w:kern w:val="2"/>
          <w:sz w:val="21"/>
          <w:szCs w:val="21"/>
          <w:lang w:val="zh-CN"/>
        </w:rPr>
        <w:t>广东有德招标采购有限公司</w:t>
      </w:r>
    </w:p>
    <w:p>
      <w:pPr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1"/>
          <w:lang w:val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Start w:id="7" w:name="_Hlk152341935"/>
      <w:bookmarkStart w:id="8" w:name="_GoBack"/>
      <w:bookmarkEnd w:id="8"/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bookmarkEnd w:id="7"/>
    </w:p>
    <w:sectPr>
      <w:pgSz w:w="11906" w:h="16838"/>
      <w:pgMar w:top="720" w:right="1226" w:bottom="75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E3414"/>
    <w:multiLevelType w:val="multilevel"/>
    <w:tmpl w:val="1ABE34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24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DcxYWRlYmRkOGNkMGUyZTgyNTQ2NmZlMmIxODUifQ=="/>
  </w:docVars>
  <w:rsids>
    <w:rsidRoot w:val="00CC0EDD"/>
    <w:rsid w:val="00013097"/>
    <w:rsid w:val="00102120"/>
    <w:rsid w:val="0014075D"/>
    <w:rsid w:val="00172041"/>
    <w:rsid w:val="00197EAE"/>
    <w:rsid w:val="001A71D0"/>
    <w:rsid w:val="001E68D9"/>
    <w:rsid w:val="00201BA3"/>
    <w:rsid w:val="00217452"/>
    <w:rsid w:val="002344F3"/>
    <w:rsid w:val="00270966"/>
    <w:rsid w:val="00297838"/>
    <w:rsid w:val="002F5356"/>
    <w:rsid w:val="00336ED3"/>
    <w:rsid w:val="00371C36"/>
    <w:rsid w:val="003A6089"/>
    <w:rsid w:val="004A52EF"/>
    <w:rsid w:val="004E1F13"/>
    <w:rsid w:val="004F2D9F"/>
    <w:rsid w:val="00525938"/>
    <w:rsid w:val="00542800"/>
    <w:rsid w:val="005473F4"/>
    <w:rsid w:val="00566100"/>
    <w:rsid w:val="005836BD"/>
    <w:rsid w:val="0063569C"/>
    <w:rsid w:val="006438C0"/>
    <w:rsid w:val="006B7133"/>
    <w:rsid w:val="00724D3F"/>
    <w:rsid w:val="00734501"/>
    <w:rsid w:val="00737788"/>
    <w:rsid w:val="00773C9F"/>
    <w:rsid w:val="008710C5"/>
    <w:rsid w:val="00874C34"/>
    <w:rsid w:val="00875C56"/>
    <w:rsid w:val="008A2474"/>
    <w:rsid w:val="008B38FA"/>
    <w:rsid w:val="008B39CF"/>
    <w:rsid w:val="00924552"/>
    <w:rsid w:val="0097039F"/>
    <w:rsid w:val="00981643"/>
    <w:rsid w:val="00983593"/>
    <w:rsid w:val="009A6D92"/>
    <w:rsid w:val="00A53166"/>
    <w:rsid w:val="00A71908"/>
    <w:rsid w:val="00A80920"/>
    <w:rsid w:val="00AB2C0B"/>
    <w:rsid w:val="00B100AC"/>
    <w:rsid w:val="00B52F9C"/>
    <w:rsid w:val="00BD3A46"/>
    <w:rsid w:val="00BF0229"/>
    <w:rsid w:val="00C36A31"/>
    <w:rsid w:val="00C402D2"/>
    <w:rsid w:val="00CC0EDD"/>
    <w:rsid w:val="00CD78C3"/>
    <w:rsid w:val="00CF10C0"/>
    <w:rsid w:val="00D1033D"/>
    <w:rsid w:val="00D20FFF"/>
    <w:rsid w:val="00D801EF"/>
    <w:rsid w:val="00D941B4"/>
    <w:rsid w:val="00DC220F"/>
    <w:rsid w:val="00DF4D72"/>
    <w:rsid w:val="00E65BED"/>
    <w:rsid w:val="00E779B4"/>
    <w:rsid w:val="00EC5AB1"/>
    <w:rsid w:val="00EF7CDB"/>
    <w:rsid w:val="00F21740"/>
    <w:rsid w:val="00F43493"/>
    <w:rsid w:val="00F5074B"/>
    <w:rsid w:val="00FA29B9"/>
    <w:rsid w:val="00FB2811"/>
    <w:rsid w:val="00FE4A5C"/>
    <w:rsid w:val="00FF78A5"/>
    <w:rsid w:val="02712090"/>
    <w:rsid w:val="03A0012F"/>
    <w:rsid w:val="11395E2C"/>
    <w:rsid w:val="40552D39"/>
    <w:rsid w:val="4B1C284C"/>
    <w:rsid w:val="64F047E8"/>
    <w:rsid w:val="65227583"/>
    <w:rsid w:val="6EF557B2"/>
    <w:rsid w:val="75E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等线 Light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outlineLvl w:val="0"/>
    </w:pPr>
    <w:rPr>
      <w:rFonts w:hAnsi="幼圆" w:eastAsia="等线 Light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4">
    <w:name w:val="annotation text"/>
    <w:basedOn w:val="1"/>
    <w:link w:val="26"/>
    <w:semiHidden/>
    <w:unhideWhenUsed/>
    <w:qFormat/>
    <w:uiPriority w:val="99"/>
  </w:style>
  <w:style w:type="paragraph" w:styleId="5">
    <w:name w:val="Body Text"/>
    <w:basedOn w:val="1"/>
    <w:next w:val="1"/>
    <w:qFormat/>
    <w:uiPriority w:val="99"/>
    <w:pPr>
      <w:autoSpaceDE w:val="0"/>
      <w:autoSpaceDN w:val="0"/>
      <w:adjustRightInd w:val="0"/>
      <w:ind w:right="-26"/>
      <w:jc w:val="center"/>
    </w:pPr>
    <w:rPr>
      <w:rFonts w:ascii="宋体" w:eastAsia="宋体"/>
      <w:b/>
      <w:bCs/>
      <w:sz w:val="84"/>
      <w:szCs w:val="84"/>
      <w:lang w:val="zh-CN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宋体"/>
    </w:rPr>
  </w:style>
  <w:style w:type="paragraph" w:styleId="7">
    <w:name w:val="List Bullet 2"/>
    <w:basedOn w:val="1"/>
    <w:qFormat/>
    <w:uiPriority w:val="0"/>
    <w:pPr>
      <w:tabs>
        <w:tab w:val="left" w:pos="360"/>
        <w:tab w:val="left" w:pos="780"/>
      </w:tabs>
      <w:autoSpaceDE/>
      <w:autoSpaceDN/>
      <w:adjustRightInd/>
      <w:ind w:left="780" w:leftChars="200" w:hanging="340"/>
      <w:jc w:val="both"/>
    </w:pPr>
    <w:rPr>
      <w:rFonts w:ascii="Calibri" w:hAnsi="Calibri"/>
      <w:kern w:val="2"/>
      <w:sz w:val="21"/>
      <w:szCs w:val="21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00"/>
      <w:sz w:val="12"/>
      <w:szCs w:val="12"/>
      <w:u w:val="non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1 Char"/>
    <w:basedOn w:val="14"/>
    <w:qFormat/>
    <w:uiPriority w:val="9"/>
    <w:rPr>
      <w:rFonts w:ascii="等线 Light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1 字符"/>
    <w:link w:val="3"/>
    <w:qFormat/>
    <w:uiPriority w:val="0"/>
    <w:rPr>
      <w:rFonts w:ascii="等线 Light" w:hAnsi="幼圆" w:eastAsia="等线 Light" w:cs="Times New Roman"/>
      <w:kern w:val="0"/>
      <w:sz w:val="24"/>
      <w:szCs w:val="24"/>
    </w:rPr>
  </w:style>
  <w:style w:type="paragraph" w:styleId="21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等线 Light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2">
    <w:name w:val="List Paragraph"/>
    <w:basedOn w:val="1"/>
    <w:link w:val="23"/>
    <w:qFormat/>
    <w:uiPriority w:val="34"/>
    <w:pPr>
      <w:autoSpaceDE/>
      <w:autoSpaceDN/>
      <w:adjustRightInd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character" w:customStyle="1" w:styleId="23">
    <w:name w:val="列表段落 字符1"/>
    <w:link w:val="22"/>
    <w:qFormat/>
    <w:uiPriority w:val="34"/>
    <w:rPr>
      <w:rFonts w:ascii="Calibri" w:hAnsi="Calibri" w:eastAsia="宋体" w:cs="Times New Roman"/>
    </w:rPr>
  </w:style>
  <w:style w:type="paragraph" w:customStyle="1" w:styleId="24">
    <w:name w:val="样式4"/>
    <w:basedOn w:val="1"/>
    <w:qFormat/>
    <w:uiPriority w:val="0"/>
    <w:pPr>
      <w:numPr>
        <w:ilvl w:val="3"/>
        <w:numId w:val="1"/>
      </w:numPr>
      <w:tabs>
        <w:tab w:val="left" w:pos="851"/>
        <w:tab w:val="left" w:pos="1984"/>
      </w:tabs>
      <w:autoSpaceDE/>
      <w:autoSpaceDN/>
      <w:adjustRightInd/>
      <w:jc w:val="both"/>
    </w:pPr>
    <w:rPr>
      <w:rFonts w:ascii="Times New Roman"/>
      <w:kern w:val="2"/>
      <w:sz w:val="21"/>
    </w:rPr>
  </w:style>
  <w:style w:type="character" w:customStyle="1" w:styleId="25">
    <w:name w:val="批注框文本 字符"/>
    <w:basedOn w:val="14"/>
    <w:link w:val="8"/>
    <w:semiHidden/>
    <w:qFormat/>
    <w:uiPriority w:val="99"/>
    <w:rPr>
      <w:rFonts w:ascii="等线 Light" w:hAnsi="Times New Roman" w:eastAsia="宋体" w:cs="Times New Roman"/>
      <w:kern w:val="0"/>
      <w:sz w:val="18"/>
      <w:szCs w:val="18"/>
    </w:rPr>
  </w:style>
  <w:style w:type="character" w:customStyle="1" w:styleId="26">
    <w:name w:val="批注文字 字符"/>
    <w:basedOn w:val="14"/>
    <w:link w:val="4"/>
    <w:semiHidden/>
    <w:qFormat/>
    <w:uiPriority w:val="99"/>
    <w:rPr>
      <w:rFonts w:ascii="等线 Light" w:hAnsi="Times New Roman" w:eastAsia="宋体" w:cs="Times New Roman"/>
      <w:kern w:val="0"/>
      <w:sz w:val="24"/>
      <w:szCs w:val="24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等线 Light" w:hAnsi="Times New Roman" w:eastAsia="宋体" w:cs="Times New Roman"/>
      <w:b/>
      <w:bCs/>
      <w:kern w:val="0"/>
      <w:sz w:val="24"/>
      <w:szCs w:val="24"/>
    </w:rPr>
  </w:style>
  <w:style w:type="character" w:customStyle="1" w:styleId="28">
    <w:name w:val="列表段落 字符"/>
    <w:link w:val="29"/>
    <w:qFormat/>
    <w:uiPriority w:val="34"/>
    <w:rPr>
      <w:rFonts w:ascii="宋体"/>
      <w:sz w:val="24"/>
      <w:szCs w:val="24"/>
    </w:rPr>
  </w:style>
  <w:style w:type="paragraph" w:customStyle="1" w:styleId="29">
    <w:name w:val="列表段落1"/>
    <w:basedOn w:val="1"/>
    <w:link w:val="28"/>
    <w:qFormat/>
    <w:uiPriority w:val="34"/>
    <w:pPr>
      <w:ind w:firstLine="420" w:firstLineChars="200"/>
    </w:pPr>
    <w:rPr>
      <w:rFonts w:ascii="宋体" w:hAnsiTheme="minorHAnsi" w:eastAsiaTheme="minorEastAsia" w:cstheme="minorBidi"/>
      <w:kern w:val="2"/>
    </w:rPr>
  </w:style>
  <w:style w:type="character" w:customStyle="1" w:styleId="30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31">
    <w:name w:val="列出段落 Char1"/>
    <w:qFormat/>
    <w:uiPriority w:val="34"/>
    <w:rPr>
      <w:rFonts w:ascii="宋体"/>
      <w:sz w:val="24"/>
      <w:szCs w:val="24"/>
    </w:rPr>
  </w:style>
  <w:style w:type="paragraph" w:customStyle="1" w:styleId="32">
    <w:name w:val="_Style 29"/>
    <w:basedOn w:val="1"/>
    <w:next w:val="22"/>
    <w:link w:val="33"/>
    <w:qFormat/>
    <w:uiPriority w:val="34"/>
    <w:pPr>
      <w:ind w:firstLine="420" w:firstLineChars="200"/>
    </w:pPr>
    <w:rPr>
      <w:rFonts w:ascii="宋体" w:hAnsiTheme="minorHAnsi" w:eastAsiaTheme="minorEastAsia" w:cstheme="minorBidi"/>
      <w:kern w:val="2"/>
    </w:rPr>
  </w:style>
  <w:style w:type="character" w:customStyle="1" w:styleId="33">
    <w:name w:val="列出段落 字符"/>
    <w:link w:val="32"/>
    <w:qFormat/>
    <w:uiPriority w:val="34"/>
    <w:rPr>
      <w:rFonts w:ascii="宋体"/>
      <w:sz w:val="24"/>
      <w:szCs w:val="24"/>
    </w:rPr>
  </w:style>
  <w:style w:type="paragraph" w:customStyle="1" w:styleId="34">
    <w:name w:val="彩色列表 - 强调文字颜色 11"/>
    <w:basedOn w:val="1"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1407</Words>
  <Characters>1611</Characters>
  <Lines>13</Lines>
  <Paragraphs>3</Paragraphs>
  <TotalTime>0</TotalTime>
  <ScaleCrop>false</ScaleCrop>
  <LinksUpToDate>false</LinksUpToDate>
  <CharactersWithSpaces>1858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2021-07-09T07:00:00Z</dcterms:created>
  <dc:creator>karl</dc:creator>
  <cp:lastModifiedBy>莫建斌</cp:lastModifiedBy>
  <cp:lastPrinted>2024-08-30T03:58:00Z</cp:lastPrinted>
  <dcterms:modified xsi:type="dcterms:W3CDTF">2025-06-18T07:40:57Z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E4DF5E0E7FE749BEA3CC502F2C63D2CD</vt:lpwstr>
  </property>
  <property fmtid="{D5CDD505-2E9C-101B-9397-08002B2CF9AE}" pid="4" name="KSOTemplateDocerSaveRecord">
    <vt:lpwstr>eyJoZGlkIjoiYjM3MDlmZjc5NjhlNzcxODhhNDYyMDVhNmE1MTU0NzgiLCJ1c2VySWQiOiI0MzczNTY5ODQifQ==</vt:lpwstr>
  </property>
</Properties>
</file>