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东莞市供水设施更新改造项目-松山湖新城路给水管网改造工程第三方监测服务采购项目（重新招标）</w:t>
      </w: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号：0832-SFCX24DG197C</w:t>
      </w:r>
      <w:r>
        <w:rPr>
          <w:rFonts w:hint="eastAsia" w:ascii="宋体" w:hAnsi="宋体" w:eastAsia="宋体" w:cs="Times New Roman"/>
          <w:b/>
          <w:bCs/>
          <w:color w:val="auto"/>
          <w:sz w:val="32"/>
          <w:szCs w:val="32"/>
          <w:highlight w:val="none"/>
          <w:lang w:val="en-US" w:eastAsia="zh-CN"/>
        </w:rPr>
        <w:t>-1</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14</w:t>
      </w:r>
      <w:r>
        <w:rPr>
          <w:rFonts w:hint="eastAsia" w:ascii="宋体" w:hAnsi="宋体" w:eastAsia="宋体" w:cs="宋体"/>
          <w:b/>
          <w:bCs/>
          <w:color w:val="auto"/>
          <w:sz w:val="32"/>
          <w:szCs w:val="32"/>
          <w:highlight w:val="none"/>
          <w:lang w:val="zh-CN"/>
        </w:rPr>
        <w:t>日</w:t>
      </w:r>
    </w:p>
    <w:p>
      <w:pPr>
        <w:rPr>
          <w:rFonts w:ascii="宋体" w:hAnsi="宋体" w:eastAsia="宋体" w:cs="Times New Roman"/>
          <w:b/>
          <w:bCs/>
          <w:color w:val="auto"/>
          <w:kern w:val="44"/>
          <w:sz w:val="32"/>
          <w:szCs w:val="32"/>
          <w:highlight w:val="none"/>
          <w:lang w:val="zh-CN"/>
        </w:rPr>
      </w:pPr>
      <w:bookmarkStart w:id="0" w:name="_Toc9414"/>
      <w:bookmarkStart w:id="1" w:name="_Toc2723_WPSOffice_Level1"/>
      <w:bookmarkStart w:id="2" w:name="_Toc450662846"/>
      <w:bookmarkStart w:id="3" w:name="_Toc486167660"/>
      <w:bookmarkStart w:id="4" w:name="_Toc20249"/>
      <w:bookmarkStart w:id="5" w:name="_Toc142508310"/>
      <w:bookmarkStart w:id="6" w:name="_Toc4869"/>
      <w:bookmarkStart w:id="7" w:name="_Toc17326"/>
      <w:r>
        <w:rPr>
          <w:rFonts w:ascii="宋体" w:hAnsi="宋体" w:eastAsia="宋体" w:cs="Times New Roman"/>
          <w:b/>
          <w:bCs/>
          <w:color w:val="auto"/>
          <w:kern w:val="44"/>
          <w:sz w:val="32"/>
          <w:szCs w:val="32"/>
          <w:highlight w:val="none"/>
          <w:lang w:val="zh-CN"/>
        </w:rPr>
        <w:br w:type="page"/>
      </w:r>
    </w:p>
    <w:p>
      <w:pPr>
        <w:jc w:val="center"/>
        <w:rPr>
          <w:rFonts w:hint="eastAsia" w:ascii="宋体" w:hAnsi="宋体" w:eastAsia="宋体" w:cs="Times New Roman"/>
          <w:b/>
          <w:bCs/>
          <w:color w:val="auto"/>
          <w:kern w:val="44"/>
          <w:sz w:val="32"/>
          <w:szCs w:val="32"/>
          <w:highlight w:val="none"/>
          <w:lang w:val="zh-CN"/>
        </w:rPr>
      </w:pPr>
      <w:r>
        <w:rPr>
          <w:rFonts w:hint="eastAsia" w:ascii="宋体" w:hAnsi="宋体" w:eastAsia="宋体" w:cs="Times New Roman"/>
          <w:b/>
          <w:bCs/>
          <w:color w:val="auto"/>
          <w:kern w:val="44"/>
          <w:sz w:val="32"/>
          <w:szCs w:val="32"/>
          <w:highlight w:val="none"/>
          <w:lang w:val="zh-CN"/>
        </w:rPr>
        <w:t>目录</w:t>
      </w:r>
    </w:p>
    <w:p>
      <w:pPr>
        <w:pStyle w:val="28"/>
        <w:tabs>
          <w:tab w:val="right" w:leader="dot" w:pos="10154"/>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_Toc3368 </w:instrText>
      </w:r>
      <w:r>
        <w:rPr>
          <w:rFonts w:hint="eastAsia" w:ascii="宋体" w:hAnsi="宋体" w:eastAsia="宋体" w:cs="宋体"/>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_Toc3368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_Toc10275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_Toc10275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_Toc6692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_Toc6692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_Toc32670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_Toc11306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_Toc8525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_Toc8525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_Toc23682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_Toc23682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_Toc31289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_Toc31289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_Toc5505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_Toc32527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_Toc32527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_Toc1576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_Toc967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_Toc967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_Toc30617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_Toc30617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_Toc9665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_Toc9665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_Toc20315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_Toc20315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_Toc905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_Toc11390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_Toc6100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_Toc6100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_Toc16158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_Toc31113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_Toc31113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_Toc13537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_Toc4290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_Toc10836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_Toc10836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_Toc4397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_Toc20576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_Toc19521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_Toc19521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_Toc11814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_Toc16909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_Toc16909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_Toc27399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_Toc27399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_Toc19900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_Toc19900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_Toc10660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_Toc10660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_Toc29442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_Toc29442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_Toc1046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_Toc1046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_Toc15363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_Toc15363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_Toc31407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_Toc31407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_Toc21375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_Toc21375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_Toc29188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_Toc29188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_Toc9538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_Toc9538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_Toc534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_Toc534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_Toc24357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_Toc24357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_Toc10181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_Toc10181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_Toc16176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_Toc13055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_Toc13055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_Toc16273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_Toc16273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_Toc24393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_Toc24393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_Toc30600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_Toc30600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_Toc12681 </w:instrText>
      </w:r>
      <w:r>
        <w:rPr>
          <w:rFonts w:hint="eastAsia" w:ascii="宋体" w:hAnsi="宋体" w:eastAsia="宋体" w:cs="宋体"/>
          <w:color w:val="auto"/>
          <w:szCs w:val="21"/>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_Toc12681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1"/>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 </w:instrText>
      </w:r>
      <w:r>
        <w:rPr>
          <w:rFonts w:hint="eastAsia" w:ascii="宋体" w:hAnsi="宋体" w:eastAsia="宋体" w:cs="宋体"/>
          <w:color w:val="auto"/>
          <w:szCs w:val="21"/>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_Toc19781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_Toc19781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_Toc8048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_Toc8048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_Toc6257 </w:instrText>
      </w:r>
      <w:r>
        <w:rPr>
          <w:rFonts w:hint="eastAsia" w:ascii="宋体" w:hAnsi="宋体" w:eastAsia="宋体" w:cs="宋体"/>
          <w:color w:val="auto"/>
          <w:szCs w:val="21"/>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_Toc6257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_Toc4903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_Toc4903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1"/>
          <w:highlight w:val="none"/>
        </w:rPr>
        <w:fldChar w:fldCharType="end"/>
      </w:r>
    </w:p>
    <w:p>
      <w:pPr>
        <w:pStyle w:val="28"/>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_Toc30901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_Toc30901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eastAsia="宋体" w:cs="宋体"/>
          <w:color w:val="auto"/>
          <w:szCs w:val="21"/>
          <w:highlight w:val="none"/>
        </w:rPr>
        <w:fldChar w:fldCharType="end"/>
      </w:r>
    </w:p>
    <w:p>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zh-CN"/>
        </w:rPr>
        <w:t>12、评分因素及分值</w:t>
      </w:r>
      <w:r>
        <w:rPr>
          <w:color w:val="auto"/>
          <w:highlight w:val="none"/>
        </w:rPr>
        <w:tab/>
      </w:r>
      <w:r>
        <w:rPr>
          <w:color w:val="auto"/>
          <w:highlight w:val="none"/>
        </w:rPr>
        <w:fldChar w:fldCharType="begin"/>
      </w:r>
      <w:r>
        <w:rPr>
          <w:color w:val="auto"/>
          <w:highlight w:val="none"/>
        </w:rPr>
        <w:instrText xml:space="preserve"> PAGEREF _Toc3106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eastAsia="宋体" w:cs="宋体"/>
          <w:color w:val="auto"/>
          <w:szCs w:val="21"/>
          <w:highlight w:val="none"/>
        </w:rPr>
        <w:fldChar w:fldCharType="end"/>
      </w:r>
    </w:p>
    <w:p>
      <w:pPr>
        <w:keepNext w:val="0"/>
        <w:keepLines w:val="0"/>
        <w:pageBreakBefore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eastAsia="宋体" w:cs="宋体"/>
          <w:color w:val="auto"/>
          <w:szCs w:val="21"/>
          <w:highlight w:val="none"/>
        </w:rPr>
        <w:fldChar w:fldCharType="end"/>
      </w:r>
    </w:p>
    <w:p>
      <w:pPr>
        <w:jc w:val="cente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8" w:name="_Toc3368"/>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0832-SFCX24DG197C-1</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监测服务单位（以下简称“中标人”）对东莞市水务集团供水有限公司（以下简称“项目业主”）委托招标人代建的东莞市供水设施更新改造项目-松山湖新城路给水管网改造工程（以下简称“本工程”）进行工程监测及相关技术工作。（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8"/>
        <w:spacing w:line="360" w:lineRule="auto"/>
        <w:ind w:left="422" w:leftChars="0" w:right="-29" w:rightChars="-14" w:hanging="422" w:hangingChars="200"/>
        <w:jc w:val="both"/>
        <w:rPr>
          <w:rFonts w:hint="eastAsia" w:hAnsi="宋体" w:eastAsia="仿宋_GB2312"/>
          <w:b/>
          <w:color w:val="auto"/>
          <w:sz w:val="21"/>
          <w:szCs w:val="21"/>
          <w:highlight w:val="none"/>
          <w:lang w:val="zh-CN" w:eastAsia="zh-CN"/>
        </w:rPr>
      </w:pPr>
      <w:bookmarkStart w:id="10" w:name="_Toc25819"/>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2</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具备建设行政主管部门核发</w:t>
      </w:r>
      <w:r>
        <w:rPr>
          <w:rFonts w:hint="eastAsia" w:hAnsi="宋体" w:eastAsia="宋体"/>
          <w:b/>
          <w:color w:val="auto"/>
          <w:sz w:val="21"/>
          <w:szCs w:val="21"/>
          <w:highlight w:val="none"/>
          <w:lang w:val="en-US" w:eastAsia="zh-CN"/>
        </w:rPr>
        <w:t>有效</w:t>
      </w:r>
      <w:r>
        <w:rPr>
          <w:rFonts w:hint="eastAsia" w:hAnsi="宋体" w:eastAsia="宋体"/>
          <w:b/>
          <w:color w:val="auto"/>
          <w:sz w:val="21"/>
          <w:szCs w:val="21"/>
          <w:highlight w:val="none"/>
          <w:lang w:val="zh-CN"/>
        </w:rPr>
        <w:t>的工程勘察综合类甲级资质，或同时具备有效的工程勘察专业类岩土工程</w:t>
      </w:r>
      <w:r>
        <w:rPr>
          <w:rFonts w:hint="eastAsia" w:hAnsi="宋体" w:eastAsia="宋体"/>
          <w:b/>
          <w:color w:val="auto"/>
          <w:sz w:val="21"/>
          <w:szCs w:val="21"/>
          <w:highlight w:val="none"/>
          <w:lang w:val="en-US" w:eastAsia="zh-CN"/>
        </w:rPr>
        <w:t>乙</w:t>
      </w:r>
      <w:r>
        <w:rPr>
          <w:rFonts w:hint="eastAsia" w:hAnsi="宋体" w:eastAsia="宋体"/>
          <w:b/>
          <w:color w:val="auto"/>
          <w:sz w:val="21"/>
          <w:szCs w:val="21"/>
          <w:highlight w:val="none"/>
          <w:lang w:val="zh-CN"/>
        </w:rPr>
        <w:t>级（</w:t>
      </w:r>
      <w:r>
        <w:rPr>
          <w:rFonts w:hint="eastAsia" w:hAnsi="宋体" w:eastAsia="宋体"/>
          <w:b/>
          <w:color w:val="auto"/>
          <w:sz w:val="21"/>
          <w:szCs w:val="21"/>
          <w:highlight w:val="none"/>
          <w:lang w:val="en-US"/>
        </w:rPr>
        <w:t>或以上</w:t>
      </w:r>
      <w:r>
        <w:rPr>
          <w:rFonts w:hint="eastAsia" w:hAnsi="宋体" w:eastAsia="宋体"/>
          <w:b/>
          <w:color w:val="auto"/>
          <w:sz w:val="21"/>
          <w:szCs w:val="21"/>
          <w:highlight w:val="none"/>
          <w:lang w:val="zh-CN"/>
        </w:rPr>
        <w:t>）和工程测量</w:t>
      </w:r>
      <w:r>
        <w:rPr>
          <w:rFonts w:hint="eastAsia" w:hAnsi="宋体" w:eastAsia="宋体"/>
          <w:b/>
          <w:color w:val="auto"/>
          <w:sz w:val="21"/>
          <w:szCs w:val="21"/>
          <w:highlight w:val="none"/>
          <w:lang w:val="en-US"/>
        </w:rPr>
        <w:t>乙</w:t>
      </w:r>
      <w:r>
        <w:rPr>
          <w:rFonts w:hint="eastAsia" w:hAnsi="宋体" w:eastAsia="宋体"/>
          <w:b/>
          <w:color w:val="auto"/>
          <w:sz w:val="21"/>
          <w:szCs w:val="21"/>
          <w:highlight w:val="none"/>
          <w:lang w:val="zh-CN"/>
        </w:rPr>
        <w:t>级（</w:t>
      </w:r>
      <w:r>
        <w:rPr>
          <w:rFonts w:hint="eastAsia" w:hAnsi="宋体" w:eastAsia="宋体"/>
          <w:b/>
          <w:color w:val="auto"/>
          <w:sz w:val="21"/>
          <w:szCs w:val="21"/>
          <w:highlight w:val="none"/>
          <w:lang w:val="en-US"/>
        </w:rPr>
        <w:t>或以上</w:t>
      </w:r>
      <w:r>
        <w:rPr>
          <w:rFonts w:hint="eastAsia" w:hAnsi="宋体" w:eastAsia="宋体"/>
          <w:b/>
          <w:color w:val="auto"/>
          <w:sz w:val="21"/>
          <w:szCs w:val="21"/>
          <w:highlight w:val="none"/>
          <w:lang w:val="zh-CN"/>
        </w:rPr>
        <w:t>）资质，或同时具备有效的工程勘察专业类岩土工程物探测试乙级（或以上）和工程测量乙级（或以上）资质</w:t>
      </w:r>
      <w:r>
        <w:rPr>
          <w:rFonts w:hint="eastAsia" w:hAnsi="宋体" w:eastAsia="宋体"/>
          <w:b/>
          <w:color w:val="auto"/>
          <w:sz w:val="21"/>
          <w:szCs w:val="21"/>
          <w:highlight w:val="none"/>
          <w:lang w:val="zh-CN" w:eastAsia="zh-CN"/>
        </w:rPr>
        <w:t>；</w:t>
      </w:r>
    </w:p>
    <w:p>
      <w:pPr>
        <w:pStyle w:val="158"/>
        <w:spacing w:line="360" w:lineRule="auto"/>
        <w:ind w:left="420" w:leftChars="200"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[注：</w:t>
      </w:r>
      <w:r>
        <w:rPr>
          <w:rFonts w:hint="eastAsia" w:ascii="宋体" w:hAnsi="宋体" w:eastAsia="宋体" w:cstheme="minorBidi"/>
          <w:b/>
          <w:i w:val="0"/>
          <w:iCs w:val="0"/>
          <w:caps w:val="0"/>
          <w:color w:val="auto"/>
          <w:spacing w:val="0"/>
          <w:sz w:val="21"/>
          <w:szCs w:val="21"/>
          <w:highlight w:val="none"/>
          <w:shd w:val="clear"/>
          <w:lang w:val="zh-CN"/>
        </w:rPr>
        <w:t>如资质证书已过有效期，但依据资质证书主管部门相关通知/发文属于资质有效期延期的情况，资质证书有效，提供相关通知/发文截图以及官方网站网址链接</w:t>
      </w:r>
      <w:r>
        <w:rPr>
          <w:rFonts w:hint="eastAsia" w:ascii="宋体" w:hAnsi="宋体" w:eastAsia="宋体" w:cstheme="minorBidi"/>
          <w:b/>
          <w:i w:val="0"/>
          <w:iCs w:val="0"/>
          <w:caps w:val="0"/>
          <w:color w:val="auto"/>
          <w:spacing w:val="0"/>
          <w:sz w:val="21"/>
          <w:szCs w:val="21"/>
          <w:highlight w:val="none"/>
          <w:shd w:val="clear"/>
          <w:lang w:val="zh-CN" w:eastAsia="zh-CN"/>
        </w:rPr>
        <w:t>/全国建筑市场监管公共服务平台（jzsc.mohurd.gov.cn）企业资质证书信息截图</w:t>
      </w:r>
      <w:r>
        <w:rPr>
          <w:rFonts w:hint="eastAsia" w:ascii="宋体" w:hAnsi="宋体" w:eastAsia="宋体" w:cstheme="minorBidi"/>
          <w:b/>
          <w:i w:val="0"/>
          <w:iCs w:val="0"/>
          <w:caps w:val="0"/>
          <w:color w:val="auto"/>
          <w:spacing w:val="0"/>
          <w:sz w:val="21"/>
          <w:szCs w:val="21"/>
          <w:highlight w:val="none"/>
          <w:shd w:val="clear"/>
          <w:lang w:val="zh-CN"/>
        </w:rPr>
        <w:t>。</w:t>
      </w:r>
      <w:r>
        <w:rPr>
          <w:rFonts w:hint="eastAsia" w:hAnsi="宋体" w:eastAsia="宋体"/>
          <w:b/>
          <w:color w:val="auto"/>
          <w:sz w:val="21"/>
          <w:szCs w:val="21"/>
          <w:highlight w:val="none"/>
          <w:lang w:val="zh-CN"/>
        </w:rPr>
        <w:t>]</w:t>
      </w:r>
    </w:p>
    <w:p>
      <w:pPr>
        <w:pStyle w:val="158"/>
        <w:spacing w:line="360" w:lineRule="auto"/>
        <w:ind w:left="422" w:leftChars="0"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3</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年1月1日以来具有一</w:t>
      </w:r>
      <w:r>
        <w:rPr>
          <w:rFonts w:hint="eastAsia" w:hAnsi="宋体" w:eastAsia="宋体"/>
          <w:b/>
          <w:color w:val="auto"/>
          <w:sz w:val="21"/>
          <w:szCs w:val="21"/>
          <w:highlight w:val="none"/>
          <w:lang w:val="en-US" w:eastAsia="zh-CN"/>
        </w:rPr>
        <w:t>项</w:t>
      </w:r>
      <w:r>
        <w:rPr>
          <w:rFonts w:hint="eastAsia" w:hAnsi="宋体" w:eastAsia="宋体"/>
          <w:b/>
          <w:color w:val="auto"/>
          <w:sz w:val="21"/>
          <w:szCs w:val="21"/>
          <w:highlight w:val="none"/>
          <w:lang w:val="zh-CN"/>
        </w:rPr>
        <w:t>市政工程监测业绩（合同签订日期为20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年1月1日或以后）；</w:t>
      </w:r>
    </w:p>
    <w:p>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0"/>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default"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numPr>
          <w:ilvl w:val="0"/>
          <w:numId w:val="0"/>
        </w:numPr>
        <w:autoSpaceDE w:val="0"/>
        <w:autoSpaceDN w:val="0"/>
        <w:adjustRightInd w:val="0"/>
        <w:snapToGrid w:val="0"/>
        <w:spacing w:line="360" w:lineRule="auto"/>
        <w:ind w:leftChars="-100" w:right="-34" w:rightChars="0"/>
        <w:jc w:val="left"/>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6</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6</w:t>
      </w:r>
      <w:bookmarkStart w:id="863" w:name="_GoBack"/>
      <w:bookmarkEnd w:id="863"/>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color w:val="auto"/>
          <w:szCs w:val="21"/>
          <w:highlight w:val="none"/>
          <w:lang w:val="zh-CN"/>
        </w:rPr>
        <w:t>；</w:t>
      </w:r>
    </w:p>
    <w:p>
      <w:pPr>
        <w:autoSpaceDE w:val="0"/>
        <w:autoSpaceDN w:val="0"/>
        <w:adjustRightInd w:val="0"/>
        <w:spacing w:line="360" w:lineRule="auto"/>
        <w:ind w:right="-29" w:rightChars="-14"/>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东莞市南城街道鸿福西路81号国际商会大厦</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val="zh-CN"/>
        </w:rPr>
        <w:t>0</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室。</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2"/>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val="zh-CN"/>
        </w:rPr>
        <w:t>www.sfcx.cn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招标人：东莞市水务集团建设管理有限公司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w:t>
      </w:r>
      <w:bookmarkStart w:id="11" w:name="_Hlk80199690"/>
      <w:r>
        <w:rPr>
          <w:rFonts w:hint="eastAsia" w:ascii="宋体" w:hAnsi="宋体" w:eastAsia="宋体" w:cs="Times New Roman"/>
          <w:color w:val="auto"/>
          <w:kern w:val="0"/>
          <w:szCs w:val="21"/>
          <w:highlight w:val="none"/>
          <w:lang w:eastAsia="zh-CN"/>
        </w:rPr>
        <w:t>广东省东莞市南城街道滨河路100号一期1号楼102室</w:t>
      </w:r>
    </w:p>
    <w:bookmarkEnd w:id="11"/>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联系人：陈方凯</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话：0769-22008759</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2" w:name="_Toc486167661"/>
      <w:bookmarkStart w:id="13" w:name="_Toc31764_WPSOffice_Level1"/>
      <w:bookmarkStart w:id="14"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黎灼峰</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142508311"/>
      <w:bookmarkStart w:id="16" w:name="_Toc10275"/>
      <w:bookmarkStart w:id="17" w:name="_Toc15111"/>
      <w:bookmarkStart w:id="18" w:name="_Toc25341"/>
      <w:bookmarkStart w:id="19" w:name="_Toc31498"/>
      <w:bookmarkStart w:id="20"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 w:name="_Toc24479"/>
      <w:bookmarkStart w:id="22" w:name="_Toc450662848"/>
      <w:bookmarkStart w:id="23" w:name="_Toc9555"/>
      <w:bookmarkStart w:id="24" w:name="_Toc486167662"/>
      <w:bookmarkStart w:id="25" w:name="_Toc17462"/>
      <w:bookmarkStart w:id="26" w:name="_Toc140596871"/>
      <w:bookmarkStart w:id="27" w:name="_Toc15366_WPSOffice_Level2"/>
      <w:bookmarkStart w:id="28" w:name="_Toc11520"/>
      <w:bookmarkStart w:id="29" w:name="_Toc6692"/>
      <w:bookmarkStart w:id="30" w:name="_Toc142508312"/>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 w:name="_Toc486167663"/>
      <w:bookmarkStart w:id="32" w:name="_Toc9608"/>
      <w:bookmarkStart w:id="33" w:name="_Toc28380"/>
      <w:bookmarkStart w:id="34" w:name="_Toc21710_WPSOffice_Level3"/>
      <w:bookmarkStart w:id="35" w:name="_Toc32670"/>
      <w:bookmarkStart w:id="36" w:name="_Toc142508313"/>
      <w:bookmarkStart w:id="37" w:name="_Toc16303"/>
      <w:bookmarkStart w:id="38" w:name="_Toc450662849"/>
      <w:bookmarkStart w:id="39" w:name="_Toc2333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1"/>
      <w:bookmarkEnd w:id="32"/>
      <w:bookmarkEnd w:id="33"/>
      <w:bookmarkEnd w:id="34"/>
      <w:bookmarkEnd w:id="35"/>
      <w:bookmarkEnd w:id="36"/>
      <w:bookmarkEnd w:id="37"/>
      <w:bookmarkEnd w:id="38"/>
      <w:bookmarkEnd w:id="39"/>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0" w:name="_Toc80_WPSOffice_Level3"/>
      <w:bookmarkStart w:id="41" w:name="_Toc32244"/>
      <w:bookmarkStart w:id="42" w:name="_Toc486167664"/>
      <w:bookmarkStart w:id="43" w:name="_Toc450662850"/>
      <w:bookmarkStart w:id="44" w:name="_Toc142508314"/>
      <w:bookmarkStart w:id="45" w:name="_Toc24103"/>
      <w:bookmarkStart w:id="46" w:name="_Toc28698"/>
      <w:bookmarkStart w:id="47" w:name="_Toc11306"/>
      <w:bookmarkStart w:id="48" w:name="_Toc1855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0"/>
      <w:bookmarkEnd w:id="41"/>
      <w:bookmarkEnd w:id="42"/>
      <w:bookmarkEnd w:id="43"/>
      <w:bookmarkEnd w:id="44"/>
      <w:bookmarkEnd w:id="45"/>
      <w:bookmarkEnd w:id="46"/>
      <w:bookmarkEnd w:id="47"/>
      <w:bookmarkEnd w:id="48"/>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9" w:name="_Toc23847_WPSOffice_Level3"/>
      <w:bookmarkStart w:id="50" w:name="_Toc142508315"/>
      <w:bookmarkStart w:id="51" w:name="_Toc16100"/>
      <w:bookmarkStart w:id="52" w:name="_Toc19774"/>
      <w:bookmarkStart w:id="53" w:name="_Toc8525"/>
      <w:bookmarkStart w:id="54" w:name="_Toc29693"/>
      <w:bookmarkStart w:id="55" w:name="_Toc11689"/>
      <w:bookmarkStart w:id="56" w:name="_Toc486167665"/>
      <w:bookmarkStart w:id="57"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9"/>
      <w:bookmarkEnd w:id="50"/>
      <w:r>
        <w:rPr>
          <w:rFonts w:hint="eastAsia" w:ascii="宋体" w:hAnsi="宋体" w:eastAsia="宋体" w:cs="宋体"/>
          <w:b/>
          <w:color w:val="auto"/>
          <w:szCs w:val="21"/>
          <w:highlight w:val="none"/>
          <w:lang w:val="en-US" w:eastAsia="zh-CN"/>
        </w:rPr>
        <w:t>服务</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8" w:name="_Toc533708063"/>
      <w:bookmarkStart w:id="59" w:name="_Toc1977663"/>
      <w:r>
        <w:rPr>
          <w:rFonts w:hint="eastAsia" w:ascii="宋体" w:hAnsi="宋体" w:eastAsia="宋体" w:cs="宋体"/>
          <w:color w:val="auto"/>
          <w:szCs w:val="21"/>
          <w:highlight w:val="none"/>
          <w:lang w:val="zh-CN"/>
        </w:rPr>
        <w:t xml:space="preserve">3.2  </w:t>
      </w:r>
      <w:bookmarkEnd w:id="58"/>
      <w:bookmarkEnd w:id="59"/>
      <w:bookmarkStart w:id="60" w:name="_Toc533708065"/>
      <w:bookmarkStart w:id="61"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0"/>
      <w:bookmarkEnd w:id="6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66"/>
      <w:bookmarkStart w:id="6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2"/>
      <w:bookmarkEnd w:id="63"/>
      <w:bookmarkStart w:id="64" w:name="_Toc1977667"/>
      <w:bookmarkStart w:id="65"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4"/>
      <w:bookmarkEnd w:id="6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68"/>
      <w:bookmarkStart w:id="6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6"/>
      <w:bookmarkEnd w:id="67"/>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8" w:name="_Toc13063"/>
      <w:bookmarkStart w:id="69" w:name="_Toc11533"/>
      <w:bookmarkStart w:id="70" w:name="_Toc9658_WPSOffice_Level3"/>
      <w:bookmarkStart w:id="71" w:name="_Toc23682"/>
      <w:bookmarkStart w:id="72" w:name="_Toc3404"/>
      <w:bookmarkStart w:id="73" w:name="_Toc9753"/>
      <w:bookmarkStart w:id="74"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8"/>
      <w:bookmarkEnd w:id="69"/>
      <w:bookmarkEnd w:id="70"/>
      <w:bookmarkEnd w:id="71"/>
      <w:bookmarkEnd w:id="72"/>
      <w:bookmarkEnd w:id="73"/>
      <w:bookmarkEnd w:id="7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533708070"/>
      <w:bookmarkStart w:id="76" w:name="_Toc1977670"/>
      <w:r>
        <w:rPr>
          <w:rFonts w:hint="eastAsia" w:ascii="宋体" w:hAnsi="宋体" w:eastAsia="宋体" w:cs="宋体"/>
          <w:color w:val="auto"/>
          <w:szCs w:val="21"/>
          <w:highlight w:val="none"/>
          <w:lang w:val="zh-CN"/>
        </w:rPr>
        <w:t>4.1  投标费用</w:t>
      </w:r>
      <w:bookmarkEnd w:id="75"/>
      <w:bookmarkEnd w:id="76"/>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7" w:name="_Toc1977672"/>
      <w:bookmarkStart w:id="78"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7"/>
      <w:bookmarkEnd w:id="7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1977673"/>
      <w:bookmarkStart w:id="80" w:name="_Toc533708073"/>
      <w:r>
        <w:rPr>
          <w:rFonts w:hint="eastAsia" w:ascii="宋体" w:hAnsi="宋体" w:eastAsia="宋体" w:cs="宋体"/>
          <w:color w:val="auto"/>
          <w:szCs w:val="21"/>
          <w:highlight w:val="none"/>
          <w:lang w:val="zh-CN"/>
        </w:rPr>
        <w:t>4.2  踏勘现场</w:t>
      </w:r>
      <w:bookmarkEnd w:id="79"/>
      <w:bookmarkEnd w:id="80"/>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1" w:name="_Toc533708076"/>
      <w:bookmarkStart w:id="82"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w:t>
      </w:r>
      <w:r>
        <w:rPr>
          <w:rFonts w:hint="eastAsia" w:ascii="宋体" w:hAnsi="宋体" w:eastAsia="宋体" w:cs="Times New Roman"/>
          <w:color w:val="auto"/>
          <w:kern w:val="0"/>
          <w:szCs w:val="21"/>
          <w:highlight w:val="none"/>
          <w:lang w:val="en-US" w:eastAsia="zh-CN"/>
        </w:rPr>
        <w:t>其他</w:t>
      </w:r>
      <w:r>
        <w:rPr>
          <w:rFonts w:hint="eastAsia" w:ascii="宋体" w:hAnsi="宋体" w:eastAsia="宋体" w:cs="Times New Roman"/>
          <w:color w:val="auto"/>
          <w:kern w:val="0"/>
          <w:szCs w:val="21"/>
          <w:highlight w:val="none"/>
        </w:rPr>
        <w:t>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bookmarkEnd w:id="56"/>
    <w:bookmarkEnd w:id="57"/>
    <w:bookmarkEnd w:id="81"/>
    <w:bookmarkEnd w:id="82"/>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23213"/>
      <w:bookmarkStart w:id="84" w:name="_Toc30507_WPSOffice_Level2"/>
      <w:bookmarkStart w:id="85" w:name="_Toc450662853"/>
      <w:bookmarkStart w:id="86" w:name="_Toc486167667"/>
      <w:bookmarkStart w:id="87" w:name="_Toc142508317"/>
      <w:bookmarkStart w:id="88" w:name="_Toc31289"/>
      <w:bookmarkStart w:id="89" w:name="_Toc1565"/>
      <w:bookmarkStart w:id="90" w:name="_Toc140596876"/>
      <w:bookmarkStart w:id="91" w:name="_Toc12600"/>
      <w:bookmarkStart w:id="92" w:name="_Toc5395"/>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42508318"/>
      <w:bookmarkStart w:id="94" w:name="_Toc3978"/>
      <w:bookmarkStart w:id="95" w:name="_Toc450662854"/>
      <w:bookmarkStart w:id="96" w:name="_Toc26635_WPSOffice_Level3"/>
      <w:bookmarkStart w:id="97" w:name="_Toc3556"/>
      <w:bookmarkStart w:id="98" w:name="_Toc28893"/>
      <w:bookmarkStart w:id="99" w:name="_Toc486167668"/>
      <w:bookmarkStart w:id="100" w:name="_Toc5505"/>
      <w:bookmarkStart w:id="101" w:name="_Toc240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3"/>
      <w:bookmarkEnd w:id="94"/>
      <w:bookmarkEnd w:id="95"/>
      <w:bookmarkEnd w:id="96"/>
      <w:bookmarkEnd w:id="97"/>
      <w:bookmarkEnd w:id="98"/>
      <w:bookmarkEnd w:id="99"/>
      <w:bookmarkEnd w:id="100"/>
      <w:bookmarkEnd w:id="10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（2）“项目业主”指东莞市水务集团供水有限公司；</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东莞市供水设施更新改造项目-松山湖新城路给水管网改造工程第三方监测服务采购项目（重新招标）</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）“甲方”指在合同条款中指明的购买服务的单位，即</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价和</w:t>
      </w:r>
      <w:r>
        <w:rPr>
          <w:rFonts w:hint="eastAsia" w:ascii="宋体" w:hAnsi="宋体" w:eastAsia="宋体" w:cs="Times New Roman"/>
          <w:color w:val="auto"/>
          <w:kern w:val="0"/>
          <w:szCs w:val="21"/>
          <w:highlight w:val="none"/>
          <w:lang w:val="en-US" w:eastAsia="zh-CN"/>
        </w:rPr>
        <w:t>暂定总</w:t>
      </w:r>
      <w:r>
        <w:rPr>
          <w:rFonts w:hint="eastAsia" w:ascii="宋体" w:hAnsi="宋体" w:eastAsia="宋体" w:cs="Times New Roman"/>
          <w:color w:val="auto"/>
          <w:kern w:val="0"/>
          <w:szCs w:val="21"/>
          <w:highlight w:val="none"/>
        </w:rPr>
        <w:t>合同价是指不含本采购项目投标人的销项税额，包含了投标人完成合同义务（</w:t>
      </w:r>
      <w:r>
        <w:rPr>
          <w:rFonts w:hint="eastAsia" w:ascii="宋体" w:hAnsi="宋体" w:eastAsia="宋体" w:cs="Times New Roman"/>
          <w:color w:val="auto"/>
          <w:szCs w:val="21"/>
          <w:highlight w:val="none"/>
          <w:lang w:val="zh-CN"/>
        </w:rPr>
        <w:t>含投标人代缴代扣、分包及委外服务、</w:t>
      </w:r>
      <w:r>
        <w:rPr>
          <w:rFonts w:hint="eastAsia" w:ascii="宋体" w:hAnsi="宋体" w:eastAsia="宋体" w:cs="Times New Roman"/>
          <w:color w:val="auto"/>
          <w:szCs w:val="21"/>
          <w:highlight w:val="none"/>
          <w:lang w:val="en-US" w:eastAsia="zh-CN"/>
        </w:rPr>
        <w:t>施工</w:t>
      </w:r>
      <w:r>
        <w:rPr>
          <w:rFonts w:hint="eastAsia" w:ascii="宋体" w:hAnsi="宋体" w:eastAsia="宋体" w:cs="Times New Roman"/>
          <w:color w:val="auto"/>
          <w:szCs w:val="21"/>
          <w:highlight w:val="none"/>
          <w:lang w:val="zh-CN"/>
        </w:rPr>
        <w:t>、采购货物等所产生的价税</w:t>
      </w:r>
      <w:r>
        <w:rPr>
          <w:rFonts w:hint="eastAsia" w:ascii="宋体" w:hAnsi="宋体" w:eastAsia="宋体" w:cs="Times New Roman"/>
          <w:color w:val="auto"/>
          <w:kern w:val="0"/>
          <w:szCs w:val="21"/>
          <w:highlight w:val="none"/>
        </w:rPr>
        <w:t>）的其他全部费用。本采购项目投标人的销项税额由</w:t>
      </w:r>
      <w:r>
        <w:rPr>
          <w:rFonts w:hint="eastAsia" w:ascii="宋体" w:hAnsi="宋体" w:eastAsia="宋体" w:cs="Times New Roman"/>
          <w:color w:val="auto"/>
          <w:kern w:val="0"/>
          <w:szCs w:val="21"/>
          <w:highlight w:val="none"/>
          <w:lang w:val="en-US" w:eastAsia="zh-CN"/>
        </w:rPr>
        <w:t>项目业主或招标人</w:t>
      </w:r>
      <w:r>
        <w:rPr>
          <w:rFonts w:hint="eastAsia" w:ascii="宋体" w:hAnsi="宋体" w:eastAsia="宋体" w:cs="Times New Roman"/>
          <w:color w:val="auto"/>
          <w:kern w:val="0"/>
          <w:szCs w:val="21"/>
          <w:highlight w:val="none"/>
        </w:rPr>
        <w:t>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19"/>
      <w:bookmarkStart w:id="103" w:name="_Toc11346"/>
      <w:bookmarkStart w:id="104" w:name="_Toc3727"/>
      <w:bookmarkStart w:id="105" w:name="_Toc29125_WPSOffice_Level3"/>
      <w:bookmarkStart w:id="106" w:name="_Toc1433"/>
      <w:bookmarkStart w:id="107" w:name="_Toc450662855"/>
      <w:bookmarkStart w:id="108" w:name="_Toc32527"/>
      <w:bookmarkStart w:id="109" w:name="_Toc5780"/>
      <w:bookmarkStart w:id="110"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2"/>
      <w:bookmarkEnd w:id="103"/>
      <w:bookmarkEnd w:id="104"/>
      <w:bookmarkEnd w:id="105"/>
      <w:bookmarkEnd w:id="106"/>
      <w:bookmarkEnd w:id="107"/>
      <w:bookmarkEnd w:id="108"/>
      <w:bookmarkEnd w:id="109"/>
      <w:bookmarkEnd w:id="110"/>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1576"/>
      <w:bookmarkStart w:id="112" w:name="_Toc17145"/>
      <w:bookmarkStart w:id="113" w:name="_Toc39"/>
      <w:bookmarkStart w:id="114" w:name="_Toc23483_WPSOffice_Level3"/>
      <w:bookmarkStart w:id="115" w:name="_Toc29462"/>
      <w:bookmarkStart w:id="116" w:name="_Toc486167670"/>
      <w:bookmarkStart w:id="117" w:name="_Toc29864"/>
      <w:bookmarkStart w:id="118" w:name="_Toc450662856"/>
      <w:bookmarkStart w:id="119"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1"/>
      <w:bookmarkEnd w:id="112"/>
      <w:bookmarkEnd w:id="113"/>
      <w:bookmarkEnd w:id="114"/>
      <w:bookmarkEnd w:id="115"/>
      <w:bookmarkEnd w:id="116"/>
      <w:bookmarkEnd w:id="117"/>
      <w:bookmarkEnd w:id="118"/>
      <w:bookmarkEnd w:id="1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Times New Roman"/>
          <w:bCs/>
          <w:color w:val="auto"/>
          <w:kern w:val="0"/>
          <w:sz w:val="21"/>
          <w:szCs w:val="21"/>
          <w:highlight w:val="none"/>
          <w:lang w:eastAsia="zh-CN"/>
        </w:rPr>
        <w:t>www.sfcx.cn</w:t>
      </w:r>
      <w:r>
        <w:rPr>
          <w:rStyle w:val="43"/>
          <w:rFonts w:hint="eastAsia"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0" w:name="_Toc16844"/>
      <w:bookmarkStart w:id="121" w:name="_Toc29659_WPSOffice_Level2"/>
      <w:bookmarkStart w:id="122" w:name="_Toc27196"/>
      <w:bookmarkStart w:id="123" w:name="_Toc23342"/>
      <w:bookmarkStart w:id="124" w:name="_Toc486167671"/>
      <w:bookmarkStart w:id="125" w:name="_Toc450662857"/>
      <w:bookmarkStart w:id="126" w:name="_Toc967"/>
      <w:bookmarkStart w:id="127" w:name="_Toc142508321"/>
      <w:bookmarkStart w:id="128" w:name="_Toc8711"/>
      <w:bookmarkStart w:id="129" w:name="_Toc140596880"/>
      <w:r>
        <w:rPr>
          <w:rFonts w:hint="eastAsia" w:ascii="宋体" w:hAnsi="宋体" w:eastAsia="宋体" w:cs="宋体"/>
          <w:b/>
          <w:bCs/>
          <w:color w:val="auto"/>
          <w:kern w:val="44"/>
          <w:szCs w:val="21"/>
          <w:highlight w:val="none"/>
          <w:lang w:val="zh-CN"/>
        </w:rPr>
        <w:t>三、投标文件的编制</w:t>
      </w:r>
      <w:bookmarkEnd w:id="120"/>
      <w:bookmarkEnd w:id="121"/>
      <w:bookmarkEnd w:id="122"/>
      <w:bookmarkEnd w:id="123"/>
      <w:bookmarkEnd w:id="124"/>
      <w:bookmarkEnd w:id="125"/>
      <w:bookmarkEnd w:id="126"/>
      <w:bookmarkEnd w:id="127"/>
      <w:bookmarkEnd w:id="128"/>
      <w:bookmarkEnd w:id="129"/>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0" w:name="_Toc10015_WPSOffice_Level3"/>
      <w:bookmarkStart w:id="131" w:name="_Toc450662858"/>
      <w:bookmarkStart w:id="132" w:name="_Toc30617"/>
      <w:bookmarkStart w:id="133" w:name="_Toc31162"/>
      <w:bookmarkStart w:id="134" w:name="_Toc3827"/>
      <w:bookmarkStart w:id="135" w:name="_Toc142508322"/>
      <w:bookmarkStart w:id="136" w:name="_Toc486167672"/>
      <w:bookmarkStart w:id="137" w:name="_Toc6244"/>
      <w:bookmarkStart w:id="138" w:name="_Toc439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0"/>
      <w:bookmarkEnd w:id="131"/>
      <w:bookmarkEnd w:id="132"/>
      <w:bookmarkEnd w:id="133"/>
      <w:bookmarkEnd w:id="134"/>
      <w:bookmarkEnd w:id="135"/>
      <w:bookmarkEnd w:id="136"/>
      <w:bookmarkEnd w:id="137"/>
      <w:bookmarkEnd w:id="13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9" w:name="_Toc24916_WPSOffice_Level3"/>
      <w:bookmarkStart w:id="140" w:name="_Toc450662859"/>
      <w:bookmarkStart w:id="141" w:name="_Toc9665"/>
      <w:bookmarkStart w:id="142" w:name="_Toc30738"/>
      <w:bookmarkStart w:id="143" w:name="_Toc486167673"/>
      <w:bookmarkStart w:id="144" w:name="_Toc26462"/>
      <w:bookmarkStart w:id="145" w:name="_Toc14943"/>
      <w:bookmarkStart w:id="146" w:name="_Toc142508323"/>
      <w:bookmarkStart w:id="147" w:name="_Toc734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hAnsi="宋体" w:eastAsia="宋体"/>
          <w:b w:val="0"/>
          <w:bCs/>
          <w:color w:val="auto"/>
          <w:sz w:val="21"/>
          <w:szCs w:val="21"/>
          <w:highlight w:val="none"/>
          <w:lang w:val="zh-CN"/>
        </w:rPr>
        <w:t>具备建设行政主管部门核发</w:t>
      </w:r>
      <w:r>
        <w:rPr>
          <w:rFonts w:hint="eastAsia" w:hAnsi="宋体" w:eastAsia="宋体"/>
          <w:b w:val="0"/>
          <w:bCs/>
          <w:color w:val="auto"/>
          <w:sz w:val="21"/>
          <w:szCs w:val="21"/>
          <w:highlight w:val="none"/>
          <w:lang w:val="en-US" w:eastAsia="zh-CN"/>
        </w:rPr>
        <w:t>有效</w:t>
      </w:r>
      <w:r>
        <w:rPr>
          <w:rFonts w:hint="eastAsia" w:hAnsi="宋体" w:eastAsia="宋体"/>
          <w:b w:val="0"/>
          <w:bCs/>
          <w:color w:val="auto"/>
          <w:sz w:val="21"/>
          <w:szCs w:val="21"/>
          <w:highlight w:val="none"/>
          <w:lang w:val="zh-CN"/>
        </w:rPr>
        <w:t>的工程勘察综合类甲级资质，或同时具备有效的工程勘察专业类岩土工程</w:t>
      </w:r>
      <w:r>
        <w:rPr>
          <w:rFonts w:hint="eastAsia" w:hAnsi="宋体" w:eastAsia="宋体"/>
          <w:b w:val="0"/>
          <w:bCs/>
          <w:color w:val="auto"/>
          <w:sz w:val="21"/>
          <w:szCs w:val="21"/>
          <w:highlight w:val="none"/>
          <w:lang w:val="en-US" w:eastAsia="zh-CN"/>
        </w:rPr>
        <w:t>乙</w:t>
      </w:r>
      <w:r>
        <w:rPr>
          <w:rFonts w:hint="eastAsia" w:hAnsi="宋体" w:eastAsia="宋体"/>
          <w:b w:val="0"/>
          <w:bCs/>
          <w:color w:val="auto"/>
          <w:sz w:val="21"/>
          <w:szCs w:val="21"/>
          <w:highlight w:val="none"/>
          <w:lang w:val="zh-CN"/>
        </w:rPr>
        <w:t>级（</w:t>
      </w:r>
      <w:r>
        <w:rPr>
          <w:rFonts w:hint="eastAsia" w:hAnsi="宋体" w:eastAsia="宋体"/>
          <w:b w:val="0"/>
          <w:bCs/>
          <w:color w:val="auto"/>
          <w:sz w:val="21"/>
          <w:szCs w:val="21"/>
          <w:highlight w:val="none"/>
          <w:lang w:val="en-US"/>
        </w:rPr>
        <w:t>或以上</w:t>
      </w:r>
      <w:r>
        <w:rPr>
          <w:rFonts w:hint="eastAsia" w:hAnsi="宋体" w:eastAsia="宋体"/>
          <w:b w:val="0"/>
          <w:bCs/>
          <w:color w:val="auto"/>
          <w:sz w:val="21"/>
          <w:szCs w:val="21"/>
          <w:highlight w:val="none"/>
          <w:lang w:val="zh-CN"/>
        </w:rPr>
        <w:t>）和工程测量</w:t>
      </w:r>
      <w:r>
        <w:rPr>
          <w:rFonts w:hint="eastAsia" w:hAnsi="宋体" w:eastAsia="宋体"/>
          <w:b w:val="0"/>
          <w:bCs/>
          <w:color w:val="auto"/>
          <w:sz w:val="21"/>
          <w:szCs w:val="21"/>
          <w:highlight w:val="none"/>
          <w:lang w:val="en-US"/>
        </w:rPr>
        <w:t>乙</w:t>
      </w:r>
      <w:r>
        <w:rPr>
          <w:rFonts w:hint="eastAsia" w:hAnsi="宋体" w:eastAsia="宋体"/>
          <w:b w:val="0"/>
          <w:bCs/>
          <w:color w:val="auto"/>
          <w:sz w:val="21"/>
          <w:szCs w:val="21"/>
          <w:highlight w:val="none"/>
          <w:lang w:val="zh-CN"/>
        </w:rPr>
        <w:t>级（</w:t>
      </w:r>
      <w:r>
        <w:rPr>
          <w:rFonts w:hint="eastAsia" w:hAnsi="宋体" w:eastAsia="宋体"/>
          <w:b w:val="0"/>
          <w:bCs/>
          <w:color w:val="auto"/>
          <w:sz w:val="21"/>
          <w:szCs w:val="21"/>
          <w:highlight w:val="none"/>
          <w:lang w:val="en-US"/>
        </w:rPr>
        <w:t>或以上</w:t>
      </w:r>
      <w:r>
        <w:rPr>
          <w:rFonts w:hint="eastAsia" w:hAnsi="宋体" w:eastAsia="宋体"/>
          <w:b w:val="0"/>
          <w:bCs/>
          <w:color w:val="auto"/>
          <w:sz w:val="21"/>
          <w:szCs w:val="21"/>
          <w:highlight w:val="none"/>
          <w:lang w:val="zh-CN"/>
        </w:rPr>
        <w:t>）资质，或同时具备有效的工程勘察专业类岩土工程物探测试乙级（或以上）和工程测量乙级（或以上）资质</w:t>
      </w:r>
      <w:r>
        <w:rPr>
          <w:rFonts w:hint="eastAsia" w:ascii="宋体" w:hAnsi="宋体" w:eastAsia="宋体" w:cs="Times New Roman"/>
          <w:color w:val="auto"/>
          <w:szCs w:val="21"/>
          <w:highlight w:val="none"/>
          <w:lang w:val="zh-CN"/>
        </w:rPr>
        <w:t>，如资质证书已过有效期，但依据资质证书主管部门相关通知/发文属于资质有效期延期的情况，提供相关通知/发文截图复印件以及官方网站网址链接</w:t>
      </w:r>
      <w:r>
        <w:rPr>
          <w:rFonts w:hint="eastAsia" w:ascii="宋体" w:hAnsi="宋体" w:eastAsia="宋体" w:cs="宋体"/>
          <w:color w:val="auto"/>
          <w:sz w:val="21"/>
          <w:szCs w:val="21"/>
          <w:highlight w:val="none"/>
          <w:lang w:val="en-US" w:eastAsia="zh-CN"/>
        </w:rPr>
        <w:t>/全国建筑市场监管公共服务平台（jzsc.mohurd.gov.cn）企业资质证书信息截图</w:t>
      </w:r>
      <w:r>
        <w:rPr>
          <w:rFonts w:hint="eastAsia"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w:t>
      </w:r>
      <w:r>
        <w:rPr>
          <w:rFonts w:hint="eastAsia" w:ascii="宋体" w:hAnsi="宋体" w:eastAsia="宋体"/>
          <w:color w:val="auto"/>
          <w:szCs w:val="21"/>
          <w:highlight w:val="none"/>
          <w:lang w:eastAsia="zh-CN"/>
        </w:rPr>
        <w:t>项</w:t>
      </w:r>
      <w:r>
        <w:rPr>
          <w:rFonts w:hint="eastAsia" w:ascii="宋体" w:hAnsi="宋体" w:eastAsia="宋体"/>
          <w:color w:val="auto"/>
          <w:szCs w:val="21"/>
          <w:highlight w:val="none"/>
        </w:rPr>
        <w:t>20</w:t>
      </w:r>
      <w:r>
        <w:rPr>
          <w:rFonts w:hint="eastAsia" w:ascii="宋体" w:hAnsi="宋体" w:eastAsia="宋体"/>
          <w:color w:val="auto"/>
          <w:szCs w:val="21"/>
          <w:highlight w:val="none"/>
          <w:lang w:val="en-US" w:eastAsia="zh-CN"/>
        </w:rPr>
        <w:t>20</w:t>
      </w:r>
      <w:r>
        <w:rPr>
          <w:rFonts w:hint="eastAsia" w:ascii="宋体" w:hAnsi="宋体" w:eastAsia="宋体"/>
          <w:color w:val="auto"/>
          <w:szCs w:val="21"/>
          <w:highlight w:val="none"/>
        </w:rPr>
        <w:t>年1月1日以来市政工程监测业绩（合同签订日期为20</w:t>
      </w:r>
      <w:r>
        <w:rPr>
          <w:rFonts w:hint="eastAsia" w:ascii="宋体" w:hAnsi="宋体" w:eastAsia="宋体"/>
          <w:color w:val="auto"/>
          <w:szCs w:val="21"/>
          <w:highlight w:val="none"/>
          <w:lang w:val="en-US" w:eastAsia="zh-CN"/>
        </w:rPr>
        <w:t>20</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w:t>
      </w:r>
      <w:r>
        <w:rPr>
          <w:rFonts w:hint="eastAsia" w:ascii="宋体" w:hAnsi="宋体" w:eastAsia="宋体" w:cs="宋体"/>
          <w:color w:val="auto"/>
          <w:kern w:val="0"/>
          <w:szCs w:val="21"/>
          <w:highlight w:val="none"/>
          <w:lang w:eastAsia="zh-CN"/>
        </w:rPr>
        <w:t>13.</w:t>
      </w:r>
      <w:r>
        <w:rPr>
          <w:rFonts w:hint="eastAsia" w:ascii="宋体" w:hAnsi="宋体" w:eastAsia="宋体" w:cs="宋体"/>
          <w:color w:val="auto"/>
          <w:kern w:val="0"/>
          <w:szCs w:val="21"/>
          <w:highlight w:val="none"/>
        </w:rPr>
        <w:t>1用户需求偏离表格式）；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w:t>
      </w:r>
    </w:p>
    <w:p>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bookmarkStart w:id="148" w:name="_Hlk82590478"/>
      <w:r>
        <w:rPr>
          <w:rFonts w:hint="eastAsia" w:ascii="宋体" w:hAnsi="宋体" w:eastAsia="宋体" w:cs="宋体"/>
          <w:color w:val="auto"/>
          <w:kern w:val="0"/>
          <w:szCs w:val="21"/>
          <w:highlight w:val="none"/>
          <w:lang w:val="zh-CN"/>
        </w:rPr>
        <w:t>服务响应时间承诺书（格式见附件13.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服务响应时间承诺书格式）；</w:t>
      </w:r>
      <w:bookmarkEnd w:id="148"/>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31771"/>
      <w:bookmarkStart w:id="150" w:name="_Toc20315"/>
      <w:bookmarkStart w:id="151" w:name="_Toc450662860"/>
      <w:bookmarkStart w:id="152" w:name="_Toc11170"/>
      <w:bookmarkStart w:id="153" w:name="_Toc486167674"/>
      <w:bookmarkStart w:id="154" w:name="_Toc13214"/>
      <w:bookmarkStart w:id="155" w:name="_Toc8675_WPSOffice_Level3"/>
      <w:bookmarkStart w:id="156" w:name="_Toc28166"/>
      <w:bookmarkStart w:id="157"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9"/>
      <w:bookmarkEnd w:id="150"/>
      <w:bookmarkEnd w:id="151"/>
      <w:bookmarkEnd w:id="152"/>
      <w:bookmarkEnd w:id="153"/>
      <w:bookmarkEnd w:id="154"/>
      <w:bookmarkEnd w:id="155"/>
      <w:bookmarkEnd w:id="156"/>
      <w:bookmarkEnd w:id="15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15427"/>
      <w:bookmarkStart w:id="159" w:name="_Toc142508325"/>
      <w:bookmarkStart w:id="160" w:name="_Toc905"/>
      <w:bookmarkStart w:id="161" w:name="_Toc486167675"/>
      <w:bookmarkStart w:id="162" w:name="_Toc450662861"/>
      <w:bookmarkStart w:id="163" w:name="_Toc20186"/>
      <w:bookmarkStart w:id="164" w:name="_Toc24311"/>
      <w:bookmarkStart w:id="165" w:name="_Toc20223"/>
      <w:bookmarkStart w:id="166"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58"/>
      <w:bookmarkEnd w:id="159"/>
      <w:bookmarkEnd w:id="160"/>
      <w:bookmarkEnd w:id="161"/>
      <w:bookmarkEnd w:id="162"/>
      <w:bookmarkEnd w:id="163"/>
      <w:bookmarkEnd w:id="164"/>
      <w:bookmarkEnd w:id="165"/>
      <w:bookmarkEnd w:id="166"/>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本项目的投标报价采用填报服务系数的方式，投标人须报出监测服务系数。本项目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bCs/>
          <w:color w:val="auto"/>
          <w:szCs w:val="21"/>
          <w:highlight w:val="none"/>
          <w:lang w:val="zh-CN"/>
        </w:rPr>
        <w:t>本项目的投标报价采用服务系数报价，投标人须报出监测服务系数</w:t>
      </w:r>
      <w:r>
        <w:rPr>
          <w:rFonts w:hint="eastAsia" w:ascii="宋体" w:hAnsi="宋体" w:eastAsia="宋体" w:cs="Times New Roman"/>
          <w:color w:val="auto"/>
          <w:szCs w:val="21"/>
          <w:highlight w:val="none"/>
          <w:lang w:val="zh-CN"/>
        </w:rPr>
        <w:t>。合同服务期内，监测服务的</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不含税综合单价按以下方式计算：</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不含税综合单价=不含税综合单价×中标服务系数，以实际发生的工程量进行结算，但最终结算价不得超出暂定总合同价款（含税）。</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不含税综合单价出现小数点，保留小数点后2位，从小数点后第3位四舍五入。本招标文件所称的</w:t>
      </w:r>
      <w:r>
        <w:rPr>
          <w:rFonts w:hint="eastAsia" w:ascii="宋体" w:hAnsi="宋体" w:eastAsia="宋体" w:cs="Times New Roman"/>
          <w:color w:val="auto"/>
          <w:kern w:val="0"/>
          <w:szCs w:val="21"/>
          <w:highlight w:val="none"/>
        </w:rPr>
        <w:t>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价和</w:t>
      </w:r>
      <w:r>
        <w:rPr>
          <w:rFonts w:hint="eastAsia" w:ascii="宋体" w:hAnsi="宋体" w:eastAsia="宋体" w:cs="Times New Roman"/>
          <w:color w:val="auto"/>
          <w:kern w:val="0"/>
          <w:szCs w:val="21"/>
          <w:highlight w:val="none"/>
          <w:lang w:val="en-US" w:eastAsia="zh-CN"/>
        </w:rPr>
        <w:t>暂定总</w:t>
      </w:r>
      <w:r>
        <w:rPr>
          <w:rFonts w:hint="eastAsia" w:ascii="宋体" w:hAnsi="宋体" w:eastAsia="宋体" w:cs="Times New Roman"/>
          <w:color w:val="auto"/>
          <w:kern w:val="0"/>
          <w:szCs w:val="21"/>
          <w:highlight w:val="none"/>
        </w:rPr>
        <w:t>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项目业主或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等一切费用；</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（2）监测时，如需土建总包单位配合或向其租借设备时，自行与总包单位协调，配合及租借费用；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（3）与工程施工总承包单位（或其他监测人）的配合关系、协调对接，并配合开展的相关工作所需的费用；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）合理利润、投标人销项税额以外的税费等；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zh-CN"/>
        </w:rPr>
        <w:t>11.6 投标人的监测服务系数报价</w:t>
      </w:r>
      <w:r>
        <w:rPr>
          <w:rFonts w:hint="eastAsia" w:ascii="宋体" w:hAnsi="宋体" w:eastAsia="宋体" w:cs="Times New Roman"/>
          <w:b/>
          <w:bCs/>
          <w:color w:val="auto"/>
          <w:szCs w:val="21"/>
          <w:highlight w:val="none"/>
          <w:lang w:val="en-US" w:eastAsia="zh-CN"/>
        </w:rPr>
        <w:t>不得超过0.80</w:t>
      </w:r>
      <w:r>
        <w:rPr>
          <w:rFonts w:hint="eastAsia" w:ascii="宋体" w:hAnsi="宋体" w:eastAsia="宋体" w:cs="Times New Roman"/>
          <w:b/>
          <w:bCs/>
          <w:color w:val="auto"/>
          <w:szCs w:val="21"/>
          <w:highlight w:val="none"/>
          <w:lang w:val="zh-CN"/>
        </w:rPr>
        <w:t>，</w:t>
      </w:r>
      <w:r>
        <w:rPr>
          <w:rFonts w:hint="eastAsia" w:ascii="宋体" w:hAnsi="宋体" w:eastAsia="宋体" w:cs="Times New Roman"/>
          <w:b/>
          <w:bCs/>
          <w:color w:val="auto"/>
          <w:szCs w:val="21"/>
          <w:highlight w:val="none"/>
          <w:lang w:val="en-US" w:eastAsia="zh-CN"/>
        </w:rPr>
        <w:t>且不能为0.00或负数</w:t>
      </w:r>
      <w:r>
        <w:rPr>
          <w:rFonts w:hint="eastAsia" w:ascii="宋体" w:hAnsi="宋体" w:eastAsia="宋体" w:cs="Times New Roman"/>
          <w:b/>
          <w:bCs/>
          <w:color w:val="auto"/>
          <w:szCs w:val="21"/>
          <w:highlight w:val="none"/>
          <w:lang w:val="zh-CN"/>
        </w:rPr>
        <w:t>，投标人未按招标文件要求进行监测服务系数报价的，该投标人的投标文件将被视为无效投标。监测服务系数</w:t>
      </w:r>
      <w:r>
        <w:rPr>
          <w:rFonts w:hint="eastAsia" w:ascii="宋体" w:hAnsi="宋体" w:eastAsia="宋体" w:cs="Times New Roman"/>
          <w:b/>
          <w:bCs/>
          <w:color w:val="auto"/>
          <w:szCs w:val="21"/>
          <w:highlight w:val="none"/>
          <w:lang w:val="en-US" w:eastAsia="zh-CN"/>
        </w:rPr>
        <w:t>报价</w:t>
      </w:r>
      <w:r>
        <w:rPr>
          <w:rFonts w:hint="eastAsia" w:ascii="宋体" w:hAnsi="宋体" w:eastAsia="宋体" w:cs="Times New Roman"/>
          <w:b/>
          <w:bCs/>
          <w:color w:val="auto"/>
          <w:szCs w:val="21"/>
          <w:highlight w:val="none"/>
          <w:u w:val="none"/>
        </w:rPr>
        <w:t>需保留小数点后两位，否则评标委员会按去“尾”或补“零”的方式进行修正为保留小数点后两位，投标人须接受被修正后的报价（例：如</w:t>
      </w:r>
      <w:r>
        <w:rPr>
          <w:rFonts w:hint="eastAsia" w:ascii="宋体" w:hAnsi="宋体" w:eastAsia="宋体" w:cs="Times New Roman"/>
          <w:b/>
          <w:bCs/>
          <w:color w:val="auto"/>
          <w:szCs w:val="21"/>
          <w:highlight w:val="none"/>
          <w:lang w:val="zh-CN"/>
        </w:rPr>
        <w:t>监测服务系数</w:t>
      </w:r>
      <w:r>
        <w:rPr>
          <w:rFonts w:hint="eastAsia" w:ascii="宋体" w:hAnsi="宋体" w:eastAsia="宋体" w:cs="Times New Roman"/>
          <w:b/>
          <w:bCs/>
          <w:color w:val="auto"/>
          <w:szCs w:val="21"/>
          <w:highlight w:val="none"/>
          <w:u w:val="none"/>
        </w:rPr>
        <w:t>为0.789，则被修正为0.78；如</w:t>
      </w:r>
      <w:r>
        <w:rPr>
          <w:rFonts w:hint="eastAsia" w:ascii="宋体" w:hAnsi="宋体" w:eastAsia="宋体" w:cs="Times New Roman"/>
          <w:b/>
          <w:bCs/>
          <w:color w:val="auto"/>
          <w:szCs w:val="21"/>
          <w:highlight w:val="none"/>
          <w:lang w:val="zh-CN"/>
        </w:rPr>
        <w:t>监测服务系数</w:t>
      </w:r>
      <w:r>
        <w:rPr>
          <w:rFonts w:hint="eastAsia" w:ascii="宋体" w:hAnsi="宋体" w:eastAsia="宋体" w:cs="Times New Roman"/>
          <w:b/>
          <w:bCs/>
          <w:color w:val="auto"/>
          <w:szCs w:val="21"/>
          <w:highlight w:val="none"/>
          <w:u w:val="none"/>
        </w:rPr>
        <w:t>为0.7，则被修正为0.70）</w:t>
      </w:r>
      <w:r>
        <w:rPr>
          <w:rFonts w:hint="eastAsia" w:ascii="宋体" w:hAnsi="宋体" w:eastAsia="宋体" w:cs="Times New Roman"/>
          <w:b/>
          <w:bCs/>
          <w:color w:val="auto"/>
          <w:szCs w:val="21"/>
          <w:highlight w:val="none"/>
          <w:u w:val="none"/>
          <w:lang w:eastAsia="zh-CN"/>
        </w:rPr>
        <w:t>。</w:t>
      </w:r>
      <w:r>
        <w:rPr>
          <w:rFonts w:hint="eastAsia" w:ascii="宋体" w:hAnsi="宋体" w:eastAsia="宋体" w:cs="宋体"/>
          <w:b/>
          <w:bCs/>
          <w:color w:val="auto"/>
          <w:szCs w:val="21"/>
          <w:highlight w:val="none"/>
          <w:lang w:val="zh-CN"/>
        </w:rPr>
        <w:t>本项目暂定含税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938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182.05元(大写：</w:t>
      </w:r>
      <w:r>
        <w:rPr>
          <w:rFonts w:hint="eastAsia" w:ascii="宋体" w:hAnsi="宋体" w:eastAsia="宋体" w:cs="宋体"/>
          <w:b/>
          <w:bCs/>
          <w:color w:val="auto"/>
          <w:szCs w:val="21"/>
          <w:highlight w:val="none"/>
          <w:lang w:val="en-US" w:eastAsia="zh-CN"/>
        </w:rPr>
        <w:t>人民币壹佰玖拾叁万捌仟壹佰捌拾贰元零伍分</w:t>
      </w:r>
      <w:r>
        <w:rPr>
          <w:rFonts w:hint="eastAsia" w:ascii="宋体" w:hAnsi="宋体" w:eastAsia="宋体" w:cs="宋体"/>
          <w:b/>
          <w:bCs/>
          <w:color w:val="auto"/>
          <w:szCs w:val="21"/>
          <w:highlight w:val="none"/>
          <w:lang w:val="zh-CN"/>
        </w:rPr>
        <w:t>)，暂定</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lang w:val="zh-CN"/>
        </w:rPr>
        <w:t>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828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val="zh-CN"/>
        </w:rPr>
        <w:t>473.63</w:t>
      </w:r>
      <w:r>
        <w:rPr>
          <w:rFonts w:hint="eastAsia" w:ascii="宋体" w:hAnsi="宋体" w:eastAsia="宋体" w:cs="宋体"/>
          <w:b/>
          <w:bCs/>
          <w:color w:val="auto"/>
          <w:szCs w:val="21"/>
          <w:highlight w:val="none"/>
          <w:lang w:val="en-US" w:eastAsia="zh-CN"/>
        </w:rPr>
        <w:t>元</w:t>
      </w:r>
      <w:r>
        <w:rPr>
          <w:rFonts w:hint="eastAsia" w:ascii="宋体" w:hAnsi="宋体" w:eastAsia="宋体" w:cs="宋体"/>
          <w:b/>
          <w:bCs/>
          <w:color w:val="auto"/>
          <w:szCs w:val="21"/>
          <w:highlight w:val="none"/>
          <w:lang w:val="zh-CN"/>
        </w:rPr>
        <w:t>（大写：人民币壹佰捌拾贰万捌仟肆佰柒拾叁元陆角叁分）。</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7" w:name="_Toc30042_WPSOffice_Level3"/>
      <w:bookmarkStart w:id="168" w:name="_Toc20312"/>
      <w:bookmarkStart w:id="169" w:name="_Toc142508326"/>
      <w:bookmarkStart w:id="170" w:name="_Toc3469"/>
      <w:bookmarkStart w:id="171" w:name="_Toc450662862"/>
      <w:bookmarkStart w:id="172" w:name="_Toc8937"/>
      <w:bookmarkStart w:id="173" w:name="_Toc23240"/>
      <w:bookmarkStart w:id="174" w:name="_Toc11390"/>
      <w:bookmarkStart w:id="17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67"/>
      <w:bookmarkEnd w:id="168"/>
      <w:bookmarkEnd w:id="169"/>
      <w:bookmarkEnd w:id="170"/>
      <w:bookmarkEnd w:id="171"/>
      <w:bookmarkEnd w:id="172"/>
      <w:bookmarkEnd w:id="173"/>
      <w:bookmarkEnd w:id="174"/>
      <w:bookmarkEnd w:id="17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1474"/>
      <w:bookmarkStart w:id="177" w:name="_Toc450662863"/>
      <w:bookmarkStart w:id="178" w:name="_Toc20031"/>
      <w:bookmarkStart w:id="179" w:name="_Toc6100"/>
      <w:bookmarkStart w:id="180" w:name="_Toc142508327"/>
      <w:bookmarkStart w:id="181" w:name="_Toc1091"/>
      <w:bookmarkStart w:id="182" w:name="_Toc486167677"/>
      <w:bookmarkStart w:id="183" w:name="_Toc9411_WPSOffice_Level3"/>
      <w:bookmarkStart w:id="184" w:name="_Toc396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76"/>
      <w:bookmarkEnd w:id="177"/>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86167678"/>
      <w:bookmarkStart w:id="186" w:name="_Toc16158"/>
      <w:bookmarkStart w:id="187" w:name="_Toc450662864"/>
      <w:bookmarkStart w:id="188" w:name="_Toc16467"/>
      <w:bookmarkStart w:id="189" w:name="_Toc29754"/>
      <w:bookmarkStart w:id="190" w:name="_Toc19079"/>
      <w:bookmarkStart w:id="191" w:name="_Toc8615"/>
      <w:bookmarkStart w:id="192" w:name="_Toc27771_WPSOffice_Level3"/>
      <w:bookmarkStart w:id="193"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85"/>
      <w:bookmarkEnd w:id="186"/>
      <w:bookmarkEnd w:id="187"/>
      <w:bookmarkEnd w:id="188"/>
      <w:bookmarkEnd w:id="189"/>
      <w:bookmarkEnd w:id="190"/>
      <w:bookmarkEnd w:id="191"/>
      <w:bookmarkEnd w:id="192"/>
      <w:bookmarkEnd w:id="193"/>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4" w:name="_Toc8644"/>
      <w:bookmarkStart w:id="195" w:name="_Toc22800"/>
      <w:bookmarkStart w:id="196" w:name="_Toc31113"/>
      <w:bookmarkStart w:id="197" w:name="_Toc486167679"/>
      <w:bookmarkStart w:id="198" w:name="_Toc16828"/>
      <w:bookmarkStart w:id="199" w:name="_Toc142508329"/>
      <w:bookmarkStart w:id="200" w:name="_Toc30555"/>
      <w:bookmarkStart w:id="201"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94"/>
      <w:bookmarkEnd w:id="195"/>
      <w:bookmarkEnd w:id="196"/>
      <w:bookmarkEnd w:id="197"/>
      <w:bookmarkEnd w:id="198"/>
      <w:bookmarkEnd w:id="199"/>
      <w:bookmarkEnd w:id="200"/>
      <w:bookmarkEnd w:id="201"/>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投标人投标时须附有投标保证金38,000.00元（大写：人民币叁万捌仟元整）。</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w:t>
      </w:r>
      <w:r>
        <w:rPr>
          <w:rFonts w:hint="eastAsia" w:ascii="宋体" w:hAnsi="宋体" w:eastAsia="宋体" w:cs="宋体"/>
          <w:color w:val="auto"/>
          <w:kern w:val="0"/>
          <w:szCs w:val="21"/>
          <w:highlight w:val="none"/>
          <w:lang w:val="zh-CN"/>
        </w:rPr>
        <w:t>东莞市水务集团建设管理有限公司</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highlight w:val="none"/>
          <w:lang w:val="zh-CN"/>
        </w:rPr>
        <w:t>中国工商银行股份有限公司东莞分行</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银行账号：2010021309200628330</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2" w:name="_Toc486167680"/>
      <w:bookmarkStart w:id="203" w:name="_Toc13537"/>
      <w:bookmarkStart w:id="204" w:name="_Toc19741"/>
      <w:bookmarkStart w:id="205" w:name="_Toc29607"/>
      <w:bookmarkStart w:id="206" w:name="_Toc142508330"/>
      <w:bookmarkStart w:id="207" w:name="_Toc22649_WPSOffice_Level3"/>
      <w:bookmarkStart w:id="208" w:name="_Toc23267"/>
      <w:bookmarkStart w:id="209" w:name="_Toc1458"/>
      <w:bookmarkStart w:id="210"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02"/>
      <w:bookmarkEnd w:id="203"/>
      <w:bookmarkEnd w:id="204"/>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1" w:name="_Toc450662866"/>
      <w:bookmarkStart w:id="212" w:name="_Toc25637_WPSOffice_Level3"/>
      <w:bookmarkStart w:id="213" w:name="_Toc15544"/>
      <w:bookmarkStart w:id="214" w:name="_Toc4290"/>
      <w:bookmarkStart w:id="215" w:name="_Toc12140"/>
      <w:bookmarkStart w:id="216" w:name="_Toc932"/>
      <w:bookmarkStart w:id="217" w:name="_Toc142508331"/>
      <w:bookmarkStart w:id="218" w:name="_Toc20422"/>
      <w:bookmarkStart w:id="219"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11"/>
      <w:bookmarkEnd w:id="212"/>
      <w:bookmarkEnd w:id="213"/>
      <w:bookmarkEnd w:id="214"/>
      <w:bookmarkEnd w:id="215"/>
      <w:bookmarkEnd w:id="216"/>
      <w:bookmarkEnd w:id="217"/>
      <w:bookmarkEnd w:id="218"/>
      <w:bookmarkEnd w:id="21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2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21" w:name="_Toc22356_WPSOffice_Level2"/>
      <w:bookmarkStart w:id="222" w:name="_Toc17199"/>
      <w:bookmarkStart w:id="223" w:name="_Toc140596891"/>
      <w:bookmarkStart w:id="224" w:name="_Toc16145"/>
      <w:bookmarkStart w:id="225" w:name="_Toc26605"/>
      <w:bookmarkStart w:id="226" w:name="_Toc486167682"/>
      <w:bookmarkStart w:id="227" w:name="_Toc13516"/>
      <w:bookmarkStart w:id="228" w:name="_Toc10836"/>
      <w:bookmarkStart w:id="229" w:name="_Toc142508332"/>
      <w:r>
        <w:rPr>
          <w:rFonts w:hint="eastAsia" w:ascii="宋体" w:hAnsi="宋体" w:eastAsia="宋体" w:cs="宋体"/>
          <w:b/>
          <w:bCs/>
          <w:color w:val="auto"/>
          <w:kern w:val="44"/>
          <w:szCs w:val="21"/>
          <w:highlight w:val="none"/>
          <w:lang w:val="zh-CN"/>
        </w:rPr>
        <w:t>四、投标文件的递交</w:t>
      </w:r>
      <w:bookmarkEnd w:id="220"/>
      <w:bookmarkEnd w:id="221"/>
      <w:bookmarkEnd w:id="222"/>
      <w:bookmarkEnd w:id="223"/>
      <w:bookmarkEnd w:id="224"/>
      <w:bookmarkEnd w:id="225"/>
      <w:bookmarkEnd w:id="226"/>
      <w:bookmarkEnd w:id="227"/>
      <w:bookmarkEnd w:id="228"/>
      <w:bookmarkEnd w:id="22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29038"/>
      <w:bookmarkStart w:id="231" w:name="_Toc486167683"/>
      <w:bookmarkStart w:id="232" w:name="_Toc4397"/>
      <w:bookmarkStart w:id="233" w:name="_Toc142508333"/>
      <w:bookmarkStart w:id="234" w:name="_Toc31551"/>
      <w:bookmarkStart w:id="235" w:name="_Toc10421"/>
      <w:bookmarkStart w:id="236" w:name="_Toc29885"/>
      <w:bookmarkStart w:id="237" w:name="_Toc12192_WPSOffice_Level3"/>
      <w:bookmarkStart w:id="238"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30"/>
      <w:bookmarkEnd w:id="231"/>
      <w:bookmarkEnd w:id="232"/>
      <w:bookmarkEnd w:id="233"/>
      <w:bookmarkEnd w:id="234"/>
      <w:bookmarkEnd w:id="235"/>
      <w:bookmarkEnd w:id="236"/>
      <w:bookmarkEnd w:id="237"/>
      <w:bookmarkEnd w:id="23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9" w:name="_Toc20576"/>
      <w:bookmarkStart w:id="240" w:name="_Toc12582"/>
      <w:bookmarkStart w:id="241" w:name="_Toc26130"/>
      <w:bookmarkStart w:id="242" w:name="_Toc23369"/>
      <w:bookmarkStart w:id="243" w:name="_Toc142508334"/>
      <w:bookmarkStart w:id="244" w:name="_Toc4979"/>
      <w:bookmarkStart w:id="245" w:name="_Toc29665_WPSOffice_Level3"/>
      <w:bookmarkStart w:id="246" w:name="_Toc486167684"/>
      <w:bookmarkStart w:id="247"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39"/>
      <w:bookmarkEnd w:id="240"/>
      <w:bookmarkEnd w:id="241"/>
      <w:bookmarkEnd w:id="242"/>
      <w:bookmarkEnd w:id="243"/>
      <w:bookmarkEnd w:id="244"/>
      <w:bookmarkEnd w:id="245"/>
      <w:bookmarkEnd w:id="246"/>
      <w:bookmarkEnd w:id="24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48" w:name="_Toc22431_WPSOffice_Level3"/>
      <w:bookmarkStart w:id="249" w:name="_Toc21327"/>
      <w:bookmarkStart w:id="250" w:name="_Toc13086"/>
      <w:bookmarkStart w:id="251" w:name="_Toc450662870"/>
      <w:bookmarkStart w:id="252" w:name="_Toc142508335"/>
      <w:bookmarkStart w:id="253" w:name="_Toc486167685"/>
      <w:bookmarkStart w:id="254" w:name="_Toc20835"/>
      <w:bookmarkStart w:id="255" w:name="_Toc30287"/>
      <w:bookmarkStart w:id="256" w:name="_Toc19521"/>
      <w:r>
        <w:rPr>
          <w:rFonts w:hint="eastAsia" w:ascii="宋体" w:hAnsi="宋体" w:eastAsia="宋体" w:cs="宋体"/>
          <w:color w:val="auto"/>
          <w:szCs w:val="21"/>
          <w:highlight w:val="none"/>
          <w:lang w:val="zh-CN"/>
        </w:rPr>
        <w:t>20 迟交的投标文件</w:t>
      </w:r>
      <w:bookmarkEnd w:id="248"/>
      <w:bookmarkEnd w:id="249"/>
      <w:bookmarkEnd w:id="250"/>
      <w:bookmarkEnd w:id="251"/>
      <w:bookmarkEnd w:id="252"/>
      <w:bookmarkEnd w:id="253"/>
      <w:bookmarkEnd w:id="254"/>
      <w:bookmarkEnd w:id="255"/>
      <w:bookmarkEnd w:id="256"/>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3814"/>
      <w:bookmarkStart w:id="258" w:name="_Toc4883_WPSOffice_Level3"/>
      <w:bookmarkStart w:id="259" w:name="_Toc24876"/>
      <w:bookmarkStart w:id="260" w:name="_Toc450662871"/>
      <w:bookmarkStart w:id="261" w:name="_Toc27851"/>
      <w:bookmarkStart w:id="262" w:name="_Toc486167686"/>
      <w:bookmarkStart w:id="263" w:name="_Toc142508336"/>
      <w:bookmarkStart w:id="264" w:name="_Toc11814"/>
      <w:bookmarkStart w:id="265" w:name="_Toc2878"/>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57"/>
      <w:bookmarkEnd w:id="258"/>
      <w:bookmarkEnd w:id="259"/>
      <w:bookmarkEnd w:id="260"/>
      <w:bookmarkEnd w:id="261"/>
      <w:bookmarkEnd w:id="262"/>
      <w:bookmarkEnd w:id="263"/>
      <w:bookmarkEnd w:id="264"/>
      <w:bookmarkEnd w:id="26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66" w:name="_Toc6402"/>
      <w:bookmarkStart w:id="267" w:name="_Toc30428"/>
      <w:bookmarkStart w:id="268" w:name="_Toc486167687"/>
      <w:bookmarkStart w:id="269" w:name="_Toc142508337"/>
      <w:bookmarkStart w:id="270" w:name="_Toc16909"/>
      <w:bookmarkStart w:id="271" w:name="_Toc450662872"/>
      <w:bookmarkStart w:id="272" w:name="_Toc20923"/>
      <w:bookmarkStart w:id="273" w:name="_Toc28824"/>
      <w:bookmarkStart w:id="274" w:name="_Toc140596896"/>
      <w:bookmarkStart w:id="275" w:name="_Toc1049_WPSOffice_Level2"/>
      <w:r>
        <w:rPr>
          <w:rFonts w:hint="eastAsia" w:ascii="宋体" w:hAnsi="宋体" w:eastAsia="宋体" w:cs="宋体"/>
          <w:b/>
          <w:bCs/>
          <w:color w:val="auto"/>
          <w:kern w:val="44"/>
          <w:szCs w:val="21"/>
          <w:highlight w:val="none"/>
          <w:lang w:val="zh-CN"/>
        </w:rPr>
        <w:t>五、开标与评标</w:t>
      </w:r>
      <w:bookmarkEnd w:id="266"/>
      <w:bookmarkEnd w:id="267"/>
      <w:bookmarkEnd w:id="268"/>
      <w:bookmarkEnd w:id="269"/>
      <w:bookmarkEnd w:id="270"/>
      <w:bookmarkEnd w:id="271"/>
      <w:bookmarkEnd w:id="272"/>
      <w:bookmarkEnd w:id="273"/>
      <w:bookmarkEnd w:id="274"/>
      <w:bookmarkEnd w:id="27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6" w:name="_Toc27399"/>
      <w:bookmarkStart w:id="277" w:name="_Toc142508338"/>
      <w:bookmarkStart w:id="278" w:name="_Toc8728"/>
      <w:bookmarkStart w:id="279" w:name="_Toc29052"/>
      <w:bookmarkStart w:id="280" w:name="_Toc32206"/>
      <w:bookmarkStart w:id="281" w:name="_Toc450662873"/>
      <w:bookmarkStart w:id="282" w:name="_Toc144_WPSOffice_Level3"/>
      <w:bookmarkStart w:id="283" w:name="_Toc486167688"/>
      <w:bookmarkStart w:id="284" w:name="_Toc1125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76"/>
      <w:bookmarkEnd w:id="277"/>
      <w:bookmarkEnd w:id="278"/>
      <w:bookmarkEnd w:id="279"/>
      <w:bookmarkEnd w:id="280"/>
      <w:bookmarkEnd w:id="281"/>
      <w:bookmarkEnd w:id="282"/>
      <w:bookmarkEnd w:id="283"/>
      <w:bookmarkEnd w:id="2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监测服务系数报价与以文字表示的系数报价不一致时，以文字表示的系数报价为准；投标报价表内监测服务系数报价需保留小数点后两位，否则评标委员会按去“尾”或补“零”的方式进行修正为保留小数点后两位，投标人须接受被修正后的报价（例：如监测服务系数为0.789，则被修正为0.78；如监测服务系数为0.7，则被修正为0.70）。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5" w:name="_Toc23059"/>
      <w:bookmarkStart w:id="286" w:name="_Toc32534"/>
      <w:bookmarkStart w:id="287" w:name="_Toc486167689"/>
      <w:bookmarkStart w:id="288" w:name="_Toc142508339"/>
      <w:bookmarkStart w:id="289" w:name="_Toc22060"/>
      <w:bookmarkStart w:id="290" w:name="_Toc12165_WPSOffice_Level3"/>
      <w:bookmarkStart w:id="291" w:name="_Toc19900"/>
      <w:bookmarkStart w:id="292" w:name="_Toc23491"/>
      <w:bookmarkStart w:id="293"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5"/>
      <w:bookmarkEnd w:id="286"/>
      <w:bookmarkEnd w:id="287"/>
      <w:bookmarkEnd w:id="288"/>
      <w:bookmarkEnd w:id="289"/>
      <w:bookmarkEnd w:id="290"/>
      <w:bookmarkEnd w:id="291"/>
      <w:bookmarkEnd w:id="292"/>
      <w:bookmarkEnd w:id="293"/>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142508340"/>
      <w:bookmarkStart w:id="295" w:name="_Toc16920"/>
      <w:bookmarkStart w:id="296" w:name="_Toc15565_WPSOffice_Level3"/>
      <w:bookmarkStart w:id="297" w:name="_Toc800"/>
      <w:bookmarkStart w:id="298" w:name="_Toc17266"/>
      <w:bookmarkStart w:id="299" w:name="_Toc18693"/>
      <w:bookmarkStart w:id="300" w:name="_Toc450662875"/>
      <w:bookmarkStart w:id="301" w:name="_Toc486167690"/>
      <w:bookmarkStart w:id="302" w:name="_Toc1066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94"/>
      <w:bookmarkEnd w:id="295"/>
      <w:bookmarkEnd w:id="296"/>
      <w:bookmarkEnd w:id="297"/>
      <w:bookmarkEnd w:id="298"/>
      <w:bookmarkEnd w:id="299"/>
      <w:bookmarkEnd w:id="300"/>
      <w:bookmarkEnd w:id="301"/>
      <w:bookmarkEnd w:id="30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03" w:name="_Toc486167691"/>
      <w:bookmarkStart w:id="304" w:name="_Toc29442"/>
      <w:bookmarkStart w:id="305" w:name="_Toc12715"/>
      <w:bookmarkStart w:id="306" w:name="_Toc28910_WPSOffice_Level3"/>
      <w:bookmarkStart w:id="307" w:name="_Toc18668"/>
      <w:bookmarkStart w:id="308" w:name="_Toc8908"/>
      <w:bookmarkStart w:id="309" w:name="_Toc14477"/>
      <w:bookmarkStart w:id="310" w:name="_Toc450662876"/>
      <w:bookmarkStart w:id="311"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03"/>
      <w:bookmarkEnd w:id="304"/>
      <w:bookmarkEnd w:id="305"/>
      <w:bookmarkEnd w:id="306"/>
      <w:bookmarkEnd w:id="307"/>
      <w:bookmarkEnd w:id="308"/>
      <w:bookmarkEnd w:id="309"/>
      <w:bookmarkEnd w:id="310"/>
      <w:bookmarkEnd w:id="31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4837"/>
      <w:bookmarkStart w:id="313" w:name="_Toc30225"/>
      <w:bookmarkStart w:id="314" w:name="_Toc142508342"/>
      <w:bookmarkStart w:id="315" w:name="_Toc486167692"/>
      <w:bookmarkStart w:id="316" w:name="_Toc338_WPSOffice_Level3"/>
      <w:bookmarkStart w:id="317" w:name="_Toc1046"/>
      <w:bookmarkStart w:id="318" w:name="_Toc19456"/>
      <w:bookmarkStart w:id="319" w:name="_Toc450662877"/>
      <w:bookmarkStart w:id="320" w:name="_Toc13738"/>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12"/>
      <w:bookmarkEnd w:id="313"/>
      <w:bookmarkEnd w:id="314"/>
      <w:bookmarkEnd w:id="315"/>
      <w:bookmarkEnd w:id="316"/>
      <w:bookmarkEnd w:id="317"/>
      <w:bookmarkEnd w:id="318"/>
      <w:bookmarkEnd w:id="319"/>
      <w:bookmarkEnd w:id="320"/>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2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21"/>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142508343"/>
      <w:bookmarkStart w:id="323" w:name="_Toc10967"/>
      <w:bookmarkStart w:id="324" w:name="_Toc522047355"/>
      <w:bookmarkStart w:id="325" w:name="_Toc18368_WPSOffice_Level3"/>
      <w:bookmarkStart w:id="326" w:name="_Toc6970"/>
      <w:bookmarkStart w:id="327" w:name="_Toc521918096"/>
      <w:bookmarkStart w:id="328" w:name="_Toc15363"/>
      <w:bookmarkStart w:id="329" w:name="_Toc22065"/>
      <w:bookmarkStart w:id="330" w:name="_Toc12150"/>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22"/>
      <w:bookmarkEnd w:id="323"/>
      <w:bookmarkEnd w:id="324"/>
      <w:bookmarkEnd w:id="325"/>
      <w:bookmarkEnd w:id="326"/>
      <w:bookmarkEnd w:id="327"/>
      <w:bookmarkEnd w:id="328"/>
      <w:bookmarkEnd w:id="329"/>
      <w:bookmarkEnd w:id="330"/>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31" w:name="_Toc521918097"/>
      <w:bookmarkStart w:id="332"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7000"/>
      <w:bookmarkStart w:id="334" w:name="_Toc16829"/>
      <w:bookmarkStart w:id="335" w:name="_Toc142508344"/>
      <w:bookmarkStart w:id="336" w:name="_Toc14804"/>
      <w:bookmarkStart w:id="337" w:name="_Toc31407"/>
      <w:bookmarkStart w:id="338" w:name="_Toc27026"/>
      <w:bookmarkStart w:id="339"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31"/>
      <w:bookmarkEnd w:id="332"/>
      <w:bookmarkEnd w:id="333"/>
      <w:bookmarkEnd w:id="334"/>
      <w:bookmarkEnd w:id="335"/>
      <w:bookmarkEnd w:id="336"/>
      <w:bookmarkEnd w:id="337"/>
      <w:bookmarkEnd w:id="338"/>
      <w:bookmarkEnd w:id="33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firstLineChars="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val="0"/>
          <w:bCs w:val="0"/>
          <w:color w:val="auto"/>
          <w:szCs w:val="21"/>
          <w:highlight w:val="none"/>
          <w:lang w:val="zh-CN"/>
        </w:rPr>
        <w:t>若本次招标过程中有效投标人不足三个时，公开招标失败。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1488"/>
      <w:bookmarkStart w:id="341" w:name="_Toc32498_WPSOffice_Level3"/>
      <w:bookmarkStart w:id="342" w:name="_Toc142508345"/>
      <w:bookmarkStart w:id="343" w:name="_Toc21375"/>
      <w:bookmarkStart w:id="344" w:name="_Toc4819"/>
      <w:bookmarkStart w:id="345" w:name="_Toc466882017"/>
      <w:bookmarkStart w:id="346" w:name="_Toc465358969"/>
      <w:bookmarkStart w:id="347" w:name="_Toc29588"/>
      <w:bookmarkStart w:id="348" w:name="_Toc486167694"/>
      <w:bookmarkStart w:id="349"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40"/>
      <w:bookmarkEnd w:id="341"/>
      <w:bookmarkEnd w:id="342"/>
      <w:bookmarkEnd w:id="343"/>
      <w:bookmarkEnd w:id="344"/>
      <w:bookmarkEnd w:id="345"/>
      <w:bookmarkEnd w:id="346"/>
      <w:bookmarkEnd w:id="347"/>
      <w:bookmarkEnd w:id="348"/>
      <w:bookmarkEnd w:id="349"/>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w:t>
      </w:r>
      <w:r>
        <w:rPr>
          <w:rFonts w:hint="eastAsia" w:ascii="宋体" w:hAnsi="宋体" w:eastAsia="宋体" w:cs="Times New Roman"/>
          <w:color w:val="auto"/>
          <w:szCs w:val="21"/>
          <w:highlight w:val="none"/>
          <w:lang w:val="en-US" w:eastAsia="zh-CN"/>
        </w:rPr>
        <w:t>不得少于3日（最后一日是节假日或公休日的，应顺延到节假日或公休日后第一个工作日）</w:t>
      </w:r>
      <w:r>
        <w:rPr>
          <w:rFonts w:hint="eastAsia" w:ascii="宋体" w:hAnsi="宋体" w:eastAsia="宋体" w:cs="Times New Roman"/>
          <w:color w:val="auto"/>
          <w:szCs w:val="21"/>
          <w:highlight w:val="none"/>
          <w:lang w:val="zh-CN"/>
        </w:rPr>
        <w:t>。投标人或者其他利害关系人对评标结果有异议的，应当在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Times New Roman"/>
          <w:b/>
          <w:bCs/>
          <w:color w:val="auto"/>
          <w:szCs w:val="21"/>
          <w:highlight w:val="none"/>
          <w:lang w:val="en-US" w:eastAsia="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50" w:name="_Toc142508346"/>
      <w:bookmarkStart w:id="351" w:name="_Toc2077"/>
      <w:bookmarkStart w:id="352" w:name="_Toc29188"/>
      <w:bookmarkStart w:id="353" w:name="_Toc466882018"/>
      <w:bookmarkStart w:id="354" w:name="_Toc20029"/>
      <w:bookmarkStart w:id="355" w:name="_Toc465358970"/>
      <w:bookmarkStart w:id="356" w:name="_Toc3154"/>
      <w:bookmarkStart w:id="357" w:name="_Toc1848_WPSOffice_Level3"/>
      <w:bookmarkStart w:id="358" w:name="_Toc26354"/>
      <w:bookmarkStart w:id="359"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50"/>
      <w:bookmarkEnd w:id="351"/>
      <w:bookmarkEnd w:id="352"/>
      <w:bookmarkEnd w:id="353"/>
      <w:bookmarkEnd w:id="354"/>
      <w:bookmarkEnd w:id="355"/>
      <w:bookmarkEnd w:id="356"/>
      <w:bookmarkEnd w:id="357"/>
      <w:bookmarkEnd w:id="358"/>
      <w:bookmarkEnd w:id="35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60" w:name="_Toc466882019"/>
      <w:bookmarkStart w:id="361"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62" w:name="_Toc486167696"/>
      <w:bookmarkStart w:id="363" w:name="_Toc142508347"/>
      <w:bookmarkStart w:id="364" w:name="_Toc9538"/>
      <w:bookmarkStart w:id="365" w:name="_Toc23672"/>
      <w:bookmarkStart w:id="366" w:name="_Toc10867_WPSOffice_Level3"/>
      <w:bookmarkStart w:id="367" w:name="_Toc8654"/>
      <w:bookmarkStart w:id="368" w:name="_Toc15815"/>
      <w:bookmarkStart w:id="369" w:name="_Toc2634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60"/>
      <w:bookmarkEnd w:id="361"/>
      <w:bookmarkEnd w:id="362"/>
      <w:bookmarkEnd w:id="363"/>
      <w:bookmarkEnd w:id="364"/>
      <w:bookmarkEnd w:id="365"/>
      <w:bookmarkEnd w:id="366"/>
      <w:bookmarkEnd w:id="367"/>
      <w:bookmarkEnd w:id="368"/>
      <w:bookmarkEnd w:id="369"/>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70"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1" w:name="_Toc16789"/>
      <w:bookmarkStart w:id="372" w:name="_Toc27936"/>
      <w:bookmarkStart w:id="373" w:name="_Toc142508348"/>
      <w:bookmarkStart w:id="374" w:name="_Toc16848_WPSOffice_Level2"/>
      <w:bookmarkStart w:id="375" w:name="_Toc534"/>
      <w:bookmarkStart w:id="376" w:name="_Toc27318"/>
      <w:bookmarkStart w:id="377" w:name="_Toc486167697"/>
      <w:bookmarkStart w:id="378" w:name="_Toc11941"/>
      <w:bookmarkStart w:id="379" w:name="_Toc140596907"/>
      <w:r>
        <w:rPr>
          <w:rFonts w:hint="eastAsia" w:ascii="宋体" w:hAnsi="宋体" w:eastAsia="宋体" w:cs="宋体"/>
          <w:b/>
          <w:bCs/>
          <w:color w:val="auto"/>
          <w:kern w:val="44"/>
          <w:szCs w:val="21"/>
          <w:highlight w:val="none"/>
          <w:lang w:val="zh-CN"/>
        </w:rPr>
        <w:t>六、授予合同</w:t>
      </w:r>
      <w:bookmarkEnd w:id="370"/>
      <w:bookmarkEnd w:id="371"/>
      <w:bookmarkEnd w:id="372"/>
      <w:bookmarkEnd w:id="373"/>
      <w:bookmarkEnd w:id="374"/>
      <w:bookmarkEnd w:id="375"/>
      <w:bookmarkEnd w:id="376"/>
      <w:bookmarkEnd w:id="377"/>
      <w:bookmarkEnd w:id="378"/>
      <w:bookmarkEnd w:id="379"/>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24357"/>
      <w:bookmarkStart w:id="381" w:name="_Toc486167698"/>
      <w:bookmarkStart w:id="382" w:name="_Toc9067"/>
      <w:bookmarkStart w:id="383" w:name="_Toc29383"/>
      <w:bookmarkStart w:id="384" w:name="_Toc31713"/>
      <w:bookmarkStart w:id="385" w:name="_Toc450662881"/>
      <w:bookmarkStart w:id="386" w:name="_Toc6401_WPSOffice_Level3"/>
      <w:bookmarkStart w:id="387" w:name="_Toc142508349"/>
      <w:bookmarkStart w:id="388" w:name="_Toc1915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80"/>
      <w:bookmarkEnd w:id="381"/>
      <w:bookmarkEnd w:id="382"/>
      <w:bookmarkEnd w:id="383"/>
      <w:bookmarkEnd w:id="384"/>
      <w:bookmarkEnd w:id="385"/>
      <w:bookmarkEnd w:id="386"/>
      <w:bookmarkEnd w:id="387"/>
      <w:bookmarkEnd w:id="388"/>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9"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0" w:name="_Toc14377"/>
      <w:bookmarkStart w:id="391" w:name="_Toc142508350"/>
      <w:bookmarkStart w:id="392" w:name="_Toc8196"/>
      <w:bookmarkStart w:id="393" w:name="_Toc6726_WPSOffice_Level3"/>
      <w:bookmarkStart w:id="394" w:name="_Toc486167699"/>
      <w:bookmarkStart w:id="395" w:name="_Toc10181"/>
      <w:bookmarkStart w:id="396" w:name="_Toc10554"/>
      <w:bookmarkStart w:id="397"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89"/>
      <w:bookmarkEnd w:id="390"/>
      <w:bookmarkEnd w:id="391"/>
      <w:bookmarkEnd w:id="392"/>
      <w:bookmarkEnd w:id="393"/>
      <w:bookmarkEnd w:id="394"/>
      <w:bookmarkEnd w:id="395"/>
      <w:bookmarkEnd w:id="396"/>
      <w:bookmarkEnd w:id="397"/>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9" w:name="_Toc9694_WPSOffice_Level3"/>
      <w:bookmarkStart w:id="400" w:name="_Toc142508351"/>
      <w:bookmarkStart w:id="401" w:name="_Toc28020"/>
      <w:bookmarkStart w:id="402" w:name="_Toc486167700"/>
      <w:bookmarkStart w:id="403" w:name="_Toc1331"/>
      <w:bookmarkStart w:id="404" w:name="_Toc19127"/>
      <w:bookmarkStart w:id="405" w:name="_Toc3657"/>
      <w:bookmarkStart w:id="406" w:name="_Toc1617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98"/>
      <w:bookmarkEnd w:id="399"/>
      <w:bookmarkEnd w:id="400"/>
      <w:bookmarkEnd w:id="401"/>
      <w:bookmarkEnd w:id="402"/>
      <w:bookmarkEnd w:id="403"/>
      <w:bookmarkEnd w:id="404"/>
      <w:bookmarkEnd w:id="405"/>
      <w:bookmarkEnd w:id="40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7" w:name="_Toc10453"/>
      <w:bookmarkStart w:id="408" w:name="_Toc8181"/>
      <w:bookmarkStart w:id="409" w:name="_Toc5304"/>
      <w:bookmarkStart w:id="410" w:name="_Toc10513_WPSOffice_Level3"/>
      <w:bookmarkStart w:id="411" w:name="_Toc3830"/>
      <w:bookmarkStart w:id="412" w:name="_Toc486167701"/>
      <w:bookmarkStart w:id="413" w:name="_Toc450662887"/>
      <w:bookmarkStart w:id="414" w:name="_Toc142508352"/>
      <w:bookmarkStart w:id="415" w:name="_Toc13055"/>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07"/>
      <w:bookmarkEnd w:id="408"/>
      <w:bookmarkEnd w:id="409"/>
      <w:bookmarkEnd w:id="410"/>
      <w:bookmarkEnd w:id="411"/>
      <w:bookmarkEnd w:id="412"/>
      <w:bookmarkEnd w:id="413"/>
      <w:bookmarkEnd w:id="414"/>
      <w:bookmarkEnd w:id="415"/>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16" w:name="_Toc465358977"/>
      <w:bookmarkStart w:id="41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其中，采用履约保证金（银行转账形式）的金额为暂定总合同价（含税）的5%，采用不可撤销银行履约保函形式的金额为暂定总合同价（含税）的8%，采用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形式的金额为暂定总合同价（含税）的8%，采用担保公司履约担保书形式的金额为暂定总合同价（含税）的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可撤销银行履约保函（或履约保证保险或担保公司履约担保书）应从合同签订之日起至合同期限届满并履行完毕相关服务义务且结算完毕之后二十八（28）个日历天内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8" w:name="_Toc16273"/>
      <w:bookmarkStart w:id="419" w:name="_Toc23546"/>
      <w:bookmarkStart w:id="420" w:name="_Toc10548"/>
      <w:bookmarkStart w:id="421" w:name="_Toc142508353"/>
      <w:bookmarkStart w:id="422" w:name="_Toc27162"/>
      <w:bookmarkStart w:id="423" w:name="_Toc486167702"/>
      <w:bookmarkStart w:id="424"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5"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6" w:name="_Toc486167703"/>
      <w:bookmarkStart w:id="427" w:name="_Toc23218"/>
      <w:bookmarkStart w:id="428" w:name="_Toc24393"/>
      <w:bookmarkStart w:id="429" w:name="_Toc142508354"/>
      <w:bookmarkStart w:id="430" w:name="_Toc23134"/>
      <w:bookmarkStart w:id="431" w:name="_Toc26429"/>
      <w:bookmarkStart w:id="432" w:name="_Toc28921_WPSOffice_Level3"/>
      <w:bookmarkStart w:id="433" w:name="_Toc240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25"/>
      <w:bookmarkEnd w:id="426"/>
      <w:bookmarkEnd w:id="427"/>
      <w:bookmarkEnd w:id="428"/>
      <w:bookmarkEnd w:id="429"/>
      <w:bookmarkEnd w:id="430"/>
      <w:bookmarkEnd w:id="431"/>
      <w:bookmarkEnd w:id="432"/>
      <w:bookmarkEnd w:id="433"/>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eastAsia="zh-CN"/>
        </w:rPr>
        <w:t>项目业主</w:t>
      </w:r>
      <w:r>
        <w:rPr>
          <w:rFonts w:hint="eastAsia" w:ascii="宋体" w:hAnsi="宋体" w:eastAsia="宋体" w:cs="宋体"/>
          <w:color w:val="auto"/>
          <w:szCs w:val="21"/>
          <w:highlight w:val="none"/>
          <w:lang w:val="zh-CN"/>
        </w:rPr>
        <w:t>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4"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5" w:name="_Toc6764_WPSOffice_Level3"/>
      <w:bookmarkStart w:id="436" w:name="_Toc30509"/>
      <w:bookmarkStart w:id="437" w:name="_Toc142508355"/>
      <w:bookmarkStart w:id="438" w:name="_Toc30600"/>
      <w:bookmarkStart w:id="439" w:name="_Toc21757"/>
      <w:bookmarkStart w:id="440" w:name="_Toc6796"/>
      <w:bookmarkStart w:id="441" w:name="_Toc486167704"/>
      <w:bookmarkStart w:id="442"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4"/>
      <w:bookmarkEnd w:id="435"/>
      <w:bookmarkEnd w:id="436"/>
      <w:bookmarkEnd w:id="437"/>
      <w:bookmarkEnd w:id="438"/>
      <w:bookmarkEnd w:id="439"/>
      <w:bookmarkEnd w:id="440"/>
      <w:bookmarkEnd w:id="441"/>
      <w:bookmarkEnd w:id="442"/>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43" w:name="_Toc31106_WPSOffice_Level3"/>
      <w:bookmarkStart w:id="444" w:name="_Toc486167705"/>
      <w:r>
        <w:rPr>
          <w:rFonts w:hint="eastAsia" w:ascii="宋体" w:hAnsi="宋体" w:eastAsia="宋体" w:cs="宋体"/>
          <w:color w:val="auto"/>
          <w:szCs w:val="21"/>
          <w:highlight w:val="none"/>
          <w:lang w:val="zh-CN"/>
        </w:rPr>
        <w:t>该项目获得中标的中标人在执行合同过程中，向</w:t>
      </w:r>
      <w:r>
        <w:rPr>
          <w:rFonts w:hint="eastAsia" w:ascii="宋体" w:hAnsi="宋体" w:eastAsia="宋体" w:cs="宋体"/>
          <w:color w:val="auto"/>
          <w:szCs w:val="21"/>
          <w:highlight w:val="none"/>
          <w:lang w:val="en-US" w:eastAsia="zh-CN"/>
        </w:rPr>
        <w:t>项目业主或招标人</w:t>
      </w:r>
      <w:r>
        <w:rPr>
          <w:rFonts w:hint="eastAsia" w:ascii="宋体" w:hAnsi="宋体" w:eastAsia="宋体" w:cs="宋体"/>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en-US" w:eastAsia="zh-CN"/>
        </w:rPr>
        <w:t>项目业主或招标人</w:t>
      </w:r>
      <w:r>
        <w:rPr>
          <w:rFonts w:hint="eastAsia" w:ascii="宋体" w:hAnsi="宋体" w:eastAsia="宋体" w:cs="宋体"/>
          <w:color w:val="auto"/>
          <w:szCs w:val="21"/>
          <w:highlight w:val="none"/>
          <w:lang w:val="zh-CN"/>
        </w:rPr>
        <w:t>出具的发票类型为</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45" w:name="_Toc27075"/>
      <w:bookmarkStart w:id="446" w:name="_Toc24547"/>
      <w:bookmarkStart w:id="447" w:name="_Toc31355"/>
      <w:bookmarkStart w:id="448" w:name="_Toc12681"/>
      <w:bookmarkStart w:id="449" w:name="_Toc142508356"/>
      <w:bookmarkStart w:id="450" w:name="_Toc8619"/>
      <w:r>
        <w:rPr>
          <w:rFonts w:ascii="宋体" w:hAnsi="宋体" w:eastAsia="宋体" w:cs="宋体"/>
          <w:b/>
          <w:color w:val="auto"/>
          <w:szCs w:val="21"/>
          <w:highlight w:val="none"/>
        </w:rPr>
        <w:t>39 招标相关补充约定</w:t>
      </w:r>
      <w:bookmarkEnd w:id="445"/>
      <w:bookmarkEnd w:id="446"/>
      <w:bookmarkEnd w:id="447"/>
      <w:bookmarkEnd w:id="448"/>
      <w:bookmarkEnd w:id="449"/>
      <w:bookmarkEnd w:id="4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3</w:t>
      </w:r>
      <w:r>
        <w:rPr>
          <w:rFonts w:hint="eastAsia" w:ascii="宋体" w:hAnsi="宋体" w:eastAsia="宋体" w:cs="Times New Roman"/>
          <w:b/>
          <w:color w:val="auto"/>
          <w:szCs w:val="21"/>
          <w:highlight w:val="none"/>
          <w:lang w:val="en-US" w:eastAsia="zh-CN"/>
        </w:rPr>
        <w:t>9</w:t>
      </w:r>
      <w:r>
        <w:rPr>
          <w:rFonts w:hint="eastAsia" w:ascii="宋体" w:hAnsi="宋体" w:eastAsia="宋体" w:cs="Times New Roman"/>
          <w:b/>
          <w:color w:val="auto"/>
          <w:szCs w:val="21"/>
          <w:highlight w:val="none"/>
          <w:lang w:val="zh-CN"/>
        </w:rPr>
        <w:t>.</w:t>
      </w: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zh-CN"/>
        </w:rPr>
        <w:t xml:space="preserve"> 已参与本工程的勘察单位、设计单位、施工单位、监理单位（包括与上述单位法定代表人或负责人为同一人的单位，或者与上述单位存在控股、管理关系的单位，或者与上述单位存在其他利害关系）不得参与本监测项目投标。</w:t>
      </w:r>
    </w:p>
    <w:p>
      <w:pPr>
        <w:pStyle w:val="128"/>
        <w:numPr>
          <w:ilvl w:val="255"/>
          <w:numId w:val="0"/>
        </w:numPr>
        <w:tabs>
          <w:tab w:val="left" w:pos="426"/>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本工程相关参建单位统计表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1742"/>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restart"/>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eastAsia="zh-CN"/>
              </w:rPr>
            </w:pPr>
            <w:r>
              <w:rPr>
                <w:rFonts w:hint="eastAsia" w:ascii="宋体" w:hAnsi="宋体" w:eastAsia="宋体" w:cs="宋体"/>
                <w:b/>
                <w:bCs/>
                <w:color w:val="auto"/>
                <w:sz w:val="21"/>
                <w:szCs w:val="21"/>
                <w:highlight w:val="none"/>
                <w:lang w:eastAsia="zh-CN"/>
              </w:rPr>
              <w:t>东莞市供水设施更新改造项目-松山湖新城路给水管网改造工程</w:t>
            </w: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勘察单位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广东有色工程勘察设计院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设计单位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广州市市政工程设计研究总院有限公司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施工单位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3" w:type="dxa"/>
            <w:vMerge w:val="continue"/>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施工监理单位</w:t>
            </w:r>
          </w:p>
        </w:tc>
        <w:tc>
          <w:tcPr>
            <w:tcW w:w="4292" w:type="dxa"/>
            <w:vAlign w:val="center"/>
          </w:tcPr>
          <w:p>
            <w:pPr>
              <w:pStyle w:val="128"/>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广东粤建工程项目管理有限公司</w:t>
            </w:r>
          </w:p>
        </w:tc>
      </w:tr>
    </w:tbl>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51" w:name="_Toc142508357"/>
      <w:bookmarkStart w:id="452" w:name="_Toc29758"/>
      <w:bookmarkStart w:id="453" w:name="_Toc121"/>
      <w:bookmarkStart w:id="454" w:name="_Toc5205"/>
      <w:bookmarkStart w:id="455" w:name="_Toc15956"/>
      <w:bookmarkStart w:id="456" w:name="_Toc26594"/>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43"/>
      <w:bookmarkEnd w:id="444"/>
      <w:bookmarkEnd w:id="451"/>
      <w:bookmarkEnd w:id="452"/>
      <w:bookmarkEnd w:id="453"/>
      <w:bookmarkEnd w:id="454"/>
      <w:bookmarkEnd w:id="455"/>
      <w:bookmarkEnd w:id="456"/>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7" w:name="_Toc486167706"/>
      <w:bookmarkStart w:id="458" w:name="_Toc450662891"/>
      <w:bookmarkStart w:id="459" w:name="_Toc142508358"/>
      <w:bookmarkStart w:id="460" w:name="_Toc14514"/>
      <w:bookmarkStart w:id="461" w:name="_Toc21446"/>
      <w:bookmarkStart w:id="462" w:name="_Toc19781"/>
      <w:bookmarkStart w:id="463" w:name="_Toc14879"/>
      <w:bookmarkStart w:id="464" w:name="_Toc27939_WPSOffice_Level1"/>
      <w:bookmarkStart w:id="465" w:name="_Toc438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7"/>
      <w:bookmarkEnd w:id="458"/>
      <w:bookmarkEnd w:id="459"/>
      <w:bookmarkEnd w:id="460"/>
      <w:bookmarkEnd w:id="461"/>
      <w:bookmarkEnd w:id="462"/>
      <w:bookmarkEnd w:id="463"/>
      <w:bookmarkEnd w:id="464"/>
      <w:bookmarkEnd w:id="465"/>
    </w:p>
    <w:p>
      <w:pPr>
        <w:spacing w:line="360" w:lineRule="auto"/>
        <w:rPr>
          <w:rFonts w:ascii="宋体" w:hAnsi="宋体" w:eastAsia="宋体" w:cs="Times New Roman"/>
          <w:b/>
          <w:color w:val="auto"/>
          <w:szCs w:val="21"/>
          <w:highlight w:val="none"/>
          <w:lang w:val="zh-CN"/>
        </w:rPr>
      </w:pP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莞市水务集团供水有限公司（以下简称“项目业主”）为东莞市供水设施更新改造项目-松山湖新城路给水管网改造工程的项目业主，招标人为上述项目的代建单位，项目业主已将东莞市供水设施更新改造项目-松山湖新城路给水管网改造工程委托给招标人实施代建。</w:t>
      </w:r>
    </w:p>
    <w:p>
      <w:pPr>
        <w:pStyle w:val="128"/>
        <w:keepNext w:val="0"/>
        <w:keepLines w:val="0"/>
        <w:pageBreakBefore w:val="0"/>
        <w:widowControl w:val="0"/>
        <w:kinsoku/>
        <w:wordWrap/>
        <w:overflowPunct/>
        <w:topLinePunct w:val="0"/>
        <w:autoSpaceDE/>
        <w:autoSpaceDN/>
        <w:bidi w:val="0"/>
        <w:adjustRightInd/>
        <w:snapToGrid w:val="0"/>
        <w:spacing w:line="360" w:lineRule="auto"/>
        <w:ind w:firstLine="422"/>
        <w:jc w:val="both"/>
        <w:textAlignment w:val="auto"/>
        <w:rPr>
          <w:rFonts w:hint="eastAsia" w:ascii="宋体" w:hAnsi="宋体" w:eastAsia="宋体" w:cs="宋体"/>
          <w:b/>
          <w:color w:val="auto"/>
          <w:sz w:val="21"/>
          <w:szCs w:val="21"/>
          <w:highlight w:val="none"/>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6" w:name="_Toc26813"/>
      <w:r>
        <w:rPr>
          <w:rFonts w:hint="eastAsia" w:ascii="宋体" w:hAnsi="宋体" w:eastAsia="宋体" w:cs="宋体"/>
          <w:b/>
          <w:color w:val="auto"/>
          <w:sz w:val="21"/>
          <w:szCs w:val="21"/>
          <w:highlight w:val="none"/>
        </w:rPr>
        <w:t>一、项目概况</w:t>
      </w:r>
      <w:bookmarkEnd w:id="466"/>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供水设施更新改造项目一松山湖新城路给水管网改造工程（以下简称“本项目”），主要建设内容为沿新城路、兴园路、科苑路、沁园路、科苑横路废除现状管线后，新建给水管总长约49.92km,其中新建DN25~DN300接驳管约3.64km,新建DN200支管约4.3km,新建DN300支管约17.77km,新建DN400配水管约10.24km,新建DN500配水管约0.02km,新建DN600配水管约2.61km,新建DN700配水管约0.002km,新建DN800配水管约1.47km,新建DN1000配水管约0.53km(含0.19km外套管),新建DN1200配水管约0.12km,新建DN1400供水主管约9.22km。</w:t>
      </w:r>
    </w:p>
    <w:p>
      <w:pPr>
        <w:rPr>
          <w:rFonts w:hint="default"/>
          <w:color w:val="auto"/>
          <w:highlight w:val="none"/>
          <w:lang w:val="en-US" w:eastAsia="zh-CN"/>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lang w:val="en-US" w:eastAsia="zh-CN"/>
        </w:rPr>
      </w:pPr>
      <w:bookmarkStart w:id="467" w:name="_Toc17583"/>
      <w:r>
        <w:rPr>
          <w:rFonts w:hint="eastAsia" w:ascii="宋体" w:hAnsi="宋体" w:eastAsia="宋体" w:cs="宋体"/>
          <w:b/>
          <w:color w:val="auto"/>
          <w:sz w:val="21"/>
          <w:szCs w:val="21"/>
          <w:highlight w:val="none"/>
          <w:lang w:val="en-US" w:eastAsia="zh-CN"/>
        </w:rPr>
        <w:t>二、总体服务要求</w:t>
      </w:r>
      <w:bookmarkEnd w:id="467"/>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监测</w:t>
      </w:r>
      <w:r>
        <w:rPr>
          <w:rFonts w:hint="eastAsia" w:ascii="宋体" w:hAnsi="宋体" w:eastAsia="宋体" w:cs="宋体"/>
          <w:color w:val="auto"/>
          <w:sz w:val="21"/>
          <w:szCs w:val="21"/>
          <w:highlight w:val="none"/>
          <w:lang w:eastAsia="zh-CN"/>
        </w:rPr>
        <w:t>周期</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本项目</w:t>
      </w:r>
      <w:r>
        <w:rPr>
          <w:rFonts w:hint="default" w:ascii="宋体" w:hAnsi="宋体" w:eastAsia="宋体" w:cs="宋体"/>
          <w:color w:val="auto"/>
          <w:sz w:val="21"/>
          <w:szCs w:val="21"/>
          <w:highlight w:val="none"/>
          <w:lang w:val="en-US" w:eastAsia="zh-CN"/>
        </w:rPr>
        <w:t>开工</w:t>
      </w:r>
      <w:r>
        <w:rPr>
          <w:rFonts w:hint="default" w:ascii="宋体" w:hAnsi="宋体" w:eastAsia="宋体" w:cs="宋体"/>
          <w:color w:val="auto"/>
          <w:sz w:val="21"/>
          <w:szCs w:val="21"/>
          <w:highlight w:val="none"/>
        </w:rPr>
        <w:t>至</w:t>
      </w:r>
      <w:r>
        <w:rPr>
          <w:rFonts w:hint="eastAsia" w:ascii="宋体" w:hAnsi="宋体" w:eastAsia="宋体" w:cs="宋体"/>
          <w:color w:val="auto"/>
          <w:sz w:val="21"/>
          <w:szCs w:val="21"/>
          <w:highlight w:val="none"/>
        </w:rPr>
        <w:t>完成约定的各项</w:t>
      </w:r>
      <w:r>
        <w:rPr>
          <w:rFonts w:hint="eastAsia" w:ascii="宋体" w:hAnsi="宋体" w:eastAsia="宋体" w:cs="宋体"/>
          <w:color w:val="auto"/>
          <w:sz w:val="21"/>
          <w:szCs w:val="21"/>
          <w:highlight w:val="none"/>
          <w:lang w:val="en-US" w:eastAsia="zh-CN"/>
        </w:rPr>
        <w:t>监</w:t>
      </w:r>
      <w:r>
        <w:rPr>
          <w:rFonts w:hint="eastAsia" w:ascii="宋体" w:hAnsi="宋体" w:eastAsia="宋体" w:cs="宋体"/>
          <w:color w:val="auto"/>
          <w:sz w:val="21"/>
          <w:szCs w:val="21"/>
          <w:highlight w:val="none"/>
        </w:rPr>
        <w:t>测及相关技术工作为止。</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（二）监测</w:t>
      </w:r>
      <w:r>
        <w:rPr>
          <w:rFonts w:hint="eastAsia" w:ascii="宋体" w:hAnsi="宋体" w:eastAsia="宋体" w:cs="宋体"/>
          <w:color w:val="auto"/>
          <w:sz w:val="21"/>
          <w:szCs w:val="21"/>
          <w:highlight w:val="none"/>
          <w:lang w:eastAsia="zh-CN"/>
        </w:rPr>
        <w:t>依据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1、《工程结构通用规范》（GB 55001-2021）</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2、《建筑与市政地基基础通用规范》（GB 55003-2021）</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3、《建筑基坑支护技术规程》JGJ 120-2012</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4、《建筑基坑工程监测技术标准》GB 50497-2019</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5、《工程测量标准》GB50026—2020</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6、《建筑变形测量规范》JGJ 8-2016</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7、《建筑基坑工程技术规程》（广东省标准）DBJ/T 15-20-2016</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8、《建筑基坑施工监测技术标准》（广东省标准）DBJ/T 15-162-2019</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9、设计资料/其他相关技术管理文件。</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按设计图纸、相关规范标准以及设计方要求，结合施工现场实际，在基坑开挖和地下建筑施工期间对基坑的安全稳定性进行监测，需监测的主要项目（具体数量以《监测工程量清单计价表》为准）如下：</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支护桩</w:t>
      </w:r>
      <w:r>
        <w:rPr>
          <w:rFonts w:hint="eastAsia" w:ascii="宋体" w:hAnsi="宋体" w:eastAsia="宋体" w:cs="宋体"/>
          <w:color w:val="auto"/>
          <w:sz w:val="21"/>
          <w:szCs w:val="21"/>
          <w:highlight w:val="none"/>
        </w:rPr>
        <w:t>顶部水平及竖向位移；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支护桩深层</w:t>
      </w:r>
      <w:r>
        <w:rPr>
          <w:rFonts w:hint="eastAsia" w:ascii="宋体" w:hAnsi="宋体" w:eastAsia="宋体" w:cs="宋体"/>
          <w:color w:val="auto"/>
          <w:sz w:val="21"/>
          <w:szCs w:val="21"/>
          <w:highlight w:val="none"/>
        </w:rPr>
        <w:t>水平位移；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3、周边道路及地表竖向位移；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4、地下水位；</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5、周边建构筑物竖向位移及倾斜；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6、周边建筑裂缝；</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7、支护结构裂缝；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8、周边管线位移（水平及竖向）；</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9、支撑轴力。</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具体布置以实际为准，基坑监测点布置方案应由专业单位编制实施。施工过程中须保护好测点，如遭破坏，应及时补设。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（1）中标人</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不实，造成招标人经济损失费用全部由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单位承担，并应负责重检。</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（3）监测数据、设备的管理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①对测点进行标识，加强检查，必要时设护栏，保证监测工作正常进行。</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②监测人员、监测线路、监测方法要相对固定，以保证观测资料、成果数据的准确与连续性。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③对监测设备、仪器由专人负责保管、使用。在使用前必须经过检验，认为合格后方可使用。保证量测数据准确。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④对量测的数据必须换手复核，认为准确无误后方可上报，并采用计算机系统进行管理。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（4）当出现下列情况之一时，应提高监测频率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①监测数据达到报警值。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②监测数据变化较大或者速率加快。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③存在勘察未发现的不良地质。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④超深、超长开挖或未及时加撑等违反设计工况施工。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⑤基坑及周边大量积水、长时间连续降雨、市政管道出现泄漏。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⑥基坑附近地面荷载突然增大或超过设计限值。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⑦支护结构出现开裂。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⑧周边地面突发较大沉降或出现严重开裂。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⑨邻近建筑突发较大沉降、不均匀沉降或出现严重开裂。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⑩基坑底部、侧壁出现管涌、潘漏或流沙等现象。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⑪基坑工程发生事故后重新组织施工。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⑫出现其他影响基坑及周边环境安全的异常情况。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（5）监测数据发生突变的处理对策</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①立即停止开挖、调整各种设备参数。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②上报项目部，由项目总工组织技术人员进行分析，制定相关措施，并将情况及时上报建设单位和监理单位、设计单位。</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③对突变发生地表和建筑物等实施实时监控。</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④如涉及地表安全，立即请相关部门协助，采用疏解交通等有效措施。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⑤请建设单位组织设计单位、施工单位、监理单位等部门共同制定应对措施。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中标人须根据国家标准及其它相关行业规程的要求，结合本工程施工图、预算文件及东莞市建筑工程质量安全监督站相关规定，制定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本工程所有监测点位均根据设计单位提供的相关图纸进行布设，其位置及数量均可按照设计、监理、招标人单位的合理化建议适当调整。方案经监理、招标人、及施工单位审查确认合格后方可实施。</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（2）中标人须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（3）中标人应当建立健全并落实各项管理制度，保证监测项目工作正常进行，并接受招标人及有关主管部门对项目服务质量的监督检查。</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（4）中标人应建立并实施符合本项目各项要求的质量管理体系。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（5）招标人代表有权在工作时间内进入中标人的工作地点检查其质量手册、质量计划及其它与质量相关的文件的实施情况。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1、技术资料包括但不限于以下内容：监测方案；测点布设记录；监测报告；监测总结报告等。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2、合同签订后15天内，中标人应根据批准的工程施工组织设计、工程设计文件、市政工程建设标准、国家及行业规范等制定并向招标人提交详细的可实施的监测方案1份。中标人</w:t>
      </w:r>
      <w:r>
        <w:rPr>
          <w:rFonts w:hint="eastAsia" w:ascii="宋体" w:hAnsi="宋体" w:eastAsia="宋体" w:cs="宋体"/>
          <w:color w:val="auto"/>
          <w:sz w:val="21"/>
          <w:szCs w:val="21"/>
          <w:highlight w:val="none"/>
          <w:lang w:val="hr-HR"/>
        </w:rPr>
        <w:t>应积极配合招标人调整优化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方案，并提交招标人确认。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3、测点布设需经招标人委托的工程监理单位签字确认，并最终提交招标人及工程监理单位。 </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4、每次监测在完成现场监测后24小时内，</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标人需向招标人提供相应的电子版监测报告（盖章的PDF格式），并在三个工作日内提交纸质版监测报告。对异常的监测数据（如监测值超报警值等），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标人应在2小时内通知招标人。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5、监测报告、监测总结报告纸质报告以一式三份提交。</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6、中标人所提供给招标人的成果资料所有权由招标人享有，未经招标人许可，中标人不得将成果泄露给第三方。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7、中标人须保证监测成果质量，对技术成果负完全责任，如因监测不实，造成招标人经济损失费用全部由中标人承担。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1、安全文明监测要求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①中标人应强化安全文明生产管理，通过组织落实，责任到人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②中标人需全面了解施工现场安全管理的有关要求，并对需要进入施工现场观测的人员进行安全教育或安全交底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③进入施工现场的观测人员必须佩戴安全帽和相关的安全防护用品，接受安全工程师的督导</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④埋设观测标志需临时用电，接电时，必须经同意在电气专业人员帮助下才可接用</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⑤进出施工现场应遵守各种安全文明施工和环境保护的规章制度，文明礼貌</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⑥在施工现场应听从施工现场管理人员的指挥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⑦中标人应做好服务的安全防护措施，服务过程中出现的安全事故由中标人自行承担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⑧中标人必须做好安全防护工作，由于中标人自身的原因发生的任何伤害（包括人身伤害），均由中标人自行承担。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2、安全巡视要求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①安全巡视检查包括以下内容：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1）当日的天气情况和施工现场的工况；</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2）仪器监测项目各监测点的本次测试值、单次变化值、变化速率以及累计值等，必要时绘制有关曲线图；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3）巡视检查的记录；</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4）对监测项目应有正常或异常、危险的判断性结论；</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5）对达到或超过监测报警值的监测点应有报警标识，并有分析和建议；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6）对巡视检查发现的异常情况应有详细描述，危险情况应有报警标示标识，并有分析和建议；</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7）其他相关说明。</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eastAsia="zh-CN"/>
        </w:rPr>
        <w:t>方；</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1、中标人派出的监测人员应具备相应的专业知识及技术水平，有足够能力完成本项目监测服务工作。</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2、中标人需配备1名项目负责人、1名技术负责人及数量充足的监测工作人员，保证监测工作有序、顺利完成。</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3、中标人应配备完成本项目所必须的监测设备，其性能良好并符合国家规定。同时配备数量充足的交通警示标志和施工围</w:t>
      </w:r>
      <w:r>
        <w:rPr>
          <w:rFonts w:hint="eastAsia" w:ascii="宋体" w:hAnsi="宋体" w:eastAsia="宋体" w:cs="宋体"/>
          <w:color w:val="auto"/>
          <w:sz w:val="21"/>
          <w:szCs w:val="21"/>
          <w:highlight w:val="none"/>
          <w:lang w:val="en-US" w:eastAsia="zh-CN"/>
        </w:rPr>
        <w:t>挡</w:t>
      </w:r>
      <w:r>
        <w:rPr>
          <w:rFonts w:hint="eastAsia" w:ascii="宋体" w:hAnsi="宋体" w:eastAsia="宋体" w:cs="宋体"/>
          <w:color w:val="auto"/>
          <w:sz w:val="21"/>
          <w:szCs w:val="21"/>
          <w:highlight w:val="none"/>
        </w:rPr>
        <w:t>，以及监测仪器、无线通讯设备、劳动防护用品等其它必须使用的工具。</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招标人、建设单位、上级行政主管部门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中标人必须无条件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量以招标人审核为准。</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在合同服务期内中标人不得因实际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过少或其他理由，而要求招标人提供任何形式的补偿或赔偿，或要求招标人所有的项目必须开展监测服务。</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6、中标人</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7、服务过程中涉及的设备、工具，由中标人自行解决。</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8、服务过程中涉及的用水、用电由中标人自行接入，中标人需做好用水、用电安全防护措施并无条件接受招标人监督。设备、设施的水、电费用由中标人承担。</w:t>
      </w:r>
    </w:p>
    <w:p>
      <w:pPr>
        <w:pStyle w:val="13"/>
        <w:rPr>
          <w:rFonts w:hint="eastAsia"/>
          <w:color w:val="auto"/>
          <w:highlight w:val="none"/>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8" w:name="_Toc18935"/>
      <w:r>
        <w:rPr>
          <w:rFonts w:hint="eastAsia" w:ascii="宋体" w:hAnsi="宋体" w:eastAsia="宋体" w:cs="宋体"/>
          <w:b/>
          <w:color w:val="auto"/>
          <w:sz w:val="21"/>
          <w:szCs w:val="21"/>
          <w:highlight w:val="none"/>
        </w:rPr>
        <w:t>三、合同价款</w:t>
      </w:r>
      <w:bookmarkEnd w:id="468"/>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项目的《监测工程量清单计价表》（详见附件）的计费标准参照《广东省房屋建筑和市政工程质量安全检测收费指导价》（粤建检协[2015]8号）的对应项单价，暂定总合同价款按照招标文件所附《监测工程量清单计价表》（详见附件）的不含税综合单价（不含税综合单价=对应项单价÷1.06）×监测服务系数×实际监测工作量计算所得</w:t>
      </w:r>
      <w:r>
        <w:rPr>
          <w:rFonts w:hint="eastAsia" w:ascii="宋体" w:hAnsi="宋体" w:eastAsia="宋体" w:cs="宋体"/>
          <w:color w:val="auto"/>
          <w:sz w:val="21"/>
          <w:szCs w:val="21"/>
          <w:highlight w:val="none"/>
          <w:lang w:val="en-US" w:eastAsia="zh-CN"/>
        </w:rPr>
        <w:t>，最终结算价不得超出暂定总合同价款（含税）</w:t>
      </w:r>
      <w:r>
        <w:rPr>
          <w:rFonts w:hint="eastAsia" w:ascii="宋体" w:hAnsi="宋体" w:eastAsia="宋体" w:cs="宋体"/>
          <w:color w:val="auto"/>
          <w:sz w:val="21"/>
          <w:szCs w:val="21"/>
          <w:highlight w:val="none"/>
          <w:lang w:val="en-US"/>
        </w:rPr>
        <w:t>。</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rPr>
        <w:t>人销项税额以外的税金等一切费用，以及合同规定的所有责任、义务和一切风险。监测时，如需土建总包单位配合或向其租借设备时，自行与总包单位协调，配合及租借费用应包括在投标报价内。</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3、《监测工程量清单计价表》不作为中标人最终服务范围及业务承接数量的保证，招标人有权根据实际需求对监测工程量进行优化调整，最终服务费用按实际发生工程量结算</w:t>
      </w:r>
      <w:r>
        <w:rPr>
          <w:rFonts w:hint="eastAsia" w:ascii="宋体" w:hAnsi="宋体" w:eastAsia="宋体" w:cs="宋体"/>
          <w:color w:val="auto"/>
          <w:sz w:val="21"/>
          <w:szCs w:val="21"/>
          <w:highlight w:val="none"/>
          <w:lang w:val="en-US" w:eastAsia="zh-CN"/>
        </w:rPr>
        <w:t>，</w:t>
      </w:r>
      <w:r>
        <w:rPr>
          <w:rFonts w:hint="eastAsia" w:ascii="宋体" w:hAnsi="宋体" w:eastAsia="宋体" w:cs="Times New Roman"/>
          <w:color w:val="auto"/>
          <w:szCs w:val="21"/>
          <w:highlight w:val="none"/>
          <w:lang w:val="zh-CN"/>
        </w:rPr>
        <w:t>但最终结算价不得超出暂定总合同价款（含税）。</w:t>
      </w:r>
      <w:r>
        <w:rPr>
          <w:rFonts w:hint="eastAsia" w:ascii="宋体" w:hAnsi="宋体" w:eastAsia="宋体" w:cs="宋体"/>
          <w:color w:val="auto"/>
          <w:sz w:val="21"/>
          <w:szCs w:val="21"/>
          <w:highlight w:val="none"/>
          <w:lang w:val="en-US"/>
        </w:rPr>
        <w:t>在合同服务期内，中标人不得因实际监测项目数量及服务费用的增减而要求招标人提供任何形式的补偿或赔偿，或只按招标人暂定的《监测工程量清单计价表》提供相应的对应服务。否则，视为中标人违约，招标人有权依据合同约定追究中标人的违约责任。</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4、对于《监测工程量清单计价表》外新增的监测项目，不含税综合单价按以下方法计算：</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（1）按《广东省房屋建筑和市政工程工程质量安全检测收费指导价》（粤建检协〔2015〕8号）对应项单价÷1.06×监测服务系数；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（2）《广东省房屋建筑和市政工程工程质量安全检测收费指导价》（粤建检协〔2015〕8号）无对应项的，由招标人结合本地及周边同类城市市场询价的不含税综合单价×监测服务系数。</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以上不含税综合单价均保留两位小数。</w:t>
      </w:r>
    </w:p>
    <w:p>
      <w:pPr>
        <w:pStyle w:val="13"/>
        <w:rPr>
          <w:rFonts w:hint="eastAsia"/>
          <w:color w:val="auto"/>
          <w:highlight w:val="none"/>
          <w:lang w:val="en-US"/>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69" w:name="_Toc16949"/>
      <w:r>
        <w:rPr>
          <w:rFonts w:hint="eastAsia" w:ascii="宋体" w:hAnsi="宋体" w:eastAsia="宋体" w:cs="宋体"/>
          <w:b/>
          <w:color w:val="auto"/>
          <w:sz w:val="21"/>
          <w:szCs w:val="21"/>
          <w:highlight w:val="none"/>
        </w:rPr>
        <w:t>四、费用支付</w:t>
      </w:r>
      <w:bookmarkEnd w:id="469"/>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以季度为单位，即按季度计量支付进度款，中标人须向招标人提供相应的正式监测报告，经监理人及招标人审核通过后，项目业主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应在中标人提交对应的请款报告30天内向中标人支付进度款。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以季度为单位按经监理人及招标人审核通过的监测报告所涉款项的80%支付本合同进度款，但项目业主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按结算价一次性支付余款。</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、中标人收取每笔款项前，在提交请款报告的同时一并提供等额有效的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lang w:val="en-US"/>
        </w:rPr>
        <w:t>造成的损失由中标人承担赔偿责任。</w:t>
      </w:r>
    </w:p>
    <w:p>
      <w:pPr>
        <w:pStyle w:val="13"/>
        <w:rPr>
          <w:rFonts w:hint="eastAsia"/>
          <w:color w:val="auto"/>
          <w:highlight w:val="none"/>
          <w:lang w:val="en-US"/>
        </w:rPr>
      </w:pPr>
    </w:p>
    <w:p>
      <w:pPr>
        <w:pStyle w:val="12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outlineLvl w:val="1"/>
        <w:rPr>
          <w:rFonts w:hint="eastAsia" w:ascii="宋体" w:hAnsi="宋体" w:eastAsia="宋体" w:cs="宋体"/>
          <w:b/>
          <w:color w:val="auto"/>
          <w:sz w:val="21"/>
          <w:szCs w:val="21"/>
          <w:highlight w:val="none"/>
        </w:rPr>
      </w:pPr>
      <w:bookmarkStart w:id="470" w:name="_Toc1770"/>
      <w:r>
        <w:rPr>
          <w:rFonts w:hint="eastAsia" w:ascii="宋体" w:hAnsi="宋体" w:eastAsia="宋体" w:cs="宋体"/>
          <w:b/>
          <w:color w:val="auto"/>
          <w:sz w:val="21"/>
          <w:szCs w:val="21"/>
          <w:highlight w:val="none"/>
        </w:rPr>
        <w:t>五、考核制度</w:t>
      </w:r>
      <w:bookmarkEnd w:id="470"/>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招标人每季度对中标人评价一次，出具考核评价结果。招标人将严格按照考核评分标准对中标人进行季度检查和考核。考评[70,80)分的，处相应付款周期内经招标人确认的监测费的10%作为违约金，考评[60,70)分的，处相应付款周期经招标人确认的监测费的20%作为违约金，考评60分以下的，处相应付款周期经招标人确认的监测的30%作为违约金。上述“[”代表闭区间，“)”代表开区间，如[70,80)代表该分数段范围为大于等于70且小于80。达到相应付款周期时,如中标人未申请支付本期费用, 招标人根据支付条件暂定本周期监测费并计算本周期内应缴纳的暂定违约金，中标人应予以缴纳。下一周期仍未申请时按上述做法执行，待到中标人申请支付费用时，根据合同付款流程确认监测费，同步对以往暂定违约金在本次一并确认并予以结算。</w:t>
      </w:r>
    </w:p>
    <w:p>
      <w:pPr>
        <w:keepNext w:val="0"/>
        <w:keepLines w:val="0"/>
        <w:pageBreakBefore w:val="0"/>
        <w:widowControl w:val="0"/>
        <w:kinsoku/>
        <w:wordWrap/>
        <w:overflowPunct/>
        <w:topLinePunct w:val="0"/>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b/>
          <w:color w:val="auto"/>
          <w:highlight w:val="none"/>
        </w:rPr>
        <w:t>附件一：《</w:t>
      </w:r>
      <w:r>
        <w:rPr>
          <w:rFonts w:hint="eastAsia" w:ascii="宋体" w:hAnsi="宋体" w:eastAsia="宋体" w:cs="宋体"/>
          <w:b/>
          <w:color w:val="auto"/>
          <w:highlight w:val="none"/>
          <w:lang w:eastAsia="zh-CN"/>
        </w:rPr>
        <w:t>监测</w:t>
      </w:r>
      <w:r>
        <w:rPr>
          <w:rFonts w:hint="eastAsia" w:ascii="宋体" w:hAnsi="宋体" w:eastAsia="宋体" w:cs="宋体"/>
          <w:b/>
          <w:color w:val="auto"/>
          <w:highlight w:val="none"/>
        </w:rPr>
        <w:t>工程量清单计价表》（详见附件）</w:t>
      </w: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71" w:name="_Toc16287"/>
      <w:bookmarkStart w:id="472" w:name="_Toc11281_WPSOffice_Level1"/>
      <w:bookmarkStart w:id="473" w:name="_Toc8048"/>
      <w:bookmarkStart w:id="474" w:name="_Toc450662892"/>
      <w:bookmarkStart w:id="475" w:name="_Toc142508359"/>
      <w:bookmarkStart w:id="476" w:name="_Toc10827"/>
      <w:bookmarkStart w:id="477" w:name="_Toc486167707"/>
      <w:bookmarkStart w:id="478" w:name="_Toc25251"/>
      <w:bookmarkStart w:id="479" w:name="_Toc2040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71"/>
      <w:bookmarkEnd w:id="472"/>
      <w:bookmarkEnd w:id="473"/>
      <w:bookmarkEnd w:id="474"/>
      <w:bookmarkEnd w:id="475"/>
      <w:bookmarkEnd w:id="476"/>
      <w:bookmarkEnd w:id="477"/>
      <w:bookmarkEnd w:id="478"/>
      <w:bookmarkEnd w:id="479"/>
    </w:p>
    <w:p>
      <w:pPr>
        <w:ind w:right="281"/>
        <w:jc w:val="righ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合同编号：</w:t>
      </w:r>
      <w:r>
        <w:rPr>
          <w:rFonts w:hint="eastAsia" w:ascii="宋体" w:hAnsi="宋体" w:eastAsia="宋体" w:cs="宋体"/>
          <w:color w:val="auto"/>
          <w:sz w:val="30"/>
          <w:szCs w:val="30"/>
          <w:highlight w:val="none"/>
          <w:u w:val="single"/>
        </w:rPr>
        <w:t xml:space="preserve">         </w:t>
      </w:r>
    </w:p>
    <w:p>
      <w:pPr>
        <w:ind w:right="500" w:firstLine="2940" w:firstLineChars="1400"/>
        <w:rPr>
          <w:rFonts w:hint="eastAsia" w:ascii="宋体" w:hAnsi="宋体" w:eastAsia="宋体" w:cs="宋体"/>
          <w:color w:val="auto"/>
          <w:szCs w:val="28"/>
          <w:highlight w:val="none"/>
        </w:rPr>
      </w:pPr>
    </w:p>
    <w:p>
      <w:pPr>
        <w:spacing w:line="360" w:lineRule="auto"/>
        <w:rPr>
          <w:rFonts w:hint="eastAsia" w:ascii="宋体" w:hAnsi="宋体" w:eastAsia="宋体" w:cs="宋体"/>
          <w:b/>
          <w:bCs/>
          <w:snapToGrid w:val="0"/>
          <w:color w:val="auto"/>
          <w:sz w:val="52"/>
          <w:szCs w:val="32"/>
          <w:highlight w:val="none"/>
        </w:rPr>
      </w:pPr>
    </w:p>
    <w:p>
      <w:pPr>
        <w:spacing w:line="360" w:lineRule="auto"/>
        <w:jc w:val="center"/>
        <w:rPr>
          <w:rFonts w:hint="eastAsia"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监 测 合 同</w:t>
      </w: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b/>
          <w:bCs/>
          <w:snapToGrid w:val="0"/>
          <w:color w:val="auto"/>
          <w:highlight w:val="non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color w:val="auto"/>
          <w:highlight w:val="none"/>
          <w:u w:val="single"/>
        </w:rPr>
      </w:pPr>
    </w:p>
    <w:p>
      <w:pPr>
        <w:spacing w:line="360" w:lineRule="auto"/>
        <w:ind w:left="420" w:leftChars="200"/>
        <w:rPr>
          <w:rFonts w:hint="eastAsia" w:ascii="宋体" w:hAnsi="宋体" w:eastAsia="宋体" w:cs="宋体"/>
          <w:color w:val="auto"/>
          <w:highlight w:val="none"/>
          <w:u w:val="single"/>
        </w:rPr>
      </w:pPr>
    </w:p>
    <w:p>
      <w:pPr>
        <w:spacing w:line="360" w:lineRule="auto"/>
        <w:rPr>
          <w:rFonts w:hint="eastAsia" w:ascii="宋体" w:hAnsi="宋体" w:eastAsia="宋体" w:cs="宋体"/>
          <w:b/>
          <w:color w:val="auto"/>
          <w:sz w:val="30"/>
          <w:szCs w:val="30"/>
          <w:highlight w:val="none"/>
          <w:u w:val="single"/>
        </w:rPr>
      </w:pP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pPr>
        <w:spacing w:line="360" w:lineRule="auto"/>
        <w:ind w:firstLine="1968" w:firstLineChars="7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 测 人：</w:t>
      </w:r>
      <w:r>
        <w:rPr>
          <w:rFonts w:hint="eastAsia" w:ascii="宋体" w:hAnsi="宋体" w:eastAsia="宋体" w:cs="宋体"/>
          <w:b/>
          <w:color w:val="auto"/>
          <w:sz w:val="28"/>
          <w:szCs w:val="28"/>
          <w:highlight w:val="none"/>
          <w:u w:val="single"/>
        </w:rPr>
        <w:t xml:space="preserve">                              </w:t>
      </w:r>
    </w:p>
    <w:p>
      <w:pPr>
        <w:spacing w:line="360" w:lineRule="auto"/>
        <w:ind w:firstLine="1968" w:firstLineChars="700"/>
        <w:rPr>
          <w:rFonts w:hint="eastAsia"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pPr>
        <w:pStyle w:val="22"/>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年    月    日</w:t>
      </w:r>
    </w:p>
    <w:p>
      <w:pPr>
        <w:spacing w:before="240" w:beforeLines="100" w:after="120" w:afterLines="50"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委托人（甲方）：</w:t>
      </w:r>
      <w:r>
        <w:rPr>
          <w:rFonts w:hint="eastAsia" w:ascii="宋体" w:hAnsi="宋体" w:eastAsia="宋体" w:cs="宋体"/>
          <w:bCs/>
          <w:color w:val="auto"/>
          <w:sz w:val="21"/>
          <w:szCs w:val="21"/>
          <w:highlight w:val="none"/>
          <w:u w:val="single"/>
        </w:rPr>
        <w:t>东莞市水务集团建设管理有限公司</w:t>
      </w:r>
    </w:p>
    <w:p>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监测人（乙方）：</w:t>
      </w:r>
      <w:r>
        <w:rPr>
          <w:rFonts w:hint="eastAsia" w:ascii="宋体" w:hAnsi="宋体" w:eastAsia="宋体" w:cs="宋体"/>
          <w:b/>
          <w:color w:val="auto"/>
          <w:kern w:val="2"/>
          <w:sz w:val="21"/>
          <w:szCs w:val="21"/>
          <w:highlight w:val="none"/>
          <w:u w:val="single"/>
        </w:rPr>
        <w:t xml:space="preserve">                             </w:t>
      </w:r>
    </w:p>
    <w:p>
      <w:pPr>
        <w:tabs>
          <w:tab w:val="left" w:pos="840"/>
        </w:tabs>
        <w:spacing w:line="360"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项目业主（丙方）：</w:t>
      </w:r>
      <w:r>
        <w:rPr>
          <w:rFonts w:hint="eastAsia" w:ascii="宋体" w:hAnsi="宋体" w:eastAsia="宋体" w:cs="宋体"/>
          <w:bCs/>
          <w:color w:val="auto"/>
          <w:sz w:val="21"/>
          <w:szCs w:val="21"/>
          <w:highlight w:val="none"/>
          <w:u w:val="single"/>
          <w:lang w:eastAsia="zh-CN"/>
        </w:rPr>
        <w:t>东莞市水务集团供水有限公司</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1.乙方已明确知悉：</w:t>
      </w:r>
      <w:r>
        <w:rPr>
          <w:rFonts w:hint="eastAsia" w:ascii="宋体" w:hAnsi="宋体" w:eastAsia="宋体" w:cs="宋体"/>
          <w:bCs/>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（以下简称“丙方”）为</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w:t>
      </w:r>
      <w:r>
        <w:rPr>
          <w:rFonts w:hint="eastAsia" w:ascii="宋体" w:hAnsi="宋体" w:eastAsia="宋体" w:cs="宋体"/>
          <w:color w:val="auto"/>
          <w:kern w:val="2"/>
          <w:sz w:val="21"/>
          <w:szCs w:val="21"/>
          <w:highlight w:val="none"/>
        </w:rPr>
        <w:t>的项目业主，</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（以下简称“甲方”）为上述项目的代建单位。</w:t>
      </w:r>
      <w:r>
        <w:rPr>
          <w:rFonts w:hint="eastAsia" w:ascii="宋体" w:hAnsi="宋体" w:eastAsia="宋体" w:cs="宋体"/>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已将</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宋体"/>
          <w:color w:val="auto"/>
          <w:kern w:val="2"/>
          <w:sz w:val="21"/>
          <w:szCs w:val="21"/>
          <w:highlight w:val="none"/>
        </w:rPr>
        <w:t>委托给</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实施代建，</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宋体"/>
          <w:color w:val="auto"/>
          <w:kern w:val="2"/>
          <w:sz w:val="21"/>
          <w:szCs w:val="21"/>
          <w:highlight w:val="none"/>
          <w:u w:val="none"/>
          <w:lang w:val="en-US" w:eastAsia="zh-CN"/>
        </w:rPr>
        <w:t>由</w:t>
      </w:r>
      <w:r>
        <w:rPr>
          <w:rFonts w:hint="eastAsia" w:ascii="宋体" w:hAnsi="宋体" w:eastAsia="宋体" w:cs="宋体"/>
          <w:bCs/>
          <w:color w:val="auto"/>
          <w:sz w:val="21"/>
          <w:szCs w:val="21"/>
          <w:highlight w:val="none"/>
          <w:u w:val="none"/>
        </w:rPr>
        <w:t>东莞市水务集团建设管理有限公司</w:t>
      </w:r>
      <w:r>
        <w:rPr>
          <w:rFonts w:hint="eastAsia" w:ascii="宋体" w:hAnsi="宋体" w:eastAsia="宋体" w:cs="宋体"/>
          <w:bCs/>
          <w:color w:val="auto"/>
          <w:sz w:val="21"/>
          <w:szCs w:val="21"/>
          <w:highlight w:val="none"/>
          <w:u w:val="none"/>
          <w:lang w:val="en-US" w:eastAsia="zh-CN"/>
        </w:rPr>
        <w:t>实施招标，</w:t>
      </w:r>
      <w:r>
        <w:rPr>
          <w:rFonts w:hint="eastAsia" w:ascii="宋体" w:hAnsi="宋体" w:eastAsia="宋体" w:cs="宋体"/>
          <w:color w:val="auto"/>
          <w:kern w:val="2"/>
          <w:sz w:val="21"/>
          <w:szCs w:val="21"/>
          <w:highlight w:val="none"/>
        </w:rPr>
        <w:t>并且乙方已认真查阅、理解甲方招标文件的全部内容，并对丙方授予甲方的权利义务无任何异议。</w:t>
      </w:r>
    </w:p>
    <w:p>
      <w:pPr>
        <w:autoSpaceDE/>
        <w:autoSpaceDN/>
        <w:adjustRightInd/>
        <w:spacing w:line="360" w:lineRule="auto"/>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2.甲方履行本合同约定的除支付合同价款</w:t>
      </w:r>
      <w:r>
        <w:rPr>
          <w:rFonts w:hint="eastAsia" w:ascii="宋体" w:hAnsi="宋体" w:eastAsia="宋体" w:cs="宋体"/>
          <w:b/>
          <w:bCs/>
          <w:color w:val="auto"/>
          <w:kern w:val="2"/>
          <w:sz w:val="21"/>
          <w:szCs w:val="21"/>
          <w:highlight w:val="none"/>
          <w:lang w:eastAsia="zh-Hans"/>
        </w:rPr>
        <w:t>及</w:t>
      </w:r>
      <w:r>
        <w:rPr>
          <w:rFonts w:hint="eastAsia" w:ascii="宋体" w:hAnsi="宋体" w:eastAsia="宋体" w:cs="宋体"/>
          <w:b/>
          <w:bCs/>
          <w:color w:val="auto"/>
          <w:kern w:val="2"/>
          <w:sz w:val="21"/>
          <w:szCs w:val="21"/>
          <w:highlight w:val="none"/>
        </w:rPr>
        <w:t>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东莞市供水设施更新改造项目-松山湖新城路给水管网改造工程第三方监测服务采购项目（重新招标）</w:t>
      </w:r>
      <w:r>
        <w:rPr>
          <w:rFonts w:hint="eastAsia" w:ascii="宋体" w:hAnsi="宋体" w:eastAsia="宋体" w:cs="宋体"/>
          <w:color w:val="auto"/>
          <w:sz w:val="21"/>
          <w:szCs w:val="21"/>
          <w:highlight w:val="none"/>
        </w:rPr>
        <w:t>有关事项协商一致，达成本合同。</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0" w:name="_Toc5412"/>
      <w:r>
        <w:rPr>
          <w:rFonts w:hint="eastAsia" w:ascii="宋体" w:hAnsi="宋体" w:eastAsia="宋体" w:cs="宋体"/>
          <w:b/>
          <w:color w:val="auto"/>
          <w:kern w:val="2"/>
          <w:sz w:val="21"/>
          <w:szCs w:val="21"/>
          <w:highlight w:val="none"/>
        </w:rPr>
        <w:t>一、工程概况</w:t>
      </w:r>
      <w:bookmarkEnd w:id="480"/>
    </w:p>
    <w:p>
      <w:pPr>
        <w:widowControl/>
        <w:autoSpaceDE/>
        <w:autoSpaceDN/>
        <w:adjustRightInd/>
        <w:spacing w:line="360" w:lineRule="auto"/>
        <w:ind w:firstLine="422"/>
        <w:jc w:val="left"/>
        <w:rPr>
          <w:rFonts w:hint="eastAsia" w:ascii="宋体" w:hAnsi="宋体" w:eastAsia="宋体" w:cs="宋体"/>
          <w:color w:val="auto"/>
          <w:kern w:val="2"/>
          <w:sz w:val="21"/>
          <w:szCs w:val="21"/>
          <w:highlight w:val="none"/>
          <w:u w:val="singl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项目名称：</w:t>
      </w:r>
      <w:r>
        <w:rPr>
          <w:rFonts w:hint="eastAsia" w:ascii="宋体" w:hAnsi="宋体" w:eastAsia="宋体" w:cs="宋体"/>
          <w:color w:val="auto"/>
          <w:kern w:val="2"/>
          <w:sz w:val="21"/>
          <w:szCs w:val="21"/>
          <w:highlight w:val="none"/>
          <w:u w:val="single"/>
          <w:lang w:eastAsia="zh-CN"/>
        </w:rPr>
        <w:t>东莞市供水设施更新改造项目-松山湖新城路给水管网改造工程</w:t>
      </w:r>
    </w:p>
    <w:p>
      <w:pPr>
        <w:autoSpaceDE/>
        <w:autoSpaceDN/>
        <w:adjustRightInd/>
        <w:spacing w:line="360" w:lineRule="auto"/>
        <w:ind w:firstLine="424" w:firstLineChars="201"/>
        <w:jc w:val="both"/>
        <w:rPr>
          <w:rFonts w:hint="eastAsia"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建设地点：</w:t>
      </w:r>
      <w:r>
        <w:rPr>
          <w:rFonts w:hint="eastAsia" w:ascii="宋体" w:hAnsi="宋体" w:eastAsia="宋体" w:cs="宋体"/>
          <w:color w:val="auto"/>
          <w:kern w:val="2"/>
          <w:sz w:val="21"/>
          <w:szCs w:val="21"/>
          <w:highlight w:val="none"/>
          <w:u w:val="single"/>
        </w:rPr>
        <w:t>东莞市。</w:t>
      </w:r>
    </w:p>
    <w:p>
      <w:pPr>
        <w:autoSpaceDE/>
        <w:autoSpaceDN/>
        <w:adjustRightInd/>
        <w:spacing w:line="360" w:lineRule="auto"/>
        <w:ind w:firstLine="424" w:firstLineChars="201"/>
        <w:jc w:val="both"/>
        <w:rPr>
          <w:rFonts w:hint="eastAsia" w:ascii="宋体" w:hAnsi="宋体" w:eastAsia="宋体" w:cs="宋体"/>
          <w:bCs/>
          <w:color w:val="auto"/>
          <w:kern w:val="2"/>
          <w:sz w:val="21"/>
          <w:szCs w:val="21"/>
          <w:highlight w:val="none"/>
          <w:u w:val="single"/>
        </w:rPr>
      </w:pPr>
      <w:r>
        <w:rPr>
          <w:rFonts w:hint="eastAsia" w:ascii="宋体" w:hAnsi="宋体" w:eastAsia="宋体" w:cs="宋体"/>
          <w:b/>
          <w:color w:val="auto"/>
          <w:kern w:val="2"/>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项目基本情况：</w:t>
      </w:r>
      <w:r>
        <w:rPr>
          <w:rFonts w:hint="eastAsia" w:ascii="宋体" w:hAnsi="宋体" w:eastAsia="宋体" w:cs="宋体"/>
          <w:color w:val="auto"/>
          <w:sz w:val="21"/>
          <w:szCs w:val="21"/>
          <w:highlight w:val="none"/>
          <w:lang w:eastAsia="zh-CN"/>
        </w:rPr>
        <w:t>东莞市供水设施更新改造项目一松山湖新城路给水管网改造工程（以下简称“本项目”），主要建设内容为沿新城路、兴园路、科苑路、沁园路、科苑横路废除现状管线后，新建给水管总长约49.92km,其中新建DN25~DN300接驳管约3.64km,新建DN200支管约4.3km,新建DN300支管约17.77km,新建DN400配水管约10.24km,新建DN500配水管约0.02km,新建DN600配水管约2.61km,新建DN700配水管约0.002km,新建DN800配水管约1.47km,新建DN1000配水管约0.53km(含0.19km外套管),新建DN1200配水管约0.12km,新建DN1400供水主管约9.22km。</w:t>
      </w:r>
    </w:p>
    <w:p>
      <w:pPr>
        <w:spacing w:line="360" w:lineRule="auto"/>
        <w:ind w:firstLine="420"/>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1" w:name="_Toc23714"/>
      <w:r>
        <w:rPr>
          <w:rFonts w:hint="eastAsia" w:ascii="宋体" w:hAnsi="宋体" w:eastAsia="宋体" w:cs="宋体"/>
          <w:b/>
          <w:color w:val="auto"/>
          <w:kern w:val="2"/>
          <w:sz w:val="21"/>
          <w:szCs w:val="21"/>
          <w:highlight w:val="none"/>
        </w:rPr>
        <w:t>二、服务概况</w:t>
      </w:r>
      <w:bookmarkEnd w:id="481"/>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1.乙方作为</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东莞市供水设施更新改造项目-松山湖新城路给水管网改造工程第三方监测服务采购项目（重新招标）</w:t>
      </w:r>
      <w:r>
        <w:rPr>
          <w:rFonts w:hint="eastAsia" w:ascii="宋体" w:hAnsi="宋体" w:eastAsia="宋体" w:cs="宋体"/>
          <w:color w:val="auto"/>
          <w:sz w:val="21"/>
          <w:szCs w:val="21"/>
          <w:highlight w:val="none"/>
        </w:rPr>
        <w:t>的监测服务单位，在本合同服务期内承担服务期间进行约定的各项监测及相关技术工作等。合同服务期：自</w:t>
      </w:r>
      <w:r>
        <w:rPr>
          <w:rFonts w:hint="eastAsia" w:ascii="宋体" w:hAnsi="宋体" w:eastAsia="宋体" w:cs="宋体"/>
          <w:color w:val="auto"/>
          <w:sz w:val="21"/>
          <w:szCs w:val="21"/>
          <w:highlight w:val="none"/>
          <w:lang w:eastAsia="zh-CN"/>
        </w:rPr>
        <w:t>东莞市供水设施更新改造项目-松山湖新城路给水管网改造工程</w:t>
      </w:r>
      <w:r>
        <w:rPr>
          <w:rFonts w:hint="eastAsia" w:ascii="宋体" w:hAnsi="宋体" w:eastAsia="宋体" w:cs="宋体"/>
          <w:color w:val="auto"/>
          <w:sz w:val="21"/>
          <w:szCs w:val="21"/>
          <w:highlight w:val="none"/>
        </w:rPr>
        <w:t>开工至完成约定的各项监测及相关技术工作为止。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2.监测依据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《工程结构通用规范》（GB 55001-2021）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《建筑与市政地基基础通用规范》（GB 55003-2021）</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《建筑基坑支护技术规程》JGJ 120-2012</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《建筑基坑工程监测技术标准》GB 50497-2019</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《工程测量标准》GB50026—2020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《建筑变形测量规范》JGJ 8-2016</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《建筑基坑工程技术规程》（广东省标准）DBJ/T 15-20-2016</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《建筑基坑施工监测技术标准》（广东省标准）DBJ/T 15-162-2019</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设计资料/其他相关技术管理文件。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范围：按设计图纸、相关规范标准以及设计方要求，结合施工现场实际，在基坑开挖和地下建筑施工期间对基坑的安全稳定性进行监测，需监测的主要项目（具体数量以《监测工程量清单计价表》为准）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支护桩顶部水平及竖向位移；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支护桩深层水平位移；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周边道路及地表竖向位移；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地下水位；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周边建构筑物竖向位移及倾斜；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周边建筑裂缝；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支护结构裂缝；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周边管线位移（水平及竖向）；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支撑轴力。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具体布置以实际为准，基坑监测点布置方案应由专业单位编制实施。施工过程中须保护好测点，如遭破坏，应及时补设。</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工程监测质量要求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提供检定合格、手续完备的监测仪器，及时出具具有法律效力的监测报告。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须保证监测成果质量，对技术成果负完全责任，如因监测不实，造成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经济损失费用全部由监测单位承担，并应负责重检。</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执行国家、广东省以及东莞市有关工程监测的标准规范的规定。</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监测数据、设备的管理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对测点进行标识，加强检查，必要时设护栏，保证监测工作正常进行。</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监测人员、监测线路、监测方法要相对固定，以保证观测资料、成果数据的准确与连续性。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对监测设备、仪器由专人负责保管、使用。在使用前必须经过检验，认为合格后方可使用。保证量测数据准确。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对量测的数据必须换手复核，认为准确无误后方可上报，并采用计算机系统进行管理。</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当出现下列情况之一时，应提高监测频率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 xml:space="preserve">监测数据达到报警值。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 xml:space="preserve">监测数据变化较大或者速率加快。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 xml:space="preserve">存在勘察未发现的不良地质。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 xml:space="preserve">超深、超长开挖或未及时加撑等违反设计工况施工。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 xml:space="preserve">基坑及周边大量积水、长时间连续降雨、市政管道出现泄漏。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 xml:space="preserve">基坑附近地面荷载突然增大或超过设计限值。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 xml:space="preserve">支护结构出现开裂。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rPr>
        <w:t xml:space="preserve">周边地面突发较大沉降或出现严重开裂。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 xml:space="preserve">邻近建筑突发较大沉降、不均匀沉降或出现严重开裂。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 xml:space="preserve">基坑底部、侧壁出现管涌、潘漏或流沙等现象。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 xml:space="preserve">基坑工程发生事故后重新组织施工。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出现其他影响基坑及周边环境安全的异常情况。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监测数据发生突变的处理对策</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立即停止开挖、调整各种设备参数。</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上报项目部，由项目总工组织技术人员进行分析，制定相关措施，并将情况及时上报建设单位和监理单位、设计单位。</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对突变发生地表和建筑物等实施实时监控。</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如涉及地表安全，立即请相关部门协助，采用疏解交通等有效措施。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请建设单位组织设计单位、施工单位、监理单位等部门共同制定应对措施。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其他质量要求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国家标准及其它相关行业规程的要求，结合本工程施工图、预算文件及东莞市建筑工程质量安全监督站相关规定，制定监测方案。本工程所有监测点位均根据设计单位提供的相关图纸进行布设，其位置及数量均可按照设计、监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单位的合理化建议适当调整。方案经监理、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、及施工单位审查确认合格后方可实施。</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须完成本工程监测方案内项目及数量，出具合法有效且符合监测规范要求的监测报告，为工程进度控制提供依据；提供监测咨询服务，为保证工程质量提供保障。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应当建立健全并落实各项管理制度，保证监测项目工作正常进行，并接受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及有关主管部门对项目服务质量的监督检查。</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应建立并实施符合本项目各项要求的质量管理体系。</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代表有权在工作时间内进入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的工作地点检查其质量手册、质量计划及其它与质量相关的文件的实施情况。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5.成果要求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技术资料包括但不限于以下内容：监测方案；测点布设记录；监测报告；监测总结报告等。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合同签订后15天内，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应根据批准的工程施工组织设计、工程设计文件、市政工程建设标准、国家及行业规范等制定并向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提交详细的可实施的监测方案1份。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hr-HR"/>
        </w:rPr>
        <w:t>应积极配合</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确认。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测点布设需经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委托的工程监理单位签字确认，并最终提交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及工程监理单位。 </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每次监测在完成现场监测后24小时内，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应在2小时内通知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监测报告、监测总结报告纸质报告以一式三份提交。</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所提供给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的成果资料所有权由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享有，未经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许可，</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不得将成果泄露给第三方。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须保证监测成果质量，对技术成果负完全责任，如因监测不实，造成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安全文明监测要求</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应强化安全文明生产管理，通过组织落实，责任到人</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需全面了解施工现场安全管理的有关要求，并对需要进入施工现场观测的人员进行安全教育或安全交底；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进入施工现场的观测人员必须佩戴安全帽和相关的安全防护用品，接受安全工程师的督导；</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埋设观测标志需临时用电，接电时，必须经同意在电气专业人员帮助下才可接用；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进出施工现场应遵守各种安全文明施工和环境保护的规章制度，文明礼貌；</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在施工现场应听从施工现场管理人员的指挥</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应做好服务的安全防护措施，服务过程中出现的安全事故由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r>
        <w:rPr>
          <w:rFonts w:hint="eastAsia" w:ascii="宋体" w:hAnsi="宋体" w:eastAsia="宋体" w:cs="宋体"/>
          <w:color w:val="auto"/>
          <w:sz w:val="21"/>
          <w:szCs w:val="21"/>
          <w:highlight w:val="none"/>
          <w:lang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.8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必须做好安全防护工作，由于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自身的原因发生的任何伤害（包括人身伤害），均由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安全巡视要求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6.2.1 </w:t>
      </w:r>
      <w:r>
        <w:rPr>
          <w:rFonts w:hint="eastAsia" w:ascii="宋体" w:hAnsi="宋体" w:eastAsia="宋体" w:cs="宋体"/>
          <w:color w:val="auto"/>
          <w:sz w:val="21"/>
          <w:szCs w:val="21"/>
          <w:highlight w:val="none"/>
        </w:rPr>
        <w:t>安全巡视检查包括以下内容：</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当日的天气情况和施工现场的工况；</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仪器监测项目各监测点的本次测试值、单次变化值、变化速率以及累计值等，必要时绘制有关曲线图；</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巡视检查的记录；</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对监测项目应有正常或异常、危险的判断性结论；</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对达到或超过监测报警值的监测点应有报警标识，并有分析和建议；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对巡视检查发现的异常情况应有详细描述，危险情况应有报警标示标识，并有分析和建议；</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6.2.1.</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其他相关说明。</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6.2.2 </w:t>
      </w:r>
      <w:r>
        <w:rPr>
          <w:rFonts w:hint="eastAsia" w:ascii="宋体" w:hAnsi="宋体" w:eastAsia="宋体" w:cs="宋体"/>
          <w:color w:val="auto"/>
          <w:sz w:val="21"/>
          <w:szCs w:val="21"/>
          <w:highlight w:val="none"/>
        </w:rPr>
        <w:t>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6.2.3 </w:t>
      </w:r>
      <w:r>
        <w:rPr>
          <w:rFonts w:hint="eastAsia" w:ascii="宋体" w:hAnsi="宋体" w:eastAsia="宋体" w:cs="宋体"/>
          <w:color w:val="auto"/>
          <w:sz w:val="21"/>
          <w:szCs w:val="21"/>
          <w:highlight w:val="none"/>
        </w:rPr>
        <w:t>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派出的监测人员应具备相应的专业知识及技术水平，有足够能力完成本项目监测服务工作。</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需配备1名项目负责人、1名技术负责人及数量充足的监测工作人员，保证监测工作有序、顺利完成。</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应配备完成本</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所必须的监测设备，其性能良好并符合国家规定。同时配备数量充足的交通警示标志和施工围</w:t>
      </w:r>
      <w:r>
        <w:rPr>
          <w:rFonts w:hint="eastAsia" w:ascii="宋体" w:hAnsi="宋体" w:eastAsia="宋体" w:cs="宋体"/>
          <w:color w:val="auto"/>
          <w:sz w:val="21"/>
          <w:szCs w:val="21"/>
          <w:highlight w:val="none"/>
          <w:lang w:val="en-US" w:eastAsia="zh-CN"/>
        </w:rPr>
        <w:t>挡</w:t>
      </w:r>
      <w:r>
        <w:rPr>
          <w:rFonts w:hint="eastAsia" w:ascii="宋体" w:hAnsi="宋体" w:eastAsia="宋体" w:cs="宋体"/>
          <w:color w:val="auto"/>
          <w:sz w:val="21"/>
          <w:szCs w:val="21"/>
          <w:highlight w:val="none"/>
        </w:rPr>
        <w:t>，以及监测仪器、无线通讯设备、劳动防护用品等其它必须使用的工具。</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审核为准。</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hr-HR"/>
        </w:rPr>
        <w:t>在合同服务期内</w:t>
      </w:r>
      <w:r>
        <w:rPr>
          <w:rFonts w:hint="eastAsia" w:ascii="宋体" w:hAnsi="宋体" w:eastAsia="宋体" w:cs="宋体"/>
          <w:color w:val="auto"/>
          <w:sz w:val="21"/>
          <w:szCs w:val="21"/>
          <w:highlight w:val="none"/>
          <w:lang w:val="hr-HR" w:eastAsia="zh-CN"/>
        </w:rPr>
        <w:t>乙方</w:t>
      </w:r>
      <w:r>
        <w:rPr>
          <w:rFonts w:hint="eastAsia" w:ascii="宋体" w:hAnsi="宋体" w:eastAsia="宋体" w:cs="宋体"/>
          <w:color w:val="auto"/>
          <w:sz w:val="21"/>
          <w:szCs w:val="21"/>
          <w:highlight w:val="none"/>
          <w:lang w:val="hr-HR"/>
        </w:rPr>
        <w:t>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提供任何形式的补偿或赔偿，或要求</w:t>
      </w:r>
      <w:r>
        <w:rPr>
          <w:rFonts w:hint="eastAsia" w:ascii="宋体" w:hAnsi="宋体" w:eastAsia="宋体" w:cs="宋体"/>
          <w:color w:val="auto"/>
          <w:sz w:val="21"/>
          <w:szCs w:val="21"/>
          <w:highlight w:val="none"/>
          <w:lang w:val="hr-HR" w:eastAsia="zh-CN"/>
        </w:rPr>
        <w:t>甲方</w:t>
      </w:r>
      <w:r>
        <w:rPr>
          <w:rFonts w:hint="eastAsia" w:ascii="宋体" w:hAnsi="宋体" w:eastAsia="宋体" w:cs="宋体"/>
          <w:color w:val="auto"/>
          <w:sz w:val="21"/>
          <w:szCs w:val="21"/>
          <w:highlight w:val="none"/>
          <w:lang w:val="hr-HR"/>
        </w:rPr>
        <w:t>所有的项目必须开展监测服务。</w:t>
      </w:r>
    </w:p>
    <w:p>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服务过程中涉及的设备、工具，由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自行解决。</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服务过程中涉及的用水、用电由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自行接入，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需做好用水、用电安全防护措施并无条件接受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监督。设备、设施的水、电费用由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设备、人员及其他材料，数量及技术性能必须满足招标文件的各项要求及乙方的投标承诺。如原招标文件的各项要求及乙方的投标承诺有设备、人员及其他材料投入不能满足服务的实际需要时，乙方必须根据服务的需要，自行增加相应的设备及人员，并承担相应费用。</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9.乙方提供工程监测服务不得低于国家标准、招标文件的要求及投标文件承诺的标准。</w:t>
      </w:r>
    </w:p>
    <w:p>
      <w:pPr>
        <w:widowControl/>
        <w:spacing w:line="360" w:lineRule="auto"/>
        <w:ind w:firstLine="420"/>
        <w:textAlignment w:val="bottom"/>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2" w:name="_Toc6407"/>
      <w:r>
        <w:rPr>
          <w:rFonts w:hint="eastAsia" w:ascii="宋体" w:hAnsi="宋体" w:eastAsia="宋体" w:cs="宋体"/>
          <w:b/>
          <w:color w:val="auto"/>
          <w:kern w:val="2"/>
          <w:sz w:val="21"/>
          <w:szCs w:val="21"/>
          <w:highlight w:val="none"/>
        </w:rPr>
        <w:t>三、服务价格及合同价款</w:t>
      </w:r>
      <w:bookmarkEnd w:id="482"/>
    </w:p>
    <w:p>
      <w:pPr>
        <w:autoSpaceDE/>
        <w:autoSpaceDN/>
        <w:adjustRightInd/>
        <w:spacing w:line="360" w:lineRule="auto"/>
        <w:ind w:firstLine="422" w:firstLineChars="201"/>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w:t>
      </w:r>
      <w:r>
        <w:rPr>
          <w:rFonts w:hint="eastAsia" w:ascii="宋体" w:hAnsi="宋体" w:eastAsia="宋体" w:cs="宋体"/>
          <w:color w:val="auto"/>
          <w:sz w:val="21"/>
          <w:szCs w:val="21"/>
          <w:highlight w:val="none"/>
          <w:lang w:val="en-US" w:eastAsia="zh-CN"/>
        </w:rPr>
        <w:t>丙方或甲方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w:t>
      </w:r>
    </w:p>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3.本项目的计费标准按照合同附件一《监测工程量清单计价表》（详见附件）中的不含税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w:t>
      </w:r>
      <w:r>
        <w:rPr>
          <w:rFonts w:hint="eastAsia" w:ascii="宋体" w:hAnsi="宋体" w:eastAsia="宋体" w:cs="Times New Roman"/>
          <w:color w:val="auto"/>
          <w:szCs w:val="21"/>
          <w:highlight w:val="none"/>
          <w:lang w:val="zh-CN"/>
        </w:rPr>
        <w:t>但最终结算价不得超出暂定总合同价款（含税）</w:t>
      </w:r>
      <w:r>
        <w:rPr>
          <w:rFonts w:hint="eastAsia" w:ascii="宋体" w:hAnsi="宋体" w:eastAsia="宋体" w:cs="宋体"/>
          <w:color w:val="auto"/>
          <w:kern w:val="2"/>
          <w:sz w:val="21"/>
          <w:szCs w:val="21"/>
          <w:highlight w:val="none"/>
          <w:lang w:val="en-US" w:eastAsia="zh-CN" w:bidi="ar"/>
        </w:rPr>
        <w:t>。</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销项税额以外的税金等一切费用，以及合同规定的所有责任、义务和一切风险。监测时，如需土建总包单位配合或向其租借设备时，自行与总包单位协调，配合及租借费用应包括在合同价内。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但最终结算价不得超出暂定总合同价款（含税）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.对于《监测工程量清单计价表》外新增的监测项目，不含税综合单价按以下方法计算：</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.结算调整规则、范围及方式</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pPr>
        <w:pStyle w:val="13"/>
        <w:ind w:firstLine="400"/>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color w:val="auto"/>
          <w:kern w:val="2"/>
          <w:sz w:val="21"/>
          <w:szCs w:val="21"/>
          <w:highlight w:val="none"/>
        </w:rPr>
      </w:pPr>
      <w:bookmarkStart w:id="483" w:name="_Toc17708"/>
      <w:r>
        <w:rPr>
          <w:rFonts w:hint="eastAsia" w:ascii="宋体" w:hAnsi="宋体" w:eastAsia="宋体" w:cs="宋体"/>
          <w:b/>
          <w:color w:val="auto"/>
          <w:kern w:val="2"/>
          <w:sz w:val="21"/>
          <w:szCs w:val="21"/>
          <w:highlight w:val="none"/>
        </w:rPr>
        <w:t>四、付款方式</w:t>
      </w:r>
      <w:bookmarkEnd w:id="483"/>
    </w:p>
    <w:p>
      <w:pPr>
        <w:autoSpaceDE/>
        <w:autoSpaceDN/>
        <w:adjustRightInd/>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提供相应的正式监测报告，经监理人及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pPr>
        <w:autoSpaceDE/>
        <w:autoSpaceDN/>
        <w:adjustRightIn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丙方或甲方以季度为单位按经监理人及甲方审核通过的监测报告所涉款项的80%支付本合同进度款，但丙方或甲方累计支付的进度款不超过暂定总合同价款价税合计的80%，待工程竣工验收合格，项目结算完毕，并提交请款报告后30天内，丙方或甲方按结算价一次性支付余款。</w:t>
      </w:r>
    </w:p>
    <w:p>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eastAsia="zh-CN"/>
        </w:rPr>
        <w:t>，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p>
      <w:pPr>
        <w:spacing w:line="360" w:lineRule="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4" w:name="_Toc3817"/>
      <w:r>
        <w:rPr>
          <w:rFonts w:hint="eastAsia" w:ascii="宋体" w:hAnsi="宋体" w:eastAsia="宋体" w:cs="宋体"/>
          <w:b/>
          <w:bCs/>
          <w:color w:val="auto"/>
          <w:sz w:val="21"/>
          <w:szCs w:val="21"/>
          <w:highlight w:val="none"/>
        </w:rPr>
        <w:t>五、履约担保</w:t>
      </w:r>
      <w:bookmarkEnd w:id="484"/>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pPr>
        <w:widowControl/>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乙方</w:t>
      </w:r>
      <w:r>
        <w:rPr>
          <w:rFonts w:hint="eastAsia" w:ascii="宋体" w:hAnsi="宋体" w:eastAsia="宋体" w:cs="Times New Roman"/>
          <w:color w:val="auto"/>
          <w:kern w:val="0"/>
          <w:szCs w:val="21"/>
          <w:highlight w:val="none"/>
        </w:rPr>
        <w:t>将合同项下</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的权利义务全部转让给第三方，或未经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有权没收其履约担保。</w:t>
      </w:r>
    </w:p>
    <w:p>
      <w:pPr>
        <w:widowControl/>
        <w:autoSpaceDE/>
        <w:autoSpaceDN/>
        <w:adjustRightInd/>
        <w:spacing w:line="360" w:lineRule="auto"/>
        <w:ind w:firstLine="420" w:firstLineChars="200"/>
        <w:jc w:val="both"/>
        <w:rPr>
          <w:rFonts w:hint="eastAsia"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2.2</w:t>
      </w:r>
      <w:r>
        <w:rPr>
          <w:rFonts w:ascii="宋体" w:hAnsi="宋体" w:eastAsia="宋体" w:cs="Times New Roman"/>
          <w:color w:val="auto"/>
          <w:kern w:val="0"/>
          <w:szCs w:val="21"/>
          <w:highlight w:val="none"/>
        </w:rPr>
        <w:t>在合同履行期间，</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可依法没收或适当扣除其履约担保。</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2.3</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w:t>
      </w:r>
      <w:r>
        <w:rPr>
          <w:rFonts w:hint="eastAsia" w:ascii="宋体" w:hAnsi="宋体" w:eastAsia="宋体" w:cs="Times New Roman"/>
          <w:color w:val="auto"/>
          <w:kern w:val="0"/>
          <w:szCs w:val="21"/>
          <w:highlight w:val="none"/>
        </w:rPr>
        <w:t>拖欠原材料供应商货款</w:t>
      </w:r>
      <w:r>
        <w:rPr>
          <w:rFonts w:hint="eastAsia" w:ascii="宋体" w:hAnsi="宋体" w:eastAsia="宋体" w:cs="宋体"/>
          <w:color w:val="auto"/>
          <w:sz w:val="21"/>
          <w:szCs w:val="21"/>
          <w:highlight w:val="none"/>
        </w:rPr>
        <w:t>或与其所雇用员工发生劳资纠纷、上访、闹事或其他影响甲方生产经营等情况而其未及时妥善处理的，甲方有权使用履约担保予以支付或作出相应处理，由此产生的一切法律后果由乙方承担。</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在合同履行期间，乙方违约产生的违约金、赔偿或其他应付费用等款项，甲方有权直接启用履约担保予以支付。</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合同期内，乙方不能及时完成合同某项义务的，甲方有权提取履约担保用于处理该项工作。</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其他根据本合同约定或法律规定，甲方可启用履约担保的情形。</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如乙方提供履约保证金作为履约担保的，</w:t>
      </w:r>
      <w:r>
        <w:rPr>
          <w:rFonts w:hint="eastAsia" w:ascii="宋体" w:hAnsi="宋体" w:eastAsia="宋体" w:cs="宋体"/>
          <w:color w:val="auto"/>
          <w:sz w:val="21"/>
          <w:szCs w:val="21"/>
          <w:highlight w:val="none"/>
        </w:rPr>
        <w:t>在合同期限届满并履行完毕相关服务义务且结算完毕之后二十八（28）个日历天内，经甲方确认，乙方可向甲方提交退回履约担保的申请。甲方审核无异议后，办理履约担保退还手续，履约保证金形式提交的履约担保余额退回时一律以银行转账的形式无息退回到乙方的账户。</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或担保公司履约担保书期限应从合同签订之日起至合同期限届满并履行完毕相关服务义务且结算完毕之后二十八（28）个日历天内保持有效。如不可撤销银行履约保函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或担保公司履约担保书在规定有效期届满时而乙方未完成本合同及本合同下所有补充协议的全部服务义务且未结算完毕的，乙方必须在不可撤销银行履约保函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或担保公司履约担保书到期15个日历天前无条件办理办妥符合甲方要求的延期手续或重新提供不可撤销银行履约保函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或担保公司履约担保书到期后乙方未按甲方要求重新提供的，甲方有权要求乙方以履约担保金额为限承担违约金，违约金可直接由丙方从未付款项中扣除并支付给甲方。</w:t>
      </w:r>
    </w:p>
    <w:p>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个日历天内予以补足。逾期不予补足的，甲方有权按需补足的金额要求乙方承担违约金，并要求限期补足。如乙方仍不补足的，甲方有权单方解除合同。</w:t>
      </w:r>
    </w:p>
    <w:p>
      <w:pPr>
        <w:spacing w:line="360" w:lineRule="auto"/>
        <w:ind w:firstLine="420"/>
        <w:contextualSpacing/>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5" w:name="_Toc12448"/>
      <w:r>
        <w:rPr>
          <w:rFonts w:hint="eastAsia" w:ascii="宋体" w:hAnsi="宋体" w:eastAsia="宋体" w:cs="宋体"/>
          <w:b/>
          <w:bCs/>
          <w:color w:val="auto"/>
          <w:sz w:val="21"/>
          <w:szCs w:val="21"/>
          <w:highlight w:val="none"/>
        </w:rPr>
        <w:t>六、甲方权利和义务</w:t>
      </w:r>
      <w:bookmarkEnd w:id="485"/>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p>
      <w:pPr>
        <w:spacing w:line="360" w:lineRule="auto"/>
        <w:ind w:firstLine="420"/>
        <w:rPr>
          <w:rFonts w:hint="eastAsia"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6" w:name="_Toc21091"/>
      <w:r>
        <w:rPr>
          <w:rFonts w:hint="eastAsia" w:ascii="宋体" w:hAnsi="宋体" w:eastAsia="宋体" w:cs="宋体"/>
          <w:b/>
          <w:bCs/>
          <w:color w:val="auto"/>
          <w:sz w:val="21"/>
          <w:szCs w:val="21"/>
          <w:highlight w:val="none"/>
        </w:rPr>
        <w:t>七、乙方权利和义务</w:t>
      </w:r>
      <w:bookmarkEnd w:id="486"/>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p>
      <w:pPr>
        <w:spacing w:line="360" w:lineRule="auto"/>
        <w:ind w:firstLine="420"/>
        <w:rPr>
          <w:rFonts w:hint="eastAsia"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7" w:name="_Toc3410"/>
      <w:r>
        <w:rPr>
          <w:rFonts w:hint="eastAsia" w:ascii="宋体" w:hAnsi="宋体" w:eastAsia="宋体" w:cs="宋体"/>
          <w:b/>
          <w:bCs/>
          <w:color w:val="auto"/>
          <w:sz w:val="21"/>
          <w:szCs w:val="21"/>
          <w:highlight w:val="none"/>
        </w:rPr>
        <w:t>八、违约责任</w:t>
      </w:r>
      <w:bookmarkEnd w:id="487"/>
    </w:p>
    <w:p>
      <w:pPr>
        <w:widowControl/>
        <w:spacing w:line="360" w:lineRule="auto"/>
        <w:ind w:right="-53"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1.乙方未按本合同约定配备必要的办公场所、设备或者服务人员的，甲方有权就违约事宜提出改正，如乙方仍拒不改正的，甲方有权选择解除本合同或服务合同，并没收全部履约担保。</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在本合同履行过程中，无论何种原因，乙方均不得消极怠工或拒不履行合同义务（包括但不限于技术支持、专家会审、解答释疑、事故处理，修正监测报告及数据成果等），或履行的合同义务不符合要求的。如有违反，将视为乙方违约，甲方有权就违约事宜提出改正，要求乙方按</w:t>
      </w:r>
      <w:r>
        <w:rPr>
          <w:rFonts w:hint="eastAsia" w:ascii="宋体" w:hAnsi="宋体" w:eastAsia="宋体" w:cs="宋体"/>
          <w:color w:val="auto"/>
          <w:sz w:val="21"/>
          <w:szCs w:val="21"/>
          <w:highlight w:val="none"/>
        </w:rPr>
        <w:t>壹万元/次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kern w:val="2"/>
          <w:sz w:val="21"/>
          <w:szCs w:val="21"/>
          <w:highlight w:val="none"/>
        </w:rPr>
        <w:t>若限期内未按照甲方要求进行整改或限期整改后不符合甲方要求的，甲方有权选择解除合同，要求乙方按暂定总合同价款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的10%承担违约金，并有权依法委托有资质的第三方继续履行本合同义务，由此造成的一切损失由乙方承担。同时，甲方有权将情况如实报送至政府相关主管部门。</w:t>
      </w:r>
    </w:p>
    <w:p>
      <w:pPr>
        <w:widowControl/>
        <w:spacing w:line="360" w:lineRule="auto"/>
        <w:ind w:firstLine="42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3.由于乙方原因造成监测报告、成果数据、文件等质量不合格，不能满足技术要求时，乙方除按合同约定承担责任外，其返工重新监测等产生的费用由乙方承担。</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方互不承担赔偿责任。乙方未进行监测工作的，应退还</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方已预付的费用；已进行监测工作的，根据其中标报价按甲方审核确认实际完成的工作量进行结算。</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5.若非甲方原因，由于乙方原因未按</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 w:val="21"/>
          <w:szCs w:val="21"/>
          <w:highlight w:val="none"/>
        </w:rPr>
        <w:t>时间（日期）提交监测方案、测点布设记录、监测报告和监测总结报告的，或未按期履行其他义务的，每逾期一日，乙方按贰仟元/天承担违约金。逾期超过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pPr>
        <w:widowControl/>
        <w:spacing w:line="360" w:lineRule="auto"/>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6.合同履行期间，乙方未达到的投标时承诺的事项，每次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w:t>
      </w:r>
      <w:r>
        <w:rPr>
          <w:rFonts w:hint="eastAsia" w:ascii="宋体" w:hAnsi="宋体" w:eastAsia="宋体" w:cs="宋体"/>
          <w:color w:val="auto"/>
          <w:sz w:val="21"/>
          <w:szCs w:val="21"/>
          <w:highlight w:val="none"/>
          <w:lang w:val="en-US" w:eastAsia="zh-CN"/>
        </w:rPr>
        <w:t>甲方及丙方</w:t>
      </w:r>
      <w:r>
        <w:rPr>
          <w:rFonts w:hint="eastAsia" w:ascii="宋体" w:hAnsi="宋体" w:eastAsia="宋体" w:cs="宋体"/>
          <w:color w:val="auto"/>
          <w:sz w:val="21"/>
          <w:szCs w:val="21"/>
          <w:highlight w:val="none"/>
        </w:rPr>
        <w:t>，以谋取非法利益的；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w:t>
      </w:r>
      <w:r>
        <w:rPr>
          <w:rFonts w:hint="eastAsia" w:ascii="宋体" w:hAnsi="宋体" w:eastAsia="宋体" w:cs="宋体"/>
          <w:color w:val="auto"/>
          <w:sz w:val="21"/>
          <w:szCs w:val="21"/>
          <w:highlight w:val="none"/>
          <w:lang w:val="en-US" w:eastAsia="zh-CN"/>
        </w:rPr>
        <w:t>甲方、丙方</w:t>
      </w:r>
      <w:r>
        <w:rPr>
          <w:rFonts w:hint="eastAsia" w:ascii="宋体" w:hAnsi="宋体" w:eastAsia="宋体" w:cs="宋体"/>
          <w:color w:val="auto"/>
          <w:sz w:val="21"/>
          <w:szCs w:val="21"/>
          <w:highlight w:val="none"/>
        </w:rPr>
        <w:t>或相关用户单位的利益的；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及相关部门监督、检查的；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）违反本合同约定，泄露服务项目内容的。</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rPr>
        <w:t>。</w:t>
      </w:r>
    </w:p>
    <w:p>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pPr>
        <w:pStyle w:val="18"/>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hAnsi="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val="en-US"/>
        </w:rPr>
        <w:t>.</w:t>
      </w:r>
      <w:r>
        <w:rPr>
          <w:rFonts w:hint="eastAsia" w:ascii="宋体" w:hAnsi="宋体" w:eastAsia="宋体" w:cs="宋体"/>
          <w:b w:val="0"/>
          <w:bCs w:val="0"/>
          <w:color w:val="auto"/>
          <w:sz w:val="21"/>
          <w:szCs w:val="21"/>
          <w:highlight w:val="none"/>
          <w:lang w:val="en-US"/>
        </w:rPr>
        <w:t>甲方每季度根据合同附件五《监测单位履约考核评分表》对乙方评价一次，出具考核评价结果。甲方将严格按照考核评分标准对乙方进行季度检查和考核。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p>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开户银行：中国工商银行股份有限公司东莞分行</w:t>
      </w:r>
    </w:p>
    <w:p>
      <w:pPr>
        <w:pStyle w:val="13"/>
        <w:ind w:firstLine="400"/>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rPr>
      </w:pPr>
      <w:bookmarkStart w:id="488" w:name="_Toc7442"/>
      <w:r>
        <w:rPr>
          <w:rFonts w:hint="eastAsia" w:ascii="宋体" w:hAnsi="宋体" w:eastAsia="宋体" w:cs="宋体"/>
          <w:b/>
          <w:bCs/>
          <w:color w:val="auto"/>
          <w:sz w:val="21"/>
          <w:szCs w:val="21"/>
          <w:highlight w:val="none"/>
        </w:rPr>
        <w:t>九、争议解决</w:t>
      </w:r>
      <w:bookmarkEnd w:id="488"/>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本合同发生争议，甲方、</w:t>
      </w:r>
      <w:r>
        <w:rPr>
          <w:rFonts w:hint="eastAsia" w:ascii="宋体" w:hAnsi="宋体" w:eastAsia="宋体" w:cs="宋体"/>
          <w:bCs/>
          <w:color w:val="auto"/>
          <w:kern w:val="2"/>
          <w:sz w:val="21"/>
          <w:szCs w:val="21"/>
          <w:highlight w:val="none"/>
        </w:rPr>
        <w:t>乙方、丙方</w:t>
      </w:r>
      <w:r>
        <w:rPr>
          <w:rFonts w:hint="eastAsia" w:ascii="宋体" w:hAnsi="宋体" w:eastAsia="宋体" w:cs="宋体"/>
          <w:color w:val="auto"/>
          <w:kern w:val="2"/>
          <w:sz w:val="21"/>
          <w:szCs w:val="21"/>
          <w:highlight w:val="none"/>
        </w:rPr>
        <w:t>三方应及时协商解决，也可由当地行政主管部门调解，协商或调解不成时，任何一方可向甲方所在地有管辖权的人民法院起诉。</w:t>
      </w:r>
    </w:p>
    <w:p>
      <w:pPr>
        <w:spacing w:line="360" w:lineRule="auto"/>
        <w:ind w:firstLine="422"/>
        <w:rPr>
          <w:rFonts w:hint="eastAsia" w:ascii="宋体" w:hAnsi="宋体" w:eastAsia="宋体" w:cs="宋体"/>
          <w:b/>
          <w:bCs/>
          <w:color w:val="auto"/>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lang w:val="en-US" w:eastAsia="zh-CN"/>
        </w:rPr>
      </w:pPr>
      <w:bookmarkStart w:id="489" w:name="_Toc2204"/>
      <w:r>
        <w:rPr>
          <w:rFonts w:hint="eastAsia" w:ascii="宋体" w:hAnsi="宋体" w:eastAsia="宋体" w:cs="宋体"/>
          <w:b/>
          <w:bCs/>
          <w:color w:val="auto"/>
          <w:sz w:val="21"/>
          <w:szCs w:val="21"/>
          <w:highlight w:val="none"/>
          <w:lang w:val="en-US" w:eastAsia="zh-CN"/>
        </w:rPr>
        <w:t>十、其他约定</w:t>
      </w:r>
      <w:bookmarkEnd w:id="489"/>
    </w:p>
    <w:p>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本合同专用条款第十条“其他约定”若与本合同其他条款内容不相一致的，以第十条优先解释、处理。</w:t>
      </w:r>
    </w:p>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eastAsia="zh-CN" w:bidi="ar"/>
        </w:rPr>
        <w:t>1.支付、结算条款一览表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87"/>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831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定金或预付款</w:t>
            </w:r>
          </w:p>
        </w:tc>
        <w:tc>
          <w:tcPr>
            <w:tcW w:w="8317" w:type="dxa"/>
            <w:vAlign w:val="center"/>
          </w:tcPr>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丙方或甲方向乙方支付定金金额: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或预付款的金额：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 xml:space="preserve">   </w:t>
            </w:r>
          </w:p>
          <w:p>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定金或预付款在进度款中的抵扣办法：</w:t>
            </w:r>
            <w:r>
              <w:rPr>
                <w:rFonts w:hint="eastAsia" w:ascii="宋体" w:hAnsi="宋体" w:eastAsia="宋体" w:cs="宋体"/>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提供相应的正式监测报告，经监理人及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pPr>
              <w:keepNext w:val="0"/>
              <w:keepLines w:val="0"/>
              <w:suppressLineNumbers w:val="0"/>
              <w:autoSpaceDE/>
              <w:autoSpaceDN/>
              <w:adjustRightInd/>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丙方或甲方以季度为单位按经监理人及甲方审核通过的监测报告所涉款项的80%支付本合同进度款，但丙方或甲方累计支付的进度款不超过暂定总合同价款价税合计的80%，待工程竣工验收合格，项目结算完毕，并提交请款报告后30天内，丙方或甲方按结算价一次性支付余款。</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4.乙方收取每笔款项前，在提交请款报告的同时一并提供等额有效的</w:t>
            </w:r>
            <w:r>
              <w:rPr>
                <w:rFonts w:hint="eastAsia" w:ascii="宋体" w:hAnsi="宋体" w:eastAsia="宋体" w:cs="Times New Roman"/>
                <w:color w:val="auto"/>
                <w:szCs w:val="21"/>
                <w:highlight w:val="none"/>
                <w:lang w:val="zh-CN"/>
              </w:rPr>
              <w:t>增值税普通发票</w:t>
            </w:r>
            <w:r>
              <w:rPr>
                <w:rFonts w:hint="eastAsia" w:ascii="宋体" w:hAnsi="宋体" w:eastAsia="宋体" w:cs="宋体"/>
                <w:color w:val="auto"/>
                <w:sz w:val="21"/>
                <w:szCs w:val="21"/>
                <w:highlight w:val="none"/>
                <w:lang w:val="en-US" w:eastAsia="zh-CN"/>
              </w:rPr>
              <w:t>，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合同价款结算</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w:t>
            </w:r>
            <w:r>
              <w:rPr>
                <w:rFonts w:hint="eastAsia" w:ascii="宋体" w:hAnsi="宋体" w:eastAsia="宋体" w:cs="宋体"/>
                <w:color w:val="auto"/>
                <w:sz w:val="21"/>
                <w:szCs w:val="21"/>
                <w:highlight w:val="none"/>
                <w:lang w:val="en-US" w:eastAsia="zh-CN"/>
              </w:rPr>
              <w:t>丙方或甲方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但最终结算价不得超出暂定总合同价款（含税）。</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销项税额以外的税金等一切费用，以及合同规定的所有责任、义务和一切风险。监测时，如需土建总包单位配合或向其租借设备时，自行与总包单位协调，配合及租借费用应包括在合同价内。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w:t>
            </w:r>
            <w:r>
              <w:rPr>
                <w:rFonts w:hint="eastAsia" w:ascii="宋体" w:hAnsi="宋体" w:eastAsia="宋体" w:cs="宋体"/>
                <w:color w:val="auto"/>
                <w:sz w:val="21"/>
                <w:szCs w:val="21"/>
                <w:highlight w:val="none"/>
                <w:lang w:eastAsia="zh-CN"/>
              </w:rPr>
              <w:t>，但最终结算价不得超出暂定总合同价款（含税）</w:t>
            </w:r>
            <w:r>
              <w:rPr>
                <w:rFonts w:hint="eastAsia" w:ascii="宋体" w:hAnsi="宋体" w:eastAsia="宋体" w:cs="宋体"/>
                <w:color w:val="auto"/>
                <w:sz w:val="21"/>
                <w:szCs w:val="21"/>
                <w:highlight w:val="none"/>
              </w:rPr>
              <w:t>。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第三方监测计费依据</w:t>
            </w:r>
          </w:p>
        </w:tc>
        <w:tc>
          <w:tcPr>
            <w:tcW w:w="8317" w:type="dxa"/>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综合单价×实际监测工作量进行结算，但最终结算价不得超出暂定总合同价款（含税）。</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.对于《监测工程量清单计价表》外新增的监测项目，不含税综合单价按以下方法计算：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7" w:type="dxa"/>
            <w:vAlign w:val="center"/>
          </w:tcPr>
          <w:p>
            <w:pPr>
              <w:pStyle w:val="6"/>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结算调整规则、范围及方式</w:t>
            </w:r>
          </w:p>
        </w:tc>
        <w:tc>
          <w:tcPr>
            <w:tcW w:w="8317" w:type="dxa"/>
            <w:vAlign w:val="center"/>
          </w:tcPr>
          <w:p>
            <w:pPr>
              <w:keepNext w:val="0"/>
              <w:keepLines w:val="0"/>
              <w:suppressLineNumbers w:val="0"/>
              <w:autoSpaceDE/>
              <w:autoSpaceDN/>
              <w:adjustRightInd/>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val="en-US" w:eastAsia="zh-CN" w:bidi="ar"/>
        </w:rPr>
        <w:t>2</w:t>
      </w:r>
      <w:r>
        <w:rPr>
          <w:rFonts w:hint="eastAsia" w:ascii="宋体" w:hAnsi="宋体" w:eastAsia="宋体" w:cs="宋体"/>
          <w:b w:val="0"/>
          <w:bCs/>
          <w:color w:val="auto"/>
          <w:sz w:val="21"/>
          <w:szCs w:val="21"/>
          <w:highlight w:val="none"/>
          <w:lang w:eastAsia="zh-CN" w:bidi="ar"/>
        </w:rPr>
        <w:t>.权利和义务一览表</w:t>
      </w:r>
    </w:p>
    <w:tbl>
      <w:tblPr>
        <w:tblStyle w:val="37"/>
        <w:tblW w:w="4998" w:type="pct"/>
        <w:tblInd w:w="0" w:type="dxa"/>
        <w:tblLayout w:type="fixed"/>
        <w:tblCellMar>
          <w:top w:w="0" w:type="dxa"/>
          <w:left w:w="108" w:type="dxa"/>
          <w:bottom w:w="0" w:type="dxa"/>
          <w:right w:w="108" w:type="dxa"/>
        </w:tblCellMar>
      </w:tblPr>
      <w:tblGrid>
        <w:gridCol w:w="966"/>
        <w:gridCol w:w="1095"/>
        <w:gridCol w:w="8305"/>
      </w:tblGrid>
      <w:tr>
        <w:tblPrEx>
          <w:tblCellMar>
            <w:top w:w="0" w:type="dxa"/>
            <w:left w:w="108" w:type="dxa"/>
            <w:bottom w:w="0" w:type="dxa"/>
            <w:right w:w="108" w:type="dxa"/>
          </w:tblCellMar>
        </w:tblPrEx>
        <w:trPr>
          <w:trHeight w:val="680" w:hRule="atLeast"/>
        </w:trPr>
        <w:tc>
          <w:tcPr>
            <w:tcW w:w="9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类别</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具体条款</w:t>
            </w:r>
          </w:p>
        </w:tc>
      </w:tr>
      <w:tr>
        <w:tblPrEx>
          <w:tblCellMar>
            <w:top w:w="0" w:type="dxa"/>
            <w:left w:w="108" w:type="dxa"/>
            <w:bottom w:w="0" w:type="dxa"/>
            <w:right w:w="108" w:type="dxa"/>
          </w:tblCellMar>
        </w:tblPrEx>
        <w:trPr>
          <w:trHeight w:val="1077" w:hRule="atLeast"/>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甲方权利和义务</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tc>
      </w:tr>
      <w:tr>
        <w:tblPrEx>
          <w:tblCellMar>
            <w:top w:w="0" w:type="dxa"/>
            <w:left w:w="108" w:type="dxa"/>
            <w:bottom w:w="0" w:type="dxa"/>
            <w:right w:w="108" w:type="dxa"/>
          </w:tblCellMar>
        </w:tblPrEx>
        <w:trPr>
          <w:trHeight w:val="1624" w:hRule="atLeast"/>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乙方权利和义务</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tc>
      </w:tr>
    </w:tbl>
    <w:p>
      <w:pPr>
        <w:pStyle w:val="34"/>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3.乙方违约处理一览表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943"/>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违约行为</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因乙方资质条件丧失，导致无法开展监测</w:t>
            </w:r>
            <w:r>
              <w:rPr>
                <w:rFonts w:hint="eastAsia" w:ascii="宋体" w:hAnsi="宋体" w:eastAsia="宋体" w:cs="宋体"/>
                <w:color w:val="auto"/>
                <w:sz w:val="21"/>
                <w:szCs w:val="21"/>
                <w:highlight w:val="none"/>
                <w:lang w:eastAsia="zh-CN"/>
              </w:rPr>
              <w:t>工作。</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甲方有权另行委托其他第三方，并且乙方需向甲方支付暂定总合同价款（含税）</w:t>
            </w:r>
            <w:r>
              <w:rPr>
                <w:rFonts w:hint="eastAsia" w:ascii="宋体" w:hAnsi="宋体" w:eastAsia="宋体" w:cs="宋体"/>
                <w:color w:val="auto"/>
                <w:sz w:val="21"/>
                <w:szCs w:val="21"/>
                <w:highlight w:val="none"/>
                <w:lang w:val="en-US" w:eastAsia="zh-CN"/>
              </w:rPr>
              <w:t>的20%</w:t>
            </w:r>
            <w:r>
              <w:rPr>
                <w:rFonts w:hint="eastAsia" w:ascii="宋体" w:hAnsi="宋体" w:eastAsia="宋体" w:cs="宋体"/>
                <w:color w:val="auto"/>
                <w:sz w:val="21"/>
                <w:szCs w:val="21"/>
                <w:highlight w:val="none"/>
              </w:rPr>
              <w:t>的违约金。同时，造成甲方的经济损失（包括但不限于重新招标、委托第三方的费用），由乙方承担全部赔偿。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乙方提供的</w:t>
            </w:r>
            <w:r>
              <w:rPr>
                <w:rFonts w:hint="eastAsia" w:ascii="宋体" w:hAnsi="宋体" w:eastAsia="宋体" w:cs="宋体"/>
                <w:bCs/>
                <w:color w:val="auto"/>
                <w:sz w:val="21"/>
                <w:szCs w:val="21"/>
                <w:highlight w:val="none"/>
                <w:lang w:eastAsia="zh-CN"/>
              </w:rPr>
              <w:t>监测报告</w:t>
            </w:r>
            <w:r>
              <w:rPr>
                <w:rFonts w:hint="eastAsia" w:ascii="宋体" w:hAnsi="宋体" w:eastAsia="宋体" w:cs="宋体"/>
                <w:bCs/>
                <w:color w:val="auto"/>
                <w:sz w:val="21"/>
                <w:szCs w:val="21"/>
                <w:highlight w:val="none"/>
              </w:rPr>
              <w:t>、数据成果、文件等质量不合格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返工重新</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w:t>
            </w:r>
            <w:r>
              <w:rPr>
                <w:rFonts w:hint="eastAsia" w:ascii="宋体" w:hAnsi="宋体" w:eastAsia="宋体" w:cs="宋体"/>
                <w:bCs/>
                <w:color w:val="auto"/>
                <w:sz w:val="21"/>
                <w:szCs w:val="21"/>
                <w:highlight w:val="none"/>
                <w:lang w:eastAsia="zh-CN"/>
              </w:rPr>
              <w:t>监测</w:t>
            </w:r>
            <w:r>
              <w:rPr>
                <w:rFonts w:hint="eastAsia" w:ascii="宋体" w:hAnsi="宋体" w:eastAsia="宋体" w:cs="宋体"/>
                <w:bCs/>
                <w:color w:val="auto"/>
                <w:sz w:val="21"/>
                <w:szCs w:val="21"/>
                <w:highlight w:val="none"/>
              </w:rPr>
              <w:t>费用及其他损失。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因乙方提供的</w:t>
            </w:r>
            <w:r>
              <w:rPr>
                <w:rFonts w:hint="eastAsia" w:ascii="宋体" w:hAnsi="宋体" w:eastAsia="宋体" w:cs="宋体"/>
                <w:color w:val="auto"/>
                <w:sz w:val="21"/>
                <w:szCs w:val="21"/>
                <w:highlight w:val="none"/>
                <w:lang w:eastAsia="zh-CN"/>
              </w:rPr>
              <w:t>监测报告</w:t>
            </w:r>
            <w:r>
              <w:rPr>
                <w:rFonts w:hint="eastAsia" w:ascii="宋体" w:hAnsi="宋体" w:eastAsia="宋体" w:cs="宋体"/>
                <w:color w:val="auto"/>
                <w:sz w:val="21"/>
                <w:szCs w:val="21"/>
                <w:highlight w:val="none"/>
              </w:rPr>
              <w:t>、数据成果、文件等质量不合格造成甲方经济损失（包括但不限于</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变更费、增加工程费用等）或工程事故</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乙方应对造成的损失承担赔偿责任（包括但不限于施工单位损失赔偿、第三人侵权赔偿责任等），并根据违约行为向甲方支付违约金壹万元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。如甲方实际损失高于违约金的，甲方有权另行追偿</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4</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乙方未按本合同约定配备必要的办公场所、设备或者服务人员</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甲方有权就违约事宜提出改正，如乙方仍拒不改正的，甲方有权选择解除本合同或服务合同，并没收全部履约担保。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消极怠工或拒不履行合同义务（包括但不限于技术支持、专家会审、解答释疑、事故处理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修</w:t>
            </w:r>
            <w:r>
              <w:rPr>
                <w:rFonts w:hint="eastAsia" w:ascii="宋体" w:hAnsi="宋体" w:eastAsia="宋体" w:cs="宋体"/>
                <w:color w:val="auto"/>
                <w:kern w:val="2"/>
                <w:sz w:val="21"/>
                <w:szCs w:val="21"/>
                <w:highlight w:val="none"/>
                <w:lang w:val="en-US" w:eastAsia="zh-CN"/>
              </w:rPr>
              <w:t>正监</w:t>
            </w:r>
            <w:r>
              <w:rPr>
                <w:rFonts w:hint="eastAsia" w:ascii="宋体" w:hAnsi="宋体" w:eastAsia="宋体" w:cs="宋体"/>
                <w:color w:val="auto"/>
                <w:kern w:val="2"/>
                <w:sz w:val="21"/>
                <w:szCs w:val="21"/>
                <w:highlight w:val="none"/>
              </w:rPr>
              <w:t>测报告</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rPr>
              <w:t>数据成果等），或履行的合同义务不符合要求的。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有权就违约事宜提出改正，要求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若限期内未按照甲方要求进行整改或限期整改后不符合甲方要求</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有权选择解除合同，要求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承担。同时，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有权将情况如实报送至政府相关主管部门。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由于乙方原因未按</w:t>
            </w:r>
            <w:r>
              <w:rPr>
                <w:rFonts w:hint="eastAsia" w:ascii="宋体" w:hAnsi="宋体" w:eastAsia="宋体" w:cs="宋体"/>
                <w:color w:val="auto"/>
                <w:sz w:val="21"/>
                <w:szCs w:val="21"/>
                <w:highlight w:val="none"/>
                <w:lang w:eastAsia="zh-CN"/>
              </w:rPr>
              <w:t>甲方要求</w:t>
            </w:r>
            <w:r>
              <w:rPr>
                <w:rFonts w:hint="eastAsia" w:ascii="宋体" w:hAnsi="宋体" w:eastAsia="宋体" w:cs="宋体"/>
                <w:color w:val="auto"/>
                <w:sz w:val="21"/>
                <w:szCs w:val="21"/>
                <w:highlight w:val="none"/>
              </w:rPr>
              <w:t>时间（日期）提交</w:t>
            </w:r>
            <w:r>
              <w:rPr>
                <w:rFonts w:hint="eastAsia" w:ascii="宋体" w:hAnsi="宋体" w:eastAsia="宋体" w:cs="宋体"/>
                <w:color w:val="auto"/>
                <w:sz w:val="21"/>
                <w:szCs w:val="21"/>
                <w:highlight w:val="none"/>
                <w:lang w:eastAsia="zh-CN"/>
              </w:rPr>
              <w:t>监测方案、测点布设记录、监测报告和监测总结报告</w:t>
            </w:r>
            <w:r>
              <w:rPr>
                <w:rFonts w:hint="eastAsia" w:ascii="宋体" w:hAnsi="宋体" w:eastAsia="宋体" w:cs="宋体"/>
                <w:color w:val="auto"/>
                <w:sz w:val="21"/>
                <w:szCs w:val="21"/>
                <w:highlight w:val="none"/>
              </w:rPr>
              <w:t>的，或未按期履行其他义务的</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每逾期一日，乙方按</w:t>
            </w:r>
            <w:r>
              <w:rPr>
                <w:rFonts w:hint="eastAsia" w:ascii="宋体" w:hAnsi="宋体" w:eastAsia="宋体" w:cs="宋体"/>
                <w:color w:val="auto"/>
                <w:sz w:val="21"/>
                <w:szCs w:val="21"/>
                <w:highlight w:val="none"/>
                <w:lang w:val="en-US" w:eastAsia="zh-CN"/>
              </w:rPr>
              <w:t>贰仟</w:t>
            </w:r>
            <w:r>
              <w:rPr>
                <w:rFonts w:hint="eastAsia" w:ascii="宋体" w:hAnsi="宋体" w:eastAsia="宋体" w:cs="宋体"/>
                <w:color w:val="auto"/>
                <w:sz w:val="21"/>
                <w:szCs w:val="21"/>
                <w:highlight w:val="none"/>
              </w:rPr>
              <w:t>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w:t>
            </w:r>
          </w:p>
        </w:tc>
        <w:tc>
          <w:tcPr>
            <w:tcW w:w="3943" w:type="dxa"/>
            <w:shd w:val="clear" w:color="auto" w:fill="auto"/>
            <w:vAlign w:val="center"/>
          </w:tcPr>
          <w:p>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合同履行期间，乙方未达到的投标时承诺的事项</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c>
          <w:tcPr>
            <w:tcW w:w="5424" w:type="dxa"/>
            <w:shd w:val="clear" w:color="auto" w:fill="auto"/>
            <w:vAlign w:val="center"/>
          </w:tcPr>
          <w:p>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8</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乙方违反约定非法转包、分包</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w:t>
            </w:r>
            <w:r>
              <w:rPr>
                <w:rFonts w:hint="eastAsia" w:ascii="宋体" w:hAnsi="宋体" w:eastAsia="宋体" w:cs="宋体"/>
                <w:color w:val="auto"/>
                <w:sz w:val="21"/>
                <w:szCs w:val="21"/>
                <w:highlight w:val="none"/>
                <w:lang w:eastAsia="zh-CN"/>
              </w:rPr>
              <w:t>壹</w:t>
            </w:r>
            <w:r>
              <w:rPr>
                <w:rFonts w:hint="eastAsia" w:ascii="宋体" w:hAnsi="宋体" w:eastAsia="宋体" w:cs="宋体"/>
                <w:color w:val="auto"/>
                <w:sz w:val="21"/>
                <w:szCs w:val="21"/>
                <w:highlight w:val="none"/>
              </w:rPr>
              <w:t>拾万元整的违约金。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9</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乙方存在如下情形之一的：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（1）提供虚假信息、误导或欺骗建设单位，以谋取非法利益的；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（2）违反诚信信用原则，没有严格执行相关质量、服务，损害建设单位或相关用户单位的利益的；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（3）违反有关法律法规以及本合同的约定，损害甲方利益的；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（4）拒绝接受甲方、建设单位及相关部门监督、检查的；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（5）出现信用危机、财务危机、生产经营危机甚至破产、倒闭，无法继续履行本合同的；</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（6）采用非法手段进行不正当竞争的，构成恶劣影响；</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）违反本合同约定，泄露服务项目内容的。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甲方有权书面通知乙方单方解除本合同，并由乙方承担履约担保等额的违约金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同时有权没收履约担保，给甲方造成损失的，乙方还足额应赔偿甲方</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无故拖欠或克扣工人工资待遇以及其他劳动待遇等</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如有违反的，由乙方全部负责。如对甲方工作造成影响的，根据工人诉求，甲方有权</w:t>
            </w:r>
            <w:r>
              <w:rPr>
                <w:rFonts w:hint="eastAsia" w:ascii="宋体" w:hAnsi="宋体" w:eastAsia="宋体" w:cs="宋体"/>
                <w:color w:val="auto"/>
                <w:sz w:val="21"/>
                <w:szCs w:val="21"/>
                <w:highlight w:val="none"/>
                <w:lang w:eastAsia="zh-CN"/>
              </w:rPr>
              <w:t>通知丙方</w:t>
            </w:r>
            <w:r>
              <w:rPr>
                <w:rFonts w:hint="eastAsia" w:ascii="宋体" w:hAnsi="宋体" w:eastAsia="宋体" w:cs="宋体"/>
                <w:color w:val="auto"/>
                <w:sz w:val="21"/>
                <w:szCs w:val="21"/>
                <w:highlight w:val="none"/>
              </w:rPr>
              <w:t>直接从未付服务费用中直接扣除予以支付，由此导致的法律后果由乙方全部承担。并由乙方承担履约担保等额的违约金。严重者报相关行政主管部门处理，甲方保留终止合同的权利。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受到相关部门的批评，经调查认定情况属实</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12</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甲方有权视不同情况分别给予警告、抵扣履约担保或取消</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未经甲方书面同意，乙方变更项目负责人或技术负责人</w:t>
            </w:r>
            <w:r>
              <w:rPr>
                <w:rFonts w:hint="eastAsia" w:ascii="宋体" w:hAnsi="宋体" w:eastAsia="宋体" w:cs="宋体"/>
                <w:color w:val="auto"/>
                <w:sz w:val="21"/>
                <w:szCs w:val="21"/>
                <w:highlight w:val="none"/>
                <w:lang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甲方有权要求乙方按伍万元/人/次承担违约金。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14</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甲方每季度根据合同附件五《监测单位履约考核评分表》对乙方评价一次，出具考核评价结果。甲方将严格按照考核评分标准对乙方进行季度检查和考核，考评80分以下的。</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15</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424"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16</w:t>
            </w:r>
          </w:p>
        </w:tc>
        <w:tc>
          <w:tcPr>
            <w:tcW w:w="3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5424" w:type="dxa"/>
            <w:shd w:val="clear" w:color="auto" w:fill="auto"/>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开户银行：中国工商银行股份有限公司东莞分行</w:t>
            </w:r>
          </w:p>
        </w:tc>
      </w:tr>
    </w:tbl>
    <w:p>
      <w:pPr>
        <w:spacing w:line="360" w:lineRule="auto"/>
        <w:ind w:firstLine="422"/>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outlineLvl w:val="2"/>
        <w:rPr>
          <w:rFonts w:hint="eastAsia" w:ascii="宋体" w:hAnsi="宋体" w:eastAsia="宋体" w:cs="宋体"/>
          <w:b/>
          <w:bCs/>
          <w:color w:val="auto"/>
          <w:sz w:val="21"/>
          <w:szCs w:val="21"/>
          <w:highlight w:val="none"/>
          <w:lang w:eastAsia="zh-CN"/>
        </w:rPr>
      </w:pPr>
      <w:bookmarkStart w:id="490" w:name="_Toc8270"/>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附则</w:t>
      </w:r>
      <w:bookmarkEnd w:id="490"/>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1.在合同期内，因建设需要或者因甲方管理需要等因素调整监测服务范围时，乙方应遵照执行。由此造成的经济损失，甲方不需承担任何赔偿责任。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责任书》。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3.本合同如有未尽事宜，由甲、乙、丙三方订立补充协议，补充协议与本合同具有同等的法律效力。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4.本合同所列之附件，均与本合同具有同等的法律效力。</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rPr>
        <w:t>招标代理机构各</w:t>
      </w:r>
      <w:r>
        <w:rPr>
          <w:rFonts w:hint="eastAsia" w:ascii="宋体" w:hAnsi="宋体" w:eastAsia="宋体" w:cs="宋体"/>
          <w:color w:val="auto"/>
          <w:kern w:val="2"/>
          <w:sz w:val="21"/>
          <w:szCs w:val="21"/>
          <w:highlight w:val="none"/>
          <w:u w:val="single"/>
        </w:rPr>
        <w:t xml:space="preserve"> 壹 </w:t>
      </w:r>
      <w:r>
        <w:rPr>
          <w:rFonts w:hint="eastAsia" w:ascii="宋体" w:hAnsi="宋体" w:eastAsia="宋体" w:cs="宋体"/>
          <w:color w:val="auto"/>
          <w:kern w:val="2"/>
          <w:sz w:val="21"/>
          <w:szCs w:val="21"/>
          <w:highlight w:val="none"/>
        </w:rPr>
        <w:t>份</w:t>
      </w:r>
      <w:r>
        <w:rPr>
          <w:rFonts w:hint="eastAsia" w:ascii="宋体" w:hAnsi="宋体" w:eastAsia="宋体" w:cs="宋体"/>
          <w:color w:val="auto"/>
          <w:sz w:val="21"/>
          <w:szCs w:val="21"/>
          <w:highlight w:val="none"/>
        </w:rPr>
        <w:t>，均具有同等效力。本合同自三方法定代表人（或负责人）签字并盖章后生效。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及相关招投标文件、中标通知书等作为本合同附件均为合同的有效组成部分，与本合同同具法律效力。合同条款与附件、招标文件、用户需求书、投标文件等其他文件不一致的，以有利于甲方的条款为准。</w:t>
      </w:r>
    </w:p>
    <w:p>
      <w:pPr>
        <w:ind w:firstLine="42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pPr>
        <w:ind w:firstLine="420"/>
        <w:rPr>
          <w:rFonts w:hint="eastAsia" w:ascii="宋体" w:hAnsi="宋体" w:eastAsia="宋体" w:cs="宋体"/>
          <w:color w:val="auto"/>
          <w:sz w:val="21"/>
          <w:szCs w:val="21"/>
          <w:highlight w:val="none"/>
        </w:rPr>
      </w:pPr>
    </w:p>
    <w:tbl>
      <w:tblPr>
        <w:tblStyle w:val="37"/>
        <w:tblW w:w="5000" w:type="pct"/>
        <w:tblInd w:w="0" w:type="dxa"/>
        <w:tblLayout w:type="fixed"/>
        <w:tblCellMar>
          <w:top w:w="0" w:type="dxa"/>
          <w:left w:w="108" w:type="dxa"/>
          <w:bottom w:w="0" w:type="dxa"/>
          <w:right w:w="108" w:type="dxa"/>
        </w:tblCellMar>
      </w:tblPr>
      <w:tblGrid>
        <w:gridCol w:w="5185"/>
        <w:gridCol w:w="5185"/>
      </w:tblGrid>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tblPrEx>
          <w:tblCellMar>
            <w:top w:w="0" w:type="dxa"/>
            <w:left w:w="108" w:type="dxa"/>
            <w:bottom w:w="0" w:type="dxa"/>
            <w:right w:w="108" w:type="dxa"/>
          </w:tblCellMar>
        </w:tblPrEx>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tcPr>
          <w:p>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签订地点：</w:t>
      </w:r>
      <w:r>
        <w:rPr>
          <w:rFonts w:hint="eastAsia" w:ascii="宋体" w:hAnsi="宋体" w:eastAsia="宋体" w:cs="宋体"/>
          <w:color w:val="auto"/>
          <w:kern w:val="2"/>
          <w:sz w:val="21"/>
          <w:szCs w:val="21"/>
          <w:highlight w:val="none"/>
          <w:u w:val="single"/>
        </w:rPr>
        <w:t xml:space="preserve"> 东莞市 </w:t>
      </w:r>
    </w:p>
    <w:p>
      <w:pPr>
        <w:rPr>
          <w:rFonts w:hint="eastAsia" w:ascii="宋体" w:hAnsi="宋体" w:eastAsia="宋体" w:cs="宋体"/>
          <w:color w:val="auto"/>
          <w:sz w:val="21"/>
          <w:szCs w:val="21"/>
          <w:highlight w:val="none"/>
        </w:rPr>
      </w:pP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附件一：《监测工程量清单计价表》</w:t>
      </w:r>
    </w:p>
    <w:p>
      <w:pPr>
        <w:autoSpaceDE/>
        <w:autoSpaceDN/>
        <w:adjustRightInd/>
        <w:spacing w:line="480" w:lineRule="auto"/>
        <w:jc w:val="both"/>
        <w:rPr>
          <w:rFonts w:hint="eastAsia" w:ascii="宋体" w:hAnsi="宋体" w:eastAsia="宋体" w:cs="宋体"/>
          <w:color w:val="auto"/>
          <w:kern w:val="2"/>
          <w:sz w:val="21"/>
          <w:szCs w:val="21"/>
          <w:highlight w:val="none"/>
        </w:rPr>
      </w:pPr>
      <w:bookmarkStart w:id="491" w:name="_Toc351203652"/>
      <w:r>
        <w:rPr>
          <w:rFonts w:hint="eastAsia" w:ascii="宋体" w:hAnsi="宋体" w:eastAsia="宋体" w:cs="宋体"/>
          <w:color w:val="auto"/>
          <w:kern w:val="2"/>
          <w:sz w:val="21"/>
          <w:szCs w:val="21"/>
          <w:highlight w:val="none"/>
        </w:rPr>
        <w:t>附件二：</w:t>
      </w:r>
      <w:bookmarkEnd w:id="491"/>
      <w:r>
        <w:rPr>
          <w:rFonts w:hint="eastAsia" w:ascii="宋体" w:hAnsi="宋体" w:eastAsia="宋体" w:cs="宋体"/>
          <w:color w:val="auto"/>
          <w:kern w:val="2"/>
          <w:sz w:val="21"/>
          <w:szCs w:val="21"/>
          <w:highlight w:val="none"/>
        </w:rPr>
        <w:t>廉洁协议书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附件三：安全生产责任书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附件四：诚信履约承诺书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附件五：监测单位履约考核评分表</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：中标通知书</w:t>
      </w:r>
    </w:p>
    <w:p>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七</w:t>
      </w:r>
      <w:r>
        <w:rPr>
          <w:rFonts w:hint="eastAsia" w:ascii="宋体" w:hAnsi="宋体" w:eastAsia="宋体" w:cs="宋体"/>
          <w:color w:val="auto"/>
          <w:kern w:val="2"/>
          <w:sz w:val="21"/>
          <w:szCs w:val="21"/>
          <w:highlight w:val="none"/>
        </w:rPr>
        <w:t>：用户需求书</w:t>
      </w:r>
    </w:p>
    <w:p>
      <w:pPr>
        <w:pStyle w:val="18"/>
        <w:rPr>
          <w:rFonts w:hint="eastAsia" w:ascii="宋体" w:hAnsi="宋体" w:eastAsia="宋体" w:cs="宋体"/>
          <w:color w:val="auto"/>
          <w:szCs w:val="21"/>
          <w:highlight w:val="none"/>
        </w:rPr>
      </w:pPr>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2" w:name="_Toc2616"/>
      <w:r>
        <w:rPr>
          <w:rFonts w:hint="eastAsia" w:ascii="宋体" w:hAnsi="宋体" w:eastAsia="宋体" w:cs="宋体"/>
          <w:b/>
          <w:color w:val="auto"/>
          <w:highlight w:val="none"/>
        </w:rPr>
        <w:t>附件一：</w:t>
      </w:r>
      <w:r>
        <w:rPr>
          <w:rFonts w:hint="eastAsia" w:ascii="宋体" w:hAnsi="宋体" w:eastAsia="宋体" w:cs="宋体"/>
          <w:b/>
          <w:color w:val="auto"/>
          <w:kern w:val="2"/>
          <w:sz w:val="21"/>
          <w:highlight w:val="none"/>
        </w:rPr>
        <w:t>《监测工程量清单计价表》</w:t>
      </w:r>
      <w:bookmarkEnd w:id="492"/>
    </w:p>
    <w:p>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3" w:name="_Toc14756"/>
      <w:r>
        <w:rPr>
          <w:rFonts w:hint="eastAsia" w:ascii="宋体" w:hAnsi="宋体" w:eastAsia="宋体" w:cs="宋体"/>
          <w:b/>
          <w:color w:val="auto"/>
          <w:highlight w:val="none"/>
        </w:rPr>
        <w:t>附件二：廉洁协议书</w:t>
      </w:r>
      <w:bookmarkEnd w:id="493"/>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廉洁协议书</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东莞市供水设施更新改造项目-松山湖新城路给水管网改造工程第三方监测服务采购项目（重新招标）</w:t>
      </w:r>
    </w:p>
    <w:p>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0832-SFCX24DG197C-1</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监测人（乙方）：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pPr>
        <w:spacing w:line="360" w:lineRule="auto"/>
        <w:ind w:firstLine="420" w:firstLineChars="200"/>
        <w:contextualSpacing/>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napToGrid w:val="0"/>
        <w:spacing w:line="360" w:lineRule="auto"/>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napToGrid w:val="0"/>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spacing w:line="360" w:lineRule="auto"/>
        <w:rPr>
          <w:rFonts w:hint="eastAsia" w:ascii="宋体" w:hAnsi="宋体" w:eastAsia="宋体" w:cs="宋体"/>
          <w:color w:val="auto"/>
          <w:highlight w:val="none"/>
        </w:rPr>
      </w:pPr>
    </w:p>
    <w:p>
      <w:pPr>
        <w:pStyle w:val="18"/>
        <w:jc w:val="left"/>
        <w:rPr>
          <w:rFonts w:hint="eastAsia" w:ascii="宋体" w:hAnsi="宋体" w:eastAsia="宋体" w:cs="宋体"/>
          <w:bCs w:val="0"/>
          <w:color w:val="auto"/>
          <w:sz w:val="24"/>
          <w:highlight w:val="none"/>
        </w:rPr>
      </w:pP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r>
        <w:rPr>
          <w:rFonts w:hint="eastAsia" w:ascii="宋体" w:hAnsi="宋体" w:eastAsia="宋体" w:cs="宋体"/>
          <w:color w:val="auto"/>
          <w:highlight w:val="none"/>
        </w:rPr>
        <w:br w:type="page"/>
      </w:r>
      <w:bookmarkStart w:id="494" w:name="_Toc9044"/>
      <w:r>
        <w:rPr>
          <w:rFonts w:hint="eastAsia" w:ascii="宋体" w:hAnsi="宋体" w:eastAsia="宋体" w:cs="宋体"/>
          <w:b/>
          <w:color w:val="auto"/>
          <w:highlight w:val="none"/>
        </w:rPr>
        <w:t>附件三：安全生产责任书</w:t>
      </w:r>
      <w:bookmarkEnd w:id="494"/>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安全生产责任书</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pPr>
        <w:numPr>
          <w:ilvl w:val="0"/>
          <w:numId w:val="3"/>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pPr>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spacing w:line="360" w:lineRule="auto"/>
        <w:ind w:right="-26"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pPr>
        <w:spacing w:line="360" w:lineRule="auto"/>
        <w:ind w:firstLine="420"/>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pPr>
        <w:spacing w:line="360" w:lineRule="auto"/>
        <w:rPr>
          <w:rFonts w:hint="eastAsia" w:ascii="宋体" w:hAnsi="宋体" w:eastAsia="宋体" w:cs="宋体"/>
          <w:b/>
          <w:color w:val="auto"/>
          <w:sz w:val="21"/>
          <w:szCs w:val="21"/>
          <w:highlight w:val="none"/>
        </w:rPr>
      </w:pP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pPr>
        <w:spacing w:line="360" w:lineRule="auto"/>
        <w:rPr>
          <w:rFonts w:hint="eastAsia" w:ascii="宋体" w:hAnsi="宋体" w:eastAsia="宋体" w:cs="宋体"/>
          <w:color w:val="auto"/>
          <w:sz w:val="21"/>
          <w:szCs w:val="21"/>
          <w:highlight w:val="none"/>
        </w:rPr>
      </w:pPr>
    </w:p>
    <w:p>
      <w:pPr>
        <w:spacing w:line="360" w:lineRule="auto"/>
        <w:ind w:right="-26"/>
        <w:rPr>
          <w:rFonts w:hint="eastAsia" w:ascii="宋体" w:hAnsi="宋体" w:eastAsia="宋体" w:cs="宋体"/>
          <w:b/>
          <w:bCs/>
          <w:color w:val="auto"/>
          <w:sz w:val="21"/>
          <w:szCs w:val="21"/>
          <w:highlight w:val="none"/>
          <w:lang w:val="zh-CN"/>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pPr>
        <w:widowControl/>
        <w:autoSpaceDE/>
        <w:autoSpaceDN/>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highlight w:val="none"/>
        </w:rPr>
      </w:pPr>
      <w:bookmarkStart w:id="495" w:name="_Toc22"/>
      <w:r>
        <w:rPr>
          <w:rFonts w:hint="eastAsia" w:ascii="宋体" w:hAnsi="宋体" w:eastAsia="宋体" w:cs="宋体"/>
          <w:b/>
          <w:color w:val="auto"/>
          <w:highlight w:val="none"/>
        </w:rPr>
        <w:t>附件四：诚信履约承诺书</w:t>
      </w:r>
      <w:bookmarkEnd w:id="495"/>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诚信履约承诺书</w:t>
      </w:r>
    </w:p>
    <w:p>
      <w:pPr>
        <w:rPr>
          <w:rFonts w:hint="eastAsia" w:ascii="宋体" w:hAnsi="宋体" w:eastAsia="宋体" w:cs="宋体"/>
          <w:color w:val="auto"/>
          <w:highlight w:val="none"/>
        </w:rPr>
      </w:pPr>
    </w:p>
    <w:p>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我司根据《XXXXXXX合同》相关条款全力配合贵公司工作，并自愿做出如下承诺：</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pPr>
        <w:pStyle w:val="18"/>
        <w:rPr>
          <w:rFonts w:hint="eastAsia" w:ascii="宋体" w:hAnsi="宋体" w:eastAsia="宋体" w:cs="宋体"/>
          <w:color w:val="auto"/>
          <w:sz w:val="21"/>
          <w:szCs w:val="21"/>
          <w:highlight w:val="none"/>
          <w:lang w:val="en-US"/>
        </w:rPr>
      </w:pP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代表人（或授权代理人）签名（或盖私章）：</w:t>
      </w:r>
    </w:p>
    <w:p>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widowControl w:val="0"/>
        <w:tabs>
          <w:tab w:val="left" w:pos="0"/>
          <w:tab w:val="left" w:pos="405"/>
          <w:tab w:val="left" w:pos="567"/>
          <w:tab w:val="left" w:pos="601"/>
          <w:tab w:val="left" w:pos="1980"/>
        </w:tabs>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highlight w:val="none"/>
        </w:rPr>
      </w:pPr>
      <w:bookmarkStart w:id="496" w:name="_Toc22346"/>
      <w:r>
        <w:rPr>
          <w:rFonts w:hint="eastAsia" w:ascii="宋体" w:hAnsi="宋体" w:eastAsia="宋体" w:cs="宋体"/>
          <w:b/>
          <w:color w:val="auto"/>
          <w:highlight w:val="none"/>
        </w:rPr>
        <w:t>附件五 监测单位履约考核评分表</w:t>
      </w:r>
      <w:bookmarkEnd w:id="496"/>
    </w:p>
    <w:p>
      <w:pPr>
        <w:spacing w:line="360" w:lineRule="auto"/>
        <w:rPr>
          <w:rFonts w:hint="eastAsia" w:ascii="宋体" w:hAnsi="宋体" w:eastAsia="宋体" w:cs="宋体"/>
          <w:color w:val="auto"/>
          <w:highlight w:val="none"/>
        </w:rPr>
      </w:pPr>
    </w:p>
    <w:p>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监测单位履约考核评分表</w:t>
      </w:r>
    </w:p>
    <w:tbl>
      <w:tblPr>
        <w:tblStyle w:val="37"/>
        <w:tblW w:w="5379"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962"/>
        <w:gridCol w:w="4641"/>
        <w:gridCol w:w="569"/>
        <w:gridCol w:w="982"/>
        <w:gridCol w:w="714"/>
        <w:gridCol w:w="117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37"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监测人名称</w:t>
            </w:r>
          </w:p>
        </w:tc>
        <w:tc>
          <w:tcPr>
            <w:tcW w:w="5210"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98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3027" w:type="dxa"/>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906" w:type="dxa"/>
            <w:gridSpan w:val="4"/>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3、未派人员参加业主要求的相关会议，每次扣5分。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1、未按我公司要求配齐相应监测人员的，每人每次扣5分；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3、监测人员能力无法满足实际需要，且经我公司要求更换而未更换的，每人每次扣5分；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6、开展监测的设备未在检定有效期内，每台设备每次扣5分。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1、实际监测协作服务未达用户需求书、合同文件要求，且经我公司要求后未配合整改至符合要求的，每处每次扣5分；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2、监测记录、数据与实际不相符的，每次扣5分；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3、监测资料管理混乱、台账不及时更新、资料不及时签字或盖章不全的，每次扣5分；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4、监测报告的准确率，如出现报告的工程部位、工程名称、数据等错误的，每份报告扣5分；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5、监测结果不合格未及时反馈或通报的，每次扣10分。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1、没有在规定时间内完成监测协作服务工作的，每处每次扣5分；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2、没有按照合同规定时间内出具监测报告的，每份报告扣5分。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96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906" w:type="dxa"/>
            <w:gridSpan w:val="4"/>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对监测协作服务单位日常工作的服务态度，以及甲方、上级主管部门、建设单位检查中配合情况、服务投诉情况进行评价。每收到投诉一次扣5分。</w:t>
            </w:r>
          </w:p>
        </w:tc>
        <w:tc>
          <w:tcPr>
            <w:tcW w:w="117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142" w:type="dxa"/>
            <w:vAlign w:val="bottom"/>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843" w:type="dxa"/>
            <w:gridSpan w:val="6"/>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313"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6" w:type="dxa"/>
            <w:gridSpan w:val="8"/>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bookmarkStart w:id="497" w:name="_Hlk139741337"/>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每季度对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评价一次，出具考核评价结果。</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将严格按照考核评分标准对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进行季度检查和考核。</w:t>
            </w:r>
          </w:p>
          <w:p>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3、考评[70,80)分的，处相应付款周期内经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确认的监测费的10%作为违约金，考评[60,70)分的，处相应付款周期经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确认的监测费的20%作为违约金，考评60分以下的，处相应付款周期经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确认的监测的30%作为违约金。上述“[”代表闭区间，“)”代表开区间，如[70,80)代表该分数段范围为大于等于70且小于80。达到相应付款周期时,如</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未申请支付本期费用,</w:t>
            </w:r>
            <w:r>
              <w:rPr>
                <w:rFonts w:hint="eastAsia" w:ascii="宋体" w:hAnsi="宋体" w:eastAsia="宋体" w:cs="宋体"/>
                <w:b/>
                <w:bCs/>
                <w:color w:val="auto"/>
                <w:sz w:val="21"/>
                <w:szCs w:val="21"/>
                <w:highlight w:val="none"/>
              </w:rPr>
              <w:t xml:space="preserve"> 委托人</w:t>
            </w:r>
            <w:r>
              <w:rPr>
                <w:rFonts w:hint="eastAsia" w:ascii="宋体" w:hAnsi="宋体" w:eastAsia="宋体" w:cs="宋体"/>
                <w:color w:val="auto"/>
                <w:sz w:val="21"/>
                <w:szCs w:val="21"/>
                <w:highlight w:val="none"/>
              </w:rPr>
              <w:t>根据支付条件暂定本周期监测费并计算本周期内应缴纳的暂定违约金，</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应予以缴纳。下一周期仍未申请时按上述做法执行，待到</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申请支付费用时，根据合同付款流程确认监测费，同步对以往暂定违约金在本次一并确认并予以结算。</w:t>
            </w:r>
            <w:bookmarkEnd w:id="4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37"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64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1551" w:type="dxa"/>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3027" w:type="dxa"/>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98" w:name="_Toc13867"/>
      <w:bookmarkStart w:id="499" w:name="_Toc24427_WPSOffice_Level1"/>
      <w:bookmarkStart w:id="500" w:name="_Toc512353083"/>
      <w:bookmarkStart w:id="501" w:name="_Toc25564"/>
      <w:bookmarkStart w:id="502" w:name="_Toc142508360"/>
      <w:bookmarkStart w:id="503" w:name="_Toc447045090"/>
      <w:bookmarkStart w:id="504" w:name="_Toc6257"/>
      <w:bookmarkStart w:id="505" w:name="_Toc447044479"/>
      <w:bookmarkStart w:id="506" w:name="_Toc23576"/>
      <w:bookmarkStart w:id="507" w:name="_Toc447044603"/>
      <w:bookmarkStart w:id="508" w:name="_Toc3002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98"/>
      <w:bookmarkEnd w:id="499"/>
      <w:bookmarkEnd w:id="500"/>
      <w:bookmarkEnd w:id="501"/>
      <w:bookmarkEnd w:id="502"/>
      <w:bookmarkEnd w:id="503"/>
      <w:bookmarkEnd w:id="504"/>
      <w:bookmarkEnd w:id="505"/>
      <w:bookmarkEnd w:id="506"/>
      <w:bookmarkEnd w:id="507"/>
      <w:bookmarkEnd w:id="508"/>
      <w:bookmarkStart w:id="509" w:name="_Toc447045091"/>
      <w:bookmarkStart w:id="510" w:name="_Toc447044604"/>
      <w:bookmarkStart w:id="511" w:name="_Toc447044480"/>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12" w:name="_Toc26521_WPSOffice_Level2"/>
      <w:r>
        <w:rPr>
          <w:rFonts w:hint="eastAsia" w:ascii="宋体" w:hAnsi="宋体" w:eastAsia="宋体" w:cs="Times New Roman"/>
          <w:b/>
          <w:color w:val="auto"/>
          <w:kern w:val="0"/>
          <w:sz w:val="28"/>
          <w:szCs w:val="28"/>
          <w:highlight w:val="none"/>
        </w:rPr>
        <w:t>一、不可撤销银行履约保函格式</w:t>
      </w:r>
      <w:bookmarkEnd w:id="509"/>
      <w:bookmarkEnd w:id="510"/>
      <w:bookmarkEnd w:id="511"/>
      <w:bookmarkEnd w:id="512"/>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13" w:name="_Toc450662895"/>
      <w:bookmarkStart w:id="514" w:name="_Toc142508361"/>
      <w:bookmarkStart w:id="515" w:name="_Toc15817"/>
      <w:bookmarkStart w:id="516" w:name="_Toc32761_WPSOffice_Level1"/>
      <w:bookmarkStart w:id="517" w:name="_Toc4903"/>
      <w:bookmarkStart w:id="518" w:name="_Toc486167708"/>
      <w:bookmarkStart w:id="519" w:name="_Toc9840"/>
      <w:bookmarkStart w:id="520" w:name="_Toc14958"/>
      <w:bookmarkStart w:id="521" w:name="_Toc30933"/>
      <w:r>
        <w:rPr>
          <w:rFonts w:hint="eastAsia" w:ascii="宋体" w:hAnsi="宋体" w:eastAsia="宋体" w:cs="宋体"/>
          <w:b/>
          <w:bCs/>
          <w:color w:val="auto"/>
          <w:kern w:val="44"/>
          <w:sz w:val="32"/>
          <w:szCs w:val="32"/>
          <w:highlight w:val="none"/>
          <w:lang w:val="zh-CN"/>
        </w:rPr>
        <w:t>第六篇 投标文件格式</w:t>
      </w:r>
      <w:bookmarkEnd w:id="513"/>
      <w:bookmarkEnd w:id="514"/>
      <w:bookmarkEnd w:id="515"/>
      <w:bookmarkEnd w:id="516"/>
      <w:bookmarkEnd w:id="517"/>
      <w:bookmarkEnd w:id="518"/>
      <w:bookmarkEnd w:id="519"/>
      <w:bookmarkEnd w:id="520"/>
      <w:bookmarkEnd w:id="521"/>
    </w:p>
    <w:p>
      <w:pPr>
        <w:rPr>
          <w:rFonts w:hint="eastAsia" w:ascii="宋体" w:hAnsi="宋体" w:eastAsia="宋体" w:cs="宋体"/>
          <w:color w:val="auto"/>
          <w:sz w:val="84"/>
          <w:highlight w:val="none"/>
        </w:rPr>
      </w:pPr>
      <w:bookmarkStart w:id="522" w:name="_Toc94107202"/>
      <w:bookmarkStart w:id="523" w:name="_Toc142508362"/>
      <w:bookmarkStart w:id="524" w:name="_Toc104991868"/>
      <w:bookmarkStart w:id="525" w:name="_Toc21133_WPSOffice_Level2"/>
      <w:bookmarkStart w:id="526" w:name="_Toc102860067"/>
      <w:bookmarkStart w:id="527" w:name="_Toc102860411"/>
      <w:bookmarkStart w:id="528" w:name="_Toc533708121"/>
      <w:bookmarkStart w:id="529" w:name="_Toc1977721"/>
      <w:bookmarkStart w:id="530" w:name="_Toc486167709"/>
      <w:bookmarkStart w:id="531" w:name="_Toc140596921"/>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57"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2029"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32" w:name="_Toc28982"/>
      <w:bookmarkStart w:id="533" w:name="_Toc27679"/>
      <w:bookmarkStart w:id="534" w:name="_Toc23782"/>
      <w:bookmarkStart w:id="535" w:name="_Toc24723"/>
      <w:bookmarkStart w:id="536" w:name="_Toc31327"/>
      <w:bookmarkStart w:id="537" w:name="_Toc13281"/>
      <w:r>
        <w:rPr>
          <w:rFonts w:hint="eastAsia" w:ascii="宋体" w:hAnsi="宋体" w:eastAsia="宋体" w:cs="宋体"/>
          <w:b/>
          <w:color w:val="auto"/>
          <w:kern w:val="0"/>
          <w:sz w:val="32"/>
          <w:szCs w:val="32"/>
          <w:highlight w:val="none"/>
        </w:rPr>
        <w:t>一、投标函格式</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38" w:name="_Toc16695_WPSOffice_Level3"/>
      <w:r>
        <w:rPr>
          <w:rFonts w:hint="eastAsia" w:ascii="宋体" w:hAnsi="宋体" w:eastAsia="宋体" w:cs="宋体"/>
          <w:b/>
          <w:bCs/>
          <w:color w:val="auto"/>
          <w:sz w:val="30"/>
          <w:szCs w:val="30"/>
          <w:highlight w:val="none"/>
          <w:lang w:val="zh-CN"/>
        </w:rPr>
        <w:t>投 标 函</w:t>
      </w:r>
      <w:bookmarkEnd w:id="538"/>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default"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default" w:ascii="宋体" w:hAnsi="宋体" w:eastAsia="宋体" w:cs="宋体"/>
          <w:color w:val="auto"/>
          <w:kern w:val="0"/>
          <w:szCs w:val="21"/>
          <w:highlight w:val="none"/>
          <w:u w:val="single"/>
          <w:lang w:eastAsia="zh-CN"/>
        </w:rPr>
        <w:t>东莞市水务集团建设管理有限公司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0832-SFCX24DG197C-1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0832-SFCX24DG197C-1</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39" w:name="_Toc94107203"/>
      <w:bookmarkStart w:id="540" w:name="_Toc486167710"/>
      <w:bookmarkStart w:id="541" w:name="_Toc28613_WPSOffice_Level2"/>
      <w:bookmarkStart w:id="542" w:name="_Toc10535"/>
      <w:bookmarkStart w:id="543" w:name="_Toc102860412"/>
      <w:bookmarkStart w:id="544" w:name="_Toc104991869"/>
      <w:bookmarkStart w:id="545" w:name="_Toc25589"/>
      <w:bookmarkStart w:id="546" w:name="_Toc4711"/>
      <w:bookmarkStart w:id="547" w:name="_Toc140596922"/>
      <w:bookmarkStart w:id="548" w:name="_Toc533708122"/>
      <w:bookmarkStart w:id="549" w:name="_Toc12417"/>
      <w:bookmarkStart w:id="550" w:name="_Toc3104"/>
      <w:bookmarkStart w:id="551" w:name="_Toc102860068"/>
      <w:bookmarkStart w:id="552" w:name="_Toc30995"/>
      <w:bookmarkStart w:id="553" w:name="_Toc142508363"/>
      <w:bookmarkStart w:id="554" w:name="_Toc1977722"/>
      <w:r>
        <w:rPr>
          <w:rFonts w:hint="eastAsia" w:ascii="宋体" w:hAnsi="宋体" w:eastAsia="宋体" w:cs="宋体"/>
          <w:b/>
          <w:color w:val="auto"/>
          <w:kern w:val="0"/>
          <w:sz w:val="32"/>
          <w:szCs w:val="32"/>
          <w:highlight w:val="none"/>
        </w:rPr>
        <w:t>二、投标承诺书格式</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0832-SFCX24DG197C-1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555" w:name="_Toc326768876"/>
      <w:bookmarkStart w:id="556" w:name="_Toc316896755"/>
      <w:bookmarkStart w:id="557" w:name="_Toc311032584"/>
    </w:p>
    <w:p>
      <w:pPr>
        <w:ind w:left="0" w:leftChars="0" w:firstLine="7684" w:firstLineChars="2400"/>
        <w:jc w:val="left"/>
        <w:rPr>
          <w:rFonts w:hint="eastAsia" w:ascii="宋体" w:hAnsi="宋体" w:cs="宋体"/>
          <w:b/>
          <w:bCs/>
          <w:color w:val="auto"/>
          <w:kern w:val="2"/>
          <w:sz w:val="32"/>
          <w:szCs w:val="32"/>
          <w:highlight w:val="none"/>
        </w:rPr>
      </w:pPr>
      <w:bookmarkStart w:id="558" w:name="_Toc29910"/>
      <w:bookmarkStart w:id="559" w:name="_Toc104991870"/>
      <w:bookmarkStart w:id="560" w:name="_Toc94107204"/>
      <w:bookmarkStart w:id="561" w:name="_Toc5075"/>
      <w:bookmarkStart w:id="562" w:name="_Toc140596923"/>
      <w:bookmarkStart w:id="563" w:name="_Toc24336"/>
      <w:bookmarkStart w:id="564" w:name="_Toc82182546"/>
      <w:bookmarkStart w:id="565" w:name="_Toc102860069"/>
      <w:bookmarkStart w:id="566" w:name="_Toc102860413"/>
      <w:bookmarkStart w:id="567" w:name="_Toc86764083"/>
      <w:bookmarkStart w:id="568" w:name="_Toc142508364"/>
      <w:bookmarkStart w:id="569" w:name="_Toc533708123"/>
      <w:bookmarkStart w:id="570" w:name="_Toc7024_WPSOffice_Level2"/>
      <w:bookmarkStart w:id="571" w:name="_Toc1977723"/>
      <w:bookmarkStart w:id="572" w:name="_Toc486167711"/>
      <w:r>
        <w:rPr>
          <w:rFonts w:hint="eastAsia" w:ascii="宋体" w:hAnsi="宋体" w:cs="宋体"/>
          <w:b/>
          <w:bCs/>
          <w:color w:val="auto"/>
          <w:kern w:val="2"/>
          <w:sz w:val="32"/>
          <w:szCs w:val="32"/>
          <w:highlight w:val="none"/>
        </w:rPr>
        <w:br w:type="page"/>
      </w:r>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73" w:name="_Toc24483"/>
      <w:bookmarkStart w:id="574" w:name="_Toc19177"/>
      <w:bookmarkStart w:id="575" w:name="_Toc5389"/>
      <w:r>
        <w:rPr>
          <w:rFonts w:hint="eastAsia" w:ascii="宋体" w:hAnsi="宋体" w:eastAsia="宋体" w:cs="宋体"/>
          <w:b/>
          <w:color w:val="auto"/>
          <w:kern w:val="44"/>
          <w:sz w:val="32"/>
          <w:szCs w:val="32"/>
          <w:highlight w:val="none"/>
          <w:lang w:eastAsia="zh-CN"/>
        </w:rPr>
        <w:t>三</w:t>
      </w:r>
      <w:r>
        <w:rPr>
          <w:rFonts w:hint="eastAsia" w:ascii="宋体" w:hAnsi="宋体" w:eastAsia="宋体" w:cs="宋体"/>
          <w:b/>
          <w:color w:val="auto"/>
          <w:kern w:val="44"/>
          <w:sz w:val="32"/>
          <w:szCs w:val="32"/>
          <w:highlight w:val="none"/>
        </w:rPr>
        <w:t>、供货及/或提供服务过程承诺函格式</w:t>
      </w:r>
      <w:bookmarkEnd w:id="558"/>
      <w:bookmarkEnd w:id="559"/>
      <w:bookmarkEnd w:id="560"/>
      <w:bookmarkEnd w:id="561"/>
      <w:bookmarkEnd w:id="562"/>
      <w:bookmarkEnd w:id="563"/>
      <w:bookmarkEnd w:id="564"/>
      <w:bookmarkEnd w:id="565"/>
      <w:bookmarkEnd w:id="566"/>
      <w:bookmarkEnd w:id="567"/>
      <w:bookmarkEnd w:id="568"/>
      <w:bookmarkEnd w:id="573"/>
      <w:bookmarkEnd w:id="574"/>
      <w:bookmarkEnd w:id="575"/>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东莞市供水设施更新改造项目-松山湖新城路给水管网改造工程第三方监测服务采购项目（重新招标）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0832-SFCX24DG197C-1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spacing w:beforeLines="0" w:afterLines="0" w:line="360" w:lineRule="auto"/>
        <w:ind w:firstLine="6239" w:firstLineChars="2971"/>
        <w:rPr>
          <w:rFonts w:ascii="宋体" w:hAnsi="宋体" w:eastAsia="宋体" w:cs="宋体"/>
          <w:color w:val="auto"/>
          <w:sz w:val="21"/>
          <w:szCs w:val="21"/>
          <w:highlight w:val="none"/>
          <w:lang w:val="zh-CN"/>
        </w:rPr>
      </w:pPr>
      <w:bookmarkStart w:id="576" w:name="_Toc94107205"/>
      <w:bookmarkStart w:id="577" w:name="_Toc82182547"/>
      <w:bookmarkStart w:id="578" w:name="_Toc86764084"/>
      <w:bookmarkStart w:id="579" w:name="_Toc102860070"/>
      <w:bookmarkStart w:id="580" w:name="_Toc102860414"/>
      <w:bookmarkStart w:id="581" w:name="_Toc140596924"/>
      <w:bookmarkStart w:id="582" w:name="_Toc104991871"/>
      <w:bookmarkStart w:id="583" w:name="_Toc18346"/>
      <w:bookmarkStart w:id="584" w:name="_Toc102860071"/>
      <w:bookmarkStart w:id="585" w:name="_Toc29274"/>
      <w:bookmarkStart w:id="586" w:name="_Toc142508366"/>
      <w:bookmarkStart w:id="587" w:name="_Toc17090"/>
      <w:bookmarkStart w:id="588" w:name="_Toc140596925"/>
      <w:bookmarkStart w:id="589" w:name="_Toc102860415"/>
      <w:bookmarkStart w:id="590" w:name="_Toc1140"/>
      <w:bookmarkStart w:id="591" w:name="_Toc104991872"/>
      <w:bookmarkStart w:id="592" w:name="_Toc94107206"/>
      <w:bookmarkStart w:id="593" w:name="_Toc13416"/>
      <w:bookmarkStart w:id="594" w:name="_Toc8847"/>
      <w:r>
        <w:rPr>
          <w:rFonts w:hint="eastAsia" w:ascii="宋体" w:hAnsi="宋体" w:eastAsia="宋体" w:cs="宋体"/>
          <w:color w:val="auto"/>
          <w:sz w:val="21"/>
          <w:szCs w:val="21"/>
          <w:highlight w:val="none"/>
          <w:lang w:val="zh-CN"/>
        </w:rPr>
        <w:t>或盖私章）：</w:t>
      </w:r>
    </w:p>
    <w:p>
      <w:pPr>
        <w:spacing w:beforeLines="0" w:afterLines="0" w:line="360" w:lineRule="auto"/>
        <w:ind w:right="0" w:firstLine="6239" w:firstLineChars="2971"/>
        <w:rPr>
          <w:rFonts w:hint="eastAsia" w:hAnsi="宋体" w:cs="宋体"/>
          <w:b/>
          <w:color w:val="auto"/>
          <w:sz w:val="21"/>
          <w:szCs w:val="21"/>
          <w:highlight w:val="none"/>
        </w:rPr>
      </w:pPr>
      <w:r>
        <w:rPr>
          <w:rFonts w:hint="eastAsia" w:ascii="宋体" w:hAnsi="宋体" w:eastAsia="宋体" w:cs="宋体"/>
          <w:color w:val="auto"/>
          <w:sz w:val="21"/>
          <w:szCs w:val="21"/>
          <w:highlight w:val="none"/>
          <w:lang w:val="zh-CN"/>
        </w:rPr>
        <w:t>日期：   年   月   日</w:t>
      </w:r>
      <w:bookmarkEnd w:id="576"/>
      <w:bookmarkEnd w:id="577"/>
      <w:bookmarkEnd w:id="578"/>
      <w:bookmarkEnd w:id="579"/>
      <w:bookmarkEnd w:id="580"/>
      <w:bookmarkEnd w:id="581"/>
      <w:bookmarkEnd w:id="582"/>
    </w:p>
    <w:p>
      <w:pPr>
        <w:pageBreakBefore w:val="0"/>
        <w:autoSpaceDE/>
        <w:autoSpaceDN/>
        <w:adjustRightInd/>
        <w:spacing w:line="240" w:lineRule="auto"/>
        <w:jc w:val="left"/>
        <w:outlineLvl w:val="9"/>
        <w:rPr>
          <w:rFonts w:hint="default" w:asciiTheme="minorHAnsi" w:hAnsiTheme="minorHAnsi" w:eastAsiaTheme="minorEastAsia" w:cstheme="minorBidi"/>
          <w:b w:val="0"/>
          <w:color w:val="auto"/>
          <w:kern w:val="2"/>
          <w:sz w:val="21"/>
          <w:szCs w:val="22"/>
          <w:highlight w:val="none"/>
          <w:lang w:val="en-US" w:eastAsia="zh-CN"/>
        </w:rPr>
      </w:pP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69"/>
      <w:bookmarkEnd w:id="570"/>
      <w:bookmarkEnd w:id="571"/>
      <w:bookmarkEnd w:id="572"/>
      <w:bookmarkEnd w:id="583"/>
      <w:bookmarkEnd w:id="584"/>
      <w:bookmarkEnd w:id="585"/>
      <w:bookmarkEnd w:id="586"/>
      <w:bookmarkEnd w:id="587"/>
      <w:bookmarkEnd w:id="588"/>
      <w:bookmarkEnd w:id="589"/>
      <w:bookmarkEnd w:id="590"/>
      <w:bookmarkEnd w:id="591"/>
      <w:bookmarkEnd w:id="592"/>
      <w:bookmarkEnd w:id="593"/>
      <w:bookmarkEnd w:id="594"/>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东莞市供水设施更新改造项目-松山湖新城路给水管网改造工程第三方监测服务采购项目（重新招标）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0832-SFCX24DG197C-1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监测服务系数</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东莞市供水设施更新改造项目-松山湖新城路给水管网改造工程第三方监测服务采购项目（重新招标）</w:t>
            </w:r>
          </w:p>
        </w:tc>
        <w:tc>
          <w:tcPr>
            <w:tcW w:w="3273" w:type="dxa"/>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single"/>
                <w:lang w:val="en-US" w:eastAsia="zh-CN"/>
              </w:rPr>
              <w:t xml:space="preserve">                     </w:t>
            </w:r>
          </w:p>
          <w:p>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[监测服务系数报价不得超过0.80，且不能为0.00或负数]</w:t>
            </w:r>
          </w:p>
        </w:tc>
        <w:tc>
          <w:tcPr>
            <w:tcW w:w="1332" w:type="dxa"/>
            <w:tcBorders>
              <w:top w:val="single" w:color="auto" w:sz="4" w:space="0"/>
              <w:left w:val="single" w:color="auto" w:sz="4" w:space="0"/>
              <w:right w:val="single" w:color="auto" w:sz="4" w:space="0"/>
            </w:tcBorders>
            <w:vAlign w:val="center"/>
          </w:tcPr>
          <w:p>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zh-CN"/>
        </w:rPr>
        <w:t>本项目的投标报价采用</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w:t>
      </w:r>
      <w:r>
        <w:rPr>
          <w:rFonts w:hint="eastAsia" w:ascii="宋体" w:hAnsi="宋体" w:eastAsia="宋体" w:cs="Times New Roman"/>
          <w:color w:val="auto"/>
          <w:kern w:val="0"/>
          <w:szCs w:val="21"/>
          <w:highlight w:val="none"/>
        </w:rPr>
        <w:t>数</w:t>
      </w:r>
      <w:r>
        <w:rPr>
          <w:rFonts w:hint="eastAsia" w:ascii="宋体" w:hAnsi="宋体" w:eastAsia="宋体" w:cs="Times New Roman"/>
          <w:color w:val="auto"/>
          <w:kern w:val="0"/>
          <w:szCs w:val="21"/>
          <w:highlight w:val="none"/>
          <w:lang w:val="zh-CN"/>
        </w:rPr>
        <w:t>报价，投标人须报出监测</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数。合同服务期内，监测服务系数的不含税综合单价按以下方式计算：不含税综合单价=不含税综合单价×中标服务系数，以实际发生的工程量进行结算，但最终结算价不得超出暂定总合同价款（含税）。不含税综合单价出现小数点，保留小数点后2位，从小数点后第3位四舍五入。</w:t>
      </w:r>
      <w:r>
        <w:rPr>
          <w:rFonts w:hint="eastAsia" w:ascii="宋体" w:hAnsi="宋体" w:eastAsia="宋体" w:cs="Times New Roman"/>
          <w:color w:val="auto"/>
          <w:kern w:val="0"/>
          <w:szCs w:val="21"/>
          <w:highlight w:val="none"/>
        </w:rPr>
        <w:t>本招标文件所称的不含税</w:t>
      </w:r>
      <w:r>
        <w:rPr>
          <w:rFonts w:hint="eastAsia" w:ascii="宋体" w:hAnsi="宋体" w:eastAsia="宋体" w:cs="Times New Roman"/>
          <w:color w:val="auto"/>
          <w:kern w:val="0"/>
          <w:szCs w:val="21"/>
          <w:highlight w:val="none"/>
          <w:lang w:val="en-US" w:eastAsia="zh-CN"/>
        </w:rPr>
        <w:t>综合单</w:t>
      </w:r>
      <w:r>
        <w:rPr>
          <w:rFonts w:hint="eastAsia" w:ascii="宋体" w:hAnsi="宋体" w:eastAsia="宋体" w:cs="Times New Roman"/>
          <w:color w:val="auto"/>
          <w:kern w:val="0"/>
          <w:szCs w:val="21"/>
          <w:highlight w:val="none"/>
        </w:rPr>
        <w:t>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本采购项目的销项税额由项目业主</w:t>
      </w:r>
      <w:r>
        <w:rPr>
          <w:rFonts w:hint="eastAsia" w:ascii="宋体" w:hAnsi="宋体" w:eastAsia="宋体" w:cs="Times New Roman"/>
          <w:color w:val="auto"/>
          <w:szCs w:val="21"/>
          <w:highlight w:val="none"/>
          <w:lang w:val="en-US" w:eastAsia="zh-CN"/>
        </w:rPr>
        <w:t>或招标人</w:t>
      </w:r>
      <w:r>
        <w:rPr>
          <w:rFonts w:hint="eastAsia" w:ascii="宋体" w:hAnsi="宋体" w:eastAsia="宋体" w:cs="Times New Roman"/>
          <w:color w:val="auto"/>
          <w:szCs w:val="21"/>
          <w:highlight w:val="none"/>
          <w:lang w:val="zh-CN"/>
        </w:rPr>
        <w:t>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）投标人的监测服务系数报价不得超过</w:t>
      </w:r>
      <w:r>
        <w:rPr>
          <w:rFonts w:hint="eastAsia" w:ascii="宋体" w:hAnsi="宋体" w:eastAsia="宋体" w:cs="Times New Roman"/>
          <w:b/>
          <w:bCs/>
          <w:color w:val="auto"/>
          <w:kern w:val="0"/>
          <w:szCs w:val="21"/>
          <w:highlight w:val="none"/>
          <w:lang w:val="en-US" w:eastAsia="zh-CN"/>
        </w:rPr>
        <w:t>0</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8</w:t>
      </w:r>
      <w:r>
        <w:rPr>
          <w:rFonts w:hint="eastAsia" w:ascii="宋体" w:hAnsi="宋体" w:eastAsia="宋体" w:cs="Times New Roman"/>
          <w:b/>
          <w:bCs/>
          <w:color w:val="auto"/>
          <w:kern w:val="0"/>
          <w:szCs w:val="21"/>
          <w:highlight w:val="none"/>
        </w:rPr>
        <w:t>0，且不能为0.00或负数，投标人未按招标文件要求进行监测服务系数报价的，该投标人的投标文件将被视为无效投标。监测服务系数报价需保留小数点后两位，否则评标委员会按去“尾”或补“零”的方式进行修正为保留小数点后两位，投标人须接受被修正后的报价（例：如监测服务系数为0.789，则被修正为0.78；如监测服务系数为0.7，则被修正为0.70）。</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95" w:name="_Toc104991875"/>
      <w:bookmarkStart w:id="596" w:name="_Toc26516"/>
      <w:bookmarkStart w:id="597" w:name="_Toc22473"/>
      <w:bookmarkStart w:id="598" w:name="_Toc23083"/>
      <w:bookmarkStart w:id="599" w:name="_Toc19156"/>
      <w:bookmarkStart w:id="600" w:name="_Toc102860418"/>
      <w:bookmarkStart w:id="601" w:name="_Toc142508369"/>
      <w:bookmarkStart w:id="602" w:name="_Toc102860074"/>
      <w:bookmarkStart w:id="603" w:name="_Toc14820"/>
      <w:bookmarkStart w:id="604" w:name="_Toc140596928"/>
      <w:bookmarkStart w:id="605" w:name="_Toc6190"/>
      <w:bookmarkStart w:id="606" w:name="_Toc1977725"/>
      <w:bookmarkStart w:id="607" w:name="_Toc94107209"/>
      <w:bookmarkStart w:id="608" w:name="_Toc20759_WPSOffice_Level2"/>
      <w:bookmarkStart w:id="609" w:name="_Toc533708124"/>
      <w:bookmarkStart w:id="61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95"/>
      <w:bookmarkEnd w:id="596"/>
      <w:bookmarkEnd w:id="597"/>
      <w:bookmarkEnd w:id="598"/>
      <w:bookmarkEnd w:id="599"/>
      <w:bookmarkEnd w:id="600"/>
      <w:bookmarkEnd w:id="601"/>
      <w:bookmarkEnd w:id="602"/>
      <w:bookmarkEnd w:id="603"/>
      <w:bookmarkEnd w:id="604"/>
      <w:bookmarkEnd w:id="605"/>
      <w:bookmarkEnd w:id="606"/>
      <w:bookmarkEnd w:id="607"/>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1" w:name="_Toc17358"/>
      <w:bookmarkStart w:id="612" w:name="_Toc25267"/>
      <w:bookmarkStart w:id="613" w:name="_Toc7990"/>
      <w:bookmarkStart w:id="614" w:name="_Toc6761"/>
      <w:bookmarkStart w:id="615" w:name="_Toc140596929"/>
      <w:bookmarkStart w:id="616" w:name="_Toc142508370"/>
      <w:bookmarkStart w:id="617" w:name="_Toc94107210"/>
      <w:bookmarkStart w:id="618" w:name="_Toc104991876"/>
      <w:bookmarkStart w:id="619" w:name="_Toc102860075"/>
      <w:bookmarkStart w:id="620" w:name="_Toc29874"/>
      <w:bookmarkStart w:id="621" w:name="_Toc102860419"/>
      <w:bookmarkStart w:id="622" w:name="_Toc1160"/>
      <w:bookmarkStart w:id="62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11"/>
      <w:bookmarkEnd w:id="612"/>
      <w:bookmarkEnd w:id="613"/>
      <w:bookmarkEnd w:id="614"/>
      <w:bookmarkEnd w:id="615"/>
      <w:bookmarkEnd w:id="616"/>
      <w:bookmarkEnd w:id="617"/>
      <w:bookmarkEnd w:id="618"/>
      <w:bookmarkEnd w:id="619"/>
      <w:bookmarkEnd w:id="620"/>
      <w:bookmarkEnd w:id="621"/>
      <w:bookmarkEnd w:id="62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4" w:name="_Toc22067"/>
      <w:bookmarkStart w:id="625" w:name="_Toc7756"/>
      <w:bookmarkStart w:id="626" w:name="_Toc102860420"/>
      <w:bookmarkStart w:id="627" w:name="_Toc4875"/>
      <w:bookmarkStart w:id="628" w:name="_Toc27861"/>
      <w:bookmarkStart w:id="629" w:name="_Toc6545"/>
      <w:bookmarkStart w:id="630" w:name="_Toc140596930"/>
      <w:bookmarkStart w:id="631" w:name="_Toc142508371"/>
      <w:bookmarkStart w:id="632" w:name="_Toc104991877"/>
      <w:bookmarkStart w:id="633" w:name="_Toc94107211"/>
      <w:bookmarkStart w:id="634" w:name="_Toc102860076"/>
      <w:bookmarkStart w:id="635" w:name="_Toc2501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24"/>
      <w:bookmarkEnd w:id="625"/>
      <w:bookmarkEnd w:id="626"/>
      <w:bookmarkEnd w:id="627"/>
      <w:bookmarkEnd w:id="628"/>
      <w:bookmarkEnd w:id="629"/>
      <w:bookmarkEnd w:id="630"/>
      <w:bookmarkEnd w:id="631"/>
      <w:bookmarkEnd w:id="632"/>
      <w:bookmarkEnd w:id="633"/>
      <w:bookmarkEnd w:id="634"/>
      <w:bookmarkEnd w:id="635"/>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636" w:name="_Toc102860077"/>
      <w:bookmarkStart w:id="637" w:name="_Toc102860421"/>
      <w:bookmarkStart w:id="638" w:name="_Toc104991878"/>
      <w:bookmarkStart w:id="639" w:name="_Toc9132"/>
      <w:bookmarkStart w:id="640" w:name="_Toc140596931"/>
      <w:bookmarkStart w:id="641" w:name="_Toc17499"/>
      <w:bookmarkStart w:id="642" w:name="_Toc94107212"/>
      <w:bookmarkStart w:id="643" w:name="_Toc142508372"/>
      <w:bookmarkStart w:id="644" w:name="_Toc7441"/>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45" w:name="_Toc25068"/>
      <w:r>
        <w:rPr>
          <w:rFonts w:hint="eastAsia" w:ascii="宋体" w:hAnsi="宋体" w:eastAsia="宋体" w:cs="宋体"/>
          <w:b/>
          <w:color w:val="auto"/>
          <w:kern w:val="0"/>
          <w:sz w:val="30"/>
          <w:szCs w:val="30"/>
          <w:highlight w:val="none"/>
          <w:lang w:val="en-US" w:eastAsia="zh-CN"/>
        </w:rPr>
        <w:t xml:space="preserve">5.3 </w:t>
      </w:r>
      <w:bookmarkEnd w:id="645"/>
      <w:r>
        <w:rPr>
          <w:rFonts w:hint="eastAsia" w:ascii="宋体" w:hAnsi="宋体" w:eastAsia="宋体" w:cs="宋体"/>
          <w:b/>
          <w:color w:val="auto"/>
          <w:kern w:val="0"/>
          <w:sz w:val="30"/>
          <w:szCs w:val="30"/>
          <w:highlight w:val="none"/>
          <w:lang w:val="en-US" w:eastAsia="zh-CN"/>
        </w:rPr>
        <w:t>具备建设行政主管部门核发有效的工程勘察综合类甲级资质，或同时具备有效的工程勘察专业类岩土工程乙级（或以上）和工程测量乙级（或以上）资质，或同时具备有效的工程勘察专业类岩土工程物探测试乙级（或以上）和工程测量乙级（或以上）资质，如资质证书已过有效期，但依据资质证书主管部门相关通知/发文属于资质有效期延期的情况，提供相关通知/发文截图复印件以及官方网站网址链接/全国建筑市场监管公共服务平台（jzsc.mohurd.gov.cn）企业资质证书信息截图</w:t>
      </w:r>
    </w:p>
    <w:p>
      <w:pPr>
        <w:rPr>
          <w:rFonts w:ascii="宋体" w:hAnsi="宋体" w:eastAsia="宋体" w:cs="宋体"/>
          <w:b/>
          <w:color w:val="auto"/>
          <w:kern w:val="0"/>
          <w:sz w:val="30"/>
          <w:szCs w:val="30"/>
          <w:highlight w:val="none"/>
        </w:rPr>
      </w:pPr>
    </w:p>
    <w:p>
      <w:pPr>
        <w:rPr>
          <w:rFonts w:ascii="宋体" w:hAnsi="宋体" w:eastAsia="宋体" w:cs="宋体"/>
          <w:b/>
          <w:color w:val="auto"/>
          <w:kern w:val="0"/>
          <w:sz w:val="30"/>
          <w:szCs w:val="30"/>
          <w:highlight w:val="none"/>
        </w:rPr>
      </w:pP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bookmarkStart w:id="646" w:name="_Toc20778"/>
      <w:bookmarkStart w:id="647" w:name="_Toc22211"/>
      <w:bookmarkStart w:id="648" w:name="_Toc15779"/>
      <w:r>
        <w:rPr>
          <w:rFonts w:hint="eastAsia" w:ascii="宋体" w:hAnsi="宋体" w:eastAsia="宋体" w:cs="宋体"/>
          <w:b/>
          <w:color w:val="auto"/>
          <w:kern w:val="0"/>
          <w:sz w:val="30"/>
          <w:szCs w:val="30"/>
          <w:highlight w:val="none"/>
          <w:lang w:val="en-US" w:eastAsia="zh-CN"/>
        </w:rPr>
        <w:t>5.4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36"/>
      <w:bookmarkEnd w:id="637"/>
      <w:bookmarkEnd w:id="638"/>
      <w:bookmarkEnd w:id="639"/>
      <w:bookmarkEnd w:id="640"/>
      <w:bookmarkEnd w:id="641"/>
      <w:bookmarkEnd w:id="642"/>
      <w:bookmarkEnd w:id="643"/>
      <w:bookmarkEnd w:id="644"/>
      <w:bookmarkEnd w:id="646"/>
      <w:bookmarkEnd w:id="647"/>
      <w:bookmarkEnd w:id="648"/>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08"/>
      <w:bookmarkEnd w:id="609"/>
      <w:bookmarkEnd w:id="610"/>
      <w:bookmarkEnd w:id="623"/>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649" w:name="_Toc11033_WPSOffice_Level3"/>
      <w:r>
        <w:rPr>
          <w:rFonts w:hint="eastAsia" w:ascii="宋体" w:hAnsi="宋体" w:eastAsia="宋体" w:cs="宋体"/>
          <w:b/>
          <w:color w:val="auto"/>
          <w:sz w:val="30"/>
          <w:szCs w:val="30"/>
          <w:highlight w:val="none"/>
        </w:rPr>
        <w:t>法定代</w:t>
      </w:r>
      <w:bookmarkStart w:id="650" w:name="_Toc36971359"/>
      <w:bookmarkStart w:id="651" w:name="_Toc45995270"/>
      <w:r>
        <w:rPr>
          <w:rFonts w:hint="eastAsia" w:ascii="宋体" w:hAnsi="宋体" w:eastAsia="宋体" w:cs="宋体"/>
          <w:b/>
          <w:color w:val="auto"/>
          <w:sz w:val="30"/>
          <w:szCs w:val="30"/>
          <w:highlight w:val="none"/>
        </w:rPr>
        <w:t>表人身份证明书</w:t>
      </w:r>
      <w:bookmarkEnd w:id="649"/>
    </w:p>
    <w:bookmarkEnd w:id="650"/>
    <w:bookmarkEnd w:id="651"/>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rFonts w:hint="eastAsia" w:ascii="宋体" w:hAnsi="宋体" w:eastAsia="宋体" w:cs="宋体"/>
                          <w:szCs w:val="21"/>
                        </w:rPr>
                      </w:pPr>
                      <w:r>
                        <w:rPr>
                          <w:rFonts w:hint="eastAsia" w:ascii="宋体" w:hAnsi="宋体" w:eastAsia="宋体" w:cs="宋体"/>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5"/>
      <w:bookmarkEnd w:id="556"/>
      <w:bookmarkEnd w:id="557"/>
      <w:bookmarkStart w:id="652" w:name="_Toc486167713"/>
      <w:bookmarkStart w:id="653" w:name="_Toc533708125"/>
      <w:bookmarkStart w:id="654" w:name="_Toc6240_WPSOffice_Level2"/>
      <w:bookmarkStart w:id="655" w:name="_Toc1977727"/>
      <w:r>
        <w:rPr>
          <w:rFonts w:hint="eastAsia" w:ascii="宋体" w:hAnsi="宋体" w:eastAsia="宋体" w:cs="宋体"/>
          <w:b/>
          <w:color w:val="auto"/>
          <w:szCs w:val="24"/>
          <w:highlight w:val="none"/>
        </w:rPr>
        <w:t>（2）法定代表人授权书格式</w:t>
      </w:r>
      <w:bookmarkEnd w:id="652"/>
      <w:bookmarkEnd w:id="653"/>
      <w:bookmarkEnd w:id="654"/>
      <w:bookmarkEnd w:id="655"/>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6" w:name="_Toc29146_WPSOffice_Level3"/>
      <w:r>
        <w:rPr>
          <w:rFonts w:hint="eastAsia" w:ascii="宋体" w:hAnsi="宋体" w:eastAsia="宋体" w:cs="宋体"/>
          <w:b/>
          <w:bCs/>
          <w:color w:val="auto"/>
          <w:sz w:val="30"/>
          <w:szCs w:val="30"/>
          <w:highlight w:val="none"/>
          <w:lang w:val="zh-CN"/>
        </w:rPr>
        <w:t>法定代表人授权书</w:t>
      </w:r>
      <w:bookmarkEnd w:id="656"/>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hint="default" w:ascii="宋体" w:hAnsi="宋体" w:eastAsia="宋体" w:cs="宋体"/>
          <w:color w:val="auto"/>
          <w:szCs w:val="24"/>
          <w:highlight w:val="none"/>
        </w:rPr>
      </w:pPr>
      <w:r>
        <w:rPr>
          <w:rFonts w:hint="eastAsia" w:ascii="宋体" w:hAnsi="宋体" w:eastAsia="宋体" w:cs="宋体"/>
          <w:color w:val="auto"/>
          <w:szCs w:val="24"/>
          <w:highlight w:val="none"/>
          <w:lang w:val="zh-CN"/>
        </w:rPr>
        <w:t>致：</w:t>
      </w:r>
      <w:r>
        <w:rPr>
          <w:rFonts w:hint="default" w:ascii="宋体" w:hAnsi="宋体" w:eastAsia="宋体" w:cs="宋体"/>
          <w:color w:val="auto"/>
          <w:szCs w:val="24"/>
          <w:highlight w:val="none"/>
        </w:rPr>
        <w:t>东莞市水务集团建设管理有限公司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0832-SFCX24DG197C-1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hint="eastAsia" w:ascii="宋体" w:hAnsi="宋体" w:eastAsia="宋体" w:cs="宋体"/>
                        </w:rPr>
                      </w:pPr>
                      <w:r>
                        <w:rPr>
                          <w:rFonts w:hint="eastAsia" w:ascii="宋体" w:hAnsi="宋体" w:eastAsia="宋体" w:cs="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5"/>
        <w:pageBreakBefore/>
        <w:spacing w:line="360" w:lineRule="auto"/>
        <w:rPr>
          <w:rFonts w:hAnsi="宋体"/>
          <w:b/>
          <w:color w:val="auto"/>
          <w:sz w:val="30"/>
          <w:szCs w:val="30"/>
          <w:highlight w:val="none"/>
          <w:lang w:val="zh-CN"/>
        </w:rPr>
      </w:pPr>
      <w:bookmarkStart w:id="657" w:name="_Toc12400"/>
      <w:bookmarkStart w:id="658" w:name="_Toc32328"/>
      <w:bookmarkStart w:id="659" w:name="_Toc15716"/>
      <w:bookmarkStart w:id="660" w:name="_Toc20174"/>
      <w:bookmarkStart w:id="661" w:name="_Toc20021"/>
      <w:bookmarkStart w:id="662" w:name="_Toc28541"/>
      <w:bookmarkStart w:id="663" w:name="_Toc142508373"/>
      <w:bookmarkStart w:id="664" w:name="_Toc104991880"/>
      <w:bookmarkStart w:id="665" w:name="_Toc94107214"/>
      <w:bookmarkStart w:id="666" w:name="_Toc140596933"/>
      <w:bookmarkStart w:id="667" w:name="_Toc1977730"/>
      <w:r>
        <w:rPr>
          <w:rFonts w:hint="eastAsia" w:hAnsi="宋体" w:cs="宋体"/>
          <w:b/>
          <w:color w:val="auto"/>
          <w:kern w:val="0"/>
          <w:sz w:val="30"/>
          <w:szCs w:val="30"/>
          <w:highlight w:val="none"/>
          <w:lang w:val="en-US" w:eastAsia="zh-CN"/>
        </w:rPr>
        <w:t>5.5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57"/>
      <w:bookmarkEnd w:id="658"/>
      <w:bookmarkEnd w:id="659"/>
      <w:r>
        <w:rPr>
          <w:rFonts w:hint="eastAsia" w:ascii="宋体" w:hAnsi="宋体" w:eastAsia="宋体"/>
          <w:b/>
          <w:bCs/>
          <w:color w:val="auto"/>
          <w:sz w:val="32"/>
          <w:szCs w:val="32"/>
          <w:highlight w:val="none"/>
        </w:rPr>
        <w:t>投标人提供一</w:t>
      </w:r>
      <w:r>
        <w:rPr>
          <w:rFonts w:hint="eastAsia" w:hAnsi="宋体"/>
          <w:b/>
          <w:bCs/>
          <w:color w:val="auto"/>
          <w:sz w:val="32"/>
          <w:szCs w:val="32"/>
          <w:highlight w:val="none"/>
          <w:lang w:eastAsia="zh-CN"/>
        </w:rPr>
        <w:t>项</w:t>
      </w:r>
      <w:r>
        <w:rPr>
          <w:rFonts w:hint="eastAsia" w:ascii="宋体" w:hAnsi="宋体" w:eastAsia="宋体"/>
          <w:b/>
          <w:bCs/>
          <w:color w:val="auto"/>
          <w:sz w:val="32"/>
          <w:szCs w:val="32"/>
          <w:highlight w:val="none"/>
        </w:rPr>
        <w:t>20</w:t>
      </w:r>
      <w:r>
        <w:rPr>
          <w:rFonts w:hint="eastAsia" w:hAnsi="宋体"/>
          <w:b/>
          <w:bCs/>
          <w:color w:val="auto"/>
          <w:sz w:val="32"/>
          <w:szCs w:val="32"/>
          <w:highlight w:val="none"/>
          <w:lang w:val="en-US" w:eastAsia="zh-CN"/>
        </w:rPr>
        <w:t>20</w:t>
      </w:r>
      <w:r>
        <w:rPr>
          <w:rFonts w:hint="eastAsia" w:ascii="宋体" w:hAnsi="宋体" w:eastAsia="宋体"/>
          <w:b/>
          <w:bCs/>
          <w:color w:val="auto"/>
          <w:sz w:val="32"/>
          <w:szCs w:val="32"/>
          <w:highlight w:val="none"/>
        </w:rPr>
        <w:t>年1月1日以来市政工程监测业绩（合同签订日期为20</w:t>
      </w:r>
      <w:r>
        <w:rPr>
          <w:rFonts w:hint="eastAsia" w:hAnsi="宋体"/>
          <w:b/>
          <w:bCs/>
          <w:color w:val="auto"/>
          <w:sz w:val="32"/>
          <w:szCs w:val="32"/>
          <w:highlight w:val="none"/>
          <w:lang w:val="en-US" w:eastAsia="zh-CN"/>
        </w:rPr>
        <w:t>20</w:t>
      </w:r>
      <w:r>
        <w:rPr>
          <w:rFonts w:hint="eastAsia" w:ascii="宋体" w:hAnsi="宋体" w:eastAsia="宋体"/>
          <w:b/>
          <w:bCs/>
          <w:color w:val="auto"/>
          <w:sz w:val="32"/>
          <w:szCs w:val="32"/>
          <w:highlight w:val="none"/>
        </w:rPr>
        <w:t>年1月1日或以后）】</w:t>
      </w:r>
      <w:bookmarkEnd w:id="660"/>
      <w:bookmarkEnd w:id="661"/>
      <w:bookmarkEnd w:id="662"/>
    </w:p>
    <w:p>
      <w:pPr>
        <w:spacing w:line="360" w:lineRule="auto"/>
        <w:rPr>
          <w:rFonts w:hint="eastAsia" w:ascii="宋体" w:hAnsi="宋体" w:eastAsia="宋体" w:cs="宋体"/>
          <w:b/>
          <w:color w:val="auto"/>
          <w:szCs w:val="21"/>
          <w:highlight w:val="none"/>
          <w:lang w:val="zh-CN"/>
        </w:rPr>
      </w:pPr>
    </w:p>
    <w:tbl>
      <w:tblPr>
        <w:tblStyle w:val="37"/>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87"/>
        <w:gridCol w:w="1305"/>
        <w:gridCol w:w="1388"/>
        <w:gridCol w:w="1088"/>
        <w:gridCol w:w="676"/>
        <w:gridCol w:w="598"/>
        <w:gridCol w:w="825"/>
        <w:gridCol w:w="812"/>
        <w:gridCol w:w="103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2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8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130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25"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1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3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（1）业绩须附合同复印件；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（2）合同业绩证明材料必须能反映评审条件：</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1）合同签订日期为20</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val="zh-CN"/>
        </w:rPr>
        <w:t>年1月1日或以后；</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2）业绩类型为市政工程监测。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（3）未按上述要求在此格式下提供证明材料的业绩，或在此格式下所附材料无法证明符合资格要求的业绩，按无效投标文件处理。</w:t>
      </w: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68" w:name="_Toc21843"/>
      <w:bookmarkStart w:id="669" w:name="_Toc32189"/>
      <w:bookmarkStart w:id="670" w:name="_Toc7508"/>
      <w:bookmarkStart w:id="671" w:name="_Toc17027"/>
      <w:bookmarkStart w:id="672" w:name="_Toc24392"/>
      <w:bookmarkStart w:id="673" w:name="_Toc8121"/>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63"/>
      <w:bookmarkEnd w:id="664"/>
      <w:bookmarkEnd w:id="665"/>
      <w:bookmarkEnd w:id="666"/>
      <w:bookmarkEnd w:id="667"/>
      <w:bookmarkEnd w:id="668"/>
      <w:bookmarkEnd w:id="669"/>
      <w:bookmarkEnd w:id="670"/>
      <w:bookmarkEnd w:id="671"/>
      <w:bookmarkEnd w:id="672"/>
      <w:bookmarkEnd w:id="673"/>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bookmarkStart w:id="674" w:name="_Toc142508374"/>
      <w:bookmarkStart w:id="675" w:name="_Toc102860423"/>
      <w:bookmarkStart w:id="676" w:name="_Toc140596934"/>
      <w:bookmarkStart w:id="677" w:name="_Toc2031_WPSOffice_Level2"/>
      <w:bookmarkStart w:id="678" w:name="_Toc533708126"/>
      <w:bookmarkStart w:id="679" w:name="_Toc1977731"/>
      <w:bookmarkStart w:id="680" w:name="_Toc94107215"/>
      <w:bookmarkStart w:id="681" w:name="_Toc30939"/>
      <w:bookmarkStart w:id="682" w:name="_Toc104991881"/>
      <w:bookmarkStart w:id="683" w:name="_Toc6412"/>
      <w:bookmarkStart w:id="684" w:name="_Toc486167714"/>
      <w:bookmarkStart w:id="685" w:name="_Toc102860079"/>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86" w:name="_Toc17508"/>
      <w:bookmarkStart w:id="687" w:name="_Toc21629"/>
      <w:bookmarkStart w:id="688" w:name="_Toc28057"/>
      <w:bookmarkStart w:id="689" w:name="_Toc1981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90" w:name="_Toc2773_WPSOffice_Level3"/>
      <w:r>
        <w:rPr>
          <w:rFonts w:hint="eastAsia" w:ascii="宋体" w:hAnsi="宋体" w:eastAsia="宋体" w:cs="宋体"/>
          <w:b/>
          <w:bCs/>
          <w:color w:val="auto"/>
          <w:sz w:val="30"/>
          <w:szCs w:val="30"/>
          <w:highlight w:val="none"/>
          <w:lang w:val="zh-CN"/>
        </w:rPr>
        <w:t>投标人基本情况一览表</w:t>
      </w:r>
      <w:bookmarkEnd w:id="690"/>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91" w:name="_Toc102860080"/>
      <w:bookmarkStart w:id="692" w:name="_Toc4023"/>
      <w:bookmarkStart w:id="693" w:name="_Toc10443"/>
      <w:bookmarkStart w:id="694" w:name="_Toc29014"/>
      <w:bookmarkStart w:id="695" w:name="_Toc12189"/>
      <w:bookmarkStart w:id="696" w:name="_Toc10191"/>
      <w:bookmarkStart w:id="697" w:name="_Toc102860424"/>
      <w:bookmarkStart w:id="698" w:name="_Toc140596935"/>
      <w:bookmarkStart w:id="699" w:name="_Toc104991882"/>
      <w:bookmarkStart w:id="700" w:name="_Toc27491"/>
      <w:bookmarkStart w:id="701" w:name="_Toc94107216"/>
      <w:bookmarkStart w:id="702" w:name="_Toc142508375"/>
      <w:bookmarkStart w:id="703" w:name="_Toc486167715"/>
      <w:bookmarkStart w:id="704" w:name="_Toc533708128"/>
      <w:bookmarkStart w:id="705" w:name="_Toc9051_WPSOffice_Level2"/>
      <w:bookmarkStart w:id="706"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91"/>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03"/>
    <w:bookmarkEnd w:id="704"/>
    <w:bookmarkEnd w:id="705"/>
    <w:bookmarkEnd w:id="706"/>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07" w:name="_Toc102860081"/>
      <w:bookmarkStart w:id="708" w:name="_Toc533708130"/>
      <w:bookmarkStart w:id="709" w:name="_Toc102860425"/>
      <w:bookmarkStart w:id="710" w:name="_Toc21136"/>
      <w:bookmarkStart w:id="711" w:name="_Toc333"/>
      <w:bookmarkStart w:id="712" w:name="_Toc1977736"/>
      <w:bookmarkStart w:id="713" w:name="_Toc13233"/>
      <w:bookmarkStart w:id="714" w:name="_Toc26821"/>
      <w:bookmarkStart w:id="715" w:name="_Toc17995"/>
      <w:bookmarkStart w:id="716" w:name="_Toc94107217"/>
      <w:bookmarkStart w:id="717" w:name="_Toc142508376"/>
      <w:bookmarkStart w:id="718" w:name="_Toc104991883"/>
      <w:bookmarkStart w:id="719" w:name="_Toc24088"/>
      <w:bookmarkStart w:id="720" w:name="_Toc140596936"/>
      <w:bookmarkStart w:id="721" w:name="_Toc486167716"/>
      <w:bookmarkStart w:id="722"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23" w:name="_Toc26412_WPSOffice_Level3"/>
      <w:r>
        <w:rPr>
          <w:rFonts w:hint="eastAsia" w:ascii="宋体" w:hAnsi="宋体" w:eastAsia="宋体" w:cs="宋体"/>
          <w:b/>
          <w:bCs/>
          <w:color w:val="auto"/>
          <w:kern w:val="0"/>
          <w:sz w:val="28"/>
          <w:szCs w:val="30"/>
          <w:highlight w:val="none"/>
          <w:lang w:val="zh-CN"/>
        </w:rPr>
        <w:t>东莞市供水设施更新改造项目-松山湖新城路给水管网改造工程第三方监测服务采购项目（重新招标）合同条款偏离表</w:t>
      </w:r>
      <w:bookmarkEnd w:id="72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top"/>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工程概况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服务概况</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服务价格及合同价款</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四</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付款方式</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五</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履约担保</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六</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甲方权利和义务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七</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乙方权利和义务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八</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违约责任</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九</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争议解决</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十</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其他</w:t>
            </w:r>
            <w:r>
              <w:rPr>
                <w:rFonts w:hint="eastAsia" w:ascii="宋体" w:hAnsi="宋体" w:eastAsia="宋体"/>
                <w:color w:val="auto"/>
                <w:sz w:val="21"/>
                <w:szCs w:val="21"/>
                <w:highlight w:val="none"/>
                <w:lang w:val="en-US" w:eastAsia="zh-CN"/>
              </w:rPr>
              <w:t>约定</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lang w:val="en-US" w:eastAsia="zh-CN"/>
              </w:rPr>
              <w:t>十一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lang w:val="en-US" w:eastAsia="zh-CN"/>
              </w:rPr>
              <w:t>附则</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《监测工程量清单计价表》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w:t>
            </w:r>
            <w:r>
              <w:rPr>
                <w:rFonts w:hint="eastAsia"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廉洁协议书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附件三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安全生产责任书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附件四</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诚信履约承诺书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附件五</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监测单位履约考核评分表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不可撤销银行履约保函</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二</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履约保证保险凭证</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2"/>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三</w:t>
            </w:r>
          </w:p>
        </w:tc>
        <w:tc>
          <w:tcPr>
            <w:tcW w:w="3055" w:type="dxa"/>
            <w:vAlign w:val="center"/>
          </w:tcPr>
          <w:p>
            <w:pPr>
              <w:pStyle w:val="62"/>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担保公司履约担保书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24" w:name="_Toc704"/>
      <w:bookmarkStart w:id="725" w:name="_Toc140596937"/>
      <w:bookmarkStart w:id="726" w:name="_Toc102860082"/>
      <w:bookmarkStart w:id="727" w:name="_Toc142508377"/>
      <w:bookmarkStart w:id="728" w:name="_Toc104991884"/>
      <w:bookmarkStart w:id="729" w:name="_Toc13179"/>
      <w:bookmarkStart w:id="730" w:name="_Toc102860426"/>
      <w:bookmarkStart w:id="731" w:name="_Toc25286"/>
      <w:bookmarkStart w:id="732" w:name="_Toc94107218"/>
      <w:bookmarkStart w:id="733" w:name="_Toc22644"/>
      <w:bookmarkStart w:id="734" w:name="_Toc29505"/>
      <w:bookmarkStart w:id="735" w:name="_Toc5473"/>
      <w:bookmarkStart w:id="736" w:name="_Toc27980_WPSOffice_Level2"/>
      <w:bookmarkStart w:id="737"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24"/>
      <w:bookmarkEnd w:id="725"/>
      <w:bookmarkEnd w:id="726"/>
      <w:bookmarkEnd w:id="727"/>
      <w:bookmarkEnd w:id="728"/>
      <w:bookmarkEnd w:id="729"/>
      <w:bookmarkEnd w:id="730"/>
      <w:bookmarkEnd w:id="731"/>
      <w:bookmarkEnd w:id="732"/>
      <w:bookmarkEnd w:id="733"/>
      <w:bookmarkEnd w:id="734"/>
      <w:bookmarkEnd w:id="735"/>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20</w:t>
      </w:r>
      <w:r>
        <w:rPr>
          <w:rFonts w:hint="eastAsia" w:ascii="宋体" w:hAnsi="宋体" w:eastAsia="宋体" w:cs="Times New Roman"/>
          <w:b/>
          <w:bCs/>
          <w:color w:val="auto"/>
          <w:sz w:val="30"/>
          <w:szCs w:val="30"/>
          <w:highlight w:val="none"/>
          <w:lang w:val="zh-CN"/>
        </w:rPr>
        <w:t>年1月1日至今在国内完成的市政工程监测业绩表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val="0"/>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w:t>
      </w:r>
      <w:r>
        <w:rPr>
          <w:rFonts w:hint="eastAsia" w:ascii="宋体" w:hAnsi="宋体" w:eastAsia="宋体" w:cs="宋体"/>
          <w:b w:val="0"/>
          <w:bCs w:val="0"/>
          <w:color w:val="auto"/>
          <w:sz w:val="21"/>
          <w:szCs w:val="21"/>
          <w:highlight w:val="none"/>
        </w:rPr>
        <w:t>合同业绩证明材料必须能反映评分条件[合同签订日期为</w:t>
      </w:r>
      <w:r>
        <w:rPr>
          <w:rFonts w:hint="eastAsia" w:ascii="宋体" w:hAnsi="宋体" w:eastAsia="宋体" w:cs="宋体"/>
          <w:b w:val="0"/>
          <w:bCs w:val="0"/>
          <w:color w:val="auto"/>
          <w:szCs w:val="21"/>
          <w:highlight w:val="none"/>
          <w:lang w:val="zh-CN"/>
        </w:rPr>
        <w:t>20</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lang w:val="zh-CN"/>
        </w:rPr>
        <w:t>年1月1日</w:t>
      </w:r>
      <w:r>
        <w:rPr>
          <w:rFonts w:hint="eastAsia" w:ascii="宋体" w:hAnsi="宋体" w:eastAsia="宋体" w:cs="宋体"/>
          <w:b w:val="0"/>
          <w:bCs w:val="0"/>
          <w:color w:val="auto"/>
          <w:sz w:val="21"/>
          <w:szCs w:val="21"/>
          <w:highlight w:val="none"/>
        </w:rPr>
        <w:t>或以后，业绩类型为市政工程监测，合同金额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Cs w:val="21"/>
          <w:highlight w:val="none"/>
        </w:rPr>
        <w:t>若合同内容无法反映合同金额的，需提供可反映合同金额的结算资料复印件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Cs w:val="21"/>
          <w:highlight w:val="none"/>
        </w:rPr>
        <w:t>，否则需同时提供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宋体"/>
          <w:b w:val="0"/>
          <w:bCs w:val="0"/>
          <w:color w:val="auto"/>
          <w:szCs w:val="21"/>
          <w:highlight w:val="none"/>
        </w:rPr>
        <w:t>出具的书面补充情况说明文件复印件</w:t>
      </w:r>
      <w:r>
        <w:rPr>
          <w:rFonts w:hint="eastAsia" w:ascii="宋体" w:hAnsi="宋体" w:eastAsia="宋体" w:cs="宋体"/>
          <w:b w:val="0"/>
          <w:bCs w:val="0"/>
          <w:color w:val="auto"/>
          <w:szCs w:val="21"/>
          <w:highlight w:val="none"/>
          <w:lang w:val="en-US" w:eastAsia="zh-CN"/>
        </w:rPr>
        <w:t>（需加盖委托方公章，即复印件能显示委托方公章）</w:t>
      </w:r>
      <w:r>
        <w:rPr>
          <w:rFonts w:hint="eastAsia" w:ascii="宋体" w:hAnsi="宋体" w:eastAsia="宋体" w:cs="Times New Roman"/>
          <w:b w:val="0"/>
          <w:bCs w:val="0"/>
          <w:color w:val="auto"/>
          <w:szCs w:val="24"/>
          <w:highlight w:val="none"/>
          <w:lang w:val="zh-CN"/>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36"/>
    <w:bookmarkEnd w:id="737"/>
    <w:p>
      <w:pPr>
        <w:rPr>
          <w:rFonts w:hint="eastAsia" w:ascii="宋体" w:hAnsi="宋体" w:eastAsia="宋体" w:cs="宋体"/>
          <w:b/>
          <w:bCs/>
          <w:color w:val="auto"/>
          <w:kern w:val="0"/>
          <w:sz w:val="32"/>
          <w:szCs w:val="32"/>
          <w:highlight w:val="none"/>
          <w:lang w:val="zh-CN"/>
        </w:rPr>
      </w:pPr>
      <w:bookmarkStart w:id="738" w:name="_Toc104991885"/>
      <w:bookmarkStart w:id="739" w:name="_Toc142508378"/>
      <w:bookmarkStart w:id="740" w:name="_Toc102860427"/>
      <w:bookmarkStart w:id="741" w:name="_Toc102860083"/>
      <w:bookmarkStart w:id="742" w:name="_Toc533708132"/>
      <w:bookmarkStart w:id="743" w:name="_Toc18413"/>
      <w:bookmarkStart w:id="744" w:name="_Toc486167719"/>
      <w:bookmarkStart w:id="745" w:name="_Toc94107220"/>
      <w:bookmarkStart w:id="746" w:name="_Toc19890"/>
      <w:bookmarkStart w:id="747" w:name="_Toc140596938"/>
      <w:bookmarkStart w:id="748" w:name="_Toc1977737"/>
      <w:bookmarkStart w:id="749" w:name="_Toc31965"/>
      <w:bookmarkStart w:id="750" w:name="_Toc18175_WPSOffice_Level2"/>
      <w:r>
        <w:rPr>
          <w:rFonts w:hint="eastAsia" w:ascii="宋体" w:hAnsi="宋体" w:eastAsia="宋体" w:cs="宋体"/>
          <w:b/>
          <w:bCs/>
          <w:color w:val="auto"/>
          <w:kern w:val="0"/>
          <w:sz w:val="32"/>
          <w:szCs w:val="32"/>
          <w:highlight w:val="none"/>
          <w:lang w:val="zh-CN"/>
        </w:rPr>
        <w:br w:type="page"/>
      </w:r>
    </w:p>
    <w:p>
      <w:pPr>
        <w:keepNext w:val="0"/>
        <w:keepLines w:val="0"/>
        <w:pageBreakBefore w:val="0"/>
        <w:widowControl/>
        <w:kinsoku/>
        <w:wordWrap/>
        <w:overflowPunct/>
        <w:topLinePunct w:val="0"/>
        <w:autoSpaceDE/>
        <w:autoSpaceDN/>
        <w:bidi w:val="0"/>
        <w:adjustRightInd/>
        <w:snapToGrid/>
        <w:textAlignment w:val="auto"/>
        <w:outlineLvl w:val="2"/>
        <w:rPr>
          <w:rFonts w:hint="eastAsia" w:ascii="宋体" w:hAnsi="宋体" w:eastAsia="宋体" w:cs="宋体"/>
          <w:b/>
          <w:color w:val="auto"/>
          <w:sz w:val="32"/>
          <w:szCs w:val="32"/>
          <w:highlight w:val="none"/>
        </w:rPr>
      </w:pPr>
      <w:bookmarkStart w:id="751" w:name="_Toc1383"/>
      <w:r>
        <w:rPr>
          <w:rFonts w:hint="eastAsia" w:ascii="宋体" w:hAnsi="宋体" w:eastAsia="宋体" w:cs="宋体"/>
          <w:b/>
          <w:color w:val="auto"/>
          <w:sz w:val="32"/>
          <w:szCs w:val="32"/>
          <w:highlight w:val="none"/>
          <w:lang w:eastAsia="zh-CN"/>
        </w:rPr>
        <w:t>十</w:t>
      </w:r>
      <w:r>
        <w:rPr>
          <w:rFonts w:hint="eastAsia" w:ascii="宋体" w:hAnsi="宋体" w:eastAsia="宋体" w:cs="宋体"/>
          <w:b/>
          <w:color w:val="auto"/>
          <w:sz w:val="32"/>
          <w:szCs w:val="32"/>
          <w:highlight w:val="none"/>
        </w:rPr>
        <w:t>、拟投入人员情况格式</w:t>
      </w:r>
      <w:bookmarkEnd w:id="751"/>
    </w:p>
    <w:p>
      <w:pPr>
        <w:spacing w:before="120" w:before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（1）拟投入人员情况一览表</w:t>
      </w:r>
    </w:p>
    <w:tbl>
      <w:tblPr>
        <w:tblStyle w:val="3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职称证书/资格证书/</w:t>
            </w:r>
            <w:r>
              <w:rPr>
                <w:rFonts w:hint="eastAsia" w:ascii="宋体" w:hAnsi="宋体" w:eastAsia="宋体" w:cs="宋体"/>
                <w:color w:val="auto"/>
                <w:kern w:val="2"/>
                <w:sz w:val="21"/>
                <w:szCs w:val="21"/>
                <w:highlight w:val="none"/>
              </w:rPr>
              <w:t>注册证书</w:t>
            </w: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overflowPunct w:val="0"/>
        <w:autoSpaceDE/>
        <w:autoSpaceDN/>
        <w:adjustRightInd/>
        <w:spacing w:before="120" w:line="360" w:lineRule="auto"/>
        <w:ind w:left="267" w:leftChars="-73" w:hanging="420" w:hanging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（1）此表格式供参照，投标人可以根据本表格式内容自行划表填写。</w:t>
      </w:r>
    </w:p>
    <w:p>
      <w:pPr>
        <w:keepNext w:val="0"/>
        <w:keepLines w:val="0"/>
        <w:suppressLineNumbers w:val="0"/>
        <w:adjustRightInd/>
        <w:spacing w:before="0" w:beforeAutospacing="0" w:after="0" w:afterAutospacing="0" w:line="360" w:lineRule="auto"/>
        <w:ind w:right="0"/>
        <w:contextualSpacing/>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Cs w:val="21"/>
          <w:highlight w:val="none"/>
        </w:rPr>
        <w:t>以上人员</w:t>
      </w:r>
      <w:r>
        <w:rPr>
          <w:rFonts w:hint="eastAsia" w:ascii="宋体" w:hAnsi="宋体" w:eastAsia="宋体" w:cs="宋体"/>
          <w:b w:val="0"/>
          <w:bCs w:val="0"/>
          <w:color w:val="auto"/>
          <w:szCs w:val="21"/>
          <w:highlight w:val="none"/>
        </w:rPr>
        <w:t>须提供身份证、职称证书（或注册证书）、社会保障部门出具的最近1年（即</w:t>
      </w:r>
      <w:r>
        <w:rPr>
          <w:rFonts w:hint="eastAsia" w:ascii="宋体" w:hAnsi="宋体" w:eastAsia="宋体" w:cs="宋体"/>
          <w:b w:val="0"/>
          <w:bCs w:val="0"/>
          <w:color w:val="auto"/>
          <w:szCs w:val="21"/>
          <w:highlight w:val="none"/>
          <w:lang w:eastAsia="zh-CN"/>
        </w:rPr>
        <w:t>2024年2月至2025年1月</w:t>
      </w:r>
      <w:r>
        <w:rPr>
          <w:rFonts w:hint="eastAsia" w:ascii="宋体" w:hAnsi="宋体" w:eastAsia="宋体" w:cs="宋体"/>
          <w:b w:val="0"/>
          <w:bCs w:val="0"/>
          <w:color w:val="auto"/>
          <w:szCs w:val="21"/>
          <w:highlight w:val="none"/>
        </w:rPr>
        <w:t>）在投标人单位缴纳</w:t>
      </w:r>
      <w:r>
        <w:rPr>
          <w:rFonts w:hint="eastAsia" w:ascii="宋体" w:hAnsi="宋体" w:eastAsia="宋体" w:cs="宋体"/>
          <w:b w:val="0"/>
          <w:bCs w:val="0"/>
          <w:color w:val="auto"/>
          <w:szCs w:val="21"/>
          <w:highlight w:val="none"/>
          <w:lang w:eastAsia="zh-CN"/>
        </w:rPr>
        <w:t>社保</w:t>
      </w:r>
      <w:r>
        <w:rPr>
          <w:rFonts w:hint="eastAsia" w:ascii="宋体" w:hAnsi="宋体" w:eastAsia="宋体" w:cs="宋体"/>
          <w:b w:val="0"/>
          <w:bCs w:val="0"/>
          <w:color w:val="auto"/>
          <w:szCs w:val="21"/>
          <w:highlight w:val="none"/>
        </w:rPr>
        <w:t>有效凭证等证明材料复印件加盖投标人公章</w:t>
      </w:r>
      <w:r>
        <w:rPr>
          <w:rFonts w:hint="eastAsia" w:ascii="宋体" w:hAnsi="宋体" w:eastAsia="宋体" w:cs="宋体"/>
          <w:b w:val="0"/>
          <w:bCs w:val="0"/>
          <w:color w:val="auto"/>
          <w:szCs w:val="21"/>
          <w:highlight w:val="none"/>
          <w:lang w:eastAsia="zh-CN"/>
        </w:rPr>
        <w:t>。</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（3）同一人员具备多个种类证书不重复得分。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（4）同一人员具备同一种类证书含有多个专业的仅按一个专业计算一次得分。</w:t>
      </w:r>
    </w:p>
    <w:p>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（5）同一人员具备同一种类证书或同一个专业含有多个等级的仅按最高等级证书计算一次得分。</w:t>
      </w:r>
    </w:p>
    <w:p>
      <w:pPr>
        <w:autoSpaceDE/>
        <w:autoSpaceDN/>
        <w:adjustRightInd/>
        <w:spacing w:line="360" w:lineRule="auto"/>
        <w:ind w:right="420"/>
        <w:rPr>
          <w:rFonts w:hint="eastAsia" w:ascii="宋体" w:hAnsi="宋体" w:eastAsia="宋体" w:cs="宋体"/>
          <w:color w:val="auto"/>
          <w:kern w:val="2"/>
          <w:sz w:val="21"/>
          <w:szCs w:val="21"/>
          <w:highlight w:val="none"/>
          <w:lang w:val="zh-CN"/>
        </w:rPr>
      </w:pPr>
    </w:p>
    <w:p>
      <w:pPr>
        <w:autoSpaceDE/>
        <w:autoSpaceDN/>
        <w:adjustRightInd/>
        <w:spacing w:line="360" w:lineRule="auto"/>
        <w:ind w:right="420" w:firstLine="4935" w:firstLineChars="23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sz w:val="21"/>
          <w:szCs w:val="21"/>
          <w:highlight w:val="none"/>
          <w:lang w:val="zh-CN"/>
        </w:rPr>
        <w:t>（加盖投标人法人公章）</w:t>
      </w:r>
    </w:p>
    <w:p>
      <w:pPr>
        <w:spacing w:line="360" w:lineRule="auto"/>
        <w:ind w:firstLine="4935" w:firstLineChars="2350"/>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kern w:val="2"/>
          <w:sz w:val="21"/>
          <w:highlight w:val="none"/>
          <w:lang w:val="zh-CN"/>
        </w:rPr>
        <w:t>年  月  日</w:t>
      </w:r>
    </w:p>
    <w:p>
      <w:pPr>
        <w:spacing w:line="360" w:lineRule="auto"/>
        <w:ind w:firstLine="5040" w:firstLineChars="2400"/>
        <w:rPr>
          <w:rFonts w:hint="eastAsia" w:ascii="宋体" w:hAnsi="宋体" w:eastAsia="宋体" w:cs="宋体"/>
          <w:color w:val="auto"/>
          <w:kern w:val="2"/>
          <w:sz w:val="21"/>
          <w:highlight w:val="none"/>
          <w:lang w:val="zh-CN"/>
        </w:rPr>
      </w:pP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（2）拟投入项目负责人简历表</w:t>
      </w:r>
    </w:p>
    <w:tbl>
      <w:tblPr>
        <w:tblStyle w:val="37"/>
        <w:tblW w:w="5000" w:type="pct"/>
        <w:jc w:val="center"/>
        <w:tblLayout w:type="fixed"/>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rPr>
          <w:trHeight w:val="915" w:hRule="atLeast"/>
          <w:jc w:val="center"/>
        </w:trPr>
        <w:tc>
          <w:tcPr>
            <w:tcW w:w="23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305" w:type="dxa"/>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（1）拟投入本项目的项目负责人需提供本简历表。</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（3）项目负责人业绩须附合同复印件，合同业绩证明材料必须能反映评审条件[合同签订日期为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1月1日或以后，业绩类型为市政工程监测，项目负责人信息]，否则需同时提供合同委托方出具的书面补充情况说明文件复印件（需加盖委托方公章，即复印件能显示委托方公章）。</w:t>
      </w:r>
    </w:p>
    <w:p>
      <w:pPr>
        <w:overflowPunct w:val="0"/>
        <w:autoSpaceDE/>
        <w:autoSpaceDN/>
        <w:adjustRightInd/>
        <w:spacing w:line="360" w:lineRule="auto"/>
        <w:jc w:val="both"/>
        <w:rPr>
          <w:rFonts w:hint="eastAsia" w:ascii="宋体" w:hAnsi="宋体" w:eastAsia="宋体" w:cs="宋体"/>
          <w:color w:val="auto"/>
          <w:kern w:val="2"/>
          <w:sz w:val="21"/>
          <w:szCs w:val="21"/>
          <w:highlight w:val="none"/>
        </w:rPr>
      </w:pPr>
    </w:p>
    <w:p>
      <w:pPr>
        <w:spacing w:line="360" w:lineRule="auto"/>
        <w:ind w:left="685" w:leftChars="176" w:hanging="315" w:hanging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highlight w:val="none"/>
          <w:lang w:val="zh-CN"/>
        </w:rPr>
        <w:t>投标人：（加盖投标人法人公章）</w:t>
      </w:r>
    </w:p>
    <w:p>
      <w:pPr>
        <w:autoSpaceDE/>
        <w:autoSpaceDN/>
        <w:adjustRightInd/>
        <w:spacing w:before="120" w:after="120" w:line="360" w:lineRule="auto"/>
        <w:ind w:left="629"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autoSpaceDE/>
        <w:autoSpaceDN/>
        <w:adjustRightInd/>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br w:type="page"/>
      </w:r>
    </w:p>
    <w:p>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（3）拟投入技术负责人简历表</w:t>
      </w:r>
    </w:p>
    <w:tbl>
      <w:tblPr>
        <w:tblStyle w:val="37"/>
        <w:tblW w:w="5000" w:type="pct"/>
        <w:jc w:val="center"/>
        <w:tblLayout w:type="fixed"/>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trPr>
          <w:trHeight w:val="915" w:hRule="atLeast"/>
          <w:jc w:val="center"/>
        </w:trPr>
        <w:tc>
          <w:tcPr>
            <w:tcW w:w="230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single" w:color="auto" w:sz="8" w:space="0"/>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305" w:type="dxa"/>
            <w:tcBorders>
              <w:top w:val="nil"/>
              <w:left w:val="single" w:color="auto" w:sz="8" w:space="0"/>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490" w:type="dxa"/>
            <w:gridSpan w:val="4"/>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37"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3289"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70" w:type="dxa"/>
            <w:tcBorders>
              <w:top w:val="nil"/>
              <w:left w:val="nil"/>
              <w:bottom w:val="single" w:color="auto" w:sz="8" w:space="0"/>
              <w:right w:val="single" w:color="auto"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tblPrEx>
          <w:tblCellMar>
            <w:top w:w="0" w:type="dxa"/>
            <w:left w:w="108" w:type="dxa"/>
            <w:bottom w:w="0" w:type="dxa"/>
            <w:right w:w="108" w:type="dxa"/>
          </w:tblCellMar>
        </w:tblPrEx>
        <w:trPr>
          <w:trHeight w:val="915" w:hRule="atLeast"/>
          <w:jc w:val="center"/>
        </w:trPr>
        <w:tc>
          <w:tcPr>
            <w:tcW w:w="2712" w:type="dxa"/>
            <w:gridSpan w:val="2"/>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978" w:type="dxa"/>
            <w:gridSpan w:val="2"/>
            <w:tcBorders>
              <w:top w:val="single" w:color="auto" w:sz="8" w:space="0"/>
              <w:left w:val="nil"/>
              <w:bottom w:val="single" w:color="auto" w:sz="8" w:space="0"/>
              <w:right w:val="single" w:color="000000" w:sz="8" w:space="0"/>
            </w:tcBorders>
            <w:vAlign w:val="center"/>
          </w:tcPr>
          <w:p>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（1）拟投入本项目的技术负责人需提供本简历表。</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w:t>
      </w:r>
      <w:r>
        <w:rPr>
          <w:rFonts w:hint="eastAsia" w:ascii="宋体" w:hAnsi="宋体" w:eastAsia="宋体" w:cs="宋体"/>
          <w:b/>
          <w:bCs/>
          <w:color w:val="auto"/>
          <w:kern w:val="2"/>
          <w:sz w:val="21"/>
          <w:szCs w:val="21"/>
          <w:highlight w:val="none"/>
        </w:rPr>
        <w:t>即</w:t>
      </w:r>
      <w:r>
        <w:rPr>
          <w:rFonts w:hint="eastAsia" w:ascii="宋体" w:hAnsi="宋体" w:eastAsia="宋体" w:cs="宋体"/>
          <w:b/>
          <w:bCs/>
          <w:color w:val="auto"/>
          <w:kern w:val="2"/>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（3）技术负责人业绩须附合同复印件，合同业绩证明材料必须能反映评审条件[合同签订日期为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1月1日或以后，业绩类型为市政工程监测，技术负责人信息]，否则需同时提供合同委托方出具的书面补充情况说明文件复印件（需加盖委托方公章，即复印件能显示委托方公章）。</w:t>
      </w:r>
    </w:p>
    <w:p>
      <w:pPr>
        <w:spacing w:line="360" w:lineRule="auto"/>
        <w:ind w:left="685" w:leftChars="176" w:hanging="315" w:hangingChars="15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投标人：（加盖投标人法人公章）</w:t>
      </w:r>
    </w:p>
    <w:p>
      <w:pPr>
        <w:spacing w:line="360" w:lineRule="auto"/>
        <w:ind w:left="685" w:leftChars="176" w:hanging="315" w:hangingChars="150"/>
        <w:jc w:val="right"/>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 w:val="21"/>
          <w:szCs w:val="21"/>
          <w:highlight w:val="none"/>
          <w:lang w:val="zh-CN"/>
        </w:rPr>
        <w:t>日期：   年    月     日</w:t>
      </w:r>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52" w:name="_Toc17176"/>
      <w:bookmarkStart w:id="753" w:name="_Toc7020"/>
      <w:bookmarkStart w:id="754" w:name="_Toc2192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2"/>
      <w:bookmarkEnd w:id="753"/>
      <w:bookmarkEnd w:id="754"/>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55" w:name="_Toc31832_WPSOffice_Level3"/>
      <w:r>
        <w:rPr>
          <w:rFonts w:hint="eastAsia" w:ascii="宋体" w:hAnsi="宋体" w:eastAsia="宋体" w:cs="宋体"/>
          <w:b/>
          <w:bCs/>
          <w:color w:val="auto"/>
          <w:kern w:val="0"/>
          <w:sz w:val="24"/>
          <w:szCs w:val="24"/>
          <w:highlight w:val="none"/>
        </w:rPr>
        <w:t>投标保证金汇入情况说明</w:t>
      </w:r>
      <w:bookmarkEnd w:id="755"/>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default"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东莞市供水设施更新改造项目-松山湖新城路给水管网改造工程第三方监测服务采购项目（重新招标）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0832-SFCX24DG197C-1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756" w:name="_Toc26208_WPSOffice_Level3"/>
      <w:r>
        <w:rPr>
          <w:rFonts w:hint="eastAsia" w:ascii="宋体" w:hAnsi="宋体" w:eastAsia="宋体" w:cs="宋体"/>
          <w:b/>
          <w:bCs/>
          <w:color w:val="auto"/>
          <w:szCs w:val="21"/>
          <w:highlight w:val="none"/>
        </w:rPr>
        <w:t>附：1、我方投标保证金汇款凭证（复印件）</w:t>
      </w:r>
      <w:bookmarkEnd w:id="756"/>
    </w:p>
    <w:p>
      <w:pPr>
        <w:spacing w:line="360" w:lineRule="auto"/>
        <w:ind w:left="340" w:leftChars="162" w:firstLine="839" w:firstLineChars="398"/>
        <w:rPr>
          <w:rFonts w:ascii="宋体" w:hAnsi="宋体" w:eastAsia="宋体" w:cs="宋体"/>
          <w:b/>
          <w:bCs/>
          <w:color w:val="auto"/>
          <w:szCs w:val="21"/>
          <w:highlight w:val="none"/>
        </w:rPr>
      </w:pPr>
      <w:bookmarkStart w:id="757" w:name="_Toc12992_WPSOffice_Level3"/>
      <w:r>
        <w:rPr>
          <w:rFonts w:hint="eastAsia" w:ascii="宋体" w:hAnsi="宋体" w:eastAsia="宋体" w:cs="宋体"/>
          <w:b/>
          <w:bCs/>
          <w:color w:val="auto"/>
          <w:szCs w:val="21"/>
          <w:highlight w:val="none"/>
        </w:rPr>
        <w:t>2、我方基本账户开户许可证（复印件）</w:t>
      </w:r>
      <w:bookmarkEnd w:id="757"/>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bookmarkStart w:id="758" w:name="_Toc533708134"/>
      <w:bookmarkStart w:id="759" w:name="_Toc486167721"/>
    </w:p>
    <w:p>
      <w:pPr>
        <w:rPr>
          <w:rFonts w:hint="eastAsia"/>
          <w:color w:val="auto"/>
          <w:highlight w:val="none"/>
          <w:lang w:val="zh-CN"/>
        </w:rPr>
      </w:pPr>
      <w:bookmarkStart w:id="760" w:name="_Toc94107221"/>
      <w:bookmarkStart w:id="761" w:name="_Toc102860084"/>
      <w:bookmarkStart w:id="762" w:name="_Toc24616"/>
      <w:bookmarkStart w:id="763" w:name="_Toc142508379"/>
      <w:bookmarkStart w:id="764" w:name="_Toc140596939"/>
      <w:bookmarkStart w:id="765" w:name="_Toc1977738"/>
      <w:bookmarkStart w:id="766" w:name="_Toc102860428"/>
      <w:bookmarkStart w:id="767" w:name="_Toc104991886"/>
    </w:p>
    <w:p>
      <w:pPr>
        <w:rPr>
          <w:rFonts w:hint="eastAsia"/>
          <w:color w:val="auto"/>
          <w:highlight w:val="none"/>
          <w:lang w:val="zh-CN"/>
        </w:rPr>
      </w:pPr>
    </w:p>
    <w:p>
      <w:pPr>
        <w:rPr>
          <w:rFonts w:hint="eastAsia" w:ascii="宋体" w:hAnsi="宋体" w:eastAsia="宋体" w:cs="宋体"/>
          <w:b/>
          <w:bCs/>
          <w:color w:val="auto"/>
          <w:kern w:val="0"/>
          <w:sz w:val="32"/>
          <w:szCs w:val="32"/>
          <w:highlight w:val="none"/>
          <w:lang w:val="zh-CN"/>
        </w:rPr>
      </w:pPr>
      <w:bookmarkStart w:id="768" w:name="_Toc14506"/>
      <w:bookmarkStart w:id="769" w:name="_Toc2007"/>
      <w:bookmarkStart w:id="770" w:name="_Toc29652"/>
      <w:bookmarkStart w:id="771" w:name="_Toc17045"/>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72" w:name="_Toc262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60"/>
      <w:bookmarkEnd w:id="761"/>
      <w:bookmarkEnd w:id="762"/>
      <w:bookmarkEnd w:id="763"/>
      <w:bookmarkEnd w:id="764"/>
      <w:bookmarkEnd w:id="765"/>
      <w:bookmarkEnd w:id="766"/>
      <w:bookmarkEnd w:id="767"/>
      <w:bookmarkEnd w:id="768"/>
      <w:bookmarkEnd w:id="769"/>
      <w:bookmarkEnd w:id="770"/>
      <w:bookmarkEnd w:id="771"/>
      <w:bookmarkEnd w:id="772"/>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73" w:name="_Toc31916"/>
      <w:bookmarkStart w:id="774" w:name="_Toc28630"/>
      <w:bookmarkStart w:id="775" w:name="_Toc140596940"/>
      <w:bookmarkStart w:id="776" w:name="_Toc18038"/>
      <w:bookmarkStart w:id="777" w:name="_Toc94107222"/>
      <w:bookmarkStart w:id="778" w:name="_Toc102860429"/>
      <w:bookmarkStart w:id="779" w:name="_Toc102860085"/>
      <w:bookmarkStart w:id="780" w:name="_Toc142508380"/>
      <w:bookmarkStart w:id="781" w:name="_Toc1977739"/>
      <w:bookmarkStart w:id="782" w:name="_Toc104991887"/>
      <w:bookmarkStart w:id="783" w:name="_Toc31134"/>
      <w:bookmarkStart w:id="784" w:name="_Toc26449"/>
      <w:bookmarkStart w:id="785"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58"/>
      <w:bookmarkEnd w:id="773"/>
      <w:bookmarkEnd w:id="774"/>
      <w:bookmarkEnd w:id="775"/>
      <w:bookmarkEnd w:id="776"/>
      <w:bookmarkEnd w:id="777"/>
      <w:bookmarkEnd w:id="778"/>
      <w:bookmarkEnd w:id="779"/>
      <w:bookmarkEnd w:id="780"/>
      <w:bookmarkEnd w:id="781"/>
      <w:bookmarkEnd w:id="782"/>
      <w:bookmarkEnd w:id="783"/>
      <w:bookmarkEnd w:id="784"/>
      <w:bookmarkEnd w:id="785"/>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、用户需求响应程度（格式见附件</w:t>
      </w:r>
      <w:r>
        <w:rPr>
          <w:rFonts w:hint="eastAsia" w:ascii="宋体" w:hAnsi="宋体" w:eastAsia="宋体" w:cs="宋体"/>
          <w:color w:val="auto"/>
          <w:kern w:val="0"/>
          <w:szCs w:val="21"/>
          <w:highlight w:val="none"/>
          <w:lang w:eastAsia="zh-CN"/>
        </w:rPr>
        <w:t>13.</w:t>
      </w:r>
      <w:r>
        <w:rPr>
          <w:rFonts w:hint="eastAsia" w:ascii="宋体" w:hAnsi="宋体" w:eastAsia="宋体" w:cs="宋体"/>
          <w:color w:val="auto"/>
          <w:kern w:val="0"/>
          <w:szCs w:val="21"/>
          <w:highlight w:val="none"/>
        </w:rPr>
        <w:t>1用户需求偏离表格式）；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监测成果准确性承诺书（格式见附件13.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服务响应时间承诺书（格式见附件13.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服务响应时间承诺书格式）；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59"/>
      <w:bookmarkStart w:id="786" w:name="_Toc104991888"/>
      <w:bookmarkStart w:id="787" w:name="_Toc1977740"/>
      <w:bookmarkStart w:id="788" w:name="_Toc94107223"/>
      <w:bookmarkStart w:id="789" w:name="_Toc533708135"/>
      <w:bookmarkStart w:id="790" w:name="_Toc142508381"/>
      <w:bookmarkStart w:id="791" w:name="_Toc102860086"/>
      <w:bookmarkStart w:id="792" w:name="_Toc140596941"/>
      <w:bookmarkStart w:id="793" w:name="_Toc102860430"/>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71" w:type="dxa"/>
            <w:vAlign w:val="center"/>
          </w:tcPr>
          <w:p>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94" w:name="_Toc18999"/>
      <w:bookmarkStart w:id="795" w:name="_Toc30448"/>
      <w:bookmarkStart w:id="796" w:name="_Toc11059"/>
      <w:bookmarkStart w:id="797" w:name="_Toc16744"/>
      <w:bookmarkStart w:id="798" w:name="_Toc27934"/>
      <w:bookmarkStart w:id="799" w:name="_Toc7032"/>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1 用户需求偏离表格式</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spacing w:before="120" w:after="120" w:line="360" w:lineRule="auto"/>
        <w:jc w:val="center"/>
        <w:rPr>
          <w:rFonts w:ascii="宋体" w:hAnsi="宋体" w:eastAsia="宋体" w:cs="Times New Roman"/>
          <w:color w:val="auto"/>
          <w:kern w:val="0"/>
          <w:szCs w:val="21"/>
          <w:highlight w:val="none"/>
        </w:rPr>
      </w:pPr>
      <w:bookmarkStart w:id="800" w:name="_Toc17449_WPSOffice_Level3"/>
      <w:r>
        <w:rPr>
          <w:rFonts w:hint="eastAsia" w:ascii="宋体" w:hAnsi="宋体" w:eastAsia="宋体" w:cs="宋体"/>
          <w:b/>
          <w:color w:val="auto"/>
          <w:kern w:val="0"/>
          <w:sz w:val="30"/>
          <w:szCs w:val="30"/>
          <w:highlight w:val="none"/>
          <w:lang w:val="zh-CN"/>
        </w:rPr>
        <w:t>用户需求偏离表</w:t>
      </w:r>
      <w:bookmarkEnd w:id="80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95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总体服务要求</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三</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合同价款</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四</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费用支付</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五</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考核制度</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952"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附件1</w:t>
            </w:r>
          </w:p>
        </w:tc>
        <w:tc>
          <w:tcPr>
            <w:tcW w:w="6414"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《监测工程量清单计价表》</w:t>
            </w:r>
          </w:p>
        </w:tc>
        <w:tc>
          <w:tcPr>
            <w:tcW w:w="722"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67"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815" w:type="dxa"/>
            <w:vAlign w:val="center"/>
          </w:tcPr>
          <w:p>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01" w:name="_Toc3593"/>
      <w:bookmarkStart w:id="802" w:name="_Toc104991889"/>
      <w:bookmarkStart w:id="803" w:name="_Toc23150"/>
      <w:bookmarkStart w:id="804" w:name="_Toc94107224"/>
      <w:bookmarkStart w:id="805" w:name="_Toc102860431"/>
      <w:bookmarkStart w:id="806" w:name="_Toc140596942"/>
      <w:bookmarkStart w:id="807" w:name="_Toc102860087"/>
      <w:bookmarkStart w:id="808" w:name="_Toc5046"/>
      <w:bookmarkStart w:id="809" w:name="_Toc142508382"/>
      <w:bookmarkStart w:id="810" w:name="_Toc4085"/>
      <w:bookmarkStart w:id="811" w:name="_Toc3076"/>
      <w:bookmarkStart w:id="812" w:name="_Toc13882"/>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01"/>
      <w:bookmarkEnd w:id="802"/>
      <w:bookmarkEnd w:id="803"/>
      <w:bookmarkEnd w:id="804"/>
      <w:bookmarkEnd w:id="805"/>
      <w:bookmarkEnd w:id="806"/>
      <w:bookmarkEnd w:id="807"/>
      <w:bookmarkEnd w:id="808"/>
      <w:bookmarkEnd w:id="809"/>
      <w:r>
        <w:rPr>
          <w:rFonts w:hint="eastAsia" w:ascii="宋体" w:hAnsi="宋体" w:eastAsia="宋体" w:cs="宋体"/>
          <w:b/>
          <w:color w:val="auto"/>
          <w:kern w:val="0"/>
          <w:sz w:val="30"/>
          <w:szCs w:val="30"/>
          <w:highlight w:val="none"/>
          <w:lang w:eastAsia="zh-CN"/>
        </w:rPr>
        <w:t>监测方案（投标人自行编写）</w:t>
      </w:r>
      <w:bookmarkEnd w:id="810"/>
      <w:bookmarkEnd w:id="811"/>
      <w:bookmarkEnd w:id="812"/>
    </w:p>
    <w:p>
      <w:pPr>
        <w:widowControl/>
        <w:jc w:val="left"/>
        <w:rPr>
          <w:rFonts w:ascii="宋体" w:hAnsi="宋体" w:eastAsia="宋体" w:cs="Times New Roman"/>
          <w:color w:val="auto"/>
          <w:kern w:val="0"/>
          <w:szCs w:val="21"/>
          <w:highlight w:val="none"/>
        </w:rPr>
      </w:pPr>
      <w:bookmarkStart w:id="813" w:name="_Toc94107225"/>
      <w:r>
        <w:rPr>
          <w:rFonts w:ascii="宋体" w:hAnsi="宋体" w:eastAsia="宋体" w:cs="Times New Roman"/>
          <w:color w:val="auto"/>
          <w:kern w:val="0"/>
          <w:szCs w:val="21"/>
          <w:highlight w:val="none"/>
        </w:rPr>
        <w:br w:type="page"/>
      </w:r>
    </w:p>
    <w:bookmarkEnd w:id="813"/>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14" w:name="_Toc9601"/>
      <w:bookmarkStart w:id="815" w:name="_Toc104991896"/>
      <w:bookmarkStart w:id="816" w:name="_Toc142508389"/>
      <w:bookmarkStart w:id="817" w:name="_Toc102860094"/>
      <w:bookmarkStart w:id="818" w:name="_Toc102860438"/>
      <w:bookmarkStart w:id="819" w:name="_Toc140596949"/>
      <w:bookmarkStart w:id="820" w:name="_Toc533708139"/>
      <w:r>
        <w:rPr>
          <w:rFonts w:hint="eastAsia" w:ascii="宋体" w:hAnsi="宋体" w:eastAsia="宋体" w:cs="宋体"/>
          <w:b/>
          <w:color w:val="auto"/>
          <w:kern w:val="0"/>
          <w:sz w:val="30"/>
          <w:szCs w:val="30"/>
          <w:highlight w:val="none"/>
          <w:lang w:val="en-US" w:eastAsia="zh-CN"/>
        </w:rPr>
        <w:t>13.3 原始数据处理计算、整理分析方法及预警消警机制（投标人自行编写）</w:t>
      </w:r>
      <w:r>
        <w:rPr>
          <w:rFonts w:hint="eastAsia" w:ascii="宋体" w:hAnsi="宋体" w:eastAsia="宋体" w:cs="宋体"/>
          <w:b/>
          <w:color w:val="auto"/>
          <w:kern w:val="0"/>
          <w:sz w:val="30"/>
          <w:szCs w:val="30"/>
          <w:highlight w:val="none"/>
          <w:lang w:val="en-US" w:eastAsia="zh-CN"/>
        </w:rPr>
        <w:br w:type="page"/>
      </w:r>
      <w:bookmarkEnd w:id="814"/>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1" w:name="_Toc16454"/>
      <w:r>
        <w:rPr>
          <w:rFonts w:hint="eastAsia" w:ascii="宋体" w:hAnsi="宋体" w:eastAsia="宋体" w:cs="宋体"/>
          <w:b/>
          <w:color w:val="auto"/>
          <w:kern w:val="0"/>
          <w:sz w:val="30"/>
          <w:szCs w:val="30"/>
          <w:highlight w:val="none"/>
          <w:lang w:val="en-US" w:eastAsia="zh-CN"/>
        </w:rPr>
        <w:t>13.4 监测成果准确性承诺书格式</w:t>
      </w:r>
      <w:bookmarkEnd w:id="821"/>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监测成果准确性承诺书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345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32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345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rPr>
          <w:rFonts w:hint="eastAsia"/>
          <w:color w:val="auto"/>
          <w:highlight w:val="none"/>
        </w:rPr>
      </w:pPr>
      <w:r>
        <w:rPr>
          <w:rFonts w:hint="eastAsia"/>
          <w:color w:val="auto"/>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2" w:name="_Toc109"/>
      <w:r>
        <w:rPr>
          <w:rFonts w:hint="eastAsia" w:ascii="宋体" w:hAnsi="宋体" w:eastAsia="宋体" w:cs="宋体"/>
          <w:b/>
          <w:color w:val="auto"/>
          <w:kern w:val="0"/>
          <w:sz w:val="30"/>
          <w:szCs w:val="30"/>
          <w:highlight w:val="none"/>
          <w:lang w:val="en-US" w:eastAsia="zh-CN"/>
        </w:rPr>
        <w:t>13.5 服务响应时间承诺书格式</w:t>
      </w:r>
      <w:bookmarkEnd w:id="822"/>
    </w:p>
    <w:p>
      <w:pPr>
        <w:widowControl/>
        <w:autoSpaceDE/>
        <w:autoSpaceDN/>
        <w:adjustRightInd/>
        <w:rPr>
          <w:rFonts w:ascii="宋体" w:hAnsi="宋体" w:cs="宋体"/>
          <w:b/>
          <w:color w:val="auto"/>
          <w:sz w:val="32"/>
          <w:szCs w:val="32"/>
          <w:highlight w:val="none"/>
        </w:rPr>
      </w:pPr>
    </w:p>
    <w:p>
      <w:pPr>
        <w:widowControl/>
        <w:autoSpaceDE/>
        <w:autoSpaceDN/>
        <w:adjustRightInd/>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1"/>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4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330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471"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接到招标人电话通知后机械设备、人员进场服务</w:t>
            </w:r>
          </w:p>
        </w:tc>
        <w:tc>
          <w:tcPr>
            <w:tcW w:w="3304"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zh-CN"/>
        </w:rPr>
        <w:t>对于本承诺，如中标人后期未能做到，视为同意将其行为予以公示，</w:t>
      </w:r>
      <w:r>
        <w:rPr>
          <w:rFonts w:hint="eastAsia" w:ascii="宋体" w:hAnsi="宋体" w:eastAsia="宋体" w:cs="宋体"/>
          <w:b/>
          <w:bCs/>
          <w:color w:val="auto"/>
          <w:sz w:val="21"/>
          <w:szCs w:val="21"/>
          <w:highlight w:val="none"/>
        </w:rPr>
        <w:t>且招标人有权将中标人纳入东莞市水务集团有限公司（含其全资子公司、控股公司、由其管理的参股公司）招标、采购、征集供应商或合作方采购“黑名单”中</w:t>
      </w:r>
      <w:r>
        <w:rPr>
          <w:rFonts w:hint="eastAsia" w:ascii="宋体" w:hAnsi="宋体" w:eastAsia="宋体" w:cs="宋体"/>
          <w:b/>
          <w:bCs/>
          <w:color w:val="auto"/>
          <w:sz w:val="21"/>
          <w:szCs w:val="21"/>
          <w:highlight w:val="none"/>
          <w:lang w:val="zh-CN"/>
        </w:rPr>
        <w:t>。</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pPr>
        <w:spacing w:line="360" w:lineRule="auto"/>
        <w:ind w:firstLine="504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日期：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3" w:name="_Toc2639"/>
      <w:bookmarkStart w:id="824" w:name="_Toc30545"/>
      <w:bookmarkStart w:id="825" w:name="_Toc18180"/>
      <w:bookmarkStart w:id="826" w:name="_Toc3750"/>
      <w:bookmarkStart w:id="827" w:name="_Toc26248"/>
      <w:bookmarkStart w:id="828" w:name="_Toc16502"/>
      <w:r>
        <w:rPr>
          <w:rFonts w:hint="eastAsia" w:ascii="宋体" w:hAnsi="宋体" w:eastAsia="宋体" w:cs="宋体"/>
          <w:b/>
          <w:color w:val="auto"/>
          <w:kern w:val="0"/>
          <w:sz w:val="30"/>
          <w:szCs w:val="30"/>
          <w:highlight w:val="none"/>
          <w:lang w:val="en-US" w:eastAsia="zh-CN"/>
        </w:rPr>
        <w:t>13.6 投标人认为有必要提供的其它材料（不做强制要求）</w:t>
      </w:r>
      <w:bookmarkEnd w:id="815"/>
      <w:bookmarkEnd w:id="816"/>
      <w:bookmarkEnd w:id="817"/>
      <w:bookmarkEnd w:id="818"/>
      <w:bookmarkEnd w:id="819"/>
      <w:bookmarkEnd w:id="823"/>
      <w:bookmarkEnd w:id="824"/>
      <w:bookmarkEnd w:id="825"/>
      <w:bookmarkEnd w:id="826"/>
      <w:bookmarkEnd w:id="827"/>
      <w:bookmarkEnd w:id="828"/>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29" w:name="_Toc14977"/>
      <w:bookmarkStart w:id="830" w:name="_Toc142508390"/>
      <w:bookmarkStart w:id="831" w:name="_Toc14270"/>
      <w:bookmarkStart w:id="832" w:name="_Toc30548"/>
      <w:bookmarkStart w:id="833" w:name="_Toc769"/>
      <w:bookmarkStart w:id="834" w:name="_Toc21059"/>
      <w:bookmarkStart w:id="835" w:name="_Toc30901"/>
      <w:bookmarkStart w:id="836" w:name="_Toc522047402"/>
      <w:bookmarkStart w:id="837" w:name="_Toc22601_WPSOffice_Level1"/>
      <w:bookmarkStart w:id="838" w:name="_Toc521918141"/>
      <w:r>
        <w:rPr>
          <w:rFonts w:hint="eastAsia" w:ascii="宋体" w:hAnsi="宋体" w:eastAsia="宋体" w:cs="宋体"/>
          <w:b/>
          <w:bCs/>
          <w:color w:val="auto"/>
          <w:kern w:val="44"/>
          <w:sz w:val="32"/>
          <w:szCs w:val="32"/>
          <w:highlight w:val="none"/>
          <w:lang w:val="zh-CN"/>
        </w:rPr>
        <w:t>附件一：评标工作大纲</w:t>
      </w:r>
      <w:bookmarkEnd w:id="829"/>
      <w:bookmarkEnd w:id="830"/>
      <w:bookmarkEnd w:id="831"/>
      <w:bookmarkEnd w:id="832"/>
      <w:bookmarkEnd w:id="833"/>
      <w:bookmarkEnd w:id="834"/>
      <w:bookmarkEnd w:id="835"/>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东莞市供水设施更新改造项目-松山湖新城路给水管网改造工程第三方监测服务采购项目（重新招标）</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839" w:name="_Toc14752_WPSOffice_Level1"/>
      <w:r>
        <w:rPr>
          <w:rFonts w:hint="eastAsia" w:ascii="宋体" w:hAnsi="宋体" w:eastAsia="宋体" w:cs="宋体"/>
          <w:b/>
          <w:bCs/>
          <w:color w:val="auto"/>
          <w:sz w:val="36"/>
          <w:szCs w:val="36"/>
          <w:highlight w:val="none"/>
          <w:lang w:val="zh-CN"/>
        </w:rPr>
        <w:t>（招标编号：0832-SFCX24DG197C-1）</w:t>
      </w:r>
      <w:bookmarkEnd w:id="83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0" w:name="_Toc18947_WPSOffice_Level2"/>
      <w:r>
        <w:rPr>
          <w:rFonts w:hint="eastAsia" w:ascii="宋体" w:hAnsi="宋体" w:eastAsia="宋体" w:cs="宋体"/>
          <w:b/>
          <w:bCs/>
          <w:color w:val="auto"/>
          <w:sz w:val="72"/>
          <w:szCs w:val="72"/>
          <w:highlight w:val="none"/>
          <w:lang w:val="zh-CN"/>
        </w:rPr>
        <w:t>评标工作大纲</w:t>
      </w:r>
      <w:bookmarkEnd w:id="84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1" w:name="_Toc32395_WPSOffice_Level1"/>
      <w:r>
        <w:rPr>
          <w:rFonts w:hint="eastAsia" w:ascii="宋体" w:hAnsi="宋体" w:eastAsia="宋体" w:cs="宋体"/>
          <w:b/>
          <w:bCs/>
          <w:color w:val="auto"/>
          <w:sz w:val="36"/>
          <w:szCs w:val="36"/>
          <w:highlight w:val="none"/>
          <w:lang w:val="zh-CN"/>
        </w:rPr>
        <w:t>目录</w:t>
      </w:r>
      <w:bookmarkEnd w:id="841"/>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84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2"/>
    </w:p>
    <w:p>
      <w:pPr>
        <w:autoSpaceDE w:val="0"/>
        <w:autoSpaceDN w:val="0"/>
        <w:adjustRightInd w:val="0"/>
        <w:spacing w:line="360" w:lineRule="auto"/>
        <w:ind w:left="567" w:hanging="567"/>
        <w:rPr>
          <w:rFonts w:ascii="宋体" w:hAnsi="宋体" w:eastAsia="宋体" w:cs="宋体"/>
          <w:color w:val="auto"/>
          <w:szCs w:val="30"/>
          <w:highlight w:val="none"/>
        </w:rPr>
      </w:pPr>
      <w:bookmarkStart w:id="84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3"/>
    </w:p>
    <w:p>
      <w:pPr>
        <w:autoSpaceDE w:val="0"/>
        <w:autoSpaceDN w:val="0"/>
        <w:adjustRightInd w:val="0"/>
        <w:spacing w:line="360" w:lineRule="auto"/>
        <w:ind w:left="567" w:hanging="567"/>
        <w:rPr>
          <w:rFonts w:ascii="宋体" w:hAnsi="宋体" w:eastAsia="宋体" w:cs="宋体"/>
          <w:color w:val="auto"/>
          <w:szCs w:val="30"/>
          <w:highlight w:val="none"/>
        </w:rPr>
      </w:pPr>
      <w:bookmarkStart w:id="84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44"/>
    </w:p>
    <w:p>
      <w:pPr>
        <w:autoSpaceDE w:val="0"/>
        <w:autoSpaceDN w:val="0"/>
        <w:adjustRightInd w:val="0"/>
        <w:spacing w:line="360" w:lineRule="auto"/>
        <w:ind w:left="567" w:hanging="567"/>
        <w:rPr>
          <w:rFonts w:ascii="宋体" w:hAnsi="宋体" w:eastAsia="宋体" w:cs="宋体"/>
          <w:color w:val="auto"/>
          <w:szCs w:val="30"/>
          <w:highlight w:val="none"/>
        </w:rPr>
      </w:pPr>
      <w:bookmarkStart w:id="845" w:name="_Toc1206_WPSOffice_Level1"/>
      <w:r>
        <w:rPr>
          <w:rFonts w:hint="eastAsia" w:ascii="宋体" w:hAnsi="宋体" w:eastAsia="宋体" w:cs="宋体"/>
          <w:color w:val="auto"/>
          <w:szCs w:val="30"/>
          <w:highlight w:val="none"/>
        </w:rPr>
        <w:t>四、 比较和评价</w:t>
      </w:r>
      <w:bookmarkEnd w:id="845"/>
    </w:p>
    <w:p>
      <w:pPr>
        <w:autoSpaceDE w:val="0"/>
        <w:autoSpaceDN w:val="0"/>
        <w:adjustRightInd w:val="0"/>
        <w:spacing w:line="360" w:lineRule="auto"/>
        <w:ind w:left="567" w:hanging="567"/>
        <w:rPr>
          <w:rFonts w:ascii="宋体" w:hAnsi="宋体" w:eastAsia="宋体" w:cs="宋体"/>
          <w:color w:val="auto"/>
          <w:szCs w:val="30"/>
          <w:highlight w:val="none"/>
        </w:rPr>
      </w:pPr>
      <w:bookmarkStart w:id="84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46"/>
    </w:p>
    <w:p>
      <w:pPr>
        <w:autoSpaceDE w:val="0"/>
        <w:autoSpaceDN w:val="0"/>
        <w:adjustRightInd w:val="0"/>
        <w:spacing w:line="360" w:lineRule="auto"/>
        <w:ind w:left="567" w:hanging="567"/>
        <w:rPr>
          <w:rFonts w:ascii="宋体" w:hAnsi="宋体" w:eastAsia="宋体" w:cs="宋体"/>
          <w:color w:val="auto"/>
          <w:szCs w:val="30"/>
          <w:highlight w:val="none"/>
        </w:rPr>
      </w:pPr>
      <w:bookmarkStart w:id="84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47"/>
    </w:p>
    <w:p>
      <w:pPr>
        <w:autoSpaceDE w:val="0"/>
        <w:autoSpaceDN w:val="0"/>
        <w:adjustRightInd w:val="0"/>
        <w:spacing w:line="360" w:lineRule="auto"/>
        <w:ind w:left="567" w:hanging="567"/>
        <w:rPr>
          <w:rFonts w:ascii="宋体" w:hAnsi="宋体" w:eastAsia="宋体" w:cs="宋体"/>
          <w:color w:val="auto"/>
          <w:szCs w:val="30"/>
          <w:highlight w:val="none"/>
        </w:rPr>
      </w:pPr>
      <w:bookmarkStart w:id="84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48"/>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4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49"/>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东莞市供水设施更新改造项目-松山湖新城路给水管网改造工程第三方监测服务采购项目（重新招标）</w:t>
      </w:r>
      <w:r>
        <w:rPr>
          <w:rFonts w:hint="eastAsia" w:ascii="宋体" w:hAnsi="宋体" w:eastAsia="宋体" w:cs="宋体"/>
          <w:color w:val="auto"/>
          <w:szCs w:val="21"/>
          <w:highlight w:val="none"/>
          <w:lang w:val="zh-CN"/>
        </w:rPr>
        <w:t>(招标编号：0832-SFCX24DG197C-1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50" w:name="_Toc19435_WPSOffice_Level1"/>
      <w:r>
        <w:rPr>
          <w:rFonts w:hint="eastAsia" w:ascii="宋体" w:hAnsi="宋体" w:eastAsia="宋体" w:cs="宋体"/>
          <w:b/>
          <w:bCs/>
          <w:color w:val="auto"/>
          <w:sz w:val="28"/>
          <w:szCs w:val="28"/>
          <w:highlight w:val="none"/>
          <w:lang w:val="zh-CN"/>
        </w:rPr>
        <w:t>二、投标文件的初审</w:t>
      </w:r>
      <w:bookmarkEnd w:id="850"/>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投标人报价未按照招标文件要求对监测服务系数进行报价的；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tabs>
          <w:tab w:val="left" w:pos="567"/>
        </w:tabs>
        <w:spacing w:line="360" w:lineRule="auto"/>
        <w:ind w:left="632" w:hanging="632" w:hangingChars="3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7.6  投标人为本工程的勘察单位、设计单位、施工单位、监理单位（包括与上述单位法定代表人或负责人为同一人的单位，或者与上述单位存在控股、管理关系的单位，或者与上述单位存在其他利害关系）</w:t>
      </w:r>
      <w:r>
        <w:rPr>
          <w:rFonts w:hint="eastAsia" w:ascii="宋体" w:hAnsi="宋体" w:eastAsia="宋体" w:cs="Times New Roman"/>
          <w:b/>
          <w:color w:val="auto"/>
          <w:szCs w:val="21"/>
          <w:highlight w:val="none"/>
          <w:lang w:val="zh-CN"/>
        </w:rPr>
        <w:t>；</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51" w:name="_Toc4109_WPSOffice_Level1"/>
      <w:r>
        <w:rPr>
          <w:rFonts w:hint="eastAsia" w:ascii="宋体" w:hAnsi="宋体" w:eastAsia="宋体" w:cs="宋体"/>
          <w:b/>
          <w:bCs/>
          <w:color w:val="auto"/>
          <w:sz w:val="28"/>
          <w:szCs w:val="28"/>
          <w:highlight w:val="none"/>
          <w:lang w:val="zh-CN"/>
        </w:rPr>
        <w:t>三、澄清有关问题</w:t>
      </w:r>
      <w:bookmarkEnd w:id="851"/>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2"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52"/>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textAlignment w:val="auto"/>
        <w:outlineLvl w:val="1"/>
        <w:rPr>
          <w:rFonts w:ascii="宋体" w:hAnsi="宋体" w:eastAsia="宋体" w:cs="宋体"/>
          <w:b/>
          <w:color w:val="auto"/>
          <w:szCs w:val="24"/>
          <w:highlight w:val="none"/>
          <w:lang w:val="zh-CN"/>
        </w:rPr>
      </w:pPr>
      <w:bookmarkStart w:id="853" w:name="_Toc3106"/>
      <w:r>
        <w:rPr>
          <w:rFonts w:hint="eastAsia" w:ascii="宋体" w:hAnsi="宋体" w:eastAsia="宋体" w:cs="宋体"/>
          <w:b/>
          <w:color w:val="auto"/>
          <w:szCs w:val="24"/>
          <w:highlight w:val="none"/>
          <w:lang w:val="zh-CN"/>
        </w:rPr>
        <w:t>12、评分因素及分值</w:t>
      </w:r>
      <w:bookmarkEnd w:id="853"/>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3</w:t>
            </w:r>
            <w:r>
              <w:rPr>
                <w:rFonts w:hint="default" w:ascii="宋体" w:hAnsi="宋体" w:eastAsia="宋体" w:cs="宋体"/>
                <w:b/>
                <w:color w:val="auto"/>
                <w:kern w:val="0"/>
                <w:sz w:val="22"/>
                <w:highlight w:val="none"/>
                <w:lang w:val="zh-CN"/>
              </w:rPr>
              <w:t>0</w:t>
            </w:r>
            <w:r>
              <w:rPr>
                <w:rFonts w:hint="eastAsia" w:ascii="宋体" w:hAnsi="宋体" w:eastAsia="宋体" w:cs="宋体"/>
                <w:b/>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20</w:t>
            </w:r>
            <w:r>
              <w:rPr>
                <w:rFonts w:hint="eastAsia" w:ascii="宋体" w:hAnsi="宋体" w:eastAsia="宋体" w:cs="宋体"/>
                <w:b/>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50</w:t>
            </w:r>
            <w:r>
              <w:rPr>
                <w:rFonts w:hint="eastAsia" w:ascii="宋体" w:hAnsi="宋体" w:eastAsia="宋体" w:cs="宋体"/>
                <w:b/>
                <w:color w:val="auto"/>
                <w:kern w:val="0"/>
                <w:sz w:val="22"/>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854"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5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1"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年-20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年三个年度的财务报表，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rPr>
              <w:t>对应年度</w:t>
            </w:r>
            <w:r>
              <w:rPr>
                <w:rFonts w:hint="eastAsia" w:ascii="宋体" w:hAnsi="宋体" w:eastAsia="宋体" w:cs="宋体"/>
                <w:b/>
                <w:color w:val="auto"/>
                <w:szCs w:val="21"/>
                <w:highlight w:val="none"/>
                <w:lang w:val="zh-CN"/>
              </w:rPr>
              <w:t>经审计的财务报表为准，应提供经独立会计师事务所审计过的有效的</w:t>
            </w:r>
            <w:r>
              <w:rPr>
                <w:rFonts w:hint="eastAsia" w:ascii="宋体" w:hAnsi="宋体" w:eastAsia="宋体" w:cs="宋体"/>
                <w:b/>
                <w:color w:val="auto"/>
                <w:szCs w:val="21"/>
                <w:highlight w:val="none"/>
              </w:rPr>
              <w:t>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复印件；</w:t>
            </w:r>
            <w:r>
              <w:rPr>
                <w:rFonts w:hint="eastAsia" w:ascii="宋体" w:hAnsi="宋体" w:eastAsia="宋体" w:cs="宋体"/>
                <w:b/>
                <w:color w:val="auto"/>
                <w:sz w:val="21"/>
                <w:szCs w:val="21"/>
                <w:highlight w:val="none"/>
                <w:lang w:val="zh-CN"/>
              </w:rPr>
              <w:t>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(1)投标人具有有效期内的ISO9001质量管理体系认证证书得0.5分；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(2)投标人具有有效期内的ISO14001环境管理体系认证证书得0.5分；</w:t>
            </w:r>
          </w:p>
          <w:p>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(3)投标人具有有效期内的OHSAS18001（或GB/T45001-2020，或IS045001）职业健康安全管理体系认证证书得0.5分。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lang w:val="en-US" w:eastAsia="zh-CN"/>
              </w:rPr>
              <w:t>投标人应</w:t>
            </w:r>
            <w:r>
              <w:rPr>
                <w:rFonts w:hint="eastAsia" w:ascii="宋体" w:hAnsi="宋体" w:eastAsia="宋体" w:cs="宋体"/>
                <w:b/>
                <w:bCs/>
                <w:color w:val="auto"/>
                <w:szCs w:val="21"/>
                <w:highlight w:val="none"/>
              </w:rPr>
              <w:t>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55" w:name="_Hlk104987354"/>
            <w:r>
              <w:rPr>
                <w:rFonts w:hint="eastAsia" w:ascii="宋体" w:hAnsi="宋体" w:eastAsia="宋体" w:cs="宋体"/>
                <w:color w:val="auto"/>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b w:val="0"/>
                <w:bCs w:val="0"/>
                <w:color w:val="auto"/>
                <w:szCs w:val="21"/>
                <w:highlight w:val="none"/>
                <w:lang w:val="zh-CN"/>
              </w:rPr>
              <w:t>20</w:t>
            </w:r>
            <w:r>
              <w:rPr>
                <w:rFonts w:hint="eastAsia" w:ascii="宋体" w:hAnsi="宋体" w:eastAsia="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lang w:val="zh-CN"/>
              </w:rPr>
              <w:t>年1月1日</w:t>
            </w:r>
            <w:r>
              <w:rPr>
                <w:rFonts w:hint="eastAsia" w:ascii="宋体" w:hAnsi="宋体" w:eastAsia="宋体" w:cs="宋体"/>
                <w:color w:val="auto"/>
                <w:sz w:val="21"/>
                <w:szCs w:val="21"/>
                <w:highlight w:val="none"/>
              </w:rPr>
              <w:t>（以合同签订日期为准）至今承接的市政工程监测业绩合同，按下列情况评分（满分1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190</w:t>
            </w:r>
            <w:r>
              <w:rPr>
                <w:rFonts w:hint="eastAsia" w:ascii="宋体" w:hAnsi="宋体" w:eastAsia="宋体" w:cs="宋体"/>
                <w:b w:val="0"/>
                <w:bCs w:val="0"/>
                <w:color w:val="auto"/>
                <w:szCs w:val="21"/>
                <w:highlight w:val="none"/>
                <w:lang w:val="zh-CN"/>
              </w:rPr>
              <w:t>万元</w:t>
            </w:r>
            <w:r>
              <w:rPr>
                <w:rFonts w:hint="eastAsia" w:ascii="宋体" w:hAnsi="宋体" w:eastAsia="宋体" w:cs="宋体"/>
                <w:color w:val="auto"/>
                <w:sz w:val="21"/>
                <w:szCs w:val="21"/>
                <w:highlight w:val="none"/>
              </w:rPr>
              <w:t>的前述业绩的，每项得3分；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b w:val="0"/>
                <w:bCs w:val="0"/>
                <w:color w:val="auto"/>
                <w:szCs w:val="21"/>
                <w:highlight w:val="none"/>
                <w:lang w:val="en-US" w:eastAsia="zh-CN"/>
              </w:rPr>
              <w:t>120万元</w:t>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190</w:t>
            </w:r>
            <w:r>
              <w:rPr>
                <w:rFonts w:hint="eastAsia" w:ascii="宋体" w:hAnsi="宋体" w:eastAsia="宋体" w:cs="宋体"/>
                <w:b w:val="0"/>
                <w:bCs w:val="0"/>
                <w:color w:val="auto"/>
                <w:szCs w:val="21"/>
                <w:highlight w:val="none"/>
                <w:lang w:val="zh-CN"/>
              </w:rPr>
              <w:t>万元</w:t>
            </w:r>
            <w:r>
              <w:rPr>
                <w:rFonts w:hint="eastAsia" w:ascii="宋体" w:hAnsi="宋体" w:eastAsia="宋体" w:cs="宋体"/>
                <w:color w:val="auto"/>
                <w:sz w:val="21"/>
                <w:szCs w:val="21"/>
                <w:highlight w:val="none"/>
              </w:rPr>
              <w:t>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firstLine="210" w:firstLineChars="1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w:t>
            </w:r>
            <w:r>
              <w:rPr>
                <w:rFonts w:hint="eastAsia" w:ascii="宋体" w:hAnsi="宋体" w:eastAsia="宋体" w:cs="宋体"/>
                <w:b w:val="0"/>
                <w:bCs w:val="0"/>
                <w:color w:val="auto"/>
                <w:szCs w:val="21"/>
                <w:highlight w:val="none"/>
                <w:lang w:val="en-US" w:eastAsia="zh-CN"/>
              </w:rPr>
              <w:t>60万元</w:t>
            </w:r>
            <w:r>
              <w:rPr>
                <w:rFonts w:hint="eastAsia" w:ascii="宋体" w:hAnsi="宋体" w:eastAsia="宋体" w:cs="宋体"/>
                <w:color w:val="auto"/>
                <w:sz w:val="21"/>
                <w:szCs w:val="21"/>
                <w:highlight w:val="none"/>
              </w:rPr>
              <w:t>≤单项合同金额＜</w:t>
            </w:r>
            <w:r>
              <w:rPr>
                <w:rFonts w:hint="eastAsia" w:ascii="宋体" w:hAnsi="宋体" w:eastAsia="宋体" w:cs="宋体"/>
                <w:b w:val="0"/>
                <w:bCs w:val="0"/>
                <w:color w:val="auto"/>
                <w:szCs w:val="21"/>
                <w:highlight w:val="none"/>
                <w:lang w:val="en-US" w:eastAsia="zh-CN"/>
              </w:rPr>
              <w:t>120万元</w:t>
            </w:r>
            <w:r>
              <w:rPr>
                <w:rFonts w:hint="eastAsia" w:ascii="宋体" w:hAnsi="宋体" w:eastAsia="宋体" w:cs="宋体"/>
                <w:color w:val="auto"/>
                <w:sz w:val="21"/>
                <w:szCs w:val="21"/>
                <w:highlight w:val="none"/>
              </w:rPr>
              <w:t>的前述业绩的，每项得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分，本子项满分6分。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1）业绩须附合同复印件加盖投标人公章，否则不得分；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2）合同业绩证明材料必须能反映评分条件[合同签订日期为</w:t>
            </w:r>
            <w:r>
              <w:rPr>
                <w:rFonts w:hint="eastAsia" w:ascii="宋体" w:hAnsi="宋体" w:eastAsia="宋体" w:cs="宋体"/>
                <w:b/>
                <w:bCs/>
                <w:color w:val="auto"/>
                <w:szCs w:val="21"/>
                <w:highlight w:val="none"/>
                <w:lang w:val="zh-CN"/>
              </w:rPr>
              <w:t>20</w:t>
            </w: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lang w:val="zh-CN"/>
              </w:rPr>
              <w:t>年1月1日</w:t>
            </w:r>
            <w:r>
              <w:rPr>
                <w:rFonts w:hint="eastAsia" w:ascii="宋体" w:hAnsi="宋体" w:eastAsia="宋体" w:cs="宋体"/>
                <w:b/>
                <w:bCs/>
                <w:color w:val="auto"/>
                <w:sz w:val="21"/>
                <w:szCs w:val="21"/>
                <w:highlight w:val="none"/>
              </w:rPr>
              <w:t>或以后，业绩类型为市政工程监测，合同金额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val="en-US" w:eastAsia="zh-CN"/>
              </w:rPr>
              <w:t>（需加盖委托方公章，即复印件能显示委托方公章）</w:t>
            </w:r>
            <w:r>
              <w:rPr>
                <w:rFonts w:hint="eastAsia" w:ascii="宋体" w:hAnsi="宋体" w:eastAsia="宋体" w:cs="宋体"/>
                <w:b/>
                <w:bCs/>
                <w:color w:val="auto"/>
                <w:sz w:val="21"/>
                <w:szCs w:val="21"/>
                <w:highlight w:val="none"/>
              </w:rPr>
              <w:t>；</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restar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56" w:name="_Toc11639_WPSOffice_Level2"/>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拟投入人员情况</w:t>
            </w: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Times New Roman"/>
                <w:b w:val="0"/>
                <w:bCs w:val="0"/>
                <w:color w:val="auto"/>
                <w:szCs w:val="24"/>
                <w:highlight w:val="none"/>
                <w:lang w:val="en-US" w:eastAsia="zh-CN"/>
              </w:rPr>
              <w:t>2020年1月1日</w:t>
            </w:r>
            <w:r>
              <w:rPr>
                <w:rFonts w:hint="eastAsia" w:ascii="宋体" w:hAnsi="宋体" w:eastAsia="宋体" w:cs="宋体"/>
                <w:color w:val="auto"/>
                <w:sz w:val="21"/>
                <w:szCs w:val="21"/>
                <w:highlight w:val="none"/>
              </w:rPr>
              <w:t>以来（以合同签订日期为准），作为项目负责人，承接过一项市政工程监测项目的，得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w:t>
            </w:r>
            <w:r>
              <w:rPr>
                <w:rFonts w:hint="eastAsia" w:ascii="宋体" w:hAnsi="宋体" w:eastAsia="宋体" w:cs="Times New Roman"/>
                <w:b/>
                <w:bCs/>
                <w:color w:val="auto"/>
                <w:szCs w:val="24"/>
                <w:highlight w:val="none"/>
                <w:lang w:val="en-US" w:eastAsia="zh-CN"/>
              </w:rPr>
              <w:t>（即2024年2月至2025年1月）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2）项目负责人业绩须附合同复印件，合同业绩证明材料必须能反映评审条件[合同签订日期为</w:t>
            </w:r>
            <w:r>
              <w:rPr>
                <w:rFonts w:hint="eastAsia" w:ascii="宋体" w:hAnsi="宋体" w:eastAsia="宋体" w:cs="Times New Roman"/>
                <w:b/>
                <w:bCs/>
                <w:color w:val="auto"/>
                <w:szCs w:val="24"/>
                <w:highlight w:val="none"/>
                <w:lang w:val="en-US" w:eastAsia="zh-CN"/>
              </w:rPr>
              <w:t>2020年1月1日</w:t>
            </w:r>
            <w:r>
              <w:rPr>
                <w:rFonts w:hint="eastAsia" w:ascii="宋体" w:hAnsi="宋体" w:eastAsia="宋体" w:cs="宋体"/>
                <w:b/>
                <w:bCs/>
                <w:color w:val="auto"/>
                <w:sz w:val="21"/>
                <w:szCs w:val="21"/>
                <w:highlight w:val="none"/>
              </w:rPr>
              <w:t>或以后，业绩类型为市政工程监测，项目负责人信息]，否则需同时提供合同委托方出具的书面补充情况说明文件复印件（需加盖委托方公章，即复印件能显示委托方公章）。</w:t>
            </w:r>
          </w:p>
        </w:tc>
        <w:tc>
          <w:tcPr>
            <w:tcW w:w="907"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continue"/>
            <w:tcBorders>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Times New Roman"/>
                <w:b w:val="0"/>
                <w:bCs w:val="0"/>
                <w:color w:val="auto"/>
                <w:szCs w:val="24"/>
                <w:highlight w:val="none"/>
                <w:lang w:val="en-US" w:eastAsia="zh-CN"/>
              </w:rPr>
              <w:t>2020年1月1日</w:t>
            </w:r>
            <w:r>
              <w:rPr>
                <w:rFonts w:hint="eastAsia" w:ascii="宋体" w:hAnsi="宋体" w:eastAsia="宋体" w:cs="宋体"/>
                <w:color w:val="auto"/>
                <w:sz w:val="21"/>
                <w:szCs w:val="21"/>
                <w:highlight w:val="none"/>
              </w:rPr>
              <w:t>以来（以合同签订日期为准），作为技术负责人，承接过一项市政工程监测项目的，得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numPr>
                <w:ilvl w:val="255"/>
                <w:numId w:val="0"/>
              </w:numPr>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w:t>
            </w:r>
            <w:r>
              <w:rPr>
                <w:rFonts w:hint="eastAsia" w:ascii="宋体" w:hAnsi="宋体" w:eastAsia="宋体" w:cs="Times New Roman"/>
                <w:b/>
                <w:bCs/>
                <w:color w:val="auto"/>
                <w:szCs w:val="24"/>
                <w:highlight w:val="none"/>
                <w:lang w:val="en-US" w:eastAsia="zh-CN"/>
              </w:rPr>
              <w:t>（即2024年2月至2025年1月）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2）技术负责人业绩须附合同复印件，合同业绩证明材料必须能反映评审条件[合同签订日期为</w:t>
            </w:r>
            <w:r>
              <w:rPr>
                <w:rFonts w:hint="eastAsia" w:ascii="宋体" w:hAnsi="宋体" w:eastAsia="宋体" w:cs="Times New Roman"/>
                <w:b/>
                <w:bCs/>
                <w:color w:val="auto"/>
                <w:szCs w:val="24"/>
                <w:highlight w:val="none"/>
                <w:lang w:val="en-US" w:eastAsia="zh-CN"/>
              </w:rPr>
              <w:t>2020年1月1日</w:t>
            </w:r>
            <w:r>
              <w:rPr>
                <w:rFonts w:hint="eastAsia" w:ascii="宋体" w:hAnsi="宋体" w:eastAsia="宋体" w:cs="宋体"/>
                <w:b/>
                <w:bCs/>
                <w:color w:val="auto"/>
                <w:sz w:val="21"/>
                <w:szCs w:val="21"/>
                <w:highlight w:val="none"/>
              </w:rPr>
              <w:t>或以后，业绩类型为市政工程监测，技术负责人信息]，否则需同时提供合同委托方出具的书面补充情况说明文件复印件（需加盖委托方公章，即复印件能显示委托方公章）。</w:t>
            </w:r>
          </w:p>
        </w:tc>
        <w:tc>
          <w:tcPr>
            <w:tcW w:w="907" w:type="dxa"/>
            <w:vMerge w:val="continue"/>
            <w:tcBorders>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1" w:type="dxa"/>
            <w:vMerge w:val="continue"/>
            <w:tcBorders>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1133" w:type="dxa"/>
            <w:vMerge w:val="continue"/>
            <w:tcBorders>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(3)拟投入人员（不含项目负责人和技术负责人）：具有测量、岩土、结构类专业中级工程师（或以上）职称，每人得1分，本子项满分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Cs w:val="21"/>
                <w:highlight w:val="none"/>
              </w:rPr>
              <w:t>须提供身份证、职称证书（或注册证书）、社会保障部门出具的最近1年（即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2）同一人员具备多个种类证书不重复得分。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3）同一人员具备同一种类证书含有多个专业的仅按一个专业计算一次得分。</w:t>
            </w:r>
          </w:p>
          <w:p>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4）同一人员具备同一种类证书或同一个专业含有多个等级的仅按最高等级证书计算一次得分。</w:t>
            </w:r>
          </w:p>
        </w:tc>
        <w:tc>
          <w:tcPr>
            <w:tcW w:w="907"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bookmarkEnd w:id="855"/>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5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
        <w:gridCol w:w="1132"/>
        <w:gridCol w:w="1"/>
        <w:gridCol w:w="7656"/>
        <w:gridCol w:w="1"/>
        <w:gridCol w:w="90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857" w:name="_Hlk104987779"/>
            <w:r>
              <w:rPr>
                <w:rFonts w:hint="eastAsia" w:ascii="宋体" w:hAnsi="宋体" w:eastAsia="宋体" w:cs="宋体"/>
                <w:b/>
                <w:color w:val="auto"/>
                <w:kern w:val="0"/>
                <w:szCs w:val="21"/>
                <w:highlight w:val="none"/>
              </w:rPr>
              <w:t>序号</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6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监测方案</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根据各投标人提供的监测方案，对本地区的认识熟悉程度、对监测项目的认知程度、监测质量的保障措施、配合施工进度的监测实施措施、安全文明生产方案等：优：整体监测方案全面、思路清晰，对本地区的认识熟悉程度高、对监测项目的认知准确、透彻，监测质量的保障措施、配合施工进度的监测实施措施、安全文明生产方案等科学、可操作性强，监测目标明确，监测预控和动态控制措施得力，实施方法可行、操作性强、手段科学，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整体监测方案较全面、思路较清晰，对本地区的认识熟悉程度良好、对监测项目的认知较为准确、透彻，监测质量的保障措施、配合施工进度的监测实施措施、安全文明生产方案等科学、可操作性良好，监测目标基本明确，实施方法可行性良好的，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整体监测方案基本全面、思路基本清晰，对本地区的认识熟悉程度一般、对监测项目的认知基本理解，监测质量的保障措施、配合施工进度的监测实施措施、安全文明生产方案等可操作性一般，监测目标基本明确，实施方法可行性一般的，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整体监测方案不全面、思路不清晰，对本地区的认识熟悉程度较差、对监测项目的认知不够准确，监测质量的保障措施、配合施工进度的监测实施措施、安全文明生产方案等可操作性较差，监测目标不明确，实施方法可行性较差的，得[0，0.75]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原始数据处理计算、整理分析方法及预警消警机制</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根据投标人对各类仪器观测及原始数据处理、计算方法、资料整编分析方案的合理性及根据监测成果对监测情况的预警消警机制的及时性、可行性：</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优：各类仪器观测及原始数据处理、计算方法、资料整编分析方案科学、合理，监测成果对监测情况的预警消警机制及时、可行性强，得（2.25,3]分；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良：各类仪器观测及原始数据处理、计算方法、资料整编分析方案较科学、较合理，监测成果对监测情况的预警消警机制较及时、可行性较强，得（1.5，2.25]分；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中：各类仪器观测及原始数据处理、计算方法、资料整编分析方案一般、合理性一般，监测成果对监测情况的预警消警机制一般、可行性一般，得（0.75，1.5]分；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差：各类仪器观测及原始数据处理、计算方法、资料整编分析方案不全面、思路不清晰、合理性差，监测成果对监测情况的预警消警机制差、可行性差，得[0，0.75]分。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监测设备</w:t>
            </w:r>
          </w:p>
        </w:tc>
        <w:tc>
          <w:tcPr>
            <w:tcW w:w="76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横向比较各投标人拟投入监测项目的主要设备（包含但不限于自动化全站仪、水准仪、水位计、测斜仪、读数计(频率计）等）：</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优：监测设备最齐全，数量最多，设备最先进的，得（2.25,3]分；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良：监测设备齐全，数量多，设备先进的，得（1.5，2.25]分；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中：监测设备较齐全，数量较多，设备较先进的，得（0.75，1.5]分；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eastAsia" w:ascii="宋体" w:hAnsi="宋体" w:eastAsia="宋体" w:cs="Times New Roman"/>
                <w:b w:val="0"/>
                <w:bCs w:val="0"/>
                <w:color w:val="auto"/>
                <w:szCs w:val="24"/>
                <w:highlight w:val="none"/>
                <w:lang w:val="en-US" w:eastAsia="zh-CN"/>
              </w:rPr>
            </w:pPr>
            <w:r>
              <w:rPr>
                <w:rFonts w:hint="eastAsia" w:ascii="宋体" w:hAnsi="宋体" w:eastAsia="宋体" w:cs="Times New Roman"/>
                <w:b w:val="0"/>
                <w:bCs w:val="0"/>
                <w:color w:val="auto"/>
                <w:szCs w:val="24"/>
                <w:highlight w:val="none"/>
                <w:lang w:val="en-US" w:eastAsia="zh-CN"/>
              </w:rPr>
              <w:t>差：监测设备不齐全，数量少，设备不够先进的，得[0，0.75]分。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0" w:firstLineChars="0"/>
              <w:contextualSpacing/>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Times New Roman"/>
                <w:b w:val="0"/>
                <w:bCs w:val="0"/>
                <w:color w:val="auto"/>
                <w:szCs w:val="24"/>
                <w:highlight w:val="none"/>
                <w:lang w:val="en-US" w:eastAsia="zh-CN"/>
              </w:rPr>
              <w:t>注:需提供投标人购置设备的发票复印件，及设备照片/图片打印件(照片/图片须清晰显示拍摄时间为2024年10月1日或以后)。设备发票、证书的文字描述与以上设备名称描述不完全一致，但技术能力，含义一致的，均视为满足，无提供不得分。</w:t>
            </w:r>
          </w:p>
        </w:tc>
        <w:tc>
          <w:tcPr>
            <w:tcW w:w="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3"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承诺监测成果的准确性</w:t>
            </w:r>
          </w:p>
        </w:tc>
        <w:tc>
          <w:tcPr>
            <w:tcW w:w="7657"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(1)承诺所有监测成果按实测量，错误点数0个（含）以内，得3分；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(2)承诺所有监测成果按实测量，错误点数1个（含）以内，得2分；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(3)承诺所有监测成果按实测量，错误点数2个（含）以内，得1分；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(4)承诺所有监测成果按实测量，错误点数大于或等于3的，得0分。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lang w:eastAsia="zh-CN"/>
              </w:rPr>
            </w:pPr>
            <w:r>
              <w:rPr>
                <w:rFonts w:hint="eastAsia" w:asci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根据《监测成果准确性承诺书》对应的内容进行评审。提供承诺函加盖投标人公章</w:t>
            </w:r>
            <w:r>
              <w:rPr>
                <w:rFonts w:hint="eastAsia" w:ascii="宋体" w:eastAsia="宋体" w:cs="宋体"/>
                <w:b/>
                <w:bCs/>
                <w:color w:val="auto"/>
                <w:sz w:val="21"/>
                <w:szCs w:val="21"/>
                <w:highlight w:val="none"/>
                <w:lang w:eastAsia="zh-CN"/>
              </w:rPr>
              <w:t>；</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本项按最高得分计算一次，不重复得分。</w:t>
            </w:r>
          </w:p>
        </w:tc>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2" w:type="dxa"/>
            <w:gridSpan w:val="2"/>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3" w:type="dxa"/>
            <w:gridSpan w:val="2"/>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服务及时性承诺</w:t>
            </w:r>
          </w:p>
        </w:tc>
        <w:tc>
          <w:tcPr>
            <w:tcW w:w="7657" w:type="dxa"/>
            <w:gridSpan w:val="2"/>
            <w:tcBorders>
              <w:top w:val="single" w:color="auto" w:sz="4" w:space="0"/>
              <w:left w:val="single" w:color="auto" w:sz="4" w:space="0"/>
              <w:right w:val="single" w:color="auto" w:sz="4" w:space="0"/>
            </w:tcBorders>
            <w:vAlign w:val="center"/>
          </w:tcPr>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(1)承诺接到招标人电话通知后1小时（含）内机械设备、人员进场服务的，得3分；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(2)承诺接到招标人电话通知后2小时（含）内机械设备、人员进场服务的，得2分；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(3)承诺接到招标人电话通知后4小时（含）内机械设备、人员进场服务的，得1分；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(4)承诺接到招标人电话通知后超过4小时机械设备、人员进场服务的，得0分。</w:t>
            </w:r>
          </w:p>
          <w:p>
            <w:pPr>
              <w:pStyle w:val="62"/>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lang w:eastAsia="zh-CN"/>
              </w:rPr>
            </w:pPr>
            <w:r>
              <w:rPr>
                <w:rFonts w:hint="eastAsia" w:asci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根据《服务响应时间承诺书》对应的内容进行评审。提供承诺函加盖投标人公章</w:t>
            </w:r>
            <w:r>
              <w:rPr>
                <w:rFonts w:hint="eastAsia" w:ascii="宋体" w:eastAsia="宋体" w:cs="宋体"/>
                <w:b/>
                <w:bCs/>
                <w:color w:val="auto"/>
                <w:sz w:val="21"/>
                <w:szCs w:val="21"/>
                <w:highlight w:val="none"/>
                <w:lang w:eastAsia="zh-CN"/>
              </w:rPr>
              <w:t>；</w:t>
            </w:r>
          </w:p>
          <w:p>
            <w:pPr>
              <w:pStyle w:val="62"/>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本项按最高得分计算一次，不重复得分。</w:t>
            </w:r>
          </w:p>
        </w:tc>
        <w:tc>
          <w:tcPr>
            <w:tcW w:w="908" w:type="dxa"/>
            <w:gridSpan w:val="2"/>
            <w:tcBorders>
              <w:top w:val="single" w:color="auto" w:sz="4" w:space="0"/>
              <w:left w:val="single" w:color="auto" w:sz="4" w:space="0"/>
              <w:right w:val="single" w:color="auto" w:sz="4" w:space="0"/>
            </w:tcBorders>
            <w:vAlign w:val="center"/>
          </w:tcPr>
          <w:p>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bookmarkEnd w:id="857"/>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rPr>
        <w:t>根据有效投标人的</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，最低</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作为基准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（Y）。投标人</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（X）等于基准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858" w:name="_Toc31624_WPSOffice_Level2"/>
      <w:r>
        <w:rPr>
          <w:rFonts w:hint="eastAsia" w:ascii="宋体" w:hAnsi="宋体" w:eastAsia="宋体" w:cs="宋体"/>
          <w:color w:val="auto"/>
          <w:kern w:val="0"/>
          <w:szCs w:val="28"/>
          <w:highlight w:val="none"/>
          <w:lang w:val="zh-CN"/>
        </w:rPr>
        <w:t>评标总得分=F1＋F2＋……+Fn</w:t>
      </w:r>
      <w:bookmarkEnd w:id="858"/>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59" w:name="_Toc13236_WPSOffice_Level2"/>
      <w:r>
        <w:rPr>
          <w:rFonts w:hint="eastAsia" w:ascii="宋体" w:hAnsi="宋体" w:eastAsia="宋体" w:cs="宋体"/>
          <w:color w:val="auto"/>
          <w:kern w:val="0"/>
          <w:szCs w:val="21"/>
          <w:highlight w:val="none"/>
        </w:rPr>
        <w:t>F1、F2、……Fn分别为各项评分因素的得分</w:t>
      </w:r>
      <w:bookmarkEnd w:id="859"/>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860" w:name="_Toc518_WPSOffice_Level1"/>
      <w:r>
        <w:rPr>
          <w:rFonts w:hint="eastAsia" w:ascii="宋体" w:hAnsi="宋体" w:eastAsia="宋体" w:cs="宋体"/>
          <w:b/>
          <w:bCs/>
          <w:color w:val="auto"/>
          <w:sz w:val="28"/>
          <w:szCs w:val="28"/>
          <w:highlight w:val="none"/>
          <w:lang w:val="zh-CN"/>
        </w:rPr>
        <w:t>五、推荐中标人</w:t>
      </w:r>
      <w:bookmarkEnd w:id="860"/>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61" w:name="_Toc22724_WPSOffice_Level1"/>
      <w:r>
        <w:rPr>
          <w:rFonts w:hint="eastAsia" w:ascii="宋体" w:hAnsi="宋体" w:eastAsia="宋体" w:cs="宋体"/>
          <w:b/>
          <w:bCs/>
          <w:color w:val="auto"/>
          <w:sz w:val="28"/>
          <w:szCs w:val="28"/>
          <w:highlight w:val="none"/>
          <w:lang w:val="zh-CN"/>
        </w:rPr>
        <w:t>六、编写评标报告</w:t>
      </w:r>
      <w:bookmarkEnd w:id="861"/>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62" w:name="_Toc23773_WPSOffice_Level1"/>
      <w:r>
        <w:rPr>
          <w:rFonts w:hint="eastAsia" w:ascii="宋体" w:hAnsi="宋体" w:eastAsia="宋体" w:cs="宋体"/>
          <w:b/>
          <w:bCs/>
          <w:color w:val="auto"/>
          <w:sz w:val="28"/>
          <w:szCs w:val="28"/>
          <w:highlight w:val="none"/>
          <w:lang w:val="zh-CN"/>
        </w:rPr>
        <w:t>七、注意事项</w:t>
      </w:r>
      <w:bookmarkEnd w:id="862"/>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20"/>
    <w:bookmarkEnd w:id="836"/>
    <w:bookmarkEnd w:id="837"/>
    <w:bookmarkEnd w:id="838"/>
    <w:p>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34CDC8-3319-4802-A814-11CC653ACE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A4D7EED8-45F4-4959-A143-06851105BD7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2FF0B4BC-F8E1-4A7F-B62C-C020B123B13D}"/>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4EEBBE94-61D7-4F5F-8934-1276D76DDE8B}"/>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9497"/>
        </w:tabs>
        <w:ind w:left="9497" w:hanging="425"/>
      </w:pPr>
      <w:rPr>
        <w:rFonts w:hint="eastAsia"/>
      </w:rPr>
    </w:lvl>
    <w:lvl w:ilvl="1" w:tentative="0">
      <w:start w:val="1"/>
      <w:numFmt w:val="decimal"/>
      <w:lvlText w:val="%1.%2"/>
      <w:lvlJc w:val="left"/>
      <w:pPr>
        <w:tabs>
          <w:tab w:val="left" w:pos="9639"/>
        </w:tabs>
        <w:ind w:left="9639" w:hanging="567"/>
      </w:pPr>
      <w:rPr>
        <w:rFonts w:hint="default" w:ascii="等线 Light" w:hAnsi="等线 Light" w:eastAsia="等线 Light" w:cs="等线 Light"/>
        <w:b w:val="0"/>
        <w:dstrike w:val="0"/>
      </w:rPr>
    </w:lvl>
    <w:lvl w:ilvl="2" w:tentative="0">
      <w:start w:val="1"/>
      <w:numFmt w:val="decimal"/>
      <w:lvlText w:val="14.1.%3."/>
      <w:lvlJc w:val="left"/>
      <w:pPr>
        <w:tabs>
          <w:tab w:val="left" w:pos="10775"/>
        </w:tabs>
        <w:ind w:left="10775" w:hanging="851"/>
      </w:pPr>
      <w:rPr>
        <w:rFonts w:hint="eastAsia"/>
        <w:b w:val="0"/>
        <w:color w:val="auto"/>
        <w:sz w:val="21"/>
        <w:szCs w:val="21"/>
      </w:rPr>
    </w:lvl>
    <w:lvl w:ilvl="3" w:tentative="0">
      <w:start w:val="1"/>
      <w:numFmt w:val="decimal"/>
      <w:pStyle w:val="202"/>
      <w:lvlText w:val="%1.%2.%3.%4"/>
      <w:lvlJc w:val="left"/>
      <w:pPr>
        <w:tabs>
          <w:tab w:val="left" w:pos="9923"/>
        </w:tabs>
        <w:ind w:left="9923" w:hanging="851"/>
      </w:pPr>
      <w:rPr>
        <w:rFonts w:hint="eastAsia"/>
        <w:dstrike w:val="0"/>
      </w:rPr>
    </w:lvl>
    <w:lvl w:ilvl="4" w:tentative="0">
      <w:start w:val="1"/>
      <w:numFmt w:val="decimal"/>
      <w:lvlText w:val="%1.%2.%3.%4.%5."/>
      <w:lvlJc w:val="left"/>
      <w:pPr>
        <w:tabs>
          <w:tab w:val="left" w:pos="10064"/>
        </w:tabs>
        <w:ind w:left="10064" w:hanging="992"/>
      </w:pPr>
      <w:rPr>
        <w:rFonts w:hint="eastAsia"/>
      </w:rPr>
    </w:lvl>
    <w:lvl w:ilvl="5" w:tentative="0">
      <w:start w:val="1"/>
      <w:numFmt w:val="decimal"/>
      <w:lvlText w:val="%1.%2.%3.%4.%5.%6."/>
      <w:lvlJc w:val="left"/>
      <w:pPr>
        <w:tabs>
          <w:tab w:val="left" w:pos="10206"/>
        </w:tabs>
        <w:ind w:left="10206" w:hanging="1134"/>
      </w:pPr>
      <w:rPr>
        <w:rFonts w:hint="eastAsia"/>
      </w:rPr>
    </w:lvl>
    <w:lvl w:ilvl="6" w:tentative="0">
      <w:start w:val="1"/>
      <w:numFmt w:val="decimal"/>
      <w:lvlText w:val="%1.%2.%3.%4.%5.%6.%7."/>
      <w:lvlJc w:val="left"/>
      <w:pPr>
        <w:tabs>
          <w:tab w:val="left" w:pos="10348"/>
        </w:tabs>
        <w:ind w:left="10348" w:hanging="1276"/>
      </w:pPr>
      <w:rPr>
        <w:rFonts w:hint="eastAsia"/>
      </w:rPr>
    </w:lvl>
    <w:lvl w:ilvl="7" w:tentative="0">
      <w:start w:val="1"/>
      <w:numFmt w:val="decimal"/>
      <w:lvlText w:val="%1.%2.%3.%4.%5.%6.%7.%8."/>
      <w:lvlJc w:val="left"/>
      <w:pPr>
        <w:tabs>
          <w:tab w:val="left" w:pos="10490"/>
        </w:tabs>
        <w:ind w:left="10490" w:hanging="1418"/>
      </w:pPr>
      <w:rPr>
        <w:rFonts w:hint="eastAsia"/>
      </w:rPr>
    </w:lvl>
    <w:lvl w:ilvl="8" w:tentative="0">
      <w:start w:val="1"/>
      <w:numFmt w:val="decimal"/>
      <w:lvlText w:val="%1.%2.%3.%4.%5.%6.%7.%8.%9."/>
      <w:lvlJc w:val="left"/>
      <w:pPr>
        <w:tabs>
          <w:tab w:val="left" w:pos="10631"/>
        </w:tabs>
        <w:ind w:left="10631" w:hanging="1559"/>
      </w:pPr>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06560993-4227-4df7-bff3-e45ce2408bed"/>
  </w:docVars>
  <w:rsids>
    <w:rsidRoot w:val="00000000"/>
    <w:rsid w:val="00140512"/>
    <w:rsid w:val="02615718"/>
    <w:rsid w:val="02A00385"/>
    <w:rsid w:val="060A2B37"/>
    <w:rsid w:val="0A82646D"/>
    <w:rsid w:val="10684B75"/>
    <w:rsid w:val="12026AA2"/>
    <w:rsid w:val="12341E87"/>
    <w:rsid w:val="13107F5F"/>
    <w:rsid w:val="15883EF3"/>
    <w:rsid w:val="16902340"/>
    <w:rsid w:val="19BE24E5"/>
    <w:rsid w:val="1BFE016B"/>
    <w:rsid w:val="290269E7"/>
    <w:rsid w:val="293A111A"/>
    <w:rsid w:val="2BC80A55"/>
    <w:rsid w:val="2C920DBC"/>
    <w:rsid w:val="34C91C8B"/>
    <w:rsid w:val="34FA4911"/>
    <w:rsid w:val="35151DC2"/>
    <w:rsid w:val="39CC2EC6"/>
    <w:rsid w:val="3CE82ECA"/>
    <w:rsid w:val="3EB739D4"/>
    <w:rsid w:val="42A6291D"/>
    <w:rsid w:val="45100703"/>
    <w:rsid w:val="48A91760"/>
    <w:rsid w:val="53644F00"/>
    <w:rsid w:val="55216B22"/>
    <w:rsid w:val="57265E44"/>
    <w:rsid w:val="58304A40"/>
    <w:rsid w:val="597B0B7D"/>
    <w:rsid w:val="5B6F37F1"/>
    <w:rsid w:val="616E7612"/>
    <w:rsid w:val="62A73D62"/>
    <w:rsid w:val="63C11D84"/>
    <w:rsid w:val="65AC068A"/>
    <w:rsid w:val="667A42E4"/>
    <w:rsid w:val="6E0C2D98"/>
    <w:rsid w:val="71F47147"/>
    <w:rsid w:val="76B526B4"/>
    <w:rsid w:val="7803723E"/>
    <w:rsid w:val="797A051B"/>
    <w:rsid w:val="79B31D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unhideWhenUsed/>
    <w:qFormat/>
    <w:uiPriority w:val="1"/>
  </w:style>
  <w:style w:type="table" w:default="1" w:styleId="3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5"/>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3"/>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4"/>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6"/>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customStyle="1"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2"/>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样式4"/>
    <w:basedOn w:val="1"/>
    <w:qFormat/>
    <w:uiPriority w:val="0"/>
    <w:pPr>
      <w:numPr>
        <w:ilvl w:val="3"/>
        <w:numId w:val="1"/>
      </w:numPr>
      <w:tabs>
        <w:tab w:val="left" w:pos="851"/>
        <w:tab w:val="left" w:pos="1984"/>
      </w:tabs>
      <w:autoSpaceDE/>
      <w:autoSpaceDN/>
      <w:adjustRightInd/>
      <w:jc w:val="both"/>
    </w:pPr>
    <w:rPr>
      <w:rFonts w:ascii="等线 Light"/>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68767</Words>
  <Characters>72359</Characters>
  <Lines>1</Lines>
  <Paragraphs>1</Paragraphs>
  <TotalTime>3</TotalTime>
  <ScaleCrop>false</ScaleCrop>
  <LinksUpToDate>false</LinksUpToDate>
  <CharactersWithSpaces>75380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柒</cp:lastModifiedBy>
  <cp:lastPrinted>2024-01-27T00:00:00Z</cp:lastPrinted>
  <dcterms:modified xsi:type="dcterms:W3CDTF">2025-04-14T07:45:58Z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93621AE0AD3B260DDD42B5673BD17F1B_33</vt:lpwstr>
  </property>
  <property fmtid="{D5CDD505-2E9C-101B-9397-08002B2CF9AE}" pid="4" name="KSOTemplateDocerSaveRecord">
    <vt:lpwstr>eyJoZGlkIjoiYTA5ZjFjOTQ2NTNkMTFkZmFlYjNmMDAxZDRiODc3NjEiLCJ1c2VySWQiOiIzMDE5NDU0MDYifQ==</vt:lpwstr>
  </property>
</Properties>
</file>