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FB44F">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1CDB3F5B">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rPr>
        <w:t>珠三角水资源配置工程东莞配套芦花坑水厂一期配水管线工程-C标段第三方检测服务采购项目</w:t>
      </w:r>
    </w:p>
    <w:p w14:paraId="3E86B076">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46E2A030">
      <w:pPr>
        <w:autoSpaceDE w:val="0"/>
        <w:autoSpaceDN w:val="0"/>
        <w:adjustRightInd w:val="0"/>
        <w:ind w:right="-23" w:rightChars="-11"/>
        <w:jc w:val="center"/>
        <w:rPr>
          <w:rFonts w:ascii="宋体" w:hAnsi="宋体" w:eastAsia="宋体" w:cs="Times New Roman"/>
          <w:b/>
          <w:bCs/>
          <w:color w:val="auto"/>
          <w:sz w:val="72"/>
          <w:szCs w:val="72"/>
          <w:highlight w:val="none"/>
          <w:lang w:val="zh-CN"/>
        </w:rPr>
      </w:pPr>
    </w:p>
    <w:p w14:paraId="01E82D66">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71A9DF8E">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17242271">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79FEE387">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62451B8A">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0FF29575">
      <w:pPr>
        <w:autoSpaceDE w:val="0"/>
        <w:autoSpaceDN w:val="0"/>
        <w:adjustRightInd w:val="0"/>
        <w:spacing w:line="480" w:lineRule="auto"/>
        <w:ind w:left="1842" w:leftChars="877" w:firstLine="19" w:firstLineChars="6"/>
        <w:jc w:val="left"/>
        <w:rPr>
          <w:rFonts w:hint="eastAsia" w:ascii="宋体" w:hAnsi="宋体" w:eastAsia="宋体" w:cs="Times New Roman"/>
          <w:b/>
          <w:bCs/>
          <w:color w:val="auto"/>
          <w:sz w:val="32"/>
          <w:szCs w:val="32"/>
          <w:highlight w:val="none"/>
          <w:lang w:val="zh-CN"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号：WTZB2025DG000</w:t>
      </w:r>
      <w:r>
        <w:rPr>
          <w:rFonts w:hint="eastAsia" w:ascii="宋体" w:hAnsi="宋体" w:eastAsia="宋体" w:cs="Times New Roman"/>
          <w:b/>
          <w:bCs/>
          <w:color w:val="auto"/>
          <w:sz w:val="32"/>
          <w:szCs w:val="32"/>
          <w:highlight w:val="none"/>
          <w:lang w:val="en-US" w:eastAsia="zh-CN"/>
        </w:rPr>
        <w:t>4</w:t>
      </w:r>
    </w:p>
    <w:p w14:paraId="4AF18CBE">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人：东莞市水务集团建设管理有限公司</w:t>
      </w:r>
    </w:p>
    <w:p w14:paraId="484B558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招标代理机构：广州宏达工程顾问集团有限公司</w:t>
      </w:r>
    </w:p>
    <w:p w14:paraId="738B2828">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0E88D4C9">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6F4134BC">
      <w:pPr>
        <w:autoSpaceDE w:val="0"/>
        <w:autoSpaceDN w:val="0"/>
        <w:adjustRightInd w:val="0"/>
        <w:spacing w:line="360" w:lineRule="auto"/>
        <w:ind w:right="-23" w:rightChars="-11"/>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04</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03</w:t>
      </w:r>
      <w:bookmarkStart w:id="905" w:name="_GoBack"/>
      <w:bookmarkEnd w:id="905"/>
      <w:r>
        <w:rPr>
          <w:rFonts w:hint="eastAsia" w:ascii="宋体" w:hAnsi="宋体" w:eastAsia="宋体" w:cs="宋体"/>
          <w:b/>
          <w:bCs/>
          <w:color w:val="auto"/>
          <w:sz w:val="32"/>
          <w:szCs w:val="32"/>
          <w:highlight w:val="none"/>
          <w:lang w:val="zh-CN"/>
        </w:rPr>
        <w:t>日</w:t>
      </w:r>
    </w:p>
    <w:p w14:paraId="3B1E6591">
      <w:pPr>
        <w:autoSpaceDE/>
        <w:autoSpaceDN/>
        <w:adjustRightInd/>
        <w:spacing w:line="240" w:lineRule="auto"/>
        <w:ind w:right="0" w:rightChars="0"/>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5C538156">
      <w:pPr>
        <w:pStyle w:val="2"/>
        <w:rPr>
          <w:color w:val="auto"/>
          <w:highlight w:val="none"/>
        </w:rPr>
      </w:pPr>
    </w:p>
    <w:sdt>
      <w:sdtPr>
        <w:rPr>
          <w:rFonts w:ascii="宋体" w:hAnsi="宋体" w:eastAsia="宋体" w:cs="黑体"/>
          <w:color w:val="auto"/>
          <w:kern w:val="2"/>
          <w:sz w:val="21"/>
          <w:szCs w:val="22"/>
          <w:highlight w:val="none"/>
          <w:lang w:val="en-US" w:eastAsia="zh-CN" w:bidi="ar-SA"/>
        </w:rPr>
        <w:id w:val="147450933"/>
        <w15:color w:val="DBDBDB"/>
        <w:docPartObj>
          <w:docPartGallery w:val="Table of Contents"/>
          <w:docPartUnique/>
        </w:docPartObj>
      </w:sdtPr>
      <w:sdtEndPr>
        <w:rPr>
          <w:rFonts w:ascii="宋体" w:hAnsi="宋体" w:eastAsia="宋体" w:cs="黑体"/>
          <w:color w:val="auto"/>
          <w:kern w:val="2"/>
          <w:sz w:val="21"/>
          <w:szCs w:val="22"/>
          <w:highlight w:val="none"/>
          <w:lang w:val="en-US" w:eastAsia="zh-CN" w:bidi="ar-SA"/>
        </w:rPr>
      </w:sdtEndPr>
      <w:sdtContent>
        <w:p w14:paraId="20DCB4F2">
          <w:pPr>
            <w:spacing w:before="0" w:beforeLines="0" w:after="0" w:afterLines="0" w:line="240" w:lineRule="auto"/>
            <w:ind w:left="0" w:leftChars="0" w:right="0" w:rightChars="0" w:firstLine="0" w:firstLineChars="0"/>
            <w:jc w:val="center"/>
            <w:rPr>
              <w:color w:val="auto"/>
              <w:highlight w:val="none"/>
            </w:rPr>
          </w:pPr>
          <w:r>
            <w:rPr>
              <w:rFonts w:ascii="宋体" w:hAnsi="宋体" w:eastAsia="宋体"/>
              <w:b/>
              <w:bCs/>
              <w:color w:val="auto"/>
              <w:sz w:val="28"/>
              <w:szCs w:val="32"/>
              <w:highlight w:val="none"/>
            </w:rPr>
            <w:t>目</w:t>
          </w:r>
          <w:r>
            <w:rPr>
              <w:rFonts w:hint="eastAsia" w:ascii="宋体" w:hAnsi="宋体" w:eastAsia="宋体"/>
              <w:b/>
              <w:bCs/>
              <w:color w:val="auto"/>
              <w:sz w:val="28"/>
              <w:szCs w:val="32"/>
              <w:highlight w:val="none"/>
              <w:lang w:val="en-US" w:eastAsia="zh-CN"/>
            </w:rPr>
            <w:t xml:space="preserve">    </w:t>
          </w:r>
          <w:r>
            <w:rPr>
              <w:rFonts w:ascii="宋体" w:hAnsi="宋体" w:eastAsia="宋体"/>
              <w:b/>
              <w:bCs/>
              <w:color w:val="auto"/>
              <w:sz w:val="28"/>
              <w:szCs w:val="32"/>
              <w:highlight w:val="none"/>
            </w:rPr>
            <w:t>录</w:t>
          </w:r>
        </w:p>
        <w:p w14:paraId="7D035D46">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_Toc28366 </w:instrText>
          </w:r>
          <w:r>
            <w:rPr>
              <w:rFonts w:hint="eastAsia" w:ascii="宋体" w:hAnsi="宋体" w:eastAsia="宋体" w:cs="宋体"/>
              <w:highlight w:val="none"/>
            </w:rPr>
            <w:fldChar w:fldCharType="separate"/>
          </w:r>
          <w:r>
            <w:rPr>
              <w:rFonts w:hint="eastAsia" w:ascii="宋体" w:hAnsi="宋体" w:eastAsia="宋体" w:cs="宋体"/>
              <w:bCs/>
              <w:kern w:val="44"/>
              <w:szCs w:val="32"/>
              <w:highlight w:val="none"/>
              <w:lang w:val="zh-CN"/>
            </w:rPr>
            <w:t>第</w:t>
          </w:r>
          <w:r>
            <w:rPr>
              <w:rFonts w:hint="eastAsia" w:ascii="宋体" w:hAnsi="宋体" w:eastAsia="宋体" w:cs="宋体"/>
              <w:bCs/>
              <w:kern w:val="44"/>
              <w:szCs w:val="32"/>
              <w:highlight w:val="none"/>
              <w:lang w:val="en-US" w:eastAsia="zh-CN"/>
            </w:rPr>
            <w:t>一</w:t>
          </w:r>
          <w:r>
            <w:rPr>
              <w:rFonts w:hint="eastAsia" w:ascii="宋体" w:hAnsi="宋体" w:eastAsia="宋体" w:cs="宋体"/>
              <w:bCs/>
              <w:kern w:val="44"/>
              <w:szCs w:val="32"/>
              <w:highlight w:val="none"/>
              <w:lang w:val="zh-CN"/>
            </w:rPr>
            <w:t>篇</w:t>
          </w:r>
          <w:r>
            <w:rPr>
              <w:rFonts w:hint="eastAsia" w:ascii="宋体" w:hAnsi="宋体" w:eastAsia="宋体" w:cs="宋体"/>
              <w:bCs/>
              <w:kern w:val="44"/>
              <w:szCs w:val="32"/>
              <w:highlight w:val="none"/>
            </w:rPr>
            <w:t xml:space="preserve"> </w:t>
          </w:r>
          <w:r>
            <w:rPr>
              <w:rFonts w:hint="eastAsia" w:ascii="宋体" w:hAnsi="宋体" w:eastAsia="宋体" w:cs="宋体"/>
              <w:bCs/>
              <w:kern w:val="44"/>
              <w:szCs w:val="32"/>
              <w:highlight w:val="none"/>
              <w:lang w:val="en-US" w:eastAsia="zh-CN"/>
            </w:rPr>
            <w:t>招标公告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_Toc28366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1AA748E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_Toc11944 </w:instrText>
          </w:r>
          <w:r>
            <w:rPr>
              <w:rFonts w:hint="eastAsia" w:ascii="宋体" w:hAnsi="宋体" w:eastAsia="宋体" w:cs="宋体"/>
              <w:highlight w:val="none"/>
            </w:rPr>
            <w:fldChar w:fldCharType="separate"/>
          </w:r>
          <w:r>
            <w:rPr>
              <w:rFonts w:hint="eastAsia" w:ascii="宋体" w:hAnsi="宋体" w:eastAsia="宋体" w:cs="宋体"/>
              <w:bCs/>
              <w:kern w:val="44"/>
              <w:szCs w:val="32"/>
              <w:highlight w:val="none"/>
              <w:lang w:val="zh-CN"/>
            </w:rPr>
            <w:t>第二篇</w:t>
          </w:r>
          <w:r>
            <w:rPr>
              <w:rFonts w:hint="eastAsia" w:ascii="宋体" w:hAnsi="宋体" w:eastAsia="宋体" w:cs="宋体"/>
              <w:bCs/>
              <w:kern w:val="44"/>
              <w:szCs w:val="32"/>
              <w:highlight w:val="none"/>
            </w:rPr>
            <w:t xml:space="preserve"> </w:t>
          </w:r>
          <w:r>
            <w:rPr>
              <w:rFonts w:hint="eastAsia" w:ascii="宋体" w:hAnsi="宋体" w:eastAsia="宋体" w:cs="宋体"/>
              <w:bCs/>
              <w:kern w:val="44"/>
              <w:szCs w:val="32"/>
              <w:highlight w:val="none"/>
              <w:lang w:val="zh-CN"/>
            </w:rPr>
            <w:t>投标人须知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_Toc11944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1785E9AE">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_Toc11638 </w:instrText>
          </w:r>
          <w:r>
            <w:rPr>
              <w:rFonts w:hint="eastAsia" w:ascii="宋体" w:hAnsi="宋体" w:eastAsia="宋体" w:cs="宋体"/>
              <w:highlight w:val="none"/>
            </w:rPr>
            <w:fldChar w:fldCharType="separate"/>
          </w:r>
          <w:r>
            <w:rPr>
              <w:rFonts w:hint="eastAsia" w:ascii="宋体" w:hAnsi="宋体" w:eastAsia="宋体" w:cs="宋体"/>
              <w:bCs/>
              <w:kern w:val="44"/>
              <w:szCs w:val="21"/>
              <w:highlight w:val="none"/>
              <w:lang w:val="zh-CN"/>
            </w:rPr>
            <w:t>一、总则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_Toc11638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220C5C8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_Toc12714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1 资金来源：企业自筹资金。</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_Toc12714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10507FC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_Toc12323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2 合格的投标人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_Toc12323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01E8575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_Toc11434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3 合格的</w:t>
          </w:r>
          <w:r>
            <w:rPr>
              <w:rFonts w:hint="eastAsia" w:ascii="宋体" w:hAnsi="宋体" w:eastAsia="宋体" w:cs="宋体"/>
              <w:szCs w:val="21"/>
              <w:highlight w:val="none"/>
              <w:lang w:val="en-US" w:eastAsia="zh-CN"/>
            </w:rPr>
            <w:t>服务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_Toc11434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2423E21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_Toc17327 </w:instrText>
          </w:r>
          <w:r>
            <w:rPr>
              <w:rFonts w:hint="eastAsia" w:ascii="宋体" w:hAnsi="宋体" w:eastAsia="宋体" w:cs="宋体"/>
              <w:highlight w:val="none"/>
            </w:rPr>
            <w:fldChar w:fldCharType="separate"/>
          </w:r>
          <w:r>
            <w:rPr>
              <w:rFonts w:hint="eastAsia" w:ascii="宋体" w:hAnsi="宋体" w:eastAsia="宋体" w:cs="宋体"/>
              <w:szCs w:val="21"/>
              <w:highlight w:val="none"/>
              <w:lang w:val="zh-CN"/>
            </w:rPr>
            <w:t>4 其它说明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_Toc17327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0245872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_Toc15237 </w:instrText>
          </w:r>
          <w:r>
            <w:rPr>
              <w:rFonts w:hint="eastAsia" w:ascii="宋体" w:hAnsi="宋体" w:eastAsia="宋体" w:cs="宋体"/>
              <w:highlight w:val="none"/>
            </w:rPr>
            <w:fldChar w:fldCharType="separate"/>
          </w:r>
          <w:r>
            <w:rPr>
              <w:rFonts w:hint="eastAsia" w:ascii="宋体" w:hAnsi="宋体" w:eastAsia="宋体" w:cs="宋体"/>
              <w:bCs/>
              <w:kern w:val="44"/>
              <w:szCs w:val="21"/>
              <w:highlight w:val="none"/>
              <w:lang w:val="zh-CN"/>
            </w:rPr>
            <w:t>二、招标文件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_Toc15237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73DAEB4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_Toc13636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_Toc13636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83347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_Toc7286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_Toc7286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E6AB94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_Toc16640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_Toc16640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1036F0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_Toc32427 </w:instrText>
          </w:r>
          <w:r>
            <w:rPr>
              <w:rFonts w:hint="eastAsia" w:ascii="宋体" w:hAnsi="宋体" w:eastAsia="宋体" w:cs="宋体"/>
              <w:highlight w:val="none"/>
            </w:rPr>
            <w:fldChar w:fldCharType="separate"/>
          </w:r>
          <w:r>
            <w:rPr>
              <w:rFonts w:hint="eastAsia" w:ascii="宋体" w:hAnsi="宋体" w:eastAsia="宋体" w:cs="宋体"/>
              <w:bCs/>
              <w:kern w:val="44"/>
              <w:szCs w:val="21"/>
              <w:highlight w:val="none"/>
              <w:lang w:val="zh-CN"/>
            </w:rPr>
            <w:t>三、投标文件的编制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_Toc32427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1495BDC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_Toc22212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4ACD15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_Toc8801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62E844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_Toc28225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_Toc28225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C8937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B81A27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27859E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_Toc2301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2BBF92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_Toc29318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_Toc29318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3D46CD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_Toc13134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_Toc13134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5C1622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_Toc20930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_Toc20930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4809D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_Toc2354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B60047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_Toc19176 </w:instrText>
          </w:r>
          <w:r>
            <w:rPr>
              <w:rFonts w:hint="eastAsia" w:ascii="宋体" w:hAnsi="宋体" w:eastAsia="宋体" w:cs="宋体"/>
              <w:highlight w:val="none"/>
            </w:rPr>
            <w:fldChar w:fldCharType="separate"/>
          </w:r>
          <w:r>
            <w:rPr>
              <w:rFonts w:hint="eastAsia" w:ascii="宋体" w:hAnsi="宋体" w:eastAsia="宋体" w:cs="宋体"/>
              <w:bCs/>
              <w:kern w:val="44"/>
              <w:szCs w:val="21"/>
              <w:highlight w:val="none"/>
              <w:lang w:val="zh-CN"/>
            </w:rPr>
            <w:t>四、投标文件的递交</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_Toc19176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5BF8048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_Toc11359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96F7D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_Toc14371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_Toc14371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630D4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_Toc22673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_Toc22673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00BFE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523EB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_Toc14220 </w:instrText>
          </w:r>
          <w:r>
            <w:rPr>
              <w:rFonts w:hint="eastAsia" w:ascii="宋体" w:hAnsi="宋体" w:eastAsia="宋体" w:cs="宋体"/>
              <w:highlight w:val="none"/>
            </w:rPr>
            <w:fldChar w:fldCharType="separate"/>
          </w:r>
          <w:r>
            <w:rPr>
              <w:rFonts w:hint="eastAsia" w:ascii="宋体" w:hAnsi="宋体" w:eastAsia="宋体" w:cs="宋体"/>
              <w:bCs/>
              <w:kern w:val="44"/>
              <w:szCs w:val="21"/>
              <w:highlight w:val="none"/>
              <w:lang w:val="zh-CN"/>
            </w:rPr>
            <w:t>五、开标与评标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_Toc14220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245FF97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_Toc6065 </w:instrText>
          </w:r>
          <w:r>
            <w:rPr>
              <w:rFonts w:hint="eastAsia" w:ascii="宋体" w:hAnsi="宋体" w:eastAsia="宋体" w:cs="宋体"/>
              <w:highlight w:val="none"/>
            </w:rPr>
            <w:fldChar w:fldCharType="separate"/>
          </w:r>
          <w:r>
            <w:rPr>
              <w:rFonts w:hint="eastAsia" w:ascii="宋体" w:hAnsi="宋体" w:eastAsia="宋体" w:cs="宋体"/>
              <w:color w:val="auto"/>
              <w:highlight w:val="none"/>
              <w:lang w:val="zh-CN"/>
            </w:rPr>
            <w:t xml:space="preserve">22 </w:t>
          </w:r>
          <w:r>
            <w:rPr>
              <w:rFonts w:hint="eastAsia" w:ascii="宋体" w:hAnsi="宋体" w:eastAsia="宋体" w:cs="宋体"/>
              <w:szCs w:val="21"/>
              <w:highlight w:val="none"/>
              <w:lang w:val="zh-CN"/>
            </w:rPr>
            <w:t>开标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_Toc6065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68BBB6E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_Toc29156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_Toc29156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7FFAD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8496F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_Toc19235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_Toc19235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0FCA5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86A35E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649EB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89A64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9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AFAFE9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_Toc3385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_Toc3385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E4E7B9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_Toc29442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_Toc29442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98C8A7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_Toc23006 </w:instrText>
          </w:r>
          <w:r>
            <w:rPr>
              <w:rFonts w:hint="eastAsia" w:ascii="宋体" w:hAnsi="宋体" w:eastAsia="宋体" w:cs="宋体"/>
              <w:highlight w:val="none"/>
            </w:rPr>
            <w:fldChar w:fldCharType="separate"/>
          </w:r>
          <w:r>
            <w:rPr>
              <w:rFonts w:hint="eastAsia" w:ascii="宋体" w:hAnsi="宋体" w:eastAsia="宋体" w:cs="宋体"/>
              <w:bCs/>
              <w:kern w:val="44"/>
              <w:szCs w:val="21"/>
              <w:highlight w:val="none"/>
              <w:lang w:val="zh-CN"/>
            </w:rPr>
            <w:t>六、授予合同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_Toc23006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395784C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_Toc14165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AD5F2B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DB8AE9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_Toc14149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_Toc14149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7A0CE4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_Toc17107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35 </w:t>
          </w:r>
          <w:r>
            <w:rPr>
              <w:rFonts w:hint="eastAsia" w:ascii="宋体" w:hAnsi="宋体" w:eastAsia="宋体" w:cs="宋体"/>
              <w:color w:val="auto"/>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_Toc17107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09EDC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_Toc17812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_Toc17812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DBB6B7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_Toc26457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37</w:t>
          </w:r>
          <w:r>
            <w:rPr>
              <w:rFonts w:hint="eastAsia" w:ascii="宋体" w:hAnsi="宋体" w:eastAsia="宋体" w:cs="宋体"/>
              <w:color w:val="auto"/>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_Toc26457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3F7F3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_Toc11552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_Toc11552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393866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_Toc4919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_Toc4919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FC330C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_Toc18339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_Toc18339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B7AA79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_Toc6755 </w:instrText>
          </w:r>
          <w:r>
            <w:rPr>
              <w:rFonts w:hint="eastAsia" w:ascii="宋体" w:hAnsi="宋体" w:eastAsia="宋体" w:cs="宋体"/>
              <w:highlight w:val="none"/>
            </w:rPr>
            <w:fldChar w:fldCharType="separate"/>
          </w:r>
          <w:r>
            <w:rPr>
              <w:rFonts w:hint="eastAsia" w:ascii="宋体" w:hAnsi="宋体" w:eastAsia="宋体" w:cs="宋体"/>
              <w:bCs/>
              <w:kern w:val="44"/>
              <w:szCs w:val="32"/>
              <w:highlight w:val="none"/>
              <w:lang w:val="zh-CN"/>
            </w:rPr>
            <w:t>第三篇 用户需求书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_Toc6755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4DC5DC7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_Toc27209 </w:instrText>
          </w:r>
          <w:r>
            <w:rPr>
              <w:rFonts w:hint="eastAsia" w:ascii="宋体" w:hAnsi="宋体" w:eastAsia="宋体" w:cs="宋体"/>
              <w:highlight w:val="none"/>
            </w:rPr>
            <w:fldChar w:fldCharType="separate"/>
          </w:r>
          <w:r>
            <w:rPr>
              <w:rFonts w:hint="eastAsia" w:ascii="宋体" w:hAnsi="宋体" w:eastAsia="宋体" w:cs="宋体"/>
              <w:bCs/>
              <w:kern w:val="44"/>
              <w:szCs w:val="32"/>
              <w:highlight w:val="none"/>
              <w:lang w:val="zh-CN"/>
            </w:rPr>
            <w:t>第四篇 合同条款格式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_Toc27209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25B7F08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_Toc4881 </w:instrText>
          </w:r>
          <w:r>
            <w:rPr>
              <w:rFonts w:hint="eastAsia" w:ascii="宋体" w:hAnsi="宋体" w:eastAsia="宋体" w:cs="宋体"/>
              <w:highlight w:val="none"/>
            </w:rPr>
            <w:fldChar w:fldCharType="separate"/>
          </w:r>
          <w:r>
            <w:rPr>
              <w:rFonts w:hint="eastAsia" w:ascii="宋体" w:hAnsi="宋体" w:eastAsia="宋体" w:cs="宋体"/>
              <w:bCs/>
              <w:szCs w:val="32"/>
              <w:highlight w:val="none"/>
              <w:lang w:val="zh-CN"/>
            </w:rPr>
            <w:t>第五篇 相关保函格式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_Toc4881 \h </w:instrText>
          </w:r>
          <w:r>
            <w:rPr>
              <w:rFonts w:hint="eastAsia" w:ascii="宋体" w:hAnsi="宋体" w:eastAsia="宋体" w:cs="宋体"/>
            </w:rPr>
            <w:fldChar w:fldCharType="separate"/>
          </w:r>
          <w:r>
            <w:rPr>
              <w:rFonts w:hint="eastAsia" w:ascii="宋体" w:hAnsi="宋体" w:eastAsia="宋体" w:cs="宋体"/>
            </w:rPr>
            <w:t>63</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30D158F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rPr>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_Toc15485 </w:instrText>
          </w:r>
          <w:r>
            <w:rPr>
              <w:rFonts w:hint="eastAsia" w:ascii="宋体" w:hAnsi="宋体" w:eastAsia="宋体" w:cs="宋体"/>
              <w:highlight w:val="none"/>
            </w:rPr>
            <w:fldChar w:fldCharType="separate"/>
          </w:r>
          <w:r>
            <w:rPr>
              <w:rFonts w:hint="eastAsia" w:ascii="宋体" w:hAnsi="宋体" w:eastAsia="宋体" w:cs="宋体"/>
              <w:bCs/>
              <w:kern w:val="44"/>
              <w:szCs w:val="32"/>
              <w:highlight w:val="none"/>
              <w:lang w:val="zh-CN"/>
            </w:rPr>
            <w:t>第六篇 投标文件格式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_Toc15485 \h </w:instrText>
          </w:r>
          <w:r>
            <w:rPr>
              <w:rFonts w:hint="eastAsia" w:ascii="宋体" w:hAnsi="宋体" w:eastAsia="宋体" w:cs="宋体"/>
            </w:rPr>
            <w:fldChar w:fldCharType="separate"/>
          </w:r>
          <w:r>
            <w:rPr>
              <w:rFonts w:hint="eastAsia" w:ascii="宋体" w:hAnsi="宋体" w:eastAsia="宋体" w:cs="宋体"/>
            </w:rPr>
            <w:t>66</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125377BB">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pPr>
          <w:r>
            <w:rPr>
              <w:rFonts w:hint="eastAsia" w:ascii="宋体" w:hAnsi="宋体" w:eastAsia="宋体" w:cs="宋体"/>
              <w:color w:val="auto"/>
              <w:highlight w:val="none"/>
            </w:rPr>
            <w:fldChar w:fldCharType="begin"/>
          </w:r>
          <w:r>
            <w:rPr>
              <w:rFonts w:hint="eastAsia" w:ascii="宋体" w:hAnsi="宋体" w:eastAsia="宋体" w:cs="宋体"/>
              <w:highlight w:val="none"/>
            </w:rPr>
            <w:instrText xml:space="preserve"> HYPERLINK \l _Toc28942 </w:instrText>
          </w:r>
          <w:r>
            <w:rPr>
              <w:rFonts w:hint="eastAsia" w:ascii="宋体" w:hAnsi="宋体" w:eastAsia="宋体" w:cs="宋体"/>
              <w:highlight w:val="none"/>
            </w:rPr>
            <w:fldChar w:fldCharType="separate"/>
          </w:r>
          <w:r>
            <w:rPr>
              <w:rFonts w:hint="eastAsia" w:ascii="宋体" w:hAnsi="宋体" w:eastAsia="宋体" w:cs="宋体"/>
              <w:bCs/>
              <w:kern w:val="44"/>
              <w:szCs w:val="32"/>
              <w:highlight w:val="none"/>
              <w:lang w:val="zh-CN"/>
            </w:rPr>
            <w:t>附件一：评标工作大纲</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_Toc28942 \h </w:instrText>
          </w:r>
          <w:r>
            <w:rPr>
              <w:rFonts w:hint="eastAsia" w:ascii="宋体" w:hAnsi="宋体" w:eastAsia="宋体" w:cs="宋体"/>
            </w:rPr>
            <w:fldChar w:fldCharType="separate"/>
          </w:r>
          <w:r>
            <w:rPr>
              <w:rFonts w:hint="eastAsia" w:ascii="宋体" w:hAnsi="宋体" w:eastAsia="宋体" w:cs="宋体"/>
            </w:rPr>
            <w:t>104</w:t>
          </w:r>
          <w:r>
            <w:rPr>
              <w:rFonts w:hint="eastAsia" w:ascii="宋体" w:hAnsi="宋体" w:eastAsia="宋体" w:cs="宋体"/>
            </w:rPr>
            <w:fldChar w:fldCharType="end"/>
          </w:r>
          <w:r>
            <w:rPr>
              <w:rFonts w:hint="eastAsia" w:ascii="宋体" w:hAnsi="宋体" w:eastAsia="宋体" w:cs="宋体"/>
              <w:color w:val="auto"/>
              <w:highlight w:val="none"/>
            </w:rPr>
            <w:fldChar w:fldCharType="end"/>
          </w:r>
        </w:p>
        <w:p w14:paraId="5AD7EF6D">
          <w:pPr>
            <w:spacing w:line="360" w:lineRule="auto"/>
            <w:rPr>
              <w:color w:val="auto"/>
              <w:highlight w:val="none"/>
            </w:rPr>
          </w:pPr>
          <w:r>
            <w:rPr>
              <w:color w:val="auto"/>
              <w:highlight w:val="none"/>
            </w:rPr>
            <w:fldChar w:fldCharType="end"/>
          </w:r>
        </w:p>
      </w:sdtContent>
    </w:sdt>
    <w:p w14:paraId="695BB5DB">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Times New Roman"/>
          <w:b/>
          <w:color w:val="auto"/>
          <w:kern w:val="0"/>
          <w:szCs w:val="21"/>
          <w:highlight w:val="none"/>
        </w:rPr>
      </w:pPr>
      <w:bookmarkStart w:id="0" w:name="_Toc28366"/>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14:paraId="7A4E1FC6">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东莞市水务集团建设管理有限公司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珠三角水资源配置工程东莞配套芦花坑水厂一期配水管线工程-C标段第三方检测服务采购项目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WTZB2025DG0004</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7722275A">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10E4A2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本项目由东莞市水务集团建设管理有限公司（以下简称“招标人”或“委托人”）采购一家检测服务单位（以下简称“中标人”或“检测人”）对东莞市水务集团供水有限公司（以下简称“项目业主”）委托招标人代建的</w:t>
      </w:r>
      <w:r>
        <w:rPr>
          <w:rFonts w:hint="eastAsia" w:ascii="宋体" w:hAnsi="宋体" w:eastAsia="宋体" w:cs="Times New Roman"/>
          <w:color w:val="auto"/>
          <w:szCs w:val="21"/>
          <w:highlight w:val="none"/>
          <w:lang w:val="en-US" w:eastAsia="zh-CN"/>
        </w:rPr>
        <w:t>珠三角水资源配置工程东莞配套芦花坑水厂一期配水管线工程-C标段</w:t>
      </w:r>
      <w:r>
        <w:rPr>
          <w:rFonts w:hint="eastAsia" w:ascii="宋体" w:hAnsi="宋体" w:eastAsia="宋体" w:cs="Times New Roman"/>
          <w:color w:val="auto"/>
          <w:szCs w:val="21"/>
          <w:highlight w:val="none"/>
          <w:lang w:val="zh-CN"/>
        </w:rPr>
        <w:t>（以下简称“本工程”）进行地基基础工程质量检测，钢结构、</w:t>
      </w:r>
      <w:r>
        <w:rPr>
          <w:rFonts w:hint="eastAsia" w:ascii="宋体" w:hAnsi="宋体" w:eastAsia="宋体" w:cs="Times New Roman"/>
          <w:color w:val="auto"/>
          <w:szCs w:val="21"/>
          <w:highlight w:val="none"/>
          <w:lang w:val="en-US" w:eastAsia="zh-CN"/>
        </w:rPr>
        <w:t>管道</w:t>
      </w:r>
      <w:r>
        <w:rPr>
          <w:rFonts w:hint="eastAsia" w:ascii="宋体" w:hAnsi="宋体" w:eastAsia="宋体" w:cs="Times New Roman"/>
          <w:color w:val="auto"/>
          <w:szCs w:val="21"/>
          <w:highlight w:val="none"/>
          <w:lang w:val="zh-CN"/>
        </w:rPr>
        <w:t>焊缝检测及涂层厚度检测，原材料、道路</w:t>
      </w:r>
      <w:r>
        <w:rPr>
          <w:rFonts w:hint="eastAsia" w:ascii="宋体" w:hAnsi="宋体" w:eastAsia="宋体" w:cs="Times New Roman"/>
          <w:color w:val="auto"/>
          <w:szCs w:val="21"/>
          <w:highlight w:val="none"/>
          <w:lang w:val="en-US" w:eastAsia="zh-CN"/>
        </w:rPr>
        <w:t>等实体检测</w:t>
      </w:r>
      <w:r>
        <w:rPr>
          <w:rFonts w:hint="eastAsia" w:ascii="宋体" w:hAnsi="宋体" w:eastAsia="宋体" w:cs="Times New Roman"/>
          <w:color w:val="auto"/>
          <w:szCs w:val="21"/>
          <w:highlight w:val="none"/>
          <w:lang w:val="zh-CN"/>
        </w:rPr>
        <w:t>及相关技术工作。（具体内容详见：第三篇用户需求书）。</w:t>
      </w:r>
    </w:p>
    <w:p w14:paraId="03BA3279">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73974601">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481D6E87">
      <w:pPr>
        <w:pStyle w:val="55"/>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1D54F4C0">
      <w:pPr>
        <w:pStyle w:val="55"/>
        <w:spacing w:line="360" w:lineRule="auto"/>
        <w:ind w:left="422" w:right="-29" w:rightChars="-14" w:hanging="422" w:hangingChars="200"/>
        <w:jc w:val="both"/>
        <w:rPr>
          <w:rFonts w:hint="eastAsia" w:hAnsi="宋体" w:eastAsia="宋体"/>
          <w:b/>
          <w:color w:val="auto"/>
          <w:sz w:val="21"/>
          <w:szCs w:val="21"/>
          <w:highlight w:val="none"/>
          <w:lang w:val="zh-CN"/>
        </w:rPr>
      </w:pPr>
      <w:bookmarkStart w:id="2" w:name="_Toc25819"/>
      <w:r>
        <w:rPr>
          <w:rFonts w:hint="eastAsia" w:hAnsi="宋体" w:eastAsia="宋体"/>
          <w:b/>
          <w:color w:val="auto"/>
          <w:sz w:val="21"/>
          <w:szCs w:val="21"/>
          <w:highlight w:val="none"/>
          <w:lang w:val="zh-CN"/>
        </w:rPr>
        <w:t>2.2</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投标人须</w:t>
      </w:r>
      <w:r>
        <w:rPr>
          <w:rFonts w:hint="eastAsia" w:hAnsi="宋体" w:eastAsia="宋体"/>
          <w:b/>
          <w:color w:val="auto"/>
          <w:sz w:val="21"/>
          <w:szCs w:val="21"/>
          <w:highlight w:val="none"/>
          <w:lang w:val="en-US" w:eastAsia="zh-CN"/>
        </w:rPr>
        <w:t>同时</w:t>
      </w:r>
      <w:r>
        <w:rPr>
          <w:rFonts w:hint="eastAsia" w:hAnsi="宋体" w:eastAsia="宋体"/>
          <w:b/>
          <w:color w:val="auto"/>
          <w:sz w:val="21"/>
          <w:szCs w:val="21"/>
          <w:highlight w:val="none"/>
          <w:lang w:val="zh-CN"/>
        </w:rPr>
        <w:t>具备由住房和城乡建设部门颁发的并在有效期内的建设工程质量检测机构资质证书（须同时涵盖见证取样检测、地基基础工程检测、主体结构工程现场检测、钢结构工程检测），或者是建设工程质量检测机构综合资质证书，或者是建设工程质量检测机构专项资质证书（须同时取得建筑材料及构配件、钢结构、地基基础、市政工程材料、道路工程</w:t>
      </w:r>
      <w:r>
        <w:rPr>
          <w:rFonts w:hint="eastAsia" w:hAnsi="宋体" w:eastAsia="宋体"/>
          <w:b/>
          <w:color w:val="auto"/>
          <w:sz w:val="21"/>
          <w:szCs w:val="21"/>
          <w:highlight w:val="none"/>
          <w:lang w:val="en-US" w:eastAsia="zh-CN"/>
        </w:rPr>
        <w:t>5</w:t>
      </w:r>
      <w:r>
        <w:rPr>
          <w:rFonts w:hint="eastAsia" w:hAnsi="宋体" w:eastAsia="宋体"/>
          <w:b/>
          <w:color w:val="auto"/>
          <w:sz w:val="21"/>
          <w:szCs w:val="21"/>
          <w:highlight w:val="none"/>
          <w:lang w:val="zh-CN"/>
        </w:rPr>
        <w:t>个专项资质）和计量行政部门颁发的CMA计量认证证书；</w:t>
      </w:r>
    </w:p>
    <w:p w14:paraId="635B9F48">
      <w:pPr>
        <w:pStyle w:val="55"/>
        <w:spacing w:line="360" w:lineRule="auto"/>
        <w:ind w:left="420" w:leftChars="200" w:right="-29" w:rightChars="-14" w:firstLine="0" w:firstLineChars="0"/>
        <w:jc w:val="both"/>
        <w:rPr>
          <w:rFonts w:hint="default" w:hAnsi="宋体" w:eastAsia="宋体"/>
          <w:b/>
          <w:color w:val="auto"/>
          <w:sz w:val="21"/>
          <w:szCs w:val="21"/>
          <w:highlight w:val="none"/>
          <w:lang w:val="en-US" w:eastAsia="zh-CN"/>
        </w:rPr>
      </w:pPr>
      <w:r>
        <w:rPr>
          <w:rFonts w:hint="eastAsia" w:hAnsi="宋体" w:eastAsia="宋体"/>
          <w:b/>
          <w:color w:val="auto"/>
          <w:sz w:val="21"/>
          <w:szCs w:val="21"/>
          <w:highlight w:val="none"/>
          <w:lang w:val="zh-CN"/>
        </w:rPr>
        <w:t>[注：</w:t>
      </w:r>
      <w:r>
        <w:rPr>
          <w:rFonts w:hint="eastAsia" w:hAnsi="宋体" w:eastAsia="宋体"/>
          <w:b/>
          <w:color w:val="auto"/>
          <w:sz w:val="21"/>
          <w:szCs w:val="21"/>
          <w:highlight w:val="none"/>
          <w:lang w:val="en-US" w:eastAsia="zh-CN"/>
        </w:rPr>
        <w:t>①根据《住房城乡建设部办公厅关于实施《建设工程质量检测管理办法》《建设工程质量检测机构资质标准》有关问题的通知》（建办质〔2024〕36号）规定，“为保障建设工程质量检测新旧资质平稳过渡，新旧资质过渡期延长至2024年10月31日。各省级住房城乡建设主管部门要结合地方实际，制定本地区实施细则”；</w:t>
      </w:r>
      <w:r>
        <w:rPr>
          <w:rFonts w:hint="default" w:hAnsi="宋体" w:eastAsia="宋体"/>
          <w:b/>
          <w:color w:val="auto"/>
          <w:sz w:val="21"/>
          <w:szCs w:val="21"/>
          <w:highlight w:val="none"/>
          <w:lang w:val="zh-CN" w:eastAsia="zh-CN"/>
        </w:rPr>
        <w:t>②属各省内各级住建主管部门审批的资质证书过期的，投标人如能提供该省有关顺延资质资格有效期有关文件且符合文件规定的，则视为仍然有效。③资质证书按规定已失效，未能重新办理核定领取新版资质证书的投标人，也未能提供顺延资质资格有效期有关文件或不符合文件规定的，参与本次项目投标的将作无效投标处理。</w:t>
      </w:r>
      <w:r>
        <w:rPr>
          <w:rFonts w:hint="eastAsia" w:hAnsi="宋体" w:eastAsia="宋体"/>
          <w:b/>
          <w:color w:val="auto"/>
          <w:sz w:val="21"/>
          <w:szCs w:val="21"/>
          <w:highlight w:val="none"/>
          <w:lang w:val="en-US" w:eastAsia="zh-CN"/>
        </w:rPr>
        <w:t>]</w:t>
      </w:r>
    </w:p>
    <w:p w14:paraId="2E9E68A2">
      <w:pPr>
        <w:pStyle w:val="55"/>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 xml:space="preserve">2.3 </w:t>
      </w:r>
      <w:r>
        <w:rPr>
          <w:rFonts w:hint="eastAsia" w:hAnsi="宋体" w:eastAsia="宋体"/>
          <w:b/>
          <w:color w:val="auto"/>
          <w:sz w:val="21"/>
          <w:szCs w:val="21"/>
          <w:highlight w:val="none"/>
          <w:lang w:val="zh-CN"/>
        </w:rPr>
        <w:t>投标人20</w:t>
      </w:r>
      <w:r>
        <w:rPr>
          <w:rFonts w:hint="eastAsia" w:hAnsi="宋体" w:eastAsia="宋体"/>
          <w:b/>
          <w:color w:val="auto"/>
          <w:sz w:val="21"/>
          <w:szCs w:val="21"/>
          <w:highlight w:val="none"/>
          <w:lang w:val="en-US" w:eastAsia="zh-CN"/>
        </w:rPr>
        <w:t>20</w:t>
      </w:r>
      <w:r>
        <w:rPr>
          <w:rFonts w:hint="eastAsia" w:hAnsi="宋体" w:eastAsia="宋体"/>
          <w:b/>
          <w:color w:val="auto"/>
          <w:sz w:val="21"/>
          <w:szCs w:val="21"/>
          <w:highlight w:val="none"/>
          <w:lang w:val="zh-CN"/>
        </w:rPr>
        <w:t>年</w:t>
      </w:r>
      <w:r>
        <w:rPr>
          <w:rFonts w:hAnsi="宋体" w:eastAsia="宋体"/>
          <w:b/>
          <w:color w:val="auto"/>
          <w:sz w:val="21"/>
          <w:szCs w:val="21"/>
          <w:highlight w:val="none"/>
          <w:lang w:val="zh-CN"/>
        </w:rPr>
        <w:t>1月1日以来具有一项市政工程检测业绩（合同签订日期为</w:t>
      </w:r>
      <w:r>
        <w:rPr>
          <w:rFonts w:hint="eastAsia" w:hAnsi="宋体" w:eastAsia="宋体"/>
          <w:b/>
          <w:color w:val="auto"/>
          <w:sz w:val="21"/>
          <w:szCs w:val="21"/>
          <w:highlight w:val="none"/>
          <w:lang w:val="zh-CN"/>
        </w:rPr>
        <w:t>20</w:t>
      </w:r>
      <w:r>
        <w:rPr>
          <w:rFonts w:hint="eastAsia" w:hAnsi="宋体" w:eastAsia="宋体"/>
          <w:b/>
          <w:color w:val="auto"/>
          <w:sz w:val="21"/>
          <w:szCs w:val="21"/>
          <w:highlight w:val="none"/>
          <w:lang w:val="en-US" w:eastAsia="zh-CN"/>
        </w:rPr>
        <w:t>20</w:t>
      </w:r>
      <w:r>
        <w:rPr>
          <w:rFonts w:hint="eastAsia" w:hAnsi="宋体" w:eastAsia="宋体"/>
          <w:b/>
          <w:color w:val="auto"/>
          <w:sz w:val="21"/>
          <w:szCs w:val="21"/>
          <w:highlight w:val="none"/>
          <w:lang w:val="zh-CN"/>
        </w:rPr>
        <w:t>年</w:t>
      </w:r>
      <w:r>
        <w:rPr>
          <w:rFonts w:hAnsi="宋体" w:eastAsia="宋体"/>
          <w:b/>
          <w:color w:val="auto"/>
          <w:sz w:val="21"/>
          <w:szCs w:val="21"/>
          <w:highlight w:val="none"/>
          <w:lang w:val="zh-CN"/>
        </w:rPr>
        <w:t>1月1日或以后）</w:t>
      </w:r>
      <w:r>
        <w:rPr>
          <w:rFonts w:hint="eastAsia" w:hAnsi="宋体" w:eastAsia="宋体"/>
          <w:b/>
          <w:color w:val="auto"/>
          <w:sz w:val="21"/>
          <w:szCs w:val="21"/>
          <w:highlight w:val="none"/>
          <w:lang w:val="zh-CN"/>
        </w:rPr>
        <w:t>；</w:t>
      </w:r>
    </w:p>
    <w:p w14:paraId="0BC85E08">
      <w:pPr>
        <w:pStyle w:val="55"/>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14:paraId="37620254">
      <w:pPr>
        <w:pStyle w:val="55"/>
        <w:spacing w:line="360" w:lineRule="auto"/>
        <w:ind w:right="-29" w:rightChars="-14" w:firstLine="0" w:firstLineChars="0"/>
        <w:jc w:val="both"/>
        <w:rPr>
          <w:rFonts w:hint="eastAsia" w:hAnsi="宋体" w:eastAsia="宋体"/>
          <w:b/>
          <w:color w:val="auto"/>
          <w:sz w:val="21"/>
          <w:szCs w:val="21"/>
          <w:highlight w:val="none"/>
          <w:lang w:val="zh-CN"/>
        </w:rPr>
      </w:pPr>
    </w:p>
    <w:p w14:paraId="5FD869B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009F9DD8">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7A6FBB5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1EAD79E">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70206F2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24172A5F">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04</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24</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59C505CA">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04</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24</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06EEB6BC">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zh-CN"/>
        </w:rPr>
        <w:t>广东省东莞市南城街道宏图路105号1栋313室开标室</w:t>
      </w:r>
      <w:r>
        <w:rPr>
          <w:rFonts w:hint="eastAsia" w:ascii="宋体" w:hAnsi="宋体" w:eastAsia="宋体" w:cs="Times New Roman"/>
          <w:color w:val="auto"/>
          <w:kern w:val="0"/>
          <w:szCs w:val="21"/>
          <w:highlight w:val="none"/>
        </w:rPr>
        <w:t>。</w:t>
      </w:r>
    </w:p>
    <w:p w14:paraId="39DB5CD7">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7633A6A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4F335EC9">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6EEABB6F">
      <w:pPr>
        <w:numPr>
          <w:ilvl w:val="0"/>
          <w:numId w:val="1"/>
        </w:numPr>
        <w:autoSpaceDE w:val="0"/>
        <w:autoSpaceDN w:val="0"/>
        <w:adjustRightInd w:val="0"/>
        <w:snapToGrid w:val="0"/>
        <w:spacing w:line="360" w:lineRule="auto"/>
        <w:ind w:right="-34"/>
        <w:jc w:val="left"/>
        <w:rPr>
          <w:rFonts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lang w:eastAsia="zh-CN"/>
        </w:rPr>
        <w:t>www.wangtat.com.cn</w:t>
      </w:r>
      <w:r>
        <w:rPr>
          <w:rFonts w:hint="eastAsia" w:ascii="宋体" w:hAnsi="宋体" w:eastAsia="宋体" w:cs="Times New Roman"/>
          <w:bCs/>
          <w:color w:val="auto"/>
          <w:szCs w:val="21"/>
          <w:highlight w:val="none"/>
        </w:rPr>
        <w:t>）</w:t>
      </w:r>
      <w:r>
        <w:rPr>
          <w:rFonts w:ascii="宋体" w:hAnsi="宋体" w:eastAsia="宋体" w:cs="Times New Roman"/>
          <w:color w:val="auto"/>
          <w:szCs w:val="21"/>
          <w:highlight w:val="none"/>
          <w:lang w:val="zh-CN"/>
        </w:rPr>
        <w:t>。</w:t>
      </w:r>
    </w:p>
    <w:p w14:paraId="33A08BB0">
      <w:pPr>
        <w:numPr>
          <w:ilvl w:val="0"/>
          <w:numId w:val="0"/>
        </w:numPr>
        <w:autoSpaceDE w:val="0"/>
        <w:autoSpaceDN w:val="0"/>
        <w:adjustRightInd w:val="0"/>
        <w:snapToGrid w:val="0"/>
        <w:spacing w:line="360" w:lineRule="auto"/>
        <w:ind w:leftChars="0" w:right="-34"/>
        <w:jc w:val="left"/>
        <w:rPr>
          <w:rFonts w:ascii="宋体" w:hAnsi="宋体" w:eastAsia="宋体" w:cs="Times New Roman"/>
          <w:bCs/>
          <w:color w:val="auto"/>
          <w:szCs w:val="21"/>
          <w:highlight w:val="none"/>
        </w:rPr>
      </w:pPr>
    </w:p>
    <w:p w14:paraId="380FEBA0">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696FF7A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东莞市水务集团建设管理有限公司</w:t>
      </w:r>
    </w:p>
    <w:p w14:paraId="36E2454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lang w:eastAsia="zh-CN"/>
        </w:rPr>
        <w:t>广东省东莞市南城街道滨河路100号一期1号楼102室</w:t>
      </w:r>
    </w:p>
    <w:p w14:paraId="1F252C79">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陈方凯</w:t>
      </w:r>
    </w:p>
    <w:p w14:paraId="4ACC3FD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0769-22008759</w:t>
      </w:r>
    </w:p>
    <w:p w14:paraId="4A02A8E1">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3A2A8561">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234DF1A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3" w:name="_Toc450662847"/>
      <w:bookmarkStart w:id="4" w:name="_Toc486167661"/>
      <w:bookmarkStart w:id="5"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广州宏达工程顾问集团有限公司</w:t>
      </w:r>
    </w:p>
    <w:p w14:paraId="59BB4BE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宋体"/>
          <w:color w:val="auto"/>
          <w:szCs w:val="21"/>
          <w:highlight w:val="none"/>
          <w:lang w:val="zh-CN"/>
        </w:rPr>
        <w:t>广东省东莞市南城街道宏图路105号1栋313室</w:t>
      </w:r>
    </w:p>
    <w:p w14:paraId="78EA230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杨素芬</w:t>
      </w:r>
    </w:p>
    <w:p w14:paraId="32752B1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宋体"/>
          <w:color w:val="auto"/>
          <w:szCs w:val="21"/>
          <w:highlight w:val="none"/>
          <w:lang w:val="zh-CN"/>
        </w:rPr>
        <w:t>0769-28056866-804</w:t>
      </w:r>
    </w:p>
    <w:p w14:paraId="5F74C60B">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42508311"/>
      <w:bookmarkStart w:id="7" w:name="_Toc11944"/>
      <w:bookmarkStart w:id="8" w:name="_Toc15111"/>
      <w:bookmarkStart w:id="9" w:name="_Toc18212"/>
      <w:bookmarkStart w:id="10" w:name="_Toc31498"/>
      <w:bookmarkStart w:id="11" w:name="_Toc5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bookmarkEnd w:id="10"/>
      <w:bookmarkEnd w:id="11"/>
    </w:p>
    <w:p w14:paraId="462D0952">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2" w:name="_Toc15366_WPSOffice_Level2"/>
      <w:bookmarkStart w:id="13" w:name="_Toc11638"/>
      <w:bookmarkStart w:id="14" w:name="_Toc9555"/>
      <w:bookmarkStart w:id="15" w:name="_Toc140596871"/>
      <w:bookmarkStart w:id="16" w:name="_Toc142508312"/>
      <w:bookmarkStart w:id="17" w:name="_Toc450662848"/>
      <w:bookmarkStart w:id="18" w:name="_Toc11520"/>
      <w:bookmarkStart w:id="19" w:name="_Toc518"/>
      <w:bookmarkStart w:id="20" w:name="_Toc24479"/>
      <w:bookmarkStart w:id="21" w:name="_Toc486167662"/>
      <w:r>
        <w:rPr>
          <w:rFonts w:hint="eastAsia" w:ascii="宋体" w:hAnsi="宋体" w:eastAsia="宋体" w:cs="宋体"/>
          <w:b/>
          <w:bCs/>
          <w:color w:val="auto"/>
          <w:kern w:val="44"/>
          <w:szCs w:val="21"/>
          <w:highlight w:val="none"/>
          <w:lang w:val="zh-CN"/>
        </w:rPr>
        <w:t>一、总则</w:t>
      </w:r>
      <w:bookmarkEnd w:id="12"/>
      <w:bookmarkEnd w:id="13"/>
      <w:bookmarkEnd w:id="14"/>
      <w:bookmarkEnd w:id="15"/>
      <w:bookmarkEnd w:id="16"/>
      <w:bookmarkEnd w:id="17"/>
      <w:bookmarkEnd w:id="18"/>
      <w:bookmarkEnd w:id="19"/>
      <w:bookmarkEnd w:id="20"/>
      <w:bookmarkEnd w:id="21"/>
    </w:p>
    <w:p w14:paraId="77DB9CC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 w:name="_Toc14514"/>
      <w:bookmarkStart w:id="23" w:name="_Toc12714"/>
      <w:bookmarkStart w:id="24" w:name="_Toc23333"/>
      <w:bookmarkStart w:id="25" w:name="_Toc21710_WPSOffice_Level3"/>
      <w:bookmarkStart w:id="26" w:name="_Toc486167663"/>
      <w:bookmarkStart w:id="27" w:name="_Toc142508313"/>
      <w:bookmarkStart w:id="28" w:name="_Toc450662849"/>
      <w:bookmarkStart w:id="29" w:name="_Toc9608"/>
      <w:bookmarkStart w:id="30" w:name="_Toc1630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2"/>
      <w:bookmarkEnd w:id="23"/>
      <w:bookmarkEnd w:id="24"/>
      <w:bookmarkEnd w:id="25"/>
      <w:bookmarkEnd w:id="26"/>
      <w:bookmarkEnd w:id="27"/>
      <w:bookmarkEnd w:id="28"/>
      <w:bookmarkEnd w:id="29"/>
      <w:bookmarkEnd w:id="30"/>
    </w:p>
    <w:p w14:paraId="694BB136">
      <w:pPr>
        <w:autoSpaceDE w:val="0"/>
        <w:autoSpaceDN w:val="0"/>
        <w:adjustRightInd w:val="0"/>
        <w:jc w:val="left"/>
        <w:rPr>
          <w:rFonts w:ascii="宋体" w:hAnsi="宋体" w:eastAsia="宋体" w:cs="宋体"/>
          <w:color w:val="auto"/>
          <w:kern w:val="0"/>
          <w:sz w:val="24"/>
          <w:szCs w:val="24"/>
          <w:highlight w:val="none"/>
        </w:rPr>
      </w:pPr>
    </w:p>
    <w:p w14:paraId="027922EC">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1" w:name="_Toc450662850"/>
      <w:bookmarkStart w:id="32" w:name="_Toc486167664"/>
      <w:bookmarkStart w:id="33" w:name="_Toc32244"/>
      <w:bookmarkStart w:id="34" w:name="_Toc12323"/>
      <w:bookmarkStart w:id="35" w:name="_Toc18557"/>
      <w:bookmarkStart w:id="36" w:name="_Toc11156"/>
      <w:bookmarkStart w:id="37" w:name="_Toc28698"/>
      <w:bookmarkStart w:id="38" w:name="_Toc142508314"/>
      <w:bookmarkStart w:id="39" w:name="_Toc80_WPSOffice_Level3"/>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1"/>
      <w:bookmarkEnd w:id="32"/>
      <w:bookmarkEnd w:id="33"/>
      <w:bookmarkEnd w:id="34"/>
      <w:bookmarkEnd w:id="35"/>
      <w:bookmarkEnd w:id="36"/>
      <w:bookmarkEnd w:id="37"/>
      <w:bookmarkEnd w:id="38"/>
      <w:bookmarkEnd w:id="39"/>
    </w:p>
    <w:p w14:paraId="19F3059B">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14:paraId="2A0AB6CA">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35051DF5">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6AAA60B8">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1E1B52A7">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E2EE053">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576FFB07">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40" w:name="_Toc142508315"/>
      <w:bookmarkStart w:id="41" w:name="_Toc23847_WPSOffice_Level3"/>
      <w:bookmarkStart w:id="42" w:name="_Toc11434"/>
      <w:bookmarkStart w:id="43" w:name="_Toc19774"/>
      <w:bookmarkStart w:id="44" w:name="_Toc16100"/>
      <w:bookmarkStart w:id="45" w:name="_Toc11689"/>
      <w:bookmarkStart w:id="46" w:name="_Toc27822"/>
      <w:bookmarkStart w:id="47" w:name="_Toc486167665"/>
      <w:bookmarkStart w:id="48"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w:t>
      </w:r>
      <w:bookmarkEnd w:id="40"/>
      <w:bookmarkEnd w:id="41"/>
      <w:r>
        <w:rPr>
          <w:rFonts w:hint="eastAsia" w:ascii="宋体" w:hAnsi="宋体" w:eastAsia="宋体" w:cs="宋体"/>
          <w:b/>
          <w:color w:val="auto"/>
          <w:szCs w:val="21"/>
          <w:highlight w:val="none"/>
          <w:lang w:val="en-US" w:eastAsia="zh-CN"/>
        </w:rPr>
        <w:t>服务</w:t>
      </w:r>
      <w:bookmarkEnd w:id="42"/>
      <w:bookmarkEnd w:id="43"/>
      <w:bookmarkEnd w:id="44"/>
      <w:bookmarkEnd w:id="45"/>
      <w:bookmarkEnd w:id="46"/>
    </w:p>
    <w:p w14:paraId="673DEFF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“服务”是指投标人按招标文件规定完成的全部服务内容，其中包括完成服务所需的货物和工程，及须承担的技术支持、培训和其它伴随服务。</w:t>
      </w:r>
    </w:p>
    <w:p w14:paraId="1EF8221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533708063"/>
      <w:bookmarkStart w:id="50" w:name="_Toc1977663"/>
      <w:r>
        <w:rPr>
          <w:rFonts w:hint="eastAsia" w:ascii="宋体" w:hAnsi="宋体" w:eastAsia="宋体" w:cs="宋体"/>
          <w:color w:val="auto"/>
          <w:szCs w:val="21"/>
          <w:highlight w:val="none"/>
          <w:lang w:val="zh-CN"/>
        </w:rPr>
        <w:t xml:space="preserve">3.2  </w:t>
      </w:r>
      <w:bookmarkEnd w:id="49"/>
      <w:bookmarkEnd w:id="50"/>
      <w:bookmarkStart w:id="51" w:name="_Toc1977665"/>
      <w:bookmarkStart w:id="52"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或</w:t>
      </w:r>
      <w:r>
        <w:rPr>
          <w:rFonts w:hint="eastAsia" w:ascii="宋体" w:hAnsi="宋体" w:eastAsia="宋体" w:cs="Times New Roman"/>
          <w:color w:val="auto"/>
          <w:szCs w:val="21"/>
          <w:highlight w:val="none"/>
          <w:lang w:val="en-US" w:eastAsia="zh-CN"/>
        </w:rPr>
        <w:t>服务</w:t>
      </w:r>
      <w:r>
        <w:rPr>
          <w:rFonts w:hint="eastAsia" w:ascii="宋体" w:hAnsi="宋体" w:eastAsia="宋体" w:cs="Times New Roman"/>
          <w:color w:val="auto"/>
          <w:szCs w:val="21"/>
          <w:highlight w:val="none"/>
          <w:lang w:val="zh-CN"/>
        </w:rPr>
        <w:t>的任何部分均为最新正式版本</w:t>
      </w:r>
      <w:r>
        <w:rPr>
          <w:rFonts w:hint="eastAsia" w:ascii="宋体" w:hAnsi="宋体" w:eastAsia="宋体" w:cs="宋体"/>
          <w:color w:val="auto"/>
          <w:szCs w:val="21"/>
          <w:highlight w:val="none"/>
          <w:lang w:val="zh-CN"/>
        </w:rPr>
        <w:t>。</w:t>
      </w:r>
      <w:bookmarkEnd w:id="51"/>
      <w:bookmarkEnd w:id="52"/>
    </w:p>
    <w:p w14:paraId="2E116D8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3" w:name="_Toc533708066"/>
      <w:bookmarkStart w:id="54"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53"/>
      <w:bookmarkEnd w:id="54"/>
      <w:bookmarkStart w:id="55" w:name="_Toc533708067"/>
      <w:bookmarkStart w:id="56" w:name="_Toc1977667"/>
      <w:r>
        <w:rPr>
          <w:rFonts w:hint="eastAsia" w:ascii="宋体" w:hAnsi="宋体" w:eastAsia="宋体" w:cs="宋体"/>
          <w:color w:val="auto"/>
          <w:szCs w:val="21"/>
          <w:highlight w:val="none"/>
          <w:lang w:val="zh-CN"/>
        </w:rPr>
        <w:t>投标人</w:t>
      </w:r>
      <w:r>
        <w:rPr>
          <w:rFonts w:hint="eastAsia" w:ascii="宋体" w:hAnsi="宋体" w:eastAsia="宋体" w:cs="Times New Roman"/>
          <w:color w:val="auto"/>
          <w:kern w:val="0"/>
          <w:szCs w:val="21"/>
          <w:highlight w:val="none"/>
        </w:rPr>
        <w:t>应保证招标人在中华人民共和国使用</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或</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5"/>
      <w:bookmarkEnd w:id="56"/>
    </w:p>
    <w:p w14:paraId="2003D3A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7" w:name="_Toc1977668"/>
      <w:bookmarkStart w:id="58"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57"/>
      <w:bookmarkEnd w:id="58"/>
      <w:r>
        <w:rPr>
          <w:rFonts w:hint="eastAsia" w:ascii="宋体" w:hAnsi="宋体" w:eastAsia="宋体" w:cs="宋体"/>
          <w:color w:val="auto"/>
          <w:szCs w:val="21"/>
          <w:highlight w:val="none"/>
          <w:lang w:val="zh-CN"/>
        </w:rPr>
        <w:t>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29D47327">
      <w:pPr>
        <w:autoSpaceDE w:val="0"/>
        <w:autoSpaceDN w:val="0"/>
        <w:adjustRightInd w:val="0"/>
        <w:spacing w:line="360" w:lineRule="auto"/>
        <w:jc w:val="left"/>
        <w:rPr>
          <w:rFonts w:ascii="宋体" w:hAnsi="宋体" w:eastAsia="宋体" w:cs="宋体"/>
          <w:color w:val="auto"/>
          <w:szCs w:val="21"/>
          <w:highlight w:val="none"/>
          <w:lang w:val="zh-CN"/>
        </w:rPr>
      </w:pPr>
    </w:p>
    <w:p w14:paraId="1428A2C5">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9" w:name="_Toc142508316"/>
      <w:bookmarkStart w:id="60" w:name="_Toc9658_WPSOffice_Level3"/>
      <w:bookmarkStart w:id="61" w:name="_Toc206"/>
      <w:bookmarkStart w:id="62" w:name="_Toc17327"/>
      <w:bookmarkStart w:id="63" w:name="_Toc9753"/>
      <w:bookmarkStart w:id="64" w:name="_Toc11533"/>
      <w:bookmarkStart w:id="65" w:name="_Toc340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9"/>
      <w:bookmarkEnd w:id="60"/>
      <w:bookmarkEnd w:id="61"/>
      <w:bookmarkEnd w:id="62"/>
      <w:bookmarkEnd w:id="63"/>
      <w:bookmarkEnd w:id="64"/>
      <w:bookmarkEnd w:id="65"/>
    </w:p>
    <w:p w14:paraId="44BAB169">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6" w:name="_Toc1977670"/>
      <w:bookmarkStart w:id="67" w:name="_Toc533708070"/>
      <w:r>
        <w:rPr>
          <w:rFonts w:hint="eastAsia" w:ascii="宋体" w:hAnsi="宋体" w:eastAsia="宋体" w:cs="宋体"/>
          <w:color w:val="auto"/>
          <w:szCs w:val="21"/>
          <w:highlight w:val="none"/>
          <w:lang w:val="zh-CN"/>
        </w:rPr>
        <w:t>4.1  投标费用</w:t>
      </w:r>
      <w:bookmarkEnd w:id="66"/>
      <w:bookmarkEnd w:id="67"/>
    </w:p>
    <w:p w14:paraId="16B5408F">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8" w:name="_Toc1977672"/>
      <w:bookmarkStart w:id="69"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8"/>
      <w:bookmarkEnd w:id="69"/>
    </w:p>
    <w:p w14:paraId="3DA9026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0" w:name="_Toc1977673"/>
      <w:bookmarkStart w:id="71" w:name="_Toc533708073"/>
      <w:r>
        <w:rPr>
          <w:rFonts w:hint="eastAsia" w:ascii="宋体" w:hAnsi="宋体" w:eastAsia="宋体" w:cs="宋体"/>
          <w:color w:val="auto"/>
          <w:szCs w:val="21"/>
          <w:highlight w:val="none"/>
          <w:lang w:val="zh-CN"/>
        </w:rPr>
        <w:t>4.2  踏勘现场</w:t>
      </w:r>
      <w:bookmarkEnd w:id="70"/>
      <w:bookmarkEnd w:id="71"/>
    </w:p>
    <w:p w14:paraId="55216C7E">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2" w:name="_Toc533708076"/>
      <w:bookmarkStart w:id="73" w:name="_Toc1977676"/>
      <w:r>
        <w:rPr>
          <w:rFonts w:hint="eastAsia" w:ascii="宋体" w:hAnsi="宋体" w:eastAsia="宋体" w:cs="Times New Roman"/>
          <w:color w:val="auto"/>
          <w:kern w:val="0"/>
          <w:szCs w:val="21"/>
          <w:highlight w:val="none"/>
        </w:rPr>
        <w:t>（1）本项目不组织集中踏勘现场和答疑，投标人应自行到实地踏勘考察。</w:t>
      </w:r>
    </w:p>
    <w:p w14:paraId="1F3CD799">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74EFFD17">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4AD0C4E7">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40EB422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7"/>
      <w:bookmarkEnd w:id="48"/>
      <w:bookmarkEnd w:id="72"/>
      <w:bookmarkEnd w:id="73"/>
    </w:p>
    <w:p w14:paraId="2AC712C5">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18E898E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5AA2EED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83C0EE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2B2595A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05BE59F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1BFE0875">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7E87C4D6">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4" w:name="_Toc23213"/>
      <w:bookmarkStart w:id="75" w:name="_Toc450662853"/>
      <w:bookmarkStart w:id="76" w:name="_Toc140596876"/>
      <w:bookmarkStart w:id="77" w:name="_Toc15237"/>
      <w:bookmarkStart w:id="78" w:name="_Toc30507_WPSOffice_Level2"/>
      <w:bookmarkStart w:id="79" w:name="_Toc5395"/>
      <w:bookmarkStart w:id="80" w:name="_Toc4121"/>
      <w:bookmarkStart w:id="81" w:name="_Toc486167667"/>
      <w:bookmarkStart w:id="82" w:name="_Toc142508317"/>
      <w:bookmarkStart w:id="83" w:name="_Toc1565"/>
      <w:r>
        <w:rPr>
          <w:rFonts w:hint="eastAsia" w:ascii="宋体" w:hAnsi="宋体" w:eastAsia="宋体" w:cs="宋体"/>
          <w:b/>
          <w:bCs/>
          <w:color w:val="auto"/>
          <w:kern w:val="44"/>
          <w:szCs w:val="21"/>
          <w:highlight w:val="none"/>
          <w:lang w:val="zh-CN"/>
        </w:rPr>
        <w:t>二、招标文件</w:t>
      </w:r>
      <w:bookmarkEnd w:id="74"/>
      <w:bookmarkEnd w:id="75"/>
      <w:bookmarkEnd w:id="76"/>
      <w:bookmarkEnd w:id="77"/>
      <w:bookmarkEnd w:id="78"/>
      <w:bookmarkEnd w:id="79"/>
      <w:bookmarkEnd w:id="80"/>
      <w:bookmarkEnd w:id="81"/>
      <w:bookmarkEnd w:id="82"/>
      <w:bookmarkEnd w:id="83"/>
    </w:p>
    <w:p w14:paraId="06746D1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4" w:name="_Toc486167668"/>
      <w:bookmarkStart w:id="85" w:name="_Toc2406"/>
      <w:bookmarkStart w:id="86" w:name="_Toc13636"/>
      <w:bookmarkStart w:id="87" w:name="_Toc26635_WPSOffice_Level3"/>
      <w:bookmarkStart w:id="88" w:name="_Toc18785"/>
      <w:bookmarkStart w:id="89" w:name="_Toc450662854"/>
      <w:bookmarkStart w:id="90" w:name="_Toc28893"/>
      <w:bookmarkStart w:id="91" w:name="_Toc3978"/>
      <w:bookmarkStart w:id="92" w:name="_Toc142508318"/>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4"/>
      <w:bookmarkEnd w:id="85"/>
      <w:bookmarkEnd w:id="86"/>
      <w:bookmarkEnd w:id="87"/>
      <w:bookmarkEnd w:id="88"/>
      <w:bookmarkEnd w:id="89"/>
      <w:bookmarkEnd w:id="90"/>
      <w:bookmarkEnd w:id="91"/>
      <w:bookmarkEnd w:id="92"/>
    </w:p>
    <w:p w14:paraId="305FA57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700CEE2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4E448DD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0346325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01221BE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0EB6CA9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1239DCB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6D74E60C">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2E0F45C8">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标志的部分为投标人、投标拟供服务必备的条件或重要指示），那么投标人的投标文件将有可能被拒绝接收或评审为无效投标文件</w:t>
      </w:r>
      <w:r>
        <w:rPr>
          <w:rFonts w:hint="eastAsia" w:ascii="宋体" w:hAnsi="宋体" w:eastAsia="宋体" w:cs="宋体"/>
          <w:b/>
          <w:bCs/>
          <w:color w:val="auto"/>
          <w:szCs w:val="21"/>
          <w:highlight w:val="none"/>
          <w:u w:val="single"/>
          <w:lang w:val="zh-CN"/>
        </w:rPr>
        <w:t>。</w:t>
      </w:r>
    </w:p>
    <w:p w14:paraId="6A63942D">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3720E13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东莞市水务集团建设管理有限公司</w:t>
      </w:r>
      <w:r>
        <w:rPr>
          <w:rFonts w:hint="eastAsia" w:ascii="宋体" w:hAnsi="宋体" w:eastAsia="宋体" w:cs="Times New Roman"/>
          <w:color w:val="auto"/>
          <w:kern w:val="0"/>
          <w:szCs w:val="21"/>
          <w:highlight w:val="none"/>
        </w:rPr>
        <w:t>；</w:t>
      </w:r>
    </w:p>
    <w:p w14:paraId="3F032A7C">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“项目业主”指</w:t>
      </w:r>
      <w:r>
        <w:rPr>
          <w:rFonts w:hint="eastAsia" w:ascii="宋体" w:hAnsi="宋体" w:eastAsia="宋体" w:cs="Times New Roman"/>
          <w:color w:val="auto"/>
          <w:kern w:val="0"/>
          <w:szCs w:val="21"/>
          <w:highlight w:val="none"/>
          <w:lang w:eastAsia="zh-CN"/>
        </w:rPr>
        <w:t>东莞市水务集团供水有限公司；</w:t>
      </w:r>
    </w:p>
    <w:p w14:paraId="128B63C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1B6CEB60">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eastAsia="zh-CN"/>
        </w:rPr>
        <w:t>“投标人”指</w:t>
      </w:r>
      <w:r>
        <w:rPr>
          <w:rFonts w:hint="eastAsia" w:ascii="宋体" w:hAnsi="宋体" w:eastAsia="宋体" w:cs="Times New Roman"/>
          <w:color w:val="auto"/>
          <w:kern w:val="0"/>
          <w:szCs w:val="21"/>
          <w:highlight w:val="none"/>
        </w:rPr>
        <w:t>在参加</w:t>
      </w:r>
      <w:r>
        <w:rPr>
          <w:rFonts w:hint="eastAsia" w:ascii="宋体" w:hAnsi="宋体" w:eastAsia="宋体" w:cs="Times New Roman"/>
          <w:color w:val="auto"/>
          <w:kern w:val="0"/>
          <w:szCs w:val="21"/>
          <w:highlight w:val="none"/>
          <w:lang w:eastAsia="zh-CN"/>
        </w:rPr>
        <w:t>珠三角水资源配置工程东莞配套芦花坑水厂一期配水管线工程-C标段第三方检测服务采购项目</w:t>
      </w:r>
      <w:r>
        <w:rPr>
          <w:rFonts w:hint="eastAsia" w:ascii="宋体" w:hAnsi="宋体" w:eastAsia="宋体" w:cs="Times New Roman"/>
          <w:color w:val="auto"/>
          <w:kern w:val="0"/>
          <w:szCs w:val="21"/>
          <w:highlight w:val="none"/>
        </w:rPr>
        <w:t>所需的</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的投标，并向招标代理机构提交投标文件的当事人；</w:t>
      </w:r>
    </w:p>
    <w:p w14:paraId="6A2B5A0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66CC72C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）“中标人”指其投标被招标人接受，并与招标人签订合同的当事人；</w:t>
      </w:r>
    </w:p>
    <w:p w14:paraId="774AE46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）“甲方”指在合同条款中指明的购买服务的单位，即</w:t>
      </w:r>
      <w:r>
        <w:rPr>
          <w:rFonts w:hint="eastAsia" w:ascii="宋体" w:hAnsi="宋体" w:eastAsia="宋体" w:cs="Times New Roman"/>
          <w:color w:val="auto"/>
          <w:kern w:val="0"/>
          <w:szCs w:val="21"/>
          <w:highlight w:val="none"/>
          <w:lang w:eastAsia="zh-CN"/>
        </w:rPr>
        <w:t>东莞市水务集团建设管理有限公司</w:t>
      </w:r>
      <w:r>
        <w:rPr>
          <w:rFonts w:hint="eastAsia" w:ascii="宋体" w:hAnsi="宋体" w:eastAsia="宋体" w:cs="Times New Roman"/>
          <w:color w:val="auto"/>
          <w:kern w:val="0"/>
          <w:szCs w:val="21"/>
          <w:highlight w:val="none"/>
        </w:rPr>
        <w:t>；</w:t>
      </w:r>
    </w:p>
    <w:p w14:paraId="5E39B11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）“乙方”指在合同条款中指明的本合同项下提供服务的公司或实体；</w:t>
      </w:r>
    </w:p>
    <w:p w14:paraId="3362A00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9</w:t>
      </w:r>
      <w:r>
        <w:rPr>
          <w:rFonts w:hint="eastAsia" w:ascii="宋体" w:hAnsi="宋体" w:eastAsia="宋体" w:cs="Times New Roman"/>
          <w:color w:val="auto"/>
          <w:kern w:val="0"/>
          <w:szCs w:val="21"/>
          <w:highlight w:val="none"/>
        </w:rPr>
        <w:t>）“招标文件”指由招标代理机构发出的本招标文件，包括全部章节和附件；</w:t>
      </w:r>
    </w:p>
    <w:p w14:paraId="6560F67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10</w:t>
      </w:r>
      <w:r>
        <w:rPr>
          <w:rFonts w:hint="eastAsia" w:ascii="宋体" w:hAnsi="宋体" w:eastAsia="宋体" w:cs="Times New Roman"/>
          <w:color w:val="auto"/>
          <w:kern w:val="0"/>
          <w:szCs w:val="21"/>
          <w:highlight w:val="none"/>
        </w:rPr>
        <w:t>）“投标文件”指投标人根据本招标文件向招标代理机构提交的全部文件；</w:t>
      </w:r>
    </w:p>
    <w:p w14:paraId="4900CF1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1</w:t>
      </w:r>
      <w:r>
        <w:rPr>
          <w:rFonts w:hint="eastAsia" w:ascii="宋体" w:hAnsi="宋体" w:eastAsia="宋体" w:cs="Times New Roman"/>
          <w:color w:val="auto"/>
          <w:kern w:val="0"/>
          <w:szCs w:val="21"/>
          <w:highlight w:val="none"/>
        </w:rPr>
        <w:t>）“书面函件”指手写、打字或印刷的函件，包括电传、电报和传真；</w:t>
      </w:r>
    </w:p>
    <w:p w14:paraId="4832AA6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）“合同”指由本次招标所产生的合同或合约文件；</w:t>
      </w:r>
    </w:p>
    <w:p w14:paraId="538DC38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13</w:t>
      </w:r>
      <w:r>
        <w:rPr>
          <w:rFonts w:hint="eastAsia" w:ascii="宋体" w:hAnsi="宋体" w:eastAsia="宋体" w:cs="Times New Roman"/>
          <w:color w:val="auto"/>
          <w:kern w:val="0"/>
          <w:szCs w:val="21"/>
          <w:highlight w:val="none"/>
        </w:rPr>
        <w:t>）“日期”指公历日，“时间”指北京时间；</w:t>
      </w:r>
    </w:p>
    <w:p w14:paraId="4528196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14</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7E68843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15</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w:t>
      </w:r>
      <w:r>
        <w:rPr>
          <w:rFonts w:hint="eastAsia" w:ascii="宋体" w:hAnsi="宋体" w:eastAsia="宋体" w:cs="Times New Roman"/>
          <w:color w:val="auto"/>
          <w:szCs w:val="21"/>
          <w:highlight w:val="none"/>
          <w:lang w:val="zh-CN"/>
        </w:rPr>
        <w:t>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highlight w:val="none"/>
        </w:rPr>
        <w:t>暂定总合同价</w:t>
      </w:r>
      <w:r>
        <w:rPr>
          <w:rFonts w:hint="eastAsia" w:ascii="宋体" w:hAnsi="宋体" w:eastAsia="宋体" w:cs="宋体"/>
          <w:color w:val="auto"/>
          <w:szCs w:val="21"/>
          <w:highlight w:val="none"/>
          <w:lang w:val="en-US" w:eastAsia="zh-CN"/>
        </w:rPr>
        <w:t>款</w:t>
      </w:r>
      <w:r>
        <w:rPr>
          <w:rFonts w:hint="eastAsia" w:ascii="宋体" w:hAnsi="宋体" w:eastAsia="宋体" w:cs="Times New Roman"/>
          <w:color w:val="auto"/>
          <w:kern w:val="0"/>
          <w:szCs w:val="21"/>
          <w:highlight w:val="none"/>
        </w:rPr>
        <w:t>是指不含本采购项目投标人的销项税额，包含了投标人完成合同义务（含投标人代缴代扣、分包及委外服务、施工、采购货物等所产生的价税）的其他全部费用。本采购项目投标人的销项税额由</w:t>
      </w:r>
      <w:r>
        <w:rPr>
          <w:rFonts w:hint="eastAsia" w:ascii="宋体" w:hAnsi="宋体" w:eastAsia="宋体" w:cs="宋体"/>
          <w:color w:val="auto"/>
          <w:szCs w:val="21"/>
          <w:highlight w:val="none"/>
          <w:lang w:val="zh-CN"/>
        </w:rPr>
        <w:t>项目业主</w:t>
      </w:r>
      <w:r>
        <w:rPr>
          <w:rFonts w:hint="eastAsia" w:ascii="宋体" w:hAnsi="宋体" w:eastAsia="宋体" w:cs="宋体"/>
          <w:color w:val="auto"/>
          <w:szCs w:val="21"/>
          <w:highlight w:val="none"/>
          <w:lang w:val="en-US" w:eastAsia="zh-CN"/>
        </w:rPr>
        <w:t>或招标人</w:t>
      </w:r>
      <w:r>
        <w:rPr>
          <w:rFonts w:hint="eastAsia" w:ascii="宋体" w:hAnsi="宋体" w:eastAsia="宋体" w:cs="Times New Roman"/>
          <w:color w:val="auto"/>
          <w:kern w:val="0"/>
          <w:szCs w:val="21"/>
          <w:highlight w:val="none"/>
        </w:rPr>
        <w:t>承担，不计入投标报价。</w:t>
      </w:r>
    </w:p>
    <w:p w14:paraId="79831EF6">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58AD665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3" w:name="_Toc1433"/>
      <w:bookmarkStart w:id="94" w:name="_Toc11346"/>
      <w:bookmarkStart w:id="95" w:name="_Toc18812"/>
      <w:bookmarkStart w:id="96" w:name="_Toc3727"/>
      <w:bookmarkStart w:id="97" w:name="_Toc142508319"/>
      <w:bookmarkStart w:id="98" w:name="_Toc7286"/>
      <w:bookmarkStart w:id="99" w:name="_Toc29125_WPSOffice_Level3"/>
      <w:bookmarkStart w:id="100" w:name="_Toc486167669"/>
      <w:bookmarkStart w:id="101" w:name="_Toc450662855"/>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3"/>
      <w:bookmarkEnd w:id="94"/>
      <w:bookmarkEnd w:id="95"/>
      <w:bookmarkEnd w:id="96"/>
      <w:bookmarkEnd w:id="97"/>
      <w:bookmarkEnd w:id="98"/>
      <w:bookmarkEnd w:id="99"/>
      <w:bookmarkEnd w:id="100"/>
      <w:bookmarkEnd w:id="101"/>
    </w:p>
    <w:p w14:paraId="708BC565">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26AAAB0A">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1D85F91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2" w:name="_Toc39"/>
      <w:bookmarkStart w:id="103" w:name="_Toc23483_WPSOffice_Level3"/>
      <w:bookmarkStart w:id="104" w:name="_Toc24835"/>
      <w:bookmarkStart w:id="105" w:name="_Toc142508320"/>
      <w:bookmarkStart w:id="106" w:name="_Toc29864"/>
      <w:bookmarkStart w:id="107" w:name="_Toc16640"/>
      <w:bookmarkStart w:id="108" w:name="_Toc486167670"/>
      <w:bookmarkStart w:id="109" w:name="_Toc17145"/>
      <w:bookmarkStart w:id="110" w:name="_Toc450662856"/>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2"/>
      <w:bookmarkEnd w:id="103"/>
      <w:bookmarkEnd w:id="104"/>
      <w:bookmarkEnd w:id="105"/>
      <w:bookmarkEnd w:id="106"/>
      <w:bookmarkEnd w:id="107"/>
      <w:bookmarkEnd w:id="108"/>
      <w:bookmarkEnd w:id="109"/>
      <w:bookmarkEnd w:id="110"/>
    </w:p>
    <w:p w14:paraId="631FC8C0">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640FB34C">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677521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中国招标投标公共服务平台（www.cebpubservice.com）、东莞市水务集团有限公司网（www.dgswjt.cn）、招标代理</w:t>
      </w:r>
      <w:r>
        <w:rPr>
          <w:rFonts w:hint="eastAsia" w:ascii="宋体" w:hAnsi="宋体" w:eastAsia="宋体" w:cs="Times New Roman"/>
          <w:bCs/>
          <w:color w:val="auto"/>
          <w:szCs w:val="21"/>
          <w:highlight w:val="none"/>
          <w:lang w:val="en-US" w:eastAsia="zh-CN"/>
        </w:rPr>
        <w:t>机构</w:t>
      </w:r>
      <w:r>
        <w:rPr>
          <w:rFonts w:hint="eastAsia" w:ascii="宋体" w:hAnsi="宋体" w:eastAsia="宋体" w:cs="Times New Roman"/>
          <w:bCs/>
          <w:color w:val="auto"/>
          <w:szCs w:val="21"/>
          <w:highlight w:val="none"/>
        </w:rPr>
        <w:t>网站（</w:t>
      </w:r>
      <w:r>
        <w:rPr>
          <w:rFonts w:hint="eastAsia" w:ascii="宋体" w:hAnsi="宋体" w:eastAsia="宋体" w:cs="Times New Roman"/>
          <w:bCs/>
          <w:color w:val="auto"/>
          <w:szCs w:val="21"/>
          <w:highlight w:val="none"/>
          <w:lang w:eastAsia="zh-CN"/>
        </w:rPr>
        <w:t>www.wangtat.com.cn</w:t>
      </w:r>
      <w:r>
        <w:rPr>
          <w:rFonts w:hint="eastAsia" w:ascii="宋体" w:hAnsi="宋体" w:eastAsia="宋体" w:cs="Times New Roman"/>
          <w:bCs/>
          <w:color w:val="auto"/>
          <w:szCs w:val="21"/>
          <w:highlight w:val="none"/>
        </w:rPr>
        <w:t>）</w:t>
      </w:r>
      <w:r>
        <w:rPr>
          <w:rFonts w:hint="eastAsia" w:ascii="宋体" w:hAnsi="宋体" w:eastAsia="宋体" w:cs="宋体"/>
          <w:color w:val="auto"/>
          <w:szCs w:val="21"/>
          <w:highlight w:val="none"/>
          <w:lang w:val="zh-CN"/>
        </w:rPr>
        <w:t>公布，请各投标人密切留意。</w:t>
      </w:r>
    </w:p>
    <w:p w14:paraId="47DFBFDE">
      <w:pPr>
        <w:autoSpaceDE w:val="0"/>
        <w:autoSpaceDN w:val="0"/>
        <w:adjustRightInd w:val="0"/>
        <w:spacing w:line="360" w:lineRule="auto"/>
        <w:ind w:left="357" w:leftChars="-100" w:hanging="567"/>
        <w:rPr>
          <w:rFonts w:ascii="宋体" w:hAnsi="宋体" w:eastAsia="宋体" w:cs="宋体"/>
          <w:color w:val="auto"/>
          <w:szCs w:val="21"/>
          <w:highlight w:val="none"/>
        </w:rPr>
      </w:pPr>
    </w:p>
    <w:p w14:paraId="2F96D741">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1" w:name="_Toc142508321"/>
      <w:bookmarkStart w:id="112" w:name="_Toc29659_WPSOffice_Level2"/>
      <w:bookmarkStart w:id="113" w:name="_Toc23342"/>
      <w:bookmarkStart w:id="114" w:name="_Toc140596880"/>
      <w:bookmarkStart w:id="115" w:name="_Toc486167671"/>
      <w:bookmarkStart w:id="116" w:name="_Toc27196"/>
      <w:bookmarkStart w:id="117" w:name="_Toc8711"/>
      <w:bookmarkStart w:id="118" w:name="_Toc16348"/>
      <w:bookmarkStart w:id="119" w:name="_Toc450662857"/>
      <w:bookmarkStart w:id="120" w:name="_Toc32427"/>
      <w:r>
        <w:rPr>
          <w:rFonts w:hint="eastAsia" w:ascii="宋体" w:hAnsi="宋体" w:eastAsia="宋体" w:cs="宋体"/>
          <w:b/>
          <w:bCs/>
          <w:color w:val="auto"/>
          <w:kern w:val="44"/>
          <w:szCs w:val="21"/>
          <w:highlight w:val="none"/>
          <w:lang w:val="zh-CN"/>
        </w:rPr>
        <w:t>三、投标文件的编制</w:t>
      </w:r>
      <w:bookmarkEnd w:id="111"/>
      <w:bookmarkEnd w:id="112"/>
      <w:bookmarkEnd w:id="113"/>
      <w:bookmarkEnd w:id="114"/>
      <w:bookmarkEnd w:id="115"/>
      <w:bookmarkEnd w:id="116"/>
      <w:bookmarkEnd w:id="117"/>
      <w:bookmarkEnd w:id="118"/>
      <w:bookmarkEnd w:id="119"/>
      <w:bookmarkEnd w:id="120"/>
    </w:p>
    <w:p w14:paraId="6928DD6B">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1" w:name="_Toc486167672"/>
      <w:bookmarkStart w:id="122" w:name="_Toc6244"/>
      <w:bookmarkStart w:id="123" w:name="_Toc3827"/>
      <w:bookmarkStart w:id="124" w:name="_Toc11323"/>
      <w:bookmarkStart w:id="125" w:name="_Toc142508322"/>
      <w:bookmarkStart w:id="126" w:name="_Toc22212"/>
      <w:bookmarkStart w:id="127" w:name="_Toc31162"/>
      <w:bookmarkStart w:id="128" w:name="_Toc450662858"/>
      <w:bookmarkStart w:id="129"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21"/>
      <w:bookmarkEnd w:id="122"/>
      <w:bookmarkEnd w:id="123"/>
      <w:bookmarkEnd w:id="124"/>
      <w:bookmarkEnd w:id="125"/>
      <w:bookmarkEnd w:id="126"/>
      <w:bookmarkEnd w:id="127"/>
      <w:bookmarkEnd w:id="128"/>
      <w:bookmarkEnd w:id="129"/>
    </w:p>
    <w:p w14:paraId="6410B4D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6081EDA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3492B71A">
      <w:pPr>
        <w:autoSpaceDE w:val="0"/>
        <w:autoSpaceDN w:val="0"/>
        <w:adjustRightInd w:val="0"/>
        <w:spacing w:line="360" w:lineRule="auto"/>
        <w:rPr>
          <w:rFonts w:ascii="宋体" w:hAnsi="宋体" w:eastAsia="宋体" w:cs="宋体"/>
          <w:color w:val="auto"/>
          <w:szCs w:val="21"/>
          <w:highlight w:val="none"/>
          <w:lang w:val="zh-CN"/>
        </w:rPr>
      </w:pPr>
    </w:p>
    <w:p w14:paraId="281EC62B">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30" w:name="_Toc8801"/>
      <w:bookmarkStart w:id="131" w:name="_Toc142508323"/>
      <w:bookmarkStart w:id="132" w:name="_Toc24916_WPSOffice_Level3"/>
      <w:bookmarkStart w:id="133" w:name="_Toc8399"/>
      <w:bookmarkStart w:id="134" w:name="_Toc7348"/>
      <w:bookmarkStart w:id="135" w:name="_Toc14943"/>
      <w:bookmarkStart w:id="136" w:name="_Toc486167673"/>
      <w:bookmarkStart w:id="137" w:name="_Toc26462"/>
      <w:bookmarkStart w:id="138"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30"/>
      <w:bookmarkEnd w:id="131"/>
      <w:bookmarkEnd w:id="132"/>
      <w:bookmarkEnd w:id="133"/>
      <w:bookmarkEnd w:id="134"/>
      <w:bookmarkEnd w:id="135"/>
      <w:bookmarkEnd w:id="136"/>
      <w:bookmarkEnd w:id="137"/>
      <w:bookmarkEnd w:id="138"/>
    </w:p>
    <w:p w14:paraId="7524C5A4">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37985910">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35A68E97">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53CEB33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28CF5AC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5FDDBAB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）供货及/或提供服务过程承诺函；</w:t>
      </w:r>
    </w:p>
    <w:p w14:paraId="05590A6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5428AF3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6E27063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03A7E3E9">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49E439A8">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665FC03F">
      <w:pPr>
        <w:tabs>
          <w:tab w:val="left" w:pos="1276"/>
        </w:tabs>
        <w:spacing w:line="360" w:lineRule="auto"/>
        <w:ind w:left="283" w:hanging="283" w:hangingChars="135"/>
        <w:rPr>
          <w:rFonts w:ascii="宋体" w:hAnsi="宋体" w:eastAsia="宋体" w:cs="Times New Roman"/>
          <w:color w:val="auto"/>
          <w:szCs w:val="21"/>
          <w:highlight w:val="none"/>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hAnsi="宋体" w:eastAsia="宋体"/>
          <w:b/>
          <w:color w:val="auto"/>
          <w:sz w:val="21"/>
          <w:szCs w:val="21"/>
          <w:highlight w:val="none"/>
          <w:lang w:val="zh-CN"/>
        </w:rPr>
        <w:t>投标人须</w:t>
      </w:r>
      <w:r>
        <w:rPr>
          <w:rFonts w:hint="eastAsia" w:hAnsi="宋体" w:eastAsia="宋体"/>
          <w:b/>
          <w:color w:val="auto"/>
          <w:sz w:val="21"/>
          <w:szCs w:val="21"/>
          <w:highlight w:val="none"/>
          <w:lang w:val="en-US" w:eastAsia="zh-CN"/>
        </w:rPr>
        <w:t>同时</w:t>
      </w:r>
      <w:r>
        <w:rPr>
          <w:rFonts w:hint="eastAsia" w:hAnsi="宋体" w:eastAsia="宋体"/>
          <w:b/>
          <w:color w:val="auto"/>
          <w:sz w:val="21"/>
          <w:szCs w:val="21"/>
          <w:highlight w:val="none"/>
          <w:lang w:val="zh-CN"/>
        </w:rPr>
        <w:t>具备由住房和城乡建设部门颁发的并在有效期内的建设工程质量检测机构资质证书（须同时涵盖见证取样检测、地基基础工程检测、主体结构工程现场检测、钢结构工程检测），或者是建设工程质量检测机构综合资质证书，或者是建设工程质量检测机构专项资质证书（须同时取得建筑材料及构配件、钢结构、地基基础、市政工程材料、道路工程</w:t>
      </w:r>
      <w:r>
        <w:rPr>
          <w:rFonts w:hint="eastAsia" w:hAnsi="宋体" w:eastAsia="宋体"/>
          <w:b/>
          <w:color w:val="auto"/>
          <w:sz w:val="21"/>
          <w:szCs w:val="21"/>
          <w:highlight w:val="none"/>
          <w:lang w:val="en-US" w:eastAsia="zh-CN"/>
        </w:rPr>
        <w:t>5</w:t>
      </w:r>
      <w:r>
        <w:rPr>
          <w:rFonts w:hint="eastAsia" w:hAnsi="宋体" w:eastAsia="宋体"/>
          <w:b/>
          <w:color w:val="auto"/>
          <w:sz w:val="21"/>
          <w:szCs w:val="21"/>
          <w:highlight w:val="none"/>
          <w:lang w:val="zh-CN"/>
        </w:rPr>
        <w:t>个专项资质）和计量行政部门颁发的CMA计量认证证书；</w:t>
      </w:r>
    </w:p>
    <w:p w14:paraId="317258BF">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w:t>
      </w:r>
      <w:r>
        <w:rPr>
          <w:rFonts w:hint="default" w:ascii="宋体" w:hAnsi="宋体" w:eastAsia="宋体" w:cs="Times New Roman"/>
          <w:color w:val="auto"/>
          <w:szCs w:val="21"/>
          <w:highlight w:val="none"/>
          <w:lang w:val="zh-CN"/>
        </w:rPr>
        <w:t>【</w:t>
      </w:r>
      <w:r>
        <w:rPr>
          <w:rFonts w:hint="default" w:ascii="宋体" w:hAnsi="宋体" w:eastAsia="宋体" w:cs="Times New Roman"/>
          <w:color w:val="auto"/>
          <w:sz w:val="21"/>
          <w:szCs w:val="21"/>
          <w:highlight w:val="none"/>
          <w:lang w:val="zh-CN"/>
        </w:rPr>
        <w:t>投标人</w:t>
      </w:r>
      <w:r>
        <w:rPr>
          <w:rFonts w:hint="eastAsia" w:ascii="宋体" w:hAnsi="宋体" w:eastAsia="宋体" w:cs="Times New Roman"/>
          <w:color w:val="auto"/>
          <w:sz w:val="21"/>
          <w:szCs w:val="21"/>
          <w:highlight w:val="none"/>
          <w:lang w:val="zh-CN" w:eastAsia="zh-CN"/>
        </w:rPr>
        <w:t>2020年</w:t>
      </w:r>
      <w:r>
        <w:rPr>
          <w:rFonts w:hint="default" w:ascii="宋体" w:hAnsi="宋体" w:eastAsia="宋体" w:cs="Times New Roman"/>
          <w:color w:val="auto"/>
          <w:sz w:val="21"/>
          <w:szCs w:val="21"/>
          <w:highlight w:val="none"/>
          <w:lang w:val="zh-CN"/>
        </w:rPr>
        <w:t>1月1日以来具有一项市政工程检测业绩（合同签订日期为</w:t>
      </w:r>
      <w:r>
        <w:rPr>
          <w:rFonts w:hint="eastAsia" w:ascii="宋体" w:hAnsi="宋体" w:eastAsia="宋体" w:cs="Times New Roman"/>
          <w:color w:val="auto"/>
          <w:sz w:val="21"/>
          <w:szCs w:val="21"/>
          <w:highlight w:val="none"/>
          <w:lang w:val="zh-CN" w:eastAsia="zh-CN"/>
        </w:rPr>
        <w:t>2020年</w:t>
      </w:r>
      <w:r>
        <w:rPr>
          <w:rFonts w:hint="default" w:ascii="宋体" w:hAnsi="宋体" w:eastAsia="宋体" w:cs="Times New Roman"/>
          <w:color w:val="auto"/>
          <w:sz w:val="21"/>
          <w:szCs w:val="21"/>
          <w:highlight w:val="none"/>
          <w:lang w:val="zh-CN"/>
        </w:rPr>
        <w:t>1月1日或以后）</w:t>
      </w:r>
      <w:r>
        <w:rPr>
          <w:rFonts w:hint="default" w:ascii="宋体" w:hAnsi="宋体" w:eastAsia="宋体" w:cs="Times New Roman"/>
          <w:color w:val="auto"/>
          <w:szCs w:val="21"/>
          <w:highlight w:val="none"/>
          <w:lang w:val="zh-CN"/>
        </w:rPr>
        <w:t>，资格业绩证明材料提交要求详见招标文件第六篇投标文件格式</w:t>
      </w:r>
      <w:r>
        <w:rPr>
          <w:rFonts w:hint="eastAsia" w:ascii="宋体" w:hAnsi="宋体" w:eastAsia="宋体" w:cs="Times New Roman"/>
          <w:color w:val="auto"/>
          <w:szCs w:val="21"/>
          <w:highlight w:val="none"/>
          <w:u w:val="none"/>
          <w:lang w:val="en-US" w:eastAsia="zh-CN"/>
        </w:rPr>
        <w:t>5</w:t>
      </w:r>
      <w:r>
        <w:rPr>
          <w:rFonts w:hint="default" w:ascii="宋体" w:hAnsi="宋体" w:eastAsia="宋体" w:cs="Times New Roman"/>
          <w:color w:val="auto"/>
          <w:szCs w:val="21"/>
          <w:highlight w:val="none"/>
          <w:u w:val="none"/>
          <w:lang w:val="zh-CN"/>
        </w:rPr>
        <w:t>.</w:t>
      </w:r>
      <w:r>
        <w:rPr>
          <w:rFonts w:hint="eastAsia" w:ascii="宋体" w:hAnsi="宋体" w:eastAsia="宋体" w:cs="Times New Roman"/>
          <w:color w:val="auto"/>
          <w:szCs w:val="21"/>
          <w:highlight w:val="none"/>
          <w:u w:val="none"/>
          <w:lang w:val="en-US" w:eastAsia="zh-CN"/>
        </w:rPr>
        <w:t>5</w:t>
      </w:r>
      <w:r>
        <w:rPr>
          <w:rFonts w:hint="default" w:ascii="宋体" w:hAnsi="宋体" w:eastAsia="宋体" w:cs="Times New Roman"/>
          <w:color w:val="auto"/>
          <w:szCs w:val="21"/>
          <w:highlight w:val="none"/>
          <w:lang w:val="zh-CN"/>
        </w:rPr>
        <w:t>】</w:t>
      </w:r>
      <w:r>
        <w:rPr>
          <w:rFonts w:hint="eastAsia" w:ascii="宋体" w:hAnsi="宋体" w:eastAsia="宋体"/>
          <w:color w:val="auto"/>
          <w:szCs w:val="21"/>
          <w:highlight w:val="none"/>
          <w:lang w:eastAsia="zh-CN"/>
        </w:rPr>
        <w:t>；</w:t>
      </w:r>
    </w:p>
    <w:p w14:paraId="6A564BD4">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3709423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482460D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50E11B1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767641E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1EB27333">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）拟投入人员情况；</w:t>
      </w:r>
    </w:p>
    <w:p w14:paraId="2B5411A8">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）投标保证金汇入情况说明；</w:t>
      </w:r>
    </w:p>
    <w:p w14:paraId="6C4DCBE2">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eastAsia="zh-CN"/>
        </w:rPr>
        <w:t>（</w:t>
      </w:r>
      <w:r>
        <w:rPr>
          <w:rFonts w:hint="eastAsia" w:ascii="宋体" w:hAnsi="宋体" w:eastAsia="宋体" w:cs="宋体"/>
          <w:color w:val="auto"/>
          <w:szCs w:val="21"/>
          <w:highlight w:val="none"/>
          <w:lang w:val="en-US" w:eastAsia="zh-CN"/>
        </w:rPr>
        <w:t>12）投标人“东莞市工程质量检测监管平台”完成注册备案相关网页截图或中标后在7个工作日内完成备案的承诺函；</w:t>
      </w:r>
    </w:p>
    <w:p w14:paraId="151F3719">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5245471F">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275E87F0">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6EC45377">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（1）用户需求响应程度（即用户需求偏离表格式）；</w:t>
      </w:r>
    </w:p>
    <w:p w14:paraId="3EA42762">
      <w:pPr>
        <w:spacing w:line="360" w:lineRule="auto"/>
        <w:ind w:left="315" w:leftChars="-100" w:hanging="525" w:hangingChars="250"/>
        <w:rPr>
          <w:rFonts w:hint="eastAsia"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（2）检测方案</w:t>
      </w:r>
      <w:r>
        <w:rPr>
          <w:rFonts w:hint="eastAsia" w:ascii="宋体" w:hAnsi="宋体" w:eastAsia="宋体" w:cs="Times New Roman"/>
          <w:color w:val="auto"/>
          <w:kern w:val="0"/>
          <w:szCs w:val="21"/>
          <w:highlight w:val="none"/>
          <w:lang w:val="zh-CN"/>
        </w:rPr>
        <w:t>；</w:t>
      </w:r>
    </w:p>
    <w:p w14:paraId="24269104">
      <w:pPr>
        <w:spacing w:line="360" w:lineRule="auto"/>
        <w:ind w:left="315" w:leftChars="-100" w:hanging="525" w:hangingChars="250"/>
        <w:rPr>
          <w:rFonts w:hint="eastAsia"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）检测</w:t>
      </w:r>
      <w:r>
        <w:rPr>
          <w:rFonts w:hint="eastAsia" w:ascii="宋体" w:hAnsi="宋体" w:eastAsia="宋体" w:cs="宋体"/>
          <w:color w:val="auto"/>
          <w:kern w:val="0"/>
          <w:szCs w:val="21"/>
          <w:highlight w:val="none"/>
          <w:lang w:val="en-US" w:eastAsia="zh-CN"/>
        </w:rPr>
        <w:t>设备</w:t>
      </w:r>
      <w:r>
        <w:rPr>
          <w:rFonts w:hint="eastAsia" w:ascii="宋体" w:hAnsi="宋体" w:eastAsia="宋体" w:cs="Times New Roman"/>
          <w:color w:val="auto"/>
          <w:kern w:val="0"/>
          <w:szCs w:val="21"/>
          <w:highlight w:val="none"/>
          <w:lang w:val="zh-CN"/>
        </w:rPr>
        <w:t>；</w:t>
      </w:r>
    </w:p>
    <w:p w14:paraId="46827436">
      <w:pPr>
        <w:spacing w:line="360" w:lineRule="auto"/>
        <w:ind w:left="315" w:leftChars="-100" w:hanging="525" w:hangingChars="250"/>
        <w:rPr>
          <w:rFonts w:hint="eastAsia"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）检测</w:t>
      </w:r>
      <w:r>
        <w:rPr>
          <w:rFonts w:hint="eastAsia" w:ascii="宋体" w:hAnsi="宋体" w:eastAsia="宋体" w:cs="宋体"/>
          <w:color w:val="auto"/>
          <w:kern w:val="0"/>
          <w:szCs w:val="21"/>
          <w:highlight w:val="none"/>
          <w:lang w:val="en-US" w:eastAsia="zh-CN"/>
        </w:rPr>
        <w:t>场所及环境</w:t>
      </w:r>
      <w:r>
        <w:rPr>
          <w:rFonts w:hint="eastAsia" w:ascii="宋体" w:hAnsi="宋体" w:eastAsia="宋体" w:cs="Times New Roman"/>
          <w:color w:val="auto"/>
          <w:kern w:val="0"/>
          <w:szCs w:val="21"/>
          <w:highlight w:val="none"/>
          <w:lang w:val="zh-CN"/>
        </w:rPr>
        <w:t>；</w:t>
      </w:r>
    </w:p>
    <w:p w14:paraId="0BFC4C9D">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检测成果准确性承诺书；</w:t>
      </w:r>
    </w:p>
    <w:p w14:paraId="452C6944">
      <w:pPr>
        <w:spacing w:line="360" w:lineRule="auto"/>
        <w:ind w:left="315" w:leftChars="-100" w:hanging="525" w:hangingChars="2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服务响应时间承诺书；</w:t>
      </w:r>
    </w:p>
    <w:p w14:paraId="56FA74DC">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）投标人认为有必要提供的其它材料（不做强制要求）。</w:t>
      </w:r>
    </w:p>
    <w:p w14:paraId="5607182D">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7548BFC5">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4D2A0B93">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68085B55">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5A2A93CA">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08B80E5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36A2EE4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758F417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5958647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9" w:name="_Toc22704"/>
      <w:bookmarkStart w:id="140" w:name="_Toc11170"/>
      <w:bookmarkStart w:id="141" w:name="_Toc8675_WPSOffice_Level3"/>
      <w:bookmarkStart w:id="142" w:name="_Toc31771"/>
      <w:bookmarkStart w:id="143" w:name="_Toc13214"/>
      <w:bookmarkStart w:id="144" w:name="_Toc486167674"/>
      <w:bookmarkStart w:id="145" w:name="_Toc28225"/>
      <w:bookmarkStart w:id="146" w:name="_Toc142508324"/>
      <w:bookmarkStart w:id="147" w:name="_Toc450662860"/>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39"/>
      <w:bookmarkEnd w:id="140"/>
      <w:bookmarkEnd w:id="141"/>
      <w:bookmarkEnd w:id="142"/>
      <w:bookmarkEnd w:id="143"/>
      <w:bookmarkEnd w:id="144"/>
      <w:bookmarkEnd w:id="145"/>
      <w:bookmarkEnd w:id="146"/>
      <w:bookmarkEnd w:id="147"/>
    </w:p>
    <w:p w14:paraId="64A33B62">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2B50980C">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6A1976A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8" w:name="_Toc16169"/>
      <w:bookmarkStart w:id="149" w:name="_Toc24311"/>
      <w:bookmarkStart w:id="150" w:name="_Toc142508325"/>
      <w:bookmarkStart w:id="151" w:name="_Toc26660"/>
      <w:bookmarkStart w:id="152" w:name="_Toc20186"/>
      <w:bookmarkStart w:id="153" w:name="_Toc486167675"/>
      <w:bookmarkStart w:id="154" w:name="_Toc4385_WPSOffice_Level3"/>
      <w:bookmarkStart w:id="155" w:name="_Toc15427"/>
      <w:bookmarkStart w:id="156" w:name="_Toc450662861"/>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8"/>
      <w:bookmarkEnd w:id="149"/>
      <w:bookmarkEnd w:id="150"/>
      <w:bookmarkEnd w:id="151"/>
      <w:bookmarkEnd w:id="152"/>
      <w:bookmarkEnd w:id="153"/>
      <w:bookmarkEnd w:id="154"/>
      <w:bookmarkEnd w:id="155"/>
      <w:bookmarkEnd w:id="156"/>
    </w:p>
    <w:p w14:paraId="525D6C55">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本项目的投标报价采用填报服务系数的方式，投标人须报出检测服务系数。本项目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742E6120">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0209305">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57AF2D8">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本项目的投标报价采用检测服务系数报价，合同履约过程中，工程量清单计价表中检测项目</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不含税综合单价按以下方式计算：</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不含税综合单价=不含税综合单价×中标检测服务系数，以实际工作量进行结算，</w:t>
      </w:r>
      <w:r>
        <w:rPr>
          <w:rFonts w:hint="eastAsia" w:ascii="宋体" w:hAnsi="宋体" w:eastAsia="宋体" w:cs="宋体"/>
          <w:color w:val="auto"/>
          <w:szCs w:val="21"/>
          <w:highlight w:val="none"/>
          <w:lang w:val="en-US" w:eastAsia="zh-CN"/>
        </w:rPr>
        <w:t>但</w:t>
      </w:r>
      <w:r>
        <w:rPr>
          <w:rFonts w:hint="eastAsia" w:ascii="宋体" w:hAnsi="宋体" w:eastAsia="宋体" w:cs="宋体"/>
          <w:color w:val="auto"/>
          <w:szCs w:val="21"/>
          <w:highlight w:val="none"/>
          <w:lang w:val="zh-CN"/>
        </w:rPr>
        <w:t>最终结算价不得超出暂定总合同价款(含税)，</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不含税综合单价出现小数点，保留小数点后两位，从小数点后第3位四舍五入。</w:t>
      </w:r>
      <w:r>
        <w:rPr>
          <w:rFonts w:hint="eastAsia" w:ascii="宋体" w:hAnsi="宋体" w:eastAsia="宋体" w:cs="Times New Roman"/>
          <w:color w:val="auto"/>
          <w:szCs w:val="21"/>
          <w:highlight w:val="none"/>
          <w:lang w:val="zh-CN"/>
        </w:rPr>
        <w:t>本招标文件所称的不含税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highlight w:val="none"/>
        </w:rPr>
        <w:t>暂定总合同价</w:t>
      </w:r>
      <w:r>
        <w:rPr>
          <w:rFonts w:hint="eastAsia" w:ascii="宋体" w:hAnsi="宋体" w:eastAsia="宋体" w:cs="宋体"/>
          <w:color w:val="auto"/>
          <w:szCs w:val="21"/>
          <w:highlight w:val="none"/>
          <w:lang w:val="en-US" w:eastAsia="zh-CN"/>
        </w:rPr>
        <w:t>款</w:t>
      </w:r>
      <w:r>
        <w:rPr>
          <w:rFonts w:hint="eastAsia" w:ascii="宋体" w:hAnsi="宋体" w:eastAsia="宋体" w:cs="Times New Roman"/>
          <w:color w:val="auto"/>
          <w:szCs w:val="21"/>
          <w:highlight w:val="none"/>
          <w:lang w:val="zh-CN"/>
        </w:rPr>
        <w:t>是指不含本采购项目投标人的销项税额，包含了投标人完成合同义务（含投标人代缴代扣、分包及委外服务、安装、采购货物等所产生的价税）的其他全部费用。本采购项目的销项税额由</w:t>
      </w:r>
      <w:r>
        <w:rPr>
          <w:rFonts w:hint="eastAsia" w:ascii="宋体" w:hAnsi="宋体" w:eastAsia="宋体" w:cs="宋体"/>
          <w:color w:val="auto"/>
          <w:szCs w:val="21"/>
          <w:highlight w:val="none"/>
          <w:lang w:val="zh-CN"/>
        </w:rPr>
        <w:t>项目业主</w:t>
      </w:r>
      <w:r>
        <w:rPr>
          <w:rFonts w:hint="eastAsia" w:ascii="宋体" w:hAnsi="宋体" w:eastAsia="宋体" w:cs="宋体"/>
          <w:color w:val="auto"/>
          <w:szCs w:val="21"/>
          <w:highlight w:val="none"/>
          <w:lang w:val="en-US" w:eastAsia="zh-CN"/>
        </w:rPr>
        <w:t>或招标人</w:t>
      </w:r>
      <w:r>
        <w:rPr>
          <w:rFonts w:hint="eastAsia" w:ascii="宋体" w:hAnsi="宋体" w:eastAsia="宋体" w:cs="Times New Roman"/>
          <w:color w:val="auto"/>
          <w:szCs w:val="21"/>
          <w:highlight w:val="none"/>
          <w:lang w:val="zh-CN"/>
        </w:rPr>
        <w:t>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0B7F598F">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检测人销项税额以外的税金等，报价过程产生的费用、办理履约担保费用、水电及进退场、差旅、驻地、办公设施、用品、食宿费、交通、通讯、施工配合费、保险费、风险费、检测方案的审查及专家论证费等完成本项目服务相关的直接及间接费用；</w:t>
      </w:r>
    </w:p>
    <w:p w14:paraId="256EAD1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（2）检测时，如需土建施工单位配合或向其租借设备时，中标人自行与施工单位协调，配合及租借费用；</w:t>
      </w:r>
    </w:p>
    <w:p w14:paraId="5864072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）法律法规、商业公认、招标文件规定由投标人承担的其他直接及间接费用。</w:t>
      </w:r>
    </w:p>
    <w:p w14:paraId="431551B6">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1F1E4A0C">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3F23AA19">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w:t>
      </w:r>
      <w:r>
        <w:rPr>
          <w:rFonts w:hint="eastAsia" w:ascii="宋体" w:hAnsi="宋体" w:eastAsia="宋体" w:cs="Times New Roman"/>
          <w:b/>
          <w:bCs/>
          <w:color w:val="auto"/>
          <w:szCs w:val="21"/>
          <w:highlight w:val="none"/>
          <w:lang w:val="en-US" w:eastAsia="zh-CN"/>
        </w:rPr>
        <w:t>相关</w:t>
      </w:r>
      <w:r>
        <w:rPr>
          <w:rFonts w:hint="eastAsia" w:ascii="宋体" w:hAnsi="宋体" w:eastAsia="宋体" w:cs="Times New Roman"/>
          <w:b/>
          <w:bCs/>
          <w:color w:val="auto"/>
          <w:szCs w:val="21"/>
          <w:highlight w:val="none"/>
          <w:lang w:val="zh-CN"/>
        </w:rPr>
        <w:t>服务所需的费用，投标人都应计入投标报价总价。</w:t>
      </w:r>
    </w:p>
    <w:p w14:paraId="56062F5E">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w:t>
      </w:r>
      <w:r>
        <w:rPr>
          <w:rFonts w:hint="eastAsia" w:ascii="宋体" w:hAnsi="宋体" w:eastAsia="宋体" w:cs="Times New Roman"/>
          <w:b/>
          <w:bCs/>
          <w:color w:val="auto"/>
          <w:szCs w:val="21"/>
          <w:highlight w:val="none"/>
          <w:u w:val="single"/>
          <w:lang w:val="en-US" w:eastAsia="zh-CN"/>
        </w:rPr>
        <w:t>不得超过0.80</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且不能为</w:t>
      </w:r>
      <w:r>
        <w:rPr>
          <w:rFonts w:hint="eastAsia" w:ascii="宋体" w:hAnsi="宋体" w:eastAsia="宋体" w:cs="Times New Roman"/>
          <w:b/>
          <w:bCs/>
          <w:color w:val="auto"/>
          <w:szCs w:val="21"/>
          <w:highlight w:val="none"/>
          <w:u w:val="single"/>
          <w:lang w:val="en-US" w:eastAsia="zh-CN"/>
        </w:rPr>
        <w:t>0.00或</w:t>
      </w:r>
      <w:r>
        <w:rPr>
          <w:rFonts w:hint="eastAsia" w:ascii="宋体" w:hAnsi="宋体" w:eastAsia="宋体" w:cs="Times New Roman"/>
          <w:b/>
          <w:bCs/>
          <w:color w:val="auto"/>
          <w:szCs w:val="21"/>
          <w:highlight w:val="none"/>
          <w:u w:val="single"/>
        </w:rPr>
        <w:t>负数，投标人未按招标文件要求进行检测服务系数报价的，将被视为无效投标。</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服务系数报价保留小数点后两位</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否则评标委员会按去“尾”或补“零”的方式进行修正为保留小数点后两位，投标人须接受被修正后的报价(例:如检测服务系数为0.789，则被修正为0.78;如检测服务系数为0.7，则被修正为0.70)。暂定含税总采购金额为</w:t>
      </w:r>
      <w:r>
        <w:rPr>
          <w:rFonts w:hint="eastAsia" w:ascii="宋体" w:hAnsi="宋体" w:eastAsia="宋体" w:cs="Times New Roman"/>
          <w:b/>
          <w:bCs/>
          <w:color w:val="auto"/>
          <w:szCs w:val="21"/>
          <w:highlight w:val="none"/>
          <w:u w:val="single"/>
          <w:lang w:val="en-US" w:eastAsia="zh-CN"/>
        </w:rPr>
        <w:t>1,284,575.13</w:t>
      </w:r>
      <w:r>
        <w:rPr>
          <w:rFonts w:hint="eastAsia" w:ascii="宋体" w:hAnsi="宋体" w:eastAsia="宋体" w:cs="Times New Roman"/>
          <w:b/>
          <w:bCs/>
          <w:color w:val="auto"/>
          <w:szCs w:val="21"/>
          <w:highlight w:val="none"/>
          <w:u w:val="single"/>
        </w:rPr>
        <w:t>元（大写：</w:t>
      </w:r>
      <w:r>
        <w:rPr>
          <w:rFonts w:hint="eastAsia" w:ascii="宋体" w:hAnsi="宋体" w:eastAsia="宋体" w:cs="Times New Roman"/>
          <w:b/>
          <w:bCs/>
          <w:color w:val="auto"/>
          <w:szCs w:val="21"/>
          <w:highlight w:val="none"/>
          <w:u w:val="single"/>
          <w:lang w:val="en-US" w:eastAsia="zh-CN"/>
        </w:rPr>
        <w:t>壹佰贰拾捌万肆仟伍佰柒拾伍元壹角叁分</w:t>
      </w:r>
      <w:r>
        <w:rPr>
          <w:rFonts w:hint="eastAsia" w:ascii="宋体" w:hAnsi="宋体" w:eastAsia="宋体" w:cs="Times New Roman"/>
          <w:b/>
          <w:bCs/>
          <w:color w:val="auto"/>
          <w:szCs w:val="21"/>
          <w:highlight w:val="none"/>
          <w:u w:val="single"/>
        </w:rPr>
        <w:t>），暂定不含税总采购金额为</w:t>
      </w:r>
      <w:r>
        <w:rPr>
          <w:rFonts w:hint="eastAsia" w:ascii="宋体" w:hAnsi="宋体" w:eastAsia="宋体" w:cs="Times New Roman"/>
          <w:b/>
          <w:bCs/>
          <w:color w:val="auto"/>
          <w:szCs w:val="21"/>
          <w:highlight w:val="none"/>
          <w:u w:val="single"/>
          <w:lang w:val="en-US" w:eastAsia="zh-CN"/>
        </w:rPr>
        <w:t>1,211,863.33</w:t>
      </w:r>
      <w:r>
        <w:rPr>
          <w:rFonts w:hint="eastAsia" w:ascii="宋体" w:hAnsi="宋体" w:eastAsia="宋体" w:cs="Times New Roman"/>
          <w:b/>
          <w:bCs/>
          <w:color w:val="auto"/>
          <w:szCs w:val="21"/>
          <w:highlight w:val="none"/>
          <w:u w:val="single"/>
        </w:rPr>
        <w:t>元（大写：</w:t>
      </w:r>
      <w:r>
        <w:rPr>
          <w:rFonts w:hint="eastAsia" w:ascii="宋体" w:hAnsi="宋体" w:eastAsia="宋体" w:cs="Times New Roman"/>
          <w:b/>
          <w:bCs/>
          <w:color w:val="auto"/>
          <w:szCs w:val="21"/>
          <w:highlight w:val="none"/>
          <w:u w:val="single"/>
          <w:lang w:val="en-US" w:eastAsia="zh-CN"/>
        </w:rPr>
        <w:t>壹佰贰拾壹万壹仟捌佰陆拾叁元叁角叁分</w:t>
      </w:r>
      <w:r>
        <w:rPr>
          <w:rFonts w:hint="eastAsia" w:ascii="宋体" w:hAnsi="宋体" w:eastAsia="宋体" w:cs="Times New Roman"/>
          <w:b/>
          <w:bCs/>
          <w:color w:val="auto"/>
          <w:szCs w:val="21"/>
          <w:highlight w:val="none"/>
          <w:u w:val="single"/>
        </w:rPr>
        <w:t>）</w:t>
      </w:r>
      <w:r>
        <w:rPr>
          <w:rFonts w:hint="eastAsia" w:ascii="宋体" w:hAnsi="宋体" w:eastAsia="宋体" w:cs="宋体"/>
          <w:b/>
          <w:color w:val="auto"/>
          <w:szCs w:val="21"/>
          <w:highlight w:val="none"/>
          <w:u w:val="single"/>
          <w:lang w:val="zh-CN"/>
        </w:rPr>
        <w:t>。</w:t>
      </w:r>
    </w:p>
    <w:p w14:paraId="7DDEB2D5">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581CAD57">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57" w:name="_Toc486167676"/>
      <w:bookmarkStart w:id="158" w:name="_Toc20312"/>
      <w:bookmarkStart w:id="159" w:name="_Toc142508326"/>
      <w:bookmarkStart w:id="160" w:name="_Toc27823"/>
      <w:bookmarkStart w:id="161" w:name="_Toc8937"/>
      <w:bookmarkStart w:id="162" w:name="_Toc450662862"/>
      <w:bookmarkStart w:id="163" w:name="_Toc30042_WPSOffice_Level3"/>
      <w:bookmarkStart w:id="164" w:name="_Toc3469"/>
      <w:bookmarkStart w:id="165" w:name="_Toc11469"/>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7"/>
      <w:bookmarkEnd w:id="158"/>
      <w:bookmarkEnd w:id="159"/>
      <w:bookmarkEnd w:id="160"/>
      <w:bookmarkEnd w:id="161"/>
      <w:bookmarkEnd w:id="162"/>
      <w:bookmarkEnd w:id="163"/>
      <w:bookmarkEnd w:id="164"/>
      <w:bookmarkEnd w:id="165"/>
    </w:p>
    <w:p w14:paraId="0BF4D614">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本项目投标报价或以投标报价换算的金额采用的币种为人民币，以其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1206C2A5">
      <w:pPr>
        <w:autoSpaceDE w:val="0"/>
        <w:autoSpaceDN w:val="0"/>
        <w:adjustRightInd w:val="0"/>
        <w:spacing w:line="360" w:lineRule="auto"/>
        <w:ind w:left="265" w:leftChars="119" w:hanging="15"/>
        <w:rPr>
          <w:rFonts w:ascii="宋体" w:hAnsi="宋体" w:eastAsia="宋体" w:cs="宋体"/>
          <w:color w:val="auto"/>
          <w:szCs w:val="21"/>
          <w:highlight w:val="none"/>
        </w:rPr>
      </w:pPr>
    </w:p>
    <w:p w14:paraId="4AB2C1CD">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6" w:name="_Toc450662863"/>
      <w:bookmarkStart w:id="167" w:name="_Toc3961"/>
      <w:bookmarkStart w:id="168" w:name="_Toc9411_WPSOffice_Level3"/>
      <w:bookmarkStart w:id="169" w:name="_Toc142508327"/>
      <w:bookmarkStart w:id="170" w:name="_Toc2301"/>
      <w:bookmarkStart w:id="171" w:name="_Toc486167677"/>
      <w:bookmarkStart w:id="172" w:name="_Toc32200"/>
      <w:bookmarkStart w:id="173" w:name="_Toc20031"/>
      <w:bookmarkStart w:id="174" w:name="_Toc1091"/>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66"/>
      <w:bookmarkEnd w:id="167"/>
      <w:bookmarkEnd w:id="168"/>
      <w:bookmarkEnd w:id="169"/>
      <w:bookmarkEnd w:id="170"/>
      <w:bookmarkEnd w:id="171"/>
      <w:bookmarkEnd w:id="172"/>
      <w:bookmarkEnd w:id="173"/>
      <w:bookmarkEnd w:id="174"/>
    </w:p>
    <w:p w14:paraId="3FD689D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4071D933">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A799AC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794414D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4C7AA1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6FEB7773">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根据招标文件载明的相关服务要求的实际情况，拟在中标后将中标项目的非主体、非关键性专业工作交由他人完成的，应当在投标文件中载明，并提供他人的资质、能力证明材料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01A43882">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2637E3A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5" w:name="_Toc486167678"/>
      <w:bookmarkStart w:id="176" w:name="_Toc29754"/>
      <w:bookmarkStart w:id="177" w:name="_Toc16467"/>
      <w:bookmarkStart w:id="178" w:name="_Toc142508328"/>
      <w:bookmarkStart w:id="179" w:name="_Toc8615"/>
      <w:bookmarkStart w:id="180" w:name="_Toc450662864"/>
      <w:bookmarkStart w:id="181" w:name="_Toc2045"/>
      <w:bookmarkStart w:id="182" w:name="_Toc27771_WPSOffice_Level3"/>
      <w:bookmarkStart w:id="183" w:name="_Toc2931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证明服务的合格性并符合招标文件规定的声明文件</w:t>
      </w:r>
      <w:bookmarkEnd w:id="175"/>
      <w:bookmarkEnd w:id="176"/>
      <w:bookmarkEnd w:id="177"/>
      <w:bookmarkEnd w:id="178"/>
      <w:bookmarkEnd w:id="179"/>
      <w:bookmarkEnd w:id="180"/>
      <w:bookmarkEnd w:id="181"/>
      <w:bookmarkEnd w:id="182"/>
      <w:bookmarkEnd w:id="183"/>
    </w:p>
    <w:p w14:paraId="6779066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0E42B431">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78FB52DE">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1A13E867">
      <w:pPr>
        <w:autoSpaceDE w:val="0"/>
        <w:autoSpaceDN w:val="0"/>
        <w:adjustRightInd w:val="0"/>
        <w:spacing w:line="360" w:lineRule="auto"/>
        <w:rPr>
          <w:rFonts w:ascii="宋体" w:hAnsi="宋体" w:eastAsia="宋体" w:cs="Times New Roman"/>
          <w:color w:val="auto"/>
          <w:kern w:val="0"/>
          <w:sz w:val="24"/>
          <w:szCs w:val="24"/>
          <w:highlight w:val="none"/>
        </w:rPr>
      </w:pPr>
    </w:p>
    <w:p w14:paraId="17D092A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4" w:name="_Toc16828"/>
      <w:bookmarkStart w:id="185" w:name="_Toc5356_WPSOffice_Level3"/>
      <w:bookmarkStart w:id="186" w:name="_Toc142508329"/>
      <w:bookmarkStart w:id="187" w:name="_Toc8644"/>
      <w:bookmarkStart w:id="188" w:name="_Toc9166"/>
      <w:bookmarkStart w:id="189" w:name="_Toc13134"/>
      <w:bookmarkStart w:id="190" w:name="_Toc30555"/>
      <w:bookmarkStart w:id="191" w:name="_Toc48616767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84"/>
      <w:bookmarkEnd w:id="185"/>
      <w:bookmarkEnd w:id="186"/>
      <w:bookmarkEnd w:id="187"/>
      <w:bookmarkEnd w:id="188"/>
      <w:bookmarkEnd w:id="189"/>
      <w:bookmarkEnd w:id="190"/>
      <w:bookmarkEnd w:id="191"/>
    </w:p>
    <w:p w14:paraId="1012258B">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20</w:t>
      </w:r>
      <w:r>
        <w:rPr>
          <w:rFonts w:hint="eastAsia" w:ascii="宋体" w:hAnsi="宋体" w:eastAsia="宋体" w:cs="宋体"/>
          <w:b/>
          <w:bCs/>
          <w:color w:val="auto"/>
          <w:kern w:val="0"/>
          <w:szCs w:val="21"/>
          <w:highlight w:val="none"/>
          <w:u w:val="single"/>
          <w:lang w:val="zh-CN"/>
        </w:rPr>
        <w:t>,000.00</w:t>
      </w:r>
      <w:r>
        <w:rPr>
          <w:rFonts w:hint="eastAsia" w:ascii="宋体" w:hAnsi="宋体" w:eastAsia="宋体" w:cs="宋体"/>
          <w:b/>
          <w:color w:val="auto"/>
          <w:kern w:val="0"/>
          <w:szCs w:val="21"/>
          <w:highlight w:val="none"/>
          <w:u w:val="single"/>
        </w:rPr>
        <w:t>元（大写：</w:t>
      </w:r>
      <w:r>
        <w:rPr>
          <w:rFonts w:hint="eastAsia" w:ascii="宋体" w:hAnsi="宋体" w:eastAsia="宋体" w:cs="宋体"/>
          <w:b/>
          <w:color w:val="auto"/>
          <w:kern w:val="0"/>
          <w:szCs w:val="21"/>
          <w:highlight w:val="none"/>
          <w:u w:val="single"/>
          <w:lang w:val="en-US" w:eastAsia="zh-CN"/>
        </w:rPr>
        <w:t>人民币贰万元整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2D01F4B4">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5274A85C">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6DCB5A6F">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42AA5A47">
      <w:pPr>
        <w:autoSpaceDE w:val="0"/>
        <w:autoSpaceDN w:val="0"/>
        <w:adjustRightInd w:val="0"/>
        <w:spacing w:line="360" w:lineRule="auto"/>
        <w:ind w:firstLine="840" w:firstLineChars="400"/>
        <w:jc w:val="left"/>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开户名称：东莞市水务集团建设管理有限公司</w:t>
      </w:r>
    </w:p>
    <w:p w14:paraId="01A11B2C">
      <w:pPr>
        <w:adjustRightInd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银行账号：2010021309200628330</w:t>
      </w:r>
    </w:p>
    <w:p w14:paraId="094D3B6B">
      <w:pPr>
        <w:adjustRightInd w:val="0"/>
        <w:snapToGrid w:val="0"/>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开户银行：中国工商银行股份有限公司东莞分行</w:t>
      </w:r>
    </w:p>
    <w:p w14:paraId="03CB7CA6">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39D2631D">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231ECB47">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4A8B03C6">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中标人的投标保证金，满足下列要求，并最迟应在本项目的书面合同签订后5日内退还。</w:t>
      </w:r>
    </w:p>
    <w:p w14:paraId="0F74310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3BF54184">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5FDEB87E">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2112FDCF">
      <w:pPr>
        <w:numPr>
          <w:ilvl w:val="0"/>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29A0DC5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2B20DE4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6CE789A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r>
        <w:rPr>
          <w:rFonts w:hint="eastAsia" w:ascii="宋体" w:hAnsi="宋体" w:eastAsia="宋体" w:cs="宋体"/>
          <w:b w:val="0"/>
          <w:color w:val="auto"/>
          <w:szCs w:val="21"/>
          <w:highlight w:val="none"/>
          <w:lang w:val="zh-CN" w:eastAsia="zh-CN"/>
        </w:rPr>
        <w:t>；</w:t>
      </w:r>
    </w:p>
    <w:p w14:paraId="710B7DA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3CAB52AF">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3E859DDD">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B8FCBB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2" w:name="_Toc23267"/>
      <w:bookmarkStart w:id="193" w:name="_Toc20930"/>
      <w:bookmarkStart w:id="194" w:name="_Toc142508330"/>
      <w:bookmarkStart w:id="195" w:name="_Toc22649_WPSOffice_Level3"/>
      <w:bookmarkStart w:id="196" w:name="_Toc450662865"/>
      <w:bookmarkStart w:id="197" w:name="_Toc486167680"/>
      <w:bookmarkStart w:id="198" w:name="_Toc1458"/>
      <w:bookmarkStart w:id="199" w:name="_Toc29607"/>
      <w:bookmarkStart w:id="200" w:name="_Toc2106"/>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92"/>
      <w:bookmarkEnd w:id="193"/>
      <w:bookmarkEnd w:id="194"/>
      <w:bookmarkEnd w:id="195"/>
      <w:bookmarkEnd w:id="196"/>
      <w:bookmarkEnd w:id="197"/>
      <w:bookmarkEnd w:id="198"/>
      <w:bookmarkEnd w:id="199"/>
      <w:bookmarkEnd w:id="200"/>
    </w:p>
    <w:p w14:paraId="0A96E4BD">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47A129D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58B9B0F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3E13E96A">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1F969AD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1" w:name="_Toc142508331"/>
      <w:bookmarkStart w:id="202" w:name="_Toc15544"/>
      <w:bookmarkStart w:id="203" w:name="_Toc25637_WPSOffice_Level3"/>
      <w:bookmarkStart w:id="204" w:name="_Toc2354"/>
      <w:bookmarkStart w:id="205" w:name="_Toc486167681"/>
      <w:bookmarkStart w:id="206" w:name="_Toc932"/>
      <w:bookmarkStart w:id="207" w:name="_Toc5471"/>
      <w:bookmarkStart w:id="208" w:name="_Toc20422"/>
      <w:bookmarkStart w:id="209" w:name="_Toc450662866"/>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201"/>
      <w:bookmarkEnd w:id="202"/>
      <w:bookmarkEnd w:id="203"/>
      <w:bookmarkEnd w:id="204"/>
      <w:bookmarkEnd w:id="205"/>
      <w:bookmarkEnd w:id="206"/>
      <w:bookmarkEnd w:id="207"/>
      <w:bookmarkEnd w:id="208"/>
      <w:bookmarkEnd w:id="209"/>
    </w:p>
    <w:p w14:paraId="571C275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2C37003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7F1A6855">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4AB8AFE2">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59C978BF">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695E8AF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646A398F">
      <w:pPr>
        <w:autoSpaceDE w:val="0"/>
        <w:autoSpaceDN w:val="0"/>
        <w:adjustRightInd w:val="0"/>
        <w:jc w:val="left"/>
        <w:rPr>
          <w:rFonts w:ascii="宋体" w:hAnsi="宋体" w:eastAsia="宋体" w:cs="宋体"/>
          <w:color w:val="auto"/>
          <w:kern w:val="0"/>
          <w:sz w:val="24"/>
          <w:szCs w:val="24"/>
          <w:highlight w:val="none"/>
        </w:rPr>
      </w:pPr>
      <w:bookmarkStart w:id="210" w:name="_Toc450662867"/>
    </w:p>
    <w:p w14:paraId="780F753A">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211" w:name="_Toc140596891"/>
      <w:bookmarkStart w:id="212" w:name="_Toc19176"/>
      <w:bookmarkStart w:id="213" w:name="_Toc17199"/>
      <w:bookmarkStart w:id="214" w:name="_Toc16145"/>
      <w:bookmarkStart w:id="215" w:name="_Toc22356_WPSOffice_Level2"/>
      <w:bookmarkStart w:id="216" w:name="_Toc142508332"/>
      <w:bookmarkStart w:id="217" w:name="_Toc973"/>
      <w:bookmarkStart w:id="218" w:name="_Toc26605"/>
      <w:bookmarkStart w:id="219" w:name="_Toc486167682"/>
      <w:r>
        <w:rPr>
          <w:rFonts w:hint="eastAsia" w:ascii="宋体" w:hAnsi="宋体" w:eastAsia="宋体" w:cs="宋体"/>
          <w:b/>
          <w:bCs/>
          <w:color w:val="auto"/>
          <w:kern w:val="44"/>
          <w:szCs w:val="21"/>
          <w:highlight w:val="none"/>
          <w:lang w:val="zh-CN"/>
        </w:rPr>
        <w:t>四、投标文件的递交</w:t>
      </w:r>
      <w:bookmarkEnd w:id="210"/>
      <w:bookmarkEnd w:id="211"/>
      <w:bookmarkEnd w:id="212"/>
      <w:bookmarkEnd w:id="213"/>
      <w:bookmarkEnd w:id="214"/>
      <w:bookmarkEnd w:id="215"/>
      <w:bookmarkEnd w:id="216"/>
      <w:bookmarkEnd w:id="217"/>
      <w:bookmarkEnd w:id="218"/>
      <w:bookmarkEnd w:id="219"/>
    </w:p>
    <w:p w14:paraId="31431EF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0" w:name="_Toc31551"/>
      <w:bookmarkStart w:id="221" w:name="_Toc12192_WPSOffice_Level3"/>
      <w:bookmarkStart w:id="222" w:name="_Toc29038"/>
      <w:bookmarkStart w:id="223" w:name="_Toc11359"/>
      <w:bookmarkStart w:id="224" w:name="_Toc32535"/>
      <w:bookmarkStart w:id="225" w:name="_Toc29885"/>
      <w:bookmarkStart w:id="226" w:name="_Toc486167683"/>
      <w:bookmarkStart w:id="227" w:name="_Toc450662868"/>
      <w:bookmarkStart w:id="228" w:name="_Toc14250833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20"/>
      <w:bookmarkEnd w:id="221"/>
      <w:bookmarkEnd w:id="222"/>
      <w:bookmarkEnd w:id="223"/>
      <w:bookmarkEnd w:id="224"/>
      <w:bookmarkEnd w:id="225"/>
      <w:bookmarkEnd w:id="226"/>
      <w:bookmarkEnd w:id="227"/>
      <w:bookmarkEnd w:id="228"/>
    </w:p>
    <w:p w14:paraId="3517205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10D4AD52">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2164134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51DF506F">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47589218">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325B722C">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7158E847">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734B8C9">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226BE865">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60B1589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9" w:name="_Toc142508334"/>
      <w:bookmarkStart w:id="230" w:name="_Toc1770"/>
      <w:bookmarkStart w:id="231" w:name="_Toc23369"/>
      <w:bookmarkStart w:id="232" w:name="_Toc486167684"/>
      <w:bookmarkStart w:id="233" w:name="_Toc4979"/>
      <w:bookmarkStart w:id="234" w:name="_Toc29665_WPSOffice_Level3"/>
      <w:bookmarkStart w:id="235" w:name="_Toc14371"/>
      <w:bookmarkStart w:id="236" w:name="_Toc450662869"/>
      <w:bookmarkStart w:id="237" w:name="_Toc12582"/>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29"/>
      <w:bookmarkEnd w:id="230"/>
      <w:bookmarkEnd w:id="231"/>
      <w:bookmarkEnd w:id="232"/>
      <w:bookmarkEnd w:id="233"/>
      <w:bookmarkEnd w:id="234"/>
      <w:bookmarkEnd w:id="235"/>
      <w:bookmarkEnd w:id="236"/>
      <w:bookmarkEnd w:id="237"/>
    </w:p>
    <w:p w14:paraId="2E5B910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62B0836F">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277948F7">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294D4E2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38" w:name="_Toc22431_WPSOffice_Level3"/>
      <w:bookmarkStart w:id="239" w:name="_Toc20835"/>
      <w:bookmarkStart w:id="240" w:name="_Toc450662870"/>
      <w:bookmarkStart w:id="241" w:name="_Toc30287"/>
      <w:bookmarkStart w:id="242" w:name="_Toc23052"/>
      <w:bookmarkStart w:id="243" w:name="_Toc22673"/>
      <w:bookmarkStart w:id="244" w:name="_Toc486167685"/>
      <w:bookmarkStart w:id="245" w:name="_Toc142508335"/>
      <w:bookmarkStart w:id="246" w:name="_Toc21327"/>
      <w:r>
        <w:rPr>
          <w:rFonts w:hint="eastAsia" w:ascii="宋体" w:hAnsi="宋体" w:eastAsia="宋体" w:cs="宋体"/>
          <w:color w:val="auto"/>
          <w:szCs w:val="21"/>
          <w:highlight w:val="none"/>
          <w:lang w:val="zh-CN"/>
        </w:rPr>
        <w:t>20 迟交的投标文件</w:t>
      </w:r>
      <w:bookmarkEnd w:id="238"/>
      <w:bookmarkEnd w:id="239"/>
      <w:bookmarkEnd w:id="240"/>
      <w:bookmarkEnd w:id="241"/>
      <w:bookmarkEnd w:id="242"/>
      <w:bookmarkEnd w:id="243"/>
      <w:bookmarkEnd w:id="244"/>
      <w:bookmarkEnd w:id="245"/>
      <w:bookmarkEnd w:id="246"/>
    </w:p>
    <w:p w14:paraId="71DBFB0D">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78F6D4D1">
      <w:pPr>
        <w:autoSpaceDE w:val="0"/>
        <w:autoSpaceDN w:val="0"/>
        <w:adjustRightInd w:val="0"/>
        <w:jc w:val="left"/>
        <w:rPr>
          <w:rFonts w:ascii="宋体" w:hAnsi="宋体" w:eastAsia="宋体" w:cs="宋体"/>
          <w:color w:val="auto"/>
          <w:kern w:val="0"/>
          <w:sz w:val="24"/>
          <w:szCs w:val="24"/>
          <w:highlight w:val="none"/>
        </w:rPr>
      </w:pPr>
    </w:p>
    <w:p w14:paraId="3FA159A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7" w:name="_Toc142508336"/>
      <w:bookmarkStart w:id="248" w:name="_Toc3814"/>
      <w:bookmarkStart w:id="249" w:name="_Toc28553"/>
      <w:bookmarkStart w:id="250" w:name="_Toc22985"/>
      <w:bookmarkStart w:id="251" w:name="_Toc24876"/>
      <w:bookmarkStart w:id="252" w:name="_Toc450662871"/>
      <w:bookmarkStart w:id="253" w:name="_Toc4883_WPSOffice_Level3"/>
      <w:bookmarkStart w:id="254" w:name="_Toc486167686"/>
      <w:bookmarkStart w:id="255" w:name="_Toc2785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47"/>
      <w:bookmarkEnd w:id="248"/>
      <w:bookmarkEnd w:id="249"/>
      <w:bookmarkEnd w:id="250"/>
      <w:bookmarkEnd w:id="251"/>
      <w:bookmarkEnd w:id="252"/>
      <w:bookmarkEnd w:id="253"/>
      <w:bookmarkEnd w:id="254"/>
      <w:bookmarkEnd w:id="255"/>
    </w:p>
    <w:p w14:paraId="2031D1B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267D054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2DF4827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2F80A03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3E9A4B14">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8894690">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56" w:name="_Toc450662872"/>
      <w:bookmarkStart w:id="257" w:name="_Toc14220"/>
      <w:bookmarkStart w:id="258" w:name="_Toc1049_WPSOffice_Level2"/>
      <w:bookmarkStart w:id="259" w:name="_Toc1110"/>
      <w:bookmarkStart w:id="260" w:name="_Toc486167687"/>
      <w:bookmarkStart w:id="261" w:name="_Toc28824"/>
      <w:bookmarkStart w:id="262" w:name="_Toc140596896"/>
      <w:bookmarkStart w:id="263" w:name="_Toc142508337"/>
      <w:bookmarkStart w:id="264" w:name="_Toc20923"/>
      <w:bookmarkStart w:id="265" w:name="_Toc30428"/>
      <w:r>
        <w:rPr>
          <w:rFonts w:hint="eastAsia" w:ascii="宋体" w:hAnsi="宋体" w:eastAsia="宋体" w:cs="宋体"/>
          <w:b/>
          <w:bCs/>
          <w:color w:val="auto"/>
          <w:kern w:val="44"/>
          <w:szCs w:val="21"/>
          <w:highlight w:val="none"/>
          <w:lang w:val="zh-CN"/>
        </w:rPr>
        <w:t>五、开标与评标</w:t>
      </w:r>
      <w:bookmarkEnd w:id="256"/>
      <w:bookmarkEnd w:id="257"/>
      <w:bookmarkEnd w:id="258"/>
      <w:bookmarkEnd w:id="259"/>
      <w:bookmarkEnd w:id="260"/>
      <w:bookmarkEnd w:id="261"/>
      <w:bookmarkEnd w:id="262"/>
      <w:bookmarkEnd w:id="263"/>
      <w:bookmarkEnd w:id="264"/>
      <w:bookmarkEnd w:id="265"/>
    </w:p>
    <w:p w14:paraId="7533FF5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6" w:name="_Toc486167688"/>
      <w:bookmarkStart w:id="267" w:name="_Toc6065"/>
      <w:bookmarkStart w:id="268" w:name="_Toc144_WPSOffice_Level3"/>
      <w:bookmarkStart w:id="269" w:name="_Toc32206"/>
      <w:bookmarkStart w:id="270" w:name="_Toc142508338"/>
      <w:bookmarkStart w:id="271" w:name="_Toc450662873"/>
      <w:bookmarkStart w:id="272" w:name="_Toc2000"/>
      <w:bookmarkStart w:id="273" w:name="_Toc8728"/>
      <w:bookmarkStart w:id="274" w:name="_Toc11256"/>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66"/>
      <w:bookmarkEnd w:id="267"/>
      <w:bookmarkEnd w:id="268"/>
      <w:bookmarkEnd w:id="269"/>
      <w:bookmarkEnd w:id="270"/>
      <w:bookmarkEnd w:id="271"/>
      <w:bookmarkEnd w:id="272"/>
      <w:bookmarkEnd w:id="273"/>
      <w:bookmarkEnd w:id="274"/>
    </w:p>
    <w:p w14:paraId="0404C25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55AA151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17517B7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285CA8F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当以数字表示的检测服务系数</w:t>
      </w:r>
      <w:r>
        <w:rPr>
          <w:rFonts w:hint="eastAsia" w:ascii="宋体" w:hAnsi="宋体" w:eastAsia="宋体" w:cs="宋体"/>
          <w:color w:val="auto"/>
          <w:szCs w:val="21"/>
          <w:highlight w:val="none"/>
          <w:lang w:val="en-US" w:eastAsia="zh-CN"/>
        </w:rPr>
        <w:t>报价</w:t>
      </w:r>
      <w:r>
        <w:rPr>
          <w:rFonts w:hint="eastAsia" w:ascii="宋体" w:hAnsi="宋体" w:eastAsia="宋体" w:cs="宋体"/>
          <w:color w:val="auto"/>
          <w:szCs w:val="21"/>
          <w:highlight w:val="none"/>
          <w:lang w:val="zh-CN"/>
        </w:rPr>
        <w:t>与以文字表示的系数报价不一致时，以文字表示的系数报价为准。检测服务系数报价保留小数点后两位，否则评标委员会按去“尾”或补“零”的方式进行修正为保留小数点后两位，投标人须接受被修正后的报价(例:如检测服务系数为0.789，则被修正为0.78;如检测服务系数为0.7，则被修正为0.70)。</w:t>
      </w:r>
    </w:p>
    <w:p w14:paraId="0CEFC77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2CA5275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35E86C4E">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254F4E0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5" w:name="_Toc12978"/>
      <w:bookmarkStart w:id="276" w:name="_Toc12165_WPSOffice_Level3"/>
      <w:bookmarkStart w:id="277" w:name="_Toc142508339"/>
      <w:bookmarkStart w:id="278" w:name="_Toc23491"/>
      <w:bookmarkStart w:id="279" w:name="_Toc486167689"/>
      <w:bookmarkStart w:id="280" w:name="_Toc23059"/>
      <w:bookmarkStart w:id="281" w:name="_Toc32534"/>
      <w:bookmarkStart w:id="282" w:name="_Toc450662874"/>
      <w:bookmarkStart w:id="283" w:name="_Toc29156"/>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75"/>
      <w:bookmarkEnd w:id="276"/>
      <w:bookmarkEnd w:id="277"/>
      <w:bookmarkEnd w:id="278"/>
      <w:bookmarkEnd w:id="279"/>
      <w:bookmarkEnd w:id="280"/>
      <w:bookmarkEnd w:id="281"/>
      <w:bookmarkEnd w:id="282"/>
      <w:bookmarkEnd w:id="283"/>
    </w:p>
    <w:p w14:paraId="24E5D50A">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69C8055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1FCD382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4498F25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4" w:name="_Toc16920"/>
      <w:bookmarkStart w:id="285" w:name="_Toc450662875"/>
      <w:bookmarkStart w:id="286" w:name="_Toc800"/>
      <w:bookmarkStart w:id="287" w:name="_Toc18898"/>
      <w:bookmarkStart w:id="288" w:name="_Toc142508340"/>
      <w:bookmarkStart w:id="289" w:name="_Toc5644"/>
      <w:bookmarkStart w:id="290" w:name="_Toc15565_WPSOffice_Level3"/>
      <w:bookmarkStart w:id="291" w:name="_Toc486167690"/>
      <w:bookmarkStart w:id="292" w:name="_Toc1869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84"/>
      <w:bookmarkEnd w:id="285"/>
      <w:bookmarkEnd w:id="286"/>
      <w:bookmarkEnd w:id="287"/>
      <w:bookmarkEnd w:id="288"/>
      <w:bookmarkEnd w:id="289"/>
      <w:bookmarkEnd w:id="290"/>
      <w:bookmarkEnd w:id="291"/>
      <w:bookmarkEnd w:id="292"/>
    </w:p>
    <w:p w14:paraId="1A65C63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2EB392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28189136">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E04B05E">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93" w:name="_Toc28910_WPSOffice_Level3"/>
      <w:bookmarkStart w:id="294" w:name="_Toc486167691"/>
      <w:bookmarkStart w:id="295" w:name="_Toc142508341"/>
      <w:bookmarkStart w:id="296" w:name="_Toc19235"/>
      <w:bookmarkStart w:id="297" w:name="_Toc12715"/>
      <w:bookmarkStart w:id="298" w:name="_Toc8908"/>
      <w:bookmarkStart w:id="299" w:name="_Toc29742"/>
      <w:bookmarkStart w:id="300" w:name="_Toc18668"/>
      <w:bookmarkStart w:id="301" w:name="_Toc450662876"/>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93"/>
      <w:bookmarkEnd w:id="294"/>
      <w:bookmarkEnd w:id="295"/>
      <w:bookmarkEnd w:id="296"/>
      <w:bookmarkEnd w:id="297"/>
      <w:bookmarkEnd w:id="298"/>
      <w:bookmarkEnd w:id="299"/>
      <w:bookmarkEnd w:id="300"/>
      <w:bookmarkEnd w:id="301"/>
    </w:p>
    <w:p w14:paraId="30D975F6">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0637E9C5">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776BB20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550B567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2" w:name="_Toc486167692"/>
      <w:bookmarkStart w:id="303" w:name="_Toc142508342"/>
      <w:bookmarkStart w:id="304" w:name="_Toc30225"/>
      <w:bookmarkStart w:id="305" w:name="_Toc450662877"/>
      <w:bookmarkStart w:id="306" w:name="_Toc13779"/>
      <w:bookmarkStart w:id="307" w:name="_Toc25763"/>
      <w:bookmarkStart w:id="308" w:name="_Toc338_WPSOffice_Level3"/>
      <w:bookmarkStart w:id="309" w:name="_Toc19456"/>
      <w:bookmarkStart w:id="310" w:name="_Toc4837"/>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302"/>
      <w:bookmarkEnd w:id="303"/>
      <w:bookmarkEnd w:id="304"/>
      <w:bookmarkEnd w:id="305"/>
      <w:bookmarkEnd w:id="306"/>
      <w:bookmarkEnd w:id="307"/>
      <w:bookmarkEnd w:id="308"/>
      <w:bookmarkEnd w:id="309"/>
      <w:bookmarkEnd w:id="310"/>
    </w:p>
    <w:p w14:paraId="37D4BCB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2D56D01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311"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p w14:paraId="3214244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p>
    <w:bookmarkEnd w:id="311"/>
    <w:p w14:paraId="1AF3BA4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2" w:name="_Toc522047355"/>
      <w:bookmarkStart w:id="313" w:name="_Toc18536"/>
      <w:bookmarkStart w:id="314" w:name="_Toc19466"/>
      <w:bookmarkStart w:id="315" w:name="_Toc10967"/>
      <w:bookmarkStart w:id="316" w:name="_Toc142508343"/>
      <w:bookmarkStart w:id="317" w:name="_Toc18368_WPSOffice_Level3"/>
      <w:bookmarkStart w:id="318" w:name="_Toc22065"/>
      <w:bookmarkStart w:id="319" w:name="_Toc6970"/>
      <w:bookmarkStart w:id="320" w:name="_Toc521918096"/>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312"/>
      <w:bookmarkEnd w:id="313"/>
      <w:bookmarkEnd w:id="314"/>
      <w:bookmarkEnd w:id="315"/>
      <w:bookmarkEnd w:id="316"/>
      <w:bookmarkEnd w:id="317"/>
      <w:bookmarkEnd w:id="318"/>
      <w:bookmarkEnd w:id="319"/>
      <w:bookmarkEnd w:id="320"/>
    </w:p>
    <w:p w14:paraId="007BE320">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61A92AB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1119EF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6488DB44">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7197B5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628E5AE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4D0A2682">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321" w:name="_Toc522047356"/>
      <w:bookmarkStart w:id="322" w:name="_Toc521918097"/>
    </w:p>
    <w:p w14:paraId="77AABB2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3" w:name="_Toc21460_WPSOffice_Level3"/>
      <w:bookmarkStart w:id="324" w:name="_Toc24575"/>
      <w:bookmarkStart w:id="325" w:name="_Toc142508344"/>
      <w:bookmarkStart w:id="326" w:name="_Toc16829"/>
      <w:bookmarkStart w:id="327" w:name="_Toc27026"/>
      <w:bookmarkStart w:id="328" w:name="_Toc15519"/>
      <w:bookmarkStart w:id="329" w:name="_Toc1480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321"/>
      <w:bookmarkEnd w:id="322"/>
      <w:bookmarkEnd w:id="323"/>
      <w:bookmarkEnd w:id="324"/>
      <w:bookmarkEnd w:id="325"/>
      <w:bookmarkEnd w:id="326"/>
      <w:bookmarkEnd w:id="327"/>
      <w:bookmarkEnd w:id="328"/>
      <w:bookmarkEnd w:id="329"/>
    </w:p>
    <w:p w14:paraId="2198FD2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03850AA2">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38BA4610">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79415D1A">
      <w:pPr>
        <w:spacing w:line="360" w:lineRule="auto"/>
        <w:ind w:left="220" w:leftChars="-93" w:hanging="415" w:hangingChars="198"/>
        <w:rPr>
          <w:rFonts w:hint="eastAsia" w:ascii="宋体" w:hAnsi="宋体" w:eastAsia="宋体" w:cs="宋体"/>
          <w:b w:val="0"/>
          <w:bCs w:val="0"/>
          <w:color w:val="auto"/>
          <w:szCs w:val="24"/>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6AA8CF05">
      <w:pPr>
        <w:spacing w:line="360" w:lineRule="auto"/>
        <w:ind w:left="542" w:hanging="544" w:hangingChars="258"/>
        <w:jc w:val="both"/>
        <w:rPr>
          <w:rFonts w:hint="eastAsia" w:ascii="宋体" w:hAnsi="宋体" w:eastAsia="宋体" w:cs="宋体"/>
          <w:b/>
          <w:bCs/>
          <w:color w:val="auto"/>
          <w:kern w:val="2"/>
          <w:sz w:val="21"/>
          <w:szCs w:val="21"/>
          <w:highlight w:val="none"/>
          <w:lang w:val="zh-CN"/>
        </w:rPr>
      </w:pPr>
    </w:p>
    <w:p w14:paraId="45743B8C">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1F62298D">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0" w:name="_Toc486167694"/>
      <w:bookmarkStart w:id="331" w:name="_Toc142508345"/>
      <w:bookmarkStart w:id="332" w:name="_Toc1172"/>
      <w:bookmarkStart w:id="333" w:name="_Toc29588"/>
      <w:bookmarkStart w:id="334" w:name="_Toc466882017"/>
      <w:bookmarkStart w:id="335" w:name="_Toc32498_WPSOffice_Level3"/>
      <w:bookmarkStart w:id="336" w:name="_Toc11615"/>
      <w:bookmarkStart w:id="337" w:name="_Toc465358969"/>
      <w:bookmarkStart w:id="338" w:name="_Toc4819"/>
      <w:bookmarkStart w:id="339" w:name="_Toc21508"/>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30"/>
      <w:bookmarkEnd w:id="331"/>
      <w:bookmarkEnd w:id="332"/>
      <w:bookmarkEnd w:id="333"/>
      <w:bookmarkEnd w:id="334"/>
      <w:bookmarkEnd w:id="335"/>
      <w:bookmarkEnd w:id="336"/>
      <w:bookmarkEnd w:id="337"/>
      <w:bookmarkEnd w:id="338"/>
      <w:bookmarkEnd w:id="339"/>
    </w:p>
    <w:p w14:paraId="078EEEE3">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w:t>
      </w:r>
      <w:r>
        <w:rPr>
          <w:rFonts w:hint="eastAsia" w:ascii="宋体" w:hAnsi="宋体" w:eastAsia="宋体" w:cs="Times New Roman"/>
          <w:color w:val="auto"/>
          <w:szCs w:val="21"/>
          <w:highlight w:val="none"/>
          <w:lang w:val="en-US" w:eastAsia="zh-CN"/>
        </w:rPr>
        <w:t>公示期不得少于3日（最后一日是节假日或公休日的，应顺延到节假日或公休日后第一个工作日）。</w:t>
      </w:r>
      <w:r>
        <w:rPr>
          <w:rFonts w:hint="eastAsia" w:ascii="宋体" w:hAnsi="宋体" w:eastAsia="宋体" w:cs="Times New Roman"/>
          <w:color w:val="auto"/>
          <w:szCs w:val="21"/>
          <w:highlight w:val="none"/>
          <w:lang w:val="zh-CN"/>
        </w:rPr>
        <w:t>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386EF10E">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507CF2CD">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w:t>
      </w:r>
      <w:r>
        <w:rPr>
          <w:rFonts w:hint="eastAsia" w:ascii="宋体" w:hAnsi="宋体" w:eastAsia="宋体" w:cs="Times New Roman"/>
          <w:color w:val="auto"/>
          <w:szCs w:val="21"/>
          <w:highlight w:val="none"/>
          <w:lang w:val="en-US" w:eastAsia="zh-CN"/>
        </w:rPr>
        <w:t>（最后一日是节假日或公休日的，应顺延到节假日或公休日后第一个工作日）</w:t>
      </w:r>
      <w:r>
        <w:rPr>
          <w:rFonts w:hint="eastAsia" w:ascii="宋体" w:hAnsi="宋体" w:eastAsia="宋体" w:cs="Times New Roman"/>
          <w:b/>
          <w:color w:val="auto"/>
          <w:szCs w:val="21"/>
          <w:highlight w:val="none"/>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29D9254">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01CA9ED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06B7511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646494C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34E0C98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0D4F58DF">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B41E23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6EE05893">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4FA9F1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67DB1EB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00344DC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37D62B1A">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0E3AB959">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40" w:name="_Toc142508346"/>
      <w:bookmarkStart w:id="341" w:name="_Toc2077"/>
      <w:bookmarkStart w:id="342" w:name="_Toc466882018"/>
      <w:bookmarkStart w:id="343" w:name="_Toc3154"/>
      <w:bookmarkStart w:id="344" w:name="_Toc1848_WPSOffice_Level3"/>
      <w:bookmarkStart w:id="345" w:name="_Toc465358970"/>
      <w:bookmarkStart w:id="346" w:name="_Toc26354"/>
      <w:bookmarkStart w:id="347" w:name="_Toc3385"/>
      <w:bookmarkStart w:id="348" w:name="_Toc30037"/>
      <w:bookmarkStart w:id="349" w:name="_Toc48616769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40"/>
      <w:bookmarkEnd w:id="341"/>
      <w:bookmarkEnd w:id="342"/>
      <w:bookmarkEnd w:id="343"/>
      <w:bookmarkEnd w:id="344"/>
      <w:bookmarkEnd w:id="345"/>
      <w:bookmarkEnd w:id="346"/>
      <w:bookmarkEnd w:id="347"/>
      <w:bookmarkEnd w:id="348"/>
      <w:bookmarkEnd w:id="349"/>
    </w:p>
    <w:p w14:paraId="19809FDA">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2440D4B1">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1C97EE7">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640927FA">
      <w:pPr>
        <w:autoSpaceDE w:val="0"/>
        <w:autoSpaceDN w:val="0"/>
        <w:adjustRightInd w:val="0"/>
        <w:snapToGrid w:val="0"/>
        <w:spacing w:line="360" w:lineRule="auto"/>
        <w:jc w:val="left"/>
        <w:rPr>
          <w:rFonts w:ascii="宋体" w:hAnsi="宋体" w:eastAsia="宋体" w:cs="宋体"/>
          <w:color w:val="auto"/>
          <w:szCs w:val="21"/>
          <w:highlight w:val="none"/>
        </w:rPr>
      </w:pPr>
      <w:bookmarkStart w:id="350" w:name="_Toc466882019"/>
      <w:bookmarkStart w:id="351" w:name="_Toc465358971"/>
    </w:p>
    <w:p w14:paraId="2677FB1C">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52" w:name="_Toc142508347"/>
      <w:bookmarkStart w:id="353" w:name="_Toc10867_WPSOffice_Level3"/>
      <w:bookmarkStart w:id="354" w:name="_Toc486167696"/>
      <w:bookmarkStart w:id="355" w:name="_Toc26085"/>
      <w:bookmarkStart w:id="356" w:name="_Toc8654"/>
      <w:bookmarkStart w:id="357" w:name="_Toc29442"/>
      <w:bookmarkStart w:id="358" w:name="_Toc23672"/>
      <w:bookmarkStart w:id="359" w:name="_Toc15815"/>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50"/>
      <w:bookmarkEnd w:id="351"/>
      <w:bookmarkEnd w:id="352"/>
      <w:bookmarkEnd w:id="353"/>
      <w:bookmarkEnd w:id="354"/>
      <w:bookmarkEnd w:id="355"/>
      <w:bookmarkEnd w:id="356"/>
      <w:bookmarkEnd w:id="357"/>
      <w:bookmarkEnd w:id="358"/>
      <w:bookmarkEnd w:id="359"/>
    </w:p>
    <w:p w14:paraId="52A1D914">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5839973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60" w:name="_Toc450662880"/>
    </w:p>
    <w:p w14:paraId="7DD679B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61" w:name="_Toc16789"/>
      <w:bookmarkStart w:id="362" w:name="_Toc13744"/>
      <w:bookmarkStart w:id="363" w:name="_Toc11941"/>
      <w:bookmarkStart w:id="364" w:name="_Toc27936"/>
      <w:bookmarkStart w:id="365" w:name="_Toc140596907"/>
      <w:bookmarkStart w:id="366" w:name="_Toc16848_WPSOffice_Level2"/>
      <w:bookmarkStart w:id="367" w:name="_Toc142508348"/>
      <w:bookmarkStart w:id="368" w:name="_Toc486167697"/>
      <w:bookmarkStart w:id="369" w:name="_Toc23006"/>
      <w:r>
        <w:rPr>
          <w:rFonts w:hint="eastAsia" w:ascii="宋体" w:hAnsi="宋体" w:eastAsia="宋体" w:cs="宋体"/>
          <w:b/>
          <w:bCs/>
          <w:color w:val="auto"/>
          <w:kern w:val="44"/>
          <w:szCs w:val="21"/>
          <w:highlight w:val="none"/>
          <w:lang w:val="zh-CN"/>
        </w:rPr>
        <w:t>六、授予合同</w:t>
      </w:r>
      <w:bookmarkEnd w:id="360"/>
      <w:bookmarkEnd w:id="361"/>
      <w:bookmarkEnd w:id="362"/>
      <w:bookmarkEnd w:id="363"/>
      <w:bookmarkEnd w:id="364"/>
      <w:bookmarkEnd w:id="365"/>
      <w:bookmarkEnd w:id="366"/>
      <w:bookmarkEnd w:id="367"/>
      <w:bookmarkEnd w:id="368"/>
      <w:bookmarkEnd w:id="369"/>
    </w:p>
    <w:p w14:paraId="54F841C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0" w:name="_Toc486167698"/>
      <w:bookmarkStart w:id="371" w:name="_Toc25612"/>
      <w:bookmarkStart w:id="372" w:name="_Toc450662881"/>
      <w:bookmarkStart w:id="373" w:name="_Toc14165"/>
      <w:bookmarkStart w:id="374" w:name="_Toc9067"/>
      <w:bookmarkStart w:id="375" w:name="_Toc29383"/>
      <w:bookmarkStart w:id="376" w:name="_Toc142508349"/>
      <w:bookmarkStart w:id="377" w:name="_Toc31713"/>
      <w:bookmarkStart w:id="378" w:name="_Toc6401_WPSOffice_Level3"/>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70"/>
      <w:bookmarkEnd w:id="371"/>
      <w:bookmarkEnd w:id="372"/>
      <w:bookmarkEnd w:id="373"/>
      <w:bookmarkEnd w:id="374"/>
      <w:bookmarkEnd w:id="375"/>
      <w:bookmarkEnd w:id="376"/>
      <w:bookmarkEnd w:id="377"/>
      <w:bookmarkEnd w:id="378"/>
    </w:p>
    <w:p w14:paraId="4361D9B6">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2F1A5F2E">
      <w:pPr>
        <w:numPr>
          <w:ilvl w:val="0"/>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5E4A1D18">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62B0D12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79" w:name="_Toc450662885"/>
    </w:p>
    <w:p w14:paraId="124A5103">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0" w:name="_Toc142508350"/>
      <w:bookmarkStart w:id="381" w:name="_Toc486167699"/>
      <w:bookmarkStart w:id="382" w:name="_Toc14377"/>
      <w:bookmarkStart w:id="383" w:name="_Toc14633"/>
      <w:bookmarkStart w:id="384" w:name="_Toc8196"/>
      <w:bookmarkStart w:id="385" w:name="_Toc6726_WPSOffice_Level3"/>
      <w:bookmarkStart w:id="386" w:name="_Toc18984"/>
      <w:bookmarkStart w:id="387" w:name="_Toc6335"/>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79"/>
      <w:bookmarkEnd w:id="380"/>
      <w:bookmarkEnd w:id="381"/>
      <w:bookmarkEnd w:id="382"/>
      <w:bookmarkEnd w:id="383"/>
      <w:bookmarkEnd w:id="384"/>
      <w:bookmarkEnd w:id="385"/>
      <w:bookmarkEnd w:id="386"/>
      <w:bookmarkEnd w:id="387"/>
    </w:p>
    <w:p w14:paraId="3241C54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8"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64C9036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14945191">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102906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9" w:name="_Toc11503"/>
      <w:bookmarkStart w:id="390" w:name="_Toc19127"/>
      <w:bookmarkStart w:id="391" w:name="_Toc9694_WPSOffice_Level3"/>
      <w:bookmarkStart w:id="392" w:name="_Toc28020"/>
      <w:bookmarkStart w:id="393" w:name="_Toc142508351"/>
      <w:bookmarkStart w:id="394" w:name="_Toc14149"/>
      <w:bookmarkStart w:id="395" w:name="_Toc486167700"/>
      <w:bookmarkStart w:id="396" w:name="_Toc1331"/>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88"/>
      <w:bookmarkEnd w:id="389"/>
      <w:bookmarkEnd w:id="390"/>
      <w:bookmarkEnd w:id="391"/>
      <w:bookmarkEnd w:id="392"/>
      <w:bookmarkEnd w:id="393"/>
      <w:bookmarkEnd w:id="394"/>
      <w:bookmarkEnd w:id="395"/>
      <w:bookmarkEnd w:id="396"/>
    </w:p>
    <w:p w14:paraId="65198B30">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4746314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153D112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7" w:name="_Toc10513_WPSOffice_Level3"/>
      <w:bookmarkStart w:id="398" w:name="_Toc486167701"/>
      <w:bookmarkStart w:id="399" w:name="_Toc32055"/>
      <w:bookmarkStart w:id="400" w:name="_Toc5304"/>
      <w:bookmarkStart w:id="401" w:name="_Toc142508352"/>
      <w:bookmarkStart w:id="402" w:name="_Toc17107"/>
      <w:bookmarkStart w:id="403" w:name="_Toc3830"/>
      <w:bookmarkStart w:id="404" w:name="_Toc450662887"/>
      <w:bookmarkStart w:id="405" w:name="_Toc8181"/>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97"/>
      <w:bookmarkEnd w:id="398"/>
      <w:bookmarkEnd w:id="399"/>
      <w:bookmarkEnd w:id="400"/>
      <w:bookmarkEnd w:id="401"/>
      <w:bookmarkEnd w:id="402"/>
      <w:bookmarkEnd w:id="403"/>
      <w:bookmarkEnd w:id="404"/>
      <w:bookmarkEnd w:id="405"/>
    </w:p>
    <w:p w14:paraId="3E09A1E1">
      <w:pPr>
        <w:numPr>
          <w:ilvl w:val="0"/>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406" w:name="_Toc466882025"/>
      <w:bookmarkStart w:id="407"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的5%，采用不可撤销银行履约保函形式的金额为暂定总合同价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的8%，采用担保公司履约担保书形式的金额为暂定总合同价</w:t>
      </w:r>
      <w:r>
        <w:rPr>
          <w:rFonts w:hint="eastAsia" w:ascii="宋体" w:hAnsi="宋体" w:eastAsia="宋体" w:cs="Times New Roman"/>
          <w:b/>
          <w:bCs/>
          <w:color w:val="auto"/>
          <w:szCs w:val="21"/>
          <w:highlight w:val="none"/>
          <w:u w:val="single"/>
          <w:lang w:val="en-US" w:eastAsia="zh-CN"/>
        </w:rPr>
        <w:t>款（含税）</w:t>
      </w:r>
      <w:r>
        <w:rPr>
          <w:rFonts w:hint="eastAsia" w:ascii="宋体" w:hAnsi="宋体" w:eastAsia="宋体" w:cs="Times New Roman"/>
          <w:b/>
          <w:bCs/>
          <w:color w:val="auto"/>
          <w:szCs w:val="21"/>
          <w:highlight w:val="none"/>
          <w:u w:val="single"/>
          <w:lang w:val="zh-CN"/>
        </w:rPr>
        <w:t>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4A3C287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032BB84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17C6B0E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0AB5091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5C7BCCD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7F41768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34ECA8A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163453C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38726C2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3F6C135A">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BE6971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532D16B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636B93B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61A450F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w:t>
      </w:r>
      <w:r>
        <w:rPr>
          <w:rFonts w:hint="eastAsia" w:ascii="宋体" w:hAnsi="宋体" w:eastAsia="宋体" w:cs="Times New Roman"/>
          <w:color w:val="auto"/>
          <w:kern w:val="0"/>
          <w:szCs w:val="21"/>
          <w:highlight w:val="none"/>
          <w:lang w:eastAsia="zh-CN"/>
        </w:rPr>
        <w:t>从合同签订之日起至合同期限届满并履行完毕相关服务义务且结算完毕之后二十八（28）个日历天内保持有效</w:t>
      </w:r>
      <w:r>
        <w:rPr>
          <w:rFonts w:hint="eastAsia" w:ascii="宋体" w:hAnsi="宋体" w:eastAsia="宋体" w:cs="宋体"/>
          <w:color w:val="auto"/>
          <w:kern w:val="0"/>
          <w:szCs w:val="21"/>
          <w:highlight w:val="none"/>
        </w:rPr>
        <w:t>。</w:t>
      </w:r>
    </w:p>
    <w:p w14:paraId="5C2F79D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3C336E8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3CAA9578">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0AC70540">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Times New Roman"/>
          <w:b/>
          <w:color w:val="auto"/>
          <w:kern w:val="0"/>
          <w:szCs w:val="21"/>
          <w:highlight w:val="none"/>
        </w:rPr>
        <w:t>开户</w:t>
      </w:r>
      <w:r>
        <w:rPr>
          <w:rFonts w:hint="eastAsia" w:ascii="宋体" w:hAnsi="宋体" w:eastAsia="宋体" w:cs="宋体"/>
          <w:b/>
          <w:color w:val="auto"/>
          <w:kern w:val="0"/>
          <w:szCs w:val="21"/>
          <w:highlight w:val="none"/>
        </w:rPr>
        <w:t>名称：东莞市水务集团建设管理有限公司</w:t>
      </w:r>
    </w:p>
    <w:p w14:paraId="5B09740C">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银行账号：2010021309200628330</w:t>
      </w:r>
    </w:p>
    <w:p w14:paraId="4EF5164E">
      <w:pPr>
        <w:tabs>
          <w:tab w:val="left" w:pos="360"/>
          <w:tab w:val="left" w:pos="4725"/>
        </w:tabs>
        <w:autoSpaceDE w:val="0"/>
        <w:autoSpaceDN w:val="0"/>
        <w:adjustRightIn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开户银行：中国工商银行股份有限公司东莞分行</w:t>
      </w:r>
    </w:p>
    <w:p w14:paraId="068DF305">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38C234F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中标人以履约保证金（银行转账形式）提供履约担保的在依法完成本项目的所有合同义务，且结算完毕之后二十八（28）个日历天</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14:paraId="492775C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792B4F53">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08" w:name="_Toc9976"/>
      <w:bookmarkStart w:id="409" w:name="_Toc486167702"/>
      <w:bookmarkStart w:id="410" w:name="_Toc142508353"/>
      <w:bookmarkStart w:id="411" w:name="_Toc17812"/>
      <w:bookmarkStart w:id="412" w:name="_Toc10548"/>
      <w:bookmarkStart w:id="413" w:name="_Toc15040"/>
      <w:bookmarkStart w:id="414" w:name="_Toc2716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406"/>
      <w:bookmarkEnd w:id="407"/>
      <w:bookmarkEnd w:id="408"/>
      <w:bookmarkEnd w:id="409"/>
      <w:bookmarkEnd w:id="410"/>
      <w:bookmarkEnd w:id="411"/>
      <w:bookmarkEnd w:id="412"/>
      <w:bookmarkEnd w:id="413"/>
      <w:bookmarkEnd w:id="414"/>
    </w:p>
    <w:p w14:paraId="5DFAE0EE">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5DEC0DEB">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15" w:name="_Toc450662888"/>
    </w:p>
    <w:p w14:paraId="4D4EFA6B">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16" w:name="_Toc486167703"/>
      <w:bookmarkStart w:id="417" w:name="_Toc9078"/>
      <w:bookmarkStart w:id="418" w:name="_Toc28921_WPSOffice_Level3"/>
      <w:bookmarkStart w:id="419" w:name="_Toc26457"/>
      <w:bookmarkStart w:id="420" w:name="_Toc142508354"/>
      <w:bookmarkStart w:id="421" w:name="_Toc2401"/>
      <w:bookmarkStart w:id="422" w:name="_Toc23218"/>
      <w:bookmarkStart w:id="423" w:name="_Toc26429"/>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415"/>
      <w:bookmarkEnd w:id="416"/>
      <w:bookmarkEnd w:id="417"/>
      <w:bookmarkEnd w:id="418"/>
      <w:bookmarkEnd w:id="419"/>
      <w:bookmarkEnd w:id="420"/>
      <w:bookmarkEnd w:id="421"/>
      <w:bookmarkEnd w:id="422"/>
      <w:bookmarkEnd w:id="423"/>
    </w:p>
    <w:p w14:paraId="5CBCAA8B">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w:t>
      </w:r>
      <w:r>
        <w:rPr>
          <w:rFonts w:hint="eastAsia" w:ascii="宋体" w:hAnsi="宋体" w:eastAsia="宋体" w:cs="宋体"/>
          <w:color w:val="auto"/>
          <w:szCs w:val="21"/>
          <w:highlight w:val="none"/>
          <w:lang w:val="en-US"/>
        </w:rPr>
        <w:t>项目业主</w:t>
      </w:r>
      <w:r>
        <w:rPr>
          <w:rFonts w:hint="eastAsia" w:ascii="宋体" w:hAnsi="宋体" w:eastAsia="宋体" w:cs="宋体"/>
          <w:color w:val="auto"/>
          <w:szCs w:val="21"/>
          <w:highlight w:val="none"/>
          <w:lang w:val="en-US" w:eastAsia="zh-CN"/>
        </w:rPr>
        <w:t>或招标人</w:t>
      </w:r>
      <w:r>
        <w:rPr>
          <w:rFonts w:hint="eastAsia" w:ascii="宋体" w:hAnsi="宋体" w:eastAsia="宋体" w:cs="宋体"/>
          <w:color w:val="auto"/>
          <w:szCs w:val="21"/>
          <w:highlight w:val="none"/>
          <w:lang w:val="zh-CN"/>
        </w:rPr>
        <w:t>向招标代理机构支付。</w:t>
      </w:r>
    </w:p>
    <w:p w14:paraId="5BC49E2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424" w:name="_Toc450662889"/>
    </w:p>
    <w:p w14:paraId="461E58A0">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425" w:name="_Toc142508355"/>
      <w:bookmarkStart w:id="426" w:name="_Toc21757"/>
      <w:bookmarkStart w:id="427" w:name="_Toc21985"/>
      <w:bookmarkStart w:id="428" w:name="_Toc11552"/>
      <w:bookmarkStart w:id="429" w:name="_Toc6764_WPSOffice_Level3"/>
      <w:bookmarkStart w:id="430" w:name="_Toc16407"/>
      <w:bookmarkStart w:id="431" w:name="_Toc6796"/>
      <w:bookmarkStart w:id="432" w:name="_Toc486167704"/>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424"/>
      <w:bookmarkEnd w:id="425"/>
      <w:bookmarkEnd w:id="426"/>
      <w:bookmarkEnd w:id="427"/>
      <w:bookmarkEnd w:id="428"/>
      <w:bookmarkEnd w:id="429"/>
      <w:bookmarkEnd w:id="430"/>
      <w:bookmarkEnd w:id="431"/>
      <w:bookmarkEnd w:id="432"/>
    </w:p>
    <w:p w14:paraId="6164EC03">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bookmarkStart w:id="433" w:name="_Toc486167705"/>
      <w:bookmarkStart w:id="434" w:name="_Toc31106_WPSOffice_Level3"/>
      <w:r>
        <w:rPr>
          <w:rFonts w:hint="eastAsia" w:ascii="宋体" w:hAnsi="宋体" w:eastAsia="宋体" w:cs="Times New Roman"/>
          <w:color w:val="auto"/>
          <w:szCs w:val="21"/>
          <w:highlight w:val="none"/>
          <w:lang w:val="zh-CN"/>
        </w:rPr>
        <w:t>该项目获得中标的中标人在执行合同过程中，向</w:t>
      </w:r>
      <w:r>
        <w:rPr>
          <w:rFonts w:hint="eastAsia" w:ascii="宋体" w:hAnsi="宋体" w:eastAsia="宋体" w:cs="宋体"/>
          <w:color w:val="auto"/>
          <w:szCs w:val="21"/>
          <w:highlight w:val="none"/>
          <w:lang w:val="zh-CN"/>
        </w:rPr>
        <w:t>项目业主</w:t>
      </w:r>
      <w:r>
        <w:rPr>
          <w:rFonts w:hint="eastAsia" w:ascii="宋体" w:hAnsi="宋体" w:eastAsia="宋体" w:cs="宋体"/>
          <w:color w:val="auto"/>
          <w:szCs w:val="21"/>
          <w:highlight w:val="none"/>
          <w:lang w:val="en-US" w:eastAsia="zh-CN"/>
        </w:rPr>
        <w:t>或招标人</w:t>
      </w:r>
      <w:r>
        <w:rPr>
          <w:rFonts w:hint="eastAsia" w:ascii="宋体" w:hAnsi="宋体" w:eastAsia="宋体" w:cs="Times New Roman"/>
          <w:color w:val="auto"/>
          <w:szCs w:val="21"/>
          <w:highlight w:val="none"/>
          <w:lang w:val="zh-CN"/>
        </w:rPr>
        <w:t>出具的发票必须是由中标人开具，不得以其他单位或个人名义出具，本项目中标人向</w:t>
      </w:r>
      <w:r>
        <w:rPr>
          <w:rFonts w:hint="eastAsia" w:ascii="宋体" w:hAnsi="宋体" w:eastAsia="宋体" w:cs="宋体"/>
          <w:color w:val="auto"/>
          <w:szCs w:val="21"/>
          <w:highlight w:val="none"/>
          <w:lang w:val="zh-CN"/>
        </w:rPr>
        <w:t>项目业主</w:t>
      </w:r>
      <w:r>
        <w:rPr>
          <w:rFonts w:hint="eastAsia" w:ascii="宋体" w:hAnsi="宋体" w:eastAsia="宋体" w:cs="宋体"/>
          <w:color w:val="auto"/>
          <w:szCs w:val="21"/>
          <w:highlight w:val="none"/>
          <w:lang w:val="en-US" w:eastAsia="zh-CN"/>
        </w:rPr>
        <w:t>或招标人</w:t>
      </w:r>
      <w:r>
        <w:rPr>
          <w:rFonts w:hint="eastAsia" w:ascii="宋体" w:hAnsi="宋体" w:eastAsia="宋体" w:cs="Times New Roman"/>
          <w:color w:val="auto"/>
          <w:szCs w:val="21"/>
          <w:highlight w:val="none"/>
          <w:lang w:val="zh-CN"/>
        </w:rPr>
        <w:t>出具的发票类型为增值税</w:t>
      </w:r>
      <w:r>
        <w:rPr>
          <w:rFonts w:hint="eastAsia" w:ascii="宋体" w:hAnsi="宋体" w:eastAsia="宋体" w:cs="Times New Roman"/>
          <w:color w:val="auto"/>
          <w:szCs w:val="21"/>
          <w:highlight w:val="none"/>
          <w:lang w:val="en-US" w:eastAsia="zh-CN"/>
        </w:rPr>
        <w:t>普通</w:t>
      </w:r>
      <w:r>
        <w:rPr>
          <w:rFonts w:hint="eastAsia" w:ascii="宋体" w:hAnsi="宋体" w:eastAsia="宋体" w:cs="Times New Roman"/>
          <w:color w:val="auto"/>
          <w:szCs w:val="21"/>
          <w:highlight w:val="none"/>
          <w:lang w:val="zh-CN"/>
        </w:rPr>
        <w:t>发票。</w:t>
      </w:r>
    </w:p>
    <w:p w14:paraId="328DA11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A48B0D3">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435" w:name="_Toc8619"/>
      <w:bookmarkStart w:id="436" w:name="_Toc24547"/>
      <w:bookmarkStart w:id="437" w:name="_Toc27075"/>
      <w:bookmarkStart w:id="438" w:name="_Toc142508356"/>
      <w:bookmarkStart w:id="439" w:name="_Toc4919"/>
      <w:bookmarkStart w:id="440" w:name="_Toc30170"/>
      <w:r>
        <w:rPr>
          <w:rFonts w:ascii="宋体" w:hAnsi="宋体" w:eastAsia="宋体" w:cs="宋体"/>
          <w:b/>
          <w:color w:val="auto"/>
          <w:szCs w:val="21"/>
          <w:highlight w:val="none"/>
        </w:rPr>
        <w:t>39 招标相关补充约定</w:t>
      </w:r>
      <w:bookmarkEnd w:id="435"/>
      <w:bookmarkEnd w:id="436"/>
      <w:bookmarkEnd w:id="437"/>
      <w:bookmarkEnd w:id="438"/>
      <w:bookmarkEnd w:id="439"/>
      <w:bookmarkEnd w:id="440"/>
    </w:p>
    <w:p w14:paraId="316E329B">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28DA81D5">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41" w:name="_Toc28094"/>
      <w:bookmarkStart w:id="442" w:name="_Toc15481"/>
      <w:bookmarkStart w:id="443" w:name="_Toc20635"/>
      <w:bookmarkStart w:id="444" w:name="_Toc17346"/>
      <w:bookmarkStart w:id="445" w:name="_Toc13789"/>
      <w:bookmarkStart w:id="446" w:name="_Toc16847"/>
      <w:r>
        <w:rPr>
          <w:rFonts w:hint="eastAsia" w:ascii="宋体" w:hAnsi="宋体" w:eastAsia="宋体" w:cs="宋体"/>
          <w:b/>
          <w:color w:val="auto"/>
          <w:szCs w:val="21"/>
          <w:highlight w:val="none"/>
          <w:lang w:val="zh-CN"/>
        </w:rPr>
        <w:t>3</w:t>
      </w:r>
      <w:r>
        <w:rPr>
          <w:rFonts w:hint="eastAsia" w:ascii="宋体" w:hAnsi="宋体" w:eastAsia="宋体" w:cs="宋体"/>
          <w:b/>
          <w:color w:val="auto"/>
          <w:szCs w:val="21"/>
          <w:highlight w:val="none"/>
        </w:rPr>
        <w:t>9</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rPr>
        <w:t>2</w:t>
      </w:r>
      <w:r>
        <w:rPr>
          <w:rFonts w:hint="eastAsia" w:ascii="宋体" w:hAnsi="宋体" w:eastAsia="宋体" w:cs="宋体"/>
          <w:b/>
          <w:color w:val="auto"/>
          <w:szCs w:val="21"/>
          <w:highlight w:val="none"/>
          <w:lang w:val="zh-CN"/>
        </w:rPr>
        <w:t xml:space="preserve"> 已参与本工程的勘察</w:t>
      </w:r>
      <w:r>
        <w:rPr>
          <w:rFonts w:hint="eastAsia" w:ascii="宋体" w:hAnsi="宋体" w:eastAsia="宋体" w:cs="宋体"/>
          <w:b/>
          <w:color w:val="auto"/>
          <w:szCs w:val="21"/>
          <w:highlight w:val="none"/>
          <w:lang w:val="en-US" w:eastAsia="zh-CN"/>
        </w:rPr>
        <w:t>单位</w:t>
      </w:r>
      <w:r>
        <w:rPr>
          <w:rFonts w:hint="eastAsia" w:ascii="宋体" w:hAnsi="宋体" w:eastAsia="宋体" w:cs="宋体"/>
          <w:b/>
          <w:color w:val="auto"/>
          <w:szCs w:val="21"/>
          <w:highlight w:val="none"/>
          <w:lang w:val="zh-CN"/>
        </w:rPr>
        <w:t>、设计单位、</w:t>
      </w:r>
      <w:r>
        <w:rPr>
          <w:rFonts w:hint="eastAsia" w:ascii="宋体" w:hAnsi="宋体" w:eastAsia="宋体" w:cs="宋体"/>
          <w:b/>
          <w:color w:val="auto"/>
          <w:szCs w:val="21"/>
          <w:highlight w:val="none"/>
          <w:lang w:val="en-US" w:eastAsia="zh-CN"/>
        </w:rPr>
        <w:t>施工单位、监理单位</w:t>
      </w:r>
      <w:r>
        <w:rPr>
          <w:rFonts w:hint="eastAsia" w:ascii="宋体" w:hAnsi="宋体" w:eastAsia="宋体" w:cs="宋体"/>
          <w:b/>
          <w:color w:val="auto"/>
          <w:szCs w:val="21"/>
          <w:highlight w:val="none"/>
          <w:lang w:val="zh-CN"/>
        </w:rPr>
        <w:t>（包括与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szCs w:val="21"/>
          <w:highlight w:val="none"/>
          <w:lang w:val="zh-CN"/>
        </w:rPr>
        <w:t>单位法定代表人或负责人为同一人的单位，或者与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szCs w:val="21"/>
          <w:highlight w:val="none"/>
          <w:lang w:val="zh-CN"/>
        </w:rPr>
        <w:t>单位存在控股、管理关系的单位，</w:t>
      </w:r>
      <w:r>
        <w:rPr>
          <w:rFonts w:hint="eastAsia" w:ascii="宋体" w:hAnsi="宋体" w:eastAsia="宋体" w:cs="宋体"/>
          <w:b/>
          <w:color w:val="auto"/>
          <w:szCs w:val="21"/>
          <w:highlight w:val="none"/>
          <w:lang w:val="en-US" w:eastAsia="zh-CN"/>
        </w:rPr>
        <w:t>或者与上述单位存在其他利害关系</w:t>
      </w:r>
      <w:r>
        <w:rPr>
          <w:rFonts w:hint="eastAsia" w:ascii="宋体" w:hAnsi="宋体" w:eastAsia="宋体" w:cs="宋体"/>
          <w:b/>
          <w:color w:val="auto"/>
          <w:szCs w:val="21"/>
          <w:highlight w:val="none"/>
          <w:lang w:val="zh-CN"/>
        </w:rPr>
        <w:t>）不得参与</w:t>
      </w:r>
      <w:r>
        <w:rPr>
          <w:rFonts w:hint="eastAsia" w:ascii="宋体" w:hAnsi="宋体" w:eastAsia="宋体" w:cs="宋体"/>
          <w:b/>
          <w:color w:val="auto"/>
          <w:szCs w:val="21"/>
          <w:highlight w:val="none"/>
        </w:rPr>
        <w:t>本</w:t>
      </w:r>
      <w:r>
        <w:rPr>
          <w:rFonts w:hint="eastAsia" w:ascii="宋体" w:hAnsi="宋体" w:eastAsia="宋体" w:cs="宋体"/>
          <w:b/>
          <w:color w:val="auto"/>
          <w:szCs w:val="21"/>
          <w:highlight w:val="none"/>
          <w:lang w:val="zh-CN"/>
        </w:rPr>
        <w:t>检测项目投标。</w:t>
      </w:r>
      <w:bookmarkEnd w:id="441"/>
      <w:bookmarkEnd w:id="442"/>
      <w:bookmarkEnd w:id="443"/>
      <w:bookmarkEnd w:id="444"/>
      <w:bookmarkEnd w:id="445"/>
      <w:bookmarkEnd w:id="446"/>
    </w:p>
    <w:p w14:paraId="324E9F9F">
      <w:pPr>
        <w:pStyle w:val="53"/>
        <w:numPr>
          <w:ilvl w:val="0"/>
          <w:numId w:val="0"/>
        </w:numPr>
        <w:tabs>
          <w:tab w:val="left" w:pos="426"/>
        </w:tabs>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本工程相关参建单位统计表</w:t>
      </w:r>
    </w:p>
    <w:tbl>
      <w:tblPr>
        <w:tblStyle w:val="37"/>
        <w:tblW w:w="10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2592"/>
        <w:gridCol w:w="5644"/>
      </w:tblGrid>
      <w:tr w14:paraId="12CC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4" w:type="dxa"/>
            <w:vMerge w:val="restart"/>
            <w:vAlign w:val="center"/>
          </w:tcPr>
          <w:p w14:paraId="416BDC7C">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color w:val="auto"/>
                <w:szCs w:val="21"/>
                <w:highlight w:val="none"/>
                <w:lang w:val="zh-CN"/>
              </w:rPr>
            </w:pPr>
            <w:bookmarkStart w:id="447" w:name="OLE_LINK1"/>
            <w:r>
              <w:rPr>
                <w:rFonts w:hint="eastAsia" w:ascii="宋体" w:hAnsi="宋体" w:eastAsia="宋体" w:cs="宋体"/>
                <w:b/>
                <w:bCs/>
                <w:color w:val="auto"/>
                <w:szCs w:val="21"/>
                <w:highlight w:val="none"/>
                <w:lang w:val="zh-CN"/>
              </w:rPr>
              <w:t>珠三角水资源配置工程东莞配套芦花坑水厂一期配水管线工程-C标段</w:t>
            </w:r>
          </w:p>
        </w:tc>
        <w:tc>
          <w:tcPr>
            <w:tcW w:w="2592" w:type="dxa"/>
            <w:vAlign w:val="center"/>
          </w:tcPr>
          <w:p w14:paraId="246EE457">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color w:val="auto"/>
                <w:szCs w:val="21"/>
                <w:highlight w:val="none"/>
                <w:lang w:val="zh-CN"/>
              </w:rPr>
            </w:pPr>
            <w:r>
              <w:rPr>
                <w:rFonts w:hint="eastAsia" w:ascii="宋体" w:hAnsi="宋体" w:eastAsia="宋体" w:cs="宋体"/>
                <w:b/>
                <w:bCs/>
                <w:color w:val="auto"/>
                <w:szCs w:val="21"/>
                <w:highlight w:val="none"/>
              </w:rPr>
              <w:t>勘察</w:t>
            </w:r>
            <w:r>
              <w:rPr>
                <w:rFonts w:hint="eastAsia" w:ascii="宋体" w:hAnsi="宋体" w:eastAsia="宋体" w:cs="宋体"/>
                <w:b/>
                <w:bCs/>
                <w:color w:val="auto"/>
                <w:szCs w:val="21"/>
                <w:highlight w:val="none"/>
                <w:lang w:val="en-US" w:eastAsia="zh-CN"/>
              </w:rPr>
              <w:t>单位</w:t>
            </w:r>
          </w:p>
        </w:tc>
        <w:tc>
          <w:tcPr>
            <w:tcW w:w="5644" w:type="dxa"/>
            <w:vAlign w:val="center"/>
          </w:tcPr>
          <w:p w14:paraId="7C42F633">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eastAsia="zh-CN"/>
              </w:rPr>
              <w:t>深圳市长勘勘察设计有限公司</w:t>
            </w:r>
          </w:p>
        </w:tc>
      </w:tr>
      <w:tr w14:paraId="3AE4B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4" w:type="dxa"/>
            <w:vMerge w:val="continue"/>
            <w:vAlign w:val="center"/>
          </w:tcPr>
          <w:p w14:paraId="220260C6">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b/>
                <w:bCs/>
                <w:color w:val="auto"/>
                <w:szCs w:val="21"/>
                <w:highlight w:val="none"/>
                <w:lang w:val="zh-CN"/>
              </w:rPr>
            </w:pPr>
          </w:p>
        </w:tc>
        <w:tc>
          <w:tcPr>
            <w:tcW w:w="2592" w:type="dxa"/>
            <w:vAlign w:val="center"/>
          </w:tcPr>
          <w:p w14:paraId="2E8A8AA1">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设计单位</w:t>
            </w:r>
          </w:p>
        </w:tc>
        <w:tc>
          <w:tcPr>
            <w:tcW w:w="5644" w:type="dxa"/>
            <w:vAlign w:val="center"/>
          </w:tcPr>
          <w:p w14:paraId="3F9BA187">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上海市政工程设计研究总院（集团）有限公司</w:t>
            </w:r>
          </w:p>
        </w:tc>
      </w:tr>
      <w:tr w14:paraId="45E5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064" w:type="dxa"/>
            <w:vMerge w:val="continue"/>
            <w:vAlign w:val="center"/>
          </w:tcPr>
          <w:p w14:paraId="11C43E43">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color w:val="auto"/>
                <w:szCs w:val="21"/>
                <w:highlight w:val="none"/>
                <w:lang w:val="zh-CN"/>
              </w:rPr>
            </w:pPr>
          </w:p>
        </w:tc>
        <w:tc>
          <w:tcPr>
            <w:tcW w:w="2592" w:type="dxa"/>
            <w:vAlign w:val="center"/>
          </w:tcPr>
          <w:p w14:paraId="126DE3A8">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lang w:val="en-US" w:eastAsia="zh-CN"/>
              </w:rPr>
              <w:t>施工单位</w:t>
            </w:r>
          </w:p>
        </w:tc>
        <w:tc>
          <w:tcPr>
            <w:tcW w:w="5644" w:type="dxa"/>
            <w:vAlign w:val="center"/>
          </w:tcPr>
          <w:p w14:paraId="7D1CC65C">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en-US" w:eastAsia="zh-CN"/>
              </w:rPr>
            </w:pPr>
            <w:r>
              <w:rPr>
                <w:rFonts w:hint="default" w:ascii="宋体" w:hAnsi="宋体" w:eastAsia="宋体" w:cs="宋体"/>
                <w:b/>
                <w:bCs/>
                <w:color w:val="auto"/>
                <w:szCs w:val="21"/>
                <w:highlight w:val="none"/>
                <w:lang w:val="en-US" w:eastAsia="zh-CN"/>
              </w:rPr>
              <w:t>中铁大桥局集团有限公司</w:t>
            </w:r>
            <w:r>
              <w:rPr>
                <w:rFonts w:hint="eastAsia" w:ascii="宋体" w:hAnsi="宋体" w:eastAsia="宋体" w:cs="宋体"/>
                <w:b/>
                <w:bCs/>
                <w:color w:val="auto"/>
                <w:szCs w:val="21"/>
                <w:highlight w:val="none"/>
                <w:lang w:val="en-US" w:eastAsia="zh-CN"/>
              </w:rPr>
              <w:t>、广东绿景建设有限公司</w:t>
            </w:r>
          </w:p>
        </w:tc>
      </w:tr>
      <w:tr w14:paraId="53DE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064" w:type="dxa"/>
            <w:vMerge w:val="continue"/>
            <w:vAlign w:val="center"/>
          </w:tcPr>
          <w:p w14:paraId="485143C3">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color w:val="auto"/>
                <w:szCs w:val="21"/>
                <w:highlight w:val="none"/>
                <w:lang w:val="zh-CN"/>
              </w:rPr>
            </w:pPr>
          </w:p>
        </w:tc>
        <w:tc>
          <w:tcPr>
            <w:tcW w:w="2592" w:type="dxa"/>
            <w:vAlign w:val="center"/>
          </w:tcPr>
          <w:p w14:paraId="0B4F7E40">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lang w:val="en-US" w:eastAsia="zh-CN"/>
              </w:rPr>
              <w:t>监理单位</w:t>
            </w:r>
          </w:p>
        </w:tc>
        <w:tc>
          <w:tcPr>
            <w:tcW w:w="5644" w:type="dxa"/>
            <w:vAlign w:val="center"/>
          </w:tcPr>
          <w:p w14:paraId="43DEF791">
            <w:pPr>
              <w:pStyle w:val="53"/>
              <w:keepNext w:val="0"/>
              <w:keepLines w:val="0"/>
              <w:widowControl w:val="0"/>
              <w:numPr>
                <w:ilvl w:val="0"/>
                <w:numId w:val="0"/>
              </w:numPr>
              <w:suppressLineNumbers w:val="0"/>
              <w:tabs>
                <w:tab w:val="left" w:pos="426"/>
              </w:tabs>
              <w:wordWrap/>
              <w:adjustRightInd w:val="0"/>
              <w:snapToGrid w:val="0"/>
              <w:spacing w:before="0" w:beforeAutospacing="0" w:after="0" w:afterAutospacing="0" w:line="240" w:lineRule="auto"/>
              <w:ind w:left="0" w:leftChars="0" w:right="0" w:firstLine="0" w:firstLineChars="0"/>
              <w:jc w:val="center"/>
              <w:textAlignment w:val="auto"/>
              <w:outlineLvl w:val="9"/>
              <w:rPr>
                <w:rFonts w:hint="default" w:ascii="宋体" w:hAnsi="宋体" w:eastAsia="宋体" w:cs="宋体"/>
                <w:b/>
                <w:bCs/>
                <w:color w:val="auto"/>
                <w:szCs w:val="21"/>
                <w:highlight w:val="none"/>
                <w:lang w:val="en-US" w:eastAsia="zh-CN"/>
              </w:rPr>
            </w:pPr>
            <w:r>
              <w:rPr>
                <w:rFonts w:hint="default" w:ascii="宋体" w:hAnsi="宋体" w:eastAsia="宋体" w:cs="宋体"/>
                <w:b/>
                <w:bCs/>
                <w:color w:val="auto"/>
                <w:szCs w:val="21"/>
                <w:highlight w:val="none"/>
                <w:lang w:val="en-US" w:eastAsia="zh-CN"/>
              </w:rPr>
              <w:t xml:space="preserve">广东建设工程监理有限公司 </w:t>
            </w:r>
          </w:p>
        </w:tc>
      </w:tr>
      <w:bookmarkEnd w:id="447"/>
    </w:tbl>
    <w:p w14:paraId="48F07A4E">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01D6D4D4">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48" w:name="_Toc29758"/>
      <w:bookmarkStart w:id="449" w:name="_Toc142508357"/>
      <w:bookmarkStart w:id="450" w:name="_Toc18339"/>
      <w:bookmarkStart w:id="451" w:name="_Toc5205"/>
      <w:bookmarkStart w:id="452" w:name="_Toc9640"/>
      <w:bookmarkStart w:id="453" w:name="_Toc26594"/>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433"/>
      <w:bookmarkEnd w:id="434"/>
      <w:bookmarkEnd w:id="448"/>
      <w:bookmarkEnd w:id="449"/>
      <w:bookmarkEnd w:id="450"/>
      <w:bookmarkEnd w:id="451"/>
      <w:bookmarkEnd w:id="452"/>
      <w:bookmarkEnd w:id="453"/>
    </w:p>
    <w:p w14:paraId="1C94326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54" w:name="_Toc27939_WPSOffice_Level1"/>
      <w:bookmarkStart w:id="455" w:name="_Toc486167706"/>
      <w:bookmarkStart w:id="456" w:name="_Toc14879"/>
      <w:bookmarkStart w:id="457" w:name="_Toc13476"/>
      <w:bookmarkStart w:id="458" w:name="_Toc142508358"/>
      <w:bookmarkStart w:id="459" w:name="_Toc21446"/>
      <w:bookmarkStart w:id="460" w:name="_Toc450662891"/>
      <w:bookmarkStart w:id="461" w:name="_Toc4386"/>
      <w:bookmarkStart w:id="462" w:name="_Toc6755"/>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54"/>
      <w:bookmarkEnd w:id="455"/>
      <w:bookmarkEnd w:id="456"/>
      <w:bookmarkEnd w:id="457"/>
      <w:bookmarkEnd w:id="458"/>
      <w:bookmarkEnd w:id="459"/>
      <w:bookmarkEnd w:id="460"/>
      <w:bookmarkEnd w:id="461"/>
      <w:bookmarkEnd w:id="462"/>
    </w:p>
    <w:p w14:paraId="045ACC10">
      <w:pPr>
        <w:adjustRightInd w:val="0"/>
        <w:snapToGrid w:val="0"/>
        <w:spacing w:line="360" w:lineRule="auto"/>
        <w:ind w:firstLine="422" w:firstLineChars="200"/>
        <w:contextualSpacing/>
        <w:rPr>
          <w:rFonts w:ascii="宋体" w:hAnsi="宋体" w:eastAsia="宋体" w:cs="宋体"/>
          <w:b/>
          <w:bCs/>
          <w:color w:val="auto"/>
          <w:szCs w:val="21"/>
          <w:highlight w:val="none"/>
        </w:rPr>
      </w:pPr>
      <w:r>
        <w:rPr>
          <w:rFonts w:hint="eastAsia" w:ascii="宋体" w:hAnsi="宋体" w:eastAsia="宋体" w:cs="宋体"/>
          <w:b/>
          <w:bCs/>
          <w:color w:val="auto"/>
          <w:szCs w:val="21"/>
          <w:highlight w:val="none"/>
          <w:lang w:eastAsia="zh-CN"/>
        </w:rPr>
        <w:t>东莞市水务集团供水有限公司</w:t>
      </w:r>
      <w:r>
        <w:rPr>
          <w:rFonts w:hint="eastAsia" w:ascii="宋体" w:hAnsi="宋体" w:eastAsia="宋体" w:cs="宋体"/>
          <w:b/>
          <w:bCs/>
          <w:color w:val="auto"/>
          <w:szCs w:val="21"/>
          <w:highlight w:val="none"/>
        </w:rPr>
        <w:t>（以下简称“项目业主”）为</w:t>
      </w:r>
      <w:r>
        <w:rPr>
          <w:rFonts w:hint="eastAsia" w:ascii="宋体" w:hAnsi="宋体" w:eastAsia="宋体" w:cs="宋体"/>
          <w:b/>
          <w:bCs/>
          <w:color w:val="auto"/>
          <w:szCs w:val="21"/>
          <w:highlight w:val="none"/>
          <w:lang w:eastAsia="zh-CN"/>
        </w:rPr>
        <w:t>珠三角水资源配置工程东莞配套芦花坑水厂一期配水管线工程-C标段</w:t>
      </w:r>
      <w:r>
        <w:rPr>
          <w:rFonts w:hint="eastAsia" w:ascii="宋体" w:hAnsi="宋体" w:eastAsia="宋体" w:cs="宋体"/>
          <w:b/>
          <w:bCs/>
          <w:color w:val="auto"/>
          <w:szCs w:val="21"/>
          <w:highlight w:val="none"/>
        </w:rPr>
        <w:t>的项目业主，招标人为上述项目的代建单位，项目业主已将</w:t>
      </w:r>
      <w:r>
        <w:rPr>
          <w:rFonts w:hint="eastAsia" w:ascii="宋体" w:hAnsi="宋体" w:eastAsia="宋体" w:cs="宋体"/>
          <w:b/>
          <w:bCs/>
          <w:color w:val="auto"/>
          <w:szCs w:val="21"/>
          <w:highlight w:val="none"/>
          <w:lang w:eastAsia="zh-CN"/>
        </w:rPr>
        <w:t>珠三角水资源配置工程东莞配套芦花坑水厂一期配水管线工程-C标段</w:t>
      </w:r>
      <w:r>
        <w:rPr>
          <w:rFonts w:hint="eastAsia" w:ascii="宋体" w:hAnsi="宋体" w:eastAsia="宋体" w:cs="宋体"/>
          <w:b/>
          <w:bCs/>
          <w:color w:val="auto"/>
          <w:szCs w:val="21"/>
          <w:highlight w:val="none"/>
        </w:rPr>
        <w:t>委托给招标人实施代建。</w:t>
      </w:r>
    </w:p>
    <w:p w14:paraId="0D3DAC3F">
      <w:pPr>
        <w:pStyle w:val="53"/>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一、项目概况</w:t>
      </w:r>
    </w:p>
    <w:p w14:paraId="650FB71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珠三角水资源配置工程东莞配套芦花坑水厂一期配水管线工程-C标段接自芦花坑水厂，服务范围为虎门、滨海湾新区、沙田、厚街以及长安部分区域、管线规模按照90万m</w:t>
      </w:r>
      <w:r>
        <w:rPr>
          <w:rFonts w:hint="eastAsia" w:ascii="宋体" w:hAnsi="宋体" w:eastAsia="宋体" w:cs="宋体"/>
          <w:color w:val="auto"/>
          <w:sz w:val="21"/>
          <w:szCs w:val="21"/>
          <w:highlight w:val="none"/>
          <w:vertAlign w:val="superscript"/>
          <w:lang w:val="en-US" w:eastAsia="zh-CN"/>
        </w:rPr>
        <w:t>3</w:t>
      </w:r>
      <w:r>
        <w:rPr>
          <w:rFonts w:hint="eastAsia" w:ascii="宋体" w:hAnsi="宋体" w:eastAsia="宋体" w:cs="宋体"/>
          <w:color w:val="auto"/>
          <w:sz w:val="21"/>
          <w:szCs w:val="21"/>
          <w:highlight w:val="none"/>
          <w:lang w:val="en-US" w:eastAsia="zh-CN"/>
        </w:rPr>
        <w:t>/d 一次性建成、最大时变化系数取1.3。工程管线分为西线、东线和南线。本工程为西线轮渡路管线建设工程。</w:t>
      </w:r>
    </w:p>
    <w:p w14:paraId="42AA816D">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本工程DN2000管道沿新建轮渡路机动车道敷设、起点自长堤路与轮液路交叉口轮渡路T12标段预留接管点，终点与莞太路现状2×DN1600连接，终点为轮渡路银河大桥DN1800现状接管点。</w:t>
      </w:r>
    </w:p>
    <w:p w14:paraId="5F70A0D1">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沿线主要障碍物穿越方式如下：干倒虹5处，避让过路雨水箱涵及新建雨污水管线；管道采用放坡和支护开挖，管顶设护管板施工方式。管线主材为球墨铸铁管，局部障碍物段采用钢管。</w:t>
      </w:r>
    </w:p>
    <w:p w14:paraId="153E543A">
      <w:pPr>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二、总</w:t>
      </w:r>
      <w:r>
        <w:rPr>
          <w:rFonts w:hint="eastAsia" w:ascii="宋体" w:hAnsi="宋体" w:eastAsia="宋体" w:cs="宋体"/>
          <w:b/>
          <w:bCs w:val="0"/>
          <w:color w:val="auto"/>
          <w:sz w:val="21"/>
          <w:szCs w:val="21"/>
          <w:highlight w:val="none"/>
        </w:rPr>
        <w:t>体服务要求</w:t>
      </w:r>
    </w:p>
    <w:p w14:paraId="542608F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（一）检测周期</w:t>
      </w:r>
    </w:p>
    <w:p w14:paraId="6659949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lang w:eastAsia="zh-CN"/>
        </w:rPr>
        <w:t>自珠三角水资源配置工程东莞配套芦花坑水厂一期配水管线工程-C标段施工总承包开工至完成约定的各项检测及相关技术工作为止。</w:t>
      </w:r>
    </w:p>
    <w:p w14:paraId="180325B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（二）检测依据</w:t>
      </w:r>
    </w:p>
    <w:p w14:paraId="787DA53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1、《建筑地基基础检测规范》（DBJ/T 15-60-2019）（广东省）；</w:t>
      </w:r>
    </w:p>
    <w:p w14:paraId="70726DB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2、《建筑地基处理技术规范》（DBJ/T 15-38-2019）（广东省）；</w:t>
      </w:r>
    </w:p>
    <w:p w14:paraId="5E8FB88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3、《建筑地基检测技术规范》（JGJ 340-2015）；</w:t>
      </w:r>
    </w:p>
    <w:p w14:paraId="16598A2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4、《建筑基坑工程技术规程》（DBJ/T 15-20-2016）（广东省）；</w:t>
      </w:r>
    </w:p>
    <w:p w14:paraId="03D152D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5、《建筑地基基础设计规范》（DBJ 15-31-2016）</w:t>
      </w:r>
    </w:p>
    <w:p w14:paraId="2C3E8AD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6、《钢结构工程施工质量验收标准》（GB 50205-2020）；</w:t>
      </w:r>
    </w:p>
    <w:p w14:paraId="2C88764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7、《混凝土结构工程施工质量验收规范》（GB 50204-2015）；</w:t>
      </w:r>
    </w:p>
    <w:p w14:paraId="742A77B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8、《城镇道路路面设计规范》（GJJ 169-2012）；</w:t>
      </w:r>
    </w:p>
    <w:p w14:paraId="7310771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9、《城镇道路工程施工与质量验收规范》（GJJ 1-2008）；</w:t>
      </w:r>
    </w:p>
    <w:p w14:paraId="787E647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10、《通用硅酸盐水泥》（GB 175-2007）；</w:t>
      </w:r>
    </w:p>
    <w:p w14:paraId="301FAA9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11、《建筑砂浆基本性能试验方法标准》（JGJ/T 70-2009）；</w:t>
      </w:r>
    </w:p>
    <w:p w14:paraId="50B8563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12、《普通混凝土配合比设计规程》（JGJ 55-2011）；</w:t>
      </w:r>
    </w:p>
    <w:p w14:paraId="5BC16EC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13、《混凝土物理力学性能试验方法标准》（GB/T 50081-2019）；</w:t>
      </w:r>
    </w:p>
    <w:p w14:paraId="089E10E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14、《普通混凝土长期性能和耐久性能试验方法标准》（GB/T 50082-2009）；</w:t>
      </w:r>
    </w:p>
    <w:p w14:paraId="29D17AB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15、《砌筑砂浆配合比设计规程》（JGJ/T 98-2010）；</w:t>
      </w:r>
    </w:p>
    <w:p w14:paraId="4660658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16、《用于水泥和混凝土中的粉煤灰》（GB/T1596-2017）；</w:t>
      </w:r>
    </w:p>
    <w:p w14:paraId="78F4AA2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17、《普通混凝土用砂、石质量及检验方法标准》（JGJ52-2006）；</w:t>
      </w:r>
    </w:p>
    <w:p w14:paraId="0F44ADF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18、《建设用砂》（GB/T 14684-2022）；</w:t>
      </w:r>
    </w:p>
    <w:p w14:paraId="0198D5E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19、《建设用卵石、碎石》（GB/T 14685-2022）；</w:t>
      </w:r>
    </w:p>
    <w:p w14:paraId="5D16752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20、《混凝土外加剂》（GB 8076-2008）；</w:t>
      </w:r>
    </w:p>
    <w:p w14:paraId="0ADD38F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21、《喷射混凝土用速凝剂》（JC/T 477-2005）；</w:t>
      </w:r>
    </w:p>
    <w:p w14:paraId="7E1D104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22、《喷射混凝土用速凝剂》（GB/T 35159-2017）；</w:t>
      </w:r>
    </w:p>
    <w:p w14:paraId="46D0DB1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23、《混凝土膨胀剂》（GB 23439-2009）；</w:t>
      </w:r>
    </w:p>
    <w:p w14:paraId="62FF5F0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24、《钢筋混凝土用钢 第1部分：热轧光圆钢筋》（GB/T 1499.1-2017）；</w:t>
      </w:r>
    </w:p>
    <w:p w14:paraId="0F7FA06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25、《钢筋混凝土用钢 第2部分：热轧带肋钢筋》（GB/T 1499.2-2018）；</w:t>
      </w:r>
    </w:p>
    <w:p w14:paraId="1CC32EC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26、《钢筋焊接接头试验方法标准》（JGJ/T27-2014）；</w:t>
      </w:r>
    </w:p>
    <w:p w14:paraId="1E590DF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27、《钢筋机械连接用套筒》（JG/T 163-2013）；</w:t>
      </w:r>
    </w:p>
    <w:p w14:paraId="2D008D9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28、《金属材料 拉伸试验 第1部分:室温试验方法》（GB/T 228.1-2021）；</w:t>
      </w:r>
    </w:p>
    <w:p w14:paraId="2C06504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29、《塑料绝缘控制电缆》（GB/T9330-2020）；</w:t>
      </w:r>
    </w:p>
    <w:p w14:paraId="60E403C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30</w:t>
      </w:r>
      <w:r>
        <w:rPr>
          <w:rFonts w:hint="eastAsia" w:ascii="宋体" w:hAnsi="宋体" w:eastAsia="宋体" w:cs="宋体"/>
          <w:b w:val="0"/>
          <w:bCs/>
          <w:color w:val="auto"/>
          <w:sz w:val="21"/>
          <w:szCs w:val="21"/>
          <w:highlight w:val="none"/>
        </w:rPr>
        <w:t>、《电缆和光缆在火焰条件下的燃烧试验 第12部分：单根绝缘电线电缆火焰垂直蔓延试验 1kW 预混合型火焰试验方法》（GB/T18380.12-2022）；</w:t>
      </w:r>
    </w:p>
    <w:p w14:paraId="3B97906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31</w:t>
      </w:r>
      <w:r>
        <w:rPr>
          <w:rFonts w:hint="eastAsia" w:ascii="宋体" w:hAnsi="宋体" w:eastAsia="宋体" w:cs="宋体"/>
          <w:b w:val="0"/>
          <w:bCs/>
          <w:color w:val="auto"/>
          <w:sz w:val="21"/>
          <w:szCs w:val="21"/>
          <w:highlight w:val="none"/>
        </w:rPr>
        <w:t>、《建筑地基工程施工质量验收标准》（GB 50202-2018）；</w:t>
      </w:r>
    </w:p>
    <w:p w14:paraId="36EDD1C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32</w:t>
      </w:r>
      <w:r>
        <w:rPr>
          <w:rFonts w:hint="eastAsia" w:ascii="宋体" w:hAnsi="宋体" w:eastAsia="宋体" w:cs="宋体"/>
          <w:b w:val="0"/>
          <w:bCs/>
          <w:color w:val="auto"/>
          <w:sz w:val="21"/>
          <w:szCs w:val="21"/>
          <w:highlight w:val="none"/>
        </w:rPr>
        <w:t>、《混凝土结构工程施工质量验收规范》（GB 50204-2015）；</w:t>
      </w:r>
    </w:p>
    <w:p w14:paraId="74C958B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33</w:t>
      </w:r>
      <w:r>
        <w:rPr>
          <w:rFonts w:hint="eastAsia" w:ascii="宋体" w:hAnsi="宋体" w:eastAsia="宋体" w:cs="宋体"/>
          <w:b w:val="0"/>
          <w:bCs/>
          <w:color w:val="auto"/>
          <w:sz w:val="21"/>
          <w:szCs w:val="21"/>
          <w:highlight w:val="none"/>
        </w:rPr>
        <w:t>、《回弹法检测混凝土抗压强度技术规程》（JGJ/T 23-2011）；</w:t>
      </w:r>
    </w:p>
    <w:p w14:paraId="4DEF66E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34</w:t>
      </w:r>
      <w:r>
        <w:rPr>
          <w:rFonts w:hint="eastAsia" w:ascii="宋体" w:hAnsi="宋体" w:eastAsia="宋体" w:cs="宋体"/>
          <w:b w:val="0"/>
          <w:bCs/>
          <w:color w:val="auto"/>
          <w:sz w:val="21"/>
          <w:szCs w:val="21"/>
          <w:highlight w:val="none"/>
        </w:rPr>
        <w:t>、《混凝土中钢筋检测技术标准》（JGJ/T 152-2019）；</w:t>
      </w:r>
    </w:p>
    <w:p w14:paraId="37E5E72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35</w:t>
      </w:r>
      <w:r>
        <w:rPr>
          <w:rFonts w:hint="eastAsia" w:ascii="宋体" w:hAnsi="宋体" w:eastAsia="宋体" w:cs="宋体"/>
          <w:b w:val="0"/>
          <w:bCs/>
          <w:color w:val="auto"/>
          <w:sz w:val="21"/>
          <w:szCs w:val="21"/>
          <w:highlight w:val="none"/>
        </w:rPr>
        <w:t>、《焊缝无损检测 超声检测技术、检测等级和评定》（GB/T 11345-2013）；</w:t>
      </w:r>
    </w:p>
    <w:p w14:paraId="588ECBF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36</w:t>
      </w:r>
      <w:r>
        <w:rPr>
          <w:rFonts w:hint="eastAsia" w:ascii="宋体" w:hAnsi="宋体" w:eastAsia="宋体" w:cs="宋体"/>
          <w:b w:val="0"/>
          <w:bCs/>
          <w:color w:val="auto"/>
          <w:sz w:val="21"/>
          <w:szCs w:val="21"/>
          <w:highlight w:val="none"/>
        </w:rPr>
        <w:t>、《焊缝无损检测 射线检测 第1部分：X和伽玛射线的胶片技术》（GB／T 3323.1-2019）；</w:t>
      </w:r>
    </w:p>
    <w:p w14:paraId="648994A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37</w:t>
      </w:r>
      <w:r>
        <w:rPr>
          <w:rFonts w:hint="eastAsia" w:ascii="宋体" w:hAnsi="宋体" w:eastAsia="宋体" w:cs="宋体"/>
          <w:b w:val="0"/>
          <w:bCs/>
          <w:color w:val="auto"/>
          <w:sz w:val="21"/>
          <w:szCs w:val="21"/>
          <w:highlight w:val="none"/>
        </w:rPr>
        <w:t>、《东莞市建设工程质量检测服务手册》（第一版）；</w:t>
      </w:r>
    </w:p>
    <w:p w14:paraId="4B619A5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38</w:t>
      </w:r>
      <w:r>
        <w:rPr>
          <w:rFonts w:hint="eastAsia" w:ascii="宋体" w:hAnsi="宋体" w:eastAsia="宋体" w:cs="宋体"/>
          <w:b w:val="0"/>
          <w:bCs/>
          <w:color w:val="auto"/>
          <w:sz w:val="21"/>
          <w:szCs w:val="21"/>
          <w:highlight w:val="none"/>
        </w:rPr>
        <w:t>、《东莞市建设工程检测行业参考收费标准（2023版）》；</w:t>
      </w:r>
    </w:p>
    <w:p w14:paraId="4A4ED85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39</w:t>
      </w:r>
      <w:r>
        <w:rPr>
          <w:rFonts w:hint="eastAsia" w:ascii="宋体" w:hAnsi="宋体" w:eastAsia="宋体" w:cs="宋体"/>
          <w:b w:val="0"/>
          <w:bCs/>
          <w:color w:val="auto"/>
          <w:sz w:val="21"/>
          <w:szCs w:val="21"/>
          <w:highlight w:val="none"/>
        </w:rPr>
        <w:t>、《广东省房屋建筑和市政工程工程质量安全检测收费指导价》（粤建检协[2015]8号）；</w:t>
      </w:r>
    </w:p>
    <w:p w14:paraId="526264F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w:t>
      </w:r>
      <w:r>
        <w:rPr>
          <w:rFonts w:hint="eastAsia" w:ascii="宋体" w:hAnsi="宋体" w:eastAsia="宋体" w:cs="宋体"/>
          <w:b w:val="0"/>
          <w:bCs/>
          <w:color w:val="auto"/>
          <w:sz w:val="21"/>
          <w:szCs w:val="21"/>
          <w:highlight w:val="none"/>
        </w:rPr>
        <w:t>、其他相关合同等文件资料及相关法律法规。</w:t>
      </w:r>
    </w:p>
    <w:p w14:paraId="6D825CD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41</w:t>
      </w:r>
      <w:r>
        <w:rPr>
          <w:rFonts w:hint="eastAsia" w:ascii="宋体" w:hAnsi="宋体" w:eastAsia="宋体" w:cs="宋体"/>
          <w:b w:val="0"/>
          <w:bCs/>
          <w:color w:val="auto"/>
          <w:sz w:val="21"/>
          <w:szCs w:val="21"/>
          <w:highlight w:val="none"/>
        </w:rPr>
        <w:t>、国家及省市建设主管部门的相关文件和规范；</w:t>
      </w:r>
    </w:p>
    <w:p w14:paraId="6AB0840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42</w:t>
      </w:r>
      <w:r>
        <w:rPr>
          <w:rFonts w:hint="eastAsia" w:ascii="宋体" w:hAnsi="宋体" w:eastAsia="宋体" w:cs="宋体"/>
          <w:b w:val="0"/>
          <w:bCs/>
          <w:color w:val="auto"/>
          <w:sz w:val="21"/>
          <w:szCs w:val="21"/>
          <w:highlight w:val="none"/>
        </w:rPr>
        <w:t>、设计资料等。</w:t>
      </w:r>
    </w:p>
    <w:p w14:paraId="25E95BA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14:paraId="782A95D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（三）检测内容</w:t>
      </w:r>
    </w:p>
    <w:p w14:paraId="6DF02CD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检测内容包括但不限于(具体检测内容及数量以《检测工程量清单计价表》为准)：</w:t>
      </w:r>
    </w:p>
    <w:p w14:paraId="449B3A4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1、地基基础工程质量检测，开展：低应变</w:t>
      </w:r>
      <w:r>
        <w:rPr>
          <w:rFonts w:hint="eastAsia" w:ascii="宋体" w:hAnsi="宋体" w:eastAsia="宋体" w:cs="宋体"/>
          <w:b w:val="0"/>
          <w:bCs/>
          <w:color w:val="auto"/>
          <w:sz w:val="21"/>
          <w:szCs w:val="21"/>
          <w:highlight w:val="none"/>
          <w:lang w:val="en-US" w:eastAsia="zh-CN"/>
        </w:rPr>
        <w:t>法</w:t>
      </w:r>
      <w:r>
        <w:rPr>
          <w:rFonts w:hint="eastAsia" w:ascii="宋体" w:hAnsi="宋体" w:eastAsia="宋体" w:cs="宋体"/>
          <w:b w:val="0"/>
          <w:bCs/>
          <w:color w:val="auto"/>
          <w:sz w:val="21"/>
          <w:szCs w:val="21"/>
          <w:highlight w:val="none"/>
        </w:rPr>
        <w:t>桩身完整性检测检测</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地基承载力检测</w:t>
      </w:r>
      <w:r>
        <w:rPr>
          <w:rFonts w:hint="eastAsia" w:ascii="宋体" w:hAnsi="宋体" w:eastAsia="宋体" w:cs="宋体"/>
          <w:b w:val="0"/>
          <w:bCs/>
          <w:color w:val="auto"/>
          <w:sz w:val="21"/>
          <w:szCs w:val="21"/>
          <w:highlight w:val="none"/>
        </w:rPr>
        <w:t>。</w:t>
      </w:r>
    </w:p>
    <w:p w14:paraId="7A57A6C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2、钢结构</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管道</w:t>
      </w:r>
      <w:r>
        <w:rPr>
          <w:rFonts w:hint="eastAsia" w:ascii="宋体" w:hAnsi="宋体" w:eastAsia="宋体" w:cs="宋体"/>
          <w:b w:val="0"/>
          <w:bCs/>
          <w:color w:val="auto"/>
          <w:sz w:val="21"/>
          <w:szCs w:val="21"/>
          <w:highlight w:val="none"/>
        </w:rPr>
        <w:t>焊缝检测及涂层厚度检测，开展：防腐涂层厚度检测</w:t>
      </w:r>
      <w:r>
        <w:rPr>
          <w:rFonts w:hint="eastAsia" w:ascii="宋体" w:hAnsi="宋体" w:eastAsia="宋体" w:cs="宋体"/>
          <w:b w:val="0"/>
          <w:bCs/>
          <w:color w:val="auto"/>
          <w:sz w:val="21"/>
          <w:szCs w:val="21"/>
          <w:highlight w:val="none"/>
          <w:lang w:eastAsia="zh-CN"/>
        </w:rPr>
        <w:t>、焊缝超声波探伤、焊缝X射线探伤、</w:t>
      </w:r>
      <w:r>
        <w:rPr>
          <w:rFonts w:hint="eastAsia" w:ascii="宋体" w:hAnsi="宋体" w:eastAsia="宋体" w:cs="宋体"/>
          <w:b w:val="0"/>
          <w:bCs/>
          <w:color w:val="auto"/>
          <w:sz w:val="21"/>
          <w:szCs w:val="21"/>
          <w:highlight w:val="none"/>
          <w:lang w:val="en-US" w:eastAsia="zh-CN"/>
        </w:rPr>
        <w:t>水压试验</w:t>
      </w:r>
      <w:r>
        <w:rPr>
          <w:rFonts w:hint="eastAsia" w:ascii="宋体" w:hAnsi="宋体" w:eastAsia="宋体" w:cs="宋体"/>
          <w:b w:val="0"/>
          <w:bCs/>
          <w:color w:val="auto"/>
          <w:sz w:val="21"/>
          <w:szCs w:val="21"/>
          <w:highlight w:val="none"/>
        </w:rPr>
        <w:t>等检测。</w:t>
      </w:r>
    </w:p>
    <w:p w14:paraId="5D0EB10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3、原材料、道路等实体检测，开展：混凝土原材料、球墨铸铁防盗型井盖</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电线、电缆、闸阀、铸铁管、钢管等材料、</w:t>
      </w:r>
      <w:r>
        <w:rPr>
          <w:rFonts w:hint="eastAsia" w:ascii="宋体" w:hAnsi="宋体" w:eastAsia="宋体" w:cs="宋体"/>
          <w:b w:val="0"/>
          <w:bCs/>
          <w:color w:val="auto"/>
          <w:sz w:val="21"/>
          <w:szCs w:val="21"/>
          <w:highlight w:val="none"/>
        </w:rPr>
        <w:t>道路</w:t>
      </w:r>
      <w:r>
        <w:rPr>
          <w:rFonts w:hint="eastAsia" w:ascii="宋体" w:hAnsi="宋体" w:eastAsia="宋体" w:cs="宋体"/>
          <w:b w:val="0"/>
          <w:bCs/>
          <w:color w:val="auto"/>
          <w:sz w:val="21"/>
          <w:szCs w:val="21"/>
          <w:highlight w:val="none"/>
          <w:lang w:val="en-US" w:eastAsia="zh-CN"/>
        </w:rPr>
        <w:t>土方路基压实度等检测</w:t>
      </w:r>
      <w:r>
        <w:rPr>
          <w:rFonts w:hint="eastAsia" w:ascii="宋体" w:hAnsi="宋体" w:eastAsia="宋体" w:cs="宋体"/>
          <w:b w:val="0"/>
          <w:bCs/>
          <w:color w:val="auto"/>
          <w:sz w:val="21"/>
          <w:szCs w:val="21"/>
          <w:highlight w:val="none"/>
        </w:rPr>
        <w:t>。</w:t>
      </w:r>
    </w:p>
    <w:p w14:paraId="438A520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4、其它根据工程实际需要委托的检测项目。</w:t>
      </w:r>
    </w:p>
    <w:p w14:paraId="7E0BF03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 xml:space="preserve">5、根据相关法律、法规及主管部门的规定，必须另行独立采购的项目不包含在本次采购范围之内。 </w:t>
      </w:r>
    </w:p>
    <w:p w14:paraId="3D48FE7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（四）质量要求</w:t>
      </w:r>
    </w:p>
    <w:p w14:paraId="07FDEE2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1、工程检测质量要求</w:t>
      </w:r>
    </w:p>
    <w:p w14:paraId="733F460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中标人提供检定合格、手续完备的检测（试验）仪器，及时出具具有法律效力的检测（试验）报告。中标人须保证检测（试验）成果质量，对技术成果负完全责任，如因检测（试验）不实，造成招标人经济损失费用全部由</w:t>
      </w:r>
      <w:r>
        <w:rPr>
          <w:rFonts w:hint="eastAsia" w:ascii="宋体" w:hAnsi="宋体" w:eastAsia="宋体" w:cs="宋体"/>
          <w:b w:val="0"/>
          <w:bCs/>
          <w:color w:val="auto"/>
          <w:sz w:val="21"/>
          <w:szCs w:val="21"/>
          <w:highlight w:val="none"/>
          <w:lang w:val="en-US" w:eastAsia="zh-CN"/>
        </w:rPr>
        <w:t>中标人</w:t>
      </w:r>
      <w:r>
        <w:rPr>
          <w:rFonts w:hint="eastAsia" w:ascii="宋体" w:hAnsi="宋体" w:eastAsia="宋体" w:cs="宋体"/>
          <w:b w:val="0"/>
          <w:bCs/>
          <w:color w:val="auto"/>
          <w:sz w:val="21"/>
          <w:szCs w:val="21"/>
          <w:highlight w:val="none"/>
        </w:rPr>
        <w:t>承担，并应负责重检。</w:t>
      </w:r>
    </w:p>
    <w:p w14:paraId="482FFC2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（2）执行国家、广东省以及东莞市有关工程检测（试验）的标准规范的规定。</w:t>
      </w:r>
    </w:p>
    <w:p w14:paraId="3BCD637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2、其他质量要求</w:t>
      </w:r>
    </w:p>
    <w:p w14:paraId="7068894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中标人须根据国家标准及其它相关行业规程的要求，结合本工程施工图、预算文件及东莞市建筑工程质量安全监督站相关规定，制定检测方案。完成本工程检测方案内项目及数量，出具合法有效且符合检测规范要求的检测报告，为工程进度控制提供依据；提供检测咨询服务，为保证工程质量提供保障。</w:t>
      </w:r>
    </w:p>
    <w:p w14:paraId="71A9087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（2）中标人应负责按东莞市建设工程质量安全监督站要求，根据本工程质量安全监督计划及相关规范编制并完善本工程的检测方案，并完成检测方案的审查备案、检测工作根据备案确认后的方案执行。</w:t>
      </w:r>
    </w:p>
    <w:p w14:paraId="189C9A6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（3）中标人应当建立健全并落实各项管理制度，保证检测项目工作正常进行，并接受</w:t>
      </w:r>
      <w:r>
        <w:rPr>
          <w:rFonts w:hint="eastAsia" w:ascii="宋体" w:hAnsi="宋体" w:eastAsia="宋体" w:cs="宋体"/>
          <w:b w:val="0"/>
          <w:bCs/>
          <w:color w:val="auto"/>
          <w:sz w:val="21"/>
          <w:szCs w:val="21"/>
          <w:highlight w:val="none"/>
          <w:lang w:val="en-US" w:eastAsia="zh-CN"/>
        </w:rPr>
        <w:t>招标</w:t>
      </w:r>
      <w:r>
        <w:rPr>
          <w:rFonts w:hint="eastAsia" w:ascii="宋体" w:hAnsi="宋体" w:eastAsia="宋体" w:cs="宋体"/>
          <w:b w:val="0"/>
          <w:bCs/>
          <w:color w:val="auto"/>
          <w:sz w:val="21"/>
          <w:szCs w:val="21"/>
          <w:highlight w:val="none"/>
        </w:rPr>
        <w:t>人及有关主管部门对项目服务质量的监督检查。</w:t>
      </w:r>
    </w:p>
    <w:p w14:paraId="6DBCB09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（4）中标人应建立并实施符合本项目各项要求的质量管理体系。</w:t>
      </w:r>
    </w:p>
    <w:p w14:paraId="54343F4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（5）招标人代表有权在工作时间内进入中标人的工作地点检查其质量手册、质量计划及其它与质量相关的文件的实施情况。</w:t>
      </w:r>
    </w:p>
    <w:p w14:paraId="0C483BF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（五）成果要求</w:t>
      </w:r>
    </w:p>
    <w:p w14:paraId="5AE9065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合同签订后15天内，中标人应根据批准的工程施工组织设计、工程设计文件、市政工程建设标准、国家及行业规范等制定并向招标人提交详细的可实施的检测方案1份。中标人应积极配合招标人调整优化检测方案，并提交招标人确认。</w:t>
      </w:r>
    </w:p>
    <w:p w14:paraId="20E8F3F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2、中标人在各项检测工作完成后应提交检测报告一式三份（含纸质版及电子档），检测报告包含但不限于：项目概况、检测位置、检测结果与结论、各类原始记录等内容，具体以相关规范为准。</w:t>
      </w:r>
    </w:p>
    <w:p w14:paraId="581C55F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3、中标人应向招标人提交正式、合法的检测报告书，并同时加盖资质认定标志（即CMA印章）和中标人检验检测报告专用章。</w:t>
      </w:r>
    </w:p>
    <w:p w14:paraId="5C3410F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4、中标人所提供给招标人的成果资料所有权由招标人享有，未经招标人许可，中标人不得将成果泄露给第三方。</w:t>
      </w:r>
    </w:p>
    <w:p w14:paraId="045C55B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5、中标人须保证检测成果质量，对技术成果负完全责任，如因检测不实，造成招标人经济损失费用全部由中标人承担，并应负责重检。</w:t>
      </w:r>
    </w:p>
    <w:p w14:paraId="6636FD1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（六）安全要求</w:t>
      </w:r>
    </w:p>
    <w:p w14:paraId="79CCD92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1、中标人应做好服务的安全防护措施，服务过程中出现的安全事故由中标人自行承担。</w:t>
      </w:r>
    </w:p>
    <w:p w14:paraId="7CE6AC9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2、中标人必须做好安全防护工作，由于中标人自身的原因发生的任何伤害（包括人身伤害），均由中标人自行承担。</w:t>
      </w:r>
    </w:p>
    <w:p w14:paraId="329C073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（七）其他要求</w:t>
      </w:r>
    </w:p>
    <w:p w14:paraId="7C8730BE">
      <w:pPr>
        <w:pStyle w:val="53"/>
        <w:widowControl w:val="0"/>
        <w:wordWrap/>
        <w:adjustRightInd w:val="0"/>
        <w:snapToGrid w:val="0"/>
        <w:spacing w:line="360" w:lineRule="auto"/>
        <w:ind w:firstLine="422"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color w:val="auto"/>
          <w:szCs w:val="21"/>
          <w:highlight w:val="none"/>
          <w:u w:val="single"/>
        </w:rPr>
        <w:t>★</w:t>
      </w:r>
      <w:r>
        <w:rPr>
          <w:rFonts w:hint="eastAsia" w:ascii="宋体" w:hAnsi="宋体" w:eastAsia="宋体" w:cs="宋体"/>
          <w:b w:val="0"/>
          <w:bCs/>
          <w:color w:val="auto"/>
          <w:sz w:val="21"/>
          <w:szCs w:val="21"/>
          <w:highlight w:val="none"/>
        </w:rPr>
        <w:t>1、</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人须严格按照东莞市住房和城乡建设局规定，使用“东莞市工程质量检测监管平台”开展相关检测工作，</w:t>
      </w:r>
      <w:r>
        <w:rPr>
          <w:rFonts w:hint="eastAsia" w:ascii="宋体" w:hAnsi="宋体" w:eastAsia="宋体" w:cs="宋体"/>
          <w:b w:val="0"/>
          <w:bCs/>
          <w:color w:val="auto"/>
          <w:sz w:val="21"/>
          <w:szCs w:val="21"/>
          <w:highlight w:val="none"/>
          <w:lang w:val="en-US" w:eastAsia="zh-CN"/>
        </w:rPr>
        <w:t>中</w:t>
      </w:r>
      <w:r>
        <w:rPr>
          <w:rFonts w:hint="eastAsia" w:ascii="宋体" w:hAnsi="宋体" w:eastAsia="宋体" w:cs="宋体"/>
          <w:b w:val="0"/>
          <w:bCs/>
          <w:color w:val="auto"/>
          <w:sz w:val="21"/>
          <w:szCs w:val="21"/>
          <w:highlight w:val="none"/>
        </w:rPr>
        <w:t>标人须在“东莞市工程质量检测监管平台”完成注册备案，并提供相关网页截图</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（须</w:t>
      </w:r>
      <w:r>
        <w:rPr>
          <w:rFonts w:hint="eastAsia" w:ascii="宋体" w:hAnsi="宋体" w:eastAsia="宋体" w:cs="宋体"/>
          <w:b w:val="0"/>
          <w:bCs/>
          <w:color w:val="auto"/>
          <w:sz w:val="21"/>
          <w:szCs w:val="21"/>
          <w:highlight w:val="none"/>
          <w:lang w:val="en-US" w:eastAsia="zh-CN"/>
        </w:rPr>
        <w:t>在投标时</w:t>
      </w:r>
      <w:r>
        <w:rPr>
          <w:rFonts w:hint="eastAsia" w:ascii="宋体" w:hAnsi="宋体" w:eastAsia="宋体" w:cs="宋体"/>
          <w:b w:val="0"/>
          <w:bCs/>
          <w:color w:val="auto"/>
          <w:sz w:val="21"/>
          <w:szCs w:val="21"/>
          <w:highlight w:val="none"/>
        </w:rPr>
        <w:t>提供已备案网页截图，或</w:t>
      </w:r>
      <w:r>
        <w:rPr>
          <w:rFonts w:hint="eastAsia" w:ascii="宋体" w:hAnsi="宋体" w:eastAsia="宋体" w:cs="宋体"/>
          <w:b w:val="0"/>
          <w:bCs/>
          <w:color w:val="auto"/>
          <w:sz w:val="21"/>
          <w:szCs w:val="21"/>
          <w:highlight w:val="none"/>
          <w:lang w:val="en-US" w:eastAsia="zh-CN"/>
        </w:rPr>
        <w:t>在投标时</w:t>
      </w:r>
      <w:r>
        <w:rPr>
          <w:rFonts w:hint="eastAsia" w:ascii="宋体" w:hAnsi="宋体" w:eastAsia="宋体" w:cs="宋体"/>
          <w:b w:val="0"/>
          <w:bCs/>
          <w:color w:val="auto"/>
          <w:sz w:val="21"/>
          <w:szCs w:val="21"/>
          <w:highlight w:val="none"/>
        </w:rPr>
        <w:t>提供中标后须在7个工作日内完成备案的承诺函）</w:t>
      </w:r>
    </w:p>
    <w:p w14:paraId="52682F6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2、中标人派出的检测人员应具备相应的专业知识及技术水平，有足够能力完成本项目检测服务工作。</w:t>
      </w:r>
    </w:p>
    <w:p w14:paraId="0629965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3、中标人需配备1名项目负责人、1名技术负责人及数量充足的检测工作人员，保证检测工作有序、顺利完成。</w:t>
      </w:r>
    </w:p>
    <w:p w14:paraId="73CB19D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4、中标人应配备完成本项目所必须的检测设备，其性能良好并符合国家规定。同时配备数量充足的交通警示标志和施工围档，以及检测仪器、无线通讯设备、劳动防护用品等其它必须使用的工具。</w:t>
      </w:r>
    </w:p>
    <w:p w14:paraId="2E94B88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5、若招标人、项目业主、上级行政主管部门要求（含政策变动）检测内容和频次增加或减少，中标人必须无条件遵守执行，实际检测量以招标人审核为准。</w:t>
      </w:r>
    </w:p>
    <w:p w14:paraId="54667C2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6、若特殊项目中标人无相应资质的，必须经招标人批准后送符合条件（具备相应资质）的分包单位进行检测，并出具相应的检测报告，否则将视为中标人违约，出具的报告不予承认。</w:t>
      </w:r>
    </w:p>
    <w:p w14:paraId="1D89416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7、在合同服务期内中标人不得因实际检测点过少或其他理由，而要求招标人提供任何形式的补偿或赔偿，或要求招标人所有的项目必须开展检测服务。</w:t>
      </w:r>
    </w:p>
    <w:p w14:paraId="54EAED3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8、中标人自行解决现场检测（试验）所需辅助劳务及相关费用。</w:t>
      </w:r>
    </w:p>
    <w:p w14:paraId="0EEB10F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9、服务过程中涉及的设备、工具，由中标人自行解决。</w:t>
      </w:r>
    </w:p>
    <w:p w14:paraId="4261FD6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10、服务过程中涉及的用水、用电由中标人自行接入，中标人需做好用水、用电安全防护措施并无条件接受招标人监督。</w:t>
      </w:r>
    </w:p>
    <w:p w14:paraId="1E6B6F36">
      <w:pPr>
        <w:pStyle w:val="53"/>
        <w:widowControl w:val="0"/>
        <w:wordWrap/>
        <w:adjustRightInd w:val="0"/>
        <w:snapToGrid w:val="0"/>
        <w:spacing w:line="360" w:lineRule="auto"/>
        <w:ind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11、</w:t>
      </w:r>
      <w:r>
        <w:rPr>
          <w:rFonts w:hint="eastAsia" w:ascii="宋体" w:hAnsi="宋体" w:eastAsia="宋体" w:cs="宋体"/>
          <w:b w:val="0"/>
          <w:bCs w:val="0"/>
          <w:color w:val="auto"/>
          <w:sz w:val="24"/>
          <w:szCs w:val="24"/>
          <w:highlight w:val="none"/>
          <w:lang w:val="en-US" w:eastAsia="zh-CN"/>
        </w:rPr>
        <w:t>检测单位须无条件配合在施工单位自检合格后立即开展水压试验检测活动，充分利用施工单位已实施的自检措施，提升水压试验检测工作效率。</w:t>
      </w:r>
    </w:p>
    <w:p w14:paraId="550CD370">
      <w:pPr>
        <w:pStyle w:val="53"/>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三、合同价款</w:t>
      </w:r>
    </w:p>
    <w:p w14:paraId="39E563E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lang w:eastAsia="zh-CN"/>
        </w:rPr>
      </w:pPr>
      <w:r>
        <w:rPr>
          <w:rFonts w:hint="eastAsia" w:ascii="宋体" w:hAnsi="宋体" w:eastAsia="宋体" w:cs="宋体"/>
          <w:b w:val="0"/>
          <w:bCs/>
          <w:color w:val="auto"/>
          <w:sz w:val="21"/>
          <w:szCs w:val="21"/>
          <w:highlight w:val="none"/>
        </w:rPr>
        <w:t>1、本项目《工程量清单计价表》（详见附件）的计费标准参照《东莞市建设工程检测行业参考收费标准（2023版）》（东检协字（2023）3号）的参考单价，计费标准未包含的部分参照《广东省房屋建筑和市政工程质量安全检测收费指导价》（粤建检协[2015]8号）。暂定总合同价款按照招标文件所附《工程量清单计价表》（详见附件）的不含税综合单价（不含税综合单价=参考单价÷1.06）×</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检测服务系数×实际检测工作量计算所得</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Cs w:val="21"/>
          <w:highlight w:val="none"/>
          <w:lang w:val="en-US" w:eastAsia="zh-CN"/>
        </w:rPr>
        <w:t>但最终结算价不得超出暂定总合同价款(含税)。</w:t>
      </w:r>
    </w:p>
    <w:p w14:paraId="0E4BA5D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不含税综合单价包含为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检测人销项税额以外的税金等，报价过程产生的费用、办理履约担保费用、水电及进退场、差旅、驻地、办公设施、用品、食宿费、交通、通讯、施工配合费、保险费、风险费、检测方案的审查及专家论证费等完成本项目服务相关的直接及间接费用。除另有约定外，本工程检测（试验）的不含税综合单价在合同实施期间不因任何因素而调整（包括但不限于工程的工期延长、检测工作量变化等），招标人及项目业主也不承担任何额外费用。检测时，如需土建施工单位配合或向其租借设备时，中标人自行与施工单位协调，配合及租借费用已包括在不含税综合单价内。</w:t>
      </w:r>
    </w:p>
    <w:p w14:paraId="6240375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3、《工程量清单计价表》不作为中标人最终服务范围及业务承接数量的保证，招标人有权根据实际需求对检测工程量进行优化调整，最终服务费用按实际发生工程量结算</w:t>
      </w:r>
      <w:r>
        <w:rPr>
          <w:rFonts w:hint="eastAsia" w:ascii="宋体" w:hAnsi="宋体" w:eastAsia="宋体" w:cs="宋体"/>
          <w:b w:val="0"/>
          <w:bCs/>
          <w:color w:val="auto"/>
          <w:sz w:val="21"/>
          <w:szCs w:val="21"/>
          <w:highlight w:val="none"/>
          <w:lang w:eastAsia="zh-CN"/>
        </w:rPr>
        <w:t>，</w:t>
      </w:r>
      <w:r>
        <w:rPr>
          <w:rFonts w:hint="eastAsia" w:ascii="宋体" w:hAnsi="宋体" w:eastAsia="宋体" w:cs="宋体"/>
          <w:color w:val="auto"/>
          <w:szCs w:val="21"/>
          <w:highlight w:val="none"/>
          <w:lang w:val="en-US" w:eastAsia="zh-CN"/>
        </w:rPr>
        <w:t>但最终结算价不得超出暂定总合同价款(含税)。</w:t>
      </w:r>
      <w:r>
        <w:rPr>
          <w:rFonts w:hint="eastAsia" w:ascii="宋体" w:hAnsi="宋体" w:eastAsia="宋体" w:cs="宋体"/>
          <w:b w:val="0"/>
          <w:bCs/>
          <w:color w:val="auto"/>
          <w:sz w:val="21"/>
          <w:szCs w:val="21"/>
          <w:highlight w:val="none"/>
        </w:rPr>
        <w:t>在合同服务期内，中标人不得因实际检测项目数量及服务费用的增减而要求招标人提供任何形式的补偿或赔偿，或只按招标人暂定的《工程量清单计价表》提供相应的对应服务。否则，视为中标人违约，招标人有权依据合同约定追究中标人的违约责任。</w:t>
      </w:r>
    </w:p>
    <w:p w14:paraId="0C85617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4、对于《工程量清单计价表》外新增的检测项目，不含税综合单价按以下方法计算：</w:t>
      </w:r>
    </w:p>
    <w:p w14:paraId="0D5F5BB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（1）《东莞市建设工程检测行业参考收费标准 (2023版)》（东检协字（2023）3号）对应项参考单价÷1.06×</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w:t>
      </w:r>
    </w:p>
    <w:p w14:paraId="275316F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（2）《东莞市建设工程检测行业参考收费标准 (2023版)》（东检协字（2023）3号）中无对应项，则按照《广东省房屋建筑和市政工程工程质量安全检测收费指导价》（粤建检协〔2015〕8号）对应项单价÷1.06×</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w:t>
      </w:r>
    </w:p>
    <w:p w14:paraId="4B2595A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（3）《东莞市建设工程检测行业参考收费标准 (2023版)》（东检协字（2023）3号）与《广东省房屋建筑和市政工程工程质量安全检测收费指导价》（粤建检协〔2015〕8号）均无对应项的，由招标人结合本地及周边同类城市市场询价的不含税综合单价×</w:t>
      </w:r>
      <w:r>
        <w:rPr>
          <w:rFonts w:hint="eastAsia" w:ascii="宋体" w:hAnsi="宋体" w:eastAsia="宋体" w:cs="宋体"/>
          <w:b w:val="0"/>
          <w:bCs/>
          <w:color w:val="auto"/>
          <w:sz w:val="21"/>
          <w:szCs w:val="21"/>
          <w:highlight w:val="none"/>
          <w:lang w:val="en-US" w:eastAsia="zh-CN"/>
        </w:rPr>
        <w:t>中标</w:t>
      </w:r>
      <w:r>
        <w:rPr>
          <w:rFonts w:hint="eastAsia" w:ascii="宋体" w:hAnsi="宋体" w:eastAsia="宋体" w:cs="宋体"/>
          <w:b w:val="0"/>
          <w:bCs/>
          <w:color w:val="auto"/>
          <w:sz w:val="21"/>
          <w:szCs w:val="21"/>
          <w:highlight w:val="none"/>
        </w:rPr>
        <w:t>检测服务系数。</w:t>
      </w:r>
    </w:p>
    <w:p w14:paraId="7C66C4C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以上不含税综合单价均保留两位小数。</w:t>
      </w:r>
    </w:p>
    <w:p w14:paraId="18CADF18">
      <w:pPr>
        <w:pStyle w:val="53"/>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四、费用支付</w:t>
      </w:r>
    </w:p>
    <w:p w14:paraId="4F242B04">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中标人向招标人、项目业主承诺，项目业主有权直接向中标人支付合同价款，也有权委托招标人向中标人代付价款，具体支付方式以招标人通知为准，中标人对此不持异议。如项目业主委托招标人向中标人代付工程价款的，因招标人系受项目业主委托代付，中标人承诺不得就合同款项问题向招标人主张任何权利，中标人同意招标人亦无需承担任何责任；如因款项支付产生纠纷的(包括但不限于诉讼等)，由中标人与项目业主协调处理，与招标人无关。</w:t>
      </w:r>
    </w:p>
    <w:p w14:paraId="6D3BEBF3">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、以季度为单位，即按季度计量支付进度款，中标人须向招标人提供相应的正式检测报告，经监理人及招标人审核通过后，项目业主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应在中标人提交对应的请款报告30天内向中标人支付进度款。</w:t>
      </w:r>
    </w:p>
    <w:p w14:paraId="4ECCBF69">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以季度为单位按经监理人及招标人审核通过的检测报告所涉款项的80%支付本合同进度款，但项目业主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累计支付的进度款不超过暂定总合同价款价税合计的80%，待工程竣工验收合格，项目结算完毕，并提交请款报告后30天内，项目业主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按结算价一次性支付余款。</w:t>
      </w:r>
    </w:p>
    <w:p w14:paraId="3AF24302">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、中标人收取每笔款项前，在提交请款报告的同时一并提供等额有效的增值税</w:t>
      </w:r>
      <w:r>
        <w:rPr>
          <w:rFonts w:hint="eastAsia" w:ascii="宋体" w:hAnsi="宋体" w:eastAsia="宋体" w:cs="宋体"/>
          <w:color w:val="auto"/>
          <w:sz w:val="21"/>
          <w:szCs w:val="21"/>
          <w:highlight w:val="none"/>
          <w:lang w:val="en-US" w:eastAsia="zh-CN"/>
        </w:rPr>
        <w:t>普通</w:t>
      </w:r>
      <w:r>
        <w:rPr>
          <w:rFonts w:hint="eastAsia" w:ascii="宋体" w:hAnsi="宋体" w:eastAsia="宋体" w:cs="宋体"/>
          <w:color w:val="auto"/>
          <w:sz w:val="21"/>
          <w:szCs w:val="21"/>
          <w:highlight w:val="none"/>
        </w:rPr>
        <w:t>发票，项目业主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在收到相关请款材料审核后支付；中标人逾期提交请款材料或提供的发票不合格的，项目业主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的付款时间可相应顺延，且不视为违约。因支付产生的相关银行手续费用，根据有关银行规定执行，如不能明确费用承担主体的，相关手续费用由双方各承担50%。由于中标人提供的发票不符合税法规定，给项目业主</w:t>
      </w:r>
      <w:r>
        <w:rPr>
          <w:rFonts w:hint="eastAsia" w:ascii="宋体" w:hAnsi="宋体" w:eastAsia="宋体" w:cs="宋体"/>
          <w:color w:val="auto"/>
          <w:sz w:val="21"/>
          <w:szCs w:val="21"/>
          <w:highlight w:val="none"/>
          <w:lang w:val="en-US" w:eastAsia="zh-CN"/>
        </w:rPr>
        <w:t>或招标人</w:t>
      </w:r>
      <w:r>
        <w:rPr>
          <w:rFonts w:hint="eastAsia" w:ascii="宋体" w:hAnsi="宋体" w:eastAsia="宋体" w:cs="宋体"/>
          <w:color w:val="auto"/>
          <w:sz w:val="21"/>
          <w:szCs w:val="21"/>
          <w:highlight w:val="none"/>
        </w:rPr>
        <w:t>造成的损失由中标人承担赔偿责任。</w:t>
      </w:r>
    </w:p>
    <w:p w14:paraId="2D6338B0">
      <w:pPr>
        <w:pStyle w:val="53"/>
        <w:widowControl w:val="0"/>
        <w:wordWrap/>
        <w:adjustRightInd w:val="0"/>
        <w:snapToGrid w:val="0"/>
        <w:spacing w:line="360" w:lineRule="auto"/>
        <w:ind w:firstLine="422" w:firstLineChars="200"/>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五、考核制度</w:t>
      </w:r>
    </w:p>
    <w:p w14:paraId="4BD46DEF">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招标人每季度对中标人评价一次，出具考核评价结果。招标人将严格按照考核评分标准对中标人进行季度检查和考核。考评[70,80)分的，处相应付款周期内经招标人确认的检测费的10%作为违约金，考评[60,70)分的，处相应付款周期经招标人确认的检测费的20%作为违约金，考评60分以下的，处相应付款周期经招标人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highlight w:val="none"/>
        </w:rPr>
        <w:t>的30%作为违约金。上述“[”代表闭区间，“)”代表开区间，如[70,80)代表该分数段范围为大于等于70且小于80。达到相应付款周期时,如中标人未申请支付本期费用, 招标人根据支付条件暂定本周期检测费并计算本周期内应缴纳的暂定违约金，中标人应予以缴纳。下一周期仍未申请时按上述做法执行，待到中标人申请支付费用时，根据合同付款流程确认检测费，同步对以往暂定违约金在本次一并确认并予以结算。</w:t>
      </w:r>
    </w:p>
    <w:p w14:paraId="142BEBD6">
      <w:pPr>
        <w:adjustRightInd w:val="0"/>
        <w:snapToGrid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检测单位履约考核评分表</w:t>
      </w:r>
    </w:p>
    <w:tbl>
      <w:tblPr>
        <w:tblStyle w:val="36"/>
        <w:tblW w:w="10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804"/>
        <w:gridCol w:w="4306"/>
        <w:gridCol w:w="340"/>
        <w:gridCol w:w="1773"/>
        <w:gridCol w:w="1080"/>
        <w:gridCol w:w="1072"/>
      </w:tblGrid>
      <w:tr w14:paraId="2C20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95" w:type="dxa"/>
            <w:gridSpan w:val="2"/>
            <w:vAlign w:val="center"/>
          </w:tcPr>
          <w:p w14:paraId="5D1C9F6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检测人名称</w:t>
            </w:r>
          </w:p>
        </w:tc>
        <w:tc>
          <w:tcPr>
            <w:tcW w:w="4646" w:type="dxa"/>
            <w:gridSpan w:val="2"/>
            <w:vAlign w:val="center"/>
          </w:tcPr>
          <w:p w14:paraId="60718EC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c>
          <w:tcPr>
            <w:tcW w:w="1773" w:type="dxa"/>
            <w:vAlign w:val="center"/>
          </w:tcPr>
          <w:p w14:paraId="28DB8FE2">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评价时间</w:t>
            </w:r>
          </w:p>
        </w:tc>
        <w:tc>
          <w:tcPr>
            <w:tcW w:w="2152" w:type="dxa"/>
            <w:gridSpan w:val="2"/>
            <w:vAlign w:val="center"/>
          </w:tcPr>
          <w:p w14:paraId="5CCBC84B">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0DFE6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991" w:type="dxa"/>
            <w:vAlign w:val="center"/>
          </w:tcPr>
          <w:p w14:paraId="364A5C2D">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评价内容</w:t>
            </w:r>
          </w:p>
        </w:tc>
        <w:tc>
          <w:tcPr>
            <w:tcW w:w="804" w:type="dxa"/>
            <w:vAlign w:val="center"/>
          </w:tcPr>
          <w:p w14:paraId="094AF540">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各项分值</w:t>
            </w:r>
          </w:p>
        </w:tc>
        <w:tc>
          <w:tcPr>
            <w:tcW w:w="6419" w:type="dxa"/>
            <w:gridSpan w:val="3"/>
            <w:vAlign w:val="center"/>
          </w:tcPr>
          <w:p w14:paraId="48659B1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具体内容</w:t>
            </w:r>
          </w:p>
        </w:tc>
        <w:tc>
          <w:tcPr>
            <w:tcW w:w="1080" w:type="dxa"/>
            <w:vAlign w:val="center"/>
          </w:tcPr>
          <w:p w14:paraId="549AEB5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评分 </w:t>
            </w:r>
          </w:p>
          <w:p w14:paraId="316ABBD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center"/>
          </w:tcPr>
          <w:p w14:paraId="33C4FEA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各项</w:t>
            </w:r>
          </w:p>
          <w:p w14:paraId="02556E1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得分</w:t>
            </w:r>
          </w:p>
        </w:tc>
      </w:tr>
      <w:tr w14:paraId="3C5A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1" w:type="dxa"/>
            <w:vAlign w:val="center"/>
          </w:tcPr>
          <w:p w14:paraId="1A76606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服务响应</w:t>
            </w:r>
          </w:p>
        </w:tc>
        <w:tc>
          <w:tcPr>
            <w:tcW w:w="804" w:type="dxa"/>
            <w:vAlign w:val="center"/>
          </w:tcPr>
          <w:p w14:paraId="307085D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19" w:type="dxa"/>
            <w:gridSpan w:val="3"/>
            <w:vAlign w:val="center"/>
          </w:tcPr>
          <w:p w14:paraId="577B129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1、不积极配合协助处理服务履行中发生的争议，不主动提供真实情况，每次扣3分；</w:t>
            </w:r>
          </w:p>
          <w:p w14:paraId="11CFBB2B">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2、未能在约定时间内进驻现场的，每次扣5分；</w:t>
            </w:r>
          </w:p>
          <w:p w14:paraId="15C82F7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3、因无相应资质，需另行委托分包单位进行检测的，每检测项（细项）扣5分；</w:t>
            </w:r>
          </w:p>
          <w:p w14:paraId="627C9DA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4、未派人员参加业主要求的相关会议，每次扣5分。</w:t>
            </w:r>
          </w:p>
        </w:tc>
        <w:tc>
          <w:tcPr>
            <w:tcW w:w="1080" w:type="dxa"/>
            <w:vAlign w:val="center"/>
          </w:tcPr>
          <w:p w14:paraId="585961DE">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457A9EC4">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5ADB88D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1071E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991" w:type="dxa"/>
            <w:vAlign w:val="center"/>
          </w:tcPr>
          <w:p w14:paraId="1EF8F40E">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设备人员配置</w:t>
            </w:r>
          </w:p>
        </w:tc>
        <w:tc>
          <w:tcPr>
            <w:tcW w:w="804" w:type="dxa"/>
            <w:vAlign w:val="center"/>
          </w:tcPr>
          <w:p w14:paraId="2A604002">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6419" w:type="dxa"/>
            <w:gridSpan w:val="3"/>
            <w:vAlign w:val="center"/>
          </w:tcPr>
          <w:p w14:paraId="3BBA4E78">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1、未按我公司要求配齐相应检测人员的，每人每次扣5分；</w:t>
            </w:r>
          </w:p>
          <w:p w14:paraId="15F5DB7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2、未按我公司要求配齐相应设备的，每次扣5分：</w:t>
            </w:r>
          </w:p>
          <w:p w14:paraId="67BE61EE">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3、检测人员能力无法满足实际需要，且经我公司要求更换而未更换的，每人每次扣5分；</w:t>
            </w:r>
          </w:p>
          <w:p w14:paraId="49DEA91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4、检测人员未持有效证件上岗及佩戴工作证，每人每次扣5分；</w:t>
            </w:r>
          </w:p>
          <w:p w14:paraId="0765308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5、特种作业人员未持有效证件上岗及佩戴工作证，每人每次扣5分；</w:t>
            </w:r>
          </w:p>
          <w:p w14:paraId="5BD30A1F">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6、开展检测的设备未在检定有效期内，每台设备每次扣5分。</w:t>
            </w:r>
          </w:p>
        </w:tc>
        <w:tc>
          <w:tcPr>
            <w:tcW w:w="1080" w:type="dxa"/>
            <w:vAlign w:val="center"/>
          </w:tcPr>
          <w:p w14:paraId="4C142B0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62EE00C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458CA43D">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064E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91" w:type="dxa"/>
            <w:vAlign w:val="center"/>
          </w:tcPr>
          <w:p w14:paraId="718CD9CD">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工作质量</w:t>
            </w:r>
          </w:p>
        </w:tc>
        <w:tc>
          <w:tcPr>
            <w:tcW w:w="804" w:type="dxa"/>
            <w:vAlign w:val="center"/>
          </w:tcPr>
          <w:p w14:paraId="7FB6401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19" w:type="dxa"/>
            <w:gridSpan w:val="3"/>
            <w:vAlign w:val="center"/>
          </w:tcPr>
          <w:p w14:paraId="1C3AEB1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1、实际检测协作服务未达用户需求书、合同文件要求，且经我公司要求后未配合整改至符合要求的，每处每次扣5分；</w:t>
            </w:r>
          </w:p>
          <w:p w14:paraId="3A38A52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2、检测记录、数据与实际不相符的，每次扣5分；</w:t>
            </w:r>
          </w:p>
          <w:p w14:paraId="1261942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3、检测资料管理混乱、台账不及时更新、资料不及时签字或盖章不全的，每次扣5分；</w:t>
            </w:r>
          </w:p>
          <w:p w14:paraId="4ECC0414">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4、未按《关于加强东莞市建设工程质量检测机构监督管理的通知》的规定进行拍照或录像的，每次扣5分；</w:t>
            </w:r>
          </w:p>
          <w:p w14:paraId="7F6A8EE7">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5、检测报告的准确率，如出现报告的工程部位、工程名称、数据等错误的，每份报告扣5分；</w:t>
            </w:r>
          </w:p>
          <w:p w14:paraId="49B4C950">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6、检测结果不合格未及时反馈或通报的，每次扣10分。</w:t>
            </w:r>
          </w:p>
        </w:tc>
        <w:tc>
          <w:tcPr>
            <w:tcW w:w="1080" w:type="dxa"/>
            <w:vAlign w:val="center"/>
          </w:tcPr>
          <w:p w14:paraId="57931BF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388B9D4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2F32EC82">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0EF9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991" w:type="dxa"/>
            <w:vAlign w:val="center"/>
          </w:tcPr>
          <w:p w14:paraId="5486954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服务进度</w:t>
            </w:r>
          </w:p>
        </w:tc>
        <w:tc>
          <w:tcPr>
            <w:tcW w:w="804" w:type="dxa"/>
            <w:vAlign w:val="center"/>
          </w:tcPr>
          <w:p w14:paraId="32539A1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6419" w:type="dxa"/>
            <w:gridSpan w:val="3"/>
            <w:vAlign w:val="center"/>
          </w:tcPr>
          <w:p w14:paraId="7DEED93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1、没有在规定时间内完成检测协作服务工作的，每处每次扣5分；</w:t>
            </w:r>
          </w:p>
          <w:p w14:paraId="79F6676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2、没有按照合同规定时间内出具检测报告的，每份报告扣5分。</w:t>
            </w:r>
          </w:p>
        </w:tc>
        <w:tc>
          <w:tcPr>
            <w:tcW w:w="1080" w:type="dxa"/>
            <w:vAlign w:val="center"/>
          </w:tcPr>
          <w:p w14:paraId="6D9C1286">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3883FA9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4DB4D786">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7F20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991" w:type="dxa"/>
            <w:vAlign w:val="center"/>
          </w:tcPr>
          <w:p w14:paraId="49C61B8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安全文明管理</w:t>
            </w:r>
          </w:p>
        </w:tc>
        <w:tc>
          <w:tcPr>
            <w:tcW w:w="804" w:type="dxa"/>
            <w:vAlign w:val="center"/>
          </w:tcPr>
          <w:p w14:paraId="1D8CDD91">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6419" w:type="dxa"/>
            <w:gridSpan w:val="3"/>
            <w:vAlign w:val="center"/>
          </w:tcPr>
          <w:p w14:paraId="79C81CC9">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1、未按要求进行安全防护或安全防护不到位，我公司或上级部门检查中发现的，每处扣5分；</w:t>
            </w:r>
          </w:p>
          <w:p w14:paraId="23C6D466">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2、涉及有限空间作业未按照相关流程制度审批的，每次扣5分；</w:t>
            </w:r>
          </w:p>
          <w:p w14:paraId="07CFC7F7">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3、发生一般安全事故的，每次扣10分；</w:t>
            </w:r>
          </w:p>
          <w:p w14:paraId="78D53A9B">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4、发生较大安全事故的，每次扣20分。</w:t>
            </w:r>
          </w:p>
        </w:tc>
        <w:tc>
          <w:tcPr>
            <w:tcW w:w="1080" w:type="dxa"/>
            <w:vAlign w:val="center"/>
          </w:tcPr>
          <w:p w14:paraId="11FB310F">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安全管理部</w:t>
            </w:r>
          </w:p>
        </w:tc>
        <w:tc>
          <w:tcPr>
            <w:tcW w:w="1072" w:type="dxa"/>
            <w:vAlign w:val="bottom"/>
          </w:tcPr>
          <w:p w14:paraId="6FF4A3C5">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672B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91" w:type="dxa"/>
            <w:vAlign w:val="center"/>
          </w:tcPr>
          <w:p w14:paraId="56C530A3">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服务态度</w:t>
            </w:r>
          </w:p>
        </w:tc>
        <w:tc>
          <w:tcPr>
            <w:tcW w:w="804" w:type="dxa"/>
            <w:vAlign w:val="center"/>
          </w:tcPr>
          <w:p w14:paraId="6B45B226">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6419" w:type="dxa"/>
            <w:gridSpan w:val="3"/>
            <w:vAlign w:val="center"/>
          </w:tcPr>
          <w:p w14:paraId="553D9348">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对检测协作服务单位日常工作的服务态度，以及甲方、上级主管部门、建设单位检查中配合情况、服务投诉情况进行评价。每收到投诉一次扣5分。</w:t>
            </w:r>
          </w:p>
        </w:tc>
        <w:tc>
          <w:tcPr>
            <w:tcW w:w="1080" w:type="dxa"/>
            <w:vAlign w:val="center"/>
          </w:tcPr>
          <w:p w14:paraId="665367BD">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需求</w:t>
            </w:r>
          </w:p>
          <w:p w14:paraId="212DC25F">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部门</w:t>
            </w:r>
          </w:p>
        </w:tc>
        <w:tc>
          <w:tcPr>
            <w:tcW w:w="1072" w:type="dxa"/>
            <w:vAlign w:val="bottom"/>
          </w:tcPr>
          <w:p w14:paraId="38929FAA">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4FC05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14" w:type="dxa"/>
            <w:gridSpan w:val="5"/>
            <w:vAlign w:val="center"/>
          </w:tcPr>
          <w:p w14:paraId="4C6BBC61">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c>
          <w:tcPr>
            <w:tcW w:w="2152" w:type="dxa"/>
            <w:gridSpan w:val="2"/>
            <w:vAlign w:val="center"/>
          </w:tcPr>
          <w:p w14:paraId="7DCF2E4B">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r w14:paraId="17FD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0366" w:type="dxa"/>
            <w:gridSpan w:val="7"/>
            <w:vAlign w:val="center"/>
          </w:tcPr>
          <w:p w14:paraId="7C80C097">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default" w:ascii="宋体" w:hAnsi="宋体" w:eastAsia="宋体" w:cs="宋体"/>
                <w:color w:val="auto"/>
                <w:szCs w:val="21"/>
                <w:highlight w:val="none"/>
              </w:rPr>
            </w:pPr>
            <w:r>
              <w:rPr>
                <w:rFonts w:hint="eastAsia" w:ascii="宋体" w:hAnsi="宋体" w:eastAsia="宋体" w:cs="宋体"/>
                <w:color w:val="auto"/>
                <w:szCs w:val="21"/>
                <w:highlight w:val="none"/>
              </w:rPr>
              <w:t>考核评分须知：</w:t>
            </w:r>
          </w:p>
          <w:p w14:paraId="218C2BC0">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default" w:ascii="宋体" w:hAnsi="宋体" w:eastAsia="宋体" w:cs="宋体"/>
                <w:b w:val="0"/>
                <w:bCs w:val="0"/>
                <w:color w:val="auto"/>
                <w:szCs w:val="21"/>
                <w:highlight w:val="none"/>
              </w:rPr>
            </w:pPr>
            <w:bookmarkStart w:id="463" w:name="_Hlk139741337"/>
            <w:r>
              <w:rPr>
                <w:rFonts w:hint="eastAsia" w:ascii="宋体" w:hAnsi="宋体" w:eastAsia="宋体" w:cs="宋体"/>
                <w:b w:val="0"/>
                <w:bCs w:val="0"/>
                <w:color w:val="auto"/>
                <w:szCs w:val="21"/>
                <w:highlight w:val="none"/>
              </w:rPr>
              <w:t>1、委托人每季度对检测人评价一次，出具考核评价结果。</w:t>
            </w:r>
          </w:p>
          <w:p w14:paraId="5180F1B7">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default"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2、委托人将严格按照考核评分标准对检测人进行季度检查和考核。</w:t>
            </w:r>
          </w:p>
          <w:p w14:paraId="488A07C4">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textAlignment w:val="auto"/>
              <w:outlineLvl w:val="9"/>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rPr>
              <w:t>3、考评[70,80)分的，处相应付款周期内经委托人确认的检测费的10%作为违约金，考评[60,70)分的，处相应付款周期经委托人确认的检测费的20%作为违约金，考评60分以下的，处相应付款周期经委托人确认的检测</w:t>
            </w:r>
            <w:r>
              <w:rPr>
                <w:rFonts w:hint="eastAsia" w:ascii="宋体" w:hAnsi="宋体" w:eastAsia="宋体" w:cs="宋体"/>
                <w:b w:val="0"/>
                <w:bCs w:val="0"/>
                <w:color w:val="auto"/>
                <w:szCs w:val="21"/>
                <w:highlight w:val="none"/>
                <w:lang w:val="en-US" w:eastAsia="zh-CN"/>
              </w:rPr>
              <w:t>费</w:t>
            </w:r>
            <w:r>
              <w:rPr>
                <w:rFonts w:hint="eastAsia" w:ascii="宋体" w:hAnsi="宋体" w:eastAsia="宋体" w:cs="宋体"/>
                <w:b w:val="0"/>
                <w:bCs w:val="0"/>
                <w:color w:val="auto"/>
                <w:szCs w:val="21"/>
                <w:highlight w:val="none"/>
              </w:rPr>
              <w:t>的30%作为违约金。上述“[”代表闭区间，“)”代表开区间，如[70,80)代表该分数段范围为大于等于70且小于80。达到相应付款周期时,如检测人未申请支付本期费用, 委托人根据支付条件暂定本周期检测费并计算本周期内应缴纳的暂定违约金，检测人应予以缴纳。下一周期仍未申请时按上述做法执行，待到检测人申请支付费用时，根据合同付款流程确认检测费，同步对以往暂定违约金在本次一并确认并予以结算。</w:t>
            </w:r>
            <w:bookmarkEnd w:id="463"/>
          </w:p>
        </w:tc>
      </w:tr>
      <w:tr w14:paraId="59741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95" w:type="dxa"/>
            <w:gridSpan w:val="2"/>
            <w:vAlign w:val="center"/>
          </w:tcPr>
          <w:p w14:paraId="70079FD4">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评价人员签名</w:t>
            </w:r>
          </w:p>
        </w:tc>
        <w:tc>
          <w:tcPr>
            <w:tcW w:w="4306" w:type="dxa"/>
            <w:vAlign w:val="center"/>
          </w:tcPr>
          <w:p w14:paraId="02BF76EC">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c>
          <w:tcPr>
            <w:tcW w:w="2113" w:type="dxa"/>
            <w:gridSpan w:val="2"/>
            <w:vAlign w:val="center"/>
          </w:tcPr>
          <w:p w14:paraId="43B77EF7">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评价日期</w:t>
            </w:r>
          </w:p>
        </w:tc>
        <w:tc>
          <w:tcPr>
            <w:tcW w:w="2152" w:type="dxa"/>
            <w:gridSpan w:val="2"/>
            <w:vAlign w:val="center"/>
          </w:tcPr>
          <w:p w14:paraId="78040FF8">
            <w:pPr>
              <w:keepNext w:val="0"/>
              <w:keepLines w:val="0"/>
              <w:widowControl w:val="0"/>
              <w:suppressLineNumbers w:val="0"/>
              <w:wordWrap/>
              <w:adjustRightInd w:val="0"/>
              <w:snapToGrid w:val="0"/>
              <w:spacing w:before="0" w:beforeAutospacing="0" w:after="0" w:afterAutospacing="0" w:line="240" w:lineRule="auto"/>
              <w:ind w:left="0" w:leftChars="0" w:right="0" w:firstLine="0" w:firstLineChars="0"/>
              <w:jc w:val="center"/>
              <w:textAlignment w:val="auto"/>
              <w:outlineLvl w:val="9"/>
              <w:rPr>
                <w:rFonts w:hint="eastAsia" w:ascii="宋体" w:hAnsi="宋体" w:eastAsia="宋体" w:cs="宋体"/>
                <w:color w:val="auto"/>
                <w:szCs w:val="21"/>
                <w:highlight w:val="none"/>
              </w:rPr>
            </w:pPr>
          </w:p>
        </w:tc>
      </w:tr>
    </w:tbl>
    <w:p w14:paraId="681270B9">
      <w:pPr>
        <w:widowControl w:val="0"/>
        <w:wordWrap/>
        <w:adjustRightInd/>
        <w:snapToGrid/>
        <w:spacing w:line="360" w:lineRule="auto"/>
        <w:contextualSpacing/>
        <w:textAlignment w:val="auto"/>
        <w:rPr>
          <w:rFonts w:hint="eastAsia" w:ascii="宋体" w:hAnsi="宋体" w:eastAsia="宋体" w:cs="宋体"/>
          <w:b w:val="0"/>
          <w:bCs/>
          <w:color w:val="auto"/>
          <w:sz w:val="21"/>
          <w:szCs w:val="21"/>
          <w:highlight w:val="none"/>
        </w:rPr>
      </w:pPr>
    </w:p>
    <w:p w14:paraId="6A9101CD">
      <w:pPr>
        <w:widowControl w:val="0"/>
        <w:wordWrap/>
        <w:adjustRightInd/>
        <w:snapToGrid/>
        <w:spacing w:line="360" w:lineRule="auto"/>
        <w:contextualSpacing/>
        <w:textAlignment w:val="auto"/>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附件：</w:t>
      </w:r>
      <w:r>
        <w:rPr>
          <w:rFonts w:hint="eastAsia" w:ascii="宋体" w:hAnsi="宋体" w:eastAsia="宋体" w:cs="宋体"/>
          <w:b/>
          <w:bCs w:val="0"/>
          <w:color w:val="auto"/>
          <w:sz w:val="21"/>
          <w:szCs w:val="21"/>
          <w:highlight w:val="none"/>
          <w:lang w:val="en-US" w:eastAsia="zh-CN"/>
        </w:rPr>
        <w:t>《工程量清单计价表》</w:t>
      </w:r>
    </w:p>
    <w:p w14:paraId="3518BC53">
      <w:pPr>
        <w:spacing w:line="360" w:lineRule="auto"/>
        <w:rPr>
          <w:rFonts w:ascii="宋体" w:hAnsi="宋体" w:eastAsia="宋体" w:cs="Times New Roman"/>
          <w:b/>
          <w:color w:val="auto"/>
          <w:szCs w:val="21"/>
          <w:highlight w:val="none"/>
          <w:lang w:val="zh-CN"/>
        </w:rPr>
      </w:pPr>
    </w:p>
    <w:p w14:paraId="59A35FA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color w:val="auto"/>
          <w:kern w:val="0"/>
          <w:sz w:val="24"/>
          <w:szCs w:val="24"/>
          <w:highlight w:val="none"/>
        </w:rPr>
      </w:pPr>
      <w:bookmarkStart w:id="464" w:name="_Toc25357"/>
      <w:bookmarkStart w:id="465" w:name="_Toc450662892"/>
      <w:bookmarkStart w:id="466" w:name="_Toc16287"/>
      <w:bookmarkStart w:id="467" w:name="_Toc142508359"/>
      <w:bookmarkStart w:id="468" w:name="_Toc486167707"/>
      <w:bookmarkStart w:id="469" w:name="_Toc20401"/>
      <w:bookmarkStart w:id="470" w:name="_Toc25251"/>
      <w:bookmarkStart w:id="471" w:name="_Toc11281_WPSOffice_Level1"/>
      <w:bookmarkStart w:id="472" w:name="_Toc27209"/>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64"/>
      <w:bookmarkEnd w:id="465"/>
      <w:bookmarkEnd w:id="466"/>
      <w:bookmarkEnd w:id="467"/>
      <w:bookmarkEnd w:id="468"/>
      <w:bookmarkEnd w:id="469"/>
      <w:bookmarkEnd w:id="470"/>
      <w:bookmarkEnd w:id="471"/>
      <w:bookmarkEnd w:id="472"/>
    </w:p>
    <w:p w14:paraId="6F351FC4">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C7046AA">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FD3DF5E">
      <w:pPr>
        <w:ind w:right="281"/>
        <w:jc w:val="right"/>
        <w:rPr>
          <w:rFonts w:ascii="宋体" w:hAnsi="宋体"/>
          <w:color w:val="auto"/>
          <w:sz w:val="30"/>
          <w:szCs w:val="30"/>
          <w:highlight w:val="none"/>
          <w:u w:val="single"/>
        </w:rPr>
      </w:pPr>
      <w:r>
        <w:rPr>
          <w:rFonts w:hint="eastAsia" w:ascii="宋体" w:hAnsi="宋体" w:eastAsia="宋体" w:cs="宋体"/>
          <w:color w:val="auto"/>
          <w:sz w:val="30"/>
          <w:szCs w:val="30"/>
          <w:highlight w:val="none"/>
        </w:rPr>
        <w:t>合同编号：</w:t>
      </w:r>
      <w:r>
        <w:rPr>
          <w:rFonts w:hint="eastAsia" w:ascii="宋体" w:hAnsi="宋体" w:eastAsia="宋体" w:cs="宋体"/>
          <w:color w:val="auto"/>
          <w:sz w:val="30"/>
          <w:szCs w:val="30"/>
          <w:highlight w:val="none"/>
          <w:u w:val="single"/>
        </w:rPr>
        <w:t xml:space="preserve">  </w:t>
      </w:r>
      <w:r>
        <w:rPr>
          <w:rFonts w:hint="eastAsia" w:ascii="宋体" w:hAnsi="宋体"/>
          <w:color w:val="auto"/>
          <w:sz w:val="30"/>
          <w:szCs w:val="30"/>
          <w:highlight w:val="none"/>
          <w:u w:val="single"/>
        </w:rPr>
        <w:t xml:space="preserve">       </w:t>
      </w:r>
    </w:p>
    <w:p w14:paraId="51D0A461">
      <w:pPr>
        <w:ind w:right="500" w:firstLine="2940" w:firstLineChars="1400"/>
        <w:rPr>
          <w:rFonts w:ascii="宋体" w:hAnsi="宋体"/>
          <w:color w:val="auto"/>
          <w:szCs w:val="28"/>
          <w:highlight w:val="none"/>
        </w:rPr>
      </w:pPr>
    </w:p>
    <w:p w14:paraId="5BAC3733">
      <w:pPr>
        <w:spacing w:line="360" w:lineRule="auto"/>
        <w:rPr>
          <w:rFonts w:ascii="宋体" w:hAnsi="宋体" w:cs="宋体"/>
          <w:b/>
          <w:bCs/>
          <w:snapToGrid w:val="0"/>
          <w:color w:val="auto"/>
          <w:sz w:val="52"/>
          <w:szCs w:val="32"/>
          <w:highlight w:val="none"/>
        </w:rPr>
      </w:pPr>
    </w:p>
    <w:p w14:paraId="158BFDF7">
      <w:pPr>
        <w:spacing w:line="360" w:lineRule="auto"/>
        <w:jc w:val="center"/>
        <w:rPr>
          <w:rFonts w:hint="eastAsia" w:ascii="宋体" w:hAnsi="宋体" w:eastAsia="宋体" w:cs="宋体"/>
          <w:b/>
          <w:bCs/>
          <w:snapToGrid w:val="0"/>
          <w:color w:val="auto"/>
          <w:sz w:val="52"/>
          <w:szCs w:val="32"/>
          <w:highlight w:val="none"/>
        </w:rPr>
      </w:pPr>
    </w:p>
    <w:p w14:paraId="29F20E7C">
      <w:pPr>
        <w:spacing w:line="360" w:lineRule="auto"/>
        <w:jc w:val="center"/>
        <w:rPr>
          <w:rFonts w:ascii="宋体" w:hAnsi="宋体" w:eastAsia="宋体" w:cs="宋体"/>
          <w:b/>
          <w:bCs/>
          <w:snapToGrid w:val="0"/>
          <w:color w:val="auto"/>
          <w:sz w:val="52"/>
          <w:szCs w:val="32"/>
          <w:highlight w:val="none"/>
        </w:rPr>
      </w:pPr>
      <w:r>
        <w:rPr>
          <w:rFonts w:hint="eastAsia" w:ascii="宋体" w:hAnsi="宋体" w:eastAsia="宋体" w:cs="宋体"/>
          <w:b/>
          <w:bCs/>
          <w:snapToGrid w:val="0"/>
          <w:color w:val="auto"/>
          <w:sz w:val="52"/>
          <w:szCs w:val="32"/>
          <w:highlight w:val="none"/>
        </w:rPr>
        <w:t>第 三 方 检 测 合 同</w:t>
      </w:r>
    </w:p>
    <w:p w14:paraId="7B372EED">
      <w:pPr>
        <w:spacing w:line="360" w:lineRule="auto"/>
        <w:ind w:left="420" w:leftChars="200"/>
        <w:rPr>
          <w:rFonts w:ascii="宋体" w:hAnsi="宋体" w:eastAsia="宋体" w:cs="宋体"/>
          <w:b/>
          <w:bCs/>
          <w:snapToGrid w:val="0"/>
          <w:color w:val="auto"/>
          <w:highlight w:val="none"/>
        </w:rPr>
      </w:pPr>
    </w:p>
    <w:p w14:paraId="44AEA7E6">
      <w:pPr>
        <w:spacing w:line="360" w:lineRule="auto"/>
        <w:ind w:left="420" w:leftChars="200"/>
        <w:rPr>
          <w:rFonts w:ascii="宋体" w:hAnsi="宋体" w:eastAsia="宋体" w:cs="宋体"/>
          <w:b/>
          <w:bCs/>
          <w:snapToGrid w:val="0"/>
          <w:color w:val="auto"/>
          <w:highlight w:val="none"/>
        </w:rPr>
      </w:pPr>
    </w:p>
    <w:p w14:paraId="689121D5">
      <w:pPr>
        <w:spacing w:line="360" w:lineRule="auto"/>
        <w:ind w:left="420" w:leftChars="200"/>
        <w:rPr>
          <w:rFonts w:ascii="宋体" w:hAnsi="宋体" w:eastAsia="宋体" w:cs="宋体"/>
          <w:color w:val="auto"/>
          <w:highlight w:val="none"/>
          <w:u w:val="single"/>
        </w:rPr>
      </w:pPr>
    </w:p>
    <w:p w14:paraId="4FF27449">
      <w:pPr>
        <w:spacing w:line="360" w:lineRule="auto"/>
        <w:ind w:left="420" w:leftChars="200"/>
        <w:rPr>
          <w:rFonts w:ascii="宋体" w:hAnsi="宋体" w:eastAsia="宋体" w:cs="宋体"/>
          <w:color w:val="auto"/>
          <w:highlight w:val="none"/>
          <w:u w:val="single"/>
        </w:rPr>
      </w:pPr>
    </w:p>
    <w:p w14:paraId="13165556">
      <w:pPr>
        <w:spacing w:line="360" w:lineRule="auto"/>
        <w:ind w:left="420" w:leftChars="200"/>
        <w:rPr>
          <w:rFonts w:ascii="宋体" w:hAnsi="宋体" w:eastAsia="宋体" w:cs="宋体"/>
          <w:color w:val="auto"/>
          <w:highlight w:val="none"/>
          <w:u w:val="single"/>
        </w:rPr>
      </w:pPr>
    </w:p>
    <w:p w14:paraId="5894A2D0">
      <w:pPr>
        <w:spacing w:line="360" w:lineRule="auto"/>
        <w:ind w:left="420" w:leftChars="200"/>
        <w:rPr>
          <w:rFonts w:ascii="宋体" w:hAnsi="宋体" w:eastAsia="宋体" w:cs="宋体"/>
          <w:color w:val="auto"/>
          <w:highlight w:val="none"/>
          <w:u w:val="single"/>
        </w:rPr>
      </w:pPr>
    </w:p>
    <w:p w14:paraId="723077AD">
      <w:pPr>
        <w:spacing w:line="360" w:lineRule="auto"/>
        <w:ind w:left="420" w:leftChars="200"/>
        <w:rPr>
          <w:rFonts w:ascii="宋体" w:hAnsi="宋体" w:eastAsia="宋体" w:cs="宋体"/>
          <w:color w:val="auto"/>
          <w:highlight w:val="none"/>
          <w:u w:val="single"/>
        </w:rPr>
      </w:pPr>
    </w:p>
    <w:p w14:paraId="10E60130">
      <w:pPr>
        <w:spacing w:line="360" w:lineRule="auto"/>
        <w:rPr>
          <w:rFonts w:ascii="宋体" w:hAnsi="宋体" w:eastAsia="宋体" w:cs="宋体"/>
          <w:b/>
          <w:color w:val="auto"/>
          <w:sz w:val="30"/>
          <w:szCs w:val="30"/>
          <w:highlight w:val="none"/>
          <w:u w:val="single"/>
        </w:rPr>
      </w:pPr>
    </w:p>
    <w:p w14:paraId="05FD32F0">
      <w:pPr>
        <w:spacing w:line="360" w:lineRule="auto"/>
        <w:ind w:left="1405" w:hanging="1405" w:hangingChars="500"/>
        <w:jc w:val="left"/>
        <w:rPr>
          <w:rFonts w:hint="eastAsia" w:ascii="宋体" w:hAnsi="宋体" w:eastAsia="宋体" w:cs="宋体"/>
          <w:b/>
          <w:color w:val="auto"/>
          <w:sz w:val="28"/>
          <w:szCs w:val="28"/>
          <w:highlight w:val="none"/>
          <w:u w:val="single"/>
          <w:lang w:eastAsia="zh-CN"/>
        </w:rPr>
      </w:pPr>
      <w:r>
        <w:rPr>
          <w:rFonts w:hint="eastAsia" w:ascii="宋体" w:hAnsi="宋体" w:eastAsia="宋体" w:cs="宋体"/>
          <w:b/>
          <w:color w:val="auto"/>
          <w:sz w:val="28"/>
          <w:szCs w:val="28"/>
          <w:highlight w:val="none"/>
        </w:rPr>
        <w:t>项目名称：</w:t>
      </w:r>
      <w:r>
        <w:rPr>
          <w:rFonts w:hint="eastAsia" w:ascii="宋体" w:hAnsi="宋体" w:eastAsia="宋体" w:cs="宋体"/>
          <w:b/>
          <w:color w:val="auto"/>
          <w:sz w:val="28"/>
          <w:szCs w:val="28"/>
          <w:highlight w:val="none"/>
          <w:u w:val="single"/>
          <w:lang w:eastAsia="zh-CN"/>
        </w:rPr>
        <w:t>珠三角水资源配置工程东莞配套芦花坑水厂一期配水管线工程-C标段第三方检测服务采购项目</w:t>
      </w:r>
    </w:p>
    <w:p w14:paraId="0ED67C3D">
      <w:pPr>
        <w:spacing w:line="360" w:lineRule="auto"/>
        <w:rPr>
          <w:rFonts w:ascii="宋体" w:hAnsi="宋体" w:eastAsia="宋体" w:cs="宋体"/>
          <w:b/>
          <w:color w:val="auto"/>
          <w:sz w:val="28"/>
          <w:szCs w:val="28"/>
          <w:highlight w:val="none"/>
          <w:u w:val="single"/>
        </w:rPr>
      </w:pPr>
      <w:r>
        <w:rPr>
          <w:rFonts w:hint="eastAsia" w:ascii="宋体" w:hAnsi="宋体" w:eastAsia="宋体" w:cs="宋体"/>
          <w:b/>
          <w:color w:val="auto"/>
          <w:sz w:val="28"/>
          <w:szCs w:val="28"/>
          <w:highlight w:val="none"/>
        </w:rPr>
        <w:t>委 托 人：</w:t>
      </w:r>
      <w:r>
        <w:rPr>
          <w:rFonts w:hint="eastAsia" w:ascii="宋体" w:hAnsi="宋体" w:eastAsia="宋体" w:cs="宋体"/>
          <w:b/>
          <w:color w:val="auto"/>
          <w:sz w:val="28"/>
          <w:szCs w:val="28"/>
          <w:highlight w:val="none"/>
          <w:u w:val="single"/>
        </w:rPr>
        <w:t>东莞市水务集团建设管理有限公司</w:t>
      </w:r>
    </w:p>
    <w:p w14:paraId="625F3570">
      <w:pPr>
        <w:spacing w:line="360" w:lineRule="auto"/>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检 测 人：</w:t>
      </w:r>
      <w:r>
        <w:rPr>
          <w:rFonts w:hint="eastAsia" w:ascii="宋体" w:hAnsi="宋体" w:eastAsia="宋体" w:cs="宋体"/>
          <w:b/>
          <w:color w:val="auto"/>
          <w:sz w:val="28"/>
          <w:szCs w:val="28"/>
          <w:highlight w:val="none"/>
          <w:u w:val="single"/>
        </w:rPr>
        <w:t xml:space="preserve">                              </w:t>
      </w:r>
    </w:p>
    <w:p w14:paraId="3A9B1BDE">
      <w:pPr>
        <w:spacing w:line="360" w:lineRule="auto"/>
        <w:rPr>
          <w:rFonts w:ascii="宋体" w:hAnsi="宋体" w:eastAsia="宋体" w:cs="宋体"/>
          <w:color w:val="auto"/>
          <w:highlight w:val="none"/>
        </w:rPr>
      </w:pPr>
      <w:r>
        <w:rPr>
          <w:rFonts w:hint="eastAsia" w:ascii="宋体" w:hAnsi="宋体" w:eastAsia="宋体" w:cs="宋体"/>
          <w:b/>
          <w:color w:val="auto"/>
          <w:sz w:val="28"/>
          <w:szCs w:val="28"/>
          <w:highlight w:val="none"/>
        </w:rPr>
        <w:t>项目业主：</w:t>
      </w:r>
      <w:r>
        <w:rPr>
          <w:rFonts w:hint="eastAsia" w:ascii="宋体" w:hAnsi="宋体" w:eastAsia="宋体" w:cs="宋体"/>
          <w:b/>
          <w:color w:val="auto"/>
          <w:sz w:val="28"/>
          <w:szCs w:val="28"/>
          <w:highlight w:val="none"/>
          <w:u w:val="single"/>
          <w:lang w:eastAsia="zh-CN"/>
        </w:rPr>
        <w:t>东莞市水务集团供水有限公司</w:t>
      </w:r>
      <w:r>
        <w:rPr>
          <w:rFonts w:hint="eastAsia" w:ascii="宋体" w:hAnsi="宋体" w:eastAsia="宋体" w:cs="宋体"/>
          <w:b/>
          <w:color w:val="auto"/>
          <w:sz w:val="28"/>
          <w:szCs w:val="28"/>
          <w:highlight w:val="none"/>
          <w:u w:val="single"/>
        </w:rPr>
        <w:t xml:space="preserve">    </w:t>
      </w:r>
    </w:p>
    <w:p w14:paraId="7F54A440">
      <w:pPr>
        <w:pStyle w:val="21"/>
        <w:rPr>
          <w:rFonts w:hAnsi="宋体" w:cs="宋体"/>
          <w:color w:val="auto"/>
          <w:highlight w:val="none"/>
        </w:rPr>
      </w:pPr>
    </w:p>
    <w:p w14:paraId="122A140F">
      <w:pPr>
        <w:spacing w:line="360" w:lineRule="auto"/>
        <w:ind w:left="420" w:leftChars="200" w:firstLine="585"/>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年    月    日</w:t>
      </w:r>
    </w:p>
    <w:p w14:paraId="18335E6D">
      <w:pPr>
        <w:autoSpaceDE w:val="0"/>
        <w:autoSpaceDN w:val="0"/>
        <w:adjustRightInd w:val="0"/>
        <w:jc w:val="left"/>
        <w:rPr>
          <w:rFonts w:ascii="宋体" w:hAnsi="宋体" w:eastAsia="宋体" w:cs="宋体"/>
          <w:b/>
          <w:bCs/>
          <w:color w:val="auto"/>
          <w:kern w:val="0"/>
          <w:sz w:val="28"/>
          <w:szCs w:val="28"/>
          <w:highlight w:val="none"/>
        </w:rPr>
      </w:pPr>
    </w:p>
    <w:p w14:paraId="2917993D">
      <w:pPr>
        <w:autoSpaceDE w:val="0"/>
        <w:autoSpaceDN w:val="0"/>
        <w:adjustRightInd w:val="0"/>
        <w:jc w:val="left"/>
        <w:rPr>
          <w:rFonts w:ascii="宋体" w:hAnsi="宋体" w:eastAsia="宋体" w:cs="宋体"/>
          <w:b/>
          <w:bCs/>
          <w:color w:val="auto"/>
          <w:kern w:val="0"/>
          <w:sz w:val="28"/>
          <w:szCs w:val="28"/>
          <w:highlight w:val="none"/>
        </w:rPr>
      </w:pPr>
    </w:p>
    <w:p w14:paraId="102FA508">
      <w:pPr>
        <w:autoSpaceDE w:val="0"/>
        <w:autoSpaceDN w:val="0"/>
        <w:adjustRightInd w:val="0"/>
        <w:jc w:val="left"/>
        <w:rPr>
          <w:rFonts w:ascii="宋体" w:hAnsi="宋体" w:eastAsia="宋体" w:cs="宋体"/>
          <w:b/>
          <w:bCs/>
          <w:color w:val="auto"/>
          <w:kern w:val="0"/>
          <w:sz w:val="28"/>
          <w:szCs w:val="28"/>
          <w:highlight w:val="none"/>
        </w:rPr>
      </w:pPr>
    </w:p>
    <w:p w14:paraId="1F2D9E6E">
      <w:pPr>
        <w:adjustRightInd w:val="0"/>
        <w:snapToGrid w:val="0"/>
        <w:spacing w:line="360" w:lineRule="auto"/>
        <w:rPr>
          <w:rFonts w:hint="eastAsia" w:ascii="宋体" w:hAnsi="宋体" w:eastAsia="宋体" w:cs="宋体"/>
          <w:b/>
          <w:color w:val="auto"/>
          <w:sz w:val="21"/>
          <w:szCs w:val="21"/>
          <w:highlight w:val="none"/>
          <w:u w:val="single"/>
        </w:rPr>
      </w:pPr>
      <w:r>
        <w:rPr>
          <w:rFonts w:hint="eastAsia" w:ascii="宋体" w:hAnsi="宋体" w:eastAsia="宋体" w:cs="宋体"/>
          <w:b/>
          <w:color w:val="auto"/>
          <w:sz w:val="21"/>
          <w:szCs w:val="21"/>
          <w:highlight w:val="none"/>
        </w:rPr>
        <w:t>委托人（甲方）：</w:t>
      </w:r>
      <w:r>
        <w:rPr>
          <w:rFonts w:hint="eastAsia" w:ascii="宋体" w:hAnsi="宋体" w:eastAsia="宋体" w:cs="宋体"/>
          <w:b/>
          <w:color w:val="auto"/>
          <w:sz w:val="21"/>
          <w:szCs w:val="21"/>
          <w:highlight w:val="none"/>
          <w:u w:val="single"/>
        </w:rPr>
        <w:t>东莞市水务集团建设管理有限公司</w:t>
      </w:r>
    </w:p>
    <w:p w14:paraId="0F3AA9B9">
      <w:pPr>
        <w:adjustRightInd w:val="0"/>
        <w:snapToGrid w:val="0"/>
        <w:spacing w:line="360" w:lineRule="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检测人（乙方）：</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      </w:t>
      </w:r>
    </w:p>
    <w:p w14:paraId="63E47580">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项目业主（丙方）：</w:t>
      </w:r>
      <w:r>
        <w:rPr>
          <w:rFonts w:hint="eastAsia" w:ascii="宋体" w:hAnsi="宋体" w:eastAsia="宋体" w:cs="宋体"/>
          <w:b/>
          <w:color w:val="auto"/>
          <w:sz w:val="21"/>
          <w:szCs w:val="21"/>
          <w:highlight w:val="none"/>
          <w:u w:val="single"/>
          <w:lang w:eastAsia="zh-CN"/>
        </w:rPr>
        <w:t>东莞市水务集团供水有限公司</w:t>
      </w:r>
    </w:p>
    <w:p w14:paraId="29D8C44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p>
    <w:p w14:paraId="6861652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1.乙方已明确知悉：</w:t>
      </w:r>
      <w:r>
        <w:rPr>
          <w:rFonts w:hint="eastAsia" w:ascii="宋体" w:hAnsi="宋体" w:eastAsia="宋体" w:cs="宋体"/>
          <w:bCs/>
          <w:color w:val="auto"/>
          <w:sz w:val="21"/>
          <w:szCs w:val="21"/>
          <w:highlight w:val="none"/>
          <w:u w:val="single"/>
          <w:lang w:eastAsia="zh-CN"/>
        </w:rPr>
        <w:t>东莞市水务集团供水有限公司</w:t>
      </w:r>
      <w:r>
        <w:rPr>
          <w:rFonts w:hint="eastAsia" w:ascii="宋体" w:hAnsi="宋体" w:eastAsia="宋体" w:cs="宋体"/>
          <w:color w:val="auto"/>
          <w:sz w:val="21"/>
          <w:szCs w:val="21"/>
          <w:highlight w:val="none"/>
        </w:rPr>
        <w:t>（以下简称“丙方”）为</w:t>
      </w:r>
      <w:r>
        <w:rPr>
          <w:rFonts w:hint="eastAsia" w:ascii="宋体" w:hAnsi="宋体" w:eastAsia="宋体" w:cs="宋体"/>
          <w:color w:val="auto"/>
          <w:sz w:val="21"/>
          <w:szCs w:val="21"/>
          <w:highlight w:val="none"/>
          <w:u w:val="single"/>
          <w:lang w:eastAsia="zh-CN"/>
        </w:rPr>
        <w:t>珠三角水资源配置工程东莞配套芦花坑水厂一期配水管线工程-C标段</w:t>
      </w:r>
      <w:r>
        <w:rPr>
          <w:rFonts w:hint="eastAsia" w:ascii="宋体" w:hAnsi="宋体" w:eastAsia="宋体" w:cs="宋体"/>
          <w:color w:val="auto"/>
          <w:sz w:val="21"/>
          <w:szCs w:val="21"/>
          <w:highlight w:val="none"/>
        </w:rPr>
        <w:t>的项目业主，</w:t>
      </w:r>
      <w:r>
        <w:rPr>
          <w:rFonts w:hint="eastAsia" w:ascii="宋体" w:hAnsi="宋体" w:eastAsia="宋体" w:cs="宋体"/>
          <w:color w:val="auto"/>
          <w:sz w:val="21"/>
          <w:szCs w:val="21"/>
          <w:highlight w:val="none"/>
          <w:u w:val="single"/>
        </w:rPr>
        <w:t>东莞市水务集团建设管理有限公司</w:t>
      </w:r>
      <w:r>
        <w:rPr>
          <w:rFonts w:hint="eastAsia" w:ascii="宋体" w:hAnsi="宋体" w:eastAsia="宋体" w:cs="宋体"/>
          <w:color w:val="auto"/>
          <w:sz w:val="21"/>
          <w:szCs w:val="21"/>
          <w:highlight w:val="none"/>
        </w:rPr>
        <w:t>（以下简称“甲方”）为上述项目的代建单位。</w:t>
      </w:r>
      <w:r>
        <w:rPr>
          <w:rFonts w:hint="eastAsia" w:ascii="宋体" w:hAnsi="宋体" w:eastAsia="宋体" w:cs="宋体"/>
          <w:color w:val="auto"/>
          <w:sz w:val="21"/>
          <w:szCs w:val="21"/>
          <w:highlight w:val="none"/>
          <w:u w:val="single"/>
          <w:lang w:eastAsia="zh-CN"/>
        </w:rPr>
        <w:t>东莞市水务集团供水有限公司</w:t>
      </w:r>
      <w:r>
        <w:rPr>
          <w:rFonts w:hint="eastAsia" w:ascii="宋体" w:hAnsi="宋体" w:eastAsia="宋体" w:cs="宋体"/>
          <w:color w:val="auto"/>
          <w:sz w:val="21"/>
          <w:szCs w:val="21"/>
          <w:highlight w:val="none"/>
        </w:rPr>
        <w:t>已将</w:t>
      </w:r>
      <w:r>
        <w:rPr>
          <w:rFonts w:hint="eastAsia" w:ascii="宋体" w:hAnsi="宋体" w:eastAsia="宋体" w:cs="宋体"/>
          <w:color w:val="auto"/>
          <w:sz w:val="21"/>
          <w:szCs w:val="21"/>
          <w:highlight w:val="none"/>
          <w:u w:val="single"/>
          <w:lang w:eastAsia="zh-CN"/>
        </w:rPr>
        <w:t>珠三角水资源配置工程东莞配套芦花坑水厂一期配水管线工程-C标段</w:t>
      </w:r>
      <w:r>
        <w:rPr>
          <w:rFonts w:hint="eastAsia" w:ascii="宋体" w:hAnsi="宋体" w:eastAsia="宋体" w:cs="宋体"/>
          <w:color w:val="auto"/>
          <w:sz w:val="21"/>
          <w:szCs w:val="21"/>
          <w:highlight w:val="none"/>
        </w:rPr>
        <w:t>委托给</w:t>
      </w:r>
      <w:r>
        <w:rPr>
          <w:rFonts w:hint="eastAsia" w:ascii="宋体" w:hAnsi="宋体" w:eastAsia="宋体" w:cs="宋体"/>
          <w:color w:val="auto"/>
          <w:sz w:val="21"/>
          <w:szCs w:val="21"/>
          <w:highlight w:val="none"/>
          <w:u w:val="single"/>
        </w:rPr>
        <w:t>东莞市水务集团建设管理有限公司</w:t>
      </w:r>
      <w:r>
        <w:rPr>
          <w:rFonts w:hint="eastAsia" w:ascii="宋体" w:hAnsi="宋体" w:eastAsia="宋体" w:cs="宋体"/>
          <w:color w:val="auto"/>
          <w:sz w:val="21"/>
          <w:szCs w:val="21"/>
          <w:highlight w:val="none"/>
        </w:rPr>
        <w:t>实施代建，珠三角水资源配置工程东莞配套芦花坑水厂一期配水管线工程-C标段第三方检测服务采购项目</w:t>
      </w:r>
      <w:r>
        <w:rPr>
          <w:rFonts w:hint="eastAsia" w:ascii="宋体" w:hAnsi="宋体" w:eastAsia="宋体" w:cs="宋体"/>
          <w:color w:val="auto"/>
          <w:sz w:val="21"/>
          <w:szCs w:val="21"/>
          <w:highlight w:val="none"/>
          <w:lang w:val="en-US" w:eastAsia="zh-CN"/>
        </w:rPr>
        <w:t>由东莞市水务集团建设管理有限公司实施招标，</w:t>
      </w:r>
      <w:r>
        <w:rPr>
          <w:rFonts w:hint="eastAsia" w:ascii="宋体" w:hAnsi="宋体" w:eastAsia="宋体" w:cs="宋体"/>
          <w:color w:val="auto"/>
          <w:sz w:val="21"/>
          <w:szCs w:val="21"/>
          <w:highlight w:val="none"/>
        </w:rPr>
        <w:t>并且乙方已认真查阅、理解甲方招标文件的全部内容，并对丙方授予甲方的权利义务无任何异议。</w:t>
      </w:r>
    </w:p>
    <w:p w14:paraId="1ACEC407">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乙方因违反本合同约定应承担的违约责任中涉及的各类履约担保、押金、质量保证金及违约金、利息等款项及由此产生的孳息等均归甲方所有，甲方有权自行处置、使用上述款项，丙方对此予以确认并不持异议。</w:t>
      </w:r>
    </w:p>
    <w:p w14:paraId="790D44C6">
      <w:pPr>
        <w:adjustRightInd w:val="0"/>
        <w:snapToGrid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根据《中华人民共和国民法典》、《中华人民共和国招标投标法》等相关法律法规的规定，遵循平等、自愿、公平和诚实信用的原则，三方就</w:t>
      </w:r>
      <w:r>
        <w:rPr>
          <w:rFonts w:hint="eastAsia" w:ascii="宋体" w:hAnsi="宋体" w:eastAsia="宋体" w:cs="宋体"/>
          <w:color w:val="auto"/>
          <w:sz w:val="21"/>
          <w:szCs w:val="21"/>
          <w:highlight w:val="none"/>
          <w:u w:val="single"/>
          <w:lang w:eastAsia="zh-CN"/>
        </w:rPr>
        <w:t>珠三角水资源配置工程东莞配套芦花坑水厂一期配水管线工程-C标段第三方检测服务采购项目</w:t>
      </w:r>
      <w:r>
        <w:rPr>
          <w:rFonts w:hint="eastAsia" w:ascii="宋体" w:hAnsi="宋体" w:eastAsia="宋体" w:cs="宋体"/>
          <w:color w:val="auto"/>
          <w:sz w:val="21"/>
          <w:szCs w:val="21"/>
          <w:highlight w:val="none"/>
        </w:rPr>
        <w:t>有关事项协商一致，达成本合同。</w:t>
      </w:r>
    </w:p>
    <w:p w14:paraId="68D2A381">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73" w:name="_Toc15611"/>
      <w:bookmarkStart w:id="474" w:name="_Toc5890"/>
      <w:r>
        <w:rPr>
          <w:rFonts w:hint="eastAsia" w:ascii="宋体" w:hAnsi="宋体" w:eastAsia="宋体" w:cs="宋体"/>
          <w:b/>
          <w:color w:val="auto"/>
          <w:sz w:val="21"/>
          <w:szCs w:val="21"/>
          <w:highlight w:val="none"/>
        </w:rPr>
        <w:t>一、工程概况</w:t>
      </w:r>
      <w:bookmarkEnd w:id="473"/>
      <w:bookmarkEnd w:id="474"/>
    </w:p>
    <w:p w14:paraId="7F614957">
      <w:pPr>
        <w:widowControl/>
        <w:adjustRightInd w:val="0"/>
        <w:snapToGrid w:val="0"/>
        <w:spacing w:line="360" w:lineRule="auto"/>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u w:val="none"/>
        </w:rPr>
        <w:t xml:space="preserve"> 1.项目名称：</w:t>
      </w:r>
      <w:r>
        <w:rPr>
          <w:rFonts w:hint="eastAsia" w:ascii="宋体" w:hAnsi="宋体" w:eastAsia="宋体" w:cs="宋体"/>
          <w:color w:val="auto"/>
          <w:sz w:val="21"/>
          <w:szCs w:val="21"/>
          <w:highlight w:val="none"/>
          <w:u w:val="single"/>
          <w:lang w:eastAsia="zh-CN"/>
        </w:rPr>
        <w:t>珠三角水资源配置工程东莞配套芦花坑水厂一期配水管线工程-C标段</w:t>
      </w:r>
    </w:p>
    <w:p w14:paraId="435E1C02">
      <w:pPr>
        <w:adjustRightInd w:val="0"/>
        <w:snapToGrid w:val="0"/>
        <w:spacing w:line="360" w:lineRule="auto"/>
        <w:ind w:firstLine="424" w:firstLineChars="201"/>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2.建设地点：</w:t>
      </w:r>
      <w:r>
        <w:rPr>
          <w:rFonts w:hint="eastAsia" w:ascii="宋体" w:hAnsi="宋体" w:eastAsia="宋体" w:cs="宋体"/>
          <w:color w:val="auto"/>
          <w:szCs w:val="21"/>
          <w:highlight w:val="none"/>
          <w:u w:val="single"/>
        </w:rPr>
        <w:t>东莞市轮渡路</w:t>
      </w:r>
      <w:r>
        <w:rPr>
          <w:rFonts w:hint="eastAsia" w:ascii="宋体" w:hAnsi="宋体" w:eastAsia="宋体" w:cs="宋体"/>
          <w:color w:val="auto"/>
          <w:sz w:val="21"/>
          <w:szCs w:val="21"/>
          <w:highlight w:val="none"/>
          <w:u w:val="none"/>
          <w:lang w:eastAsia="zh-CN"/>
        </w:rPr>
        <w:t>。</w:t>
      </w:r>
    </w:p>
    <w:p w14:paraId="1C2DE223">
      <w:pPr>
        <w:widowControl w:val="0"/>
        <w:wordWrap/>
        <w:adjustRightInd w:val="0"/>
        <w:snapToGrid w:val="0"/>
        <w:spacing w:line="360" w:lineRule="auto"/>
        <w:ind w:firstLine="422"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color w:val="auto"/>
          <w:sz w:val="21"/>
          <w:szCs w:val="21"/>
          <w:highlight w:val="none"/>
          <w:u w:val="none"/>
        </w:rPr>
        <w:t>3.项目基本情况：</w:t>
      </w:r>
      <w:r>
        <w:rPr>
          <w:rFonts w:hint="eastAsia" w:ascii="宋体" w:hAnsi="宋体" w:eastAsia="宋体" w:cs="宋体"/>
          <w:color w:val="auto"/>
          <w:sz w:val="21"/>
          <w:szCs w:val="21"/>
          <w:highlight w:val="none"/>
          <w:u w:val="none"/>
          <w:lang w:val="en-US" w:eastAsia="zh-CN"/>
        </w:rPr>
        <w:t>珠三角水资源配置工程东莞配套芦花坑水厂一期配水管线工程-C标段接自芦花坑水厂，服务范围为虎门、滨海湾新区、沙田、厚街以及长安部分区域、管线规模按照90万m</w:t>
      </w:r>
      <w:r>
        <w:rPr>
          <w:rFonts w:hint="eastAsia" w:ascii="宋体" w:hAnsi="宋体" w:eastAsia="宋体" w:cs="宋体"/>
          <w:color w:val="auto"/>
          <w:sz w:val="21"/>
          <w:szCs w:val="21"/>
          <w:highlight w:val="none"/>
          <w:u w:val="none"/>
          <w:vertAlign w:val="superscript"/>
          <w:lang w:val="en-US" w:eastAsia="zh-CN"/>
        </w:rPr>
        <w:t>3</w:t>
      </w:r>
      <w:r>
        <w:rPr>
          <w:rFonts w:hint="eastAsia" w:ascii="宋体" w:hAnsi="宋体" w:eastAsia="宋体" w:cs="宋体"/>
          <w:color w:val="auto"/>
          <w:sz w:val="21"/>
          <w:szCs w:val="21"/>
          <w:highlight w:val="none"/>
          <w:u w:val="none"/>
          <w:lang w:val="en-US" w:eastAsia="zh-CN"/>
        </w:rPr>
        <w:t>/d 一次性建成、最大时变化系数取 1.3。工程管线分为西线、东线和南线。本工程为西线轮渡路管线建设工程。</w:t>
      </w:r>
    </w:p>
    <w:p w14:paraId="791866BD">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本工程DN2000管道沿新建轮渡路机动车道敷设、起点自长堤路与轮液路交叉口轮渡路T12标段预留接管点，终点与莞太路现状2×DN1600连接，终点为轮渡路银河大桥DN1800现状接管点。</w:t>
      </w:r>
    </w:p>
    <w:p w14:paraId="2EB52B05">
      <w:pPr>
        <w:widowControl w:val="0"/>
        <w:wordWrap/>
        <w:adjustRightInd w:val="0"/>
        <w:snapToGrid w:val="0"/>
        <w:spacing w:line="360" w:lineRule="auto"/>
        <w:ind w:firstLine="420" w:firstLineChars="200"/>
        <w:textAlignment w:val="auto"/>
        <w:rPr>
          <w:rFonts w:hint="eastAsia" w:ascii="宋体" w:hAnsi="宋体" w:eastAsia="宋体" w:cs="宋体"/>
          <w:bCs/>
          <w:color w:val="auto"/>
          <w:sz w:val="21"/>
          <w:szCs w:val="21"/>
          <w:highlight w:val="none"/>
          <w:u w:val="none"/>
        </w:rPr>
      </w:pPr>
      <w:r>
        <w:rPr>
          <w:rFonts w:hint="eastAsia" w:ascii="宋体" w:hAnsi="宋体" w:eastAsia="宋体" w:cs="宋体"/>
          <w:color w:val="auto"/>
          <w:sz w:val="21"/>
          <w:szCs w:val="21"/>
          <w:highlight w:val="none"/>
          <w:u w:val="none"/>
          <w:lang w:val="en-US" w:eastAsia="zh-CN"/>
        </w:rPr>
        <w:t>沿线主要障碍物穿越方式如下：干倒虹5处，避让过路雨水箱涵及新建雨污水管线；管道采用放坡和支护开挖，管顶设护管板施工方式。管线主材为球墨铸铁管，局部障碍物段采用钢管。</w:t>
      </w:r>
    </w:p>
    <w:p w14:paraId="5833E59D">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4.检测任务（内容）和技术要求：</w:t>
      </w:r>
      <w:r>
        <w:rPr>
          <w:rFonts w:hint="eastAsia" w:ascii="宋体" w:hAnsi="宋体" w:eastAsia="宋体" w:cs="宋体"/>
          <w:color w:val="auto"/>
          <w:sz w:val="21"/>
          <w:szCs w:val="21"/>
          <w:highlight w:val="none"/>
          <w:u w:val="none"/>
        </w:rPr>
        <w:t xml:space="preserve">在服务期间执行国家、广东省以及东莞市有关市政工程检测、试验的标准规范的要求，确保检测（试验）成果客观有效，并满足竣工验收所需检测数量与频率要求。 </w:t>
      </w:r>
    </w:p>
    <w:p w14:paraId="42B171A0">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u w:val="none"/>
        </w:rPr>
        <w:t>5.承包方式：</w:t>
      </w:r>
      <w:r>
        <w:rPr>
          <w:rFonts w:hint="eastAsia" w:ascii="宋体" w:hAnsi="宋体" w:eastAsia="宋体" w:cs="宋体"/>
          <w:color w:val="auto"/>
          <w:sz w:val="21"/>
          <w:szCs w:val="21"/>
          <w:highlight w:val="none"/>
          <w:u w:val="none"/>
        </w:rPr>
        <w:t>最终实际支付的检测服务费根据经甲方（含其委托的第三方审核机构）、监理人审核确认的检测（试验）方案及甲方（含其委托的第三方审核机构）、监理人确认的实际检测（试验）工作量按实结算。</w:t>
      </w:r>
    </w:p>
    <w:p w14:paraId="02E8E82A">
      <w:pPr>
        <w:adjustRightInd w:val="0"/>
        <w:snapToGrid w:val="0"/>
        <w:spacing w:line="360" w:lineRule="auto"/>
        <w:ind w:left="17" w:leftChars="8" w:firstLine="405" w:firstLineChars="192"/>
        <w:rPr>
          <w:rFonts w:hint="eastAsia" w:ascii="宋体" w:hAnsi="宋体" w:eastAsia="宋体" w:cs="宋体"/>
          <w:color w:val="auto"/>
          <w:sz w:val="21"/>
          <w:szCs w:val="21"/>
          <w:highlight w:val="none"/>
          <w:u w:val="none"/>
          <w:lang w:eastAsia="zh-CN"/>
        </w:rPr>
      </w:pPr>
      <w:r>
        <w:rPr>
          <w:rFonts w:hint="eastAsia" w:ascii="宋体" w:hAnsi="宋体" w:eastAsia="宋体" w:cs="宋体"/>
          <w:b/>
          <w:color w:val="auto"/>
          <w:sz w:val="21"/>
          <w:szCs w:val="21"/>
          <w:highlight w:val="none"/>
          <w:u w:val="none"/>
        </w:rPr>
        <w:t>6.合同服务期：</w:t>
      </w:r>
      <w:r>
        <w:rPr>
          <w:rFonts w:hint="eastAsia" w:ascii="宋体" w:hAnsi="宋体" w:eastAsia="宋体" w:cs="宋体"/>
          <w:color w:val="auto"/>
          <w:sz w:val="21"/>
          <w:szCs w:val="21"/>
          <w:highlight w:val="none"/>
          <w:u w:val="none"/>
          <w:lang w:eastAsia="zh-CN"/>
        </w:rPr>
        <w:t>自珠三角水资源配置工程东莞配套芦花坑水厂一期配水管线工程-C标段开工至完成约定的各项检测及相关技术工作为止。</w:t>
      </w:r>
    </w:p>
    <w:p w14:paraId="19B8FF4F">
      <w:pPr>
        <w:adjustRightInd w:val="0"/>
        <w:snapToGrid w:val="0"/>
        <w:spacing w:line="360" w:lineRule="auto"/>
        <w:ind w:firstLine="424" w:firstLineChars="201"/>
        <w:rPr>
          <w:rFonts w:hint="eastAsia" w:ascii="宋体" w:hAnsi="宋体" w:eastAsia="宋体" w:cs="宋体"/>
          <w:b/>
          <w:color w:val="auto"/>
          <w:sz w:val="21"/>
          <w:szCs w:val="21"/>
          <w:highlight w:val="none"/>
          <w:u w:val="none"/>
        </w:rPr>
      </w:pPr>
      <w:r>
        <w:rPr>
          <w:rFonts w:hint="eastAsia" w:ascii="宋体" w:hAnsi="宋体" w:eastAsia="宋体" w:cs="宋体"/>
          <w:b/>
          <w:color w:val="auto"/>
          <w:sz w:val="21"/>
          <w:szCs w:val="21"/>
          <w:highlight w:val="none"/>
          <w:u w:val="none"/>
        </w:rPr>
        <w:t>7.质量要求：</w:t>
      </w:r>
    </w:p>
    <w:p w14:paraId="077D4B4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工程检测质量要求</w:t>
      </w:r>
    </w:p>
    <w:p w14:paraId="7ECD56C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①</w:t>
      </w:r>
      <w:r>
        <w:rPr>
          <w:rFonts w:hint="eastAsia" w:ascii="宋体" w:hAnsi="宋体" w:eastAsia="宋体" w:cs="宋体"/>
          <w:color w:val="auto"/>
          <w:sz w:val="21"/>
          <w:szCs w:val="21"/>
          <w:highlight w:val="none"/>
          <w:u w:val="none"/>
          <w:lang w:eastAsia="zh-CN"/>
        </w:rPr>
        <w:t>乙方提供检定合格、手续完备的检测（试验）仪器，及时出具具有法律效力的检测（试验）报告。乙方须保证检测（试验）成果质量，对技术成果负完全责任，如因检测（试验）不实，造成</w:t>
      </w:r>
      <w:r>
        <w:rPr>
          <w:rFonts w:hint="eastAsia" w:ascii="宋体" w:hAnsi="宋体" w:eastAsia="宋体" w:cs="宋体"/>
          <w:color w:val="auto"/>
          <w:sz w:val="21"/>
          <w:szCs w:val="21"/>
          <w:highlight w:val="none"/>
          <w:u w:val="none"/>
          <w:lang w:val="en-US" w:eastAsia="zh-CN"/>
        </w:rPr>
        <w:t>甲方</w:t>
      </w:r>
      <w:r>
        <w:rPr>
          <w:rFonts w:hint="eastAsia" w:ascii="宋体" w:hAnsi="宋体" w:eastAsia="宋体" w:cs="宋体"/>
          <w:color w:val="auto"/>
          <w:sz w:val="21"/>
          <w:szCs w:val="21"/>
          <w:highlight w:val="none"/>
          <w:u w:val="none"/>
          <w:lang w:eastAsia="zh-CN"/>
        </w:rPr>
        <w:t>经济损失费用全部由检测单位承担，并应负责重检。</w:t>
      </w:r>
    </w:p>
    <w:p w14:paraId="6CE817FC">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②</w:t>
      </w:r>
      <w:r>
        <w:rPr>
          <w:rFonts w:hint="eastAsia" w:ascii="宋体" w:hAnsi="宋体" w:eastAsia="宋体" w:cs="宋体"/>
          <w:color w:val="auto"/>
          <w:sz w:val="21"/>
          <w:szCs w:val="21"/>
          <w:highlight w:val="none"/>
          <w:u w:val="none"/>
        </w:rPr>
        <w:t>执行国家、广东省以及东莞市有关工程检测（试验）的标准规范的规定。</w:t>
      </w:r>
    </w:p>
    <w:p w14:paraId="6E9E50A6">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其他质量要求</w:t>
      </w:r>
    </w:p>
    <w:p w14:paraId="3C6E02C1">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①乙方须根据国家标准及其它相关行业规程的要求，结合本工程施工图、预算文件及东莞市建筑工程质量安全监督站相关规定，制定检测方案。完成本工程检测方案内项目及数量，出具合法有效且符合检测规范要求的检测报告，为工程进度控制提供依据；提供检测咨询服务，为保证工程质量提供保障。</w:t>
      </w:r>
    </w:p>
    <w:p w14:paraId="3157C78B">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②乙方应负责按东莞市建设工程质量安全监督站要求，根据本工程质量安全监督计划及相关规范编制并完善本工程的检测方案，并完成检测方案的审查备案、检测工作根据备案确认后的方案执行。</w:t>
      </w:r>
    </w:p>
    <w:p w14:paraId="120BEFAC">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③乙方应当建立健全并落实各项管理制度，保证检测项目工作正常进行，并接受甲方及有关主管部门对项目服务质量的监督检查。</w:t>
      </w:r>
    </w:p>
    <w:p w14:paraId="1372CB4F">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④乙方应建立并实施符合本项目各项要求的质量管理体系。</w:t>
      </w:r>
    </w:p>
    <w:p w14:paraId="4878193C">
      <w:pPr>
        <w:adjustRightInd w:val="0"/>
        <w:snapToGrid w:val="0"/>
        <w:spacing w:line="360" w:lineRule="auto"/>
        <w:ind w:firstLine="422" w:firstLineChars="201"/>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⑤甲方代表有权在工作时间内进入乙方的工作地点检查其质量手册、质量计划及其它与质量相关的文件的实施情况。</w:t>
      </w:r>
    </w:p>
    <w:p w14:paraId="52098735">
      <w:pPr>
        <w:adjustRightInd w:val="0"/>
        <w:snapToGrid w:val="0"/>
        <w:spacing w:line="360" w:lineRule="auto"/>
        <w:ind w:firstLine="424" w:firstLineChars="201"/>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u w:val="none"/>
          <w:lang w:val="en-US" w:eastAsia="zh-CN"/>
        </w:rPr>
        <w:t>8.安全要求：</w:t>
      </w:r>
    </w:p>
    <w:p w14:paraId="615B571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①乙方</w:t>
      </w:r>
      <w:r>
        <w:rPr>
          <w:rFonts w:hint="eastAsia" w:ascii="宋体" w:hAnsi="宋体" w:eastAsia="宋体" w:cs="宋体"/>
          <w:color w:val="auto"/>
          <w:sz w:val="21"/>
          <w:szCs w:val="21"/>
          <w:highlight w:val="none"/>
          <w:u w:val="none"/>
        </w:rPr>
        <w:t>应做好服务的安全防护措施，服务过程中出现的安全事故由</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rPr>
        <w:t>自行承担。</w:t>
      </w:r>
    </w:p>
    <w:p w14:paraId="69FF4D0B">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②乙方</w:t>
      </w:r>
      <w:r>
        <w:rPr>
          <w:rFonts w:hint="eastAsia" w:ascii="宋体" w:hAnsi="宋体" w:eastAsia="宋体" w:cs="宋体"/>
          <w:color w:val="auto"/>
          <w:sz w:val="21"/>
          <w:szCs w:val="21"/>
          <w:highlight w:val="none"/>
          <w:u w:val="none"/>
        </w:rPr>
        <w:t>必须做好安全防护工作，由于</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rPr>
        <w:t>自身的原因发生的任何伤害（包括人身伤害），均由</w:t>
      </w:r>
      <w:r>
        <w:rPr>
          <w:rFonts w:hint="eastAsia" w:ascii="宋体" w:hAnsi="宋体" w:eastAsia="宋体" w:cs="宋体"/>
          <w:color w:val="auto"/>
          <w:sz w:val="21"/>
          <w:szCs w:val="21"/>
          <w:highlight w:val="none"/>
          <w:u w:val="none"/>
          <w:lang w:val="en-US" w:eastAsia="zh-CN"/>
        </w:rPr>
        <w:t>乙方</w:t>
      </w:r>
      <w:r>
        <w:rPr>
          <w:rFonts w:hint="eastAsia" w:ascii="宋体" w:hAnsi="宋体" w:eastAsia="宋体" w:cs="宋体"/>
          <w:color w:val="auto"/>
          <w:sz w:val="21"/>
          <w:szCs w:val="21"/>
          <w:highlight w:val="none"/>
          <w:u w:val="none"/>
        </w:rPr>
        <w:t>自行承担。</w:t>
      </w:r>
    </w:p>
    <w:p w14:paraId="24CF53F2">
      <w:pPr>
        <w:adjustRightInd w:val="0"/>
        <w:snapToGrid w:val="0"/>
        <w:spacing w:line="360" w:lineRule="auto"/>
        <w:ind w:firstLine="424" w:firstLineChars="201"/>
        <w:rPr>
          <w:rFonts w:hint="eastAsia" w:ascii="宋体" w:hAnsi="宋体" w:eastAsia="宋体" w:cs="宋体"/>
          <w:b/>
          <w:color w:val="auto"/>
          <w:sz w:val="21"/>
          <w:szCs w:val="21"/>
          <w:highlight w:val="none"/>
          <w:u w:val="none"/>
          <w:lang w:val="en-US" w:eastAsia="zh-CN"/>
        </w:rPr>
      </w:pPr>
      <w:r>
        <w:rPr>
          <w:rFonts w:hint="eastAsia" w:ascii="宋体" w:hAnsi="宋体" w:eastAsia="宋体" w:cs="宋体"/>
          <w:b/>
          <w:color w:val="auto"/>
          <w:sz w:val="21"/>
          <w:szCs w:val="21"/>
          <w:highlight w:val="none"/>
          <w:u w:val="none"/>
          <w:lang w:val="en-US" w:eastAsia="zh-CN"/>
        </w:rPr>
        <w:t>9.其他要求：</w:t>
      </w:r>
    </w:p>
    <w:p w14:paraId="3F75CB23">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若</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丙方</w:t>
      </w:r>
      <w:r>
        <w:rPr>
          <w:rFonts w:hint="eastAsia" w:ascii="宋体" w:hAnsi="宋体" w:eastAsia="宋体" w:cs="宋体"/>
          <w:color w:val="auto"/>
          <w:sz w:val="21"/>
          <w:szCs w:val="21"/>
          <w:highlight w:val="none"/>
          <w:u w:val="none"/>
        </w:rPr>
        <w:t>、上级行政主管部门要求（含政策变动）检测内容和频次增加或减少，</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必须无条件遵守执行，实际检测量以</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审核为准。</w:t>
      </w:r>
    </w:p>
    <w:p w14:paraId="4DB710D4">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若特殊项目</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无相应资质的，必须经</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批准后送符合条件（具备相应资质）的分包单位进行检测，并出具相应的检测报告，否则将视为</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违约，出具的报告不予承认。</w:t>
      </w:r>
    </w:p>
    <w:p w14:paraId="55FE7842">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在合同服务期内</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不得因实际检测点过少或其他理由，而要求</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提供任何形式的补偿或赔偿，或要求</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所有的项目必须开展检测服务。</w:t>
      </w:r>
    </w:p>
    <w:p w14:paraId="5B7D38C9">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自行解决现场检测（试验）所需辅助劳务及相关费用。</w:t>
      </w:r>
    </w:p>
    <w:p w14:paraId="6CC3015F">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服务过程中涉及的设备、工具，由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自行解决。</w:t>
      </w:r>
    </w:p>
    <w:p w14:paraId="7E4F635E">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服务过程中涉及的用水、用电由</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自行接入，</w:t>
      </w:r>
      <w:r>
        <w:rPr>
          <w:rFonts w:hint="eastAsia" w:ascii="宋体" w:hAnsi="宋体" w:eastAsia="宋体" w:cs="宋体"/>
          <w:color w:val="auto"/>
          <w:sz w:val="21"/>
          <w:szCs w:val="21"/>
          <w:highlight w:val="none"/>
          <w:u w:val="none"/>
          <w:lang w:eastAsia="zh-CN"/>
        </w:rPr>
        <w:t>乙方</w:t>
      </w:r>
      <w:r>
        <w:rPr>
          <w:rFonts w:hint="eastAsia" w:ascii="宋体" w:hAnsi="宋体" w:eastAsia="宋体" w:cs="宋体"/>
          <w:color w:val="auto"/>
          <w:sz w:val="21"/>
          <w:szCs w:val="21"/>
          <w:highlight w:val="none"/>
          <w:u w:val="none"/>
        </w:rPr>
        <w:t>需做好用水、用电安全防护措施并无条件接受</w:t>
      </w:r>
      <w:r>
        <w:rPr>
          <w:rFonts w:hint="eastAsia" w:ascii="宋体" w:hAnsi="宋体" w:eastAsia="宋体" w:cs="宋体"/>
          <w:color w:val="auto"/>
          <w:sz w:val="21"/>
          <w:szCs w:val="21"/>
          <w:highlight w:val="none"/>
          <w:u w:val="none"/>
          <w:lang w:eastAsia="zh-CN"/>
        </w:rPr>
        <w:t>甲方</w:t>
      </w:r>
      <w:r>
        <w:rPr>
          <w:rFonts w:hint="eastAsia" w:ascii="宋体" w:hAnsi="宋体" w:eastAsia="宋体" w:cs="宋体"/>
          <w:color w:val="auto"/>
          <w:sz w:val="21"/>
          <w:szCs w:val="21"/>
          <w:highlight w:val="none"/>
          <w:u w:val="none"/>
        </w:rPr>
        <w:t>监督。</w:t>
      </w:r>
    </w:p>
    <w:p w14:paraId="01FB1AB0">
      <w:pPr>
        <w:snapToGrid w:val="0"/>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乙方须无条件配合在施工单位自检合格后立即开展水压试验检测活动，充分利用施工单位已实施的自检措施，提升水压试验检测工作效率。</w:t>
      </w:r>
    </w:p>
    <w:p w14:paraId="71608367">
      <w:pPr>
        <w:adjustRightInd w:val="0"/>
        <w:snapToGrid w:val="0"/>
        <w:spacing w:line="360" w:lineRule="auto"/>
        <w:ind w:firstLine="424" w:firstLineChars="20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rPr>
        <w:t xml:space="preserve">.合同价款： </w:t>
      </w:r>
    </w:p>
    <w:p w14:paraId="0621CCA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暂定总合同价款（即销售额，不含乙方销项税额）（大写）：人民币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）。检测服务系数为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w:t>
      </w:r>
    </w:p>
    <w:p w14:paraId="2C19583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依法计得并根据本合同约定确定的销项税额由丙方</w:t>
      </w:r>
      <w:r>
        <w:rPr>
          <w:rFonts w:hint="eastAsia" w:ascii="宋体" w:hAnsi="宋体" w:eastAsia="宋体" w:cs="宋体"/>
          <w:color w:val="auto"/>
          <w:sz w:val="21"/>
          <w:szCs w:val="21"/>
          <w:highlight w:val="none"/>
          <w:lang w:val="en-US" w:eastAsia="zh-CN"/>
        </w:rPr>
        <w:t>或甲方</w:t>
      </w:r>
      <w:r>
        <w:rPr>
          <w:rFonts w:hint="eastAsia" w:ascii="宋体" w:hAnsi="宋体" w:eastAsia="宋体" w:cs="宋体"/>
          <w:color w:val="auto"/>
          <w:sz w:val="21"/>
          <w:szCs w:val="21"/>
          <w:highlight w:val="none"/>
        </w:rPr>
        <w:t>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14:paraId="466DB37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0354E77">
      <w:pPr>
        <w:adjustRightInd w:val="0"/>
        <w:snapToGrid w:val="0"/>
        <w:spacing w:line="360" w:lineRule="auto"/>
        <w:ind w:firstLine="420" w:firstLineChars="200"/>
        <w:rPr>
          <w:rFonts w:hint="eastAsia" w:ascii="宋体" w:hAnsi="宋体" w:eastAsia="宋体" w:cs="宋体"/>
          <w:color w:val="auto"/>
          <w:szCs w:val="21"/>
          <w:highlight w:val="none"/>
          <w:lang w:val="zh-CN" w:eastAsia="zh-CN"/>
        </w:rPr>
      </w:pPr>
      <w:r>
        <w:rPr>
          <w:rFonts w:hint="eastAsia" w:ascii="宋体" w:hAnsi="宋体" w:eastAsia="宋体" w:cs="宋体"/>
          <w:bCs/>
          <w:color w:val="auto"/>
          <w:sz w:val="21"/>
          <w:szCs w:val="21"/>
          <w:highlight w:val="none"/>
        </w:rPr>
        <w:t>合同附件一《工程量清单计价表》的不含税综合单价（即结算不含税综合单价）等于招标文件附件《工程量清单计价表》列出的不含税综合单价乘以中标报价（检测服务系数），结算时不作调整</w:t>
      </w:r>
      <w:r>
        <w:rPr>
          <w:rFonts w:hint="eastAsia" w:ascii="宋体" w:hAnsi="宋体" w:eastAsia="宋体" w:cs="宋体"/>
          <w:color w:val="auto"/>
          <w:sz w:val="21"/>
          <w:szCs w:val="21"/>
          <w:highlight w:val="none"/>
        </w:rPr>
        <w:t>，再结合本项目最终经甲方（含其委托的第三方审核机构）、监理人审核确认的检测（试验）方案及甲方（含其委托的第三方审核机构）、监理人确认的实际检测（试验）工作量按实结算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val="en-US" w:eastAsia="zh-CN"/>
        </w:rPr>
        <w:t>但最终结算价不得超出暂定总合同价款(含税)。</w:t>
      </w:r>
    </w:p>
    <w:p w14:paraId="58585A93">
      <w:pPr>
        <w:widowControl w:val="0"/>
        <w:wordWrap/>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val="zh-CN"/>
        </w:rPr>
        <w:t>不含税综合单价包含为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乙方销项税额以外的税金等，报价过程产生的费用、办理履约担保费用、水电及进退场、差旅、驻地、办公设施、用品、食宿费、交通、通讯、施工配合费、保险费、风险费、检测方案的审查及专家论证费等完成本项目服务相关的直接及间接费用。除另有约定外，本工程检测（试验）的不含税综合单价在合同实施期间不因任何因素而调整（包括但不限于工程的工期延长、检测工作量变化等），</w:t>
      </w:r>
      <w:r>
        <w:rPr>
          <w:rFonts w:hint="eastAsia" w:ascii="宋体" w:hAnsi="宋体" w:eastAsia="宋体" w:cs="宋体"/>
          <w:color w:val="auto"/>
          <w:szCs w:val="21"/>
          <w:highlight w:val="none"/>
          <w:lang w:val="en-US" w:eastAsia="zh-CN"/>
        </w:rPr>
        <w:t>甲方</w:t>
      </w:r>
      <w:r>
        <w:rPr>
          <w:rFonts w:hint="eastAsia" w:ascii="宋体" w:hAnsi="宋体" w:eastAsia="宋体" w:cs="宋体"/>
          <w:color w:val="auto"/>
          <w:szCs w:val="21"/>
          <w:highlight w:val="none"/>
          <w:lang w:val="zh-CN"/>
        </w:rPr>
        <w:t>及项目业主也不承担任何额外费用。检测时，如需土建施工单位配合或向其租借设备时，</w:t>
      </w:r>
      <w:r>
        <w:rPr>
          <w:rFonts w:hint="eastAsia" w:ascii="宋体" w:hAnsi="宋体" w:eastAsia="宋体" w:cs="宋体"/>
          <w:color w:val="auto"/>
          <w:szCs w:val="21"/>
          <w:highlight w:val="none"/>
          <w:lang w:val="en-US" w:eastAsia="zh-CN"/>
        </w:rPr>
        <w:t>乙方</w:t>
      </w:r>
      <w:r>
        <w:rPr>
          <w:rFonts w:hint="eastAsia" w:ascii="宋体" w:hAnsi="宋体" w:eastAsia="宋体" w:cs="宋体"/>
          <w:color w:val="auto"/>
          <w:szCs w:val="21"/>
          <w:highlight w:val="none"/>
          <w:lang w:val="zh-CN"/>
        </w:rPr>
        <w:t>自行与施工单位协调，配合及租借费用已包括在不含税综合单价内。</w:t>
      </w:r>
    </w:p>
    <w:p w14:paraId="4FAAF978">
      <w:pPr>
        <w:adjustRightInd w:val="0"/>
        <w:snapToGrid w:val="0"/>
        <w:spacing w:line="360" w:lineRule="auto"/>
        <w:ind w:left="420" w:left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rPr>
        <w:t>.第三方检测合同计费依据</w:t>
      </w:r>
    </w:p>
    <w:p w14:paraId="216401EB">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（1）本项目的计费标准按照合同附件一《工程量清单计价表》（详见附件）中的不含税</w:t>
      </w:r>
      <w:r>
        <w:rPr>
          <w:rFonts w:hint="eastAsia" w:ascii="宋体" w:hAnsi="宋体" w:eastAsia="宋体" w:cs="宋体"/>
          <w:color w:val="auto"/>
          <w:sz w:val="21"/>
          <w:szCs w:val="21"/>
          <w:highlight w:val="none"/>
        </w:rPr>
        <w:t>综合单价×实际检测工作量进行结算。</w:t>
      </w:r>
    </w:p>
    <w:p w14:paraId="77095DC3">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（2）《工程量清单计价表》不作为乙方最终服务范围及业务承接数量的保证，甲方有权根据实际需求对检测工程量进行优化调整，最终服务费用按实际发生工程量结算</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Cs w:val="21"/>
          <w:highlight w:val="none"/>
          <w:lang w:val="en-US" w:eastAsia="zh-CN"/>
        </w:rPr>
        <w:t>但最终结算价不得超出暂定总合同价款(含税)。</w:t>
      </w:r>
      <w:r>
        <w:rPr>
          <w:rFonts w:hint="eastAsia" w:ascii="宋体" w:hAnsi="宋体" w:eastAsia="宋体" w:cs="宋体"/>
          <w:bCs/>
          <w:color w:val="auto"/>
          <w:sz w:val="21"/>
          <w:szCs w:val="21"/>
          <w:highlight w:val="none"/>
        </w:rPr>
        <w:t>在合同服务期内，乙方不得因实际检测项目数量及服务费用的增减而要求甲方提供任何形式的补偿或赔偿，或只按甲方暂定的《工程量清单计价表》提供相应的对应服务。否则，视为乙方违约，甲方有权依据合同约定追究乙方的违约责任。</w:t>
      </w:r>
    </w:p>
    <w:p w14:paraId="638F669C">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（3）对于《工程量清单计价表》外新增的检测项目，不含税综合单价按以下方法计算：</w:t>
      </w:r>
    </w:p>
    <w:p w14:paraId="79B9DFEC">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①《东莞市建设工程检测行业参考收费标准（2023版）》（东检协字（2023）3号）对应项参考单价÷1.06×</w:t>
      </w:r>
      <w:r>
        <w:rPr>
          <w:rFonts w:hint="eastAsia" w:ascii="宋体" w:hAnsi="宋体" w:eastAsia="宋体" w:cs="宋体"/>
          <w:bCs/>
          <w:color w:val="auto"/>
          <w:sz w:val="21"/>
          <w:szCs w:val="21"/>
          <w:highlight w:val="none"/>
          <w:lang w:val="en-US" w:eastAsia="zh-CN"/>
        </w:rPr>
        <w:t>中标</w:t>
      </w:r>
      <w:r>
        <w:rPr>
          <w:rFonts w:hint="eastAsia" w:ascii="宋体" w:hAnsi="宋体" w:eastAsia="宋体" w:cs="宋体"/>
          <w:bCs/>
          <w:color w:val="auto"/>
          <w:sz w:val="21"/>
          <w:szCs w:val="21"/>
          <w:highlight w:val="none"/>
        </w:rPr>
        <w:t>检测服务系数；</w:t>
      </w:r>
    </w:p>
    <w:p w14:paraId="1CBFE087">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Cs/>
          <w:color w:val="auto"/>
          <w:sz w:val="21"/>
          <w:szCs w:val="21"/>
          <w:highlight w:val="none"/>
          <w:lang w:val="en-US" w:eastAsia="zh-CN"/>
        </w:rPr>
        <w:t>中标</w:t>
      </w:r>
      <w:r>
        <w:rPr>
          <w:rFonts w:hint="eastAsia" w:ascii="宋体" w:hAnsi="宋体" w:eastAsia="宋体" w:cs="宋体"/>
          <w:bCs/>
          <w:color w:val="auto"/>
          <w:sz w:val="21"/>
          <w:szCs w:val="21"/>
          <w:highlight w:val="none"/>
        </w:rPr>
        <w:t>检测服务系数；</w:t>
      </w:r>
    </w:p>
    <w:p w14:paraId="0966915E">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东莞市建设工程检测行业参考收费标准（2023版）》（东检协字（2023）3号）与《广东省房屋建筑和市政工程工程质量安全检测收费指导价》（粤建检协〔2015〕8号）均无对应项的，由甲方结合本地及周边同类城市市场询价</w:t>
      </w:r>
      <w:r>
        <w:rPr>
          <w:rFonts w:hint="eastAsia" w:ascii="宋体" w:hAnsi="宋体" w:eastAsia="宋体" w:cs="宋体"/>
          <w:color w:val="auto"/>
          <w:sz w:val="21"/>
          <w:szCs w:val="21"/>
          <w:highlight w:val="none"/>
        </w:rPr>
        <w:t>的不含税综合单价</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中标</w:t>
      </w:r>
      <w:r>
        <w:rPr>
          <w:rFonts w:hint="eastAsia" w:ascii="宋体" w:hAnsi="宋体" w:eastAsia="宋体" w:cs="宋体"/>
          <w:bCs/>
          <w:color w:val="auto"/>
          <w:sz w:val="21"/>
          <w:szCs w:val="21"/>
          <w:highlight w:val="none"/>
          <w:lang w:eastAsia="zh-CN"/>
        </w:rPr>
        <w:t>检测服务系数</w:t>
      </w:r>
      <w:r>
        <w:rPr>
          <w:rFonts w:hint="eastAsia" w:ascii="宋体" w:hAnsi="宋体" w:eastAsia="宋体" w:cs="宋体"/>
          <w:bCs/>
          <w:color w:val="auto"/>
          <w:sz w:val="21"/>
          <w:szCs w:val="21"/>
          <w:highlight w:val="none"/>
        </w:rPr>
        <w:t>。</w:t>
      </w:r>
    </w:p>
    <w:p w14:paraId="7F783E2F">
      <w:pPr>
        <w:adjustRightInd w:val="0"/>
        <w:snapToGrid w:val="0"/>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以上不含税综合单价均保留两位小数。</w:t>
      </w:r>
    </w:p>
    <w:p w14:paraId="47650F8E">
      <w:pPr>
        <w:adjustRightInd w:val="0"/>
        <w:snapToGrid w:val="0"/>
        <w:spacing w:line="360" w:lineRule="auto"/>
        <w:ind w:left="420" w:left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.结算调整规则、范围及方式</w:t>
      </w:r>
    </w:p>
    <w:p w14:paraId="41650C4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调整的范围：因设计变更、改线或者重大工艺变更等工程变更引起的检测（试验）项目的变更，包含检测项目增减和已有检测项目中工作量的增减，乙方在实施前，须提出变更申请，经本工程的设计人、监理人及甲方（含其委托的第三方审核机构）批准后方可实施。</w:t>
      </w:r>
    </w:p>
    <w:p w14:paraId="183E0505">
      <w:pPr>
        <w:adjustRightInd w:val="0"/>
        <w:snapToGrid w:val="0"/>
        <w:spacing w:line="360" w:lineRule="auto"/>
        <w:ind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（2）工程变更项目检测的计价：</w:t>
      </w:r>
      <w:r>
        <w:rPr>
          <w:rFonts w:hint="eastAsia" w:ascii="宋体" w:hAnsi="宋体" w:eastAsia="宋体" w:cs="宋体"/>
          <w:b/>
          <w:bCs/>
          <w:color w:val="auto"/>
          <w:sz w:val="21"/>
          <w:szCs w:val="21"/>
          <w:highlight w:val="none"/>
        </w:rPr>
        <w:t>合同价中已有适用于变更检测项目的不含税综合单价，按合同已有的不含税综合单价变更合同价款；合同中已有类似变更检测项目的不含税综合单价，可参照类似检测项目不含税综合单价变更合同价款；合同中没有适用于变更检测项目的不含税综合单价，经批准变更后，按照《东莞市建设工程检测行业参考收费标准（2023版）》（东检协字（2023）3号）对应项参考单价÷1.06×</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东莞市建设工程检测行业参考收费标准(2023版)》（东检协字（2023）3号）与《广东省房屋建筑和市政工程工程质量安全检测收费指导价》（粤建检协〔2015〕8号）均无对应项的，由甲方结合本地及周边同类城市市场询价的不含税综合单价×</w:t>
      </w:r>
      <w:r>
        <w:rPr>
          <w:rFonts w:hint="eastAsia" w:ascii="宋体" w:hAnsi="宋体" w:eastAsia="宋体" w:cs="宋体"/>
          <w:b/>
          <w:bCs/>
          <w:color w:val="auto"/>
          <w:sz w:val="21"/>
          <w:szCs w:val="21"/>
          <w:highlight w:val="none"/>
          <w:lang w:val="en-US" w:eastAsia="zh-CN"/>
        </w:rPr>
        <w:t>中标</w:t>
      </w:r>
      <w:r>
        <w:rPr>
          <w:rFonts w:hint="eastAsia" w:ascii="宋体" w:hAnsi="宋体" w:eastAsia="宋体" w:cs="宋体"/>
          <w:b/>
          <w:color w:val="auto"/>
          <w:sz w:val="21"/>
          <w:szCs w:val="21"/>
          <w:highlight w:val="none"/>
          <w:lang w:eastAsia="zh-CN"/>
        </w:rPr>
        <w:t>检测服务系数</w:t>
      </w:r>
      <w:r>
        <w:rPr>
          <w:rFonts w:hint="eastAsia" w:ascii="宋体" w:hAnsi="宋体" w:eastAsia="宋体" w:cs="宋体"/>
          <w:b/>
          <w:bCs/>
          <w:color w:val="auto"/>
          <w:sz w:val="21"/>
          <w:szCs w:val="21"/>
          <w:highlight w:val="none"/>
        </w:rPr>
        <w:t>计算。所有变更的检测项目均须书面向甲方申报，经甲方（含其委托的第三方审核机构）审核批准同意后方可实施。</w:t>
      </w:r>
    </w:p>
    <w:p w14:paraId="5A8A65B7">
      <w:pPr>
        <w:adjustRightInd w:val="0"/>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（3）在完成所有合同内容并具备结算条件3个月后，仍未报结算资料，甲方将书面发函督促办理结算，函中明确接到函件10个工作日后，仍未提交结算资料，或不配合甲方完成结算工作，丙方</w:t>
      </w:r>
      <w:r>
        <w:rPr>
          <w:rFonts w:hint="eastAsia" w:ascii="宋体" w:hAnsi="宋体" w:eastAsia="宋体" w:cs="宋体"/>
          <w:b/>
          <w:bCs/>
          <w:color w:val="auto"/>
          <w:sz w:val="21"/>
          <w:szCs w:val="21"/>
          <w:highlight w:val="none"/>
          <w:lang w:eastAsia="zh-CN"/>
        </w:rPr>
        <w:t>或甲方</w:t>
      </w:r>
      <w:r>
        <w:rPr>
          <w:rFonts w:hint="eastAsia" w:ascii="宋体" w:hAnsi="宋体" w:eastAsia="宋体" w:cs="宋体"/>
          <w:b/>
          <w:bCs/>
          <w:color w:val="auto"/>
          <w:sz w:val="21"/>
          <w:szCs w:val="21"/>
          <w:highlight w:val="none"/>
        </w:rPr>
        <w:t>将根据已支付的进度款进行单方结算，由此所产生的法律责任均由乙方承担。</w:t>
      </w:r>
    </w:p>
    <w:p w14:paraId="2FB75DE1">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75" w:name="_Toc28743"/>
      <w:bookmarkStart w:id="476" w:name="_Toc29878"/>
    </w:p>
    <w:p w14:paraId="719F7464">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二、检测内容</w:t>
      </w:r>
      <w:bookmarkEnd w:id="475"/>
      <w:bookmarkEnd w:id="476"/>
    </w:p>
    <w:p w14:paraId="186A43A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检测内容包括但不限于：</w:t>
      </w:r>
    </w:p>
    <w:p w14:paraId="52D1E85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bookmarkStart w:id="477" w:name="_Toc5003"/>
      <w:bookmarkStart w:id="478" w:name="_Toc21598"/>
      <w:r>
        <w:rPr>
          <w:rFonts w:hint="eastAsia" w:ascii="宋体" w:hAnsi="宋体" w:eastAsia="宋体" w:cs="宋体"/>
          <w:b w:val="0"/>
          <w:bCs/>
          <w:color w:val="auto"/>
          <w:sz w:val="21"/>
          <w:szCs w:val="21"/>
          <w:highlight w:val="none"/>
        </w:rPr>
        <w:t>1、地基基础工程质量检测，开展：低应变</w:t>
      </w:r>
      <w:r>
        <w:rPr>
          <w:rFonts w:hint="eastAsia" w:ascii="宋体" w:hAnsi="宋体" w:eastAsia="宋体" w:cs="宋体"/>
          <w:b w:val="0"/>
          <w:bCs/>
          <w:color w:val="auto"/>
          <w:sz w:val="21"/>
          <w:szCs w:val="21"/>
          <w:highlight w:val="none"/>
          <w:lang w:val="en-US" w:eastAsia="zh-CN"/>
        </w:rPr>
        <w:t>法</w:t>
      </w:r>
      <w:r>
        <w:rPr>
          <w:rFonts w:hint="eastAsia" w:ascii="宋体" w:hAnsi="宋体" w:eastAsia="宋体" w:cs="宋体"/>
          <w:b w:val="0"/>
          <w:bCs/>
          <w:color w:val="auto"/>
          <w:sz w:val="21"/>
          <w:szCs w:val="21"/>
          <w:highlight w:val="none"/>
        </w:rPr>
        <w:t>桩身完整性检测检测</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地基承载力检测</w:t>
      </w:r>
      <w:r>
        <w:rPr>
          <w:rFonts w:hint="eastAsia" w:ascii="宋体" w:hAnsi="宋体" w:eastAsia="宋体" w:cs="宋体"/>
          <w:b w:val="0"/>
          <w:bCs/>
          <w:color w:val="auto"/>
          <w:sz w:val="21"/>
          <w:szCs w:val="21"/>
          <w:highlight w:val="none"/>
        </w:rPr>
        <w:t>。</w:t>
      </w:r>
    </w:p>
    <w:p w14:paraId="7D86793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2、钢结构</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lang w:val="en-US" w:eastAsia="zh-CN"/>
        </w:rPr>
        <w:t>管道</w:t>
      </w:r>
      <w:r>
        <w:rPr>
          <w:rFonts w:hint="eastAsia" w:ascii="宋体" w:hAnsi="宋体" w:eastAsia="宋体" w:cs="宋体"/>
          <w:b w:val="0"/>
          <w:bCs/>
          <w:color w:val="auto"/>
          <w:sz w:val="21"/>
          <w:szCs w:val="21"/>
          <w:highlight w:val="none"/>
        </w:rPr>
        <w:t>焊缝检测及涂层厚度检测，开展：防腐涂层厚度检测</w:t>
      </w:r>
      <w:r>
        <w:rPr>
          <w:rFonts w:hint="eastAsia" w:ascii="宋体" w:hAnsi="宋体" w:eastAsia="宋体" w:cs="宋体"/>
          <w:b w:val="0"/>
          <w:bCs/>
          <w:color w:val="auto"/>
          <w:sz w:val="21"/>
          <w:szCs w:val="21"/>
          <w:highlight w:val="none"/>
          <w:lang w:eastAsia="zh-CN"/>
        </w:rPr>
        <w:t>、焊缝超声波探伤、焊缝X射线探伤、</w:t>
      </w:r>
      <w:r>
        <w:rPr>
          <w:rFonts w:hint="eastAsia" w:ascii="宋体" w:hAnsi="宋体" w:eastAsia="宋体" w:cs="宋体"/>
          <w:b w:val="0"/>
          <w:bCs/>
          <w:color w:val="auto"/>
          <w:sz w:val="21"/>
          <w:szCs w:val="21"/>
          <w:highlight w:val="none"/>
          <w:lang w:val="en-US" w:eastAsia="zh-CN"/>
        </w:rPr>
        <w:t>水压试验</w:t>
      </w:r>
      <w:r>
        <w:rPr>
          <w:rFonts w:hint="eastAsia" w:ascii="宋体" w:hAnsi="宋体" w:eastAsia="宋体" w:cs="宋体"/>
          <w:b w:val="0"/>
          <w:bCs/>
          <w:color w:val="auto"/>
          <w:sz w:val="21"/>
          <w:szCs w:val="21"/>
          <w:highlight w:val="none"/>
        </w:rPr>
        <w:t>等检测。</w:t>
      </w:r>
    </w:p>
    <w:p w14:paraId="65869E4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3、原材料、道路等实体检测，开展：混凝土原材料、球墨铸铁防盗型井盖、电线、电缆、闸阀、铸铁管、钢管等材料、道路土方路基压实度等检测。</w:t>
      </w:r>
    </w:p>
    <w:p w14:paraId="7B91068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4、其它根据工程实际需要委托的检测项目。</w:t>
      </w:r>
    </w:p>
    <w:p w14:paraId="2D804158">
      <w:pPr>
        <w:ind w:firstLine="420" w:firstLineChars="200"/>
        <w:rPr>
          <w:rFonts w:hint="eastAsia"/>
          <w:color w:val="auto"/>
          <w:highlight w:val="none"/>
        </w:rPr>
      </w:pPr>
      <w:r>
        <w:rPr>
          <w:rFonts w:hint="eastAsia" w:ascii="宋体" w:hAnsi="宋体" w:eastAsia="宋体" w:cs="宋体"/>
          <w:b w:val="0"/>
          <w:bCs/>
          <w:color w:val="auto"/>
          <w:sz w:val="21"/>
          <w:szCs w:val="21"/>
          <w:highlight w:val="none"/>
        </w:rPr>
        <w:t>5、根据相关法律、法规及主管部门的规定，必须另行独立采购的项目不包含在本次采购范围之内。</w:t>
      </w:r>
    </w:p>
    <w:p w14:paraId="21DB61B0">
      <w:pPr>
        <w:keepNext/>
        <w:keepLines/>
        <w:adjustRightInd w:val="0"/>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三、检测数量</w:t>
      </w:r>
      <w:bookmarkEnd w:id="477"/>
      <w:bookmarkEnd w:id="478"/>
    </w:p>
    <w:p w14:paraId="66375257">
      <w:pPr>
        <w:adjustRightInd w:val="0"/>
        <w:snapToGrid w:val="0"/>
        <w:spacing w:line="360" w:lineRule="auto"/>
        <w:ind w:left="18" w:hanging="1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具体参照《工程量清单计价表》，并以甲方最终审核为准。《工程量清单计价表》不作为乙方最终服务范围及业务承接数量的保证，甲方有权根据实际需求对检测工程量进行优化调整，最终按实际发生工程量统计。</w:t>
      </w:r>
    </w:p>
    <w:p w14:paraId="3788701B">
      <w:pPr>
        <w:rPr>
          <w:rFonts w:hint="eastAsia"/>
          <w:color w:val="auto"/>
          <w:highlight w:val="none"/>
        </w:rPr>
      </w:pPr>
    </w:p>
    <w:p w14:paraId="45E9A40D">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79" w:name="_Toc29325"/>
      <w:bookmarkStart w:id="480" w:name="_Toc28787"/>
      <w:r>
        <w:rPr>
          <w:rFonts w:hint="eastAsia" w:ascii="宋体" w:hAnsi="宋体" w:eastAsia="宋体" w:cs="宋体"/>
          <w:b/>
          <w:color w:val="auto"/>
          <w:sz w:val="21"/>
          <w:szCs w:val="21"/>
          <w:highlight w:val="none"/>
        </w:rPr>
        <w:t>四、检测依据（如有新规范，以新的为准）</w:t>
      </w:r>
      <w:bookmarkEnd w:id="479"/>
      <w:bookmarkEnd w:id="480"/>
    </w:p>
    <w:p w14:paraId="22211CD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1、《建筑地基基础检测规范》（DBJ/T 15-60-2019）（广东省）；</w:t>
      </w:r>
    </w:p>
    <w:p w14:paraId="5ECFDD65">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2、《建筑地基处理技术规范》（DBJ/T 15-38-2019）（广东省）；</w:t>
      </w:r>
    </w:p>
    <w:p w14:paraId="546F65B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3、《建筑地基检测技术规范》（JGJ 340-2015）；</w:t>
      </w:r>
    </w:p>
    <w:p w14:paraId="3D7EF66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4、《建筑基坑工程技术规程》（DBJ/T 15-20-2016）（广东省）；</w:t>
      </w:r>
    </w:p>
    <w:p w14:paraId="2403190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5、《建筑地基基础设计规范》（DBJ 15-31-2016）</w:t>
      </w:r>
    </w:p>
    <w:p w14:paraId="2D66775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6、《钢结构工程施工质量验收标准》（GB 50205-2020）；</w:t>
      </w:r>
    </w:p>
    <w:p w14:paraId="2E89940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7、《混凝土结构工程施工质量验收规范》（GB 50204-2015）；</w:t>
      </w:r>
    </w:p>
    <w:p w14:paraId="66A9AB0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8、《城镇道路路面设计规范》（GJJ 169-2012）；</w:t>
      </w:r>
    </w:p>
    <w:p w14:paraId="3921645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9、《城镇道路工程施工与质量验收规范》（GJJ 1-2008）；</w:t>
      </w:r>
    </w:p>
    <w:p w14:paraId="1A088BE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10、《通用硅酸盐水泥》（GB 175-2007）；</w:t>
      </w:r>
    </w:p>
    <w:p w14:paraId="013EB42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11、《建筑砂浆基本性能试验方法标准》（JGJ/T 70-2009）；</w:t>
      </w:r>
    </w:p>
    <w:p w14:paraId="1C9B37A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12、《普通混凝土配合比设计规程》（JGJ 55-2011）；</w:t>
      </w:r>
    </w:p>
    <w:p w14:paraId="27ED398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13、《混凝土物理力学性能试验方法标准》（GB/T 50081-2019）；</w:t>
      </w:r>
    </w:p>
    <w:p w14:paraId="2F9377F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14、《普通混凝土长期性能和耐久性能试验方法标准》（GB/T 50082-2009）；</w:t>
      </w:r>
    </w:p>
    <w:p w14:paraId="2B3782F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15、《砌筑砂浆配合比设计规程》（JGJ/T 98-2010）；</w:t>
      </w:r>
    </w:p>
    <w:p w14:paraId="292A1C1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16、《用于水泥和混凝土中的粉煤灰》（GB/T1596-2017）；</w:t>
      </w:r>
    </w:p>
    <w:p w14:paraId="018A1C0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17、《普通混凝土用砂、石质量及检验方法标准》（JGJ52-2006）；</w:t>
      </w:r>
    </w:p>
    <w:p w14:paraId="6A620B01">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18、《建设用砂》（GB/T 14684-2022）；</w:t>
      </w:r>
    </w:p>
    <w:p w14:paraId="2F44B5C9">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19、《建设用卵石、碎石》（GB/T 14685-2022）；</w:t>
      </w:r>
    </w:p>
    <w:p w14:paraId="20EBC9F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20、《混凝土外加剂》（GB 8076-2008）；</w:t>
      </w:r>
    </w:p>
    <w:p w14:paraId="0790D40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21、《喷射混凝土用速凝剂》（JC/T 477-2005）；</w:t>
      </w:r>
    </w:p>
    <w:p w14:paraId="3C010C4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22、《喷射混凝土用速凝剂》（GB/T 35159-2017）；</w:t>
      </w:r>
    </w:p>
    <w:p w14:paraId="7EF703F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23、《混凝土膨胀剂》（GB 23439-2009）；</w:t>
      </w:r>
    </w:p>
    <w:p w14:paraId="6590DF4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24、《钢筋混凝土用钢 第1部分：热轧光圆钢筋》（GB/T 1499.1-2017）；</w:t>
      </w:r>
    </w:p>
    <w:p w14:paraId="7FCB8A0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25、《钢筋混凝土用钢 第2部分：热轧带肋钢筋》（GB/T 1499.2-2018）；</w:t>
      </w:r>
    </w:p>
    <w:p w14:paraId="0FA651DD">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26、《钢筋焊接接头试验方法标准》（JGJ/T27-2014）；</w:t>
      </w:r>
    </w:p>
    <w:p w14:paraId="1AA503D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27、《钢筋机械连接用套筒》（JG/T 163-2013）；</w:t>
      </w:r>
    </w:p>
    <w:p w14:paraId="71DBBCB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28、《金属材料 拉伸试验 第1部分:室温试验方法》（GB/T 228.1-2021）；</w:t>
      </w:r>
    </w:p>
    <w:p w14:paraId="7BABF5B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29、《塑料绝缘控制电缆》（GB/T9330-2020）；</w:t>
      </w:r>
    </w:p>
    <w:p w14:paraId="66226AB7">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30</w:t>
      </w:r>
      <w:r>
        <w:rPr>
          <w:rFonts w:hint="eastAsia" w:ascii="宋体" w:hAnsi="宋体" w:eastAsia="宋体" w:cs="宋体"/>
          <w:b w:val="0"/>
          <w:bCs/>
          <w:color w:val="auto"/>
          <w:sz w:val="21"/>
          <w:szCs w:val="21"/>
          <w:highlight w:val="none"/>
        </w:rPr>
        <w:t>、《电缆和光缆在火焰条件下的燃烧试验 第12部分：单根绝缘电线电缆火焰垂直蔓延试验 1 kW 预混合型火焰试验方法》（GB/T18380.12-2022）；</w:t>
      </w:r>
    </w:p>
    <w:p w14:paraId="59CCB1A0">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31</w:t>
      </w:r>
      <w:r>
        <w:rPr>
          <w:rFonts w:hint="eastAsia" w:ascii="宋体" w:hAnsi="宋体" w:eastAsia="宋体" w:cs="宋体"/>
          <w:b w:val="0"/>
          <w:bCs/>
          <w:color w:val="auto"/>
          <w:sz w:val="21"/>
          <w:szCs w:val="21"/>
          <w:highlight w:val="none"/>
        </w:rPr>
        <w:t>、《建筑地基工程施工质量验收标准》（GB 50202-2018）；</w:t>
      </w:r>
    </w:p>
    <w:p w14:paraId="6DA2898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32</w:t>
      </w:r>
      <w:r>
        <w:rPr>
          <w:rFonts w:hint="eastAsia" w:ascii="宋体" w:hAnsi="宋体" w:eastAsia="宋体" w:cs="宋体"/>
          <w:b w:val="0"/>
          <w:bCs/>
          <w:color w:val="auto"/>
          <w:sz w:val="21"/>
          <w:szCs w:val="21"/>
          <w:highlight w:val="none"/>
        </w:rPr>
        <w:t>、《混凝土结构工程施工质量验收规范》（GB 50204-2015）；</w:t>
      </w:r>
    </w:p>
    <w:p w14:paraId="10BF753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33</w:t>
      </w:r>
      <w:r>
        <w:rPr>
          <w:rFonts w:hint="eastAsia" w:ascii="宋体" w:hAnsi="宋体" w:eastAsia="宋体" w:cs="宋体"/>
          <w:b w:val="0"/>
          <w:bCs/>
          <w:color w:val="auto"/>
          <w:sz w:val="21"/>
          <w:szCs w:val="21"/>
          <w:highlight w:val="none"/>
        </w:rPr>
        <w:t>、《回弹法检测混凝土抗压强度技术规程》（JGJ/T 23-2011）；</w:t>
      </w:r>
    </w:p>
    <w:p w14:paraId="5E6A44B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34</w:t>
      </w:r>
      <w:r>
        <w:rPr>
          <w:rFonts w:hint="eastAsia" w:ascii="宋体" w:hAnsi="宋体" w:eastAsia="宋体" w:cs="宋体"/>
          <w:b w:val="0"/>
          <w:bCs/>
          <w:color w:val="auto"/>
          <w:sz w:val="21"/>
          <w:szCs w:val="21"/>
          <w:highlight w:val="none"/>
        </w:rPr>
        <w:t>、《混凝土中钢筋检测技术标准》（JGJ/T 152-2019）；</w:t>
      </w:r>
    </w:p>
    <w:p w14:paraId="2F5BE5EA">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35</w:t>
      </w:r>
      <w:r>
        <w:rPr>
          <w:rFonts w:hint="eastAsia" w:ascii="宋体" w:hAnsi="宋体" w:eastAsia="宋体" w:cs="宋体"/>
          <w:b w:val="0"/>
          <w:bCs/>
          <w:color w:val="auto"/>
          <w:sz w:val="21"/>
          <w:szCs w:val="21"/>
          <w:highlight w:val="none"/>
        </w:rPr>
        <w:t>、《焊缝无损检测 超声检测技术、检测等级和评定》（GB/T 11345-2013）；</w:t>
      </w:r>
    </w:p>
    <w:p w14:paraId="45E4BB0F">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36</w:t>
      </w:r>
      <w:r>
        <w:rPr>
          <w:rFonts w:hint="eastAsia" w:ascii="宋体" w:hAnsi="宋体" w:eastAsia="宋体" w:cs="宋体"/>
          <w:b w:val="0"/>
          <w:bCs/>
          <w:color w:val="auto"/>
          <w:sz w:val="21"/>
          <w:szCs w:val="21"/>
          <w:highlight w:val="none"/>
        </w:rPr>
        <w:t>、《焊缝无损检测 射线检测 第1部分：X和伽玛射线的胶片技术》（GB／T 3323.1-2019）；</w:t>
      </w:r>
    </w:p>
    <w:p w14:paraId="07AB8F4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37</w:t>
      </w:r>
      <w:r>
        <w:rPr>
          <w:rFonts w:hint="eastAsia" w:ascii="宋体" w:hAnsi="宋体" w:eastAsia="宋体" w:cs="宋体"/>
          <w:b w:val="0"/>
          <w:bCs/>
          <w:color w:val="auto"/>
          <w:sz w:val="21"/>
          <w:szCs w:val="21"/>
          <w:highlight w:val="none"/>
        </w:rPr>
        <w:t>、《东莞市建设工程质量检测服务手册》（第一版）；</w:t>
      </w:r>
    </w:p>
    <w:p w14:paraId="68797584">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38</w:t>
      </w:r>
      <w:r>
        <w:rPr>
          <w:rFonts w:hint="eastAsia" w:ascii="宋体" w:hAnsi="宋体" w:eastAsia="宋体" w:cs="宋体"/>
          <w:b w:val="0"/>
          <w:bCs/>
          <w:color w:val="auto"/>
          <w:sz w:val="21"/>
          <w:szCs w:val="21"/>
          <w:highlight w:val="none"/>
        </w:rPr>
        <w:t>、《东莞市建设工程检测行业参考收费标准（2023版）》；</w:t>
      </w:r>
    </w:p>
    <w:p w14:paraId="07995233">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39</w:t>
      </w:r>
      <w:r>
        <w:rPr>
          <w:rFonts w:hint="eastAsia" w:ascii="宋体" w:hAnsi="宋体" w:eastAsia="宋体" w:cs="宋体"/>
          <w:b w:val="0"/>
          <w:bCs/>
          <w:color w:val="auto"/>
          <w:sz w:val="21"/>
          <w:szCs w:val="21"/>
          <w:highlight w:val="none"/>
        </w:rPr>
        <w:t>、《广东省房屋建筑和市政工程工程质量安全检测收费指导价》（粤建检协[2015]8号）；</w:t>
      </w:r>
    </w:p>
    <w:p w14:paraId="3C66A4C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40</w:t>
      </w:r>
      <w:r>
        <w:rPr>
          <w:rFonts w:hint="eastAsia" w:ascii="宋体" w:hAnsi="宋体" w:eastAsia="宋体" w:cs="宋体"/>
          <w:b w:val="0"/>
          <w:bCs/>
          <w:color w:val="auto"/>
          <w:sz w:val="21"/>
          <w:szCs w:val="21"/>
          <w:highlight w:val="none"/>
        </w:rPr>
        <w:t>、其他相关合同等文件资料及相关法律法规。</w:t>
      </w:r>
    </w:p>
    <w:p w14:paraId="05A207BC">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41</w:t>
      </w:r>
      <w:r>
        <w:rPr>
          <w:rFonts w:hint="eastAsia" w:ascii="宋体" w:hAnsi="宋体" w:eastAsia="宋体" w:cs="宋体"/>
          <w:b w:val="0"/>
          <w:bCs/>
          <w:color w:val="auto"/>
          <w:sz w:val="21"/>
          <w:szCs w:val="21"/>
          <w:highlight w:val="none"/>
        </w:rPr>
        <w:t>、国家及省市建设主管部门的相关文件和规范；</w:t>
      </w:r>
    </w:p>
    <w:p w14:paraId="3915FDC8">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42</w:t>
      </w:r>
      <w:r>
        <w:rPr>
          <w:rFonts w:hint="eastAsia" w:ascii="宋体" w:hAnsi="宋体" w:eastAsia="宋体" w:cs="宋体"/>
          <w:b w:val="0"/>
          <w:bCs/>
          <w:color w:val="auto"/>
          <w:sz w:val="21"/>
          <w:szCs w:val="21"/>
          <w:highlight w:val="none"/>
        </w:rPr>
        <w:t>、设计资料等。</w:t>
      </w:r>
    </w:p>
    <w:p w14:paraId="6EC8C256">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以上规范若有更新版本，应按最新的版本执行。在合同执行期内，各专项施工的执行标准、规范，如未列举，则按国家、行业、地方颁布的相应的政策、法规、规范、标准等执行。</w:t>
      </w:r>
    </w:p>
    <w:p w14:paraId="3B6BB702">
      <w:pPr>
        <w:adjustRightInd w:val="0"/>
        <w:snapToGrid w:val="0"/>
        <w:spacing w:line="360" w:lineRule="auto"/>
        <w:ind w:left="210"/>
        <w:rPr>
          <w:rFonts w:hint="eastAsia" w:ascii="宋体" w:hAnsi="宋体" w:eastAsia="宋体" w:cs="宋体"/>
          <w:color w:val="auto"/>
          <w:sz w:val="21"/>
          <w:szCs w:val="21"/>
          <w:highlight w:val="none"/>
        </w:rPr>
      </w:pPr>
    </w:p>
    <w:p w14:paraId="6DFF7D04">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81" w:name="_Toc19219"/>
      <w:bookmarkStart w:id="482" w:name="_Toc10812"/>
      <w:r>
        <w:rPr>
          <w:rFonts w:hint="eastAsia" w:ascii="宋体" w:hAnsi="宋体" w:eastAsia="宋体" w:cs="宋体"/>
          <w:b/>
          <w:color w:val="auto"/>
          <w:sz w:val="21"/>
          <w:szCs w:val="21"/>
          <w:highlight w:val="none"/>
        </w:rPr>
        <w:t>五、检测费用支付方式</w:t>
      </w:r>
      <w:bookmarkEnd w:id="481"/>
      <w:bookmarkEnd w:id="482"/>
    </w:p>
    <w:p w14:paraId="7397B342">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乙方向甲方、丙方承诺，丙方有权直接向乙方支付合同价款，也有权委托甲方向乙方代付价款，具体支付方式以甲方通知为准，乙方对此不持异议。如丙方委托甲方向乙方代付工程价款的，因甲方系受丙方委托代付，乙方承诺不得就合同款项问题向甲方主张任何权利，乙方同意甲方亦无需承担任何责任；如因款项支付产生纠纷的(包括但不限于诉讼等)，由乙方与丙方协调处理，与甲方无关。</w:t>
      </w:r>
    </w:p>
    <w:p w14:paraId="535DBE0B">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以季度为单位，即按季度计量支付进度款，</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提供相应的正式检测报告，经监理人及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审核通过后，</w:t>
      </w:r>
      <w:r>
        <w:rPr>
          <w:rFonts w:hint="eastAsia" w:ascii="宋体" w:hAnsi="宋体" w:eastAsia="宋体" w:cs="宋体"/>
          <w:color w:val="auto"/>
          <w:sz w:val="21"/>
          <w:szCs w:val="21"/>
          <w:highlight w:val="none"/>
          <w:lang w:eastAsia="zh-CN"/>
        </w:rPr>
        <w:t>丙方</w:t>
      </w:r>
      <w:r>
        <w:rPr>
          <w:rFonts w:hint="eastAsia" w:ascii="宋体" w:hAnsi="宋体" w:eastAsia="宋体" w:cs="宋体"/>
          <w:color w:val="auto"/>
          <w:sz w:val="21"/>
          <w:szCs w:val="21"/>
          <w:highlight w:val="none"/>
          <w:lang w:val="en-US" w:eastAsia="zh-CN"/>
        </w:rPr>
        <w:t>或甲方</w:t>
      </w: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提交对应的请款报告30天内向</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支付进度款。</w:t>
      </w:r>
    </w:p>
    <w:p w14:paraId="33D19AED">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以季度为单位按经监理人及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审核通过的检测报告所涉款项的80%支付本合同进度款，但</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累计支付的进度款不超过暂定总合同价款价税合计的80%，待工程竣工验收合格，项目结算完毕，并提交请款报告后30天内，</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按结算价一次性支付余款。</w:t>
      </w:r>
    </w:p>
    <w:p w14:paraId="3F4CB797">
      <w:pPr>
        <w:widowControl w:val="0"/>
        <w:wordWrap/>
        <w:adjustRightInd w:val="0"/>
        <w:snapToGrid w:val="0"/>
        <w:spacing w:line="360" w:lineRule="auto"/>
        <w:ind w:firstLine="420" w:firstLineChars="200"/>
        <w:contextualSpacing/>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收取每笔款项前，在提交请款报告的同时一并提供等额有效的增值税普通发票，</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在收到相关请款材料审核后支付；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逾期提交请款材料或提供的发票不合格的，</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的付款时间可相应顺延，且不视为违约。因支付产生的相关银行手续费用，根据有关银行规定执行，如不能明确费用承担主体的，相关手续费用由双方各承担50%。由于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提供的发票不符合税法规定，给</w:t>
      </w:r>
      <w:r>
        <w:rPr>
          <w:rFonts w:hint="eastAsia" w:ascii="宋体" w:hAnsi="宋体" w:eastAsia="宋体" w:cs="宋体"/>
          <w:color w:val="auto"/>
          <w:sz w:val="21"/>
          <w:szCs w:val="21"/>
          <w:highlight w:val="none"/>
          <w:lang w:eastAsia="zh-CN"/>
        </w:rPr>
        <w:t>丙方或甲方</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承担赔偿责任。</w:t>
      </w:r>
    </w:p>
    <w:p w14:paraId="2730102B">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4AD6DA90">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83" w:name="_Toc12139"/>
      <w:bookmarkStart w:id="484" w:name="_Toc22236"/>
      <w:r>
        <w:rPr>
          <w:rFonts w:hint="eastAsia" w:ascii="宋体" w:hAnsi="宋体" w:eastAsia="宋体" w:cs="宋体"/>
          <w:b/>
          <w:color w:val="auto"/>
          <w:sz w:val="21"/>
          <w:szCs w:val="21"/>
          <w:highlight w:val="none"/>
        </w:rPr>
        <w:t>六、双方权利及义务</w:t>
      </w:r>
      <w:bookmarkEnd w:id="483"/>
      <w:bookmarkEnd w:id="484"/>
    </w:p>
    <w:p w14:paraId="17796653">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1.甲方权利及义务：</w:t>
      </w:r>
    </w:p>
    <w:p w14:paraId="06CBA602">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14:paraId="24A6A0C9">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14:paraId="619B614E">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14:paraId="0B1A3B70">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（4）协助乙方仪器及运输设备顺利进场。</w:t>
      </w:r>
    </w:p>
    <w:p w14:paraId="7148F39F">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（5）监督受监施工单位定时向乙方提供进度计划，协调作业时间，保证乙方有足够时间展开检测工作。</w:t>
      </w:r>
    </w:p>
    <w:p w14:paraId="1385AE3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（6）有权对乙方的检测工作进行监督，对其违约行为发出整改通知。</w:t>
      </w:r>
    </w:p>
    <w:p w14:paraId="2C68BD28">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（7）合同履约期间，甲方有权对检测范围、要求、规模及特征等根据项目实际情况作出相应调整，调整后双方根据实际工作量进行结算。</w:t>
      </w:r>
    </w:p>
    <w:p w14:paraId="33734E2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（8）甲方按照既定的审批程序，及时办理服务费的审批手续。</w:t>
      </w:r>
    </w:p>
    <w:p w14:paraId="276FE67E">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（9）施工现场用水、用电在有条件的情况下由甲方负责提供水、电接入点，乙方自行接入。</w:t>
      </w:r>
    </w:p>
    <w:p w14:paraId="057E9806">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（10）合同文件及附件内容约定的甲方其余权利义务。</w:t>
      </w:r>
    </w:p>
    <w:p w14:paraId="306C5FC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2.乙方权利及义务：</w:t>
      </w:r>
    </w:p>
    <w:p w14:paraId="07A66ED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的履行期间，乙方应当保持相应资质的有效性，且具备在东莞市开展检测服务工作的资格条件。因乙方资质条件丧失，导致无法开展检测工作的，甲方有权另行委托其他第三方，并且乙方需向甲方支付暂定总合同价款（含税）的20%的违约金。同时，造成甲方的经济损失（包括但不限于重新招标、委托第三方的费用），由乙方承担全部赔偿。</w:t>
      </w:r>
    </w:p>
    <w:p w14:paraId="5112EBF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（2）对甲方委派的检测工作，乙方应当根据本合同约定、招投标文件及甲方要求进行开展，不得借故拒绝接受委托。</w:t>
      </w:r>
    </w:p>
    <w:p w14:paraId="3080B04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（3）按照国家颁发的有关检测技术标准或规范，采用科学先进的方法进行检测评估和试验过程的全程监控、记录，保证数据真实可靠，对检测结果真实性、准确性、合法性、完整性负责。</w:t>
      </w:r>
    </w:p>
    <w:p w14:paraId="5CFC08B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检测报告、数据成果、文件等质量不合格的，应负责无偿给予修改、补充完善使其达到甲方要求；如乙方怠于或无力修改、补充完善，甲方有权另委托其他单位继续进行，乙方应承担由此产生的全部检测费用及其他损失。</w:t>
      </w:r>
    </w:p>
    <w:p w14:paraId="4DD3129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乙方提供的检测报告、数据成果、文件等质量不合格造成甲方经济损失（包括但不限于检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p>
    <w:p w14:paraId="3D45799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14:paraId="54E1AC9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（7）严格遵守国家法律、法规，协助甲方做好社会治安综合管理工作和计划生育等工作。乙方员工有违法乱纪或犯罪的行为，乙方应承担一切经济责任和法律责任。</w:t>
      </w:r>
    </w:p>
    <w:p w14:paraId="31C5BCA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1878D11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14:paraId="3EF7654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合同期限内保存好全部与检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37689CE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（11）如施工现场甲方无法提供水、电接入点，乙方自行解决施工用水、用电并承担相关费用。</w:t>
      </w:r>
    </w:p>
    <w:p w14:paraId="4FA071C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（12）乙方应按本合同及招、投标文件的要求按时提供检测报告和其他甲方认为有必要提供的中间过程资料、图表、照片（包括电子资料）等，以及向甲方提供咨询服务和建议。</w:t>
      </w:r>
    </w:p>
    <w:p w14:paraId="6E66FF8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（13）检测过程中，乙方自行对本单位的仪器、设备安全负责，自行承担保管职责，对检测所产生的水、电等费用由乙方负责。</w:t>
      </w:r>
    </w:p>
    <w:p w14:paraId="7FE534C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（14）与检测工程的施工单位、设计单位、监理单位等单位相互配合，数据共享。</w:t>
      </w:r>
    </w:p>
    <w:p w14:paraId="4A58800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（15）本合同约定范围内必要的修改，补充，应由乙方负责，甲方不再另付检测费用或其他费用。</w:t>
      </w:r>
    </w:p>
    <w:p w14:paraId="23E3B17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在检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14:paraId="774D289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（17）乙方提交给甲方的检测成果知识产权归属甲方，乙方须确保甲方在使用过程中免受第三方关于知识产权或其他合法权益的起诉，否则，乙方应承担由此给甲方造成的一切损失。</w:t>
      </w:r>
    </w:p>
    <w:p w14:paraId="68EBA12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乙方应确保其具备履行本合同工作所需的相关资质，否则，因此产生的一切后果由乙方承担。乙方应建立健全内部管理制度，并接受甲方及有关主管部门对项目服务状况、服务质量的监督检查。因乙方原因导致甲方损失的，应当全额赔偿甲方的损失。</w:t>
      </w:r>
    </w:p>
    <w:p w14:paraId="0D22885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启动履约担保支付。</w:t>
      </w:r>
    </w:p>
    <w:p w14:paraId="253A714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（20）本合同所述的乙方应承担的甲方损失，包括但不限于甲方支出的赔偿金、诉讼费、保全费、律师费、鉴定费等。</w:t>
      </w:r>
    </w:p>
    <w:p w14:paraId="6ACB546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（21）本项目禁止转包，若特殊项目乙方无相应资质的，必须经甲方批准后送符合条件（具备相应资质）的分包单位进行检测，并出具相应的检测报告，否则将视为乙方违约，出具的报告不予承认。</w:t>
      </w:r>
    </w:p>
    <w:p w14:paraId="0259AD6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（22）合同文件及附件内容约定的乙方其他权利义务。</w:t>
      </w:r>
    </w:p>
    <w:p w14:paraId="36EB72A9">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1AA443EF">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85" w:name="_Toc12889"/>
      <w:bookmarkStart w:id="486" w:name="_Toc20858"/>
      <w:r>
        <w:rPr>
          <w:rFonts w:hint="eastAsia" w:ascii="宋体" w:hAnsi="宋体" w:eastAsia="宋体" w:cs="宋体"/>
          <w:b/>
          <w:color w:val="auto"/>
          <w:sz w:val="21"/>
          <w:szCs w:val="21"/>
          <w:highlight w:val="none"/>
        </w:rPr>
        <w:t>七、成果要求</w:t>
      </w:r>
      <w:bookmarkEnd w:id="485"/>
      <w:bookmarkEnd w:id="486"/>
    </w:p>
    <w:p w14:paraId="4BAB6E0B">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1、合同签订后15天内，</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应根据批准的工程施工组织设计、工程设计文件、市政工程建设标准、国家及行业规范等制定并向</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提交详细的可实施的检测方案1份。</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应积极配合</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调整优化检测方案，并提交</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确认。</w:t>
      </w:r>
    </w:p>
    <w:p w14:paraId="48C3977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在各项检测工作完成后应提交检测报告一式三份（含纸质版及电子档），检测报告包含但不限于：项目概况、检测位置、检测结果与结论、各类原始记录等内容，具体以相关规范为准。</w:t>
      </w:r>
    </w:p>
    <w:p w14:paraId="107076F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3、</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应向</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提交正式、合法的检测报告书，并同时加盖资质认定标志（即CMA印章）和</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检验检测报告专用章。</w:t>
      </w:r>
    </w:p>
    <w:p w14:paraId="78074ADE">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所提供给</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的成果资料所有权由</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享有，未经</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许可，</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不得将成果泄露给第三方。</w:t>
      </w:r>
    </w:p>
    <w:p w14:paraId="6C503E02">
      <w:pPr>
        <w:pStyle w:val="53"/>
        <w:widowControl w:val="0"/>
        <w:wordWrap/>
        <w:adjustRightInd w:val="0"/>
        <w:snapToGrid w:val="0"/>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须保证检测成果质量，对技术成果负完全责任，如因检测不实，造成</w:t>
      </w:r>
      <w:r>
        <w:rPr>
          <w:rFonts w:hint="eastAsia" w:ascii="宋体" w:hAnsi="宋体" w:eastAsia="宋体" w:cs="宋体"/>
          <w:b w:val="0"/>
          <w:bCs/>
          <w:color w:val="auto"/>
          <w:sz w:val="21"/>
          <w:szCs w:val="21"/>
          <w:highlight w:val="none"/>
          <w:lang w:eastAsia="zh-CN"/>
        </w:rPr>
        <w:t>甲方</w:t>
      </w:r>
      <w:r>
        <w:rPr>
          <w:rFonts w:hint="eastAsia" w:ascii="宋体" w:hAnsi="宋体" w:eastAsia="宋体" w:cs="宋体"/>
          <w:b w:val="0"/>
          <w:bCs/>
          <w:color w:val="auto"/>
          <w:sz w:val="21"/>
          <w:szCs w:val="21"/>
          <w:highlight w:val="none"/>
        </w:rPr>
        <w:t>经济损失费用全部由</w:t>
      </w:r>
      <w:r>
        <w:rPr>
          <w:rFonts w:hint="eastAsia" w:ascii="宋体" w:hAnsi="宋体" w:eastAsia="宋体" w:cs="宋体"/>
          <w:b w:val="0"/>
          <w:bCs/>
          <w:color w:val="auto"/>
          <w:sz w:val="21"/>
          <w:szCs w:val="21"/>
          <w:highlight w:val="none"/>
          <w:lang w:eastAsia="zh-CN"/>
        </w:rPr>
        <w:t>乙方</w:t>
      </w:r>
      <w:r>
        <w:rPr>
          <w:rFonts w:hint="eastAsia" w:ascii="宋体" w:hAnsi="宋体" w:eastAsia="宋体" w:cs="宋体"/>
          <w:b w:val="0"/>
          <w:bCs/>
          <w:color w:val="auto"/>
          <w:sz w:val="21"/>
          <w:szCs w:val="21"/>
          <w:highlight w:val="none"/>
        </w:rPr>
        <w:t>承担，并应负责重检。</w:t>
      </w:r>
    </w:p>
    <w:p w14:paraId="10651045">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70C7851B">
      <w:pPr>
        <w:adjustRightInd w:val="0"/>
        <w:snapToGrid w:val="0"/>
        <w:spacing w:line="360" w:lineRule="auto"/>
        <w:ind w:firstLine="420" w:firstLineChars="200"/>
        <w:rPr>
          <w:rFonts w:hint="eastAsia" w:ascii="宋体" w:hAnsi="宋体" w:eastAsia="宋体" w:cs="宋体"/>
          <w:bCs/>
          <w:color w:val="auto"/>
          <w:sz w:val="21"/>
          <w:szCs w:val="21"/>
          <w:highlight w:val="none"/>
        </w:rPr>
      </w:pPr>
    </w:p>
    <w:p w14:paraId="29FBB9A3">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87" w:name="_Toc27788"/>
      <w:bookmarkStart w:id="488" w:name="_Toc29923"/>
      <w:r>
        <w:rPr>
          <w:rFonts w:hint="eastAsia" w:ascii="宋体" w:hAnsi="宋体" w:eastAsia="宋体" w:cs="宋体"/>
          <w:b/>
          <w:color w:val="auto"/>
          <w:sz w:val="21"/>
          <w:szCs w:val="21"/>
          <w:highlight w:val="none"/>
        </w:rPr>
        <w:t>八、质量控制标准</w:t>
      </w:r>
      <w:bookmarkEnd w:id="487"/>
      <w:bookmarkEnd w:id="488"/>
    </w:p>
    <w:p w14:paraId="533841D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1.乙方应当建立健全并落实各项管理制度，保证检测项目工作正常进行，并接受甲方及有关主管部门对项目服务质量的监督检查。</w:t>
      </w:r>
    </w:p>
    <w:p w14:paraId="68C2A4D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2.乙方应建立并实施符合本项目各项要求的质量管理体系。</w:t>
      </w:r>
    </w:p>
    <w:p w14:paraId="29DDF4E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3.甲方代表有权在工作时间内进入乙方的工作地点检查其质保手册、质量计划及其它与质量相关的文件的实施情况。</w:t>
      </w:r>
    </w:p>
    <w:p w14:paraId="2CF19A25">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p>
    <w:p w14:paraId="3EF6413C">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89" w:name="_Toc18764"/>
      <w:bookmarkStart w:id="490" w:name="_Toc17838"/>
      <w:r>
        <w:rPr>
          <w:rFonts w:hint="eastAsia" w:ascii="宋体" w:hAnsi="宋体" w:eastAsia="宋体" w:cs="宋体"/>
          <w:b/>
          <w:color w:val="auto"/>
          <w:sz w:val="21"/>
          <w:szCs w:val="21"/>
          <w:highlight w:val="none"/>
        </w:rPr>
        <w:t>九、人员及设备要求</w:t>
      </w:r>
      <w:bookmarkEnd w:id="489"/>
      <w:bookmarkEnd w:id="490"/>
    </w:p>
    <w:p w14:paraId="7A27A76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1.乙方派出的检测人员应具备相应的专业知识及技术水平，有足够能力完成本项目检测服务工作。</w:t>
      </w:r>
    </w:p>
    <w:p w14:paraId="71DA7D8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需配备1名项目负责人、1名技术负责人及数量充足的检测工作人员，保证检测工作有序、顺利完成。</w:t>
      </w:r>
    </w:p>
    <w:p w14:paraId="6A48D5D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3.乙方应配备完成本项目所必须的检测设备，其性能良好并符合国家规定。同时配备数量充足的交通警示标志和施工</w:t>
      </w:r>
      <w:r>
        <w:rPr>
          <w:rFonts w:hint="eastAsia" w:ascii="宋体" w:hAnsi="宋体" w:eastAsia="宋体" w:cs="宋体"/>
          <w:color w:val="auto"/>
          <w:sz w:val="21"/>
          <w:szCs w:val="21"/>
          <w:highlight w:val="none"/>
          <w:lang w:eastAsia="zh-CN"/>
        </w:rPr>
        <w:t>围挡</w:t>
      </w:r>
      <w:r>
        <w:rPr>
          <w:rFonts w:hint="eastAsia" w:ascii="宋体" w:hAnsi="宋体" w:eastAsia="宋体" w:cs="宋体"/>
          <w:color w:val="auto"/>
          <w:sz w:val="21"/>
          <w:szCs w:val="21"/>
          <w:highlight w:val="none"/>
        </w:rPr>
        <w:t>，以及检测仪器、无线通讯设备、劳动防护用品等其它必须使用的工具。</w:t>
      </w:r>
    </w:p>
    <w:p w14:paraId="29397561">
      <w:pPr>
        <w:widowControl/>
        <w:adjustRightInd w:val="0"/>
        <w:snapToGrid w:val="0"/>
        <w:spacing w:line="360" w:lineRule="auto"/>
        <w:rPr>
          <w:rFonts w:hint="eastAsia" w:ascii="宋体" w:hAnsi="宋体" w:eastAsia="宋体" w:cs="宋体"/>
          <w:color w:val="auto"/>
          <w:sz w:val="21"/>
          <w:szCs w:val="21"/>
          <w:highlight w:val="none"/>
        </w:rPr>
      </w:pPr>
    </w:p>
    <w:p w14:paraId="75BE1C2B">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91" w:name="_Toc28935"/>
      <w:bookmarkStart w:id="492" w:name="_Toc26320"/>
      <w:r>
        <w:rPr>
          <w:rFonts w:hint="eastAsia" w:ascii="宋体" w:hAnsi="宋体" w:eastAsia="宋体" w:cs="宋体"/>
          <w:b/>
          <w:color w:val="auto"/>
          <w:sz w:val="21"/>
          <w:szCs w:val="21"/>
          <w:highlight w:val="none"/>
        </w:rPr>
        <w:t>十、违约责任</w:t>
      </w:r>
      <w:bookmarkEnd w:id="491"/>
      <w:bookmarkEnd w:id="492"/>
    </w:p>
    <w:p w14:paraId="25AE855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乙方未按本合同约定配备必要的办公场所、设备或者服务人员的，甲方有权就违约事宜提出改正，如乙方仍拒不改正的，甲方有权选择解除本合同或服务合同，并没收全部履约担保。</w:t>
      </w:r>
    </w:p>
    <w:p w14:paraId="34E012CD">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在本合同履行过程中，无论何种原因，乙方均不得消极怠工或拒不履行合同义务（包括但不限于技术支持、专家会审、解答释疑、事故处理，修正检测报告及数据成果等），或履行的合同义务不符合要求的。如有违反，将视为乙方违约，甲方有权就违约事宜提出改正，要求乙方按壹万元/次承担违约金，若限期内未按照甲方要求进行整改或限期整改后不符合甲方要求的，甲方有权选择解除合同，要求乙方按暂定总合同价款（含税）的10%承担违约金，并有权依法委托有资质的第三方继续履行本合同义务，由此造成的一切损失由乙方承担。同时，甲方有权将情况如实报送至政府相关主管部门</w:t>
      </w:r>
      <w:r>
        <w:rPr>
          <w:rFonts w:hint="eastAsia" w:ascii="宋体" w:hAnsi="宋体" w:eastAsia="宋体" w:cs="宋体"/>
          <w:bCs/>
          <w:color w:val="auto"/>
          <w:sz w:val="21"/>
          <w:szCs w:val="21"/>
          <w:highlight w:val="none"/>
        </w:rPr>
        <w:t>。</w:t>
      </w:r>
    </w:p>
    <w:p w14:paraId="438CD1C0">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r>
        <w:rPr>
          <w:rFonts w:hint="eastAsia" w:ascii="宋体" w:hAnsi="宋体" w:eastAsia="宋体" w:cs="宋体"/>
          <w:color w:val="auto"/>
          <w:sz w:val="21"/>
          <w:szCs w:val="21"/>
          <w:highlight w:val="none"/>
        </w:rPr>
        <w:t>由于乙方原因造成检测报告、成果数据、文件等质量不合格，不能满足技术要求时，乙方除按合同约定承担责任外，其返工重新检测等产生的费用由乙方承担</w:t>
      </w:r>
      <w:r>
        <w:rPr>
          <w:rFonts w:hint="eastAsia" w:ascii="宋体" w:hAnsi="宋体" w:eastAsia="宋体" w:cs="宋体"/>
          <w:bCs/>
          <w:color w:val="auto"/>
          <w:sz w:val="21"/>
          <w:szCs w:val="21"/>
          <w:highlight w:val="none"/>
        </w:rPr>
        <w:t>。</w:t>
      </w:r>
    </w:p>
    <w:p w14:paraId="6B0D2F34">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履行期间，由于工程停建而终止合同或甲方要求解除合同时，双方互不承担赔偿责任。乙方未进行检测工作的，应退还甲方已预付的费用；已进行检测工作的，根据其中标报价按甲方审核确认实际完成的工作量进行结算。</w:t>
      </w:r>
    </w:p>
    <w:p w14:paraId="306DDBB0">
      <w:pPr>
        <w:adjustRightInd w:val="0"/>
        <w:snapToGrid w:val="0"/>
        <w:spacing w:line="360" w:lineRule="auto"/>
        <w:ind w:firstLine="420" w:firstLineChars="200"/>
        <w:contextualSpacing/>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5.若非甲方原因，由于乙方原因未按甲方要求时间（日期）提交检测报告、成果数据、文件资料、检测方案的，或未按期履行其他义务的，每逾期一日，乙方按贰仟元/天承担违约金。逾期超过</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p w14:paraId="5E39BC70">
      <w:pPr>
        <w:adjustRightInd w:val="0"/>
        <w:snapToGrid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6.合同履行期间，乙方未达到的投标时承诺的事项，每次按暂定总合同价款（含税）的1%承担违约金。</w:t>
      </w:r>
    </w:p>
    <w:p w14:paraId="2105C71F">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rPr>
        <w:t>.乙方违反约定非法转包、分包的，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p w14:paraId="06C5309C">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乙方存在如下情形之一的，甲方有权书面通知乙方单方解除本合同，并由乙方承担履约担保等额的违约金，同时有权没收履约担保，给甲方造成损失的，乙方还足额应赔偿甲方：</w:t>
      </w:r>
    </w:p>
    <w:p w14:paraId="75DF8C11">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（1）提供虚假信息、误导或欺骗甲方及丙方，以谋取非法利益的；</w:t>
      </w:r>
    </w:p>
    <w:p w14:paraId="724AEB44">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（2）违反诚信信用原则，没有严格执行相关质量、服务，损害甲方、丙方或相关用户单位的利益的；</w:t>
      </w:r>
    </w:p>
    <w:p w14:paraId="2E3C7EFE">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（3）违反有关法律法规以及本合同的约定，损害甲方利益的；</w:t>
      </w:r>
    </w:p>
    <w:p w14:paraId="6E06CEC0">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（4）拒绝接受甲方、丙方及相关部门监督、检查的；</w:t>
      </w:r>
    </w:p>
    <w:p w14:paraId="574388C2">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（5）出现信用危机、财务危机、生产经营危机甚至破产、倒闭，无法继续履行本合同的；</w:t>
      </w:r>
    </w:p>
    <w:p w14:paraId="69D7C54A">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（6）采用非法手段进行不正当竞争的，构成恶劣影响；</w:t>
      </w:r>
    </w:p>
    <w:p w14:paraId="353C2510">
      <w:pPr>
        <w:adjustRightInd w:val="0"/>
        <w:snapToGrid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（7）违反本合同约定，泄露服务项目内容的。</w:t>
      </w:r>
    </w:p>
    <w:p w14:paraId="28833FE6">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应按及时足额向工人发放工资待遇以及其他劳动待遇等，不得无故拖欠或克扣，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p w14:paraId="65531653">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乙方必须积极响应并接受相关部门的监督检查，若受到相关部门的批评，经调查认定情况属实的，视情节轻重要求其承担违约责任；造成恶劣影响的，甲方有权解除合同。</w:t>
      </w:r>
    </w:p>
    <w:p w14:paraId="7E4A20F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乙方在服务年限内，在履行本合同约定的义务过程中出现违反国家法律法规、主管部门规章制度、擅自提高价格或提供伪劣服务内容、服务质量低劣造成甲方损失等情况的，甲方有权视不同情况分别给予警告、抵扣履约担保或取消合同等处理。</w:t>
      </w:r>
    </w:p>
    <w:p w14:paraId="55584218">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未经甲方书面同意，乙方变更项目负责人或技术负责人的，甲方有权要求乙方按伍万元/人/次承担违约金。</w:t>
      </w:r>
    </w:p>
    <w:p w14:paraId="5ABC4C6A">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甲方每季度根据合同附件五《检测单位履约考核评分表》对乙方评价一次，出具考核评价结果。甲方将严格按照考核评分标准对乙方进行季度检查和考核。考评[70,80)分的，处相应付款周期内经甲方确认的检测费的10%作为违约金，考评[60,70)分的，处相应付款周期经甲方确认的检测费的20%作为违约金，考评60分以下的，处相应付款周期经甲方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highlight w:val="none"/>
        </w:rPr>
        <w:t>的30%作为违约金。上述“[”代表闭区间，“)”代表开区间，如[70,80)代表该分数段范围为大于等于70且小于80。达到相应付款周期时,如乙方未申请支付本期费用, 甲方根据支付条件暂定本周期检测费并计算本周期内应缴纳的暂定违约金，乙方应予以缴纳。下一周期仍未申请时按上述做法执行，待到乙方申请支付费用时，根据合同付款流程确认检测费，同步对以往暂定违约金在本次一并确认并予以结算。</w:t>
      </w:r>
    </w:p>
    <w:p w14:paraId="4188076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甲方依据本合同条款对乙方处以违约金、赔偿、扣款等款项的，乙方应在收到违约（赔偿或扣款等款项）处理通知书之日起的五个工作日内书面授权乙方相关工作人员将款项交至甲方指定账户（须备注本项目名称）。如规定时间内未按要求将款项交至指定账号，甲方有权不审批进度款。甲方指定收款账户信息：</w:t>
      </w:r>
    </w:p>
    <w:p w14:paraId="3B47105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开户名称：东莞市水务集团建设管理有限公司</w:t>
      </w:r>
    </w:p>
    <w:p w14:paraId="78D8DE8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银行账号：2010021309200628330</w:t>
      </w:r>
    </w:p>
    <w:p w14:paraId="50C2BFC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开户银行：中国工商银行股份有限公司东莞分行</w:t>
      </w:r>
    </w:p>
    <w:p w14:paraId="4A42AF4F">
      <w:pPr>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.因乙方违约，丙方或甲方通过司法途径维护自身权益的，乙方应承担丙方或甲方由此支出的律师费、诉讼费、执行费、鉴定费、公证费、财产保全费及保险费等全部费用。</w:t>
      </w:r>
    </w:p>
    <w:p w14:paraId="174F1C25">
      <w:pPr>
        <w:adjustRightInd w:val="0"/>
        <w:snapToGrid w:val="0"/>
        <w:spacing w:line="360" w:lineRule="auto"/>
        <w:ind w:firstLine="420" w:firstLineChars="200"/>
        <w:rPr>
          <w:rFonts w:hint="eastAsia" w:ascii="宋体" w:hAnsi="宋体" w:eastAsia="宋体" w:cs="宋体"/>
          <w:bCs/>
          <w:color w:val="auto"/>
          <w:sz w:val="21"/>
          <w:szCs w:val="21"/>
          <w:highlight w:val="none"/>
        </w:rPr>
      </w:pPr>
    </w:p>
    <w:p w14:paraId="054DB48E">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93" w:name="_Toc31226"/>
      <w:bookmarkStart w:id="494" w:name="_Toc8428"/>
      <w:r>
        <w:rPr>
          <w:rFonts w:hint="eastAsia" w:ascii="宋体" w:hAnsi="宋体" w:eastAsia="宋体" w:cs="宋体"/>
          <w:b/>
          <w:color w:val="auto"/>
          <w:sz w:val="21"/>
          <w:szCs w:val="21"/>
          <w:highlight w:val="none"/>
        </w:rPr>
        <w:t>十一、履约担保</w:t>
      </w:r>
      <w:bookmarkEnd w:id="493"/>
      <w:bookmarkEnd w:id="494"/>
    </w:p>
    <w:p w14:paraId="5ADA873C">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2C12993F">
      <w:pPr>
        <w:widowControl/>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履约保证金（银行转账形式）金额为暂定总合同价款（含税）的5%为¥     元（大写人民币      ）；</w:t>
      </w:r>
    </w:p>
    <w:p w14:paraId="0AA30FBE">
      <w:pPr>
        <w:widowControl/>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银行不可撤销履约保函金额为暂定总合同价款（含税）的8%为¥     元（大写人民币      ）；</w:t>
      </w:r>
    </w:p>
    <w:p w14:paraId="7C439C60">
      <w:pPr>
        <w:widowControl/>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采用履约保证保险形式的金额为暂定总合同价款（含税）的8%</w:t>
      </w:r>
      <w:r>
        <w:rPr>
          <w:rFonts w:hint="eastAsia" w:ascii="宋体" w:hAnsi="宋体" w:eastAsia="宋体" w:cs="宋体"/>
          <w:color w:val="auto"/>
          <w:sz w:val="21"/>
          <w:szCs w:val="21"/>
          <w:highlight w:val="none"/>
        </w:rPr>
        <w:t>为¥     元（大写人民币      ）；</w:t>
      </w:r>
    </w:p>
    <w:p w14:paraId="160D880A">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担保公司履约担保书金额为暂定总合同价款（含税）的10%为¥     元（大写人民币      ）。</w:t>
      </w:r>
    </w:p>
    <w:p w14:paraId="3D9E9F16">
      <w:pPr>
        <w:widowControl/>
        <w:adjustRightInd w:val="0"/>
        <w:snapToGrid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合同履行过程中，</w:t>
      </w:r>
      <w:r>
        <w:rPr>
          <w:rFonts w:hint="eastAsia" w:ascii="宋体" w:hAnsi="宋体" w:eastAsia="宋体" w:cs="宋体"/>
          <w:bCs/>
          <w:color w:val="auto"/>
          <w:kern w:val="0"/>
          <w:sz w:val="21"/>
          <w:szCs w:val="21"/>
          <w:highlight w:val="none"/>
          <w:lang w:eastAsia="zh-CN"/>
        </w:rPr>
        <w:t>乙方</w:t>
      </w:r>
      <w:r>
        <w:rPr>
          <w:rFonts w:hint="eastAsia" w:ascii="宋体" w:hAnsi="宋体" w:eastAsia="宋体" w:cs="宋体"/>
          <w:color w:val="auto"/>
          <w:kern w:val="0"/>
          <w:sz w:val="21"/>
          <w:szCs w:val="21"/>
          <w:highlight w:val="none"/>
        </w:rPr>
        <w:t>给</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造成的损失超过履约担保数额的，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还应当对超过部分予以赔偿，</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并依法追究</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的相应责任。</w:t>
      </w:r>
    </w:p>
    <w:p w14:paraId="6521DDA9">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2.履约担保用于补偿甲方因乙方不能完全履行其合同义务而蒙受的损失或其他合同约定的事项，如发生下列任一情况时，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有权依合同追究违约责任外，同时有权提取履约担保并进行相应处理：</w:t>
      </w:r>
    </w:p>
    <w:p w14:paraId="48062652">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将合同项下</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的权利义务全部转让给第三方，或未经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书面同意将部分权利义务转让给第三方的，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有权没收其履约担保。</w:t>
      </w:r>
    </w:p>
    <w:p w14:paraId="7807D6A1">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怠于履行合同义务，经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通知或要求承担违约金后仍拒不改正的，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可依法没收或适当扣除其履约担保。</w:t>
      </w:r>
    </w:p>
    <w:p w14:paraId="62E1D903">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在合同履行期间，因</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lang w:val="en-US" w:eastAsia="zh-CN"/>
        </w:rPr>
        <w:t>服</w:t>
      </w:r>
      <w:r>
        <w:rPr>
          <w:rFonts w:hint="eastAsia" w:ascii="宋体" w:hAnsi="宋体" w:eastAsia="宋体" w:cs="宋体"/>
          <w:color w:val="auto"/>
          <w:sz w:val="21"/>
          <w:szCs w:val="21"/>
          <w:highlight w:val="none"/>
        </w:rPr>
        <w:t>务质量问题造成损害、侵权损失（包括但不限于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经济损失、第三人人身财产损失等）、与其所雇用员工发生劳资纠纷、上访、闹事或其他影响</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生产经营等情况而其未及时妥善处理的，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有权使用履约担保予以支付或作出相应处理，由此产生的一切法律后果由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10EBC57D">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在合同履行期间，</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违约产生的违约金、赔偿、罚款或其他应付费用等款项，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有权直接从未付款项中直接扣除或启用履约担保予以支付。</w:t>
      </w:r>
    </w:p>
    <w:p w14:paraId="3024562B">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合同期内，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不能及时完成合同某项义务的，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有权提取履约担保用于处理该项工作。</w:t>
      </w:r>
    </w:p>
    <w:p w14:paraId="114EBFA3">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其他根据本合同约定或法律规定，</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可启用履约担保的情形。</w:t>
      </w:r>
    </w:p>
    <w:p w14:paraId="1D5FE94C">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以履约保证金（银行转账形式）提供履约担保的在依法完成本项目的所有合同义务，且结算完毕之后二十八（28）个日历天后，经</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确认，</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可向</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提交退回履约担保的申请。</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审核无异议后，办理履约担保退还手续，退回时一律以银行转账的形式无息退回到</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val="en-US" w:eastAsia="zh-CN"/>
        </w:rPr>
        <w:t>账户</w:t>
      </w:r>
      <w:r>
        <w:rPr>
          <w:rFonts w:hint="eastAsia" w:ascii="宋体" w:hAnsi="宋体" w:eastAsia="宋体" w:cs="宋体"/>
          <w:color w:val="auto"/>
          <w:kern w:val="0"/>
          <w:sz w:val="21"/>
          <w:szCs w:val="21"/>
          <w:highlight w:val="none"/>
        </w:rPr>
        <w:t>。</w:t>
      </w:r>
    </w:p>
    <w:p w14:paraId="1C448855">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4.如乙方提供不可撤销银行履约保函（或履约保证保险或担保公司履约担保书）作为履约担保的，不可撤销银行履约保函（或履约保证保险或担保公司履约担保书）应从</w:t>
      </w:r>
      <w:r>
        <w:rPr>
          <w:rFonts w:hint="eastAsia" w:ascii="宋体" w:hAnsi="宋体" w:eastAsia="宋体" w:cs="宋体"/>
          <w:color w:val="auto"/>
          <w:sz w:val="21"/>
          <w:szCs w:val="21"/>
          <w:highlight w:val="none"/>
          <w:lang w:eastAsia="zh-CN"/>
        </w:rPr>
        <w:t>合同签订之日起至合同期限届满并履行完毕相关服务义务且结算完毕之后二十八（28）个日历天内保持有效</w:t>
      </w:r>
      <w:r>
        <w:rPr>
          <w:rFonts w:hint="eastAsia" w:ascii="宋体" w:hAnsi="宋体" w:eastAsia="宋体" w:cs="宋体"/>
          <w:color w:val="auto"/>
          <w:sz w:val="21"/>
          <w:szCs w:val="21"/>
          <w:highlight w:val="none"/>
        </w:rPr>
        <w:t>。</w:t>
      </w:r>
      <w:r>
        <w:rPr>
          <w:rFonts w:hint="eastAsia" w:ascii="宋体" w:hAnsi="宋体" w:eastAsia="宋体" w:cs="宋体"/>
          <w:color w:val="auto"/>
          <w:kern w:val="0"/>
          <w:sz w:val="21"/>
          <w:szCs w:val="21"/>
          <w:highlight w:val="none"/>
        </w:rPr>
        <w:t>如果</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提交的履约担保的有效期届满时间先于招标文件、合同文件要求的，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应在原提交的履约担保有效期届满前15日内，无条件办理符合</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要求的履约担保延期手续，否则视为</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违约，</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有权在不可撤销银行履约保函或履约保证保险或担保公司履约担保书到期前向出具履约担保的机构提取履约担保金。在不可撤销银行履约保函</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或履约保证保险</w:t>
      </w:r>
      <w:r>
        <w:rPr>
          <w:rFonts w:hint="eastAsia" w:ascii="宋体" w:hAnsi="宋体" w:eastAsia="宋体" w:cs="宋体"/>
          <w:color w:val="auto"/>
          <w:kern w:val="0"/>
          <w:sz w:val="21"/>
          <w:szCs w:val="21"/>
          <w:highlight w:val="none"/>
          <w:lang w:val="en-US" w:eastAsia="zh-CN"/>
        </w:rPr>
        <w:t>或</w:t>
      </w:r>
      <w:r>
        <w:rPr>
          <w:rFonts w:hint="eastAsia" w:ascii="宋体" w:hAnsi="宋体" w:eastAsia="宋体" w:cs="宋体"/>
          <w:color w:val="auto"/>
          <w:kern w:val="0"/>
          <w:sz w:val="21"/>
          <w:szCs w:val="21"/>
          <w:highlight w:val="none"/>
        </w:rPr>
        <w:t>担保公司履约担保书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到期后</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未按</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要求重新提供的，</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以履约担保金额为限承担违约金，</w:t>
      </w:r>
      <w:r>
        <w:rPr>
          <w:rFonts w:hint="eastAsia" w:ascii="宋体" w:hAnsi="宋体" w:eastAsia="宋体" w:cs="宋体"/>
          <w:color w:val="auto"/>
          <w:sz w:val="21"/>
          <w:szCs w:val="21"/>
          <w:highlight w:val="none"/>
        </w:rPr>
        <w:t>违约金可直接由丙方从未付款项中扣除并支付给甲方。</w:t>
      </w:r>
    </w:p>
    <w:p w14:paraId="7CCEA9B7">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w:t>
      </w:r>
      <w:r>
        <w:rPr>
          <w:rFonts w:hint="eastAsia" w:ascii="宋体" w:hAnsi="宋体" w:eastAsia="宋体" w:cs="宋体"/>
          <w:color w:val="auto"/>
          <w:kern w:val="0"/>
          <w:sz w:val="21"/>
          <w:szCs w:val="21"/>
          <w:highlight w:val="none"/>
        </w:rPr>
        <w:t>日内予以补足</w:t>
      </w:r>
      <w:r>
        <w:rPr>
          <w:rFonts w:hint="eastAsia" w:ascii="宋体" w:hAnsi="宋体" w:eastAsia="宋体" w:cs="宋体"/>
          <w:color w:val="auto"/>
          <w:sz w:val="21"/>
          <w:szCs w:val="21"/>
          <w:highlight w:val="none"/>
        </w:rPr>
        <w:t>。逾期不予补足的，甲方有权按需补足的金额要求乙方承担违约金，并要求限期补足。如乙方仍不补足的，甲方有权单方解除合同</w:t>
      </w:r>
      <w:r>
        <w:rPr>
          <w:rFonts w:hint="eastAsia" w:ascii="宋体" w:hAnsi="宋体" w:eastAsia="宋体" w:cs="宋体"/>
          <w:color w:val="auto"/>
          <w:kern w:val="0"/>
          <w:sz w:val="21"/>
          <w:szCs w:val="21"/>
          <w:highlight w:val="none"/>
        </w:rPr>
        <w:t>，违约金可直接从未付合同款或履约担保中扣除</w:t>
      </w:r>
      <w:r>
        <w:rPr>
          <w:rFonts w:hint="eastAsia" w:ascii="宋体" w:hAnsi="宋体" w:eastAsia="宋体" w:cs="宋体"/>
          <w:color w:val="auto"/>
          <w:sz w:val="21"/>
          <w:szCs w:val="21"/>
          <w:highlight w:val="none"/>
        </w:rPr>
        <w:t>。</w:t>
      </w:r>
    </w:p>
    <w:p w14:paraId="4AA2E7A1">
      <w:pPr>
        <w:widowControl/>
        <w:adjustRightInd w:val="0"/>
        <w:snapToGrid w:val="0"/>
        <w:spacing w:line="360" w:lineRule="auto"/>
        <w:rPr>
          <w:rFonts w:hint="eastAsia" w:ascii="宋体" w:hAnsi="宋体" w:eastAsia="宋体" w:cs="宋体"/>
          <w:color w:val="auto"/>
          <w:sz w:val="21"/>
          <w:szCs w:val="21"/>
          <w:highlight w:val="none"/>
        </w:rPr>
      </w:pPr>
    </w:p>
    <w:p w14:paraId="723235F6">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95" w:name="_Toc2445"/>
      <w:bookmarkStart w:id="496" w:name="_Toc14555"/>
      <w:r>
        <w:rPr>
          <w:rFonts w:hint="eastAsia" w:ascii="宋体" w:hAnsi="宋体" w:eastAsia="宋体" w:cs="宋体"/>
          <w:b/>
          <w:color w:val="auto"/>
          <w:sz w:val="21"/>
          <w:szCs w:val="21"/>
          <w:highlight w:val="none"/>
        </w:rPr>
        <w:t>十二、其他约定</w:t>
      </w:r>
      <w:bookmarkEnd w:id="495"/>
      <w:bookmarkEnd w:id="496"/>
    </w:p>
    <w:p w14:paraId="70E4EBB9">
      <w:pPr>
        <w:widowControl/>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本合同专用条款第十二条“其他约定”若与本合同其他条款内容不相一致的，以第十二条优先解释、处理。</w:t>
      </w:r>
    </w:p>
    <w:p w14:paraId="484049DF">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1.支付、结算条款一览表</w:t>
      </w:r>
    </w:p>
    <w:tbl>
      <w:tblPr>
        <w:tblStyle w:val="37"/>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087"/>
        <w:gridCol w:w="8321"/>
      </w:tblGrid>
      <w:tr w14:paraId="3718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33AFB24A">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序号</w:t>
            </w:r>
          </w:p>
        </w:tc>
        <w:tc>
          <w:tcPr>
            <w:tcW w:w="1087" w:type="dxa"/>
            <w:vAlign w:val="center"/>
          </w:tcPr>
          <w:p w14:paraId="5C787410">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类别</w:t>
            </w:r>
          </w:p>
        </w:tc>
        <w:tc>
          <w:tcPr>
            <w:tcW w:w="8321" w:type="dxa"/>
            <w:vAlign w:val="center"/>
          </w:tcPr>
          <w:p w14:paraId="1BB3A977">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具体条款</w:t>
            </w:r>
          </w:p>
        </w:tc>
      </w:tr>
      <w:tr w14:paraId="7761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5E2084BA">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p>
        </w:tc>
        <w:tc>
          <w:tcPr>
            <w:tcW w:w="1087" w:type="dxa"/>
            <w:vAlign w:val="center"/>
          </w:tcPr>
          <w:p w14:paraId="16D68A78">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定金或预付款</w:t>
            </w:r>
          </w:p>
        </w:tc>
        <w:tc>
          <w:tcPr>
            <w:tcW w:w="8321" w:type="dxa"/>
            <w:vAlign w:val="center"/>
          </w:tcPr>
          <w:p w14:paraId="2FEFD3BC">
            <w:pPr>
              <w:keepNext w:val="0"/>
              <w:keepLines w:val="0"/>
              <w:suppressLineNumbers w:val="0"/>
              <w:wordWrap w:val="0"/>
              <w:spacing w:before="0" w:beforeAutospacing="0" w:after="0" w:afterAutospacing="0" w:line="360" w:lineRule="auto"/>
              <w:ind w:left="0" w:right="0" w:firstLine="422" w:firstLineChars="20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项目业主向乙方支付定金金额: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或预付款的金额：</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p w14:paraId="3EA685C3">
            <w:pPr>
              <w:keepNext w:val="0"/>
              <w:keepLines w:val="0"/>
              <w:suppressLineNumbers w:val="0"/>
              <w:wordWrap w:val="0"/>
              <w:adjustRightInd w:val="0"/>
              <w:snapToGrid w:val="0"/>
              <w:spacing w:before="0" w:beforeAutospacing="0" w:after="0" w:afterAutospacing="0" w:line="360" w:lineRule="auto"/>
              <w:ind w:left="0" w:right="0" w:firstLine="422" w:firstLineChars="201"/>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定金或预付款在进度款中的抵扣办法：</w:t>
            </w:r>
            <w:r>
              <w:rPr>
                <w:rFonts w:hint="eastAsia" w:ascii="宋体" w:hAnsi="宋体" w:eastAsia="宋体" w:cs="宋体"/>
                <w:color w:val="auto"/>
                <w:sz w:val="21"/>
                <w:szCs w:val="21"/>
                <w:highlight w:val="none"/>
                <w:u w:val="single"/>
              </w:rPr>
              <w:t xml:space="preserve">   /   </w:t>
            </w:r>
          </w:p>
        </w:tc>
      </w:tr>
      <w:tr w14:paraId="5D8C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357E276C">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p>
        </w:tc>
        <w:tc>
          <w:tcPr>
            <w:tcW w:w="1087" w:type="dxa"/>
            <w:vAlign w:val="center"/>
          </w:tcPr>
          <w:p w14:paraId="451173DA">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检测费用支付方式</w:t>
            </w:r>
          </w:p>
        </w:tc>
        <w:tc>
          <w:tcPr>
            <w:tcW w:w="8321" w:type="dxa"/>
            <w:vAlign w:val="center"/>
          </w:tcPr>
          <w:p w14:paraId="639BB1BD">
            <w:pPr>
              <w:keepNext w:val="0"/>
              <w:keepLines w:val="0"/>
              <w:widowControl w:val="0"/>
              <w:suppressLineNumbers w:val="0"/>
              <w:wordWrap/>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向甲方、丙方承诺，丙方有权直接向乙方支付合同价款，也有权委托甲方向乙方代付价款，具体支付方式以甲方通知为准，乙方对此不持异议。如丙方委托甲方向乙方代付工程价款的，因甲方系受丙方委托代付，乙方承诺不得就合同款项问题向甲方主张任何权利，乙方同意甲方亦无需承担任何责任；如因款项支付产生纠纷的(包括但不限于诉讼等)，由乙方与丙方协调处理，与甲方无关。</w:t>
            </w:r>
          </w:p>
          <w:p w14:paraId="26BB4516">
            <w:pPr>
              <w:keepNext w:val="0"/>
              <w:keepLines w:val="0"/>
              <w:widowControl w:val="0"/>
              <w:suppressLineNumbers w:val="0"/>
              <w:wordWrap/>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2、以季度为单位，即按季度计量支付进度款，乙方须向甲方提供相应的正式检测报告，经监理人及甲方审核通过后，丙方或甲方应在乙方提交对应的请款报告30天内向乙方支付进度款。</w:t>
            </w:r>
          </w:p>
          <w:p w14:paraId="27A23E2D">
            <w:pPr>
              <w:keepNext w:val="0"/>
              <w:keepLines w:val="0"/>
              <w:widowControl w:val="0"/>
              <w:suppressLineNumbers w:val="0"/>
              <w:wordWrap/>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丙方或甲方以季度为单位按经监理人及甲方审核通过的检测报告所涉款项的80%支付本合同进度款，但丙方或甲方累计支付的进度款不超过暂定总合同价款价税合计的80%，待工程竣工验收合格，项目结算完毕，并提交请款报告后30天内，丙方或甲方按结算价一次性支付余款。</w:t>
            </w:r>
          </w:p>
          <w:p w14:paraId="0AA248E1">
            <w:pPr>
              <w:keepNext w:val="0"/>
              <w:keepLines w:val="0"/>
              <w:widowControl w:val="0"/>
              <w:suppressLineNumbers w:val="0"/>
              <w:wordWrap/>
              <w:adjustRightInd w:val="0"/>
              <w:snapToGrid w:val="0"/>
              <w:spacing w:before="0" w:beforeAutospacing="0" w:after="0" w:afterAutospacing="0" w:line="360" w:lineRule="auto"/>
              <w:ind w:left="0" w:right="0" w:firstLine="420" w:firstLineChars="200"/>
              <w:contextualSpacing/>
              <w:jc w:val="both"/>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4、乙方收取每笔款项前，在提交请款报告的同时一并提供等额有效的增值税普通发票，丙方或甲方在收到相关请款材料审核后支付；乙方逾期提交请款材料或提供的发票不合格的，丙方或甲方的付款时间可相应顺延，且不视为违约。因支付产生的相关银行手续费用，根据有关银行规定执行，如不能明确费用承担主体的，相关手续费用由双方各承担50%。由于乙方提供的发票不符合税法规定，给丙方或甲方造成的损失由乙方承担赔偿责任。</w:t>
            </w:r>
          </w:p>
        </w:tc>
      </w:tr>
      <w:tr w14:paraId="7B5A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68388BA0">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w:t>
            </w:r>
          </w:p>
        </w:tc>
        <w:tc>
          <w:tcPr>
            <w:tcW w:w="1087" w:type="dxa"/>
            <w:vAlign w:val="center"/>
          </w:tcPr>
          <w:p w14:paraId="55EE6158">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合同价款结算</w:t>
            </w:r>
          </w:p>
        </w:tc>
        <w:tc>
          <w:tcPr>
            <w:tcW w:w="8321" w:type="dxa"/>
            <w:vAlign w:val="center"/>
          </w:tcPr>
          <w:p w14:paraId="40E201FE">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暂定总合同价款（即销售额，不含乙方销项税额）（大写）：人民币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）。检测服务系数为</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w:t>
            </w:r>
          </w:p>
          <w:p w14:paraId="0BAAD68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依法计得并根据本合同约定确定的销项税额由丙方</w:t>
            </w:r>
            <w:r>
              <w:rPr>
                <w:rFonts w:hint="eastAsia" w:ascii="宋体" w:hAnsi="宋体" w:eastAsia="宋体" w:cs="宋体"/>
                <w:color w:val="auto"/>
                <w:sz w:val="21"/>
                <w:szCs w:val="21"/>
                <w:highlight w:val="none"/>
                <w:lang w:val="en-US" w:eastAsia="zh-CN"/>
              </w:rPr>
              <w:t>或甲方</w:t>
            </w:r>
            <w:r>
              <w:rPr>
                <w:rFonts w:hint="eastAsia" w:ascii="宋体" w:hAnsi="宋体" w:eastAsia="宋体" w:cs="宋体"/>
                <w:color w:val="auto"/>
                <w:sz w:val="21"/>
                <w:szCs w:val="21"/>
                <w:highlight w:val="none"/>
              </w:rPr>
              <w:t>承担。根据《中华人民共和国增值税暂行条例》(国务院令第691号修订版)及当前税务部门的相关规定，本合同项目的增值税税率为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%，对应暂定总合同价款的销项税额为人民币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）。增值税税率根据《中华人民共和国增值税暂行条例》（国务院令第691号修订版）及当前税务部门的相关规定,支付和结算时按实进行调整。</w:t>
            </w:r>
          </w:p>
          <w:p w14:paraId="3307BA79">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暂定总合同价款价税合计（以下简称“暂定总合同价款（含税）”，大写）：人民币</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698DE02D">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合同附件一《工程量清单计价表》的不含税综合单价（即结算不含税综合单价）等于招标文件附件《工程量清单计价表》列出的不含税综合单价乘以中标报价（检测服务系数），结算时不作调整</w:t>
            </w:r>
            <w:r>
              <w:rPr>
                <w:rFonts w:hint="eastAsia" w:ascii="宋体" w:hAnsi="宋体" w:eastAsia="宋体" w:cs="宋体"/>
                <w:color w:val="auto"/>
                <w:sz w:val="21"/>
                <w:szCs w:val="21"/>
                <w:highlight w:val="none"/>
              </w:rPr>
              <w:t>，再结合本项目最终经甲方（含其委托的第三方审核机构）、监理人审核确认的检测（试验）方案及甲方（含其委托的第三方审核机构）、监理人确认的实际检测（试验）工作量按实结算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val="en-US" w:eastAsia="zh-CN"/>
              </w:rPr>
              <w:t>但最终结算价不得超出暂定总合同价款(含税)。</w:t>
            </w:r>
          </w:p>
          <w:p w14:paraId="56D37B1E">
            <w:pPr>
              <w:keepNext w:val="0"/>
              <w:keepLines w:val="0"/>
              <w:widowControl w:val="0"/>
              <w:suppressLineNumbers w:val="0"/>
              <w:wordWrap/>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综合单价包含</w:t>
            </w:r>
            <w:r>
              <w:rPr>
                <w:rFonts w:hint="eastAsia" w:ascii="宋体" w:hAnsi="宋体" w:eastAsia="宋体" w:cs="宋体"/>
                <w:color w:val="auto"/>
                <w:kern w:val="2"/>
                <w:sz w:val="21"/>
                <w:szCs w:val="21"/>
                <w:highlight w:val="none"/>
              </w:rPr>
              <w:t>人工（含雨季、高温、赶工和夜间作业加班费，以及现场检测或试验所需的辅助劳务）、材料、仪器设备、机械、试件加工、检测（试验）及其措施（含施工期间设施的照管及受损设施的修复等）、试坑开挖、桩头处理、加荷体吊装运输、重锤吊装及运输费、钻孔费、引孔费、道路修填、临时设施费、技术工作收费、安全措施、驻地项目部等完成全部检测（试验）工作所需费用及利润、</w:t>
            </w:r>
            <w:r>
              <w:rPr>
                <w:rFonts w:hint="eastAsia" w:ascii="宋体" w:hAnsi="宋体" w:eastAsia="宋体" w:cs="宋体"/>
                <w:color w:val="auto"/>
                <w:kern w:val="2"/>
                <w:sz w:val="21"/>
                <w:szCs w:val="21"/>
                <w:highlight w:val="none"/>
                <w:lang w:eastAsia="zh-CN"/>
              </w:rPr>
              <w:t>乙方</w:t>
            </w:r>
            <w:r>
              <w:rPr>
                <w:rFonts w:hint="eastAsia" w:ascii="宋体" w:hAnsi="宋体" w:eastAsia="宋体" w:cs="宋体"/>
                <w:color w:val="auto"/>
                <w:kern w:val="2"/>
                <w:sz w:val="21"/>
                <w:szCs w:val="21"/>
                <w:highlight w:val="none"/>
              </w:rPr>
              <w:t>销项税额以外的税金</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报价过程产生的费用、办理履约担保费用、水电及进退场、差旅、驻地、办公设施、用品、食宿费、交通、通讯、施工配合费、保险费、风险费、检测方案的审查及专家论证费等完成本项目服务相关的直接及间接费用</w:t>
            </w:r>
            <w:r>
              <w:rPr>
                <w:rFonts w:hint="eastAsia" w:ascii="宋体" w:hAnsi="宋体" w:eastAsia="宋体" w:cs="宋体"/>
                <w:color w:val="auto"/>
                <w:sz w:val="21"/>
                <w:szCs w:val="21"/>
                <w:highlight w:val="none"/>
              </w:rPr>
              <w:t>。除另有约定外，本工程检测（试验）的</w:t>
            </w: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sz w:val="21"/>
                <w:szCs w:val="21"/>
                <w:highlight w:val="none"/>
              </w:rPr>
              <w:t>综合单价在合同实施期间不因任何因素而调整（包括但不限于工程的工期延长、检测工作量变化等），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丙方</w:t>
            </w:r>
            <w:r>
              <w:rPr>
                <w:rFonts w:hint="eastAsia" w:ascii="宋体" w:hAnsi="宋体" w:eastAsia="宋体" w:cs="宋体"/>
                <w:color w:val="auto"/>
                <w:sz w:val="21"/>
                <w:szCs w:val="21"/>
                <w:highlight w:val="none"/>
              </w:rPr>
              <w:t>也不承担任何额外费用。检测时，如需土建施工单位配合或向其租借设备时，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自行与施工单位协调，配合及租借费用。</w:t>
            </w:r>
          </w:p>
        </w:tc>
      </w:tr>
      <w:tr w14:paraId="41405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vAlign w:val="center"/>
          </w:tcPr>
          <w:p w14:paraId="73BFAC6E">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w:t>
            </w:r>
          </w:p>
        </w:tc>
        <w:tc>
          <w:tcPr>
            <w:tcW w:w="1087" w:type="dxa"/>
            <w:vAlign w:val="center"/>
          </w:tcPr>
          <w:p w14:paraId="1370C1A8">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kern w:val="2"/>
                <w:sz w:val="21"/>
                <w:szCs w:val="21"/>
                <w:highlight w:val="none"/>
              </w:rPr>
              <w:t>第三方检测合同计费依据</w:t>
            </w:r>
          </w:p>
        </w:tc>
        <w:tc>
          <w:tcPr>
            <w:tcW w:w="8321" w:type="dxa"/>
            <w:vAlign w:val="center"/>
          </w:tcPr>
          <w:p w14:paraId="0709849C">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（1）本项目的计费标准按照合同附件一《工程量清单计价表》（详见附件）中的不含税</w:t>
            </w:r>
            <w:r>
              <w:rPr>
                <w:rFonts w:hint="eastAsia" w:ascii="宋体" w:hAnsi="宋体" w:eastAsia="宋体" w:cs="宋体"/>
                <w:color w:val="auto"/>
                <w:sz w:val="21"/>
                <w:szCs w:val="21"/>
                <w:highlight w:val="none"/>
              </w:rPr>
              <w:t>综合单价×实际检测工作量进行结算。</w:t>
            </w:r>
          </w:p>
          <w:p w14:paraId="304A5F2C">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（2）《工程量清单计价表》不作为乙方最终服务范围及业务承接数量的保证，甲方有权根据实际需求对检测工程量进行优化调整，最终服务费用按实际发生工程量结算</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Cs w:val="21"/>
                <w:highlight w:val="none"/>
                <w:lang w:val="en-US" w:eastAsia="zh-CN"/>
              </w:rPr>
              <w:t>但最终结算价不得超出暂定总合同价款(含税)。</w:t>
            </w:r>
            <w:r>
              <w:rPr>
                <w:rFonts w:hint="eastAsia" w:ascii="宋体" w:hAnsi="宋体" w:eastAsia="宋体" w:cs="宋体"/>
                <w:bCs/>
                <w:color w:val="auto"/>
                <w:sz w:val="21"/>
                <w:szCs w:val="21"/>
                <w:highlight w:val="none"/>
              </w:rPr>
              <w:t>在合同服务期内，乙方不得因实际检测项目数量及服务费用的增减而要求甲方提供任何形式的补偿或赔偿，或只按甲方暂定的《工程量清单计价表》提供相应的对应服务。否则，视为乙方违约，甲方有权依据合同约定追究乙方的违约责任。</w:t>
            </w:r>
          </w:p>
          <w:p w14:paraId="220071D7">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（3）对于《工程量清单计价表》外新增的检测项目，不含税综合单价按以下方法计算：</w:t>
            </w:r>
          </w:p>
          <w:p w14:paraId="4EC05C97">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①《东莞市建设工程检测行业参考收费标准（2023版）》（东检协字（2023）3号）对应项参考单价÷1.06×</w:t>
            </w:r>
            <w:r>
              <w:rPr>
                <w:rFonts w:hint="eastAsia" w:ascii="宋体" w:hAnsi="宋体" w:eastAsia="宋体" w:cs="宋体"/>
                <w:bCs/>
                <w:color w:val="auto"/>
                <w:sz w:val="21"/>
                <w:szCs w:val="21"/>
                <w:highlight w:val="none"/>
                <w:lang w:eastAsia="zh-CN"/>
              </w:rPr>
              <w:t>中标检测服务系数</w:t>
            </w:r>
            <w:r>
              <w:rPr>
                <w:rFonts w:hint="eastAsia" w:ascii="宋体" w:hAnsi="宋体" w:eastAsia="宋体" w:cs="宋体"/>
                <w:bCs/>
                <w:color w:val="auto"/>
                <w:sz w:val="21"/>
                <w:szCs w:val="21"/>
                <w:highlight w:val="none"/>
              </w:rPr>
              <w:t>；</w:t>
            </w:r>
          </w:p>
          <w:p w14:paraId="6B23CBF6">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Cs/>
                <w:color w:val="auto"/>
                <w:sz w:val="21"/>
                <w:szCs w:val="21"/>
                <w:highlight w:val="none"/>
                <w:lang w:eastAsia="zh-CN"/>
              </w:rPr>
              <w:t>中标检测服务系数</w:t>
            </w:r>
            <w:r>
              <w:rPr>
                <w:rFonts w:hint="eastAsia" w:ascii="宋体" w:hAnsi="宋体" w:eastAsia="宋体" w:cs="宋体"/>
                <w:bCs/>
                <w:color w:val="auto"/>
                <w:sz w:val="21"/>
                <w:szCs w:val="21"/>
                <w:highlight w:val="none"/>
              </w:rPr>
              <w:t>；</w:t>
            </w:r>
          </w:p>
          <w:p w14:paraId="4C123DD3">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③《东莞市建设工程检测行业参考收费标准（2023版）》（东检协字（2023）3号）与《广东省房屋建筑和市政工程工程质量安全检测收费指导价》（粤建检协〔2015〕8号）均无对应项的，由甲方结合本地及周边同类城市市场询价</w:t>
            </w:r>
            <w:r>
              <w:rPr>
                <w:rFonts w:hint="eastAsia" w:ascii="宋体" w:hAnsi="宋体" w:eastAsia="宋体" w:cs="宋体"/>
                <w:color w:val="auto"/>
                <w:sz w:val="21"/>
                <w:szCs w:val="21"/>
                <w:highlight w:val="none"/>
              </w:rPr>
              <w:t>的不含税综合单价</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中标检测服务系数</w:t>
            </w:r>
            <w:r>
              <w:rPr>
                <w:rFonts w:hint="eastAsia" w:ascii="宋体" w:hAnsi="宋体" w:eastAsia="宋体" w:cs="宋体"/>
                <w:bCs/>
                <w:color w:val="auto"/>
                <w:sz w:val="21"/>
                <w:szCs w:val="21"/>
                <w:highlight w:val="none"/>
              </w:rPr>
              <w:t>。</w:t>
            </w:r>
          </w:p>
          <w:p w14:paraId="3ABE3F85">
            <w:pPr>
              <w:keepNext w:val="0"/>
              <w:keepLines w:val="0"/>
              <w:suppressLineNumbers w:val="0"/>
              <w:adjustRightInd w:val="0"/>
              <w:snapToGrid w:val="0"/>
              <w:spacing w:before="0" w:beforeAutospacing="0" w:after="0" w:afterAutospacing="0" w:line="360" w:lineRule="auto"/>
              <w:ind w:left="0" w:right="0"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以上不含税综合单价均保留两位小数。</w:t>
            </w:r>
          </w:p>
        </w:tc>
      </w:tr>
      <w:tr w14:paraId="6A6B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4" w:hRule="atLeast"/>
          <w:jc w:val="center"/>
        </w:trPr>
        <w:tc>
          <w:tcPr>
            <w:tcW w:w="960" w:type="dxa"/>
            <w:vAlign w:val="center"/>
          </w:tcPr>
          <w:p w14:paraId="5F96958A">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w:t>
            </w:r>
          </w:p>
        </w:tc>
        <w:tc>
          <w:tcPr>
            <w:tcW w:w="1087" w:type="dxa"/>
            <w:vAlign w:val="center"/>
          </w:tcPr>
          <w:p w14:paraId="3C15F3E0">
            <w:pPr>
              <w:pStyle w:val="7"/>
              <w:suppressLineNumbers w:val="0"/>
              <w:wordWrap w:val="0"/>
              <w:snapToGrid w:val="0"/>
              <w:spacing w:before="0" w:beforeAutospacing="0" w:after="0" w:afterAutospacing="0" w:line="360" w:lineRule="auto"/>
              <w:ind w:left="0" w:right="0"/>
              <w:jc w:val="center"/>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结算调整规则、范围及方式</w:t>
            </w:r>
          </w:p>
        </w:tc>
        <w:tc>
          <w:tcPr>
            <w:tcW w:w="8321" w:type="dxa"/>
            <w:vAlign w:val="center"/>
          </w:tcPr>
          <w:p w14:paraId="3CC7C63B">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结算调整的范围：因设计变更、改线或者重大工艺变更等工程变更引起的检测（试验）项目的变更，包含检测项目增减和已有检测项目中工作量的增减，乙方在实施前，须提出变更申请，经本工程的设计人、监理人及甲方（含其委托的第三方审核机构）批准后方可实施。</w:t>
            </w:r>
          </w:p>
          <w:p w14:paraId="6D777F0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（2）工程变更项目检测的计价：</w:t>
            </w:r>
            <w:r>
              <w:rPr>
                <w:rFonts w:hint="eastAsia" w:ascii="宋体" w:hAnsi="宋体" w:eastAsia="宋体" w:cs="宋体"/>
                <w:b/>
                <w:bCs/>
                <w:color w:val="auto"/>
                <w:sz w:val="21"/>
                <w:szCs w:val="21"/>
                <w:highlight w:val="none"/>
              </w:rPr>
              <w:t>合同价中已有适用于变更检测项目的不含税综合单价，按合同已有的不含税综合单价变更合同价款；合同中已有类似变更检测项目的不含税综合单价，可参照类似检测项目不含税综合单价变更合同价款；合同中没有适用于变更检测项目的不含税综合单价，经批准变更后，按照《东莞市建设工程检测行业参考收费标准（2023版）》（东检协字（2023）3号）对应项参考单价÷1.06×</w:t>
            </w:r>
            <w:r>
              <w:rPr>
                <w:rFonts w:hint="eastAsia" w:ascii="宋体" w:hAnsi="宋体" w:eastAsia="宋体" w:cs="宋体"/>
                <w:b/>
                <w:color w:val="auto"/>
                <w:sz w:val="21"/>
                <w:szCs w:val="21"/>
                <w:highlight w:val="none"/>
                <w:lang w:eastAsia="zh-CN"/>
              </w:rPr>
              <w:t>中标检测服务系数</w:t>
            </w:r>
            <w:r>
              <w:rPr>
                <w:rFonts w:hint="eastAsia" w:ascii="宋体" w:hAnsi="宋体" w:eastAsia="宋体" w:cs="宋体"/>
                <w:b/>
                <w:bCs/>
                <w:color w:val="auto"/>
                <w:sz w:val="21"/>
                <w:szCs w:val="21"/>
                <w:highlight w:val="none"/>
              </w:rPr>
              <w:t>，《东莞市建设工程检测行业参考收费标准(2023版)》（东检协字（2023）3号）中无对应项，则按照《广东省房屋建筑和市政工程工程质量安全检测收费指导价》（粤建检协〔2015〕8号）对应项单价÷1.06×</w:t>
            </w:r>
            <w:r>
              <w:rPr>
                <w:rFonts w:hint="eastAsia" w:ascii="宋体" w:hAnsi="宋体" w:eastAsia="宋体" w:cs="宋体"/>
                <w:b/>
                <w:color w:val="auto"/>
                <w:sz w:val="21"/>
                <w:szCs w:val="21"/>
                <w:highlight w:val="none"/>
                <w:lang w:eastAsia="zh-CN"/>
              </w:rPr>
              <w:t>中标检测服务系数</w:t>
            </w:r>
            <w:r>
              <w:rPr>
                <w:rFonts w:hint="eastAsia" w:ascii="宋体" w:hAnsi="宋体" w:eastAsia="宋体" w:cs="宋体"/>
                <w:b/>
                <w:bCs/>
                <w:color w:val="auto"/>
                <w:sz w:val="21"/>
                <w:szCs w:val="21"/>
                <w:highlight w:val="none"/>
              </w:rPr>
              <w:t>,《东莞市建设工程检测行业参考收费标准(2023版)》（东检协字（2023）3号）与《广东省房屋建筑和市政工程工程质量安全检测收费指导价》（粤建检协〔2015〕8号）均无对应项的，由甲方结合本地及周边同类城市市场询价的不含税综合单价×</w:t>
            </w:r>
            <w:r>
              <w:rPr>
                <w:rFonts w:hint="eastAsia" w:ascii="宋体" w:hAnsi="宋体" w:eastAsia="宋体" w:cs="宋体"/>
                <w:b/>
                <w:color w:val="auto"/>
                <w:sz w:val="21"/>
                <w:szCs w:val="21"/>
                <w:highlight w:val="none"/>
                <w:lang w:eastAsia="zh-CN"/>
              </w:rPr>
              <w:t>中标检测服务系数</w:t>
            </w:r>
            <w:r>
              <w:rPr>
                <w:rFonts w:hint="eastAsia" w:ascii="宋体" w:hAnsi="宋体" w:eastAsia="宋体" w:cs="宋体"/>
                <w:b/>
                <w:bCs/>
                <w:color w:val="auto"/>
                <w:sz w:val="21"/>
                <w:szCs w:val="21"/>
                <w:highlight w:val="none"/>
              </w:rPr>
              <w:t>计算。所有变更的检测项目均须书面向甲方申报，经甲方（含其委托的第三方审核机构）审核批准同意后方可实施。</w:t>
            </w:r>
          </w:p>
          <w:p w14:paraId="1ADE7492">
            <w:pPr>
              <w:keepNext w:val="0"/>
              <w:keepLines w:val="0"/>
              <w:suppressLineNumbers w:val="0"/>
              <w:adjustRightInd w:val="0"/>
              <w:snapToGrid w:val="0"/>
              <w:spacing w:before="0" w:beforeAutospacing="0" w:after="0" w:afterAutospacing="0" w:line="360" w:lineRule="auto"/>
              <w:ind w:left="0" w:right="0" w:firstLine="422" w:firstLineChars="200"/>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（3）在完成所有合同内容并具备结算条件3个月后，仍未报结算资料，甲方将书面发函督促办理结算，函中明确接到函件10个工作日后，仍未提交结算资料，或不配合甲方完成结算工作，丙方</w:t>
            </w:r>
            <w:r>
              <w:rPr>
                <w:rFonts w:hint="eastAsia" w:ascii="宋体" w:hAnsi="宋体" w:eastAsia="宋体" w:cs="宋体"/>
                <w:b/>
                <w:bCs/>
                <w:color w:val="auto"/>
                <w:sz w:val="21"/>
                <w:szCs w:val="21"/>
                <w:highlight w:val="none"/>
                <w:lang w:val="en-US" w:eastAsia="zh-CN"/>
              </w:rPr>
              <w:t>或甲方</w:t>
            </w:r>
            <w:r>
              <w:rPr>
                <w:rFonts w:hint="eastAsia" w:ascii="宋体" w:hAnsi="宋体" w:eastAsia="宋体" w:cs="宋体"/>
                <w:b/>
                <w:bCs/>
                <w:color w:val="auto"/>
                <w:sz w:val="21"/>
                <w:szCs w:val="21"/>
                <w:highlight w:val="none"/>
              </w:rPr>
              <w:t>将根据已支付的进度款进行单方结算，由此所产生的法律责任均由乙方承担。</w:t>
            </w:r>
          </w:p>
        </w:tc>
      </w:tr>
    </w:tbl>
    <w:p w14:paraId="5F788C3C">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4A71A35A">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2.权利和</w:t>
      </w:r>
      <w:r>
        <w:rPr>
          <w:rFonts w:hint="eastAsia" w:ascii="宋体" w:hAnsi="宋体" w:eastAsia="宋体" w:cs="宋体"/>
          <w:color w:val="auto"/>
          <w:sz w:val="21"/>
          <w:szCs w:val="21"/>
          <w:highlight w:val="none"/>
        </w:rPr>
        <w:t>义务</w:t>
      </w:r>
      <w:r>
        <w:rPr>
          <w:rFonts w:hint="eastAsia" w:ascii="宋体" w:hAnsi="宋体" w:eastAsia="宋体" w:cs="宋体"/>
          <w:bCs/>
          <w:color w:val="auto"/>
          <w:sz w:val="21"/>
          <w:szCs w:val="21"/>
          <w:highlight w:val="none"/>
        </w:rPr>
        <w:t>一览表</w:t>
      </w:r>
    </w:p>
    <w:tbl>
      <w:tblPr>
        <w:tblStyle w:val="36"/>
        <w:tblW w:w="103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4"/>
        <w:gridCol w:w="1095"/>
        <w:gridCol w:w="8309"/>
      </w:tblGrid>
      <w:tr w14:paraId="036C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4" w:type="dxa"/>
            <w:tcBorders>
              <w:top w:val="single" w:color="000000" w:sz="4" w:space="0"/>
              <w:left w:val="single" w:color="000000" w:sz="4" w:space="0"/>
              <w:bottom w:val="single" w:color="auto" w:sz="4" w:space="0"/>
              <w:right w:val="single" w:color="000000" w:sz="4" w:space="0"/>
            </w:tcBorders>
            <w:vAlign w:val="center"/>
          </w:tcPr>
          <w:p w14:paraId="0E48EF60">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1095" w:type="dxa"/>
            <w:tcBorders>
              <w:top w:val="single" w:color="000000" w:sz="4" w:space="0"/>
              <w:left w:val="single" w:color="000000" w:sz="4" w:space="0"/>
              <w:bottom w:val="single" w:color="auto" w:sz="4" w:space="0"/>
              <w:right w:val="single" w:color="000000" w:sz="4" w:space="0"/>
            </w:tcBorders>
            <w:vAlign w:val="center"/>
          </w:tcPr>
          <w:p w14:paraId="167EC468">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类别</w:t>
            </w:r>
          </w:p>
        </w:tc>
        <w:tc>
          <w:tcPr>
            <w:tcW w:w="8309" w:type="dxa"/>
            <w:tcBorders>
              <w:top w:val="single" w:color="000000" w:sz="4" w:space="0"/>
              <w:left w:val="single" w:color="000000" w:sz="4" w:space="0"/>
              <w:bottom w:val="single" w:color="000000" w:sz="4" w:space="0"/>
              <w:right w:val="single" w:color="000000" w:sz="4" w:space="0"/>
            </w:tcBorders>
            <w:vAlign w:val="center"/>
          </w:tcPr>
          <w:p w14:paraId="7E83E83D">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具体条款</w:t>
            </w:r>
          </w:p>
        </w:tc>
      </w:tr>
      <w:tr w14:paraId="1187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7" w:hRule="atLeast"/>
        </w:trPr>
        <w:tc>
          <w:tcPr>
            <w:tcW w:w="964" w:type="dxa"/>
            <w:tcBorders>
              <w:top w:val="single" w:color="auto" w:sz="4" w:space="0"/>
              <w:left w:val="single" w:color="auto" w:sz="4" w:space="0"/>
              <w:bottom w:val="single" w:color="auto" w:sz="4" w:space="0"/>
              <w:right w:val="single" w:color="auto" w:sz="4" w:space="0"/>
            </w:tcBorders>
            <w:vAlign w:val="center"/>
          </w:tcPr>
          <w:p w14:paraId="4C8E93F1">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1095" w:type="dxa"/>
            <w:tcBorders>
              <w:top w:val="single" w:color="auto" w:sz="4" w:space="0"/>
              <w:left w:val="single" w:color="auto" w:sz="4" w:space="0"/>
              <w:bottom w:val="single" w:color="auto" w:sz="4" w:space="0"/>
              <w:right w:val="single" w:color="auto" w:sz="4" w:space="0"/>
            </w:tcBorders>
            <w:vAlign w:val="center"/>
          </w:tcPr>
          <w:p w14:paraId="59BFA513">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甲方权利和义务</w:t>
            </w:r>
          </w:p>
        </w:tc>
        <w:tc>
          <w:tcPr>
            <w:tcW w:w="8309" w:type="dxa"/>
            <w:tcBorders>
              <w:top w:val="single" w:color="000000" w:sz="4" w:space="0"/>
              <w:left w:val="single" w:color="000000" w:sz="4" w:space="0"/>
              <w:bottom w:val="single" w:color="000000" w:sz="4" w:space="0"/>
              <w:right w:val="single" w:color="000000" w:sz="4" w:space="0"/>
            </w:tcBorders>
            <w:vAlign w:val="center"/>
          </w:tcPr>
          <w:p w14:paraId="673392AC">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（1）在合同履行期间，有权对乙方进行监督和检查，并要求其提供相关信息和资料。对乙方违反本合同约定、招投标文件规定的行为有权要求改正。</w:t>
            </w:r>
          </w:p>
          <w:p w14:paraId="310AB6A5">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（2）甲方有权对乙方服务人员、设备投入等进行监督、检查。如发现不符合招投标文件、合同约定的，有权要求补充、更换及追究乙方其他违约责任。</w:t>
            </w:r>
          </w:p>
          <w:p w14:paraId="0041E180">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（3）对发现乙方违反本合同、招投标文件或服务合同的有关规定或承诺，甲方有权追究乙方的违约责任，扣除或没收本合同履约担保。</w:t>
            </w:r>
          </w:p>
          <w:p w14:paraId="769F077A">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（4）协助乙方仪器及运输设备顺利进场。</w:t>
            </w:r>
          </w:p>
          <w:p w14:paraId="6217C7F1">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（5）监督受监施工单位定时向乙方提供进度计划，协调作业时间，保证乙方有足够时间展开检测工作。</w:t>
            </w:r>
          </w:p>
          <w:p w14:paraId="694B9912">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（6）有权对乙方的检测工作进行监督，对其违约行为发出整改通知。</w:t>
            </w:r>
          </w:p>
          <w:p w14:paraId="3A5F0132">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（7）合同履约期间，甲方有权对检测范围、要求、规模及特征等根据项目实际情况作出相应调整，调整后双方根据实际工作量进行结算。</w:t>
            </w:r>
          </w:p>
          <w:p w14:paraId="2481CAFB">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（8）甲方按照既定的审批程序，及时办理服务费的审批手续。</w:t>
            </w:r>
          </w:p>
          <w:p w14:paraId="324FC875">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（9）施工现场用水、用电在有条件的情况下由甲方负责提供水、电接入点，乙方自行接入。</w:t>
            </w:r>
          </w:p>
          <w:p w14:paraId="08BF059D">
            <w:pPr>
              <w:keepNext w:val="0"/>
              <w:keepLines w:val="0"/>
              <w:widowControl/>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（10）合同文件及附件内容约定的甲方其余权利义务。</w:t>
            </w:r>
          </w:p>
        </w:tc>
      </w:tr>
      <w:tr w14:paraId="13D19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84" w:hRule="atLeast"/>
        </w:trPr>
        <w:tc>
          <w:tcPr>
            <w:tcW w:w="964" w:type="dxa"/>
            <w:tcBorders>
              <w:top w:val="single" w:color="auto" w:sz="4" w:space="0"/>
              <w:left w:val="single" w:color="auto" w:sz="4" w:space="0"/>
              <w:bottom w:val="single" w:color="auto" w:sz="4" w:space="0"/>
              <w:right w:val="single" w:color="auto" w:sz="4" w:space="0"/>
            </w:tcBorders>
            <w:vAlign w:val="center"/>
          </w:tcPr>
          <w:p w14:paraId="71ACDFE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1095" w:type="dxa"/>
            <w:tcBorders>
              <w:top w:val="single" w:color="auto" w:sz="4" w:space="0"/>
              <w:left w:val="single" w:color="auto" w:sz="4" w:space="0"/>
              <w:bottom w:val="single" w:color="auto" w:sz="4" w:space="0"/>
              <w:right w:val="single" w:color="auto" w:sz="4" w:space="0"/>
            </w:tcBorders>
            <w:vAlign w:val="center"/>
          </w:tcPr>
          <w:p w14:paraId="3FA2B04E">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乙方权利和义务</w:t>
            </w:r>
          </w:p>
        </w:tc>
        <w:tc>
          <w:tcPr>
            <w:tcW w:w="8309" w:type="dxa"/>
            <w:tcBorders>
              <w:top w:val="single" w:color="000000" w:sz="4" w:space="0"/>
              <w:left w:val="single" w:color="000000" w:sz="4" w:space="0"/>
              <w:bottom w:val="single" w:color="000000" w:sz="4" w:space="0"/>
              <w:right w:val="single" w:color="000000" w:sz="4" w:space="0"/>
            </w:tcBorders>
            <w:vAlign w:val="center"/>
          </w:tcPr>
          <w:p w14:paraId="1BDD15FC">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的履行期间，乙方应当保持相应资质的有效性，且具备在东莞市开展检测服务工作的资格条件。因乙方资质条件丧失，导致无法开展检测工作的，甲方有权另行委托其他第三方，并且乙方需向甲方支付暂定总合同价款（含税）的20%的违约金。同时，造成甲方的经济损失（包括但不限于重新招标、委托第三方的费用），由乙方承担全部赔偿。</w:t>
            </w:r>
          </w:p>
          <w:p w14:paraId="78688B3F">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（2）对甲方委派的检测工作，乙方应当根据本合同约定、招投标文件及甲方要求进行开展，不得借故拒绝接受委托。</w:t>
            </w:r>
          </w:p>
          <w:p w14:paraId="19A5EE0E">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（3）按照国家颁发的有关检测技术标准或规范，采用科学先进的方法进行检测评估和试验过程的全程监控、记录，保证数据真实可靠，对检测结果真实性、准确性、合法性、完整性负责。</w:t>
            </w:r>
          </w:p>
          <w:p w14:paraId="28D59B2D">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提供的检测报告、数据成果、文件等质量不合格的，应负责无偿给予修改、补充完善使其达到甲方要求；如乙方怠于或无力修改、补充完善，甲方有权另委托其他单位继续进行，乙方应承担由此产生的全部检测费用及其他损失。</w:t>
            </w:r>
          </w:p>
          <w:p w14:paraId="35936BA8">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因乙方提供的检测报告、数据成果、文件等质量不合格造成甲方经济损失（包括但不限于检测变更费、增加工程费用等）或工程事故的，乙方应对造成的损失承担赔偿责任（包括但不限于施工单位损失赔偿、第三人侵权赔偿责任等），并根据违约行为向甲方支付违约金壹万元/次。如甲方实际损失高于违约金的，甲方有权另行追偿。</w:t>
            </w:r>
          </w:p>
          <w:p w14:paraId="5D130CC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在本合同履行期间，承担其聘请人员的用工责任及用人单位责任。为其雇员、劳动者依法提供劳动保护，为从事维护工作的人员购买社会保险或意外伤害保险，并为施工场地内自有人员生命财产和施工机械设备办理保险，承担并支付保险费用。如乙方人员（包括雇员、乙方劳动者等）在维护过程中发生意外事故、工伤、死亡的，由乙方承担全部责任并支付全部费用，甲方无须对这些意外事故、工伤、死亡承担任何责任，如甲方因此受到索赔并因此支付赔偿费用或者垫付了费用的，甲方有权向乙方追偿，甲方可启动履约担保支付。</w:t>
            </w:r>
          </w:p>
          <w:p w14:paraId="46C56F6A">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（7）严格遵守国家法律、法规，协助甲方做好社会治安综合管理工作和计划生育等工作。乙方员工有违法乱纪或犯罪的行为，乙方应承担一切经济责任和法律责任。</w:t>
            </w:r>
          </w:p>
          <w:p w14:paraId="2D820A06">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每逢法定节日（含元旦、春节、清明、端午、五一、中秋、国庆）或甲方上级单位或市有关部门进行监督检查时，乙方应无条件配合甲方及有关部门组织的突击性任务及迎检活动，按时、按标准、按要求完成甲方所分配的工作。积极响应并接受市、镇街相关主管部门及其他上级部门的监督检查并接受广大市民监督。</w:t>
            </w:r>
          </w:p>
          <w:p w14:paraId="766BFBF2">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建立健全内部管理制度，并接受甲方及有关主管部门对项目服务状况、服务质量的监督检查。如因质量问题、操作不当或乙方自身管理原因而造成一切责任及经济损失由乙方承担。因乙方原因导致甲方损失的，乙方应当全额赔偿甲方的损失。</w:t>
            </w:r>
          </w:p>
          <w:p w14:paraId="3E172FB4">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合同期限内保存好全部与检测服务相关的文件资料，且不得将上述文件资料向第三人披露或用于本项目之外的目的。在合同解除或终止后，按照甲方的要求，做好本项目的交接工作。如因资料缺失对甲方后续工作造成影响的，由此产生的费用由乙方全部承担。</w:t>
            </w:r>
          </w:p>
          <w:p w14:paraId="350C0A81">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（11）如施工现场甲方无法提供水、电接入点，乙方自行解决施工用水、用电并承担相关费用。</w:t>
            </w:r>
          </w:p>
          <w:p w14:paraId="3CC1B70F">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（12）乙方应按本合同及招、投标文件的要求按时提供检测报告和其他甲方认为有必要提供的中间过程资料、图表、照片（包括电子资料）等，以及向甲方提供咨询服务和建议。</w:t>
            </w:r>
          </w:p>
          <w:p w14:paraId="3B8DFF78">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（13）检测过程中，乙方自行对本单位的仪器、设备安全负责，自行承担保管职责，对检测所产生的水、电等费用由乙方负责。</w:t>
            </w:r>
          </w:p>
          <w:p w14:paraId="1644368A">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（14）与检测工程的施工单位、设计单位、监理单位等单位相互配合，数据共享。</w:t>
            </w:r>
          </w:p>
          <w:p w14:paraId="57DF1AB9">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（15）本合同约定范围内必要的修改，补充，应由乙方负责，甲方不再另付检测费用或其他费用。</w:t>
            </w:r>
          </w:p>
          <w:p w14:paraId="5BACFE9E">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在检测现场的工作人员，应遵守的施工现场安全保卫及其他有关的规章制度，承担其有关资料保密义务，保密义务不因本合同终止而结束。乙方保证对其在讨论、签订、履行本合同及具体项目合同过程中所获悉的属于甲方的且无法从公开渠道获得的文件资料及项目信息予以严格保密并应采取相应的保密措施，保证其自身及工作人员不私自使用或向任何第三方泄露，否则乙方承担由此给甲方造成的一切损失。</w:t>
            </w:r>
          </w:p>
          <w:p w14:paraId="0F661FED">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（17）乙方提交给甲方的检测成果知识产权归属甲方，乙方须确保甲方在使用过程中免受第三方关于知识产权或其他合法权益的起诉，否则，乙方应承担由此给甲方造成的一切损失。</w:t>
            </w:r>
          </w:p>
          <w:p w14:paraId="16671122">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乙方应确保其具备履行本合同工作所需的相关资质，否则，因此产生的一切后果由乙方承担。乙方应建立健全内部管理制度，并接受甲方及有关主管部门对项目服务状况、服务质量的监督检查。因乙方原因导致甲方损失的，应当全额赔偿甲方的损失。</w:t>
            </w:r>
          </w:p>
          <w:p w14:paraId="37D16FA2">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在服务过程中，乙方应遵守有关安全生产管理规定，建立完善安全管理制度，安全生产事故报告制度，采取必要的安全防护措施，定期进行安全隐患排查，消除事故隐患。由于乙方的不尽职、操作不当、安全措施不力、人为疏失等原因造成双方及第三方的财产毁损、人身伤害（含各方雇员及临时聘用人员）及安全事故的责任和因此发生的费用，全部由乙方承担。若造成甲方（含其雇员及临时聘用人员）其他损失，乙方仍需赔偿。若产生劳动纠纷或仲裁或诉讼，均由乙方自行处理并承担损害赔偿，甲方不承担任何责任。若甲方需参加诉讼，相关费用（包括但不限于诉讼费、律师费、鉴定费、公证费、交通住宿费等全部）及损失全部由乙方承担，甲方可启动履约担保支付。</w:t>
            </w:r>
          </w:p>
          <w:p w14:paraId="256BA04B">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（20）本合同所述的乙方应承担的甲方损失，包括但不限于甲方支出的赔偿金、诉讼费、保全费、律师费、鉴定费等。</w:t>
            </w:r>
          </w:p>
          <w:p w14:paraId="2C577C5B">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（21）本项目禁止转包，若特殊项目乙方无相应资质的，必须经甲方批准后送符合条件（具备相应资质）的分包单位进行检测，并出具相应的检测报告，否则将视为乙方违约，出具的报告不予承认。</w:t>
            </w:r>
          </w:p>
          <w:p w14:paraId="6440FCFB">
            <w:pPr>
              <w:keepNext w:val="0"/>
              <w:keepLines w:val="0"/>
              <w:suppressLineNumbers w:val="0"/>
              <w:adjustRightInd w:val="0"/>
              <w:snapToGrid w:val="0"/>
              <w:spacing w:before="0" w:beforeAutospacing="0" w:after="0" w:afterAutospacing="0" w:line="360" w:lineRule="auto"/>
              <w:ind w:left="0" w:right="0"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（22）合同文件及附件内容约定的乙方其他权利义务。</w:t>
            </w:r>
          </w:p>
        </w:tc>
      </w:tr>
    </w:tbl>
    <w:p w14:paraId="0DC13306">
      <w:pPr>
        <w:adjustRightInd w:val="0"/>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br w:type="page"/>
      </w:r>
    </w:p>
    <w:p w14:paraId="29DFAE2B">
      <w:pPr>
        <w:widowControl/>
        <w:adjustRightInd w:val="0"/>
        <w:snapToGrid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3.乙方违约处理一览表</w:t>
      </w:r>
    </w:p>
    <w:tbl>
      <w:tblPr>
        <w:tblStyle w:val="36"/>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4682"/>
        <w:gridCol w:w="4686"/>
      </w:tblGrid>
      <w:tr w14:paraId="3A87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6F3162C2">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序号</w:t>
            </w:r>
          </w:p>
        </w:tc>
        <w:tc>
          <w:tcPr>
            <w:tcW w:w="4682" w:type="dxa"/>
            <w:vAlign w:val="center"/>
          </w:tcPr>
          <w:p w14:paraId="11B08113">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违约行为</w:t>
            </w:r>
          </w:p>
        </w:tc>
        <w:tc>
          <w:tcPr>
            <w:tcW w:w="4686" w:type="dxa"/>
            <w:vAlign w:val="center"/>
          </w:tcPr>
          <w:p w14:paraId="2E1AB6FA">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违约处理</w:t>
            </w:r>
          </w:p>
        </w:tc>
      </w:tr>
      <w:tr w14:paraId="239C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AE716AD">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4682" w:type="dxa"/>
            <w:vAlign w:val="center"/>
          </w:tcPr>
          <w:p w14:paraId="56E374C1">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因乙方资质条件丧失，导致无法开展检测工作。</w:t>
            </w:r>
          </w:p>
        </w:tc>
        <w:tc>
          <w:tcPr>
            <w:tcW w:w="4686" w:type="dxa"/>
            <w:vAlign w:val="center"/>
          </w:tcPr>
          <w:p w14:paraId="19FCF1FB">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甲方有权另行委托其他第三方，并且乙方需向甲方支付暂定总合同价款</w:t>
            </w:r>
            <w:r>
              <w:rPr>
                <w:rFonts w:hint="eastAsia" w:ascii="宋体" w:hAnsi="宋体" w:eastAsia="宋体" w:cs="宋体"/>
                <w:color w:val="auto"/>
                <w:sz w:val="21"/>
                <w:szCs w:val="21"/>
                <w:highlight w:val="none"/>
              </w:rPr>
              <w:t>（含税）</w:t>
            </w:r>
            <w:r>
              <w:rPr>
                <w:rFonts w:hint="eastAsia" w:ascii="宋体" w:hAnsi="宋体" w:eastAsia="宋体" w:cs="宋体"/>
                <w:bCs/>
                <w:color w:val="auto"/>
                <w:sz w:val="21"/>
                <w:szCs w:val="21"/>
                <w:highlight w:val="none"/>
              </w:rPr>
              <w:t>的20%的违约金。同时，造成甲方的经济损失（包括但不限于重新招标、委托第三方的费用），由乙方承担全部赔偿。</w:t>
            </w:r>
          </w:p>
        </w:tc>
      </w:tr>
      <w:tr w14:paraId="6B4F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3B341B8">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p>
        </w:tc>
        <w:tc>
          <w:tcPr>
            <w:tcW w:w="4682" w:type="dxa"/>
            <w:vAlign w:val="center"/>
          </w:tcPr>
          <w:p w14:paraId="758F4BAE">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乙方提供的检测报告、数据成果、文件等质量不合格</w:t>
            </w:r>
            <w:r>
              <w:rPr>
                <w:rFonts w:hint="eastAsia" w:ascii="宋体" w:hAnsi="宋体" w:eastAsia="宋体" w:cs="宋体"/>
                <w:color w:val="auto"/>
                <w:sz w:val="21"/>
                <w:szCs w:val="21"/>
                <w:highlight w:val="none"/>
              </w:rPr>
              <w:t>，不能满足技术要求</w:t>
            </w:r>
            <w:r>
              <w:rPr>
                <w:rFonts w:hint="eastAsia" w:ascii="宋体" w:hAnsi="宋体" w:eastAsia="宋体" w:cs="宋体"/>
                <w:bCs/>
                <w:color w:val="auto"/>
                <w:sz w:val="21"/>
                <w:szCs w:val="21"/>
                <w:highlight w:val="none"/>
              </w:rPr>
              <w:t>。</w:t>
            </w:r>
          </w:p>
        </w:tc>
        <w:tc>
          <w:tcPr>
            <w:tcW w:w="4686" w:type="dxa"/>
            <w:vAlign w:val="center"/>
          </w:tcPr>
          <w:p w14:paraId="3DB4BC0F">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乙方负责无偿给予修改、补充完善使其达到甲方要求</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返</w:t>
            </w:r>
            <w:r>
              <w:rPr>
                <w:rFonts w:hint="eastAsia" w:ascii="宋体" w:hAnsi="宋体" w:eastAsia="宋体" w:cs="宋体"/>
                <w:bCs/>
                <w:color w:val="auto"/>
                <w:sz w:val="21"/>
                <w:szCs w:val="21"/>
                <w:highlight w:val="none"/>
                <w:lang w:eastAsia="zh-CN"/>
              </w:rPr>
              <w:t>工重新检测等产生的费用由乙方承担</w:t>
            </w:r>
            <w:r>
              <w:rPr>
                <w:rFonts w:hint="eastAsia" w:ascii="宋体" w:hAnsi="宋体" w:eastAsia="宋体" w:cs="宋体"/>
                <w:bCs/>
                <w:color w:val="auto"/>
                <w:sz w:val="21"/>
                <w:szCs w:val="21"/>
                <w:highlight w:val="none"/>
              </w:rPr>
              <w:t>；如乙方怠于或无力修改、补充完善,甲方有权另委托其他单位继续进行,乙方应承担由此产生的全部检测费用及其他损失。</w:t>
            </w:r>
          </w:p>
        </w:tc>
      </w:tr>
      <w:tr w14:paraId="6F5CF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000" w:type="dxa"/>
            <w:vAlign w:val="center"/>
          </w:tcPr>
          <w:p w14:paraId="254222BD">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w:t>
            </w:r>
          </w:p>
        </w:tc>
        <w:tc>
          <w:tcPr>
            <w:tcW w:w="4682" w:type="dxa"/>
            <w:vAlign w:val="center"/>
          </w:tcPr>
          <w:p w14:paraId="615085C3">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因乙方提供的检测报告、数据成果、文件等质量不合格造成甲方经济损失（包括但不限于检测变更费、增加工程费用等）或工程事故。</w:t>
            </w:r>
          </w:p>
        </w:tc>
        <w:tc>
          <w:tcPr>
            <w:tcW w:w="4686" w:type="dxa"/>
            <w:vAlign w:val="center"/>
          </w:tcPr>
          <w:p w14:paraId="22254201">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乙方应对造成的损失承担赔偿责任（包括但不限于施工单位损失赔偿、第三人侵权赔偿责任等），并根据违约行为向甲方支付违约金壹万元/次。如甲方实际损失高于违约金的，甲方有权另行追偿。</w:t>
            </w:r>
          </w:p>
        </w:tc>
      </w:tr>
      <w:tr w14:paraId="49E1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80094EC">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4</w:t>
            </w:r>
          </w:p>
        </w:tc>
        <w:tc>
          <w:tcPr>
            <w:tcW w:w="4682" w:type="dxa"/>
            <w:vAlign w:val="center"/>
          </w:tcPr>
          <w:p w14:paraId="1AF6EC14">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如乙方人员（包括雇员、乙方劳动者等）在维护过程中发生意外事故、工伤、死亡的</w:t>
            </w:r>
            <w:r>
              <w:rPr>
                <w:rFonts w:hint="eastAsia" w:ascii="宋体" w:hAnsi="宋体" w:eastAsia="宋体" w:cs="宋体"/>
                <w:color w:val="auto"/>
                <w:sz w:val="21"/>
                <w:szCs w:val="21"/>
                <w:highlight w:val="none"/>
                <w:lang w:eastAsia="zh-CN"/>
              </w:rPr>
              <w:t>。</w:t>
            </w:r>
          </w:p>
        </w:tc>
        <w:tc>
          <w:tcPr>
            <w:tcW w:w="4686" w:type="dxa"/>
            <w:vAlign w:val="center"/>
          </w:tcPr>
          <w:p w14:paraId="64666EE8">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乙方承担全部责任并支付全部费用，甲方无须对这些意外事故、工伤、死亡承担任何责任，如甲方因此受到索赔并因此支付赔偿费用或者垫付了费用的，甲方有权向乙方追偿，甲方可启动履约担保支付。</w:t>
            </w:r>
          </w:p>
        </w:tc>
      </w:tr>
      <w:tr w14:paraId="5810E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95058D4">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5</w:t>
            </w:r>
          </w:p>
        </w:tc>
        <w:tc>
          <w:tcPr>
            <w:tcW w:w="4682" w:type="dxa"/>
            <w:vAlign w:val="center"/>
          </w:tcPr>
          <w:p w14:paraId="66420A80">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乙方未按本合同约定配备必要的办公场所、设备或者服务人员。</w:t>
            </w:r>
          </w:p>
        </w:tc>
        <w:tc>
          <w:tcPr>
            <w:tcW w:w="4686" w:type="dxa"/>
            <w:vAlign w:val="center"/>
          </w:tcPr>
          <w:p w14:paraId="353A00AA">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甲方有权就违约事宜提出改正，如乙方仍拒不改正的，甲方有权选择解除本合同或服务合同，并没收全部履约担保。</w:t>
            </w:r>
          </w:p>
        </w:tc>
      </w:tr>
      <w:tr w14:paraId="7F17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0C4B391E">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6</w:t>
            </w:r>
          </w:p>
        </w:tc>
        <w:tc>
          <w:tcPr>
            <w:tcW w:w="4682" w:type="dxa"/>
            <w:vAlign w:val="center"/>
          </w:tcPr>
          <w:p w14:paraId="6322E298">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乙方消极怠工或拒不履行合同义务（包括但不限于技术支持、专家会审、解答释疑、事故处理，修正检测报告及数据成果等），或履行的合同义务不符合要求的。</w:t>
            </w:r>
          </w:p>
        </w:tc>
        <w:tc>
          <w:tcPr>
            <w:tcW w:w="4686" w:type="dxa"/>
            <w:vAlign w:val="center"/>
          </w:tcPr>
          <w:p w14:paraId="21240E80">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就违约事宜提出改正，要求乙方按壹万元/次承担违约金，若限期内未按照甲方要求进行整改或限期整改后不符合甲方要求的，甲方有权选择解除合同，要求乙方按暂定总合同价款（含税）的10%承担违约金，并有权依法委托有资质的第三方继续履行本合同义务，由此造成的一切损失由乙方承担。同时，甲方有权将情况如实报送至政府相关主管部门。</w:t>
            </w:r>
          </w:p>
        </w:tc>
      </w:tr>
      <w:tr w14:paraId="4DF3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FBF12F0">
            <w:pPr>
              <w:keepNext w:val="0"/>
              <w:keepLines w:val="0"/>
              <w:widowControl/>
              <w:suppressLineNumbers w:val="0"/>
              <w:adjustRightInd w:val="0"/>
              <w:snapToGrid w:val="0"/>
              <w:spacing w:before="0" w:beforeAutospacing="0" w:after="0" w:afterAutospacing="0" w:line="360" w:lineRule="auto"/>
              <w:ind w:left="0" w:leftChars="0" w:right="0" w:rightChars="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7</w:t>
            </w:r>
          </w:p>
        </w:tc>
        <w:tc>
          <w:tcPr>
            <w:tcW w:w="4682" w:type="dxa"/>
            <w:vAlign w:val="center"/>
          </w:tcPr>
          <w:p w14:paraId="22710BD0">
            <w:pPr>
              <w:keepNext w:val="0"/>
              <w:keepLines w:val="0"/>
              <w:widowControl/>
              <w:suppressLineNumbers w:val="0"/>
              <w:adjustRightInd w:val="0"/>
              <w:snapToGrid w:val="0"/>
              <w:spacing w:before="0" w:beforeAutospacing="0" w:after="0" w:afterAutospacing="0" w:line="360" w:lineRule="auto"/>
              <w:ind w:left="0" w:leftChars="0" w:right="0" w:rightChars="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合同履行期间，乙方未达到的投标时承诺的事项</w:t>
            </w:r>
          </w:p>
        </w:tc>
        <w:tc>
          <w:tcPr>
            <w:tcW w:w="4686" w:type="dxa"/>
            <w:vAlign w:val="center"/>
          </w:tcPr>
          <w:p w14:paraId="565E2874">
            <w:pPr>
              <w:keepNext w:val="0"/>
              <w:keepLines w:val="0"/>
              <w:widowControl/>
              <w:suppressLineNumbers w:val="0"/>
              <w:adjustRightInd w:val="0"/>
              <w:snapToGrid w:val="0"/>
              <w:spacing w:before="0" w:beforeAutospacing="0" w:after="0" w:afterAutospacing="0" w:line="360" w:lineRule="auto"/>
              <w:ind w:left="0" w:leftChars="0" w:right="0" w:rightChars="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每次按暂定总合同价款（含税）的1%承担违约金。</w:t>
            </w:r>
          </w:p>
        </w:tc>
      </w:tr>
      <w:tr w14:paraId="1313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AE14F51">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8</w:t>
            </w:r>
          </w:p>
        </w:tc>
        <w:tc>
          <w:tcPr>
            <w:tcW w:w="4682" w:type="dxa"/>
            <w:vAlign w:val="center"/>
          </w:tcPr>
          <w:p w14:paraId="044616CB">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由于乙方原因未按甲方要求时间（日期）提交检测报告、成果数据、文件资料、检测方案的，或未按期履行其他义务的。</w:t>
            </w:r>
          </w:p>
        </w:tc>
        <w:tc>
          <w:tcPr>
            <w:tcW w:w="4686" w:type="dxa"/>
            <w:vAlign w:val="center"/>
          </w:tcPr>
          <w:p w14:paraId="1B98C11F">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每逾期一日，乙方按贰仟元/天承担违约金。逾期超过</w:t>
            </w:r>
            <w:r>
              <w:rPr>
                <w:rFonts w:hint="eastAsia" w:ascii="宋体" w:hAnsi="宋体" w:eastAsia="宋体" w:cs="宋体"/>
                <w:bCs/>
                <w:color w:val="auto"/>
                <w:sz w:val="21"/>
                <w:szCs w:val="21"/>
                <w:highlight w:val="none"/>
                <w:u w:val="single"/>
              </w:rPr>
              <w:t>15</w:t>
            </w:r>
            <w:r>
              <w:rPr>
                <w:rFonts w:hint="eastAsia" w:ascii="宋体" w:hAnsi="宋体" w:eastAsia="宋体" w:cs="宋体"/>
                <w:bCs/>
                <w:color w:val="auto"/>
                <w:sz w:val="21"/>
                <w:szCs w:val="21"/>
                <w:highlight w:val="none"/>
              </w:rPr>
              <w:t>日的，甲方有权单方解除合同，且乙方须承担履约担保等额的违约金，同时有权没收履约担保。同时，造成甲方的经济损失（包括但不限于重新采购、委托第三方的费用），由乙方承担全部赔偿。</w:t>
            </w:r>
          </w:p>
        </w:tc>
      </w:tr>
      <w:tr w14:paraId="3D95B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8A6D7C0">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9</w:t>
            </w:r>
          </w:p>
        </w:tc>
        <w:tc>
          <w:tcPr>
            <w:tcW w:w="4682" w:type="dxa"/>
            <w:vAlign w:val="center"/>
          </w:tcPr>
          <w:p w14:paraId="05411426">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乙方违反约定非法转包、分包。</w:t>
            </w:r>
          </w:p>
        </w:tc>
        <w:tc>
          <w:tcPr>
            <w:tcW w:w="4686" w:type="dxa"/>
            <w:vAlign w:val="center"/>
          </w:tcPr>
          <w:p w14:paraId="2EBF658A">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单方解除合同，乙方须向甲方支付与履约担保等额的违约金，同时有权没收履约担保，并赔偿由此给甲方造成的一切损失。如因非法转包、分包导致安全事故或人身损害事故的，造成甲方其他损失的或甲方被认定需承担赔偿责任的，甲方有权向乙方追偿并要求乙方承担人民币壹拾万元整的违约金。</w:t>
            </w:r>
          </w:p>
        </w:tc>
      </w:tr>
      <w:tr w14:paraId="64A9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45E3C40">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10</w:t>
            </w:r>
          </w:p>
        </w:tc>
        <w:tc>
          <w:tcPr>
            <w:tcW w:w="4682" w:type="dxa"/>
            <w:vAlign w:val="center"/>
          </w:tcPr>
          <w:p w14:paraId="508F1F3D">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乙方存在如下情形之一的：</w:t>
            </w:r>
          </w:p>
          <w:p w14:paraId="51B1CFC3">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（1）提供虚假信息、误导或欺骗甲方及丙方，以谋取非法利益的；</w:t>
            </w:r>
          </w:p>
          <w:p w14:paraId="41CE63F6">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（2）违反诚信信用原则，没有严格执行相关质量、服务，损害甲方、丙方或相关用户单位的利益的；</w:t>
            </w:r>
          </w:p>
          <w:p w14:paraId="3BC3EAE4">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（3）违反有关法律法规以及本合同的约定，损害甲方利益的；</w:t>
            </w:r>
          </w:p>
          <w:p w14:paraId="6FE1C3FD">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（4）拒绝接受甲方、丙方及相关部门监督、检查的；</w:t>
            </w:r>
          </w:p>
          <w:p w14:paraId="70934D57">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（5）出现信用危机、财务危机、生产经营危机甚至破产、倒闭，无法继续履行本合同的；</w:t>
            </w:r>
          </w:p>
          <w:p w14:paraId="407693F2">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（6）采用非法手段进行不正当竞争的，构成恶劣影响；</w:t>
            </w:r>
          </w:p>
          <w:p w14:paraId="5D6030F4">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（7）违反本合同约定，泄露服务项目内容的。</w:t>
            </w:r>
          </w:p>
        </w:tc>
        <w:tc>
          <w:tcPr>
            <w:tcW w:w="4686" w:type="dxa"/>
            <w:vAlign w:val="center"/>
          </w:tcPr>
          <w:p w14:paraId="2F3EC25B">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甲方有权书面通知乙方单方解除本合同，并由乙方承担履约担保等额的违约金，同时有权没收履约担保，给甲方造成损失的，乙方还足额应赔偿甲方。</w:t>
            </w:r>
          </w:p>
        </w:tc>
      </w:tr>
      <w:tr w14:paraId="0342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C15456C">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p>
        </w:tc>
        <w:tc>
          <w:tcPr>
            <w:tcW w:w="4682" w:type="dxa"/>
            <w:vAlign w:val="center"/>
          </w:tcPr>
          <w:p w14:paraId="74E9B073">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无故拖欠或克扣工人工资待遇以及其他劳动待遇等。</w:t>
            </w:r>
          </w:p>
        </w:tc>
        <w:tc>
          <w:tcPr>
            <w:tcW w:w="4686" w:type="dxa"/>
            <w:vAlign w:val="center"/>
          </w:tcPr>
          <w:p w14:paraId="2BE84D45">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有违反的，由乙方全部负责。如对甲方工作造成影响的，根据工人诉求，甲方有权通知丙方直接从未付服务费用中直接扣除予以支付，由此导致的法律后果由乙方全部承担。并由乙方承担履约担保等额的违约金。严重者报相关行政主管部门处理，甲方保留终止合同的权利。</w:t>
            </w:r>
          </w:p>
        </w:tc>
      </w:tr>
      <w:tr w14:paraId="539A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51FEB185">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w:t>
            </w:r>
          </w:p>
        </w:tc>
        <w:tc>
          <w:tcPr>
            <w:tcW w:w="4682" w:type="dxa"/>
            <w:vAlign w:val="center"/>
          </w:tcPr>
          <w:p w14:paraId="4E7C68B7">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受到相关部门的批评，经调查认定情况属实。</w:t>
            </w:r>
          </w:p>
        </w:tc>
        <w:tc>
          <w:tcPr>
            <w:tcW w:w="4686" w:type="dxa"/>
            <w:vAlign w:val="center"/>
          </w:tcPr>
          <w:p w14:paraId="2F2DD599">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视情节轻重予要求乙方承担违约责任；造成恶劣影响的，甲方有权解除合同。</w:t>
            </w:r>
          </w:p>
        </w:tc>
      </w:tr>
      <w:tr w14:paraId="486B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5584864F">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w:t>
            </w:r>
          </w:p>
        </w:tc>
        <w:tc>
          <w:tcPr>
            <w:tcW w:w="4682" w:type="dxa"/>
            <w:vAlign w:val="center"/>
          </w:tcPr>
          <w:p w14:paraId="27E53709">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乙方在服务年限内，在履行本合同约定的义务过程中出现违反国家法律法规、主管部门规章制度、擅自提高价格或提供伪劣服务内容、服务质量低劣造成甲方损失等情况。</w:t>
            </w:r>
          </w:p>
        </w:tc>
        <w:tc>
          <w:tcPr>
            <w:tcW w:w="4686" w:type="dxa"/>
            <w:vAlign w:val="center"/>
          </w:tcPr>
          <w:p w14:paraId="00CC31DB">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甲方有权视不同情况分别给予警告、抵扣履约担保或取消合同等处理。</w:t>
            </w:r>
          </w:p>
        </w:tc>
      </w:tr>
      <w:tr w14:paraId="08DF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2AE61023">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14</w:t>
            </w:r>
          </w:p>
        </w:tc>
        <w:tc>
          <w:tcPr>
            <w:tcW w:w="4682" w:type="dxa"/>
            <w:vAlign w:val="center"/>
          </w:tcPr>
          <w:p w14:paraId="412F0604">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未经甲方书面同意，乙方变更项目负责人或技术负责人。</w:t>
            </w:r>
          </w:p>
        </w:tc>
        <w:tc>
          <w:tcPr>
            <w:tcW w:w="4686" w:type="dxa"/>
            <w:vAlign w:val="center"/>
          </w:tcPr>
          <w:p w14:paraId="0E83DC03">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甲方有权要求乙方按伍万元/人/次承担违约金。</w:t>
            </w:r>
          </w:p>
        </w:tc>
      </w:tr>
      <w:tr w14:paraId="37EC5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7F86F66">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15</w:t>
            </w:r>
          </w:p>
        </w:tc>
        <w:tc>
          <w:tcPr>
            <w:tcW w:w="4682" w:type="dxa"/>
            <w:vAlign w:val="center"/>
          </w:tcPr>
          <w:p w14:paraId="00BD5337">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甲方每季度根据合同附件五《检测单位履约考核评分表》对乙方评价一次，出具考核评价结果。甲方将严格按照考核评分标准对乙方进行季度检查和考核，考评80分以下的。</w:t>
            </w:r>
          </w:p>
        </w:tc>
        <w:tc>
          <w:tcPr>
            <w:tcW w:w="4686" w:type="dxa"/>
            <w:vAlign w:val="center"/>
          </w:tcPr>
          <w:p w14:paraId="101A0F88">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考评[70,80)分的，处相应付款周期内经甲方确认的检测费的10%作为违约金，考评[60,70)分的，处相应付款周期经甲方确认的检测费的20%作为违约金，考评60分以下的，处相应付款周期经甲方确认的检测</w:t>
            </w:r>
            <w:r>
              <w:rPr>
                <w:rFonts w:hint="eastAsia" w:ascii="宋体" w:hAnsi="宋体" w:eastAsia="宋体" w:cs="宋体"/>
                <w:bCs/>
                <w:color w:val="auto"/>
                <w:sz w:val="21"/>
                <w:szCs w:val="21"/>
                <w:highlight w:val="none"/>
                <w:lang w:val="en-US" w:eastAsia="zh-CN"/>
              </w:rPr>
              <w:t>费</w:t>
            </w:r>
            <w:r>
              <w:rPr>
                <w:rFonts w:hint="eastAsia" w:ascii="宋体" w:hAnsi="宋体" w:eastAsia="宋体" w:cs="宋体"/>
                <w:bCs/>
                <w:color w:val="auto"/>
                <w:sz w:val="21"/>
                <w:szCs w:val="21"/>
                <w:highlight w:val="none"/>
              </w:rPr>
              <w:t>的30%作为违约金。上述“[”代表闭区间，“)”代表开区间，如[70,80)代表该分数段范围为大于等于70且小于80。达到相应付款周期时,如乙方未申请支付本期费用, 甲方根据支付条件暂定本周期检测费并计算本周期内应缴纳的暂定违约金，乙方应予以缴纳。下一周期仍未申请时按上述做法执行，待到乙方申请支付费用时，根据合同付款流程确认检测费，同步对以往暂定违约金在本次一并确认并予以结算。</w:t>
            </w:r>
          </w:p>
        </w:tc>
      </w:tr>
      <w:tr w14:paraId="03963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40E6D985">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w:t>
            </w:r>
          </w:p>
        </w:tc>
        <w:tc>
          <w:tcPr>
            <w:tcW w:w="4682" w:type="dxa"/>
            <w:vAlign w:val="center"/>
          </w:tcPr>
          <w:p w14:paraId="095F6A3C">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4686" w:type="dxa"/>
            <w:vAlign w:val="center"/>
          </w:tcPr>
          <w:p w14:paraId="477E6EF2">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依据本合同条款对乙方处以违约金、赔偿、扣款等款项的，乙方应在收到违约（赔偿或扣款等款项）处理通知书之日起的五个工作日内书面授权乙方相关工作人员将款项交至甲方指定账户（须备注本项目名称）。如规定时间内未按要求将款项交至指定账号，甲方有权不审批进度款。甲方指定收款账户信息：</w:t>
            </w:r>
          </w:p>
          <w:p w14:paraId="68D30F3F">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开户名称：东莞市水务集团建设管理有限公司</w:t>
            </w:r>
          </w:p>
          <w:p w14:paraId="5548088E">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银行账号：2010021309200628330</w:t>
            </w:r>
          </w:p>
          <w:p w14:paraId="7BA49DB9">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开户银行：中国工商银行股份有限公司东莞分行</w:t>
            </w:r>
          </w:p>
        </w:tc>
      </w:tr>
      <w:tr w14:paraId="7E0C2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vAlign w:val="center"/>
          </w:tcPr>
          <w:p w14:paraId="74530008">
            <w:pPr>
              <w:keepNext w:val="0"/>
              <w:keepLines w:val="0"/>
              <w:widowControl/>
              <w:suppressLineNumbers w:val="0"/>
              <w:adjustRightInd w:val="0"/>
              <w:snapToGrid w:val="0"/>
              <w:spacing w:before="0" w:beforeAutospacing="0" w:after="0" w:afterAutospacing="0" w:line="360" w:lineRule="auto"/>
              <w:ind w:left="0" w:right="0"/>
              <w:jc w:val="center"/>
              <w:textAlignment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w:t>
            </w:r>
          </w:p>
        </w:tc>
        <w:tc>
          <w:tcPr>
            <w:tcW w:w="4682" w:type="dxa"/>
            <w:vAlign w:val="center"/>
          </w:tcPr>
          <w:p w14:paraId="1D105C81">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p>
        </w:tc>
        <w:tc>
          <w:tcPr>
            <w:tcW w:w="4686" w:type="dxa"/>
            <w:vAlign w:val="center"/>
          </w:tcPr>
          <w:p w14:paraId="6FB24E54">
            <w:pPr>
              <w:keepNext w:val="0"/>
              <w:keepLines w:val="0"/>
              <w:widowControl/>
              <w:suppressLineNumbers w:val="0"/>
              <w:adjustRightInd w:val="0"/>
              <w:snapToGrid w:val="0"/>
              <w:spacing w:before="0" w:beforeAutospacing="0" w:after="0" w:afterAutospacing="0" w:line="360" w:lineRule="auto"/>
              <w:ind w:left="0" w:right="0"/>
              <w:textAlignment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因乙方违约，甲方通过司法途径维护自身权益的，乙方应承担甲方由此支出的律师费、诉讼费、执行费、鉴定费、公证费、财产保全费及保险费等全部费用。</w:t>
            </w:r>
          </w:p>
        </w:tc>
      </w:tr>
    </w:tbl>
    <w:p w14:paraId="448C173A">
      <w:pPr>
        <w:adjustRightInd w:val="0"/>
        <w:snapToGrid w:val="0"/>
        <w:spacing w:line="360" w:lineRule="auto"/>
        <w:rPr>
          <w:rFonts w:hint="eastAsia" w:ascii="宋体" w:hAnsi="宋体" w:eastAsia="宋体" w:cs="宋体"/>
          <w:bCs/>
          <w:color w:val="auto"/>
          <w:sz w:val="21"/>
          <w:szCs w:val="21"/>
          <w:highlight w:val="none"/>
        </w:rPr>
      </w:pPr>
    </w:p>
    <w:p w14:paraId="09D38BAB">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97" w:name="_Toc6930"/>
      <w:bookmarkStart w:id="498" w:name="_Toc484"/>
      <w:r>
        <w:rPr>
          <w:rFonts w:hint="eastAsia" w:ascii="宋体" w:hAnsi="宋体" w:eastAsia="宋体" w:cs="宋体"/>
          <w:b/>
          <w:color w:val="auto"/>
          <w:sz w:val="21"/>
          <w:szCs w:val="21"/>
          <w:highlight w:val="none"/>
        </w:rPr>
        <w:t>十三、附则</w:t>
      </w:r>
      <w:bookmarkEnd w:id="497"/>
      <w:bookmarkEnd w:id="498"/>
    </w:p>
    <w:p w14:paraId="73A1CA5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1.本合同如遇不可避免的客观原因，而导致无法全部按规定执行，必须修订或中止时，由三方协商解决。</w:t>
      </w:r>
    </w:p>
    <w:p w14:paraId="6B32EA2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2.本合同在履行期内甲方发现检测实施缺陷的，</w:t>
      </w:r>
      <w:r>
        <w:rPr>
          <w:rFonts w:hint="eastAsia" w:ascii="宋体" w:hAnsi="宋体" w:eastAsia="宋体" w:cs="宋体"/>
          <w:bCs/>
          <w:color w:val="auto"/>
          <w:sz w:val="21"/>
          <w:szCs w:val="21"/>
          <w:highlight w:val="none"/>
        </w:rPr>
        <w:t>乙方</w:t>
      </w:r>
      <w:r>
        <w:rPr>
          <w:rFonts w:hint="eastAsia" w:ascii="宋体" w:hAnsi="宋体" w:eastAsia="宋体" w:cs="宋体"/>
          <w:color w:val="auto"/>
          <w:sz w:val="21"/>
          <w:szCs w:val="21"/>
          <w:highlight w:val="none"/>
        </w:rPr>
        <w:t>应无条件负责返工和采取补救措施。</w:t>
      </w:r>
    </w:p>
    <w:p w14:paraId="4B369B5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3.合同内变更检测项目是合同承包范围不可分割的一部分，</w:t>
      </w:r>
      <w:r>
        <w:rPr>
          <w:rFonts w:hint="eastAsia" w:ascii="宋体" w:hAnsi="宋体" w:eastAsia="宋体" w:cs="宋体"/>
          <w:bCs/>
          <w:color w:val="auto"/>
          <w:sz w:val="21"/>
          <w:szCs w:val="21"/>
          <w:highlight w:val="none"/>
        </w:rPr>
        <w:t>乙方</w:t>
      </w:r>
      <w:r>
        <w:rPr>
          <w:rFonts w:hint="eastAsia" w:ascii="宋体" w:hAnsi="宋体" w:eastAsia="宋体" w:cs="宋体"/>
          <w:color w:val="auto"/>
          <w:sz w:val="21"/>
          <w:szCs w:val="21"/>
          <w:highlight w:val="none"/>
        </w:rPr>
        <w:t>应按甲方提交的变更工程设计图纸完成检测工作。</w:t>
      </w:r>
    </w:p>
    <w:p w14:paraId="58AEC12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4.本项目招标文件、投标文件、中标通知书以及相关规范将成为本合同的组成部分，组成本合同的各个文件是一个整体，彼此相互解释，相互补充，并具有合同同等法律效力。</w:t>
      </w:r>
    </w:p>
    <w:p w14:paraId="3D7D16E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5.本合同如有未尽事宜，由甲、乙、丙三方订立补充协议，补充协议与本合同具有同等的法律效力。</w:t>
      </w:r>
    </w:p>
    <w:p w14:paraId="4CF07875">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02E10470">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499" w:name="_Toc7481"/>
      <w:bookmarkStart w:id="500" w:name="_Toc4982"/>
      <w:r>
        <w:rPr>
          <w:rFonts w:hint="eastAsia" w:ascii="宋体" w:hAnsi="宋体" w:eastAsia="宋体" w:cs="宋体"/>
          <w:b/>
          <w:color w:val="auto"/>
          <w:sz w:val="21"/>
          <w:szCs w:val="21"/>
          <w:highlight w:val="none"/>
        </w:rPr>
        <w:t>十四、合同争议</w:t>
      </w:r>
      <w:bookmarkEnd w:id="499"/>
      <w:bookmarkEnd w:id="500"/>
    </w:p>
    <w:p w14:paraId="4959C0F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本合同发生争议，甲方、</w:t>
      </w:r>
      <w:r>
        <w:rPr>
          <w:rFonts w:hint="eastAsia" w:ascii="宋体" w:hAnsi="宋体" w:eastAsia="宋体" w:cs="宋体"/>
          <w:bCs/>
          <w:color w:val="auto"/>
          <w:sz w:val="21"/>
          <w:szCs w:val="21"/>
          <w:highlight w:val="none"/>
        </w:rPr>
        <w:t>乙方、丙方</w:t>
      </w:r>
      <w:r>
        <w:rPr>
          <w:rFonts w:hint="eastAsia" w:ascii="宋体" w:hAnsi="宋体" w:eastAsia="宋体" w:cs="宋体"/>
          <w:color w:val="auto"/>
          <w:sz w:val="21"/>
          <w:szCs w:val="21"/>
          <w:highlight w:val="none"/>
        </w:rPr>
        <w:t>三方应及时协商解决，也可由当地行政主管部门调解，协商或调解不成时，任何一方可向甲方所在地有管辖权的人民法院起诉。</w:t>
      </w:r>
    </w:p>
    <w:p w14:paraId="05C3EBC5">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460766D4">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01" w:name="_Toc6758"/>
      <w:bookmarkStart w:id="502" w:name="_Toc11548"/>
      <w:r>
        <w:rPr>
          <w:rFonts w:hint="eastAsia" w:ascii="宋体" w:hAnsi="宋体" w:eastAsia="宋体" w:cs="宋体"/>
          <w:b/>
          <w:color w:val="auto"/>
          <w:sz w:val="21"/>
          <w:szCs w:val="21"/>
          <w:highlight w:val="none"/>
        </w:rPr>
        <w:t>十五、合同生效</w:t>
      </w:r>
      <w:bookmarkEnd w:id="501"/>
      <w:bookmarkEnd w:id="502"/>
    </w:p>
    <w:p w14:paraId="3531E654">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本合同自三方签字盖章后生效，甲方、</w:t>
      </w:r>
      <w:r>
        <w:rPr>
          <w:rFonts w:hint="eastAsia" w:ascii="宋体" w:hAnsi="宋体" w:eastAsia="宋体" w:cs="宋体"/>
          <w:bCs/>
          <w:color w:val="auto"/>
          <w:sz w:val="21"/>
          <w:szCs w:val="21"/>
          <w:highlight w:val="none"/>
        </w:rPr>
        <w:t>乙方、丙方</w:t>
      </w:r>
      <w:r>
        <w:rPr>
          <w:rFonts w:hint="eastAsia" w:ascii="宋体" w:hAnsi="宋体" w:eastAsia="宋体" w:cs="宋体"/>
          <w:color w:val="auto"/>
          <w:sz w:val="21"/>
          <w:szCs w:val="21"/>
          <w:highlight w:val="none"/>
        </w:rPr>
        <w:t>履行完合同规定的义务后，本合同终止。</w:t>
      </w:r>
    </w:p>
    <w:p w14:paraId="43BCBB24">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p>
    <w:p w14:paraId="10C91FA5">
      <w:pPr>
        <w:keepNext/>
        <w:keepLines/>
        <w:adjustRightInd w:val="0"/>
        <w:snapToGrid w:val="0"/>
        <w:spacing w:line="360" w:lineRule="auto"/>
        <w:outlineLvl w:val="9"/>
        <w:rPr>
          <w:rFonts w:hint="eastAsia" w:ascii="宋体" w:hAnsi="宋体" w:eastAsia="宋体" w:cs="宋体"/>
          <w:b/>
          <w:color w:val="auto"/>
          <w:sz w:val="21"/>
          <w:szCs w:val="21"/>
          <w:highlight w:val="none"/>
        </w:rPr>
      </w:pPr>
      <w:bookmarkStart w:id="503" w:name="_Toc18496"/>
      <w:bookmarkStart w:id="504" w:name="_Toc4207"/>
      <w:r>
        <w:rPr>
          <w:rFonts w:hint="eastAsia" w:ascii="宋体" w:hAnsi="宋体" w:eastAsia="宋体" w:cs="宋体"/>
          <w:b/>
          <w:color w:val="auto"/>
          <w:sz w:val="21"/>
          <w:szCs w:val="21"/>
          <w:highlight w:val="none"/>
        </w:rPr>
        <w:t>十六、合同份数</w:t>
      </w:r>
      <w:bookmarkEnd w:id="503"/>
      <w:bookmarkEnd w:id="504"/>
    </w:p>
    <w:p w14:paraId="492D1512">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bCs/>
          <w:color w:val="auto"/>
          <w:sz w:val="21"/>
          <w:szCs w:val="21"/>
          <w:highlight w:val="none"/>
        </w:rPr>
        <w:t>乙方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份、</w:t>
      </w:r>
      <w:r>
        <w:rPr>
          <w:rFonts w:hint="eastAsia" w:ascii="宋体" w:hAnsi="宋体" w:eastAsia="宋体" w:cs="宋体"/>
          <w:bCs/>
          <w:color w:val="auto"/>
          <w:sz w:val="21"/>
          <w:szCs w:val="21"/>
          <w:highlight w:val="none"/>
        </w:rPr>
        <w:t>丙方</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color w:val="auto"/>
          <w:sz w:val="21"/>
          <w:szCs w:val="21"/>
          <w:highlight w:val="none"/>
        </w:rPr>
        <w:t>份，招标代理机构</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w:t>
      </w:r>
    </w:p>
    <w:p w14:paraId="3DAFE586">
      <w:pPr>
        <w:adjustRightInd w:val="0"/>
        <w:snapToGrid w:val="0"/>
        <w:spacing w:line="360" w:lineRule="auto"/>
        <w:ind w:firstLine="420" w:firstLineChars="200"/>
        <w:outlineLvl w:val="9"/>
        <w:rPr>
          <w:rFonts w:hint="eastAsia" w:ascii="宋体" w:hAnsi="宋体" w:eastAsia="宋体" w:cs="宋体"/>
          <w:color w:val="auto"/>
          <w:sz w:val="21"/>
          <w:szCs w:val="21"/>
          <w:highlight w:val="none"/>
        </w:rPr>
      </w:pPr>
    </w:p>
    <w:p w14:paraId="76AC35DE">
      <w:pPr>
        <w:adjustRightInd w:val="0"/>
        <w:snapToGrid w:val="0"/>
        <w:spacing w:line="360" w:lineRule="auto"/>
        <w:outlineLvl w:val="9"/>
        <w:rPr>
          <w:rFonts w:hint="eastAsia" w:ascii="宋体" w:hAnsi="宋体" w:eastAsia="宋体" w:cs="宋体"/>
          <w:color w:val="auto"/>
          <w:sz w:val="21"/>
          <w:szCs w:val="21"/>
          <w:highlight w:val="none"/>
        </w:rPr>
      </w:pPr>
    </w:p>
    <w:tbl>
      <w:tblPr>
        <w:tblStyle w:val="36"/>
        <w:tblW w:w="10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85"/>
        <w:gridCol w:w="5185"/>
      </w:tblGrid>
      <w:tr w14:paraId="1F947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2EAAFFF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p>
          <w:p w14:paraId="5D4C4FD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5185" w:type="dxa"/>
            <w:vAlign w:val="top"/>
          </w:tcPr>
          <w:p w14:paraId="19AEAE0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p>
          <w:p w14:paraId="46043CC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r>
      <w:tr w14:paraId="6901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6CC279A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721F083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5185" w:type="dxa"/>
            <w:vAlign w:val="top"/>
          </w:tcPr>
          <w:p w14:paraId="48CAA20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4A7E85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r>
      <w:tr w14:paraId="481CD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A12724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5185" w:type="dxa"/>
            <w:vAlign w:val="top"/>
          </w:tcPr>
          <w:p w14:paraId="6E071A1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6C87E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15F915C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5185" w:type="dxa"/>
            <w:vAlign w:val="top"/>
          </w:tcPr>
          <w:p w14:paraId="00D5069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69303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F3D428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5185" w:type="dxa"/>
            <w:vAlign w:val="top"/>
          </w:tcPr>
          <w:p w14:paraId="279465E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r>
      <w:tr w14:paraId="01046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02D4EDFE">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5185" w:type="dxa"/>
            <w:vAlign w:val="top"/>
          </w:tcPr>
          <w:p w14:paraId="31520F2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2D6A8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330918D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5185" w:type="dxa"/>
            <w:vAlign w:val="top"/>
          </w:tcPr>
          <w:p w14:paraId="77111A1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r>
      <w:tr w14:paraId="60B8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30937C5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5185" w:type="dxa"/>
            <w:vAlign w:val="top"/>
          </w:tcPr>
          <w:p w14:paraId="765153B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r>
      <w:tr w14:paraId="37A0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41F040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c>
          <w:tcPr>
            <w:tcW w:w="5185" w:type="dxa"/>
            <w:vAlign w:val="top"/>
          </w:tcPr>
          <w:p w14:paraId="205D310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7D7B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86A091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w:t>
            </w:r>
          </w:p>
          <w:p w14:paraId="7C80633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（盖章）</w:t>
            </w:r>
          </w:p>
        </w:tc>
        <w:tc>
          <w:tcPr>
            <w:tcW w:w="5185" w:type="dxa"/>
            <w:vAlign w:val="top"/>
          </w:tcPr>
          <w:p w14:paraId="6934092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5A489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191F495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11228A1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（签字或盖私章）：</w:t>
            </w:r>
          </w:p>
        </w:tc>
        <w:tc>
          <w:tcPr>
            <w:tcW w:w="5185" w:type="dxa"/>
            <w:vAlign w:val="top"/>
          </w:tcPr>
          <w:p w14:paraId="657431E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4E1E0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40FAA6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5185" w:type="dxa"/>
            <w:vAlign w:val="top"/>
          </w:tcPr>
          <w:p w14:paraId="3743A30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5DAAA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25C8446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5185" w:type="dxa"/>
            <w:vAlign w:val="top"/>
          </w:tcPr>
          <w:p w14:paraId="72D601C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7DE3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258AD3E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5185" w:type="dxa"/>
            <w:vAlign w:val="top"/>
          </w:tcPr>
          <w:p w14:paraId="589204ED">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160B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7DC8102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5185" w:type="dxa"/>
            <w:vAlign w:val="top"/>
          </w:tcPr>
          <w:p w14:paraId="6B41F82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50F3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5625DF2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w:t>
            </w:r>
          </w:p>
        </w:tc>
        <w:tc>
          <w:tcPr>
            <w:tcW w:w="5185" w:type="dxa"/>
            <w:vAlign w:val="top"/>
          </w:tcPr>
          <w:p w14:paraId="231F0B3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r w14:paraId="499F7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85" w:type="dxa"/>
            <w:vAlign w:val="top"/>
          </w:tcPr>
          <w:p w14:paraId="468B3E7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tc>
        <w:tc>
          <w:tcPr>
            <w:tcW w:w="5185" w:type="dxa"/>
            <w:vAlign w:val="top"/>
          </w:tcPr>
          <w:p w14:paraId="36F2BF2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p>
        </w:tc>
      </w:tr>
    </w:tbl>
    <w:p w14:paraId="2E27C035">
      <w:pPr>
        <w:adjustRightInd w:val="0"/>
        <w:snapToGrid w:val="0"/>
        <w:spacing w:line="360" w:lineRule="auto"/>
        <w:rPr>
          <w:rFonts w:hint="eastAsia" w:ascii="宋体" w:hAnsi="宋体" w:eastAsia="宋体" w:cs="宋体"/>
          <w:color w:val="auto"/>
          <w:sz w:val="21"/>
          <w:szCs w:val="21"/>
          <w:highlight w:val="none"/>
        </w:rPr>
      </w:pPr>
    </w:p>
    <w:p w14:paraId="5C58FE1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5798DF1">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u w:val="single"/>
        </w:rPr>
        <w:t xml:space="preserve"> 东莞市 </w:t>
      </w:r>
    </w:p>
    <w:p w14:paraId="57E3668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bookmarkStart w:id="505" w:name="_Toc497397588"/>
      <w:bookmarkStart w:id="506" w:name="_Toc259524394"/>
      <w:bookmarkStart w:id="507" w:name="_Toc17874"/>
      <w:bookmarkStart w:id="508" w:name="_Toc229305402"/>
      <w:bookmarkStart w:id="509" w:name="_Toc21890"/>
    </w:p>
    <w:bookmarkEnd w:id="505"/>
    <w:bookmarkEnd w:id="506"/>
    <w:bookmarkEnd w:id="507"/>
    <w:bookmarkEnd w:id="508"/>
    <w:bookmarkEnd w:id="509"/>
    <w:p w14:paraId="391A8DE5">
      <w:pPr>
        <w:adjustRightInd w:val="0"/>
        <w:snapToGrid w:val="0"/>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附件一：《工程量清单计价表》</w:t>
      </w:r>
    </w:p>
    <w:p w14:paraId="70F308CF">
      <w:pPr>
        <w:adjustRightInd w:val="0"/>
        <w:snapToGrid w:val="0"/>
        <w:spacing w:line="360" w:lineRule="auto"/>
        <w:rPr>
          <w:rFonts w:hint="eastAsia" w:ascii="宋体" w:hAnsi="宋体" w:eastAsia="宋体" w:cs="宋体"/>
          <w:color w:val="auto"/>
          <w:sz w:val="21"/>
          <w:szCs w:val="21"/>
          <w:highlight w:val="none"/>
        </w:rPr>
      </w:pPr>
      <w:bookmarkStart w:id="510" w:name="_Toc351203652"/>
      <w:r>
        <w:rPr>
          <w:rFonts w:hint="eastAsia" w:ascii="宋体" w:hAnsi="宋体" w:eastAsia="宋体" w:cs="宋体"/>
          <w:color w:val="auto"/>
          <w:sz w:val="21"/>
          <w:szCs w:val="21"/>
          <w:highlight w:val="none"/>
        </w:rPr>
        <w:t>附件二：</w:t>
      </w:r>
      <w:bookmarkEnd w:id="510"/>
      <w:r>
        <w:rPr>
          <w:rFonts w:hint="eastAsia" w:ascii="宋体" w:hAnsi="宋体" w:eastAsia="宋体" w:cs="宋体"/>
          <w:color w:val="auto"/>
          <w:sz w:val="21"/>
          <w:szCs w:val="21"/>
          <w:highlight w:val="none"/>
        </w:rPr>
        <w:t>廉洁协议书</w:t>
      </w:r>
    </w:p>
    <w:p w14:paraId="3548847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附件三：安全生产责任书</w:t>
      </w:r>
    </w:p>
    <w:p w14:paraId="031B8C0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附件四：诚信履约承诺书</w:t>
      </w:r>
    </w:p>
    <w:p w14:paraId="0C34432A">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附件五：检测单位履约考核评分表</w:t>
      </w:r>
    </w:p>
    <w:p w14:paraId="0C76BB9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附件六：中标通知书</w:t>
      </w:r>
    </w:p>
    <w:p w14:paraId="1C5648E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附件七：用户需求书</w:t>
      </w:r>
    </w:p>
    <w:p w14:paraId="42C2B126">
      <w:pPr>
        <w:pStyle w:val="2"/>
        <w:snapToGrid w:val="0"/>
        <w:spacing w:line="360" w:lineRule="auto"/>
        <w:ind w:right="0"/>
        <w:rPr>
          <w:rFonts w:hint="eastAsia" w:ascii="宋体" w:hAnsi="宋体" w:eastAsia="宋体" w:cs="宋体"/>
          <w:color w:val="auto"/>
          <w:sz w:val="21"/>
          <w:szCs w:val="21"/>
          <w:highlight w:val="none"/>
        </w:rPr>
      </w:pPr>
    </w:p>
    <w:p w14:paraId="668CDC9B">
      <w:pPr>
        <w:tabs>
          <w:tab w:val="left" w:pos="0"/>
          <w:tab w:val="left" w:pos="405"/>
          <w:tab w:val="left" w:pos="567"/>
          <w:tab w:val="left" w:pos="601"/>
          <w:tab w:val="left" w:pos="1980"/>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D9848B8">
      <w:pPr>
        <w:tabs>
          <w:tab w:val="left" w:pos="0"/>
          <w:tab w:val="left" w:pos="405"/>
          <w:tab w:val="left" w:pos="567"/>
          <w:tab w:val="left" w:pos="601"/>
          <w:tab w:val="left" w:pos="1980"/>
        </w:tabs>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附件一：《工程量清单计价表》</w:t>
      </w:r>
    </w:p>
    <w:p w14:paraId="4D285B59">
      <w:pPr>
        <w:tabs>
          <w:tab w:val="left" w:pos="0"/>
          <w:tab w:val="left" w:pos="405"/>
          <w:tab w:val="left" w:pos="567"/>
          <w:tab w:val="left" w:pos="601"/>
          <w:tab w:val="left" w:pos="1980"/>
        </w:tabs>
        <w:adjustRightInd w:val="0"/>
        <w:snapToGrid w:val="0"/>
        <w:spacing w:line="360" w:lineRule="auto"/>
        <w:rPr>
          <w:rFonts w:hint="eastAsia" w:ascii="宋体" w:hAnsi="宋体" w:eastAsia="宋体" w:cs="宋体"/>
          <w:color w:val="auto"/>
          <w:sz w:val="21"/>
          <w:szCs w:val="21"/>
          <w:highlight w:val="none"/>
        </w:rPr>
      </w:pPr>
    </w:p>
    <w:p w14:paraId="49E0ACBD">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2136999F">
      <w:pPr>
        <w:tabs>
          <w:tab w:val="left" w:pos="0"/>
          <w:tab w:val="left" w:pos="405"/>
          <w:tab w:val="left" w:pos="567"/>
          <w:tab w:val="left" w:pos="601"/>
          <w:tab w:val="left" w:pos="1980"/>
        </w:tabs>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附件二：廉洁协议书</w:t>
      </w:r>
    </w:p>
    <w:p w14:paraId="5999CA96">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廉洁协议书</w:t>
      </w:r>
    </w:p>
    <w:p w14:paraId="4BEE63FC">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珠三角水资源配置工程东莞配套芦花坑水厂一期配水管线工程-C标段第三方检测服务采购项目</w:t>
      </w:r>
    </w:p>
    <w:p w14:paraId="432CE24A">
      <w:pPr>
        <w:adjustRightInd w:val="0"/>
        <w:snapToGrid w:val="0"/>
        <w:spacing w:line="360" w:lineRule="auto"/>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rPr>
        <w:t>招标编号：</w:t>
      </w:r>
      <w:r>
        <w:rPr>
          <w:rFonts w:hint="eastAsia" w:ascii="宋体" w:hAnsi="宋体" w:eastAsia="宋体" w:cs="宋体"/>
          <w:color w:val="auto"/>
          <w:sz w:val="21"/>
          <w:szCs w:val="21"/>
          <w:highlight w:val="none"/>
          <w:lang w:eastAsia="zh-CN"/>
        </w:rPr>
        <w:t>WTZB2025DG0004</w:t>
      </w:r>
    </w:p>
    <w:p w14:paraId="6BAD949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委托人（甲方）： </w:t>
      </w:r>
    </w:p>
    <w:p w14:paraId="2F65F82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检测人（乙方）：</w:t>
      </w:r>
    </w:p>
    <w:p w14:paraId="4A73593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项目业主（丙方）：</w:t>
      </w:r>
    </w:p>
    <w:p w14:paraId="13C71342">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p>
    <w:p w14:paraId="110E433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丙三方在订立、履行合同及经济业务往来过程中的行为，保持廉洁自律的工作作风,防止各种违法及不正当行为的发生,确保甲乙丙三方及其工作人员自觉遵守国家法律、法规及廉洁从业各项规定，特订立本协议。</w:t>
      </w:r>
    </w:p>
    <w:p w14:paraId="275AECDE">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甲乙丙三方的权利和义务</w:t>
      </w:r>
    </w:p>
    <w:p w14:paraId="1A68813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39FDBD4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192F11A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（三）三方的业务活动坚持公开、公正、诚信、透明的原则（除法律认定的商业秘密和合同文件另有规定之外）不得损害国家和集体利益，违反工程建设管理及其他法律法规规章制度。</w:t>
      </w:r>
    </w:p>
    <w:p w14:paraId="2D23D41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2734281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5EC2805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61AEDD55">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甲方与丙方的义务</w:t>
      </w:r>
    </w:p>
    <w:p w14:paraId="387441C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（一）甲方、丙方及其工作人员不得索要或接受乙方的礼金、有价证券和贵重物品，不得在乙方报销任何应由甲方、丙方或个人支付的费用。</w:t>
      </w:r>
    </w:p>
    <w:p w14:paraId="70902ED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（二）甲方、丙方工作人员不得参加乙方安排的高消费宴请和娱乐活动；不得接受乙方提供的通讯工具、交通工具和高档办公用品。</w:t>
      </w:r>
    </w:p>
    <w:p w14:paraId="6FD4086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（三）甲方、丙方及其工作人员不得要求或者接受乙方为其住房装修、婚丧嫁娶活动、家属或亲友的工作安排以及出国出境、旅游等提供方便。</w:t>
      </w:r>
    </w:p>
    <w:p w14:paraId="6A7C749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（四）甲方、丙方工作人员不得向乙方介绍其家属或者亲友（包括家属或亲友开办的公司企业）从事于本项目涉及的经济业务活动。</w:t>
      </w:r>
    </w:p>
    <w:p w14:paraId="7FC83B1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（五）甲方、丙方及其工作人员不得以任何理由向乙方推荐分包单位，不得要求乙方购买合同规定外的材料和设备。</w:t>
      </w:r>
    </w:p>
    <w:p w14:paraId="1AA5CD7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（六）甲方、丙方及其工作人员不得进行违反廉洁规定的其他活动。</w:t>
      </w:r>
    </w:p>
    <w:p w14:paraId="44BDE6C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丙方应分别对甲方、丙方工作人员进行廉洁监督管理，如甲方、丙方工作人员违反本协议第一、第二条，甲方、丙方应依据有关法律法规、党纪规定对其进行处理；涉嫌犯罪的，甲方、丙方应将其移交司法机关追究刑事责任。</w:t>
      </w:r>
    </w:p>
    <w:p w14:paraId="6B56D1CC">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654244A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（一）乙方不得以任何理由向甲方、丙方及其工作人员馈赠礼金、有价证券、贵重礼品，或报销应由甲方、丙方单位或个人支付的任何费用。</w:t>
      </w:r>
    </w:p>
    <w:p w14:paraId="4C605D1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（二）乙方及其工作人员不得以考察、参观、洽谈业务、签订合同等的借口邀请甲方、丙方及其工作人员参加高消费的宴请、娱乐和健身等活动。</w:t>
      </w:r>
    </w:p>
    <w:p w14:paraId="18AE53F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（三）乙方不得为甲方、丙方单位和个人购置或提供通讯工具、交通工具和高档办公用品等。</w:t>
      </w:r>
    </w:p>
    <w:p w14:paraId="195BEF7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（四）乙方及其工作人员不得为甲方、丙方工作人员购买、装修、维修私人住房、汽车等。</w:t>
      </w:r>
    </w:p>
    <w:p w14:paraId="0468C926">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（五）乙方及其工作人员不得为甲方、丙方工作人员的婚丧嫁娶、家属或亲友的工作安排，及出国出境提供方便以及报销任何私人消费的费用。</w:t>
      </w:r>
    </w:p>
    <w:p w14:paraId="27E86BB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（六）乙方及其工作人员不得进行影响甲方、丙方及其工作人员公正执行合同和履行职务的其他活动。</w:t>
      </w:r>
    </w:p>
    <w:p w14:paraId="3D4EA45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3D21C0F2">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0AA264E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（一）甲方、丙方违反本协议第一、第二条给乙方单位造成经济损失的，应予以赔偿。</w:t>
      </w:r>
    </w:p>
    <w:p w14:paraId="4BE75E4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（二）乙方违反本协议第一、第三条给甲方、丙方单位造成经济损失的，应予以赔偿。</w:t>
      </w:r>
    </w:p>
    <w:p w14:paraId="58BBBCA3">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14:paraId="48C7BE1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甲乙丙三方的廉洁从业行为由三方或三方上级单位的纪检、监察部门负责监督，对本协议履行情况进行检查。</w:t>
      </w:r>
    </w:p>
    <w:p w14:paraId="58E6215A">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第六条 举报信访受理</w:t>
      </w:r>
    </w:p>
    <w:p w14:paraId="0302C3A4">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（一）举报受理部门：东莞市水务集团有限公司纪检监察部。</w:t>
      </w:r>
    </w:p>
    <w:p w14:paraId="61ED982E">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（二）举报电话：（0769）23076092。</w:t>
      </w:r>
    </w:p>
    <w:p w14:paraId="5BF644FF">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（三）举报邮箱：</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"mailto:jcsj@dgswjt.cn。" </w:instrText>
      </w:r>
      <w:r>
        <w:rPr>
          <w:rFonts w:hint="eastAsia" w:ascii="宋体" w:hAnsi="宋体" w:eastAsia="宋体" w:cs="宋体"/>
          <w:color w:val="auto"/>
          <w:sz w:val="21"/>
          <w:szCs w:val="21"/>
          <w:highlight w:val="none"/>
        </w:rPr>
        <w:fldChar w:fldCharType="separate"/>
      </w:r>
      <w:r>
        <w:rPr>
          <w:rStyle w:val="42"/>
          <w:rFonts w:hint="eastAsia" w:ascii="宋体" w:hAnsi="宋体" w:eastAsia="宋体" w:cs="宋体"/>
          <w:color w:val="auto"/>
          <w:sz w:val="21"/>
          <w:szCs w:val="21"/>
          <w:highlight w:val="none"/>
        </w:rPr>
        <w:t>jcsj@dgswjt.cn。</w:t>
      </w:r>
      <w:r>
        <w:rPr>
          <w:rStyle w:val="42"/>
          <w:rFonts w:hint="eastAsia" w:ascii="宋体" w:hAnsi="宋体" w:eastAsia="宋体" w:cs="宋体"/>
          <w:color w:val="auto"/>
          <w:sz w:val="21"/>
          <w:szCs w:val="21"/>
          <w:highlight w:val="none"/>
        </w:rPr>
        <w:fldChar w:fldCharType="end"/>
      </w:r>
    </w:p>
    <w:p w14:paraId="5ED19A41">
      <w:pPr>
        <w:adjustRightInd w:val="0"/>
        <w:snapToGrid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（四）信访地址：广东省东莞市东城街道育华路1号。</w:t>
      </w:r>
    </w:p>
    <w:p w14:paraId="73C15824">
      <w:pPr>
        <w:adjustRightInd w:val="0"/>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第七条 其他</w:t>
      </w:r>
    </w:p>
    <w:p w14:paraId="32AF74C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本协议有效期为甲乙丙三方签字并加盖公章之日起至该工程/采购项目竣工验收完毕，质保期/服务期满后止。本协议一式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份，甲、乙、丙三方上级主管部门各执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w:t>
      </w:r>
    </w:p>
    <w:p w14:paraId="304D58CF">
      <w:pPr>
        <w:adjustRightInd w:val="0"/>
        <w:snapToGrid w:val="0"/>
        <w:spacing w:line="360" w:lineRule="auto"/>
        <w:rPr>
          <w:rFonts w:hint="eastAsia" w:ascii="宋体" w:hAnsi="宋体" w:eastAsia="宋体" w:cs="宋体"/>
          <w:color w:val="auto"/>
          <w:sz w:val="21"/>
          <w:szCs w:val="21"/>
          <w:highlight w:val="none"/>
        </w:rPr>
      </w:pPr>
    </w:p>
    <w:p w14:paraId="3706B15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甲方（盖章）：                          乙方（盖章）： </w:t>
      </w:r>
    </w:p>
    <w:p w14:paraId="0B75B10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6915CD58">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14:paraId="2814632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14:paraId="425C0566">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6A1B756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丙方（盖章）：</w:t>
      </w:r>
    </w:p>
    <w:p w14:paraId="6E383A8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6EB0A1F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14:paraId="62046C4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68BDA26D">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br w:type="page"/>
      </w:r>
      <w:r>
        <w:rPr>
          <w:rFonts w:hint="eastAsia" w:ascii="宋体" w:hAnsi="宋体" w:eastAsia="宋体" w:cs="宋体"/>
          <w:b/>
          <w:color w:val="auto"/>
          <w:sz w:val="21"/>
          <w:szCs w:val="21"/>
          <w:highlight w:val="none"/>
        </w:rPr>
        <w:t>附件三：安全生产责任书</w:t>
      </w:r>
    </w:p>
    <w:p w14:paraId="7D0F05E1">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安全生产责任书</w:t>
      </w:r>
    </w:p>
    <w:p w14:paraId="75C2DBBB">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更好地贯彻“安全第一、预防为主、以人为本、强化管理、落实责任”的安全生产方针，全面落实企业安全生产主体责任，推进安全生产标准化管理，切实做好东莞市水务集团建设管理有限公司（以下简称：建设公司）的安全生产工作，杜绝各类事故的发生，保障建设公司财产和员工的人身安全，实现安全生产目标，建设公司、项目业主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签订安全生产责任书。</w:t>
      </w:r>
    </w:p>
    <w:p w14:paraId="223C7F53">
      <w:pPr>
        <w:numPr>
          <w:ilvl w:val="0"/>
          <w:numId w:val="2"/>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安全生产目标</w:t>
      </w:r>
    </w:p>
    <w:p w14:paraId="734A71C4">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杜绝重伤及以上生产安全事故；</w:t>
      </w:r>
    </w:p>
    <w:p w14:paraId="01C146AD">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杜绝火灾、爆炸责任事故；</w:t>
      </w:r>
    </w:p>
    <w:p w14:paraId="1FE9BBD9">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杜绝多人严重急性中毒事故；</w:t>
      </w:r>
    </w:p>
    <w:p w14:paraId="44B122A7">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工伤事故中轻伤率不超过3‰；</w:t>
      </w:r>
    </w:p>
    <w:p w14:paraId="035F20C7">
      <w:pPr>
        <w:numPr>
          <w:ilvl w:val="0"/>
          <w:numId w:val="3"/>
        </w:num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生产经营范围内无刑事案件发生。</w:t>
      </w:r>
    </w:p>
    <w:p w14:paraId="4E7052C6">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二、安全生产责任</w:t>
      </w:r>
    </w:p>
    <w:p w14:paraId="36886E2F">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u w:val="single"/>
          <w:shd w:val="clear" w:color="090000" w:fill="FFFFFF"/>
        </w:rPr>
        <w:t xml:space="preserve">              </w:t>
      </w:r>
      <w:r>
        <w:rPr>
          <w:rFonts w:hint="eastAsia" w:ascii="宋体" w:hAnsi="宋体" w:eastAsia="宋体" w:cs="宋体"/>
          <w:color w:val="auto"/>
          <w:sz w:val="21"/>
          <w:szCs w:val="21"/>
          <w:highlight w:val="none"/>
          <w:shd w:val="clear" w:color="090000" w:fill="FFFFFF"/>
        </w:rPr>
        <w:t>为</w:t>
      </w:r>
      <w:r>
        <w:rPr>
          <w:rFonts w:hint="eastAsia" w:ascii="宋体" w:hAnsi="宋体" w:eastAsia="宋体" w:cs="宋体"/>
          <w:color w:val="auto"/>
          <w:sz w:val="21"/>
          <w:szCs w:val="21"/>
          <w:highlight w:val="none"/>
          <w:lang w:eastAsia="zh-CN"/>
        </w:rPr>
        <w:t>珠三角水资源配置工程东莞配套芦花坑水厂一期配水管线工程-C标段第三方检测服务采购项目</w:t>
      </w:r>
      <w:r>
        <w:rPr>
          <w:rFonts w:hint="eastAsia" w:ascii="宋体" w:hAnsi="宋体" w:eastAsia="宋体" w:cs="宋体"/>
          <w:color w:val="auto"/>
          <w:sz w:val="21"/>
          <w:szCs w:val="21"/>
          <w:highlight w:val="none"/>
          <w:shd w:val="clear" w:color="090000" w:fill="FFFFFF"/>
        </w:rPr>
        <w:t>安全生产工作的第一责任人，对</w:t>
      </w:r>
      <w:r>
        <w:rPr>
          <w:rFonts w:hint="eastAsia" w:ascii="宋体" w:hAnsi="宋体" w:eastAsia="宋体" w:cs="宋体"/>
          <w:color w:val="auto"/>
          <w:sz w:val="21"/>
          <w:szCs w:val="21"/>
          <w:highlight w:val="none"/>
          <w:lang w:eastAsia="zh-CN"/>
        </w:rPr>
        <w:t>珠三角水资源配置工程东莞配套芦花坑水厂一期配水管线工程-C标段第三方检测服务采购项目</w:t>
      </w:r>
      <w:r>
        <w:rPr>
          <w:rFonts w:hint="eastAsia" w:ascii="宋体" w:hAnsi="宋体" w:eastAsia="宋体" w:cs="宋体"/>
          <w:color w:val="auto"/>
          <w:sz w:val="21"/>
          <w:szCs w:val="21"/>
          <w:highlight w:val="none"/>
          <w:shd w:val="clear" w:color="090000" w:fill="FFFFFF"/>
        </w:rPr>
        <w:t>安全生产工作负全面领导责任；其他人员对业务工作范围内的安全生产工作负直接责任</w:t>
      </w:r>
      <w:r>
        <w:rPr>
          <w:rFonts w:hint="eastAsia" w:ascii="宋体" w:hAnsi="宋体" w:eastAsia="宋体" w:cs="宋体"/>
          <w:color w:val="auto"/>
          <w:sz w:val="21"/>
          <w:szCs w:val="21"/>
          <w:highlight w:val="none"/>
        </w:rPr>
        <w:t>。</w:t>
      </w:r>
    </w:p>
    <w:p w14:paraId="78D1E4E8">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遵守《安全生产法》、《消防法》、《劳动法》等法律法规，贯彻和执行</w:t>
      </w:r>
      <w:r>
        <w:rPr>
          <w:rFonts w:hint="eastAsia" w:ascii="宋体" w:hAnsi="宋体" w:eastAsia="宋体" w:cs="宋体"/>
          <w:color w:val="auto"/>
          <w:sz w:val="21"/>
          <w:szCs w:val="21"/>
          <w:highlight w:val="none"/>
          <w:shd w:val="clear" w:color="090000" w:fill="FFFFFF"/>
        </w:rPr>
        <w:t>建设公司</w:t>
      </w:r>
      <w:r>
        <w:rPr>
          <w:rFonts w:hint="eastAsia" w:ascii="宋体" w:hAnsi="宋体" w:eastAsia="宋体" w:cs="宋体"/>
          <w:color w:val="auto"/>
          <w:sz w:val="21"/>
          <w:szCs w:val="21"/>
          <w:highlight w:val="none"/>
        </w:rPr>
        <w:t>有关安全生产的制度、规程和标准，全面推动安全管理工作。</w:t>
      </w:r>
    </w:p>
    <w:p w14:paraId="3A084A16">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积极参与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组织的安全培训、“安全生产活动月”、“消防安全月”等活动。</w:t>
      </w:r>
    </w:p>
    <w:p w14:paraId="796D4999">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参加</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召开安全生产工作会议，落实会议的相关要求。</w:t>
      </w:r>
    </w:p>
    <w:p w14:paraId="2DE2428A">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参与</w:t>
      </w: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组织开展生产安全事故应急预案演练，提高应急技能及应急管理水平。</w:t>
      </w:r>
    </w:p>
    <w:p w14:paraId="2C016430">
      <w:pPr>
        <w:adjustRightInd w:val="0"/>
        <w:snapToGrid w:val="0"/>
        <w:spacing w:line="360" w:lineRule="auto"/>
        <w:ind w:firstLine="424" w:firstLineChars="202"/>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 发生安全事故时及时组织救援并上报，协助开展事故调查分析工作。</w:t>
      </w:r>
    </w:p>
    <w:p w14:paraId="5FE63789">
      <w:pPr>
        <w:numPr>
          <w:ilvl w:val="0"/>
          <w:numId w:val="4"/>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考核与奖惩</w:t>
      </w:r>
    </w:p>
    <w:p w14:paraId="22E9683E">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090000" w:fill="FFFFFF"/>
        </w:rPr>
        <w:t>建设公司及项目业主</w:t>
      </w:r>
      <w:r>
        <w:rPr>
          <w:rFonts w:hint="eastAsia" w:ascii="宋体" w:hAnsi="宋体" w:eastAsia="宋体" w:cs="宋体"/>
          <w:color w:val="auto"/>
          <w:sz w:val="21"/>
          <w:szCs w:val="21"/>
          <w:highlight w:val="none"/>
        </w:rPr>
        <w:t>负责对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的安全生产管理工作进行检查和考核。</w:t>
      </w:r>
    </w:p>
    <w:p w14:paraId="25F83604">
      <w:pPr>
        <w:numPr>
          <w:ilvl w:val="0"/>
          <w:numId w:val="4"/>
        </w:num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p w14:paraId="33F839A5">
      <w:pPr>
        <w:adjustRightInd w:val="0"/>
        <w:snapToGrid w:val="0"/>
        <w:spacing w:line="360" w:lineRule="auto"/>
        <w:ind w:firstLine="420" w:firstLineChars="200"/>
        <w:contextualSpacing/>
        <w:rPr>
          <w:rFonts w:hint="eastAsia" w:ascii="宋体" w:hAnsi="宋体" w:eastAsia="宋体" w:cs="宋体"/>
          <w:b/>
          <w:bCs/>
          <w:color w:val="auto"/>
          <w:sz w:val="21"/>
          <w:szCs w:val="21"/>
          <w:highlight w:val="none"/>
          <w:lang w:val="zh-CN"/>
        </w:rPr>
      </w:pPr>
      <w:r>
        <w:rPr>
          <w:rFonts w:hint="eastAsia" w:ascii="宋体" w:hAnsi="宋体" w:eastAsia="宋体" w:cs="宋体"/>
          <w:color w:val="auto"/>
          <w:sz w:val="21"/>
          <w:szCs w:val="21"/>
          <w:highlight w:val="none"/>
        </w:rPr>
        <w:t>本安全生产责任书自考核方与责任方盖章签字之日起生效，有效期至</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日止。</w:t>
      </w:r>
    </w:p>
    <w:p w14:paraId="205DC645">
      <w:pPr>
        <w:adjustRightInd w:val="0"/>
        <w:snapToGrid w:val="0"/>
        <w:spacing w:line="360" w:lineRule="auto"/>
        <w:ind w:firstLine="420"/>
        <w:rPr>
          <w:rFonts w:hint="eastAsia" w:ascii="宋体" w:hAnsi="宋体" w:eastAsia="宋体" w:cs="宋体"/>
          <w:b/>
          <w:color w:val="auto"/>
          <w:sz w:val="21"/>
          <w:szCs w:val="21"/>
          <w:highlight w:val="none"/>
        </w:rPr>
      </w:pPr>
    </w:p>
    <w:p w14:paraId="255F7C6D">
      <w:pPr>
        <w:adjustRightInd w:val="0"/>
        <w:snapToGrid w:val="0"/>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目标考核方1：东莞市水务集团建设管理有限公司   目标考核方2：</w:t>
      </w:r>
      <w:r>
        <w:rPr>
          <w:rFonts w:hint="eastAsia" w:ascii="宋体" w:hAnsi="宋体" w:eastAsia="宋体" w:cs="宋体"/>
          <w:b/>
          <w:color w:val="auto"/>
          <w:sz w:val="21"/>
          <w:szCs w:val="21"/>
          <w:highlight w:val="none"/>
          <w:lang w:eastAsia="zh-CN"/>
        </w:rPr>
        <w:t>东莞市水务集团供水有限公司</w:t>
      </w:r>
    </w:p>
    <w:p w14:paraId="64590024">
      <w:pPr>
        <w:adjustRightInd w:val="0"/>
        <w:snapToGrid w:val="0"/>
        <w:spacing w:line="360" w:lineRule="auto"/>
        <w:rPr>
          <w:rFonts w:hint="eastAsia" w:ascii="宋体" w:hAnsi="宋体" w:eastAsia="宋体" w:cs="宋体"/>
          <w:b/>
          <w:color w:val="auto"/>
          <w:sz w:val="21"/>
          <w:szCs w:val="21"/>
          <w:highlight w:val="none"/>
        </w:rPr>
      </w:pPr>
    </w:p>
    <w:p w14:paraId="7FF852C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3E109F17">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                  或授权代理人（签名或私章）：</w:t>
      </w:r>
    </w:p>
    <w:p w14:paraId="0A4C1775">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                          年  月  日</w:t>
      </w:r>
    </w:p>
    <w:p w14:paraId="2C61D799">
      <w:pPr>
        <w:adjustRightInd w:val="0"/>
        <w:snapToGrid w:val="0"/>
        <w:spacing w:line="360" w:lineRule="auto"/>
        <w:rPr>
          <w:rFonts w:hint="eastAsia" w:ascii="宋体" w:hAnsi="宋体" w:eastAsia="宋体" w:cs="宋体"/>
          <w:color w:val="auto"/>
          <w:sz w:val="21"/>
          <w:szCs w:val="21"/>
          <w:highlight w:val="none"/>
        </w:rPr>
      </w:pPr>
    </w:p>
    <w:p w14:paraId="00C50C96">
      <w:pPr>
        <w:adjustRightInd w:val="0"/>
        <w:snapToGrid w:val="0"/>
        <w:spacing w:line="360" w:lineRule="auto"/>
        <w:rPr>
          <w:rFonts w:hint="eastAsia" w:ascii="宋体" w:hAnsi="宋体" w:eastAsia="宋体" w:cs="宋体"/>
          <w:b/>
          <w:bCs/>
          <w:color w:val="auto"/>
          <w:sz w:val="21"/>
          <w:szCs w:val="21"/>
          <w:highlight w:val="none"/>
          <w:lang w:val="zh-CN"/>
        </w:rPr>
      </w:pPr>
    </w:p>
    <w:p w14:paraId="2681FAB6">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目标责任方：          </w:t>
      </w:r>
    </w:p>
    <w:p w14:paraId="53792E93">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23DD134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或授权代理人（签名或私章）：</w:t>
      </w:r>
    </w:p>
    <w:p w14:paraId="41ECDEA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17314CCF">
      <w:pPr>
        <w:adjustRightInd w:val="0"/>
        <w:snapToGrid w:val="0"/>
        <w:spacing w:line="360" w:lineRule="auto"/>
        <w:rPr>
          <w:rFonts w:hint="eastAsia" w:ascii="宋体" w:hAnsi="宋体" w:eastAsia="宋体" w:cs="宋体"/>
          <w:b/>
          <w:color w:val="auto"/>
          <w:sz w:val="21"/>
          <w:szCs w:val="21"/>
          <w:highlight w:val="none"/>
        </w:rPr>
      </w:pPr>
    </w:p>
    <w:p w14:paraId="76A48A12">
      <w:pPr>
        <w:widowControl/>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42D83F4C">
      <w:pPr>
        <w:adjustRightInd w:val="0"/>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附件四：诚信履约承诺书</w:t>
      </w:r>
    </w:p>
    <w:p w14:paraId="6D5846A9">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诚信履约承诺书</w:t>
      </w:r>
    </w:p>
    <w:p w14:paraId="4DD1AFC0">
      <w:pPr>
        <w:adjustRightInd w:val="0"/>
        <w:snapToGrid w:val="0"/>
        <w:spacing w:line="360" w:lineRule="auto"/>
        <w:rPr>
          <w:rFonts w:hint="eastAsia" w:ascii="宋体" w:hAnsi="宋体" w:eastAsia="宋体" w:cs="宋体"/>
          <w:color w:val="auto"/>
          <w:sz w:val="21"/>
          <w:szCs w:val="21"/>
          <w:highlight w:val="none"/>
        </w:rPr>
      </w:pPr>
    </w:p>
    <w:p w14:paraId="2CE2CDB5">
      <w:pPr>
        <w:adjustRightInd w:val="0"/>
        <w:snapToGrid w:val="0"/>
        <w:spacing w:line="360" w:lineRule="auto"/>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东莞市水务集团建设管理有限公司、</w:t>
      </w:r>
      <w:r>
        <w:rPr>
          <w:rFonts w:hint="eastAsia" w:ascii="宋体" w:hAnsi="宋体" w:eastAsia="宋体" w:cs="宋体"/>
          <w:color w:val="auto"/>
          <w:sz w:val="21"/>
          <w:szCs w:val="21"/>
          <w:highlight w:val="none"/>
          <w:lang w:eastAsia="zh-CN"/>
        </w:rPr>
        <w:t>东莞市水务集团供水有限公司</w:t>
      </w:r>
      <w:r>
        <w:rPr>
          <w:rFonts w:hint="eastAsia" w:ascii="宋体" w:hAnsi="宋体" w:eastAsia="宋体" w:cs="宋体"/>
          <w:color w:val="auto"/>
          <w:sz w:val="21"/>
          <w:szCs w:val="21"/>
          <w:highlight w:val="none"/>
        </w:rPr>
        <w:t>：</w:t>
      </w:r>
    </w:p>
    <w:p w14:paraId="1E269621">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我司根据《</w:t>
      </w:r>
      <w:r>
        <w:rPr>
          <w:rFonts w:hint="eastAsia" w:ascii="宋体" w:hAnsi="宋体" w:eastAsia="宋体" w:cs="宋体"/>
          <w:color w:val="auto"/>
          <w:sz w:val="21"/>
          <w:szCs w:val="21"/>
          <w:highlight w:val="none"/>
          <w:lang w:eastAsia="zh-CN"/>
        </w:rPr>
        <w:t>珠三角水资源配置工程东莞配套芦花坑水厂一期配水管线工程-C标段第三方检测服务采购项目</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第三方检测合同》相关条款全力配合贵公司工作，并自愿做出如下承诺：</w:t>
      </w:r>
    </w:p>
    <w:p w14:paraId="3DFA5D1B">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如我司有拖欠所雇用员工工资等，发生劳资纠纷、上访、闹事或其他影响贵公司生产经营等情况而未及时妥善处理的，贵公司有权启用履约担保或未付款等予以支付或作出相应处理，由此产生的一切法律后果由我司承担。</w:t>
      </w:r>
    </w:p>
    <w:p w14:paraId="44E2C0F8">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（二）如我司有违反本项目管理及合同约定等行为，我司无条件同意并接受贵公司根据合同及相关约定追究我司的违约责任。</w:t>
      </w:r>
    </w:p>
    <w:p w14:paraId="0E149ED7">
      <w:pPr>
        <w:adjustRightInd w:val="0"/>
        <w:snapToGrid w:val="0"/>
        <w:spacing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r>
        <w:rPr>
          <w:rFonts w:hint="eastAsia" w:ascii="宋体" w:hAnsi="宋体" w:eastAsia="宋体" w:cs="宋体"/>
          <w:b/>
          <w:bCs/>
          <w:color w:val="auto"/>
          <w:sz w:val="21"/>
          <w:szCs w:val="21"/>
          <w:highlight w:val="none"/>
        </w:rPr>
        <w:t>如我司在投标过程中或合同履行过程中存在以下等情形的：</w:t>
      </w:r>
      <w:r>
        <w:rPr>
          <w:rFonts w:hint="eastAsia" w:ascii="宋体" w:hAnsi="宋体" w:eastAsia="宋体" w:cs="宋体"/>
          <w:color w:val="auto"/>
          <w:sz w:val="21"/>
          <w:szCs w:val="21"/>
          <w:highlight w:val="none"/>
        </w:rPr>
        <w:t>（1）通过虚假响应招标文件要求等弄虚作假手段骗取中标的或未按照招标文件约定按时提供原件核查的；（2）利用虚假材料、以欺骗手段取得中标资格的；（3）将合同义务转包或违法分包的；（4）提供的服务不符合有关法律、行政法规的规定和质量标准、安全标准、行业规范以及合同的约定的。</w:t>
      </w:r>
      <w:r>
        <w:rPr>
          <w:rFonts w:hint="eastAsia" w:ascii="宋体" w:hAnsi="宋体" w:eastAsia="宋体" w:cs="宋体"/>
          <w:b/>
          <w:bCs/>
          <w:color w:val="auto"/>
          <w:sz w:val="21"/>
          <w:szCs w:val="21"/>
          <w:highlight w:val="none"/>
        </w:rPr>
        <w:t>我司同意并接受贵公司采取包括但不限于以下措施：</w:t>
      </w:r>
      <w:r>
        <w:rPr>
          <w:rFonts w:hint="eastAsia" w:ascii="宋体" w:hAnsi="宋体" w:eastAsia="宋体" w:cs="宋体"/>
          <w:color w:val="auto"/>
          <w:sz w:val="21"/>
          <w:szCs w:val="21"/>
          <w:highlight w:val="none"/>
        </w:rPr>
        <w:t>（1）将我司列入东莞市水务集团有限公司单位“黑名单”，在东莞市水务集团有限公司官网上进行公告，并在委托人以后的招标采购项目评标时充分考虑我司的不良行为和履约问题；（2）向东莞阳光网、东莞日报等媒体公开我公司失信行为；（3）上报东莞市住建局、东莞市水务局、东莞市水污染治理现场指挥部等部门要求将我司列入重点监管名单、在东莞市以后的招标采购项目评标时会充分考虑我司的不良行为和履约问题甚至取消我司参加东莞市公开招标项目的投标资格；（4）向广东省住建厅、国资委等部门进行通报和投诉等。</w:t>
      </w:r>
    </w:p>
    <w:p w14:paraId="0BC18192">
      <w:pPr>
        <w:adjustRightInd w:val="0"/>
        <w:snapToGrid w:val="0"/>
        <w:spacing w:line="360" w:lineRule="auto"/>
        <w:ind w:firstLine="422" w:firstLineChars="200"/>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我司并愿按相关规定接受处理，由此产生的一切法律责任和不利后果全部由我司承担。</w:t>
      </w:r>
    </w:p>
    <w:p w14:paraId="23C58311">
      <w:pPr>
        <w:pStyle w:val="2"/>
        <w:snapToGrid w:val="0"/>
        <w:spacing w:line="360" w:lineRule="auto"/>
        <w:ind w:right="0"/>
        <w:rPr>
          <w:rFonts w:hint="eastAsia" w:ascii="宋体" w:hAnsi="宋体" w:eastAsia="宋体" w:cs="宋体"/>
          <w:color w:val="auto"/>
          <w:sz w:val="21"/>
          <w:szCs w:val="21"/>
          <w:highlight w:val="none"/>
          <w:lang w:val="en-US"/>
        </w:rPr>
      </w:pPr>
    </w:p>
    <w:p w14:paraId="0FBDEBE3">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承诺人（盖章）：</w:t>
      </w:r>
    </w:p>
    <w:p w14:paraId="248E126A">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法人代表人（或授权代理人）签名（或盖私章）：</w:t>
      </w:r>
    </w:p>
    <w:p w14:paraId="5C0C05D4">
      <w:pPr>
        <w:adjustRightInd w:val="0"/>
        <w:snapToGrid w:val="0"/>
        <w:spacing w:line="360" w:lineRule="auto"/>
        <w:ind w:firstLine="4200" w:firstLineChars="20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762A3755">
      <w:pPr>
        <w:widowControl/>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2F20CB5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附件五 检测单位履约考核评分表</w:t>
      </w:r>
    </w:p>
    <w:p w14:paraId="7BA7D10F">
      <w:pPr>
        <w:adjustRightInd w:val="0"/>
        <w:snapToGrid w:val="0"/>
        <w:spacing w:line="360" w:lineRule="auto"/>
        <w:rPr>
          <w:rFonts w:hint="eastAsia" w:ascii="宋体" w:hAnsi="宋体" w:eastAsia="宋体" w:cs="宋体"/>
          <w:color w:val="auto"/>
          <w:sz w:val="21"/>
          <w:szCs w:val="21"/>
          <w:highlight w:val="none"/>
        </w:rPr>
      </w:pPr>
    </w:p>
    <w:p w14:paraId="5181EF37">
      <w:pPr>
        <w:adjustRightInd w:val="0"/>
        <w:snapToGrid w:val="0"/>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检测单位履约考核评分表</w:t>
      </w:r>
    </w:p>
    <w:tbl>
      <w:tblPr>
        <w:tblStyle w:val="36"/>
        <w:tblW w:w="10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717"/>
        <w:gridCol w:w="4304"/>
        <w:gridCol w:w="537"/>
        <w:gridCol w:w="1578"/>
        <w:gridCol w:w="1078"/>
        <w:gridCol w:w="1076"/>
      </w:tblGrid>
      <w:tr w14:paraId="5E40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793" w:type="dxa"/>
            <w:gridSpan w:val="2"/>
            <w:vAlign w:val="center"/>
          </w:tcPr>
          <w:p w14:paraId="1A34BCE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检测人名称</w:t>
            </w:r>
          </w:p>
        </w:tc>
        <w:tc>
          <w:tcPr>
            <w:tcW w:w="4841" w:type="dxa"/>
            <w:gridSpan w:val="2"/>
            <w:vAlign w:val="center"/>
          </w:tcPr>
          <w:p w14:paraId="12422C1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578" w:type="dxa"/>
            <w:vAlign w:val="center"/>
          </w:tcPr>
          <w:p w14:paraId="2929D75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评价时间</w:t>
            </w:r>
          </w:p>
        </w:tc>
        <w:tc>
          <w:tcPr>
            <w:tcW w:w="2154" w:type="dxa"/>
            <w:gridSpan w:val="2"/>
            <w:vAlign w:val="center"/>
          </w:tcPr>
          <w:p w14:paraId="34A19EC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6442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76" w:type="dxa"/>
            <w:vAlign w:val="center"/>
          </w:tcPr>
          <w:p w14:paraId="17BACE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评价内容</w:t>
            </w:r>
          </w:p>
        </w:tc>
        <w:tc>
          <w:tcPr>
            <w:tcW w:w="717" w:type="dxa"/>
            <w:vAlign w:val="center"/>
          </w:tcPr>
          <w:p w14:paraId="0F7A615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各项分值</w:t>
            </w:r>
          </w:p>
        </w:tc>
        <w:tc>
          <w:tcPr>
            <w:tcW w:w="6419" w:type="dxa"/>
            <w:gridSpan w:val="3"/>
            <w:vAlign w:val="center"/>
          </w:tcPr>
          <w:p w14:paraId="63D276C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具体内容</w:t>
            </w:r>
          </w:p>
        </w:tc>
        <w:tc>
          <w:tcPr>
            <w:tcW w:w="1078" w:type="dxa"/>
            <w:vAlign w:val="center"/>
          </w:tcPr>
          <w:p w14:paraId="755705B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评分 </w:t>
            </w:r>
          </w:p>
          <w:p w14:paraId="24830C3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center"/>
          </w:tcPr>
          <w:p w14:paraId="5F278B6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各项</w:t>
            </w:r>
          </w:p>
          <w:p w14:paraId="363753E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得分</w:t>
            </w:r>
          </w:p>
        </w:tc>
      </w:tr>
      <w:tr w14:paraId="1180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6" w:type="dxa"/>
            <w:vAlign w:val="center"/>
          </w:tcPr>
          <w:p w14:paraId="52DA818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服务响应</w:t>
            </w:r>
          </w:p>
        </w:tc>
        <w:tc>
          <w:tcPr>
            <w:tcW w:w="717" w:type="dxa"/>
            <w:vAlign w:val="center"/>
          </w:tcPr>
          <w:p w14:paraId="6DE37AF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4863F28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1、不积极配合协助处理服务履行中发生的争议，不主动提供真实情况，每次扣3分；</w:t>
            </w:r>
          </w:p>
          <w:p w14:paraId="64AACA3C">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2、未能在约定时间内进驻现场的，每次扣5分；</w:t>
            </w:r>
          </w:p>
          <w:p w14:paraId="5DEA440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3、因无相应资质，需另行委托分包单位进行检测的，每检测项（细项）扣5分；</w:t>
            </w:r>
          </w:p>
          <w:p w14:paraId="2BF45AA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4、未派人员参加业主要求的相关会议，每次扣5分。</w:t>
            </w:r>
          </w:p>
        </w:tc>
        <w:tc>
          <w:tcPr>
            <w:tcW w:w="1078" w:type="dxa"/>
            <w:vAlign w:val="center"/>
          </w:tcPr>
          <w:p w14:paraId="5BE3EE0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57BD04B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50B1139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265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1076" w:type="dxa"/>
            <w:vAlign w:val="center"/>
          </w:tcPr>
          <w:p w14:paraId="0EA69E5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设备人员配置</w:t>
            </w:r>
          </w:p>
        </w:tc>
        <w:tc>
          <w:tcPr>
            <w:tcW w:w="717" w:type="dxa"/>
            <w:vAlign w:val="center"/>
          </w:tcPr>
          <w:p w14:paraId="2E6EC13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419" w:type="dxa"/>
            <w:gridSpan w:val="3"/>
            <w:vAlign w:val="center"/>
          </w:tcPr>
          <w:p w14:paraId="70B0FE7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1、未按我公司要求配齐相应检测人员的，每人每次扣5分；</w:t>
            </w:r>
          </w:p>
          <w:p w14:paraId="794F49B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2、未按我公司要求配齐相应设备的，每次扣5分：</w:t>
            </w:r>
          </w:p>
          <w:p w14:paraId="7ED94CD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3、检测人员能力无法满足实际需要，且经我公司要求更换而未更换的，每人每次扣5分；</w:t>
            </w:r>
          </w:p>
          <w:p w14:paraId="0046422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4、检测人员未持有效证件上岗及佩戴工作证，每人每次扣5分；</w:t>
            </w:r>
          </w:p>
          <w:p w14:paraId="32C8EEA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5、特种作业人员未持有效证件上岗及佩戴工作证，每人每次扣5分；</w:t>
            </w:r>
          </w:p>
          <w:p w14:paraId="36D12539">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6、开展检测的设备未在检定有效期内，每台设备每次扣5分。</w:t>
            </w:r>
          </w:p>
        </w:tc>
        <w:tc>
          <w:tcPr>
            <w:tcW w:w="1078" w:type="dxa"/>
            <w:vAlign w:val="center"/>
          </w:tcPr>
          <w:p w14:paraId="2AE6522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48670F6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4AB8AFB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5FF2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076" w:type="dxa"/>
            <w:vAlign w:val="center"/>
          </w:tcPr>
          <w:p w14:paraId="47693B7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工作质量</w:t>
            </w:r>
          </w:p>
        </w:tc>
        <w:tc>
          <w:tcPr>
            <w:tcW w:w="717" w:type="dxa"/>
            <w:vAlign w:val="center"/>
          </w:tcPr>
          <w:p w14:paraId="150833F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50E1025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1、实际检测协作服务未达用户需求书、合同文件要求，且经我公司要求后未配合整改至符合要求的，每处每次扣5分；</w:t>
            </w:r>
          </w:p>
          <w:p w14:paraId="712D08C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2、检测记录、数据与实际不相符的，每次扣5分；</w:t>
            </w:r>
          </w:p>
          <w:p w14:paraId="0A4E9DE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3、检测资料管理混乱、台账不及时更新、资料不及时签字或盖章不全的，每次扣5分；</w:t>
            </w:r>
          </w:p>
          <w:p w14:paraId="1AB3BC90">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4、未按《关于加强东莞市建设工程质量检测机构监督管理的通知》的规定进行拍照或录像的，每次扣5分；</w:t>
            </w:r>
          </w:p>
          <w:p w14:paraId="3C38620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5、检测报告的准确率，如出现报告的工程部位、工程名称、数据等错误的，每份报告扣5分；</w:t>
            </w:r>
          </w:p>
          <w:p w14:paraId="67933CC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6、检测结果不合格未及时反馈或通报的，每次扣10分。</w:t>
            </w:r>
          </w:p>
        </w:tc>
        <w:tc>
          <w:tcPr>
            <w:tcW w:w="1078" w:type="dxa"/>
            <w:vAlign w:val="center"/>
          </w:tcPr>
          <w:p w14:paraId="3D7D646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1039807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156E8AB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7C5B4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 w:hRule="atLeast"/>
        </w:trPr>
        <w:tc>
          <w:tcPr>
            <w:tcW w:w="1076" w:type="dxa"/>
            <w:vAlign w:val="center"/>
          </w:tcPr>
          <w:p w14:paraId="2FC4CACC">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服务进度</w:t>
            </w:r>
          </w:p>
        </w:tc>
        <w:tc>
          <w:tcPr>
            <w:tcW w:w="717" w:type="dxa"/>
            <w:vAlign w:val="center"/>
          </w:tcPr>
          <w:p w14:paraId="53865FC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6419" w:type="dxa"/>
            <w:gridSpan w:val="3"/>
            <w:vAlign w:val="center"/>
          </w:tcPr>
          <w:p w14:paraId="03CE511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1、没有在规定时间内完成检测协作服务工作的，每处每次扣5分；</w:t>
            </w:r>
          </w:p>
          <w:p w14:paraId="563EC534">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2、没有按照合同规定时间内出具检测报告的，每份报告扣5分。</w:t>
            </w:r>
          </w:p>
        </w:tc>
        <w:tc>
          <w:tcPr>
            <w:tcW w:w="1078" w:type="dxa"/>
            <w:vAlign w:val="center"/>
          </w:tcPr>
          <w:p w14:paraId="2940F26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0465413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7422E67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302E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076" w:type="dxa"/>
            <w:vAlign w:val="center"/>
          </w:tcPr>
          <w:p w14:paraId="74CCF43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安全文明管理</w:t>
            </w:r>
          </w:p>
        </w:tc>
        <w:tc>
          <w:tcPr>
            <w:tcW w:w="717" w:type="dxa"/>
            <w:vAlign w:val="center"/>
          </w:tcPr>
          <w:p w14:paraId="7E39D57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6419" w:type="dxa"/>
            <w:gridSpan w:val="3"/>
            <w:vAlign w:val="center"/>
          </w:tcPr>
          <w:p w14:paraId="36B6D94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1、未按要求进行安全防护或安全防护不到位，我公司或上级部门检查中发现的，每处扣5分；</w:t>
            </w:r>
          </w:p>
          <w:p w14:paraId="620B56C3">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2、涉及有限空间作业未按照相关流程制度审批的，每次扣5分；</w:t>
            </w:r>
          </w:p>
          <w:p w14:paraId="237B97B9">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3、发生一般安全事故的，每次扣10分；</w:t>
            </w:r>
          </w:p>
          <w:p w14:paraId="797D87E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4、发生较大安全事故的，每次扣20分。</w:t>
            </w:r>
          </w:p>
        </w:tc>
        <w:tc>
          <w:tcPr>
            <w:tcW w:w="1078" w:type="dxa"/>
            <w:vAlign w:val="center"/>
          </w:tcPr>
          <w:p w14:paraId="3749636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安全管理部</w:t>
            </w:r>
          </w:p>
        </w:tc>
        <w:tc>
          <w:tcPr>
            <w:tcW w:w="1076" w:type="dxa"/>
            <w:vAlign w:val="bottom"/>
          </w:tcPr>
          <w:p w14:paraId="2CEBC6D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D75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076" w:type="dxa"/>
            <w:vAlign w:val="center"/>
          </w:tcPr>
          <w:p w14:paraId="7CA14C5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服务态度</w:t>
            </w:r>
          </w:p>
        </w:tc>
        <w:tc>
          <w:tcPr>
            <w:tcW w:w="717" w:type="dxa"/>
            <w:vAlign w:val="center"/>
          </w:tcPr>
          <w:p w14:paraId="0EF700B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6419" w:type="dxa"/>
            <w:gridSpan w:val="3"/>
            <w:vAlign w:val="center"/>
          </w:tcPr>
          <w:p w14:paraId="2C101A3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对检测协作服务单位日常工作的服务态度，以及甲方、上级主管部门、建设单位检查中配合情况、服务投诉情况进行评价。每收到投诉一次扣5分。</w:t>
            </w:r>
          </w:p>
        </w:tc>
        <w:tc>
          <w:tcPr>
            <w:tcW w:w="1078" w:type="dxa"/>
            <w:vAlign w:val="center"/>
          </w:tcPr>
          <w:p w14:paraId="1F93C4D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需求</w:t>
            </w:r>
          </w:p>
          <w:p w14:paraId="288EE89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部门</w:t>
            </w:r>
          </w:p>
        </w:tc>
        <w:tc>
          <w:tcPr>
            <w:tcW w:w="1076" w:type="dxa"/>
            <w:vAlign w:val="bottom"/>
          </w:tcPr>
          <w:p w14:paraId="687356E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20B0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12" w:type="dxa"/>
            <w:gridSpan w:val="5"/>
            <w:vAlign w:val="center"/>
          </w:tcPr>
          <w:p w14:paraId="09B89ED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2154" w:type="dxa"/>
            <w:gridSpan w:val="2"/>
            <w:vAlign w:val="center"/>
          </w:tcPr>
          <w:p w14:paraId="2BB3655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r w14:paraId="175BF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0366" w:type="dxa"/>
            <w:gridSpan w:val="7"/>
            <w:vAlign w:val="center"/>
          </w:tcPr>
          <w:p w14:paraId="49372F82">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考核评分须知：</w:t>
            </w:r>
          </w:p>
          <w:p w14:paraId="63E2430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1、委托人每季度对检测人评价一次，出具考核评价结果。</w:t>
            </w:r>
          </w:p>
          <w:p w14:paraId="473B4A07">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2、委托人将严格按照考核评分标准对检测人进行季度检查和考核。</w:t>
            </w:r>
          </w:p>
          <w:p w14:paraId="50C02668">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3、考评[70,80)分的，处相应付款周期内经委托人确认的检测费的10%作为违约金，考评[60,70)分的，处相应付款周期经委托人确认的检测费的20%作为违约金，考评60分以下的，处相应付款周期经委托人确认的检测</w:t>
            </w:r>
            <w:r>
              <w:rPr>
                <w:rFonts w:hint="eastAsia" w:ascii="宋体" w:hAnsi="宋体" w:eastAsia="宋体" w:cs="宋体"/>
                <w:b w:val="0"/>
                <w:bCs w:val="0"/>
                <w:color w:val="auto"/>
                <w:sz w:val="21"/>
                <w:szCs w:val="21"/>
                <w:highlight w:val="none"/>
                <w:lang w:val="en-US" w:eastAsia="zh-CN"/>
              </w:rPr>
              <w:t>费</w:t>
            </w:r>
            <w:r>
              <w:rPr>
                <w:rFonts w:hint="eastAsia" w:ascii="宋体" w:hAnsi="宋体" w:eastAsia="宋体" w:cs="宋体"/>
                <w:b w:val="0"/>
                <w:bCs w:val="0"/>
                <w:color w:val="auto"/>
                <w:sz w:val="21"/>
                <w:szCs w:val="21"/>
                <w:highlight w:val="none"/>
              </w:rPr>
              <w:t>的30%作为违约金。上述“[”代表闭区间，“)”代表开区间，如[70,80)代表该分数段范围为大于等于70且小于80。达到相应付款周期时,如检测人未申请支付本期费用, 委托人根据支付条件暂定本周期检测费并计算本周期内应缴纳的暂定违约金，检测人应予以缴纳。下一周期仍未申请时按上述做法执行，待到检测人申请支付费用时，根据合同付款流程确认检测费，同步对以往暂定违约金在本次一并确认并予以结算。</w:t>
            </w:r>
          </w:p>
        </w:tc>
      </w:tr>
      <w:tr w14:paraId="2E9C5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793" w:type="dxa"/>
            <w:gridSpan w:val="2"/>
            <w:vAlign w:val="center"/>
          </w:tcPr>
          <w:p w14:paraId="2D37D6F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评价人员签名</w:t>
            </w:r>
          </w:p>
        </w:tc>
        <w:tc>
          <w:tcPr>
            <w:tcW w:w="4304" w:type="dxa"/>
            <w:vAlign w:val="center"/>
          </w:tcPr>
          <w:p w14:paraId="7C3F93C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2115" w:type="dxa"/>
            <w:gridSpan w:val="2"/>
            <w:vAlign w:val="center"/>
          </w:tcPr>
          <w:p w14:paraId="556A1A3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评价日期</w:t>
            </w:r>
          </w:p>
        </w:tc>
        <w:tc>
          <w:tcPr>
            <w:tcW w:w="2154" w:type="dxa"/>
            <w:gridSpan w:val="2"/>
            <w:vAlign w:val="center"/>
          </w:tcPr>
          <w:p w14:paraId="46A7D11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r>
    </w:tbl>
    <w:p w14:paraId="64E67093">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5CB9B63F">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511" w:name="_Toc512353083"/>
      <w:bookmarkStart w:id="512" w:name="_Toc13867"/>
      <w:bookmarkStart w:id="513" w:name="_Toc30025"/>
      <w:bookmarkStart w:id="514" w:name="_Toc25564"/>
      <w:bookmarkStart w:id="515" w:name="_Toc447044603"/>
      <w:bookmarkStart w:id="516" w:name="_Toc24427_WPSOffice_Level1"/>
      <w:bookmarkStart w:id="517" w:name="_Toc142508360"/>
      <w:bookmarkStart w:id="518" w:name="_Toc447045090"/>
      <w:bookmarkStart w:id="519" w:name="_Toc25831"/>
      <w:bookmarkStart w:id="520" w:name="_Toc4881"/>
      <w:bookmarkStart w:id="521" w:name="_Toc447044479"/>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511"/>
      <w:bookmarkEnd w:id="512"/>
      <w:bookmarkEnd w:id="513"/>
      <w:bookmarkEnd w:id="514"/>
      <w:bookmarkEnd w:id="515"/>
      <w:bookmarkEnd w:id="516"/>
      <w:bookmarkEnd w:id="517"/>
      <w:bookmarkEnd w:id="518"/>
      <w:bookmarkEnd w:id="519"/>
      <w:bookmarkEnd w:id="520"/>
      <w:bookmarkEnd w:id="521"/>
      <w:bookmarkStart w:id="522" w:name="_Toc447044604"/>
      <w:bookmarkStart w:id="523" w:name="_Toc447045091"/>
      <w:bookmarkStart w:id="524" w:name="_Toc447044480"/>
    </w:p>
    <w:p w14:paraId="2A001F4B">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525" w:name="_Toc26521_WPSOffice_Level2"/>
      <w:r>
        <w:rPr>
          <w:rFonts w:hint="eastAsia" w:ascii="宋体" w:hAnsi="宋体" w:eastAsia="宋体" w:cs="Times New Roman"/>
          <w:b/>
          <w:color w:val="auto"/>
          <w:kern w:val="0"/>
          <w:sz w:val="28"/>
          <w:szCs w:val="28"/>
          <w:highlight w:val="none"/>
        </w:rPr>
        <w:t>一、不可撤销银行履约保函格式</w:t>
      </w:r>
      <w:bookmarkEnd w:id="522"/>
      <w:bookmarkEnd w:id="523"/>
      <w:bookmarkEnd w:id="524"/>
      <w:bookmarkEnd w:id="525"/>
    </w:p>
    <w:p w14:paraId="13606391">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3DA320D6">
      <w:pPr>
        <w:widowControl/>
        <w:autoSpaceDE w:val="0"/>
        <w:autoSpaceDN w:val="0"/>
        <w:adjustRightInd w:val="0"/>
        <w:spacing w:line="360" w:lineRule="auto"/>
        <w:jc w:val="left"/>
        <w:rPr>
          <w:rFonts w:ascii="宋体" w:hAnsi="宋体" w:eastAsia="宋体" w:cs="宋体"/>
          <w:color w:val="auto"/>
          <w:kern w:val="0"/>
          <w:szCs w:val="21"/>
          <w:highlight w:val="none"/>
        </w:rPr>
      </w:pPr>
    </w:p>
    <w:p w14:paraId="7DE80402">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18FEF8FF">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571A8E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65D8070A">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739D182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01327695">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7ADA4ABF">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40D61E1">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eastAsia" w:ascii="宋体" w:hAnsi="宋体" w:eastAsia="宋体" w:cs="Times New Roman"/>
          <w:color w:val="auto"/>
          <w:kern w:val="0"/>
          <w:szCs w:val="21"/>
          <w:highlight w:val="none"/>
          <w:lang w:eastAsia="zh-CN"/>
        </w:rPr>
        <w:t>从合同签订之日起至合同期限届满并履行完毕相关服务义务且结算完毕之后二十八（28）个日历天内保持有效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14:paraId="1D00A40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30AEC029">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49EE9567">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0FE83566">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3E33060C">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719EE05D">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B1364C8">
      <w:pPr>
        <w:widowControl/>
        <w:autoSpaceDE w:val="0"/>
        <w:autoSpaceDN w:val="0"/>
        <w:adjustRightInd w:val="0"/>
        <w:spacing w:line="360" w:lineRule="auto"/>
        <w:jc w:val="left"/>
        <w:rPr>
          <w:rFonts w:ascii="宋体" w:hAnsi="宋体" w:eastAsia="宋体" w:cs="宋体"/>
          <w:color w:val="auto"/>
          <w:kern w:val="0"/>
          <w:szCs w:val="21"/>
          <w:highlight w:val="none"/>
        </w:rPr>
      </w:pPr>
    </w:p>
    <w:p w14:paraId="04E05C09">
      <w:pPr>
        <w:widowControl/>
        <w:autoSpaceDE w:val="0"/>
        <w:autoSpaceDN w:val="0"/>
        <w:adjustRightInd w:val="0"/>
        <w:spacing w:line="360" w:lineRule="auto"/>
        <w:jc w:val="left"/>
        <w:rPr>
          <w:rFonts w:ascii="宋体" w:hAnsi="宋体" w:eastAsia="宋体" w:cs="宋体"/>
          <w:color w:val="auto"/>
          <w:kern w:val="0"/>
          <w:szCs w:val="21"/>
          <w:highlight w:val="none"/>
        </w:rPr>
      </w:pPr>
    </w:p>
    <w:p w14:paraId="384257E4">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12E7262C">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06D31764">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13C5CBE2">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23765168">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1528F80">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4F95ECA8">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1C0DEDC9">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6E6E115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7A383EA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3BFECF3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4EDE201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08FF135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6791DBB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670F594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111587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56958DD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44862A19">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1FDCC7A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w:t>
      </w:r>
      <w:r>
        <w:rPr>
          <w:rFonts w:hint="default" w:ascii="宋体" w:hAnsi="宋体" w:eastAsia="宋体" w:cs="Times New Roman"/>
          <w:color w:val="auto"/>
          <w:kern w:val="0"/>
          <w:szCs w:val="21"/>
          <w:highlight w:val="none"/>
          <w:lang w:val="en-US" w:eastAsia="zh-CN"/>
        </w:rPr>
        <w:t>从</w:t>
      </w:r>
      <w:r>
        <w:rPr>
          <w:rFonts w:hint="eastAsia" w:ascii="宋体" w:hAnsi="宋体" w:eastAsia="宋体" w:cs="Times New Roman"/>
          <w:color w:val="auto"/>
          <w:kern w:val="0"/>
          <w:szCs w:val="21"/>
          <w:highlight w:val="none"/>
          <w:lang w:eastAsia="zh-CN"/>
        </w:rPr>
        <w:t>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14:paraId="57EB5DB6">
      <w:pPr>
        <w:numPr>
          <w:ilvl w:val="0"/>
          <w:numId w:val="0"/>
        </w:numPr>
        <w:outlineLvl w:val="9"/>
        <w:rPr>
          <w:rFonts w:hint="default"/>
          <w:color w:val="auto"/>
          <w:highlight w:val="none"/>
          <w:lang w:val="en-US" w:eastAsia="zh-CN"/>
        </w:rPr>
      </w:pPr>
    </w:p>
    <w:p w14:paraId="508F6BA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386FC641">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1A7AB438">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732BE882">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02F01E62">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4D2423AF">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55B306E0">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63325662">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3A6A9649">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1DCCB42B">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10681E61">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在本合同项下的保证责任为连带责任保证。</w:t>
      </w:r>
    </w:p>
    <w:p w14:paraId="130D4895">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49841EF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6BE0253">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w:t>
      </w:r>
      <w:r>
        <w:rPr>
          <w:rFonts w:hint="default" w:ascii="宋体" w:hAnsi="宋体" w:eastAsia="宋体" w:cs="Times New Roman"/>
          <w:color w:val="auto"/>
          <w:kern w:val="0"/>
          <w:szCs w:val="21"/>
          <w:highlight w:val="none"/>
          <w:lang w:val="en-US" w:eastAsia="zh-CN"/>
        </w:rPr>
        <w:t>从</w:t>
      </w:r>
      <w:r>
        <w:rPr>
          <w:rFonts w:hint="eastAsia" w:ascii="宋体" w:hAnsi="宋体" w:eastAsia="宋体" w:cs="Times New Roman"/>
          <w:color w:val="auto"/>
          <w:kern w:val="0"/>
          <w:szCs w:val="21"/>
          <w:highlight w:val="none"/>
          <w:lang w:eastAsia="zh-CN"/>
        </w:rPr>
        <w:t>合同签订之日起至合同期限届满并履行完毕相关服务义务且结算完毕之后二十八（28）个日历天内保持有效</w:t>
      </w:r>
      <w:r>
        <w:rPr>
          <w:rFonts w:hint="eastAsia" w:ascii="宋体" w:hAnsi="宋体" w:eastAsia="宋体" w:cs="Times New Roman"/>
          <w:color w:val="auto"/>
          <w:kern w:val="0"/>
          <w:szCs w:val="21"/>
          <w:highlight w:val="none"/>
        </w:rPr>
        <w:t>。</w:t>
      </w:r>
    </w:p>
    <w:p w14:paraId="732234C8">
      <w:pPr>
        <w:autoSpaceDE w:val="0"/>
        <w:autoSpaceDN w:val="0"/>
        <w:adjustRightInd w:val="0"/>
        <w:spacing w:line="360" w:lineRule="auto"/>
        <w:jc w:val="left"/>
        <w:rPr>
          <w:rFonts w:ascii="宋体" w:hAnsi="宋体" w:eastAsia="宋体" w:cs="Times New Roman"/>
          <w:color w:val="auto"/>
          <w:kern w:val="0"/>
          <w:szCs w:val="21"/>
          <w:highlight w:val="none"/>
        </w:rPr>
      </w:pPr>
    </w:p>
    <w:p w14:paraId="2EDE1C4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062C42A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7406BDD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5123B38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190AA45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06BF4ECE">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AB2FA1A">
      <w:pPr>
        <w:autoSpaceDE w:val="0"/>
        <w:autoSpaceDN w:val="0"/>
        <w:adjustRightInd w:val="0"/>
        <w:spacing w:line="360" w:lineRule="auto"/>
        <w:jc w:val="left"/>
        <w:rPr>
          <w:rFonts w:ascii="宋体" w:hAnsi="宋体" w:eastAsia="宋体" w:cs="Times New Roman"/>
          <w:color w:val="auto"/>
          <w:kern w:val="0"/>
          <w:szCs w:val="21"/>
          <w:highlight w:val="none"/>
        </w:rPr>
      </w:pPr>
    </w:p>
    <w:p w14:paraId="7516812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7B79584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58E56CFE">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CF38C31">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674FFC4">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3531798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24CC258">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697A1965">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4E49071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526" w:name="_Toc486167708"/>
      <w:bookmarkStart w:id="527" w:name="_Toc15485"/>
      <w:bookmarkStart w:id="528" w:name="_Toc15817"/>
      <w:bookmarkStart w:id="529" w:name="_Toc9840"/>
      <w:bookmarkStart w:id="530" w:name="_Toc450662895"/>
      <w:bookmarkStart w:id="531" w:name="_Toc14958"/>
      <w:bookmarkStart w:id="532" w:name="_Toc32761_WPSOffice_Level1"/>
      <w:bookmarkStart w:id="533" w:name="_Toc6791"/>
      <w:bookmarkStart w:id="534" w:name="_Toc142508361"/>
      <w:r>
        <w:rPr>
          <w:rFonts w:hint="eastAsia" w:ascii="宋体" w:hAnsi="宋体" w:eastAsia="宋体" w:cs="宋体"/>
          <w:b/>
          <w:bCs/>
          <w:color w:val="auto"/>
          <w:kern w:val="44"/>
          <w:sz w:val="32"/>
          <w:szCs w:val="32"/>
          <w:highlight w:val="none"/>
          <w:lang w:val="zh-CN"/>
        </w:rPr>
        <w:t>第六篇 投标文件格式</w:t>
      </w:r>
      <w:bookmarkEnd w:id="526"/>
      <w:bookmarkEnd w:id="527"/>
      <w:bookmarkEnd w:id="528"/>
      <w:bookmarkEnd w:id="529"/>
      <w:bookmarkEnd w:id="530"/>
      <w:bookmarkEnd w:id="531"/>
      <w:bookmarkEnd w:id="532"/>
      <w:bookmarkEnd w:id="533"/>
      <w:bookmarkEnd w:id="534"/>
    </w:p>
    <w:p w14:paraId="681ED2F4">
      <w:pPr>
        <w:rPr>
          <w:rFonts w:hint="eastAsia" w:ascii="宋体" w:hAnsi="宋体" w:eastAsia="宋体" w:cs="宋体"/>
          <w:color w:val="auto"/>
          <w:sz w:val="84"/>
          <w:highlight w:val="none"/>
        </w:rPr>
      </w:pPr>
      <w:bookmarkStart w:id="535" w:name="_Toc21133_WPSOffice_Level2"/>
      <w:bookmarkStart w:id="536" w:name="_Toc486167709"/>
      <w:bookmarkStart w:id="537" w:name="_Toc94107202"/>
      <w:bookmarkStart w:id="538" w:name="_Toc104991868"/>
      <w:bookmarkStart w:id="539" w:name="_Toc102860411"/>
      <w:bookmarkStart w:id="540" w:name="_Toc533708121"/>
      <w:bookmarkStart w:id="541" w:name="_Toc102860067"/>
      <w:bookmarkStart w:id="542" w:name="_Toc142508362"/>
      <w:bookmarkStart w:id="543" w:name="_Toc1977721"/>
      <w:bookmarkStart w:id="544" w:name="_Toc140596921"/>
      <w:r>
        <w:rPr>
          <w:rFonts w:hint="eastAsia" w:ascii="宋体" w:hAnsi="宋体" w:eastAsia="宋体" w:cs="宋体"/>
          <w:b/>
          <w:color w:val="auto"/>
          <w:kern w:val="0"/>
          <w:sz w:val="32"/>
          <w:szCs w:val="32"/>
          <w:highlight w:val="none"/>
        </w:rPr>
        <w:br w:type="page"/>
      </w:r>
    </w:p>
    <w:p w14:paraId="387AAB97">
      <w:pPr>
        <w:pStyle w:val="3"/>
        <w:spacing w:line="360" w:lineRule="auto"/>
        <w:jc w:val="center"/>
        <w:rPr>
          <w:rFonts w:hint="eastAsia" w:ascii="宋体" w:hAnsi="宋体" w:eastAsia="宋体" w:cs="宋体"/>
          <w:color w:val="auto"/>
          <w:sz w:val="84"/>
          <w:highlight w:val="none"/>
        </w:rPr>
      </w:pPr>
    </w:p>
    <w:p w14:paraId="1A5711BC">
      <w:pPr>
        <w:pStyle w:val="3"/>
        <w:spacing w:line="360" w:lineRule="auto"/>
        <w:jc w:val="center"/>
        <w:rPr>
          <w:rFonts w:hint="eastAsia" w:ascii="宋体" w:hAnsi="宋体" w:eastAsia="宋体" w:cs="宋体"/>
          <w:color w:val="auto"/>
          <w:sz w:val="84"/>
          <w:highlight w:val="none"/>
        </w:rPr>
      </w:pPr>
    </w:p>
    <w:p w14:paraId="4A6B4655">
      <w:pPr>
        <w:pStyle w:val="3"/>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358C6899">
      <w:pPr>
        <w:pStyle w:val="3"/>
        <w:spacing w:line="360" w:lineRule="auto"/>
        <w:rPr>
          <w:rFonts w:hint="eastAsia" w:ascii="宋体" w:hAnsi="宋体" w:eastAsia="宋体" w:cs="宋体"/>
          <w:color w:val="auto"/>
          <w:highlight w:val="none"/>
        </w:rPr>
      </w:pPr>
    </w:p>
    <w:p w14:paraId="3A4ED8F2">
      <w:pPr>
        <w:pStyle w:val="3"/>
        <w:spacing w:line="360" w:lineRule="auto"/>
        <w:rPr>
          <w:rFonts w:hint="eastAsia" w:ascii="宋体" w:hAnsi="宋体" w:eastAsia="宋体" w:cs="宋体"/>
          <w:color w:val="auto"/>
          <w:highlight w:val="none"/>
        </w:rPr>
      </w:pPr>
    </w:p>
    <w:p w14:paraId="5A47F1CD">
      <w:pPr>
        <w:pStyle w:val="3"/>
        <w:spacing w:line="360" w:lineRule="auto"/>
        <w:rPr>
          <w:rFonts w:hint="eastAsia" w:ascii="宋体" w:hAnsi="宋体" w:eastAsia="宋体" w:cs="宋体"/>
          <w:color w:val="auto"/>
          <w:highlight w:val="none"/>
        </w:rPr>
      </w:pPr>
    </w:p>
    <w:p w14:paraId="73B1A42C">
      <w:pPr>
        <w:pStyle w:val="3"/>
        <w:spacing w:line="360" w:lineRule="auto"/>
        <w:rPr>
          <w:rFonts w:hint="eastAsia" w:ascii="宋体" w:hAnsi="宋体" w:eastAsia="宋体" w:cs="宋体"/>
          <w:color w:val="auto"/>
          <w:highlight w:val="none"/>
        </w:rPr>
      </w:pPr>
    </w:p>
    <w:p w14:paraId="416930F8">
      <w:pPr>
        <w:pStyle w:val="3"/>
        <w:spacing w:line="360" w:lineRule="auto"/>
        <w:rPr>
          <w:rFonts w:hint="eastAsia" w:ascii="宋体" w:hAnsi="宋体" w:eastAsia="宋体" w:cs="宋体"/>
          <w:color w:val="auto"/>
          <w:highlight w:val="none"/>
        </w:rPr>
      </w:pPr>
    </w:p>
    <w:p w14:paraId="5B46AFB1">
      <w:pPr>
        <w:pStyle w:val="3"/>
        <w:spacing w:line="360" w:lineRule="auto"/>
        <w:rPr>
          <w:rFonts w:hint="eastAsia" w:ascii="宋体" w:hAnsi="宋体" w:eastAsia="宋体" w:cs="宋体"/>
          <w:color w:val="auto"/>
          <w:highlight w:val="none"/>
        </w:rPr>
      </w:pPr>
    </w:p>
    <w:p w14:paraId="0F8CA1F1">
      <w:pPr>
        <w:pStyle w:val="3"/>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招标编号：</w:t>
      </w:r>
      <w:r>
        <w:rPr>
          <w:rFonts w:hint="eastAsia" w:ascii="宋体" w:hAnsi="宋体" w:cs="宋体"/>
          <w:color w:val="auto"/>
          <w:sz w:val="30"/>
          <w:highlight w:val="none"/>
          <w:u w:val="single"/>
          <w:lang w:eastAsia="zh-CN"/>
        </w:rPr>
        <w:t>WTZB2025DG0004</w:t>
      </w:r>
    </w:p>
    <w:p w14:paraId="16898AE6">
      <w:pPr>
        <w:pStyle w:val="3"/>
        <w:spacing w:line="360" w:lineRule="auto"/>
        <w:rPr>
          <w:rFonts w:hint="eastAsia" w:ascii="宋体" w:hAnsi="宋体" w:eastAsia="宋体" w:cs="宋体"/>
          <w:color w:val="auto"/>
          <w:sz w:val="30"/>
          <w:highlight w:val="none"/>
          <w:u w:val="single"/>
          <w:lang w:eastAsia="zh-CN"/>
        </w:rPr>
      </w:pPr>
      <w:r>
        <w:rPr>
          <w:rFonts w:hint="eastAsia" w:ascii="宋体" w:hAnsi="宋体" w:eastAsia="宋体" w:cs="宋体"/>
          <w:color w:val="auto"/>
          <w:sz w:val="30"/>
          <w:highlight w:val="none"/>
        </w:rPr>
        <w:t>项目名称：</w:t>
      </w:r>
      <w:r>
        <w:rPr>
          <w:rFonts w:hint="eastAsia" w:ascii="宋体" w:hAnsi="宋体" w:cs="宋体"/>
          <w:color w:val="auto"/>
          <w:sz w:val="30"/>
          <w:highlight w:val="none"/>
          <w:u w:val="single"/>
          <w:lang w:eastAsia="zh-CN"/>
        </w:rPr>
        <w:t>珠三角水资源配置工程东莞配套芦花坑水厂一期配水管线工程-C标段第三方检测服务采购项目</w:t>
      </w:r>
    </w:p>
    <w:p w14:paraId="50D5FA94">
      <w:pPr>
        <w:pStyle w:val="3"/>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764701A6">
      <w:pPr>
        <w:pStyle w:val="3"/>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招标人：</w:t>
      </w:r>
      <w:r>
        <w:rPr>
          <w:rFonts w:hint="eastAsia" w:ascii="宋体" w:hAnsi="宋体" w:cs="宋体"/>
          <w:color w:val="auto"/>
          <w:sz w:val="30"/>
          <w:highlight w:val="none"/>
          <w:u w:val="single"/>
          <w:lang w:eastAsia="zh-CN"/>
        </w:rPr>
        <w:t>东莞市水务集团建设管理有限公司</w:t>
      </w:r>
    </w:p>
    <w:p w14:paraId="377DC6A8">
      <w:pPr>
        <w:pStyle w:val="3"/>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7D95400">
      <w:pPr>
        <w:pStyle w:val="3"/>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2096B886">
      <w:pPr>
        <w:pStyle w:val="3"/>
        <w:spacing w:line="360" w:lineRule="auto"/>
        <w:rPr>
          <w:rFonts w:hint="eastAsia" w:ascii="宋体" w:hAnsi="宋体" w:eastAsia="宋体" w:cs="宋体"/>
          <w:color w:val="auto"/>
          <w:highlight w:val="none"/>
        </w:rPr>
      </w:pPr>
    </w:p>
    <w:p w14:paraId="3DD66F9B">
      <w:pPr>
        <w:pStyle w:val="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872210">
      <w:pPr>
        <w:pStyle w:val="3"/>
        <w:spacing w:line="360" w:lineRule="auto"/>
        <w:rPr>
          <w:rFonts w:hint="eastAsia" w:ascii="宋体" w:hAnsi="宋体" w:eastAsia="宋体" w:cs="宋体"/>
          <w:color w:val="auto"/>
          <w:highlight w:val="none"/>
        </w:rPr>
      </w:pPr>
    </w:p>
    <w:p w14:paraId="20CDED04">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57"/>
        <w:gridCol w:w="4059"/>
      </w:tblGrid>
      <w:tr w14:paraId="039A88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39E9A0D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4719155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57" w:type="dxa"/>
            <w:vAlign w:val="center"/>
          </w:tcPr>
          <w:p w14:paraId="13743223">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59" w:type="dxa"/>
            <w:tcBorders>
              <w:left w:val="single" w:color="auto" w:sz="4" w:space="0"/>
            </w:tcBorders>
            <w:vAlign w:val="center"/>
          </w:tcPr>
          <w:p w14:paraId="1E18B6D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BEC5FD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6C840C1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14:paraId="3FAC3BA6">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57" w:type="dxa"/>
            <w:vAlign w:val="center"/>
          </w:tcPr>
          <w:p w14:paraId="660CDE90">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355DC075">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6692BF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3D347235">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773" w:type="dxa"/>
            <w:vAlign w:val="center"/>
          </w:tcPr>
          <w:p w14:paraId="1FD0612E">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57" w:type="dxa"/>
            <w:vAlign w:val="center"/>
          </w:tcPr>
          <w:p w14:paraId="7C8BDF1A">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2D61D00A">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6ECF7D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0E9C97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14:paraId="200143C6">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57" w:type="dxa"/>
            <w:vAlign w:val="center"/>
          </w:tcPr>
          <w:p w14:paraId="07301F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left w:val="single" w:color="auto" w:sz="4" w:space="0"/>
            </w:tcBorders>
            <w:vAlign w:val="center"/>
          </w:tcPr>
          <w:p w14:paraId="16D7F107">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033D1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2AC756E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15E45FD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57" w:type="dxa"/>
            <w:tcBorders>
              <w:top w:val="single" w:color="auto" w:sz="6" w:space="0"/>
              <w:left w:val="single" w:color="auto" w:sz="6" w:space="0"/>
              <w:bottom w:val="outset" w:color="808080" w:sz="6" w:space="0"/>
              <w:right w:val="single" w:color="auto" w:sz="6" w:space="0"/>
            </w:tcBorders>
            <w:vAlign w:val="center"/>
          </w:tcPr>
          <w:p w14:paraId="0C30492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top w:val="single" w:color="auto" w:sz="6" w:space="0"/>
              <w:left w:val="single" w:color="auto" w:sz="4" w:space="0"/>
              <w:bottom w:val="outset" w:color="808080" w:sz="6" w:space="0"/>
              <w:right w:val="single" w:color="auto" w:sz="6" w:space="0"/>
            </w:tcBorders>
            <w:vAlign w:val="center"/>
          </w:tcPr>
          <w:p w14:paraId="15D0957A">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17971F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361559A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57" w:type="dxa"/>
            <w:tcBorders>
              <w:bottom w:val="single" w:color="auto" w:sz="4" w:space="0"/>
            </w:tcBorders>
            <w:vAlign w:val="center"/>
          </w:tcPr>
          <w:p w14:paraId="56500A68">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59" w:type="dxa"/>
            <w:tcBorders>
              <w:left w:val="single" w:color="auto" w:sz="4" w:space="0"/>
              <w:bottom w:val="single" w:color="auto" w:sz="4" w:space="0"/>
            </w:tcBorders>
            <w:vAlign w:val="center"/>
          </w:tcPr>
          <w:p w14:paraId="6D706AFF">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4DBE1809">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69907D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45" w:name="_Toc27679"/>
      <w:bookmarkStart w:id="546" w:name="_Toc24781"/>
      <w:bookmarkStart w:id="547" w:name="_Toc29567"/>
      <w:bookmarkStart w:id="548" w:name="_Toc19808"/>
      <w:bookmarkStart w:id="549" w:name="_Toc23782"/>
      <w:bookmarkStart w:id="550" w:name="_Toc28423"/>
      <w:bookmarkStart w:id="551" w:name="_Toc13281"/>
      <w:r>
        <w:rPr>
          <w:rFonts w:hint="eastAsia" w:ascii="宋体" w:hAnsi="宋体" w:eastAsia="宋体" w:cs="宋体"/>
          <w:b/>
          <w:color w:val="auto"/>
          <w:kern w:val="0"/>
          <w:sz w:val="32"/>
          <w:szCs w:val="32"/>
          <w:highlight w:val="none"/>
        </w:rPr>
        <w:t>一、投标函格式</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p w14:paraId="65DAD795">
      <w:pPr>
        <w:autoSpaceDE w:val="0"/>
        <w:autoSpaceDN w:val="0"/>
        <w:adjustRightInd w:val="0"/>
        <w:spacing w:line="360" w:lineRule="auto"/>
        <w:jc w:val="center"/>
        <w:rPr>
          <w:rFonts w:ascii="宋体" w:hAnsi="宋体" w:eastAsia="宋体" w:cs="宋体"/>
          <w:b/>
          <w:bCs/>
          <w:color w:val="auto"/>
          <w:sz w:val="30"/>
          <w:szCs w:val="30"/>
          <w:highlight w:val="none"/>
        </w:rPr>
      </w:pPr>
      <w:bookmarkStart w:id="552" w:name="_Toc16695_WPSOffice_Level3"/>
      <w:r>
        <w:rPr>
          <w:rFonts w:hint="eastAsia" w:ascii="宋体" w:hAnsi="宋体" w:eastAsia="宋体" w:cs="宋体"/>
          <w:b/>
          <w:bCs/>
          <w:color w:val="auto"/>
          <w:sz w:val="30"/>
          <w:szCs w:val="30"/>
          <w:highlight w:val="none"/>
          <w:lang w:val="zh-CN"/>
        </w:rPr>
        <w:t>投 标 函</w:t>
      </w:r>
      <w:bookmarkEnd w:id="552"/>
    </w:p>
    <w:p w14:paraId="2FA64A79">
      <w:pPr>
        <w:autoSpaceDE w:val="0"/>
        <w:autoSpaceDN w:val="0"/>
        <w:adjustRightInd w:val="0"/>
        <w:spacing w:line="360" w:lineRule="auto"/>
        <w:rPr>
          <w:rFonts w:ascii="宋体" w:hAnsi="宋体" w:eastAsia="宋体" w:cs="宋体"/>
          <w:color w:val="auto"/>
          <w:szCs w:val="21"/>
          <w:highlight w:val="none"/>
          <w:lang w:val="zh-CN"/>
        </w:rPr>
      </w:pPr>
    </w:p>
    <w:p w14:paraId="3D5EC852">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东莞市水务集团建设管理有限公司</w:t>
      </w:r>
    </w:p>
    <w:p w14:paraId="4A6473DD">
      <w:pPr>
        <w:autoSpaceDE w:val="0"/>
        <w:autoSpaceDN w:val="0"/>
        <w:adjustRightInd w:val="0"/>
        <w:spacing w:line="360" w:lineRule="auto"/>
        <w:rPr>
          <w:rFonts w:ascii="宋体" w:hAnsi="宋体" w:eastAsia="宋体" w:cs="宋体"/>
          <w:color w:val="auto"/>
          <w:szCs w:val="21"/>
          <w:highlight w:val="none"/>
        </w:rPr>
      </w:pPr>
    </w:p>
    <w:p w14:paraId="0ABB59BE">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珠三角水资源配置工程东莞配套芦花坑水厂一期配水管线工程-C标段第三方检测服务采购项目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WTZB2025DG0004</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4DC3887E">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744C44AC">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422D54D9">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670C033E">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2B053A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WTZB2025DG0004</w:t>
      </w:r>
      <w:r>
        <w:rPr>
          <w:rFonts w:hint="eastAsia" w:ascii="宋体" w:hAnsi="宋体" w:eastAsia="宋体" w:cs="宋体"/>
          <w:color w:val="auto"/>
          <w:szCs w:val="21"/>
          <w:highlight w:val="none"/>
          <w:lang w:val="zh-CN"/>
        </w:rPr>
        <w:t>的投标；</w:t>
      </w:r>
    </w:p>
    <w:p w14:paraId="68BCC8E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7839DE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217A657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4AA95F3B">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59563BF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5305B76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49C1BB0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6CFABC4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3765F9F8">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58EFC69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2544AA19">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73C2E60C">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789AC66D">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D2B39F0">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47CA148">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F465E46">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p>
    <w:p w14:paraId="11F9A017">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89C1BC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B9FB077">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4857158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553" w:name="_Toc4014"/>
      <w:bookmarkStart w:id="554" w:name="_Toc3104"/>
      <w:bookmarkStart w:id="555" w:name="_Toc20093"/>
      <w:bookmarkStart w:id="556" w:name="_Toc1977722"/>
      <w:bookmarkStart w:id="557" w:name="_Toc102860412"/>
      <w:bookmarkStart w:id="558" w:name="_Toc20078"/>
      <w:bookmarkStart w:id="559" w:name="_Toc533708122"/>
      <w:bookmarkStart w:id="560" w:name="_Toc140596922"/>
      <w:bookmarkStart w:id="561" w:name="_Toc104991869"/>
      <w:bookmarkStart w:id="562" w:name="_Toc12417"/>
      <w:bookmarkStart w:id="563" w:name="_Toc142508363"/>
      <w:bookmarkStart w:id="564" w:name="_Toc94107203"/>
      <w:bookmarkStart w:id="565" w:name="_Toc30995"/>
      <w:bookmarkStart w:id="566" w:name="_Toc18931"/>
      <w:bookmarkStart w:id="567" w:name="_Toc486167710"/>
      <w:bookmarkStart w:id="568" w:name="_Toc28613_WPSOffice_Level2"/>
      <w:bookmarkStart w:id="569" w:name="_Toc102860068"/>
      <w:r>
        <w:rPr>
          <w:rFonts w:hint="eastAsia" w:ascii="宋体" w:hAnsi="宋体" w:eastAsia="宋体" w:cs="宋体"/>
          <w:b/>
          <w:color w:val="auto"/>
          <w:kern w:val="0"/>
          <w:sz w:val="32"/>
          <w:szCs w:val="32"/>
          <w:highlight w:val="none"/>
        </w:rPr>
        <w:t>二、投标承诺书格式</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14:paraId="645175F8">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4CE07B29">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1C7829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珠三角水资源配置工程东莞配套芦花坑水厂一期配水管线工程-C标段第三方检测服务采购项目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WTZB2025DG0004</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707C1389">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4D1EA22E">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E58C45F">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7A213633">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7C4DD99">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2FF4D9AD">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34253209">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6633E229">
      <w:pPr>
        <w:autoSpaceDE/>
        <w:autoSpaceDN/>
        <w:adjustRightInd/>
        <w:spacing w:line="240" w:lineRule="auto"/>
        <w:ind w:firstLine="0" w:firstLineChars="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w:br w:type="page"/>
      </w:r>
    </w:p>
    <w:p w14:paraId="22E9712F">
      <w:pPr>
        <w:pageBreakBefore w:val="0"/>
        <w:autoSpaceDE/>
        <w:autoSpaceDN/>
        <w:adjustRightInd/>
        <w:spacing w:line="240" w:lineRule="auto"/>
        <w:jc w:val="left"/>
        <w:outlineLvl w:val="9"/>
        <w:rPr>
          <w:rFonts w:ascii="宋体" w:hAnsi="宋体" w:eastAsia="宋体" w:cs="宋体"/>
          <w:b/>
          <w:color w:val="auto"/>
          <w:kern w:val="44"/>
          <w:sz w:val="32"/>
          <w:szCs w:val="32"/>
          <w:highlight w:val="none"/>
        </w:rPr>
      </w:pPr>
      <w:bookmarkStart w:id="570" w:name="_Toc27263"/>
      <w:bookmarkStart w:id="571" w:name="_Toc86764083"/>
      <w:bookmarkStart w:id="572" w:name="_Toc104991870"/>
      <w:bookmarkStart w:id="573" w:name="_Toc102860413"/>
      <w:bookmarkStart w:id="574" w:name="_Toc24336"/>
      <w:bookmarkStart w:id="575" w:name="_Toc142508364"/>
      <w:bookmarkStart w:id="576" w:name="_Toc82182546"/>
      <w:bookmarkStart w:id="577" w:name="_Toc94107204"/>
      <w:bookmarkStart w:id="578" w:name="_Toc29910"/>
      <w:bookmarkStart w:id="579" w:name="_Toc102860069"/>
      <w:bookmarkStart w:id="580" w:name="_Toc15014"/>
      <w:bookmarkStart w:id="581" w:name="_Toc30396"/>
      <w:bookmarkStart w:id="582" w:name="_Toc140596923"/>
      <w:bookmarkStart w:id="583" w:name="_Toc5075"/>
      <w:bookmarkStart w:id="584" w:name="_Toc1977723"/>
      <w:bookmarkStart w:id="585" w:name="_Toc486167711"/>
      <w:bookmarkStart w:id="586" w:name="_Toc7024_WPSOffice_Level2"/>
      <w:bookmarkStart w:id="587" w:name="_Toc533708123"/>
      <w:bookmarkStart w:id="588" w:name="_Toc326768876"/>
      <w:bookmarkStart w:id="589" w:name="_Toc316896755"/>
      <w:bookmarkStart w:id="590" w:name="_Toc311032584"/>
      <w:r>
        <w:rPr>
          <w:rFonts w:hint="eastAsia" w:ascii="宋体" w:hAnsi="宋体" w:eastAsia="宋体" w:cs="宋体"/>
          <w:b/>
          <w:color w:val="auto"/>
          <w:kern w:val="44"/>
          <w:sz w:val="32"/>
          <w:szCs w:val="32"/>
          <w:highlight w:val="none"/>
          <w:lang w:val="en-US" w:eastAsia="zh-CN"/>
        </w:rPr>
        <w:t>三、</w:t>
      </w:r>
      <w:r>
        <w:rPr>
          <w:rFonts w:hint="eastAsia" w:ascii="宋体" w:hAnsi="宋体" w:eastAsia="宋体" w:cs="宋体"/>
          <w:b/>
          <w:color w:val="auto"/>
          <w:kern w:val="44"/>
          <w:sz w:val="32"/>
          <w:szCs w:val="32"/>
          <w:highlight w:val="none"/>
        </w:rPr>
        <w:t>供货及/或提供服务过程承诺函格式</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p>
    <w:p w14:paraId="5587CEBB">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7B7070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东莞市水务集团建设管理有限公司</w:t>
      </w:r>
      <w:r>
        <w:rPr>
          <w:rFonts w:hint="eastAsia" w:ascii="宋体" w:hAnsi="宋体" w:eastAsia="宋体" w:cs="宋体"/>
          <w:color w:val="auto"/>
          <w:kern w:val="0"/>
          <w:szCs w:val="21"/>
          <w:highlight w:val="none"/>
        </w:rPr>
        <w:t>：</w:t>
      </w:r>
    </w:p>
    <w:p w14:paraId="597FBA3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珠三角水资源配置工程东莞配套芦花坑水厂一期配水管线工程-C标段第三方检测服务采购项目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WTZB2025DG0004</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5685F6A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1F877AF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BD3CB3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1FA21DF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736421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8074F8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9521D3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5AEFB29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5DE96E1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5B4F9D5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5AD698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2B01CE9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4BF6DA2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260F2F1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3F05A4F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25D2036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5720D21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85D56D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650A54B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F557B1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39355EF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6AA79AFF">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0BAB1A83">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7BED0266">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3C8A57DA">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11F399E5">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591" w:name="_Toc18346"/>
      <w:bookmarkStart w:id="592" w:name="_Toc104991872"/>
      <w:bookmarkStart w:id="593" w:name="_Toc94107206"/>
      <w:bookmarkStart w:id="594" w:name="_Toc13416"/>
      <w:bookmarkStart w:id="595" w:name="_Toc102860071"/>
      <w:bookmarkStart w:id="596" w:name="_Toc140596925"/>
      <w:bookmarkStart w:id="597" w:name="_Toc102860415"/>
      <w:bookmarkStart w:id="598" w:name="_Toc142508366"/>
      <w:bookmarkStart w:id="599" w:name="_Toc1140"/>
      <w:bookmarkStart w:id="600" w:name="_Toc28015"/>
      <w:bookmarkStart w:id="601" w:name="_Toc329"/>
      <w:bookmarkStart w:id="602" w:name="_Toc23727"/>
      <w:bookmarkStart w:id="603" w:name="_Toc625"/>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584"/>
      <w:bookmarkEnd w:id="585"/>
      <w:bookmarkEnd w:id="586"/>
      <w:bookmarkEnd w:id="587"/>
      <w:bookmarkEnd w:id="591"/>
      <w:bookmarkEnd w:id="592"/>
      <w:bookmarkEnd w:id="593"/>
      <w:bookmarkEnd w:id="594"/>
      <w:bookmarkEnd w:id="595"/>
      <w:bookmarkEnd w:id="596"/>
      <w:bookmarkEnd w:id="597"/>
      <w:bookmarkEnd w:id="598"/>
      <w:bookmarkEnd w:id="599"/>
      <w:bookmarkEnd w:id="600"/>
      <w:bookmarkEnd w:id="601"/>
      <w:bookmarkEnd w:id="602"/>
      <w:bookmarkEnd w:id="603"/>
    </w:p>
    <w:p w14:paraId="4574B312">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4AB7F56B">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珠三角水资源配置工程东莞配套芦花坑水厂一期配水管线工程-C标段第三方检测服务采购项目</w:t>
      </w:r>
    </w:p>
    <w:p w14:paraId="13A6CE73">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WTZB2025DG0004</w:t>
      </w:r>
    </w:p>
    <w:tbl>
      <w:tblPr>
        <w:tblStyle w:val="36"/>
        <w:tblW w:w="103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36"/>
        <w:gridCol w:w="4729"/>
        <w:gridCol w:w="3273"/>
        <w:gridCol w:w="1332"/>
      </w:tblGrid>
      <w:tr w14:paraId="5C7BD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036" w:type="dxa"/>
            <w:tcBorders>
              <w:top w:val="single" w:color="auto" w:sz="4" w:space="0"/>
              <w:left w:val="single" w:color="auto" w:sz="4" w:space="0"/>
              <w:bottom w:val="single" w:color="auto" w:sz="4" w:space="0"/>
              <w:right w:val="single" w:color="auto" w:sz="4" w:space="0"/>
            </w:tcBorders>
            <w:vAlign w:val="center"/>
          </w:tcPr>
          <w:p w14:paraId="1A18E474">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4729" w:type="dxa"/>
            <w:tcBorders>
              <w:top w:val="single" w:color="auto" w:sz="4" w:space="0"/>
              <w:left w:val="single" w:color="auto" w:sz="4" w:space="0"/>
              <w:bottom w:val="single" w:color="auto" w:sz="4" w:space="0"/>
              <w:right w:val="single" w:color="auto" w:sz="4" w:space="0"/>
            </w:tcBorders>
            <w:vAlign w:val="center"/>
          </w:tcPr>
          <w:p w14:paraId="2C6B3970">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3273" w:type="dxa"/>
            <w:tcBorders>
              <w:top w:val="single" w:color="auto" w:sz="4" w:space="0"/>
              <w:left w:val="single" w:color="auto" w:sz="4" w:space="0"/>
              <w:bottom w:val="single" w:color="auto" w:sz="4" w:space="0"/>
              <w:right w:val="single" w:color="auto" w:sz="4" w:space="0"/>
            </w:tcBorders>
            <w:vAlign w:val="center"/>
          </w:tcPr>
          <w:p w14:paraId="7C07D0F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检测服务系数</w:t>
            </w:r>
          </w:p>
        </w:tc>
        <w:tc>
          <w:tcPr>
            <w:tcW w:w="1332" w:type="dxa"/>
            <w:tcBorders>
              <w:top w:val="single" w:color="auto" w:sz="4" w:space="0"/>
              <w:left w:val="single" w:color="auto" w:sz="4" w:space="0"/>
              <w:bottom w:val="single" w:color="auto" w:sz="4" w:space="0"/>
              <w:right w:val="single" w:color="auto" w:sz="4" w:space="0"/>
            </w:tcBorders>
            <w:vAlign w:val="center"/>
          </w:tcPr>
          <w:p w14:paraId="2985B19A">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41C47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1036" w:type="dxa"/>
            <w:tcBorders>
              <w:top w:val="single" w:color="auto" w:sz="4" w:space="0"/>
              <w:left w:val="single" w:color="auto" w:sz="4" w:space="0"/>
              <w:right w:val="single" w:color="auto" w:sz="4" w:space="0"/>
            </w:tcBorders>
            <w:vAlign w:val="center"/>
          </w:tcPr>
          <w:p w14:paraId="4E5AF503">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4729" w:type="dxa"/>
            <w:tcBorders>
              <w:top w:val="single" w:color="auto" w:sz="4" w:space="0"/>
              <w:left w:val="single" w:color="auto" w:sz="4" w:space="0"/>
              <w:right w:val="single" w:color="auto" w:sz="4" w:space="0"/>
            </w:tcBorders>
            <w:vAlign w:val="center"/>
          </w:tcPr>
          <w:p w14:paraId="640B8484">
            <w:pPr>
              <w:keepNext w:val="0"/>
              <w:keepLines w:val="0"/>
              <w:suppressLineNumbers w:val="0"/>
              <w:autoSpaceDE w:val="0"/>
              <w:autoSpaceDN w:val="0"/>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珠三角水资源配置工程东莞配套芦花坑水厂一期配水管线工程-C标段第三方检测服务采购项目</w:t>
            </w:r>
          </w:p>
        </w:tc>
        <w:tc>
          <w:tcPr>
            <w:tcW w:w="3273" w:type="dxa"/>
            <w:tcBorders>
              <w:top w:val="single" w:color="auto" w:sz="4" w:space="0"/>
              <w:left w:val="single" w:color="auto" w:sz="4" w:space="0"/>
              <w:right w:val="single" w:color="auto" w:sz="4" w:space="0"/>
            </w:tcBorders>
            <w:vAlign w:val="center"/>
          </w:tcPr>
          <w:p w14:paraId="38714EB5">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color w:val="auto"/>
                <w:kern w:val="0"/>
                <w:sz w:val="21"/>
                <w:szCs w:val="21"/>
                <w:highlight w:val="none"/>
                <w:lang w:val="en-US" w:eastAsia="zh-CN" w:bidi="ar"/>
              </w:rPr>
            </w:pPr>
          </w:p>
          <w:p w14:paraId="1A0D8C3F">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color w:val="auto"/>
                <w:kern w:val="0"/>
                <w:sz w:val="21"/>
                <w:szCs w:val="21"/>
                <w:highlight w:val="none"/>
                <w:lang w:val="en-US" w:eastAsia="zh-CN" w:bidi="ar"/>
              </w:rPr>
            </w:pPr>
          </w:p>
          <w:p w14:paraId="7A0E109C">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c>
          <w:tcPr>
            <w:tcW w:w="1332" w:type="dxa"/>
            <w:tcBorders>
              <w:top w:val="single" w:color="auto" w:sz="4" w:space="0"/>
              <w:left w:val="single" w:color="auto" w:sz="4" w:space="0"/>
              <w:right w:val="single" w:color="auto" w:sz="4" w:space="0"/>
            </w:tcBorders>
            <w:vAlign w:val="center"/>
          </w:tcPr>
          <w:p w14:paraId="1CB9E98D">
            <w:pPr>
              <w:keepNext w:val="0"/>
              <w:keepLines w:val="0"/>
              <w:suppressLineNumbers w:val="0"/>
              <w:tabs>
                <w:tab w:val="left" w:pos="8610"/>
              </w:tabs>
              <w:spacing w:before="0" w:beforeAutospacing="0" w:after="0" w:afterAutospacing="0" w:line="360" w:lineRule="auto"/>
              <w:ind w:left="0" w:right="0"/>
              <w:jc w:val="center"/>
              <w:rPr>
                <w:rFonts w:hint="default" w:ascii="宋体" w:hAnsi="宋体" w:eastAsia="宋体" w:cs="Times New Roman"/>
                <w:color w:val="auto"/>
                <w:kern w:val="0"/>
                <w:szCs w:val="21"/>
                <w:highlight w:val="none"/>
              </w:rPr>
            </w:pPr>
          </w:p>
        </w:tc>
      </w:tr>
    </w:tbl>
    <w:p w14:paraId="133816A6">
      <w:pPr>
        <w:rPr>
          <w:rFonts w:ascii="宋体" w:hAnsi="宋体" w:eastAsia="宋体" w:cs="宋体"/>
          <w:color w:val="auto"/>
          <w:kern w:val="0"/>
          <w:sz w:val="20"/>
          <w:szCs w:val="21"/>
          <w:highlight w:val="none"/>
        </w:rPr>
      </w:pPr>
    </w:p>
    <w:p w14:paraId="09A7BC40">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1683A5F">
      <w:pPr>
        <w:numPr>
          <w:ilvl w:val="0"/>
          <w:numId w:val="0"/>
        </w:numPr>
        <w:autoSpaceDE w:val="0"/>
        <w:autoSpaceDN w:val="0"/>
        <w:adjustRightInd w:val="0"/>
        <w:spacing w:line="360" w:lineRule="auto"/>
        <w:ind w:left="357" w:leftChars="-100" w:hanging="567" w:firstLineChars="0"/>
        <w:rPr>
          <w:rFonts w:hint="eastAsia" w:ascii="宋体" w:hAnsi="宋体" w:eastAsia="宋体" w:cs="Times New Roman"/>
          <w:color w:val="auto"/>
          <w:szCs w:val="21"/>
          <w:highlight w:val="none"/>
          <w:lang w:val="zh-CN"/>
        </w:rPr>
      </w:pPr>
      <w:r>
        <w:rPr>
          <w:rFonts w:hint="eastAsia" w:ascii="宋体" w:hAnsi="宋体" w:eastAsia="宋体" w:cs="Times New Roman"/>
          <w:color w:val="auto"/>
          <w:kern w:val="2"/>
          <w:sz w:val="21"/>
          <w:szCs w:val="21"/>
          <w:highlight w:val="none"/>
          <w:lang w:val="zh-CN" w:eastAsia="zh-CN" w:bidi="ar-SA"/>
        </w:rPr>
        <w:t>（1）</w:t>
      </w:r>
      <w:r>
        <w:rPr>
          <w:rFonts w:hint="eastAsia" w:ascii="宋体" w:hAnsi="宋体" w:eastAsia="宋体" w:cs="宋体"/>
          <w:color w:val="auto"/>
          <w:szCs w:val="21"/>
          <w:highlight w:val="none"/>
          <w:lang w:val="zh-CN"/>
        </w:rPr>
        <w:t>本项目的投标报价采用检测服务系数报价，合同履约过程中，工程量清单计价表中检测项目</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不含税综合单价按以下方式计算：</w:t>
      </w:r>
      <w:r>
        <w:rPr>
          <w:rFonts w:hint="eastAsia" w:ascii="宋体" w:hAnsi="宋体" w:eastAsia="宋体" w:cs="宋体"/>
          <w:color w:val="auto"/>
          <w:szCs w:val="21"/>
          <w:highlight w:val="none"/>
          <w:lang w:val="en-US" w:eastAsia="zh-CN"/>
        </w:rPr>
        <w:t>结算</w:t>
      </w:r>
      <w:r>
        <w:rPr>
          <w:rFonts w:hint="eastAsia" w:ascii="宋体" w:hAnsi="宋体" w:eastAsia="宋体" w:cs="宋体"/>
          <w:color w:val="auto"/>
          <w:szCs w:val="21"/>
          <w:highlight w:val="none"/>
          <w:lang w:val="zh-CN"/>
        </w:rPr>
        <w:t>不含税综合单价=不含税综合单价×</w:t>
      </w:r>
      <w:r>
        <w:rPr>
          <w:rFonts w:hint="eastAsia" w:ascii="宋体" w:hAnsi="宋体" w:eastAsia="宋体" w:cs="宋体"/>
          <w:color w:val="auto"/>
          <w:szCs w:val="21"/>
          <w:highlight w:val="none"/>
          <w:lang w:val="en-US" w:eastAsia="zh-CN"/>
        </w:rPr>
        <w:t>中标</w:t>
      </w:r>
      <w:r>
        <w:rPr>
          <w:rFonts w:hint="eastAsia" w:ascii="宋体" w:hAnsi="宋体" w:eastAsia="宋体" w:cs="宋体"/>
          <w:color w:val="auto"/>
          <w:szCs w:val="21"/>
          <w:highlight w:val="none"/>
          <w:lang w:val="zh-CN"/>
        </w:rPr>
        <w:t>检测服务系数，以实际工作量进行结算，</w:t>
      </w:r>
      <w:r>
        <w:rPr>
          <w:rFonts w:hint="eastAsia" w:ascii="宋体" w:hAnsi="宋体" w:eastAsia="宋体" w:cs="宋体"/>
          <w:color w:val="auto"/>
          <w:szCs w:val="21"/>
          <w:highlight w:val="none"/>
          <w:lang w:val="en-US" w:eastAsia="zh-CN"/>
        </w:rPr>
        <w:t>但最终结算价不得超出暂定总合同价款(含税)。结算</w:t>
      </w:r>
      <w:r>
        <w:rPr>
          <w:rFonts w:hint="eastAsia" w:ascii="宋体" w:hAnsi="宋体" w:eastAsia="宋体" w:cs="宋体"/>
          <w:color w:val="auto"/>
          <w:szCs w:val="21"/>
          <w:highlight w:val="none"/>
          <w:lang w:val="zh-CN"/>
        </w:rPr>
        <w:t>不含税综合单价出现小数点，保留小数点后两位，从小数点后第3位四舍五入。</w:t>
      </w:r>
      <w:r>
        <w:rPr>
          <w:rFonts w:hint="eastAsia" w:ascii="宋体" w:hAnsi="宋体" w:eastAsia="宋体" w:cs="Times New Roman"/>
          <w:color w:val="auto"/>
          <w:szCs w:val="21"/>
          <w:highlight w:val="none"/>
          <w:lang w:val="zh-CN"/>
        </w:rPr>
        <w:t>本招标文件所称的不含税</w:t>
      </w:r>
      <w:r>
        <w:rPr>
          <w:rFonts w:hint="eastAsia" w:ascii="宋体" w:hAnsi="宋体" w:eastAsia="宋体" w:cs="宋体"/>
          <w:color w:val="auto"/>
          <w:sz w:val="21"/>
          <w:szCs w:val="21"/>
          <w:highlight w:val="none"/>
        </w:rPr>
        <w:t>综合单价</w:t>
      </w:r>
      <w:r>
        <w:rPr>
          <w:rFonts w:hint="eastAsia" w:ascii="宋体" w:hAnsi="宋体" w:eastAsia="宋体" w:cs="Times New Roman"/>
          <w:color w:val="auto"/>
          <w:szCs w:val="21"/>
          <w:highlight w:val="none"/>
          <w:lang w:val="zh-CN"/>
        </w:rPr>
        <w:t>和</w:t>
      </w:r>
      <w:r>
        <w:rPr>
          <w:rFonts w:hint="eastAsia" w:ascii="宋体" w:hAnsi="宋体" w:eastAsia="宋体" w:cs="宋体"/>
          <w:color w:val="auto"/>
          <w:szCs w:val="21"/>
          <w:highlight w:val="none"/>
        </w:rPr>
        <w:t>暂定总合同价</w:t>
      </w:r>
      <w:r>
        <w:rPr>
          <w:rFonts w:hint="eastAsia" w:ascii="宋体" w:hAnsi="宋体" w:eastAsia="宋体" w:cs="宋体"/>
          <w:color w:val="auto"/>
          <w:szCs w:val="21"/>
          <w:highlight w:val="none"/>
          <w:lang w:val="en-US" w:eastAsia="zh-CN"/>
        </w:rPr>
        <w:t>款</w:t>
      </w:r>
      <w:r>
        <w:rPr>
          <w:rFonts w:hint="eastAsia" w:ascii="宋体" w:hAnsi="宋体" w:eastAsia="宋体" w:cs="Times New Roman"/>
          <w:color w:val="auto"/>
          <w:szCs w:val="21"/>
          <w:highlight w:val="none"/>
          <w:lang w:val="zh-CN"/>
        </w:rPr>
        <w:t>是指不含本采购项目投标人的销项税额，包含了投标人完成合同义务（含投标人代缴代扣、分包及委外服务、安装、采购货物等所产生的价税）的其他全部费用。本采购项目的销项税额由</w:t>
      </w:r>
      <w:r>
        <w:rPr>
          <w:rFonts w:hint="eastAsia" w:ascii="宋体" w:hAnsi="宋体" w:eastAsia="宋体" w:cs="宋体"/>
          <w:color w:val="auto"/>
          <w:szCs w:val="21"/>
          <w:highlight w:val="none"/>
          <w:lang w:val="zh-CN"/>
        </w:rPr>
        <w:t>项目业主</w:t>
      </w:r>
      <w:r>
        <w:rPr>
          <w:rFonts w:hint="eastAsia" w:ascii="宋体" w:hAnsi="宋体" w:eastAsia="宋体" w:cs="宋体"/>
          <w:color w:val="auto"/>
          <w:szCs w:val="21"/>
          <w:highlight w:val="none"/>
          <w:lang w:val="en-US" w:eastAsia="zh-CN"/>
        </w:rPr>
        <w:t>或招标人</w:t>
      </w:r>
      <w:r>
        <w:rPr>
          <w:rFonts w:hint="eastAsia" w:ascii="宋体" w:hAnsi="宋体" w:eastAsia="宋体" w:cs="Times New Roman"/>
          <w:color w:val="auto"/>
          <w:szCs w:val="21"/>
          <w:highlight w:val="none"/>
          <w:lang w:val="zh-CN"/>
        </w:rPr>
        <w:t>承担，不计入投标报价。</w:t>
      </w:r>
    </w:p>
    <w:p w14:paraId="7CE1DA6D">
      <w:pPr>
        <w:numPr>
          <w:ilvl w:val="0"/>
          <w:numId w:val="0"/>
        </w:numPr>
        <w:autoSpaceDE w:val="0"/>
        <w:autoSpaceDN w:val="0"/>
        <w:adjustRightInd w:val="0"/>
        <w:spacing w:line="360" w:lineRule="auto"/>
        <w:ind w:left="357" w:leftChars="-100" w:hanging="567" w:firstLineChars="0"/>
        <w:rPr>
          <w:rFonts w:hint="eastAsia" w:ascii="宋体" w:hAnsi="宋体" w:eastAsia="宋体" w:cs="Times New Roman"/>
          <w:b/>
          <w:bCs/>
          <w:color w:val="auto"/>
          <w:kern w:val="0"/>
          <w:szCs w:val="21"/>
          <w:highlight w:val="none"/>
        </w:rPr>
      </w:pPr>
      <w:r>
        <w:rPr>
          <w:rFonts w:ascii="宋体" w:hAnsi="宋体" w:eastAsia="宋体" w:cs="Times New Roman"/>
          <w:b/>
          <w:bCs/>
          <w:color w:val="auto"/>
          <w:kern w:val="0"/>
          <w:sz w:val="21"/>
          <w:szCs w:val="21"/>
          <w:highlight w:val="none"/>
          <w:lang w:val="en-US" w:eastAsia="zh-CN" w:bidi="ar-SA"/>
        </w:rPr>
        <w:t>（2）</w:t>
      </w:r>
      <w:r>
        <w:rPr>
          <w:rFonts w:hint="eastAsia" w:ascii="宋体" w:hAnsi="宋体" w:eastAsia="宋体" w:cs="Times New Roman"/>
          <w:b/>
          <w:bCs/>
          <w:color w:val="auto"/>
          <w:szCs w:val="21"/>
          <w:highlight w:val="none"/>
          <w:u w:val="single"/>
        </w:rPr>
        <w:t>投标人</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w:t>
      </w:r>
      <w:r>
        <w:rPr>
          <w:rFonts w:hint="eastAsia" w:ascii="宋体" w:hAnsi="宋体" w:eastAsia="宋体" w:cs="Times New Roman"/>
          <w:b/>
          <w:bCs/>
          <w:color w:val="auto"/>
          <w:szCs w:val="21"/>
          <w:highlight w:val="none"/>
          <w:u w:val="single"/>
          <w:lang w:val="en-US" w:eastAsia="zh-CN"/>
        </w:rPr>
        <w:t>不得超过0.80</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且不能为</w:t>
      </w:r>
      <w:r>
        <w:rPr>
          <w:rFonts w:hint="eastAsia" w:ascii="宋体" w:hAnsi="宋体" w:eastAsia="宋体" w:cs="Times New Roman"/>
          <w:b/>
          <w:bCs/>
          <w:color w:val="auto"/>
          <w:szCs w:val="21"/>
          <w:highlight w:val="none"/>
          <w:u w:val="single"/>
          <w:lang w:val="en-US" w:eastAsia="zh-CN"/>
        </w:rPr>
        <w:t>0.00或</w:t>
      </w:r>
      <w:r>
        <w:rPr>
          <w:rFonts w:hint="eastAsia" w:ascii="宋体" w:hAnsi="宋体" w:eastAsia="宋体" w:cs="Times New Roman"/>
          <w:b/>
          <w:bCs/>
          <w:color w:val="auto"/>
          <w:szCs w:val="21"/>
          <w:highlight w:val="none"/>
          <w:u w:val="single"/>
        </w:rPr>
        <w:t>负数，投标人未按招标文件要求进行检测服务系数报价的，将被视为无效投标</w:t>
      </w: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szCs w:val="21"/>
          <w:highlight w:val="none"/>
          <w:u w:val="single"/>
          <w:lang w:val="en-US" w:eastAsia="zh-CN"/>
        </w:rPr>
        <w:t>检测</w:t>
      </w:r>
      <w:r>
        <w:rPr>
          <w:rFonts w:hint="eastAsia" w:ascii="宋体" w:hAnsi="宋体" w:eastAsia="宋体" w:cs="Times New Roman"/>
          <w:b/>
          <w:bCs/>
          <w:color w:val="auto"/>
          <w:szCs w:val="21"/>
          <w:highlight w:val="none"/>
          <w:u w:val="single"/>
        </w:rPr>
        <w:t>服务系数报价保留小数点后两位</w:t>
      </w:r>
      <w:r>
        <w:rPr>
          <w:rFonts w:hint="eastAsia" w:ascii="宋体" w:hAnsi="宋体" w:eastAsia="宋体" w:cs="Times New Roman"/>
          <w:b/>
          <w:bCs/>
          <w:color w:val="auto"/>
          <w:szCs w:val="21"/>
          <w:highlight w:val="none"/>
          <w:u w:val="single"/>
          <w:lang w:eastAsia="zh-CN"/>
        </w:rPr>
        <w:t>，</w:t>
      </w:r>
      <w:r>
        <w:rPr>
          <w:rFonts w:hint="eastAsia" w:ascii="宋体" w:hAnsi="宋体" w:eastAsia="宋体" w:cs="Times New Roman"/>
          <w:b/>
          <w:bCs/>
          <w:color w:val="auto"/>
          <w:szCs w:val="21"/>
          <w:highlight w:val="none"/>
          <w:u w:val="single"/>
        </w:rPr>
        <w:t>否则评标委员会按去“尾”或补“零”的方式进行修正为保留小数点后两位，投标人须接受被修正后的报价(例:如检测服务系数为0.789，则被修正为0.78;如检测服务系数为0.7，则被修正为0.70)。</w:t>
      </w:r>
    </w:p>
    <w:p w14:paraId="090FC4B8">
      <w:pPr>
        <w:numPr>
          <w:ilvl w:val="0"/>
          <w:numId w:val="0"/>
        </w:numPr>
        <w:autoSpaceDE w:val="0"/>
        <w:autoSpaceDN w:val="0"/>
        <w:adjustRightInd w:val="0"/>
        <w:spacing w:line="360" w:lineRule="auto"/>
        <w:ind w:left="357" w:leftChars="-100" w:hanging="567" w:firstLineChars="0"/>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46E54944">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57CAAED">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6556E662">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29E670CA">
      <w:pPr>
        <w:widowControl w:val="0"/>
        <w:wordWrap/>
        <w:autoSpaceDE w:val="0"/>
        <w:autoSpaceDN w:val="0"/>
        <w:adjustRightInd w:val="0"/>
        <w:snapToGrid/>
        <w:spacing w:line="360" w:lineRule="auto"/>
        <w:ind w:left="0" w:leftChars="0" w:right="273" w:rightChars="130" w:firstLine="0" w:firstLineChars="0"/>
        <w:jc w:val="both"/>
        <w:textAlignment w:val="auto"/>
        <w:outlineLvl w:val="2"/>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bCs/>
          <w:color w:val="auto"/>
          <w:sz w:val="30"/>
          <w:szCs w:val="30"/>
          <w:highlight w:val="none"/>
          <w:lang w:val="zh-CN"/>
        </w:rPr>
        <w:br w:type="page"/>
      </w:r>
      <w:bookmarkStart w:id="604" w:name="_Toc9850"/>
      <w:bookmarkStart w:id="605" w:name="_Toc102860074"/>
      <w:bookmarkStart w:id="606" w:name="_Toc23176"/>
      <w:bookmarkStart w:id="607" w:name="_Toc1977725"/>
      <w:bookmarkStart w:id="608" w:name="_Toc23083"/>
      <w:bookmarkStart w:id="609" w:name="_Toc6190"/>
      <w:bookmarkStart w:id="610" w:name="_Toc104991875"/>
      <w:bookmarkStart w:id="611" w:name="_Toc142508369"/>
      <w:bookmarkStart w:id="612" w:name="_Toc102860418"/>
      <w:bookmarkStart w:id="613" w:name="_Toc140596928"/>
      <w:bookmarkStart w:id="614" w:name="_Toc94107209"/>
      <w:bookmarkStart w:id="615" w:name="_Toc7133"/>
      <w:bookmarkStart w:id="616" w:name="_Toc26516"/>
      <w:bookmarkStart w:id="617" w:name="_Toc486167712"/>
      <w:bookmarkStart w:id="618" w:name="_Toc533708124"/>
      <w:bookmarkStart w:id="619" w:name="_Toc20759_WPSOffice_Level2"/>
      <w:r>
        <w:rPr>
          <w:rFonts w:hint="eastAsia" w:ascii="宋体" w:hAnsi="宋体" w:eastAsia="宋体" w:cs="宋体"/>
          <w:b/>
          <w:color w:val="auto"/>
          <w:kern w:val="0"/>
          <w:sz w:val="32"/>
          <w:szCs w:val="32"/>
          <w:highlight w:val="none"/>
          <w:lang w:val="en-US" w:eastAsia="zh-CN"/>
        </w:rPr>
        <w:t>五、投标人资格证明文件</w:t>
      </w:r>
      <w:bookmarkEnd w:id="604"/>
      <w:bookmarkEnd w:id="605"/>
      <w:bookmarkEnd w:id="606"/>
      <w:bookmarkEnd w:id="607"/>
      <w:bookmarkEnd w:id="608"/>
      <w:bookmarkEnd w:id="609"/>
      <w:bookmarkEnd w:id="610"/>
      <w:bookmarkEnd w:id="611"/>
      <w:bookmarkEnd w:id="612"/>
      <w:bookmarkEnd w:id="613"/>
      <w:bookmarkEnd w:id="614"/>
      <w:bookmarkEnd w:id="615"/>
      <w:bookmarkEnd w:id="616"/>
    </w:p>
    <w:p w14:paraId="1D3AA6AC">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20" w:name="_Toc25267"/>
      <w:bookmarkStart w:id="621" w:name="_Toc25232"/>
      <w:bookmarkStart w:id="622" w:name="_Toc102860075"/>
      <w:bookmarkStart w:id="623" w:name="_Toc23612"/>
      <w:bookmarkStart w:id="624" w:name="_Toc12412"/>
      <w:bookmarkStart w:id="625" w:name="_Toc26881"/>
      <w:bookmarkStart w:id="626" w:name="_Toc142508370"/>
      <w:bookmarkStart w:id="627" w:name="_Toc29874"/>
      <w:bookmarkStart w:id="628" w:name="_Toc94107210"/>
      <w:bookmarkStart w:id="629" w:name="_Toc140596929"/>
      <w:bookmarkStart w:id="630" w:name="_Toc102860419"/>
      <w:bookmarkStart w:id="631" w:name="_Toc104991876"/>
      <w:bookmarkStart w:id="632" w:name="_Toc17358"/>
      <w:bookmarkStart w:id="633"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620"/>
      <w:bookmarkEnd w:id="621"/>
      <w:bookmarkEnd w:id="622"/>
      <w:bookmarkEnd w:id="623"/>
      <w:bookmarkEnd w:id="624"/>
      <w:bookmarkEnd w:id="625"/>
      <w:bookmarkEnd w:id="626"/>
      <w:bookmarkEnd w:id="627"/>
      <w:bookmarkEnd w:id="628"/>
      <w:bookmarkEnd w:id="629"/>
      <w:bookmarkEnd w:id="630"/>
      <w:bookmarkEnd w:id="631"/>
      <w:bookmarkEnd w:id="632"/>
    </w:p>
    <w:p w14:paraId="31335A3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DA29B4F">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3FBA4088">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34" w:name="_Toc7756"/>
      <w:bookmarkStart w:id="635" w:name="_Toc102860076"/>
      <w:bookmarkStart w:id="636" w:name="_Toc25013"/>
      <w:bookmarkStart w:id="637" w:name="_Toc27861"/>
      <w:bookmarkStart w:id="638" w:name="_Toc26374"/>
      <w:bookmarkStart w:id="639" w:name="_Toc98"/>
      <w:bookmarkStart w:id="640" w:name="_Toc104991877"/>
      <w:bookmarkStart w:id="641" w:name="_Toc14445"/>
      <w:bookmarkStart w:id="642" w:name="_Toc102860420"/>
      <w:bookmarkStart w:id="643" w:name="_Toc140596930"/>
      <w:bookmarkStart w:id="644" w:name="_Toc142508371"/>
      <w:bookmarkStart w:id="645" w:name="_Toc94107211"/>
      <w:bookmarkStart w:id="646" w:name="_Toc2817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634"/>
      <w:bookmarkEnd w:id="635"/>
      <w:bookmarkEnd w:id="636"/>
      <w:bookmarkEnd w:id="637"/>
      <w:bookmarkEnd w:id="638"/>
      <w:bookmarkEnd w:id="639"/>
      <w:bookmarkEnd w:id="640"/>
      <w:bookmarkEnd w:id="641"/>
      <w:bookmarkEnd w:id="642"/>
      <w:bookmarkEnd w:id="643"/>
      <w:bookmarkEnd w:id="644"/>
      <w:bookmarkEnd w:id="645"/>
      <w:bookmarkEnd w:id="646"/>
    </w:p>
    <w:p w14:paraId="77884176">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647" w:name="_Toc30430"/>
      <w:bookmarkStart w:id="648" w:name="_Toc21732"/>
      <w:bookmarkStart w:id="649" w:name="_Toc102860077"/>
      <w:bookmarkStart w:id="650" w:name="_Toc94107212"/>
      <w:bookmarkStart w:id="651" w:name="_Toc17499"/>
      <w:bookmarkStart w:id="652" w:name="_Toc104991878"/>
      <w:bookmarkStart w:id="653" w:name="_Toc9132"/>
      <w:bookmarkStart w:id="654" w:name="_Toc20803"/>
      <w:bookmarkStart w:id="655" w:name="_Toc140596931"/>
      <w:bookmarkStart w:id="656" w:name="_Toc142508372"/>
      <w:bookmarkStart w:id="657" w:name="_Toc102860421"/>
      <w:bookmarkStart w:id="658" w:name="_Toc7441"/>
      <w:bookmarkStart w:id="659" w:name="_Toc753"/>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647"/>
      <w:bookmarkEnd w:id="648"/>
      <w:bookmarkEnd w:id="649"/>
      <w:bookmarkEnd w:id="650"/>
      <w:bookmarkEnd w:id="651"/>
      <w:bookmarkEnd w:id="652"/>
      <w:bookmarkEnd w:id="653"/>
      <w:bookmarkEnd w:id="654"/>
      <w:bookmarkEnd w:id="655"/>
      <w:bookmarkEnd w:id="656"/>
      <w:bookmarkEnd w:id="657"/>
      <w:bookmarkEnd w:id="658"/>
      <w:bookmarkEnd w:id="659"/>
    </w:p>
    <w:p w14:paraId="2681AC57">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17"/>
      <w:bookmarkEnd w:id="618"/>
      <w:bookmarkEnd w:id="619"/>
      <w:bookmarkEnd w:id="633"/>
    </w:p>
    <w:p w14:paraId="78D7DA22">
      <w:pPr>
        <w:spacing w:before="120" w:after="120" w:line="360" w:lineRule="auto"/>
        <w:ind w:firstLine="608" w:firstLineChars="202"/>
        <w:jc w:val="center"/>
        <w:rPr>
          <w:rFonts w:ascii="宋体" w:hAnsi="宋体" w:eastAsia="宋体" w:cs="宋体"/>
          <w:b/>
          <w:color w:val="auto"/>
          <w:sz w:val="30"/>
          <w:szCs w:val="30"/>
          <w:highlight w:val="none"/>
        </w:rPr>
      </w:pPr>
    </w:p>
    <w:p w14:paraId="413A87D3">
      <w:pPr>
        <w:spacing w:before="120" w:after="120" w:line="360" w:lineRule="auto"/>
        <w:ind w:firstLine="608" w:firstLineChars="202"/>
        <w:jc w:val="center"/>
        <w:rPr>
          <w:rFonts w:ascii="宋体" w:hAnsi="宋体" w:eastAsia="宋体" w:cs="宋体"/>
          <w:b/>
          <w:bCs/>
          <w:color w:val="auto"/>
          <w:sz w:val="30"/>
          <w:szCs w:val="30"/>
          <w:highlight w:val="none"/>
        </w:rPr>
      </w:pPr>
      <w:bookmarkStart w:id="660" w:name="_Toc11033_WPSOffice_Level3"/>
      <w:r>
        <w:rPr>
          <w:rFonts w:hint="eastAsia" w:ascii="宋体" w:hAnsi="宋体" w:eastAsia="宋体" w:cs="宋体"/>
          <w:b/>
          <w:color w:val="auto"/>
          <w:sz w:val="30"/>
          <w:szCs w:val="30"/>
          <w:highlight w:val="none"/>
        </w:rPr>
        <w:t>法定代</w:t>
      </w:r>
      <w:bookmarkStart w:id="661" w:name="_Toc36971359"/>
      <w:bookmarkStart w:id="662" w:name="_Toc45995270"/>
      <w:r>
        <w:rPr>
          <w:rFonts w:hint="eastAsia" w:ascii="宋体" w:hAnsi="宋体" w:eastAsia="宋体" w:cs="宋体"/>
          <w:b/>
          <w:color w:val="auto"/>
          <w:sz w:val="30"/>
          <w:szCs w:val="30"/>
          <w:highlight w:val="none"/>
        </w:rPr>
        <w:t>表人身份证明书</w:t>
      </w:r>
      <w:bookmarkEnd w:id="660"/>
    </w:p>
    <w:bookmarkEnd w:id="661"/>
    <w:bookmarkEnd w:id="662"/>
    <w:p w14:paraId="5006856A">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6D2B5AF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F5A3933">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0C14CBB6">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821A031">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1168BD8">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20A1BE3B">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03354E23">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BE51418">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4BEA24C">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3" name="文本框 7"/>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27719C"/>
                          <w:p w14:paraId="1FA87AEC"/>
                          <w:p w14:paraId="7A70463D"/>
                          <w:p w14:paraId="1D7DFEF8"/>
                          <w:p w14:paraId="3B5D4EF6">
                            <w:pPr>
                              <w:jc w:val="center"/>
                              <w:rPr>
                                <w:szCs w:val="21"/>
                              </w:rPr>
                            </w:pPr>
                            <w:r>
                              <w:rPr>
                                <w:rFonts w:hint="eastAsia"/>
                                <w:szCs w:val="21"/>
                              </w:rPr>
                              <w:t>法定代表人身份证正面</w:t>
                            </w:r>
                          </w:p>
                        </w:txbxContent>
                      </wps:txbx>
                      <wps:bodyPr upright="1"/>
                    </wps:wsp>
                  </a:graphicData>
                </a:graphic>
              </wp:anchor>
            </w:drawing>
          </mc:Choice>
          <mc:Fallback>
            <w:pict>
              <v:rect id="文本框 7" o:spid="_x0000_s1026" o:spt="1" style="position:absolute;left:0pt;margin-left:4.85pt;margin-top:8.6pt;height:154.5pt;width:219.75pt;z-index:251661312;mso-width-relative:page;mso-height-relative:page;" fillcolor="#FFFFFF" filled="t" stroked="t" coordsize="21600,21600" o:gfxdata="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jK1tNcAAAAIAQAADwAAAAAAAAABACAAAAAiAAAA&#10;ZHJzL2Rvd25yZXYueG1sUEsBAhQAFAAAAAgAh07iQFAXVpcIAgAALQQAAA4AAAAAAAAAAQAgAAAA&#10;JgEAAGRycy9lMm9Eb2MueG1sUEsFBgAAAAAGAAYAWQEAAKAFAAAAAA==&#10;">
                <v:fill on="t" focussize="0,0"/>
                <v:stroke color="#000000" joinstyle="miter"/>
                <v:imagedata o:title=""/>
                <o:lock v:ext="edit" aspectratio="f"/>
                <v:textbox>
                  <w:txbxContent>
                    <w:p w14:paraId="5327719C"/>
                    <w:p w14:paraId="1FA87AEC"/>
                    <w:p w14:paraId="7A70463D"/>
                    <w:p w14:paraId="1D7DFEF8"/>
                    <w:p w14:paraId="3B5D4EF6">
                      <w:pPr>
                        <w:jc w:val="center"/>
                        <w:rPr>
                          <w:szCs w:val="21"/>
                        </w:rPr>
                      </w:pPr>
                      <w:r>
                        <w:rPr>
                          <w:rFonts w:hint="eastAsia"/>
                          <w:szCs w:val="21"/>
                        </w:rPr>
                        <w:t>法定代表人身份证正面</w:t>
                      </w:r>
                    </w:p>
                  </w:txbxContent>
                </v:textbox>
              </v:rect>
            </w:pict>
          </mc:Fallback>
        </mc:AlternateContent>
      </w: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2" name="文本框 6"/>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683C9B"/>
                          <w:p w14:paraId="179C90A9"/>
                          <w:p w14:paraId="5BA9CD30"/>
                          <w:p w14:paraId="797795F7"/>
                          <w:p w14:paraId="383F4B42">
                            <w:pPr>
                              <w:jc w:val="center"/>
                              <w:rPr>
                                <w:szCs w:val="21"/>
                              </w:rPr>
                            </w:pPr>
                            <w:r>
                              <w:rPr>
                                <w:rFonts w:hint="eastAsia"/>
                                <w:szCs w:val="21"/>
                              </w:rPr>
                              <w:t>法定代表人身份证反面</w:t>
                            </w:r>
                          </w:p>
                          <w:p w14:paraId="0713B123">
                            <w:pPr>
                              <w:jc w:val="center"/>
                              <w:rPr>
                                <w:szCs w:val="21"/>
                              </w:rPr>
                            </w:pPr>
                          </w:p>
                        </w:txbxContent>
                      </wps:txbx>
                      <wps:bodyPr upright="1"/>
                    </wps:wsp>
                  </a:graphicData>
                </a:graphic>
              </wp:anchor>
            </w:drawing>
          </mc:Choice>
          <mc:Fallback>
            <w:pict>
              <v:rect id="文本框 6" o:spid="_x0000_s1026" o:spt="1" style="position:absolute;left:0pt;margin-left:246.35pt;margin-top:8.6pt;height:154.5pt;width:219.75pt;z-index:251660288;mso-width-relative:page;mso-height-relative:page;" fillcolor="#FFFFFF" filled="t" stroked="t" coordsize="21600,21600" o:gfxdata="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jRgpbYAAAACgEAAA8AAAAAAAAAAQAgAAAAIgAA&#10;AGRycy9kb3ducmV2LnhtbFBLAQIUABQAAAAIAIdO4kAguZWQCAIAAC0EAAAOAAAAAAAAAAEAIAAA&#10;ACcBAABkcnMvZTJvRG9jLnhtbFBLBQYAAAAABgAGAFkBAAChBQAAAAA=&#10;">
                <v:fill on="t" focussize="0,0"/>
                <v:stroke color="#000000" joinstyle="miter"/>
                <v:imagedata o:title=""/>
                <o:lock v:ext="edit" aspectratio="f"/>
                <v:textbox>
                  <w:txbxContent>
                    <w:p w14:paraId="53683C9B"/>
                    <w:p w14:paraId="179C90A9"/>
                    <w:p w14:paraId="5BA9CD30"/>
                    <w:p w14:paraId="797795F7"/>
                    <w:p w14:paraId="383F4B42">
                      <w:pPr>
                        <w:jc w:val="center"/>
                        <w:rPr>
                          <w:szCs w:val="21"/>
                        </w:rPr>
                      </w:pPr>
                      <w:r>
                        <w:rPr>
                          <w:rFonts w:hint="eastAsia"/>
                          <w:szCs w:val="21"/>
                        </w:rPr>
                        <w:t>法定代表人身份证反面</w:t>
                      </w:r>
                    </w:p>
                    <w:p w14:paraId="0713B123">
                      <w:pPr>
                        <w:jc w:val="center"/>
                        <w:rPr>
                          <w:szCs w:val="21"/>
                        </w:rPr>
                      </w:pPr>
                    </w:p>
                  </w:txbxContent>
                </v:textbox>
              </v:rect>
            </w:pict>
          </mc:Fallback>
        </mc:AlternateContent>
      </w:r>
      <w:r>
        <w:rPr>
          <w:rFonts w:ascii="宋体" w:hAnsi="宋体" w:eastAsia="宋体" w:cs="宋体"/>
          <w:color w:val="auto"/>
          <w:kern w:val="0"/>
          <w:sz w:val="24"/>
          <w:szCs w:val="24"/>
          <w:highlight w:val="none"/>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1" name="文本框 5"/>
                <wp:cNvGraphicFramePr/>
                <a:graphic xmlns:a="http://schemas.openxmlformats.org/drawingml/2006/main">
                  <a:graphicData uri="http://schemas.microsoft.com/office/word/2010/wordprocessingShape">
                    <wps:wsp>
                      <wps:cNvSpPr/>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494399"/>
                          <w:p w14:paraId="0F13B9FC"/>
                          <w:p w14:paraId="5E7A9B31"/>
                          <w:p w14:paraId="4E6E7463"/>
                          <w:p w14:paraId="78C29843">
                            <w:pPr>
                              <w:jc w:val="center"/>
                            </w:pPr>
                            <w:r>
                              <w:rPr>
                                <w:rFonts w:hint="eastAsia"/>
                              </w:rPr>
                              <w:t>身份证正面</w:t>
                            </w:r>
                          </w:p>
                        </w:txbxContent>
                      </wps:txbx>
                      <wps:bodyPr upright="1"/>
                    </wps:wsp>
                  </a:graphicData>
                </a:graphic>
              </wp:anchor>
            </w:drawing>
          </mc:Choice>
          <mc:Fallback>
            <w:pict>
              <v:rect id="文本框 5" o:spid="_x0000_s1026" o:spt="1" style="position:absolute;left:0pt;margin-left:4.85pt;margin-top:8.6pt;height:154.5pt;width:219.75pt;z-index:251659264;mso-width-relative:page;mso-height-relative:page;" fillcolor="#FFFFFF" filled="t" stroked="t" coordsize="21600,21600" o:gfxdata="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rjK1tNcAAAAIAQAADwAAAAAAAAABACAAAAAiAAAA&#10;ZHJzL2Rvd25yZXYueG1sUEsBAhQAFAAAAAgAh07iQLBL0ZgIAgAALQQAAA4AAAAAAAAAAQAgAAAA&#10;JgEAAGRycy9lMm9Eb2MueG1sUEsFBgAAAAAGAAYAWQEAAKAFAAAAAA==&#10;">
                <v:fill on="t" focussize="0,0"/>
                <v:stroke color="#000000" joinstyle="miter"/>
                <v:imagedata o:title=""/>
                <o:lock v:ext="edit" aspectratio="f"/>
                <v:textbox>
                  <w:txbxContent>
                    <w:p w14:paraId="3A494399"/>
                    <w:p w14:paraId="0F13B9FC"/>
                    <w:p w14:paraId="5E7A9B31"/>
                    <w:p w14:paraId="4E6E7463"/>
                    <w:p w14:paraId="78C29843">
                      <w:pPr>
                        <w:jc w:val="center"/>
                      </w:pPr>
                      <w:r>
                        <w:rPr>
                          <w:rFonts w:hint="eastAsia"/>
                        </w:rPr>
                        <w:t>身份证正面</w:t>
                      </w:r>
                    </w:p>
                  </w:txbxContent>
                </v:textbox>
              </v:rect>
            </w:pict>
          </mc:Fallback>
        </mc:AlternateContent>
      </w:r>
    </w:p>
    <w:p w14:paraId="04DF83CE">
      <w:pPr>
        <w:autoSpaceDE w:val="0"/>
        <w:autoSpaceDN w:val="0"/>
        <w:adjustRightInd w:val="0"/>
        <w:jc w:val="left"/>
        <w:rPr>
          <w:rFonts w:ascii="宋体" w:hAnsi="宋体" w:eastAsia="宋体" w:cs="宋体"/>
          <w:color w:val="auto"/>
          <w:kern w:val="0"/>
          <w:sz w:val="24"/>
          <w:szCs w:val="24"/>
          <w:highlight w:val="none"/>
        </w:rPr>
      </w:pPr>
    </w:p>
    <w:p w14:paraId="3183CFA9">
      <w:pPr>
        <w:autoSpaceDE w:val="0"/>
        <w:autoSpaceDN w:val="0"/>
        <w:adjustRightInd w:val="0"/>
        <w:jc w:val="left"/>
        <w:rPr>
          <w:rFonts w:ascii="宋体" w:hAnsi="宋体" w:eastAsia="宋体" w:cs="宋体"/>
          <w:color w:val="auto"/>
          <w:kern w:val="0"/>
          <w:sz w:val="24"/>
          <w:szCs w:val="24"/>
          <w:highlight w:val="none"/>
        </w:rPr>
      </w:pPr>
    </w:p>
    <w:p w14:paraId="242A71B5">
      <w:pPr>
        <w:autoSpaceDE w:val="0"/>
        <w:autoSpaceDN w:val="0"/>
        <w:adjustRightInd w:val="0"/>
        <w:jc w:val="left"/>
        <w:rPr>
          <w:rFonts w:ascii="宋体" w:hAnsi="宋体" w:eastAsia="宋体" w:cs="宋体"/>
          <w:color w:val="auto"/>
          <w:kern w:val="0"/>
          <w:sz w:val="24"/>
          <w:szCs w:val="24"/>
          <w:highlight w:val="none"/>
        </w:rPr>
      </w:pPr>
    </w:p>
    <w:p w14:paraId="0442B509">
      <w:pPr>
        <w:autoSpaceDE w:val="0"/>
        <w:autoSpaceDN w:val="0"/>
        <w:adjustRightInd w:val="0"/>
        <w:jc w:val="left"/>
        <w:rPr>
          <w:rFonts w:ascii="宋体" w:hAnsi="宋体" w:eastAsia="宋体" w:cs="宋体"/>
          <w:color w:val="auto"/>
          <w:kern w:val="0"/>
          <w:sz w:val="24"/>
          <w:szCs w:val="24"/>
          <w:highlight w:val="none"/>
        </w:rPr>
      </w:pPr>
    </w:p>
    <w:p w14:paraId="76147C71">
      <w:pPr>
        <w:autoSpaceDE w:val="0"/>
        <w:autoSpaceDN w:val="0"/>
        <w:adjustRightInd w:val="0"/>
        <w:jc w:val="left"/>
        <w:rPr>
          <w:rFonts w:ascii="宋体" w:hAnsi="宋体" w:eastAsia="宋体" w:cs="宋体"/>
          <w:color w:val="auto"/>
          <w:kern w:val="0"/>
          <w:sz w:val="24"/>
          <w:szCs w:val="24"/>
          <w:highlight w:val="none"/>
        </w:rPr>
      </w:pPr>
    </w:p>
    <w:p w14:paraId="327FC7C3">
      <w:pPr>
        <w:autoSpaceDE w:val="0"/>
        <w:autoSpaceDN w:val="0"/>
        <w:adjustRightInd w:val="0"/>
        <w:jc w:val="left"/>
        <w:rPr>
          <w:rFonts w:ascii="宋体" w:hAnsi="宋体" w:eastAsia="宋体" w:cs="宋体"/>
          <w:color w:val="auto"/>
          <w:kern w:val="0"/>
          <w:sz w:val="24"/>
          <w:szCs w:val="24"/>
          <w:highlight w:val="none"/>
        </w:rPr>
      </w:pPr>
    </w:p>
    <w:p w14:paraId="06D1613F">
      <w:pPr>
        <w:autoSpaceDE w:val="0"/>
        <w:autoSpaceDN w:val="0"/>
        <w:adjustRightInd w:val="0"/>
        <w:jc w:val="left"/>
        <w:rPr>
          <w:rFonts w:ascii="宋体" w:hAnsi="宋体" w:eastAsia="宋体" w:cs="宋体"/>
          <w:color w:val="auto"/>
          <w:kern w:val="0"/>
          <w:sz w:val="24"/>
          <w:szCs w:val="24"/>
          <w:highlight w:val="none"/>
        </w:rPr>
      </w:pPr>
    </w:p>
    <w:p w14:paraId="6AB4DF47">
      <w:pPr>
        <w:autoSpaceDE w:val="0"/>
        <w:autoSpaceDN w:val="0"/>
        <w:adjustRightInd w:val="0"/>
        <w:jc w:val="left"/>
        <w:rPr>
          <w:rFonts w:ascii="宋体" w:hAnsi="宋体" w:eastAsia="宋体" w:cs="宋体"/>
          <w:color w:val="auto"/>
          <w:kern w:val="0"/>
          <w:sz w:val="24"/>
          <w:szCs w:val="24"/>
          <w:highlight w:val="none"/>
        </w:rPr>
      </w:pPr>
    </w:p>
    <w:p w14:paraId="37922734">
      <w:pPr>
        <w:autoSpaceDE w:val="0"/>
        <w:autoSpaceDN w:val="0"/>
        <w:adjustRightInd w:val="0"/>
        <w:jc w:val="left"/>
        <w:rPr>
          <w:rFonts w:ascii="宋体" w:hAnsi="宋体" w:eastAsia="宋体" w:cs="宋体"/>
          <w:color w:val="auto"/>
          <w:kern w:val="0"/>
          <w:sz w:val="24"/>
          <w:szCs w:val="24"/>
          <w:highlight w:val="none"/>
        </w:rPr>
      </w:pPr>
    </w:p>
    <w:p w14:paraId="55469298">
      <w:pPr>
        <w:autoSpaceDE w:val="0"/>
        <w:autoSpaceDN w:val="0"/>
        <w:adjustRightInd w:val="0"/>
        <w:jc w:val="left"/>
        <w:rPr>
          <w:rFonts w:ascii="宋体" w:hAnsi="宋体" w:eastAsia="宋体" w:cs="宋体"/>
          <w:b/>
          <w:color w:val="auto"/>
          <w:kern w:val="0"/>
          <w:szCs w:val="21"/>
          <w:highlight w:val="none"/>
        </w:rPr>
      </w:pPr>
    </w:p>
    <w:p w14:paraId="64034B99">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7763138C">
      <w:pPr>
        <w:autoSpaceDE w:val="0"/>
        <w:autoSpaceDN w:val="0"/>
        <w:adjustRightInd w:val="0"/>
        <w:jc w:val="left"/>
        <w:rPr>
          <w:rFonts w:ascii="宋体" w:hAnsi="宋体" w:eastAsia="宋体" w:cs="宋体"/>
          <w:color w:val="auto"/>
          <w:kern w:val="0"/>
          <w:szCs w:val="21"/>
          <w:highlight w:val="none"/>
        </w:rPr>
      </w:pPr>
    </w:p>
    <w:p w14:paraId="67013896">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88"/>
      <w:bookmarkEnd w:id="589"/>
      <w:bookmarkEnd w:id="590"/>
      <w:bookmarkStart w:id="663" w:name="_Toc6240_WPSOffice_Level2"/>
      <w:bookmarkStart w:id="664" w:name="_Toc486167713"/>
      <w:bookmarkStart w:id="665" w:name="_Toc533708125"/>
      <w:bookmarkStart w:id="666" w:name="_Toc1977727"/>
      <w:r>
        <w:rPr>
          <w:rFonts w:hint="eastAsia" w:ascii="宋体" w:hAnsi="宋体" w:eastAsia="宋体" w:cs="宋体"/>
          <w:b/>
          <w:color w:val="auto"/>
          <w:szCs w:val="24"/>
          <w:highlight w:val="none"/>
        </w:rPr>
        <w:t>（2）法定代表人授权书格式</w:t>
      </w:r>
      <w:bookmarkEnd w:id="663"/>
      <w:bookmarkEnd w:id="664"/>
      <w:bookmarkEnd w:id="665"/>
      <w:bookmarkEnd w:id="666"/>
    </w:p>
    <w:p w14:paraId="62438F71">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1946DCBD">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67" w:name="_Toc29146_WPSOffice_Level3"/>
      <w:r>
        <w:rPr>
          <w:rFonts w:hint="eastAsia" w:ascii="宋体" w:hAnsi="宋体" w:eastAsia="宋体" w:cs="宋体"/>
          <w:b/>
          <w:bCs/>
          <w:color w:val="auto"/>
          <w:sz w:val="30"/>
          <w:szCs w:val="30"/>
          <w:highlight w:val="none"/>
          <w:lang w:val="zh-CN"/>
        </w:rPr>
        <w:t>法定代表人授权书</w:t>
      </w:r>
      <w:bookmarkEnd w:id="667"/>
    </w:p>
    <w:p w14:paraId="6B17EE6E">
      <w:pPr>
        <w:autoSpaceDE w:val="0"/>
        <w:autoSpaceDN w:val="0"/>
        <w:adjustRightInd w:val="0"/>
        <w:spacing w:line="360" w:lineRule="auto"/>
        <w:jc w:val="center"/>
        <w:rPr>
          <w:rFonts w:ascii="宋体" w:hAnsi="宋体" w:eastAsia="宋体" w:cs="宋体"/>
          <w:color w:val="auto"/>
          <w:szCs w:val="28"/>
          <w:highlight w:val="none"/>
          <w:lang w:val="zh-CN"/>
        </w:rPr>
      </w:pPr>
    </w:p>
    <w:p w14:paraId="10B8785A">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致：东莞市水务集团建设管理有限公司</w:t>
      </w:r>
    </w:p>
    <w:p w14:paraId="3016446C">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珠三角水资源配置工程东莞配套芦花坑水厂一期配水管线工程-C标段第三方检测服务采购项目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WTZB2025DG0004</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1E66D4C8">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2D77BD9">
      <w:pPr>
        <w:spacing w:before="120" w:after="120" w:line="360" w:lineRule="auto"/>
        <w:ind w:left="348" w:leftChars="136" w:hanging="62"/>
        <w:rPr>
          <w:rFonts w:ascii="宋体" w:hAnsi="宋体" w:eastAsia="宋体" w:cs="宋体"/>
          <w:color w:val="auto"/>
          <w:szCs w:val="24"/>
          <w:highlight w:val="none"/>
        </w:rPr>
      </w:pPr>
    </w:p>
    <w:p w14:paraId="0198124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651863E3">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07F6AF8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7755507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54438E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484F346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E8FE01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0946729">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60DEDA2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0050CE6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6" name="文本框 4"/>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5DABF9"/>
                          <w:p w14:paraId="3041904C"/>
                          <w:p w14:paraId="1CB39D7D"/>
                          <w:p w14:paraId="5CDCB26E"/>
                          <w:p w14:paraId="50E160E3">
                            <w:pPr>
                              <w:jc w:val="center"/>
                              <w:rPr>
                                <w:rFonts w:hAnsi="宋体"/>
                              </w:rPr>
                            </w:pPr>
                            <w:r>
                              <w:rPr>
                                <w:rFonts w:hint="eastAsia" w:hAnsi="宋体"/>
                              </w:rPr>
                              <w:t>法定代表人身份证反面</w:t>
                            </w:r>
                          </w:p>
                        </w:txbxContent>
                      </wps:txbx>
                      <wps:bodyPr upright="1"/>
                    </wps:wsp>
                  </a:graphicData>
                </a:graphic>
              </wp:anchor>
            </w:drawing>
          </mc:Choice>
          <mc:Fallback>
            <w:pict>
              <v:rect id="文本框 4" o:spid="_x0000_s1026" o:spt="1" style="position:absolute;left:0pt;margin-left:265.1pt;margin-top:5.5pt;height:138.75pt;width:219.75pt;z-index:251664384;mso-width-relative:page;mso-height-relative:page;" fillcolor="#FFFFFF" filled="t" stroked="t" coordsize="21600,21600" o:gfxdata="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SE6T7YAAAACgEAAA8AAAAAAAAAAQAgAAAAIgAAAGRy&#10;cy9kb3ducmV2LnhtbFBLAQIUABQAAAAIAIdO4kAn+IigBQIAAC0EAAAOAAAAAAAAAAEAIAAAACcB&#10;AABkcnMvZTJvRG9jLnhtbFBLBQYAAAAABgAGAFkBAACeBQAAAAA=&#10;">
                <v:fill on="t" focussize="0,0"/>
                <v:stroke color="#000000" joinstyle="miter"/>
                <v:imagedata o:title=""/>
                <o:lock v:ext="edit" aspectratio="f"/>
                <v:textbox>
                  <w:txbxContent>
                    <w:p w14:paraId="6D5DABF9"/>
                    <w:p w14:paraId="3041904C"/>
                    <w:p w14:paraId="1CB39D7D"/>
                    <w:p w14:paraId="5CDCB26E"/>
                    <w:p w14:paraId="50E160E3">
                      <w:pPr>
                        <w:jc w:val="center"/>
                        <w:rPr>
                          <w:rFonts w:hAnsi="宋体"/>
                        </w:rPr>
                      </w:pPr>
                      <w:r>
                        <w:rPr>
                          <w:rFonts w:hint="eastAsia" w:hAnsi="宋体"/>
                        </w:rPr>
                        <w:t>法定代表人身份证反面</w:t>
                      </w:r>
                    </w:p>
                  </w:txbxContent>
                </v:textbox>
              </v:rect>
            </w:pict>
          </mc:Fallback>
        </mc:AlternateContent>
      </w: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4" name="文本框 3"/>
                <wp:cNvGraphicFramePr/>
                <a:graphic xmlns:a="http://schemas.openxmlformats.org/drawingml/2006/main">
                  <a:graphicData uri="http://schemas.microsoft.com/office/word/2010/wordprocessingShape">
                    <wps:wsp>
                      <wps:cNvSpPr/>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1CA2DF"/>
                          <w:p w14:paraId="5AD1178F"/>
                          <w:p w14:paraId="6F89D07F"/>
                          <w:p w14:paraId="171F84E7"/>
                          <w:p w14:paraId="22A8D110">
                            <w:pPr>
                              <w:jc w:val="center"/>
                              <w:rPr>
                                <w:rFonts w:hAnsi="宋体"/>
                              </w:rPr>
                            </w:pPr>
                            <w:r>
                              <w:rPr>
                                <w:rFonts w:hint="eastAsia" w:hAnsi="宋体"/>
                              </w:rPr>
                              <w:t>法定代表人身份证正面</w:t>
                            </w:r>
                          </w:p>
                        </w:txbxContent>
                      </wps:txbx>
                      <wps:bodyPr upright="1"/>
                    </wps:wsp>
                  </a:graphicData>
                </a:graphic>
              </wp:anchor>
            </w:drawing>
          </mc:Choice>
          <mc:Fallback>
            <w:pict>
              <v:rect id="文本框 3" o:spid="_x0000_s1026" o:spt="1" style="position:absolute;left:0pt;margin-left:24.35pt;margin-top:5.5pt;height:138.75pt;width:219.75pt;z-index:251662336;mso-width-relative:page;mso-height-relative:page;" fillcolor="#FFFFFF" filled="t" stroked="t" coordsize="21600,21600" o:gfxdata="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w46ozXAAAACQEAAA8AAAAAAAAAAQAgAAAAIgAAAGRycy9k&#10;b3ducmV2LnhtbFBLAQIUABQAAAAIAIdO4kBiFj1MAwIAAC0EAAAOAAAAAAAAAAEAIAAAACYBAABk&#10;cnMvZTJvRG9jLnhtbFBLBQYAAAAABgAGAFkBAACbBQAAAAA=&#10;">
                <v:fill on="t" focussize="0,0"/>
                <v:stroke color="#000000" joinstyle="miter"/>
                <v:imagedata o:title=""/>
                <o:lock v:ext="edit" aspectratio="f"/>
                <v:textbox>
                  <w:txbxContent>
                    <w:p w14:paraId="761CA2DF"/>
                    <w:p w14:paraId="5AD1178F"/>
                    <w:p w14:paraId="6F89D07F"/>
                    <w:p w14:paraId="171F84E7"/>
                    <w:p w14:paraId="22A8D110">
                      <w:pPr>
                        <w:jc w:val="center"/>
                        <w:rPr>
                          <w:rFonts w:hAnsi="宋体"/>
                        </w:rPr>
                      </w:pPr>
                      <w:r>
                        <w:rPr>
                          <w:rFonts w:hint="eastAsia" w:hAnsi="宋体"/>
                        </w:rPr>
                        <w:t>法定代表人身份证正面</w:t>
                      </w:r>
                    </w:p>
                  </w:txbxContent>
                </v:textbox>
              </v:rect>
            </w:pict>
          </mc:Fallback>
        </mc:AlternateContent>
      </w:r>
    </w:p>
    <w:p w14:paraId="5470EFA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A11631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CAE5C8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2A8FB7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FE0AB6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C732AA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7A100F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A60FCD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FD7E70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7" name="文本框 2"/>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7DD12B8"/>
                          <w:p w14:paraId="16EE1371">
                            <w:pPr>
                              <w:jc w:val="center"/>
                              <w:rPr>
                                <w:rFonts w:hAnsi="宋体"/>
                                <w:color w:val="FF0000"/>
                              </w:rPr>
                            </w:pPr>
                          </w:p>
                          <w:p w14:paraId="1FE557C0">
                            <w:pPr>
                              <w:jc w:val="center"/>
                              <w:rPr>
                                <w:rFonts w:hAnsi="宋体"/>
                                <w:color w:val="FF0000"/>
                              </w:rPr>
                            </w:pPr>
                          </w:p>
                          <w:p w14:paraId="11894C6B">
                            <w:pPr>
                              <w:jc w:val="center"/>
                              <w:rPr>
                                <w:rFonts w:hAnsi="宋体"/>
                                <w:color w:val="FF0000"/>
                              </w:rPr>
                            </w:pPr>
                          </w:p>
                          <w:p w14:paraId="59E212DF">
                            <w:pPr>
                              <w:jc w:val="center"/>
                            </w:pPr>
                            <w:r>
                              <w:rPr>
                                <w:rFonts w:hint="eastAsia" w:hAnsi="宋体"/>
                              </w:rPr>
                              <w:t>被授权人身份证反面</w:t>
                            </w:r>
                          </w:p>
                          <w:p w14:paraId="5C7D88CB"/>
                          <w:p w14:paraId="3C0FC5BF"/>
                        </w:txbxContent>
                      </wps:txbx>
                      <wps:bodyPr upright="1"/>
                    </wps:wsp>
                  </a:graphicData>
                </a:graphic>
              </wp:anchor>
            </w:drawing>
          </mc:Choice>
          <mc:Fallback>
            <w:pict>
              <v:rect id="文本框 2" o:spid="_x0000_s1026" o:spt="1" style="position:absolute;left:0pt;margin-left:265.1pt;margin-top:8.05pt;height:139.5pt;width:216pt;z-index:251665408;mso-width-relative:page;mso-height-relative:page;" fillcolor="#FFFFFF" filled="t" stroked="t" coordsize="21600,21600" o:gfxdata="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RQRRk2AAAAAoBAAAPAAAAAAAAAAEAIAAAACIA&#10;AABkcnMvZG93bnJldi54bWxQSwECFAAUAAAACACHTuJA1RcsuwkCAAAtBAAADgAAAAAAAAABACAA&#10;AAAnAQAAZHJzL2Uyb0RvYy54bWxQSwUGAAAAAAYABgBZAQAAogUAAAAA&#10;">
                <v:fill on="t" focussize="0,0"/>
                <v:stroke color="#000000" joinstyle="miter"/>
                <v:imagedata o:title=""/>
                <o:lock v:ext="edit" aspectratio="f"/>
                <v:textbox>
                  <w:txbxContent>
                    <w:p w14:paraId="67DD12B8"/>
                    <w:p w14:paraId="16EE1371">
                      <w:pPr>
                        <w:jc w:val="center"/>
                        <w:rPr>
                          <w:rFonts w:hAnsi="宋体"/>
                          <w:color w:val="FF0000"/>
                        </w:rPr>
                      </w:pPr>
                    </w:p>
                    <w:p w14:paraId="1FE557C0">
                      <w:pPr>
                        <w:jc w:val="center"/>
                        <w:rPr>
                          <w:rFonts w:hAnsi="宋体"/>
                          <w:color w:val="FF0000"/>
                        </w:rPr>
                      </w:pPr>
                    </w:p>
                    <w:p w14:paraId="11894C6B">
                      <w:pPr>
                        <w:jc w:val="center"/>
                        <w:rPr>
                          <w:rFonts w:hAnsi="宋体"/>
                          <w:color w:val="FF0000"/>
                        </w:rPr>
                      </w:pPr>
                    </w:p>
                    <w:p w14:paraId="59E212DF">
                      <w:pPr>
                        <w:jc w:val="center"/>
                      </w:pPr>
                      <w:r>
                        <w:rPr>
                          <w:rFonts w:hint="eastAsia" w:hAnsi="宋体"/>
                        </w:rPr>
                        <w:t>被授权人身份证反面</w:t>
                      </w:r>
                    </w:p>
                    <w:p w14:paraId="5C7D88CB"/>
                    <w:p w14:paraId="3C0FC5BF"/>
                  </w:txbxContent>
                </v:textbox>
              </v:rect>
            </w:pict>
          </mc:Fallback>
        </mc:AlternateContent>
      </w:r>
      <w:r>
        <w:rPr>
          <w:rFonts w:ascii="宋体" w:hAnsi="宋体" w:eastAsia="宋体" w:cs="宋体"/>
          <w:color w:val="auto"/>
          <w:kern w:val="2"/>
          <w:sz w:val="21"/>
          <w:szCs w:val="21"/>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5" name="文本框 1"/>
                <wp:cNvGraphicFramePr/>
                <a:graphic xmlns:a="http://schemas.openxmlformats.org/drawingml/2006/main">
                  <a:graphicData uri="http://schemas.microsoft.com/office/word/2010/wordprocessingShape">
                    <wps:wsp>
                      <wps:cNvSpPr/>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43C3CB"/>
                          <w:p w14:paraId="51D45120">
                            <w:pPr>
                              <w:jc w:val="center"/>
                              <w:rPr>
                                <w:rFonts w:hAnsi="宋体"/>
                                <w:color w:val="FF0000"/>
                              </w:rPr>
                            </w:pPr>
                          </w:p>
                          <w:p w14:paraId="5C07DF4C">
                            <w:pPr>
                              <w:jc w:val="center"/>
                              <w:rPr>
                                <w:rFonts w:hAnsi="宋体"/>
                                <w:color w:val="FF0000"/>
                              </w:rPr>
                            </w:pPr>
                          </w:p>
                          <w:p w14:paraId="79C7F01A">
                            <w:pPr>
                              <w:jc w:val="center"/>
                              <w:rPr>
                                <w:rFonts w:hAnsi="宋体"/>
                                <w:color w:val="FF0000"/>
                              </w:rPr>
                            </w:pPr>
                          </w:p>
                          <w:p w14:paraId="3C3B59C5">
                            <w:pPr>
                              <w:jc w:val="center"/>
                            </w:pPr>
                            <w:r>
                              <w:rPr>
                                <w:rFonts w:hint="eastAsia" w:hAnsi="宋体"/>
                              </w:rPr>
                              <w:t>被授权人身份证正面</w:t>
                            </w:r>
                          </w:p>
                          <w:p w14:paraId="6CC84FC8"/>
                          <w:p w14:paraId="4138662E"/>
                        </w:txbxContent>
                      </wps:txbx>
                      <wps:bodyPr upright="1"/>
                    </wps:wsp>
                  </a:graphicData>
                </a:graphic>
              </wp:anchor>
            </w:drawing>
          </mc:Choice>
          <mc:Fallback>
            <w:pict>
              <v:rect id="文本框 1" o:spid="_x0000_s1026" o:spt="1" style="position:absolute;left:0pt;margin-left:24.35pt;margin-top:8.05pt;height:139.5pt;width:216pt;z-index:251663360;mso-width-relative:page;mso-height-relative:page;" fillcolor="#FFFFFF" filled="t" stroked="t" coordsize="21600,21600" o:gfxdata="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ZZYfc9cAAAAJAQAADwAAAAAAAAABACAAAAAiAAAA&#10;ZHJzL2Rvd25yZXYueG1sUEsBAhQAFAAAAAgAh07iQBSRDoEIAgAALQQAAA4AAAAAAAAAAQAgAAAA&#10;JgEAAGRycy9lMm9Eb2MueG1sUEsFBgAAAAAGAAYAWQEAAKAFAAAAAA==&#10;">
                <v:fill on="t" focussize="0,0"/>
                <v:stroke color="#000000" joinstyle="miter"/>
                <v:imagedata o:title=""/>
                <o:lock v:ext="edit" aspectratio="f"/>
                <v:textbox>
                  <w:txbxContent>
                    <w:p w14:paraId="5343C3CB"/>
                    <w:p w14:paraId="51D45120">
                      <w:pPr>
                        <w:jc w:val="center"/>
                        <w:rPr>
                          <w:rFonts w:hAnsi="宋体"/>
                          <w:color w:val="FF0000"/>
                        </w:rPr>
                      </w:pPr>
                    </w:p>
                    <w:p w14:paraId="5C07DF4C">
                      <w:pPr>
                        <w:jc w:val="center"/>
                        <w:rPr>
                          <w:rFonts w:hAnsi="宋体"/>
                          <w:color w:val="FF0000"/>
                        </w:rPr>
                      </w:pPr>
                    </w:p>
                    <w:p w14:paraId="79C7F01A">
                      <w:pPr>
                        <w:jc w:val="center"/>
                        <w:rPr>
                          <w:rFonts w:hAnsi="宋体"/>
                          <w:color w:val="FF0000"/>
                        </w:rPr>
                      </w:pPr>
                    </w:p>
                    <w:p w14:paraId="3C3B59C5">
                      <w:pPr>
                        <w:jc w:val="center"/>
                      </w:pPr>
                      <w:r>
                        <w:rPr>
                          <w:rFonts w:hint="eastAsia" w:hAnsi="宋体"/>
                        </w:rPr>
                        <w:t>被授权人身份证正面</w:t>
                      </w:r>
                    </w:p>
                    <w:p w14:paraId="6CC84FC8"/>
                    <w:p w14:paraId="4138662E"/>
                  </w:txbxContent>
                </v:textbox>
              </v:rect>
            </w:pict>
          </mc:Fallback>
        </mc:AlternateContent>
      </w:r>
    </w:p>
    <w:p w14:paraId="41B430F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918E55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1E7BEF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AF2E59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5A0B4F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753CF735">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4581DC6">
      <w:pPr>
        <w:pStyle w:val="6"/>
        <w:pageBreakBefore/>
        <w:spacing w:line="360" w:lineRule="auto"/>
        <w:rPr>
          <w:rFonts w:hint="eastAsia" w:hAnsi="宋体" w:cs="宋体"/>
          <w:b/>
          <w:color w:val="auto"/>
          <w:kern w:val="0"/>
          <w:sz w:val="30"/>
          <w:szCs w:val="30"/>
          <w:highlight w:val="none"/>
          <w:lang w:val="en-US" w:eastAsia="zh-CN"/>
        </w:rPr>
      </w:pPr>
      <w:bookmarkStart w:id="668" w:name="_Toc30324"/>
      <w:bookmarkStart w:id="669" w:name="_Toc4487"/>
      <w:bookmarkStart w:id="670" w:name="_Toc4368"/>
      <w:bookmarkStart w:id="671" w:name="_Toc155"/>
      <w:bookmarkStart w:id="672" w:name="_Toc32328"/>
      <w:bookmarkStart w:id="673" w:name="_Toc15716"/>
      <w:bookmarkStart w:id="674" w:name="_Toc12400"/>
      <w:bookmarkStart w:id="675" w:name="_Toc1977730"/>
      <w:bookmarkStart w:id="676" w:name="_Toc140596933"/>
      <w:bookmarkStart w:id="677" w:name="_Toc94107214"/>
      <w:bookmarkStart w:id="678" w:name="_Toc104991880"/>
      <w:bookmarkStart w:id="679" w:name="_Toc142508373"/>
      <w:r>
        <w:rPr>
          <w:rFonts w:hint="eastAsia" w:hAnsi="宋体" w:cs="宋体"/>
          <w:b/>
          <w:color w:val="auto"/>
          <w:kern w:val="0"/>
          <w:sz w:val="30"/>
          <w:szCs w:val="30"/>
          <w:highlight w:val="none"/>
          <w:lang w:val="en-US" w:eastAsia="zh-CN"/>
        </w:rPr>
        <w:t xml:space="preserve">5.4 </w:t>
      </w:r>
      <w:bookmarkEnd w:id="668"/>
      <w:r>
        <w:rPr>
          <w:rFonts w:hint="eastAsia" w:hAnsi="宋体" w:eastAsia="宋体" w:cs="宋体"/>
          <w:b/>
          <w:color w:val="auto"/>
          <w:sz w:val="30"/>
          <w:szCs w:val="30"/>
          <w:highlight w:val="none"/>
          <w:lang w:val="zh-CN"/>
        </w:rPr>
        <w:t>投标人须</w:t>
      </w:r>
      <w:r>
        <w:rPr>
          <w:rFonts w:hint="eastAsia" w:hAnsi="宋体" w:cs="宋体"/>
          <w:b/>
          <w:color w:val="auto"/>
          <w:sz w:val="30"/>
          <w:szCs w:val="30"/>
          <w:highlight w:val="none"/>
          <w:lang w:val="en-US" w:eastAsia="zh-CN"/>
        </w:rPr>
        <w:t>同时</w:t>
      </w:r>
      <w:r>
        <w:rPr>
          <w:rFonts w:hint="eastAsia" w:hAnsi="宋体" w:eastAsia="宋体" w:cs="宋体"/>
          <w:b/>
          <w:color w:val="auto"/>
          <w:sz w:val="30"/>
          <w:szCs w:val="30"/>
          <w:highlight w:val="none"/>
          <w:lang w:val="zh-CN"/>
        </w:rPr>
        <w:t>具备由住房和城乡建设部门颁发的并在有效期内的建设工程质量检测机构资质证书（须同时涵盖见证取样检测、地基基础工程检测、主体结构工程现场检测、钢结构工程检测），或者是建设工程质量检测机构综合资质证书，或者是建设工程质量检测机构专项资质证书（须同时取得</w:t>
      </w:r>
      <w:r>
        <w:rPr>
          <w:rFonts w:hint="eastAsia" w:hAnsi="宋体" w:cs="宋体"/>
          <w:b/>
          <w:color w:val="auto"/>
          <w:sz w:val="30"/>
          <w:szCs w:val="30"/>
          <w:highlight w:val="none"/>
          <w:lang w:val="zh-CN"/>
        </w:rPr>
        <w:t>建筑材料及构配件、钢结构、地基基础、市政工程材料、道路工程</w:t>
      </w:r>
      <w:r>
        <w:rPr>
          <w:rFonts w:hint="eastAsia" w:hAnsi="宋体" w:cs="宋体"/>
          <w:b/>
          <w:color w:val="auto"/>
          <w:sz w:val="30"/>
          <w:szCs w:val="30"/>
          <w:highlight w:val="none"/>
          <w:lang w:val="en-US" w:eastAsia="zh-CN"/>
        </w:rPr>
        <w:t>5</w:t>
      </w:r>
      <w:r>
        <w:rPr>
          <w:rFonts w:hint="eastAsia" w:hAnsi="宋体" w:cs="宋体"/>
          <w:b/>
          <w:color w:val="auto"/>
          <w:sz w:val="30"/>
          <w:szCs w:val="30"/>
          <w:highlight w:val="none"/>
          <w:lang w:val="zh-CN"/>
        </w:rPr>
        <w:t>个专项资质</w:t>
      </w:r>
      <w:r>
        <w:rPr>
          <w:rFonts w:hint="eastAsia" w:hAnsi="宋体" w:eastAsia="宋体" w:cs="宋体"/>
          <w:b/>
          <w:color w:val="auto"/>
          <w:sz w:val="30"/>
          <w:szCs w:val="30"/>
          <w:highlight w:val="none"/>
          <w:lang w:val="zh-CN"/>
        </w:rPr>
        <w:t>）和计量行政部门颁发的CMA计量认证证书；</w:t>
      </w:r>
      <w:bookmarkEnd w:id="669"/>
      <w:bookmarkEnd w:id="670"/>
      <w:bookmarkEnd w:id="671"/>
    </w:p>
    <w:p w14:paraId="4A3DA76C">
      <w:pPr>
        <w:pStyle w:val="6"/>
        <w:pageBreakBefore/>
        <w:spacing w:line="360" w:lineRule="auto"/>
        <w:rPr>
          <w:rFonts w:hint="default" w:hAnsi="宋体" w:eastAsia="宋体"/>
          <w:b/>
          <w:color w:val="auto"/>
          <w:sz w:val="30"/>
          <w:szCs w:val="30"/>
          <w:highlight w:val="none"/>
          <w:lang w:val="en-US" w:eastAsia="zh-CN"/>
        </w:rPr>
      </w:pPr>
      <w:bookmarkStart w:id="680" w:name="_Toc25107"/>
      <w:bookmarkStart w:id="681" w:name="_Toc30970"/>
      <w:bookmarkStart w:id="682" w:name="_Toc8440"/>
      <w:bookmarkStart w:id="683" w:name="_Toc4530"/>
      <w:r>
        <w:rPr>
          <w:rFonts w:hint="eastAsia" w:hAnsi="宋体" w:cs="宋体"/>
          <w:b/>
          <w:color w:val="auto"/>
          <w:kern w:val="0"/>
          <w:sz w:val="30"/>
          <w:szCs w:val="30"/>
          <w:highlight w:val="none"/>
          <w:lang w:val="en-US" w:eastAsia="zh-CN"/>
        </w:rPr>
        <w:t>5.5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w:t>
      </w:r>
      <w:bookmarkEnd w:id="672"/>
      <w:bookmarkEnd w:id="673"/>
      <w:bookmarkEnd w:id="674"/>
      <w:r>
        <w:rPr>
          <w:rFonts w:hint="eastAsia" w:ascii="宋体" w:hAnsi="宋体" w:eastAsia="宋体"/>
          <w:b/>
          <w:bCs/>
          <w:color w:val="auto"/>
          <w:sz w:val="32"/>
          <w:szCs w:val="32"/>
          <w:highlight w:val="none"/>
        </w:rPr>
        <w:t>投标人</w:t>
      </w:r>
      <w:r>
        <w:rPr>
          <w:rFonts w:hint="eastAsia" w:hAnsi="宋体"/>
          <w:b/>
          <w:bCs/>
          <w:color w:val="auto"/>
          <w:sz w:val="32"/>
          <w:szCs w:val="32"/>
          <w:highlight w:val="none"/>
          <w:lang w:eastAsia="zh-CN"/>
        </w:rPr>
        <w:t>2020年</w:t>
      </w:r>
      <w:r>
        <w:rPr>
          <w:rFonts w:hint="eastAsia" w:ascii="宋体" w:hAnsi="宋体" w:eastAsia="宋体"/>
          <w:b/>
          <w:bCs/>
          <w:color w:val="auto"/>
          <w:sz w:val="32"/>
          <w:szCs w:val="32"/>
          <w:highlight w:val="none"/>
        </w:rPr>
        <w:t>1月1日以来具有一项市政工程检测业绩（合同签订日期为</w:t>
      </w:r>
      <w:r>
        <w:rPr>
          <w:rFonts w:hint="eastAsia" w:hAnsi="宋体"/>
          <w:b/>
          <w:bCs/>
          <w:color w:val="auto"/>
          <w:sz w:val="32"/>
          <w:szCs w:val="32"/>
          <w:highlight w:val="none"/>
          <w:lang w:eastAsia="zh-CN"/>
        </w:rPr>
        <w:t>2020年</w:t>
      </w:r>
      <w:r>
        <w:rPr>
          <w:rFonts w:hint="eastAsia" w:ascii="宋体" w:hAnsi="宋体" w:eastAsia="宋体"/>
          <w:b/>
          <w:bCs/>
          <w:color w:val="auto"/>
          <w:sz w:val="32"/>
          <w:szCs w:val="32"/>
          <w:highlight w:val="none"/>
        </w:rPr>
        <w:t>1月1日或以后</w:t>
      </w:r>
      <w:r>
        <w:rPr>
          <w:rFonts w:hint="eastAsia" w:hAnsi="宋体"/>
          <w:b/>
          <w:bCs/>
          <w:color w:val="auto"/>
          <w:sz w:val="32"/>
          <w:szCs w:val="32"/>
          <w:highlight w:val="none"/>
          <w:lang w:val="en-US" w:eastAsia="zh-CN"/>
        </w:rPr>
        <w:t>)】</w:t>
      </w:r>
      <w:bookmarkEnd w:id="680"/>
      <w:bookmarkEnd w:id="681"/>
      <w:bookmarkEnd w:id="682"/>
      <w:bookmarkEnd w:id="683"/>
    </w:p>
    <w:p w14:paraId="0FC0E1C7">
      <w:pPr>
        <w:spacing w:line="360" w:lineRule="auto"/>
        <w:rPr>
          <w:rFonts w:hint="eastAsia" w:ascii="宋体" w:hAnsi="宋体" w:eastAsia="宋体" w:cs="宋体"/>
          <w:b/>
          <w:color w:val="auto"/>
          <w:szCs w:val="21"/>
          <w:highlight w:val="none"/>
          <w:lang w:val="zh-CN"/>
        </w:rPr>
      </w:pPr>
    </w:p>
    <w:tbl>
      <w:tblPr>
        <w:tblStyle w:val="36"/>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25"/>
        <w:gridCol w:w="1051"/>
        <w:gridCol w:w="1052"/>
        <w:gridCol w:w="1052"/>
        <w:gridCol w:w="1224"/>
        <w:gridCol w:w="1052"/>
        <w:gridCol w:w="1053"/>
        <w:gridCol w:w="1053"/>
        <w:gridCol w:w="865"/>
      </w:tblGrid>
      <w:tr w14:paraId="7C77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725" w:type="dxa"/>
            <w:vAlign w:val="center"/>
          </w:tcPr>
          <w:p w14:paraId="4B633CC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51" w:type="dxa"/>
            <w:vAlign w:val="center"/>
          </w:tcPr>
          <w:p w14:paraId="342DD1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052" w:type="dxa"/>
            <w:vAlign w:val="center"/>
          </w:tcPr>
          <w:p w14:paraId="416B6E0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1052" w:type="dxa"/>
            <w:vAlign w:val="center"/>
          </w:tcPr>
          <w:p w14:paraId="128BEC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224" w:type="dxa"/>
            <w:vAlign w:val="center"/>
          </w:tcPr>
          <w:p w14:paraId="256D371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1052" w:type="dxa"/>
            <w:vAlign w:val="center"/>
          </w:tcPr>
          <w:p w14:paraId="033915A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1053" w:type="dxa"/>
            <w:vAlign w:val="center"/>
          </w:tcPr>
          <w:p w14:paraId="7D7A4C1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1053" w:type="dxa"/>
            <w:vAlign w:val="center"/>
          </w:tcPr>
          <w:p w14:paraId="4167E4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865" w:type="dxa"/>
            <w:vAlign w:val="center"/>
          </w:tcPr>
          <w:p w14:paraId="5F1821D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519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64423C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051" w:type="dxa"/>
            <w:vAlign w:val="center"/>
          </w:tcPr>
          <w:p w14:paraId="5E2ED7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center"/>
          </w:tcPr>
          <w:p w14:paraId="246FFCB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center"/>
          </w:tcPr>
          <w:p w14:paraId="34EFDD6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24" w:type="dxa"/>
            <w:vAlign w:val="center"/>
          </w:tcPr>
          <w:p w14:paraId="4919031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top"/>
          </w:tcPr>
          <w:p w14:paraId="78089E2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3" w:type="dxa"/>
            <w:vAlign w:val="center"/>
          </w:tcPr>
          <w:p w14:paraId="1CA3DFE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3" w:type="dxa"/>
            <w:vAlign w:val="center"/>
          </w:tcPr>
          <w:p w14:paraId="482508B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65" w:type="dxa"/>
            <w:vAlign w:val="center"/>
          </w:tcPr>
          <w:p w14:paraId="44A6E9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3449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797250E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051" w:type="dxa"/>
            <w:vAlign w:val="center"/>
          </w:tcPr>
          <w:p w14:paraId="116247D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center"/>
          </w:tcPr>
          <w:p w14:paraId="28CDD6B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center"/>
          </w:tcPr>
          <w:p w14:paraId="48FBF20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24" w:type="dxa"/>
            <w:vAlign w:val="center"/>
          </w:tcPr>
          <w:p w14:paraId="5E2BFC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top"/>
          </w:tcPr>
          <w:p w14:paraId="2A85BE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3" w:type="dxa"/>
            <w:vAlign w:val="center"/>
          </w:tcPr>
          <w:p w14:paraId="558D5CC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3" w:type="dxa"/>
            <w:vAlign w:val="center"/>
          </w:tcPr>
          <w:p w14:paraId="216210E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65" w:type="dxa"/>
            <w:vAlign w:val="center"/>
          </w:tcPr>
          <w:p w14:paraId="1522C4C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D9A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597CA0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051" w:type="dxa"/>
            <w:vAlign w:val="center"/>
          </w:tcPr>
          <w:p w14:paraId="35C22FE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center"/>
          </w:tcPr>
          <w:p w14:paraId="7CAF025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center"/>
          </w:tcPr>
          <w:p w14:paraId="4DED41A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24" w:type="dxa"/>
            <w:vAlign w:val="center"/>
          </w:tcPr>
          <w:p w14:paraId="612068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top"/>
          </w:tcPr>
          <w:p w14:paraId="5A556E6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3" w:type="dxa"/>
            <w:vAlign w:val="center"/>
          </w:tcPr>
          <w:p w14:paraId="388958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3" w:type="dxa"/>
            <w:vAlign w:val="center"/>
          </w:tcPr>
          <w:p w14:paraId="48F6BC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65" w:type="dxa"/>
            <w:vAlign w:val="center"/>
          </w:tcPr>
          <w:p w14:paraId="5B63D37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3B8E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725" w:type="dxa"/>
            <w:vAlign w:val="center"/>
          </w:tcPr>
          <w:p w14:paraId="23315D6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default" w:ascii="宋体" w:hAnsi="宋体" w:eastAsia="宋体" w:cs="Courier New"/>
                <w:color w:val="auto"/>
                <w:kern w:val="0"/>
                <w:szCs w:val="21"/>
                <w:highlight w:val="none"/>
              </w:rPr>
              <w:t>…</w:t>
            </w:r>
          </w:p>
        </w:tc>
        <w:tc>
          <w:tcPr>
            <w:tcW w:w="1051" w:type="dxa"/>
            <w:vAlign w:val="center"/>
          </w:tcPr>
          <w:p w14:paraId="31EED1F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center"/>
          </w:tcPr>
          <w:p w14:paraId="495349F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center"/>
          </w:tcPr>
          <w:p w14:paraId="002216E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224" w:type="dxa"/>
            <w:vAlign w:val="center"/>
          </w:tcPr>
          <w:p w14:paraId="64255D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2" w:type="dxa"/>
            <w:vAlign w:val="top"/>
          </w:tcPr>
          <w:p w14:paraId="258DCA3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3" w:type="dxa"/>
            <w:vAlign w:val="center"/>
          </w:tcPr>
          <w:p w14:paraId="7BE5720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053" w:type="dxa"/>
            <w:vAlign w:val="center"/>
          </w:tcPr>
          <w:p w14:paraId="28180ED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865" w:type="dxa"/>
            <w:vAlign w:val="center"/>
          </w:tcPr>
          <w:p w14:paraId="52386FA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618F5C38">
      <w:pPr>
        <w:spacing w:line="360" w:lineRule="auto"/>
        <w:ind w:left="424" w:hanging="424" w:hangingChars="201"/>
        <w:rPr>
          <w:rFonts w:hint="eastAsia" w:ascii="宋体" w:hAnsi="宋体" w:eastAsia="宋体" w:cs="宋体"/>
          <w:b/>
          <w:color w:val="auto"/>
          <w:szCs w:val="21"/>
          <w:highlight w:val="none"/>
          <w:lang w:val="zh-CN"/>
        </w:rPr>
      </w:pPr>
    </w:p>
    <w:p w14:paraId="2227C9F7">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6B1F0338">
      <w:pPr>
        <w:spacing w:line="360" w:lineRule="auto"/>
        <w:ind w:left="422" w:hanging="422" w:hangingChars="201"/>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（1）</w:t>
      </w:r>
      <w:r>
        <w:rPr>
          <w:rFonts w:hint="eastAsia" w:ascii="宋体" w:hAnsi="宋体" w:eastAsia="宋体" w:cs="宋体"/>
          <w:b w:val="0"/>
          <w:bCs w:val="0"/>
          <w:color w:val="auto"/>
          <w:szCs w:val="21"/>
          <w:highlight w:val="none"/>
        </w:rPr>
        <w:t>业绩须附合同复印件</w:t>
      </w:r>
      <w:r>
        <w:rPr>
          <w:rFonts w:hint="eastAsia" w:ascii="宋体" w:hAnsi="宋体" w:eastAsia="宋体" w:cs="宋体"/>
          <w:b w:val="0"/>
          <w:bCs w:val="0"/>
          <w:color w:val="auto"/>
          <w:szCs w:val="21"/>
          <w:highlight w:val="none"/>
          <w:lang w:val="zh-CN"/>
        </w:rPr>
        <w:t>。</w:t>
      </w:r>
    </w:p>
    <w:p w14:paraId="61DE5B1E">
      <w:pPr>
        <w:spacing w:line="360" w:lineRule="auto"/>
        <w:ind w:left="422" w:hanging="422" w:hangingChars="201"/>
        <w:rPr>
          <w:rFonts w:ascii="宋体" w:hAnsi="宋体" w:eastAsia="宋体" w:cs="宋体"/>
          <w:b w:val="0"/>
          <w:bCs w:val="0"/>
          <w:color w:val="auto"/>
          <w:szCs w:val="21"/>
          <w:highlight w:val="none"/>
          <w:lang w:val="zh-CN"/>
        </w:rPr>
      </w:pPr>
      <w:r>
        <w:rPr>
          <w:rFonts w:hint="eastAsia" w:ascii="宋体" w:hAnsi="宋体" w:eastAsia="宋体" w:cs="宋体"/>
          <w:b w:val="0"/>
          <w:bCs w:val="0"/>
          <w:color w:val="auto"/>
          <w:szCs w:val="21"/>
          <w:highlight w:val="none"/>
          <w:lang w:val="zh-CN"/>
        </w:rPr>
        <w:t>（2）</w:t>
      </w:r>
      <w:r>
        <w:rPr>
          <w:rFonts w:hint="eastAsia" w:ascii="宋体" w:hAnsi="宋体" w:eastAsia="宋体" w:cs="宋体"/>
          <w:b w:val="0"/>
          <w:bCs w:val="0"/>
          <w:color w:val="auto"/>
          <w:szCs w:val="21"/>
          <w:highlight w:val="none"/>
        </w:rPr>
        <w:t>合同业绩证明材料必须能反映资格业绩条件</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rPr>
        <w:t>合同签订日期为</w:t>
      </w:r>
      <w:r>
        <w:rPr>
          <w:rFonts w:hint="eastAsia" w:ascii="宋体" w:hAnsi="宋体" w:eastAsia="宋体" w:cs="宋体"/>
          <w:b w:val="0"/>
          <w:bCs w:val="0"/>
          <w:color w:val="auto"/>
          <w:szCs w:val="21"/>
          <w:highlight w:val="none"/>
          <w:lang w:val="en-US" w:eastAsia="zh-CN"/>
        </w:rPr>
        <w:t>2020年</w:t>
      </w:r>
      <w:r>
        <w:rPr>
          <w:rFonts w:hint="eastAsia" w:ascii="宋体" w:hAnsi="宋体" w:eastAsia="宋体" w:cs="宋体"/>
          <w:b w:val="0"/>
          <w:bCs w:val="0"/>
          <w:color w:val="auto"/>
          <w:szCs w:val="21"/>
          <w:highlight w:val="none"/>
        </w:rPr>
        <w:t>1月1日或以后，业绩类型为市政工程检测</w:t>
      </w:r>
      <w:r>
        <w:rPr>
          <w:rFonts w:hint="eastAsia" w:ascii="宋体" w:hAnsi="宋体" w:eastAsia="宋体" w:cs="宋体"/>
          <w:b w:val="0"/>
          <w:bCs w:val="0"/>
          <w:color w:val="auto"/>
          <w:szCs w:val="21"/>
          <w:highlight w:val="none"/>
          <w:lang w:eastAsia="zh-CN"/>
        </w:rPr>
        <w:t>）</w:t>
      </w:r>
      <w:r>
        <w:rPr>
          <w:rFonts w:hint="eastAsia" w:ascii="宋体" w:hAnsi="宋体" w:eastAsia="宋体" w:cs="宋体"/>
          <w:b w:val="0"/>
          <w:bCs w:val="0"/>
          <w:color w:val="auto"/>
          <w:szCs w:val="21"/>
          <w:highlight w:val="none"/>
          <w:lang w:val="zh-CN"/>
        </w:rPr>
        <w:t>，</w:t>
      </w:r>
      <w:r>
        <w:rPr>
          <w:rFonts w:hint="eastAsia" w:ascii="宋体" w:hAnsi="宋体" w:eastAsia="宋体" w:cs="宋体"/>
          <w:b w:val="0"/>
          <w:bCs w:val="0"/>
          <w:color w:val="auto"/>
          <w:szCs w:val="21"/>
          <w:highlight w:val="none"/>
          <w:lang w:eastAsia="zh-CN"/>
        </w:rPr>
        <w:t>否则需同时提供合同委托方出具的书面补充情况说明文件复印件（需加盖委托方公章，即复印件能显示委托方公章）</w:t>
      </w:r>
      <w:r>
        <w:rPr>
          <w:rFonts w:hint="eastAsia" w:ascii="宋体" w:hAnsi="宋体" w:eastAsia="宋体" w:cs="宋体"/>
          <w:b w:val="0"/>
          <w:bCs w:val="0"/>
          <w:color w:val="auto"/>
          <w:szCs w:val="21"/>
          <w:highlight w:val="none"/>
          <w:lang w:val="zh-CN"/>
        </w:rPr>
        <w:t>。</w:t>
      </w:r>
    </w:p>
    <w:p w14:paraId="7F7485D4">
      <w:pPr>
        <w:widowControl w:val="0"/>
        <w:tabs>
          <w:tab w:val="left" w:pos="567"/>
        </w:tabs>
        <w:wordWrap/>
        <w:autoSpaceDE w:val="0"/>
        <w:autoSpaceDN w:val="0"/>
        <w:adjustRightInd w:val="0"/>
        <w:snapToGrid/>
        <w:spacing w:line="360" w:lineRule="auto"/>
        <w:ind w:left="0" w:leftChars="0" w:right="0" w:firstLine="0" w:firstLineChars="0"/>
        <w:jc w:val="left"/>
        <w:textAlignment w:val="auto"/>
        <w:outlineLvl w:val="9"/>
        <w:rPr>
          <w:rFonts w:ascii="宋体" w:hAnsi="宋体" w:eastAsia="宋体" w:cs="宋体"/>
          <w:b/>
          <w:color w:val="auto"/>
          <w:kern w:val="0"/>
          <w:sz w:val="30"/>
          <w:szCs w:val="30"/>
          <w:highlight w:val="none"/>
        </w:rPr>
      </w:pPr>
      <w:bookmarkStart w:id="684" w:name="_Toc12931"/>
      <w:bookmarkStart w:id="685" w:name="_Toc20010"/>
      <w:bookmarkStart w:id="686" w:name="_Toc24862"/>
      <w:bookmarkStart w:id="687" w:name="_Toc31060"/>
      <w:r>
        <w:rPr>
          <w:rFonts w:hint="eastAsia" w:ascii="宋体" w:hAnsi="宋体" w:eastAsia="宋体" w:cs="宋体"/>
          <w:b/>
          <w:color w:val="auto"/>
          <w:szCs w:val="21"/>
          <w:highlight w:val="none"/>
          <w:lang w:val="zh-CN"/>
        </w:rPr>
        <w:t>（3）</w:t>
      </w:r>
      <w:bookmarkEnd w:id="684"/>
      <w:bookmarkEnd w:id="685"/>
      <w:bookmarkEnd w:id="686"/>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687"/>
    </w:p>
    <w:p w14:paraId="70D6C2F1">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761CACA1">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88" w:name="_Toc1613"/>
      <w:bookmarkStart w:id="689" w:name="_Toc4381"/>
      <w:bookmarkStart w:id="690" w:name="_Toc8121"/>
      <w:bookmarkStart w:id="691" w:name="_Toc21843"/>
      <w:bookmarkStart w:id="692" w:name="_Toc7508"/>
      <w:bookmarkStart w:id="693" w:name="_Toc28750"/>
      <w:bookmarkStart w:id="694" w:name="_Toc20332"/>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675"/>
      <w:bookmarkEnd w:id="676"/>
      <w:bookmarkEnd w:id="677"/>
      <w:bookmarkEnd w:id="678"/>
      <w:bookmarkEnd w:id="679"/>
      <w:bookmarkEnd w:id="688"/>
      <w:bookmarkEnd w:id="689"/>
      <w:bookmarkEnd w:id="690"/>
      <w:bookmarkEnd w:id="691"/>
      <w:bookmarkEnd w:id="692"/>
      <w:bookmarkEnd w:id="693"/>
      <w:bookmarkEnd w:id="694"/>
    </w:p>
    <w:p w14:paraId="46FBB0EF">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7F7B5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47E680E4">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5C75E84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vAlign w:val="top"/>
          </w:tcPr>
          <w:p w14:paraId="1F154F8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0F45370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C43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6F72D20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07D8218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1AE23D5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5AD6960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6108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66BBBF25">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618337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0CBCFBE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498493B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2924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599BA90">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648BE7A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268" w:type="dxa"/>
            <w:vAlign w:val="center"/>
          </w:tcPr>
          <w:p w14:paraId="3CD3B10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276" w:type="dxa"/>
            <w:vAlign w:val="center"/>
          </w:tcPr>
          <w:p w14:paraId="6DA286C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6AD674E3">
      <w:pPr>
        <w:autoSpaceDE w:val="0"/>
        <w:autoSpaceDN w:val="0"/>
        <w:adjustRightInd w:val="0"/>
        <w:spacing w:line="360" w:lineRule="auto"/>
        <w:jc w:val="left"/>
        <w:rPr>
          <w:rFonts w:ascii="宋体" w:hAnsi="宋体" w:eastAsia="宋体" w:cs="宋体"/>
          <w:color w:val="auto"/>
          <w:kern w:val="0"/>
          <w:szCs w:val="21"/>
          <w:highlight w:val="none"/>
        </w:rPr>
      </w:pPr>
    </w:p>
    <w:p w14:paraId="6C3E9668">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3B2F81E5">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376E45F0">
      <w:pPr>
        <w:autoSpaceDE w:val="0"/>
        <w:autoSpaceDN w:val="0"/>
        <w:adjustRightInd w:val="0"/>
        <w:spacing w:line="360" w:lineRule="auto"/>
        <w:jc w:val="center"/>
        <w:rPr>
          <w:rFonts w:ascii="宋体" w:hAnsi="宋体" w:eastAsia="宋体" w:cs="宋体"/>
          <w:color w:val="auto"/>
          <w:kern w:val="0"/>
          <w:sz w:val="24"/>
          <w:szCs w:val="24"/>
          <w:highlight w:val="none"/>
        </w:rPr>
      </w:pPr>
    </w:p>
    <w:p w14:paraId="4E997E98">
      <w:pPr>
        <w:spacing w:line="360" w:lineRule="auto"/>
        <w:ind w:firstLine="494" w:firstLineChars="206"/>
        <w:rPr>
          <w:rFonts w:ascii="宋体" w:hAnsi="宋体" w:eastAsia="宋体" w:cs="宋体"/>
          <w:color w:val="auto"/>
          <w:kern w:val="0"/>
          <w:sz w:val="24"/>
          <w:szCs w:val="24"/>
          <w:highlight w:val="none"/>
        </w:rPr>
      </w:pPr>
    </w:p>
    <w:p w14:paraId="7BE3A415">
      <w:pPr>
        <w:spacing w:line="360" w:lineRule="auto"/>
        <w:ind w:firstLine="494" w:firstLineChars="206"/>
        <w:rPr>
          <w:rFonts w:ascii="宋体" w:hAnsi="宋体" w:eastAsia="宋体" w:cs="宋体"/>
          <w:color w:val="auto"/>
          <w:kern w:val="0"/>
          <w:sz w:val="24"/>
          <w:szCs w:val="24"/>
          <w:highlight w:val="none"/>
        </w:rPr>
      </w:pPr>
    </w:p>
    <w:p w14:paraId="3684A9EB">
      <w:pPr>
        <w:spacing w:line="360" w:lineRule="auto"/>
        <w:ind w:firstLine="494" w:firstLineChars="206"/>
        <w:rPr>
          <w:rFonts w:ascii="宋体" w:hAnsi="宋体" w:eastAsia="宋体" w:cs="宋体"/>
          <w:color w:val="auto"/>
          <w:kern w:val="0"/>
          <w:sz w:val="24"/>
          <w:szCs w:val="24"/>
          <w:highlight w:val="none"/>
        </w:rPr>
      </w:pPr>
    </w:p>
    <w:p w14:paraId="7B4FD986">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797189EE">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6CB3C7BA">
      <w:pPr>
        <w:rPr>
          <w:rFonts w:ascii="宋体" w:hAnsi="宋体" w:eastAsia="宋体" w:cs="宋体"/>
          <w:color w:val="auto"/>
          <w:szCs w:val="24"/>
          <w:highlight w:val="none"/>
          <w:lang w:val="zh-CN"/>
        </w:rPr>
      </w:pPr>
      <w:bookmarkStart w:id="695" w:name="_Toc102860079"/>
      <w:bookmarkStart w:id="696" w:name="_Toc102860423"/>
      <w:bookmarkStart w:id="697" w:name="_Toc533708126"/>
      <w:bookmarkStart w:id="698" w:name="_Toc2031_WPSOffice_Level2"/>
      <w:bookmarkStart w:id="699" w:name="_Toc94107215"/>
      <w:bookmarkStart w:id="700" w:name="_Toc104991881"/>
      <w:bookmarkStart w:id="701" w:name="_Toc486167714"/>
      <w:bookmarkStart w:id="702" w:name="_Toc6412"/>
      <w:bookmarkStart w:id="703" w:name="_Toc30939"/>
      <w:bookmarkStart w:id="704" w:name="_Toc140596934"/>
      <w:bookmarkStart w:id="705" w:name="_Toc142508374"/>
      <w:bookmarkStart w:id="706" w:name="_Toc1977731"/>
      <w:r>
        <w:rPr>
          <w:rFonts w:ascii="宋体" w:hAnsi="宋体" w:eastAsia="宋体" w:cs="宋体"/>
          <w:color w:val="auto"/>
          <w:szCs w:val="24"/>
          <w:highlight w:val="none"/>
          <w:lang w:val="zh-CN"/>
        </w:rPr>
        <w:br w:type="page"/>
      </w:r>
    </w:p>
    <w:p w14:paraId="3245D6E0">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707" w:name="_Toc25565"/>
      <w:bookmarkStart w:id="708" w:name="_Toc24641"/>
      <w:bookmarkStart w:id="709" w:name="_Toc1016"/>
      <w:bookmarkStart w:id="710" w:name="_Toc17508"/>
      <w:bookmarkStart w:id="711" w:name="_Toc19580"/>
      <w:r>
        <w:rPr>
          <w:rFonts w:hint="eastAsia" w:ascii="宋体" w:hAnsi="宋体" w:eastAsia="宋体" w:cs="宋体"/>
          <w:b/>
          <w:color w:val="auto"/>
          <w:kern w:val="0"/>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48DB64D8">
      <w:pPr>
        <w:autoSpaceDE w:val="0"/>
        <w:autoSpaceDN w:val="0"/>
        <w:adjustRightInd w:val="0"/>
        <w:spacing w:line="360" w:lineRule="auto"/>
        <w:jc w:val="center"/>
        <w:rPr>
          <w:rFonts w:ascii="宋体" w:hAnsi="宋体" w:eastAsia="宋体" w:cs="宋体"/>
          <w:b/>
          <w:bCs/>
          <w:color w:val="auto"/>
          <w:sz w:val="30"/>
          <w:szCs w:val="30"/>
          <w:highlight w:val="none"/>
        </w:rPr>
      </w:pPr>
      <w:bookmarkStart w:id="712" w:name="_Toc2773_WPSOffice_Level3"/>
      <w:r>
        <w:rPr>
          <w:rFonts w:hint="eastAsia" w:ascii="宋体" w:hAnsi="宋体" w:eastAsia="宋体" w:cs="宋体"/>
          <w:b/>
          <w:bCs/>
          <w:color w:val="auto"/>
          <w:sz w:val="30"/>
          <w:szCs w:val="30"/>
          <w:highlight w:val="none"/>
          <w:lang w:val="zh-CN"/>
        </w:rPr>
        <w:t>投标人基本情况一览表</w:t>
      </w:r>
      <w:bookmarkEnd w:id="712"/>
    </w:p>
    <w:p w14:paraId="3EAF7F86">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17FB433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3DD25F1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38D63215">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1CF66FA6">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37D37694">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449286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4FC9E3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7E85EFF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E18BD4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587A5F5B">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59804F22">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064CA41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70531A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71A3FE4A">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78E2BAB1">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1AF855A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D40F4D3">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46A8D9C">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830615C">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3B2F593">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38CC45DA">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33E6618F">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1044FA3B">
      <w:pPr>
        <w:autoSpaceDE w:val="0"/>
        <w:autoSpaceDN w:val="0"/>
        <w:adjustRightInd w:val="0"/>
        <w:spacing w:line="360" w:lineRule="auto"/>
        <w:ind w:firstLine="420" w:firstLineChars="200"/>
        <w:rPr>
          <w:rFonts w:ascii="宋体" w:hAnsi="宋体" w:eastAsia="宋体" w:cs="宋体"/>
          <w:color w:val="auto"/>
          <w:szCs w:val="24"/>
          <w:highlight w:val="none"/>
        </w:rPr>
      </w:pPr>
    </w:p>
    <w:p w14:paraId="2B87BECB">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5B620F06">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5BC6F8A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13" w:name="_Toc102860424"/>
      <w:bookmarkStart w:id="714" w:name="_Toc142508375"/>
      <w:bookmarkStart w:id="715" w:name="_Toc140596935"/>
      <w:bookmarkStart w:id="716" w:name="_Toc4023"/>
      <w:bookmarkStart w:id="717" w:name="_Toc102860080"/>
      <w:bookmarkStart w:id="718" w:name="_Toc104991882"/>
      <w:bookmarkStart w:id="719" w:name="_Toc94107216"/>
      <w:bookmarkStart w:id="720" w:name="_Toc3238"/>
      <w:bookmarkStart w:id="721" w:name="_Toc29014"/>
      <w:bookmarkStart w:id="722" w:name="_Toc12728"/>
      <w:bookmarkStart w:id="723" w:name="_Toc32115"/>
      <w:bookmarkStart w:id="724" w:name="_Toc4937"/>
      <w:bookmarkStart w:id="725" w:name="_Toc10443"/>
      <w:bookmarkStart w:id="726" w:name="_Toc9051_WPSOffice_Level2"/>
      <w:bookmarkStart w:id="727" w:name="_Toc486167715"/>
      <w:bookmarkStart w:id="728" w:name="_Toc533708128"/>
      <w:bookmarkStart w:id="729" w:name="_Toc1977733"/>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713"/>
      <w:bookmarkEnd w:id="714"/>
      <w:bookmarkEnd w:id="715"/>
      <w:bookmarkEnd w:id="716"/>
      <w:bookmarkEnd w:id="717"/>
      <w:bookmarkEnd w:id="718"/>
      <w:bookmarkEnd w:id="719"/>
      <w:bookmarkEnd w:id="720"/>
      <w:bookmarkEnd w:id="721"/>
      <w:bookmarkEnd w:id="722"/>
      <w:bookmarkEnd w:id="723"/>
      <w:bookmarkEnd w:id="724"/>
      <w:bookmarkEnd w:id="725"/>
    </w:p>
    <w:p w14:paraId="3091FF35">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0428BCA6">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98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342AA9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41D49CD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40F97A7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721FA25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464988E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4375ED1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D9CC4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54ED322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14:paraId="04AA36D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6100CC9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center"/>
          </w:tcPr>
          <w:p w14:paraId="6E00A4D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6B57490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3676C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DDD37E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7E27FBF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44A485F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top"/>
          </w:tcPr>
          <w:p w14:paraId="777572B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5617C88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71B22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314FD9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0266101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946" w:type="dxa"/>
            <w:vAlign w:val="center"/>
          </w:tcPr>
          <w:p w14:paraId="0DCA216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713" w:type="dxa"/>
            <w:vAlign w:val="top"/>
          </w:tcPr>
          <w:p w14:paraId="037056F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36AACE9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r w14:paraId="11AE01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7FE9369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vAlign w:val="top"/>
          </w:tcPr>
          <w:p w14:paraId="45EBD72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2060" w:type="dxa"/>
            <w:vAlign w:val="center"/>
          </w:tcPr>
          <w:p w14:paraId="0038F02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r>
    </w:tbl>
    <w:p w14:paraId="24068D5F">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6AA3ECE3">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73D1298">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AD238B1">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655A1069">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726"/>
    <w:bookmarkEnd w:id="727"/>
    <w:bookmarkEnd w:id="728"/>
    <w:bookmarkEnd w:id="729"/>
    <w:p w14:paraId="60ECA7E9">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730" w:name="_Toc142508376"/>
      <w:bookmarkStart w:id="731" w:name="_Toc333"/>
      <w:bookmarkStart w:id="732" w:name="_Toc1977736"/>
      <w:bookmarkStart w:id="733" w:name="_Toc26575"/>
      <w:bookmarkStart w:id="734" w:name="_Toc102860081"/>
      <w:bookmarkStart w:id="735" w:name="_Toc102860425"/>
      <w:bookmarkStart w:id="736" w:name="_Toc533708130"/>
      <w:bookmarkStart w:id="737" w:name="_Toc24378"/>
      <w:bookmarkStart w:id="738" w:name="_Toc486167716"/>
      <w:bookmarkStart w:id="739" w:name="_Toc26821"/>
      <w:bookmarkStart w:id="740" w:name="_Toc9947"/>
      <w:bookmarkStart w:id="741" w:name="_Toc17995"/>
      <w:bookmarkStart w:id="742" w:name="_Toc1880"/>
      <w:bookmarkStart w:id="743" w:name="_Toc140596936"/>
      <w:bookmarkStart w:id="744" w:name="_Toc94107217"/>
      <w:bookmarkStart w:id="745" w:name="_Toc104991883"/>
      <w:bookmarkStart w:id="746" w:name="_Toc739_WPSOffice_Level2"/>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37602B9B">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747" w:name="_Toc26412_WPSOffice_Level3"/>
      <w:r>
        <w:rPr>
          <w:rFonts w:hint="eastAsia" w:ascii="宋体" w:hAnsi="宋体" w:eastAsia="宋体" w:cs="宋体"/>
          <w:b/>
          <w:bCs/>
          <w:color w:val="auto"/>
          <w:kern w:val="0"/>
          <w:sz w:val="28"/>
          <w:szCs w:val="30"/>
          <w:highlight w:val="none"/>
          <w:lang w:val="zh-CN"/>
        </w:rPr>
        <w:t>珠三角水资源配置工程东莞配套芦花坑水厂一期配水管线工程-C标段第三方检测服务采购项目合同条款偏离表</w:t>
      </w:r>
      <w:bookmarkEnd w:id="747"/>
    </w:p>
    <w:tbl>
      <w:tblPr>
        <w:tblStyle w:val="36"/>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A3DA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3D83E4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3A98B7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6CCA16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0419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2E948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1425" w:type="dxa"/>
            <w:vAlign w:val="center"/>
          </w:tcPr>
          <w:p w14:paraId="651D796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6460EAB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0FEB91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534D25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43C2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573F7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2B1C61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14:paraId="0DB2E34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工程概况</w:t>
            </w:r>
          </w:p>
        </w:tc>
        <w:tc>
          <w:tcPr>
            <w:tcW w:w="1346" w:type="dxa"/>
            <w:vAlign w:val="center"/>
          </w:tcPr>
          <w:p w14:paraId="0DA40F8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82679E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717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7D5B5C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52A5AB1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二</w:t>
            </w:r>
          </w:p>
        </w:tc>
        <w:tc>
          <w:tcPr>
            <w:tcW w:w="3055" w:type="dxa"/>
            <w:vAlign w:val="center"/>
          </w:tcPr>
          <w:p w14:paraId="233BC61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检测内容</w:t>
            </w:r>
          </w:p>
        </w:tc>
        <w:tc>
          <w:tcPr>
            <w:tcW w:w="1346" w:type="dxa"/>
            <w:vAlign w:val="center"/>
          </w:tcPr>
          <w:p w14:paraId="012796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639DC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FF99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7B4D83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67A5F90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三</w:t>
            </w:r>
          </w:p>
        </w:tc>
        <w:tc>
          <w:tcPr>
            <w:tcW w:w="3055" w:type="dxa"/>
            <w:vAlign w:val="center"/>
          </w:tcPr>
          <w:p w14:paraId="780F8D9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检测数量</w:t>
            </w:r>
          </w:p>
        </w:tc>
        <w:tc>
          <w:tcPr>
            <w:tcW w:w="1346" w:type="dxa"/>
            <w:vAlign w:val="center"/>
          </w:tcPr>
          <w:p w14:paraId="1658BF8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A0C64B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550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5D3B9A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1575BC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四</w:t>
            </w:r>
          </w:p>
        </w:tc>
        <w:tc>
          <w:tcPr>
            <w:tcW w:w="3055" w:type="dxa"/>
            <w:vAlign w:val="center"/>
          </w:tcPr>
          <w:p w14:paraId="3B47957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检测依据（如有新规范，以新的为准）</w:t>
            </w:r>
          </w:p>
        </w:tc>
        <w:tc>
          <w:tcPr>
            <w:tcW w:w="1346" w:type="dxa"/>
            <w:vAlign w:val="center"/>
          </w:tcPr>
          <w:p w14:paraId="55B8B7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E1FD35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2B0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1CD8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79EEA61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五</w:t>
            </w:r>
          </w:p>
        </w:tc>
        <w:tc>
          <w:tcPr>
            <w:tcW w:w="3055" w:type="dxa"/>
            <w:vAlign w:val="center"/>
          </w:tcPr>
          <w:p w14:paraId="4887BE4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检测费用支付方式</w:t>
            </w:r>
          </w:p>
        </w:tc>
        <w:tc>
          <w:tcPr>
            <w:tcW w:w="1346" w:type="dxa"/>
            <w:vAlign w:val="center"/>
          </w:tcPr>
          <w:p w14:paraId="6C43856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99F9E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42D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A0216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3A771DD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六</w:t>
            </w:r>
          </w:p>
        </w:tc>
        <w:tc>
          <w:tcPr>
            <w:tcW w:w="3055" w:type="dxa"/>
            <w:vAlign w:val="center"/>
          </w:tcPr>
          <w:p w14:paraId="087DAD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双方权利及义务</w:t>
            </w:r>
          </w:p>
        </w:tc>
        <w:tc>
          <w:tcPr>
            <w:tcW w:w="1346" w:type="dxa"/>
            <w:vAlign w:val="center"/>
          </w:tcPr>
          <w:p w14:paraId="25D520F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1564231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84A5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FC86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54FF9BD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七</w:t>
            </w:r>
          </w:p>
        </w:tc>
        <w:tc>
          <w:tcPr>
            <w:tcW w:w="3055" w:type="dxa"/>
            <w:vAlign w:val="center"/>
          </w:tcPr>
          <w:p w14:paraId="66DB30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成果要求</w:t>
            </w:r>
          </w:p>
        </w:tc>
        <w:tc>
          <w:tcPr>
            <w:tcW w:w="1346" w:type="dxa"/>
            <w:vAlign w:val="center"/>
          </w:tcPr>
          <w:p w14:paraId="7CBC261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3C6E4A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DE2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0D26B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1B0C3DB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八</w:t>
            </w:r>
          </w:p>
        </w:tc>
        <w:tc>
          <w:tcPr>
            <w:tcW w:w="3055" w:type="dxa"/>
            <w:vAlign w:val="center"/>
          </w:tcPr>
          <w:p w14:paraId="1EF0BBF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质量控制标准</w:t>
            </w:r>
          </w:p>
        </w:tc>
        <w:tc>
          <w:tcPr>
            <w:tcW w:w="1346" w:type="dxa"/>
            <w:vAlign w:val="center"/>
          </w:tcPr>
          <w:p w14:paraId="3DF18DD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4EFB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D40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B883E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717A96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九</w:t>
            </w:r>
          </w:p>
        </w:tc>
        <w:tc>
          <w:tcPr>
            <w:tcW w:w="3055" w:type="dxa"/>
            <w:vAlign w:val="center"/>
          </w:tcPr>
          <w:p w14:paraId="079AAB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人员及设备要求</w:t>
            </w:r>
          </w:p>
        </w:tc>
        <w:tc>
          <w:tcPr>
            <w:tcW w:w="1346" w:type="dxa"/>
            <w:vAlign w:val="center"/>
          </w:tcPr>
          <w:p w14:paraId="1166E67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5CCDCCA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58B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2DF810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3DE34F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十</w:t>
            </w:r>
          </w:p>
        </w:tc>
        <w:tc>
          <w:tcPr>
            <w:tcW w:w="3055" w:type="dxa"/>
            <w:vAlign w:val="center"/>
          </w:tcPr>
          <w:p w14:paraId="18C62C8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23CBE1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3C4DBB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9C1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8AB6D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7ECD1E9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十一</w:t>
            </w:r>
          </w:p>
        </w:tc>
        <w:tc>
          <w:tcPr>
            <w:tcW w:w="3055" w:type="dxa"/>
            <w:vAlign w:val="center"/>
          </w:tcPr>
          <w:p w14:paraId="3676BD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履约担保</w:t>
            </w:r>
          </w:p>
        </w:tc>
        <w:tc>
          <w:tcPr>
            <w:tcW w:w="1346" w:type="dxa"/>
            <w:vAlign w:val="center"/>
          </w:tcPr>
          <w:p w14:paraId="5C66CE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B367A5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25E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28256C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3F3F77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十二</w:t>
            </w:r>
          </w:p>
        </w:tc>
        <w:tc>
          <w:tcPr>
            <w:tcW w:w="3055" w:type="dxa"/>
            <w:vAlign w:val="center"/>
          </w:tcPr>
          <w:p w14:paraId="299BC6F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其他约定</w:t>
            </w:r>
          </w:p>
        </w:tc>
        <w:tc>
          <w:tcPr>
            <w:tcW w:w="1346" w:type="dxa"/>
            <w:vAlign w:val="center"/>
          </w:tcPr>
          <w:p w14:paraId="45F069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7B96BC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7D4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C5BE9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14:paraId="1C6AFA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十三</w:t>
            </w:r>
          </w:p>
        </w:tc>
        <w:tc>
          <w:tcPr>
            <w:tcW w:w="3055" w:type="dxa"/>
            <w:vAlign w:val="center"/>
          </w:tcPr>
          <w:p w14:paraId="485EBCB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Times New Roman"/>
                <w:color w:val="auto"/>
                <w:kern w:val="0"/>
                <w:szCs w:val="21"/>
                <w:highlight w:val="none"/>
              </w:rPr>
            </w:pPr>
            <w:r>
              <w:rPr>
                <w:rFonts w:hint="eastAsia" w:ascii="宋体" w:hAnsi="宋体" w:eastAsia="宋体" w:cs="宋体"/>
                <w:color w:val="auto"/>
                <w:kern w:val="0"/>
                <w:szCs w:val="21"/>
                <w:highlight w:val="none"/>
              </w:rPr>
              <w:t>附则</w:t>
            </w:r>
          </w:p>
        </w:tc>
        <w:tc>
          <w:tcPr>
            <w:tcW w:w="1346" w:type="dxa"/>
            <w:vAlign w:val="center"/>
          </w:tcPr>
          <w:p w14:paraId="0D6C4F0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D949CA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B0C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A2E0BD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14:paraId="1DD044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十四</w:t>
            </w:r>
          </w:p>
        </w:tc>
        <w:tc>
          <w:tcPr>
            <w:tcW w:w="3055" w:type="dxa"/>
            <w:vAlign w:val="center"/>
          </w:tcPr>
          <w:p w14:paraId="2D73DEC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合同争议</w:t>
            </w:r>
          </w:p>
        </w:tc>
        <w:tc>
          <w:tcPr>
            <w:tcW w:w="1346" w:type="dxa"/>
            <w:vAlign w:val="center"/>
          </w:tcPr>
          <w:p w14:paraId="31EDD5D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210DE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01C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3F3E5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14:paraId="294A53B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十五</w:t>
            </w:r>
          </w:p>
        </w:tc>
        <w:tc>
          <w:tcPr>
            <w:tcW w:w="3055" w:type="dxa"/>
            <w:vAlign w:val="center"/>
          </w:tcPr>
          <w:p w14:paraId="1F0B74C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合同生效</w:t>
            </w:r>
          </w:p>
        </w:tc>
        <w:tc>
          <w:tcPr>
            <w:tcW w:w="1346" w:type="dxa"/>
            <w:vAlign w:val="center"/>
          </w:tcPr>
          <w:p w14:paraId="7AA73C4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4AF838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1886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E112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14:paraId="4560ACA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十六</w:t>
            </w:r>
          </w:p>
        </w:tc>
        <w:tc>
          <w:tcPr>
            <w:tcW w:w="3055" w:type="dxa"/>
            <w:vAlign w:val="center"/>
          </w:tcPr>
          <w:p w14:paraId="5FF28D2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合同份数</w:t>
            </w:r>
          </w:p>
        </w:tc>
        <w:tc>
          <w:tcPr>
            <w:tcW w:w="1346" w:type="dxa"/>
            <w:vAlign w:val="center"/>
          </w:tcPr>
          <w:p w14:paraId="2151C80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382F16B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2713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130E9E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30565C5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附件一</w:t>
            </w:r>
          </w:p>
        </w:tc>
        <w:tc>
          <w:tcPr>
            <w:tcW w:w="3055" w:type="dxa"/>
            <w:vAlign w:val="center"/>
          </w:tcPr>
          <w:p w14:paraId="6C2C40E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《工程量清单计价表》</w:t>
            </w:r>
          </w:p>
        </w:tc>
        <w:tc>
          <w:tcPr>
            <w:tcW w:w="1346" w:type="dxa"/>
            <w:vAlign w:val="center"/>
          </w:tcPr>
          <w:p w14:paraId="7B55E12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0CB026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DEE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07F64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28D078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default" w:ascii="宋体" w:hAnsi="宋体" w:eastAsia="宋体" w:cs="宋体"/>
                <w:color w:val="auto"/>
                <w:kern w:val="0"/>
                <w:szCs w:val="21"/>
                <w:highlight w:val="none"/>
              </w:rPr>
              <w:t>附件</w:t>
            </w:r>
            <w:r>
              <w:rPr>
                <w:rFonts w:hint="eastAsia" w:ascii="宋体" w:hAnsi="宋体" w:eastAsia="宋体" w:cs="宋体"/>
                <w:color w:val="auto"/>
                <w:kern w:val="0"/>
                <w:szCs w:val="21"/>
                <w:highlight w:val="none"/>
              </w:rPr>
              <w:t>二</w:t>
            </w:r>
          </w:p>
        </w:tc>
        <w:tc>
          <w:tcPr>
            <w:tcW w:w="3055" w:type="dxa"/>
            <w:vAlign w:val="center"/>
          </w:tcPr>
          <w:p w14:paraId="03C91EE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23252F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E3A385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3E5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5D99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64B86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附件三</w:t>
            </w:r>
          </w:p>
        </w:tc>
        <w:tc>
          <w:tcPr>
            <w:tcW w:w="3055" w:type="dxa"/>
            <w:vAlign w:val="center"/>
          </w:tcPr>
          <w:p w14:paraId="58B6E10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安全生产责任书</w:t>
            </w:r>
          </w:p>
        </w:tc>
        <w:tc>
          <w:tcPr>
            <w:tcW w:w="1346" w:type="dxa"/>
            <w:vAlign w:val="center"/>
          </w:tcPr>
          <w:p w14:paraId="15BB98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4FE086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BFD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84F8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7A16CDE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附件四</w:t>
            </w:r>
          </w:p>
        </w:tc>
        <w:tc>
          <w:tcPr>
            <w:tcW w:w="3055" w:type="dxa"/>
            <w:vAlign w:val="center"/>
          </w:tcPr>
          <w:p w14:paraId="1330BB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诚信履约承诺书</w:t>
            </w:r>
          </w:p>
        </w:tc>
        <w:tc>
          <w:tcPr>
            <w:tcW w:w="1346" w:type="dxa"/>
            <w:vAlign w:val="center"/>
          </w:tcPr>
          <w:p w14:paraId="221246A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BAF5F8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F7B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20" w:type="dxa"/>
            <w:vAlign w:val="center"/>
          </w:tcPr>
          <w:p w14:paraId="522362F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62C51F2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附件五</w:t>
            </w:r>
          </w:p>
        </w:tc>
        <w:tc>
          <w:tcPr>
            <w:tcW w:w="3055" w:type="dxa"/>
            <w:vAlign w:val="center"/>
          </w:tcPr>
          <w:p w14:paraId="12544C5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检测单位履约考核评分表</w:t>
            </w:r>
          </w:p>
        </w:tc>
        <w:tc>
          <w:tcPr>
            <w:tcW w:w="1346" w:type="dxa"/>
            <w:vAlign w:val="center"/>
          </w:tcPr>
          <w:p w14:paraId="5000990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642FBF2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1B7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D553F4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0A0E97BC">
            <w:pPr>
              <w:pStyle w:val="46"/>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eastAsia="宋体"/>
                <w:color w:val="auto"/>
                <w:sz w:val="21"/>
                <w:szCs w:val="21"/>
                <w:highlight w:val="none"/>
              </w:rPr>
              <w:t>一</w:t>
            </w:r>
          </w:p>
        </w:tc>
        <w:tc>
          <w:tcPr>
            <w:tcW w:w="3055" w:type="dxa"/>
            <w:vAlign w:val="center"/>
          </w:tcPr>
          <w:p w14:paraId="0E5DC5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44FF3EC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0566FD2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8EE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D3CDF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6D29A05A">
            <w:pPr>
              <w:pStyle w:val="46"/>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eastAsia="宋体"/>
                <w:color w:val="auto"/>
                <w:sz w:val="21"/>
                <w:szCs w:val="21"/>
                <w:highlight w:val="none"/>
              </w:rPr>
              <w:t>二</w:t>
            </w:r>
          </w:p>
        </w:tc>
        <w:tc>
          <w:tcPr>
            <w:tcW w:w="3055" w:type="dxa"/>
            <w:vAlign w:val="center"/>
          </w:tcPr>
          <w:p w14:paraId="31C0492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4862A1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7931C9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670A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DF09D5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1425" w:type="dxa"/>
            <w:vAlign w:val="center"/>
          </w:tcPr>
          <w:p w14:paraId="3C05FC33">
            <w:pPr>
              <w:pStyle w:val="46"/>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eastAsia="宋体"/>
                <w:color w:val="auto"/>
                <w:sz w:val="21"/>
                <w:szCs w:val="21"/>
                <w:highlight w:val="none"/>
              </w:rPr>
              <w:t>三</w:t>
            </w:r>
          </w:p>
        </w:tc>
        <w:tc>
          <w:tcPr>
            <w:tcW w:w="3055" w:type="dxa"/>
            <w:vAlign w:val="center"/>
          </w:tcPr>
          <w:p w14:paraId="62AC6BC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7F8E81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24" w:type="dxa"/>
            <w:vAlign w:val="center"/>
          </w:tcPr>
          <w:p w14:paraId="28DD98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4B0851ED">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AB99F06">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90FB15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24D53E4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62BC5C8D">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7246E0D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5238D61">
      <w:pPr>
        <w:spacing w:line="360" w:lineRule="auto"/>
        <w:ind w:left="357" w:leftChars="-100" w:hanging="567" w:hangingChars="270"/>
        <w:rPr>
          <w:rFonts w:ascii="宋体" w:hAnsi="宋体" w:eastAsia="宋体" w:cs="宋体"/>
          <w:color w:val="auto"/>
          <w:szCs w:val="21"/>
          <w:highlight w:val="none"/>
        </w:rPr>
      </w:pPr>
    </w:p>
    <w:p w14:paraId="249FD37E">
      <w:pPr>
        <w:spacing w:line="360" w:lineRule="auto"/>
        <w:ind w:left="357" w:leftChars="-100" w:hanging="567" w:hangingChars="270"/>
        <w:rPr>
          <w:rFonts w:ascii="宋体" w:hAnsi="宋体" w:eastAsia="宋体" w:cs="宋体"/>
          <w:color w:val="auto"/>
          <w:szCs w:val="21"/>
          <w:highlight w:val="none"/>
        </w:rPr>
      </w:pPr>
    </w:p>
    <w:p w14:paraId="5843C9C3">
      <w:pPr>
        <w:spacing w:line="360" w:lineRule="auto"/>
        <w:ind w:left="357" w:leftChars="-100" w:hanging="567" w:hangingChars="270"/>
        <w:rPr>
          <w:rFonts w:ascii="宋体" w:hAnsi="宋体" w:eastAsia="宋体" w:cs="宋体"/>
          <w:color w:val="auto"/>
          <w:szCs w:val="21"/>
          <w:highlight w:val="none"/>
        </w:rPr>
      </w:pPr>
    </w:p>
    <w:p w14:paraId="27DCB615">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80D5ADE">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67FBF3B">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48" w:name="_Toc3222"/>
      <w:bookmarkStart w:id="749" w:name="_Toc142508377"/>
      <w:bookmarkStart w:id="750" w:name="_Toc104991884"/>
      <w:bookmarkStart w:id="751" w:name="_Toc29505"/>
      <w:bookmarkStart w:id="752" w:name="_Toc5473"/>
      <w:bookmarkStart w:id="753" w:name="_Toc13179"/>
      <w:bookmarkStart w:id="754" w:name="_Toc102860426"/>
      <w:bookmarkStart w:id="755" w:name="_Toc102860082"/>
      <w:bookmarkStart w:id="756" w:name="_Toc2678"/>
      <w:bookmarkStart w:id="757" w:name="_Toc140596937"/>
      <w:bookmarkStart w:id="758" w:name="_Toc94107218"/>
      <w:bookmarkStart w:id="759" w:name="_Toc1300"/>
      <w:bookmarkStart w:id="760" w:name="_Toc23236"/>
      <w:bookmarkStart w:id="761" w:name="_Toc27980_WPSOffice_Level2"/>
      <w:bookmarkStart w:id="762" w:name="_Toc486167717"/>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748"/>
      <w:bookmarkEnd w:id="749"/>
      <w:bookmarkEnd w:id="750"/>
      <w:bookmarkEnd w:id="751"/>
      <w:bookmarkEnd w:id="752"/>
      <w:bookmarkEnd w:id="753"/>
      <w:bookmarkEnd w:id="754"/>
      <w:bookmarkEnd w:id="755"/>
      <w:bookmarkEnd w:id="756"/>
      <w:bookmarkEnd w:id="757"/>
      <w:bookmarkEnd w:id="758"/>
      <w:bookmarkEnd w:id="759"/>
      <w:bookmarkEnd w:id="760"/>
    </w:p>
    <w:p w14:paraId="09C867D5">
      <w:pPr>
        <w:autoSpaceDE/>
        <w:autoSpaceDN/>
        <w:adjustRightInd/>
        <w:spacing w:line="240" w:lineRule="auto"/>
        <w:jc w:val="center"/>
        <w:outlineLvl w:val="9"/>
        <w:rPr>
          <w:rFonts w:hint="eastAsia" w:ascii="宋体" w:hAnsi="宋体" w:eastAsia="宋体" w:cs="宋体"/>
          <w:b/>
          <w:bCs/>
          <w:color w:val="auto"/>
          <w:kern w:val="2"/>
          <w:sz w:val="28"/>
          <w:szCs w:val="28"/>
          <w:highlight w:val="none"/>
          <w:lang w:val="zh-CN"/>
        </w:rPr>
      </w:pPr>
      <w:bookmarkStart w:id="763" w:name="_Toc5231"/>
      <w:r>
        <w:rPr>
          <w:rFonts w:hint="eastAsia" w:ascii="宋体" w:hAnsi="宋体" w:eastAsia="宋体" w:cs="宋体"/>
          <w:b/>
          <w:bCs/>
          <w:color w:val="auto"/>
          <w:kern w:val="2"/>
          <w:sz w:val="28"/>
          <w:szCs w:val="28"/>
          <w:highlight w:val="none"/>
          <w:lang w:val="zh-CN"/>
        </w:rPr>
        <w:t>投标人2020年1月1日（以合同签订日期为准）至今承接的市政工程检测业绩表</w:t>
      </w:r>
      <w:bookmarkEnd w:id="763"/>
    </w:p>
    <w:tbl>
      <w:tblPr>
        <w:tblStyle w:val="36"/>
        <w:tblW w:w="10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660"/>
        <w:gridCol w:w="954"/>
        <w:gridCol w:w="954"/>
        <w:gridCol w:w="956"/>
        <w:gridCol w:w="956"/>
        <w:gridCol w:w="956"/>
        <w:gridCol w:w="1114"/>
        <w:gridCol w:w="956"/>
        <w:gridCol w:w="956"/>
        <w:gridCol w:w="956"/>
        <w:gridCol w:w="788"/>
      </w:tblGrid>
      <w:tr w14:paraId="6084A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60" w:type="dxa"/>
            <w:vAlign w:val="center"/>
          </w:tcPr>
          <w:p w14:paraId="205B45E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954" w:type="dxa"/>
            <w:vAlign w:val="center"/>
          </w:tcPr>
          <w:p w14:paraId="04974A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54" w:type="dxa"/>
            <w:vAlign w:val="center"/>
          </w:tcPr>
          <w:p w14:paraId="0EF1C25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项目规模</w:t>
            </w:r>
          </w:p>
        </w:tc>
        <w:tc>
          <w:tcPr>
            <w:tcW w:w="956" w:type="dxa"/>
            <w:vAlign w:val="center"/>
          </w:tcPr>
          <w:p w14:paraId="359196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合同金额（万元）</w:t>
            </w:r>
          </w:p>
        </w:tc>
        <w:tc>
          <w:tcPr>
            <w:tcW w:w="956" w:type="dxa"/>
            <w:vAlign w:val="center"/>
          </w:tcPr>
          <w:p w14:paraId="5102B74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合同主要服务内容</w:t>
            </w:r>
          </w:p>
        </w:tc>
        <w:tc>
          <w:tcPr>
            <w:tcW w:w="956" w:type="dxa"/>
            <w:vAlign w:val="center"/>
          </w:tcPr>
          <w:p w14:paraId="3896495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合同期限</w:t>
            </w:r>
          </w:p>
        </w:tc>
        <w:tc>
          <w:tcPr>
            <w:tcW w:w="1114" w:type="dxa"/>
            <w:vAlign w:val="center"/>
          </w:tcPr>
          <w:p w14:paraId="657A0D6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956" w:type="dxa"/>
            <w:vAlign w:val="center"/>
          </w:tcPr>
          <w:p w14:paraId="6B80123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服务完成情况</w:t>
            </w:r>
          </w:p>
        </w:tc>
        <w:tc>
          <w:tcPr>
            <w:tcW w:w="956" w:type="dxa"/>
            <w:vAlign w:val="center"/>
          </w:tcPr>
          <w:p w14:paraId="1B68B0A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服务质量情况</w:t>
            </w:r>
          </w:p>
        </w:tc>
        <w:tc>
          <w:tcPr>
            <w:tcW w:w="956" w:type="dxa"/>
            <w:vAlign w:val="center"/>
          </w:tcPr>
          <w:p w14:paraId="36F24D0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业主联系人及电话</w:t>
            </w:r>
          </w:p>
        </w:tc>
        <w:tc>
          <w:tcPr>
            <w:tcW w:w="788" w:type="dxa"/>
            <w:vAlign w:val="center"/>
          </w:tcPr>
          <w:p w14:paraId="4E0088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0FD5D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7C8706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0F03464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252B046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34036F7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1D217D5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4245917C">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14:paraId="31374C3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14:paraId="15A58FC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50A267E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395B5C8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14:paraId="0E67C2C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0C707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2E08E8E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738F61E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28389B3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3DA0C08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60AA55C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141AABD4">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14:paraId="5BEFA363">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14:paraId="51FD958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2ED988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733D3DA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14:paraId="1215323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55E9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64FD8C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452B46A6">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4E80B0B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43679E89">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0CD7A1C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30F2BC4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14:paraId="6B1C3BDD">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14:paraId="08764227">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7A921C1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0E78B4F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14:paraId="1CE9ADA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r w14:paraId="6E1A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660" w:type="dxa"/>
            <w:vAlign w:val="center"/>
          </w:tcPr>
          <w:p w14:paraId="1EAA0A7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75B72EB8">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4" w:type="dxa"/>
            <w:vAlign w:val="center"/>
          </w:tcPr>
          <w:p w14:paraId="671EBD7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7C4E8DAF">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50F10DFB">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6AD87275">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1114" w:type="dxa"/>
            <w:vAlign w:val="center"/>
          </w:tcPr>
          <w:p w14:paraId="22BAE340">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top"/>
          </w:tcPr>
          <w:p w14:paraId="4EB6448A">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08EB68CE">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956" w:type="dxa"/>
            <w:vAlign w:val="center"/>
          </w:tcPr>
          <w:p w14:paraId="4690EEB1">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c>
          <w:tcPr>
            <w:tcW w:w="788" w:type="dxa"/>
            <w:vAlign w:val="center"/>
          </w:tcPr>
          <w:p w14:paraId="3E7501A2">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rPr>
            </w:pPr>
          </w:p>
        </w:tc>
      </w:tr>
    </w:tbl>
    <w:p w14:paraId="015EE9D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9FFE35E">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95D898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val="0"/>
          <w:bCs/>
          <w:color w:val="auto"/>
          <w:szCs w:val="24"/>
          <w:highlight w:val="none"/>
          <w:lang w:val="zh-CN"/>
        </w:rPr>
        <w:t>同一个单项合同的业绩可以同时在资格业绩和评分业绩重复放置</w:t>
      </w:r>
      <w:r>
        <w:rPr>
          <w:rFonts w:hint="eastAsia" w:ascii="宋体" w:hAnsi="宋体" w:eastAsia="宋体" w:cs="Times New Roman"/>
          <w:color w:val="auto"/>
          <w:szCs w:val="24"/>
          <w:highlight w:val="none"/>
          <w:lang w:val="zh-CN"/>
        </w:rPr>
        <w:t>。</w:t>
      </w:r>
    </w:p>
    <w:p w14:paraId="475B88DC">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）业绩须附合同复印件，否则不得分。</w:t>
      </w:r>
    </w:p>
    <w:p w14:paraId="4C5D64D6">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rPr>
        <w:t>3</w:t>
      </w:r>
      <w:r>
        <w:rPr>
          <w:rFonts w:hint="eastAsia" w:ascii="宋体" w:hAnsi="宋体" w:eastAsia="宋体" w:cs="Times New Roman"/>
          <w:color w:val="auto"/>
          <w:szCs w:val="24"/>
          <w:highlight w:val="none"/>
          <w:lang w:val="zh-CN"/>
        </w:rPr>
        <w:t>）合同业绩证明材料必须能反映评分条件[合同签订日期为2020年1月1日或以后，业绩类型为市政工程检测，合同金额（若合同内容无法反映合同金额的，需提供可反映合同金额的结算资料复印件）]，否则需同时提供</w:t>
      </w:r>
      <w:r>
        <w:rPr>
          <w:rFonts w:hint="eastAsia" w:ascii="宋体" w:hAnsi="宋体" w:eastAsia="宋体" w:cs="宋体"/>
          <w:b w:val="0"/>
          <w:bCs w:val="0"/>
          <w:color w:val="auto"/>
          <w:szCs w:val="21"/>
          <w:highlight w:val="none"/>
          <w:lang w:val="en-US" w:eastAsia="zh-CN"/>
        </w:rPr>
        <w:t>合同委托方</w:t>
      </w:r>
      <w:r>
        <w:rPr>
          <w:rFonts w:hint="eastAsia" w:ascii="宋体" w:hAnsi="宋体" w:eastAsia="宋体" w:cs="Times New Roman"/>
          <w:color w:val="auto"/>
          <w:szCs w:val="24"/>
          <w:highlight w:val="none"/>
          <w:lang w:val="zh-CN"/>
        </w:rPr>
        <w:t>出具的书面补充情况说明文件复印件（</w:t>
      </w:r>
      <w:r>
        <w:rPr>
          <w:rFonts w:hint="eastAsia" w:ascii="宋体" w:hAnsi="宋体" w:eastAsia="宋体" w:cs="Times New Roman"/>
          <w:color w:val="auto"/>
          <w:szCs w:val="24"/>
          <w:highlight w:val="none"/>
          <w:lang w:val="en-US" w:eastAsia="zh-CN"/>
        </w:rPr>
        <w:t>需加盖委托方公章，即复印件能显示委托方公章</w:t>
      </w:r>
      <w:r>
        <w:rPr>
          <w:rFonts w:hint="eastAsia" w:ascii="宋体" w:hAnsi="宋体" w:eastAsia="宋体" w:cs="Times New Roman"/>
          <w:color w:val="auto"/>
          <w:szCs w:val="24"/>
          <w:highlight w:val="none"/>
          <w:lang w:val="zh-CN"/>
        </w:rPr>
        <w:t>）。</w:t>
      </w:r>
    </w:p>
    <w:p w14:paraId="637C90A0">
      <w:pPr>
        <w:autoSpaceDE w:val="0"/>
        <w:autoSpaceDN w:val="0"/>
        <w:adjustRightInd w:val="0"/>
        <w:snapToGrid w:val="0"/>
        <w:spacing w:line="360" w:lineRule="auto"/>
        <w:ind w:left="481" w:leftChars="-41" w:hanging="567" w:hangingChars="270"/>
        <w:jc w:val="left"/>
        <w:rPr>
          <w:rFonts w:ascii="宋体" w:hAnsi="宋体" w:eastAsia="宋体" w:cs="宋体"/>
          <w:color w:val="auto"/>
          <w:kern w:val="0"/>
          <w:szCs w:val="21"/>
          <w:highlight w:val="none"/>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4</w:t>
      </w:r>
      <w:r>
        <w:rPr>
          <w:rFonts w:hint="eastAsia" w:ascii="宋体" w:hAnsi="宋体" w:eastAsia="宋体" w:cs="Times New Roman"/>
          <w:color w:val="auto"/>
          <w:szCs w:val="24"/>
          <w:highlight w:val="none"/>
          <w:lang w:val="zh-CN"/>
        </w:rPr>
        <w:t>）</w:t>
      </w:r>
      <w:r>
        <w:rPr>
          <w:rFonts w:hint="eastAsia" w:ascii="宋体" w:hAnsi="宋体" w:eastAsia="宋体" w:cs="Times New Roman"/>
          <w:b w:val="0"/>
          <w:bCs/>
          <w:color w:val="auto"/>
          <w:szCs w:val="24"/>
          <w:highlight w:val="none"/>
          <w:lang w:val="zh-CN"/>
        </w:rPr>
        <w:t>未按上述要求在此格式下提供证明材料的业绩，或在此格式下</w:t>
      </w:r>
      <w:r>
        <w:rPr>
          <w:rFonts w:hint="eastAsia" w:ascii="宋体" w:hAnsi="宋体" w:eastAsia="宋体" w:cs="Times New Roman"/>
          <w:color w:val="auto"/>
          <w:szCs w:val="24"/>
          <w:highlight w:val="none"/>
          <w:lang w:val="zh-CN"/>
        </w:rPr>
        <w:t>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60045771">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5F3DE179">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1E4B1BF7">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161235B2">
      <w:pPr>
        <w:autoSpaceDE w:val="0"/>
        <w:autoSpaceDN w:val="0"/>
        <w:adjustRightInd w:val="0"/>
        <w:spacing w:line="360" w:lineRule="auto"/>
        <w:rPr>
          <w:rFonts w:ascii="宋体" w:hAnsi="宋体" w:eastAsia="宋体" w:cs="Times New Roman"/>
          <w:b/>
          <w:bCs/>
          <w:color w:val="auto"/>
          <w:sz w:val="30"/>
          <w:szCs w:val="30"/>
          <w:highlight w:val="none"/>
          <w:lang w:val="zh-CN"/>
        </w:rPr>
      </w:pPr>
    </w:p>
    <w:p w14:paraId="12DA2ABA">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761"/>
    <w:bookmarkEnd w:id="762"/>
    <w:p w14:paraId="0B63B606">
      <w:pPr>
        <w:rPr>
          <w:rFonts w:hint="eastAsia" w:ascii="宋体" w:hAnsi="宋体" w:eastAsia="宋体" w:cs="宋体"/>
          <w:b/>
          <w:bCs/>
          <w:color w:val="auto"/>
          <w:kern w:val="0"/>
          <w:sz w:val="32"/>
          <w:szCs w:val="32"/>
          <w:highlight w:val="none"/>
          <w:lang w:val="zh-CN"/>
        </w:rPr>
      </w:pPr>
      <w:bookmarkStart w:id="764" w:name="_Toc31965"/>
      <w:bookmarkStart w:id="765" w:name="_Toc18175_WPSOffice_Level2"/>
      <w:bookmarkStart w:id="766" w:name="_Toc18413"/>
      <w:bookmarkStart w:id="767" w:name="_Toc486167719"/>
      <w:bookmarkStart w:id="768" w:name="_Toc142508378"/>
      <w:bookmarkStart w:id="769" w:name="_Toc1977737"/>
      <w:bookmarkStart w:id="770" w:name="_Toc140596938"/>
      <w:bookmarkStart w:id="771" w:name="_Toc104991885"/>
      <w:bookmarkStart w:id="772" w:name="_Toc94107220"/>
      <w:bookmarkStart w:id="773" w:name="_Toc102860083"/>
      <w:bookmarkStart w:id="774" w:name="_Toc19890"/>
      <w:bookmarkStart w:id="775" w:name="_Toc533708132"/>
      <w:bookmarkStart w:id="776" w:name="_Toc102860427"/>
      <w:r>
        <w:rPr>
          <w:rFonts w:hint="eastAsia" w:ascii="宋体" w:hAnsi="宋体" w:eastAsia="宋体" w:cs="宋体"/>
          <w:b/>
          <w:bCs/>
          <w:color w:val="auto"/>
          <w:kern w:val="0"/>
          <w:sz w:val="32"/>
          <w:szCs w:val="32"/>
          <w:highlight w:val="none"/>
          <w:lang w:val="zh-CN"/>
        </w:rPr>
        <w:br w:type="page"/>
      </w:r>
    </w:p>
    <w:p w14:paraId="15B27A2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2"/>
          <w:szCs w:val="32"/>
          <w:highlight w:val="none"/>
          <w:lang w:val="en-US" w:eastAsia="zh-CN"/>
        </w:rPr>
      </w:pPr>
      <w:bookmarkStart w:id="777" w:name="_Toc25672"/>
      <w:bookmarkStart w:id="778" w:name="_Toc31014"/>
      <w:bookmarkStart w:id="779" w:name="_Toc17452"/>
      <w:r>
        <w:rPr>
          <w:rFonts w:hint="eastAsia" w:ascii="宋体" w:hAnsi="宋体" w:eastAsia="宋体" w:cs="宋体"/>
          <w:b/>
          <w:color w:val="auto"/>
          <w:kern w:val="0"/>
          <w:sz w:val="32"/>
          <w:szCs w:val="32"/>
          <w:highlight w:val="none"/>
          <w:lang w:val="en-US" w:eastAsia="zh-CN"/>
        </w:rPr>
        <w:t>十、拟投入人员情况格式</w:t>
      </w:r>
      <w:bookmarkEnd w:id="777"/>
      <w:bookmarkEnd w:id="778"/>
      <w:bookmarkEnd w:id="779"/>
    </w:p>
    <w:p w14:paraId="6AB47C1C">
      <w:pPr>
        <w:spacing w:before="120" w:beforeLines="50"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（1）拟投入人员情况一览表</w:t>
      </w:r>
    </w:p>
    <w:tbl>
      <w:tblPr>
        <w:tblStyle w:val="36"/>
        <w:tblW w:w="10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4"/>
        <w:gridCol w:w="737"/>
        <w:gridCol w:w="737"/>
        <w:gridCol w:w="737"/>
        <w:gridCol w:w="1795"/>
        <w:gridCol w:w="1544"/>
        <w:gridCol w:w="1805"/>
        <w:gridCol w:w="1031"/>
      </w:tblGrid>
      <w:tr w14:paraId="5311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04" w:type="dxa"/>
            <w:vAlign w:val="center"/>
          </w:tcPr>
          <w:p w14:paraId="6E861F9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74" w:type="dxa"/>
            <w:vAlign w:val="center"/>
          </w:tcPr>
          <w:p w14:paraId="56C20E7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737" w:type="dxa"/>
            <w:vAlign w:val="center"/>
          </w:tcPr>
          <w:p w14:paraId="60B9FB9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37" w:type="dxa"/>
            <w:vAlign w:val="center"/>
          </w:tcPr>
          <w:p w14:paraId="21F9D7A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737" w:type="dxa"/>
            <w:vAlign w:val="center"/>
          </w:tcPr>
          <w:p w14:paraId="06D3692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795" w:type="dxa"/>
            <w:vAlign w:val="center"/>
          </w:tcPr>
          <w:p w14:paraId="244A3E9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职称证书</w:t>
            </w:r>
          </w:p>
        </w:tc>
        <w:tc>
          <w:tcPr>
            <w:tcW w:w="1544" w:type="dxa"/>
            <w:vAlign w:val="center"/>
          </w:tcPr>
          <w:p w14:paraId="2B1E956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拟任职务</w:t>
            </w:r>
          </w:p>
        </w:tc>
        <w:tc>
          <w:tcPr>
            <w:tcW w:w="1805" w:type="dxa"/>
            <w:vAlign w:val="center"/>
          </w:tcPr>
          <w:p w14:paraId="5A35614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从事本行业年限</w:t>
            </w:r>
          </w:p>
        </w:tc>
        <w:tc>
          <w:tcPr>
            <w:tcW w:w="1031" w:type="dxa"/>
            <w:vAlign w:val="center"/>
          </w:tcPr>
          <w:p w14:paraId="6CE7EDC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41A15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04" w:type="dxa"/>
            <w:vAlign w:val="center"/>
          </w:tcPr>
          <w:p w14:paraId="761B7C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5627C7E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0BCD46F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CD86C0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08A8C43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6A4B45E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335C496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234BA7B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1614617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1B1D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4" w:type="dxa"/>
            <w:vAlign w:val="center"/>
          </w:tcPr>
          <w:p w14:paraId="1B01AC7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5A0B389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568C87D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17C087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F56BB8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68F9445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198DF50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543E316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23BA139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BA8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1B7AB45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1B47286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303F487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3D1723B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441CDEC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1F17635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60A9FF6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47504A1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3700654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1ACC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5204467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13B0B92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4F5B521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4F8B121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61615FD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2AD8A2E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20C8DF7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7E1E97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6CBC746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40D7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22CEE75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4AC63CD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ACFE8E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C7B7B3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25DEEBD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24691D8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5FC0A61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7B5DC18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05D0F47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314B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472DC3A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6241FDA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50F68F3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48204C9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0CA50C6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0B1D5E7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7D811AA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46E4E0F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1AEF474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57CC2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04" w:type="dxa"/>
            <w:vAlign w:val="center"/>
          </w:tcPr>
          <w:p w14:paraId="11E2786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1FD09ED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6EE7A82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AEA3E3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2763090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5DE12D9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4E7446F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16F7034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74A1736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3B58D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04" w:type="dxa"/>
            <w:vAlign w:val="center"/>
          </w:tcPr>
          <w:p w14:paraId="62116A4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3109366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2C0231C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26029A2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56B7417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410AB85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318D6F9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2354E68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3C4FE44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744F4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04" w:type="dxa"/>
            <w:vAlign w:val="center"/>
          </w:tcPr>
          <w:p w14:paraId="17420AF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487F129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387104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780439D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291092C3">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5FC83455">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6855289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447ABED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2E62E542">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r w14:paraId="25B1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4" w:type="dxa"/>
            <w:vAlign w:val="center"/>
          </w:tcPr>
          <w:p w14:paraId="3964C73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274" w:type="dxa"/>
            <w:vAlign w:val="center"/>
          </w:tcPr>
          <w:p w14:paraId="6DD4043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134A0518">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4ADBDB7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737" w:type="dxa"/>
            <w:vAlign w:val="center"/>
          </w:tcPr>
          <w:p w14:paraId="7DFACD7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795" w:type="dxa"/>
            <w:vAlign w:val="center"/>
          </w:tcPr>
          <w:p w14:paraId="378CDF5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544" w:type="dxa"/>
            <w:vAlign w:val="center"/>
          </w:tcPr>
          <w:p w14:paraId="59555B9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805" w:type="dxa"/>
            <w:vAlign w:val="center"/>
          </w:tcPr>
          <w:p w14:paraId="30DB323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c>
          <w:tcPr>
            <w:tcW w:w="1031" w:type="dxa"/>
            <w:vAlign w:val="center"/>
          </w:tcPr>
          <w:p w14:paraId="1756193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1"/>
                <w:highlight w:val="none"/>
              </w:rPr>
            </w:pPr>
          </w:p>
        </w:tc>
      </w:tr>
    </w:tbl>
    <w:p w14:paraId="5E35F385">
      <w:pPr>
        <w:overflowPunct w:val="0"/>
        <w:spacing w:before="120" w:line="360" w:lineRule="auto"/>
        <w:ind w:left="267" w:leftChars="-73" w:hanging="420" w:hangingChars="200"/>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D4DDC38">
      <w:p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（1）此表格式供参照，投标人可以根据本表格式内容自行划表填写</w:t>
      </w:r>
      <w:r>
        <w:rPr>
          <w:rFonts w:hint="eastAsia" w:ascii="宋体" w:hAnsi="宋体" w:eastAsia="宋体" w:cs="宋体"/>
          <w:color w:val="auto"/>
          <w:szCs w:val="21"/>
          <w:highlight w:val="none"/>
          <w:lang w:eastAsia="zh-CN"/>
        </w:rPr>
        <w:t>；</w:t>
      </w:r>
    </w:p>
    <w:p w14:paraId="6F990730">
      <w:pPr>
        <w:spacing w:line="360" w:lineRule="auto"/>
        <w:ind w:right="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（2）以上人员须提供身份证、职称证书、社会保障部门出具的最近1年（</w:t>
      </w:r>
      <w:r>
        <w:rPr>
          <w:rFonts w:hint="eastAsia" w:ascii="宋体" w:hAnsi="宋体" w:eastAsia="宋体" w:cs="宋体"/>
          <w:b/>
          <w:bCs/>
          <w:color w:val="auto"/>
          <w:szCs w:val="21"/>
          <w:highlight w:val="none"/>
        </w:rPr>
        <w:t>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color w:val="auto"/>
          <w:szCs w:val="21"/>
          <w:highlight w:val="none"/>
        </w:rPr>
        <w:t>）在投标人单位缴纳</w:t>
      </w:r>
      <w:r>
        <w:rPr>
          <w:rFonts w:hint="eastAsia" w:ascii="宋体" w:hAnsi="宋体" w:eastAsia="宋体" w:cs="宋体"/>
          <w:color w:val="auto"/>
          <w:szCs w:val="21"/>
          <w:highlight w:val="none"/>
          <w:lang w:val="en-US" w:eastAsia="zh-CN"/>
        </w:rPr>
        <w:t>社保有效</w:t>
      </w:r>
      <w:r>
        <w:rPr>
          <w:rFonts w:hint="eastAsia" w:ascii="宋体" w:hAnsi="宋体" w:eastAsia="宋体" w:cs="宋体"/>
          <w:color w:val="auto"/>
          <w:szCs w:val="21"/>
          <w:highlight w:val="none"/>
        </w:rPr>
        <w:t>凭证等证明材料复印件加盖投标人公章</w:t>
      </w:r>
      <w:r>
        <w:rPr>
          <w:rFonts w:hint="eastAsia" w:ascii="宋体" w:hAnsi="宋体" w:eastAsia="宋体" w:cs="宋体"/>
          <w:color w:val="auto"/>
          <w:szCs w:val="21"/>
          <w:highlight w:val="none"/>
          <w:lang w:eastAsia="zh-CN"/>
        </w:rPr>
        <w:t>；</w:t>
      </w:r>
    </w:p>
    <w:p w14:paraId="7E22DC80">
      <w:pPr>
        <w:spacing w:line="360" w:lineRule="auto"/>
        <w:ind w:right="42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（3）同一人员具备多个种类证书不重复得分</w:t>
      </w:r>
      <w:r>
        <w:rPr>
          <w:rFonts w:hint="eastAsia" w:ascii="宋体" w:hAnsi="宋体" w:eastAsia="宋体" w:cs="宋体"/>
          <w:color w:val="auto"/>
          <w:szCs w:val="21"/>
          <w:highlight w:val="none"/>
          <w:lang w:eastAsia="zh-CN"/>
        </w:rPr>
        <w:t>；</w:t>
      </w:r>
    </w:p>
    <w:p w14:paraId="5830C4E6">
      <w:pPr>
        <w:spacing w:line="360" w:lineRule="auto"/>
        <w:ind w:right="420"/>
        <w:rPr>
          <w:rFonts w:ascii="宋体" w:hAnsi="宋体" w:eastAsia="宋体" w:cs="宋体"/>
          <w:color w:val="auto"/>
          <w:szCs w:val="21"/>
          <w:highlight w:val="none"/>
        </w:rPr>
      </w:pPr>
      <w:r>
        <w:rPr>
          <w:rFonts w:hint="eastAsia" w:ascii="宋体" w:hAnsi="宋体" w:eastAsia="宋体" w:cs="宋体"/>
          <w:color w:val="auto"/>
          <w:szCs w:val="21"/>
          <w:highlight w:val="none"/>
        </w:rPr>
        <w:t>（4）同一人员具备同一种类证书或同一个专业含有多个等级的仅按最高等级证书计算一次得分。</w:t>
      </w:r>
    </w:p>
    <w:p w14:paraId="149C58C5">
      <w:pPr>
        <w:spacing w:line="360" w:lineRule="auto"/>
        <w:ind w:right="420"/>
        <w:rPr>
          <w:rFonts w:ascii="宋体" w:hAnsi="宋体" w:eastAsia="宋体" w:cs="宋体"/>
          <w:color w:val="auto"/>
          <w:szCs w:val="21"/>
          <w:highlight w:val="none"/>
          <w:lang w:val="zh-CN"/>
        </w:rPr>
      </w:pPr>
    </w:p>
    <w:p w14:paraId="0FBBAEEB">
      <w:pPr>
        <w:spacing w:line="360" w:lineRule="auto"/>
        <w:ind w:left="685" w:leftChars="176" w:hanging="315" w:hangingChars="15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304392FA">
      <w:pPr>
        <w:spacing w:line="360" w:lineRule="auto"/>
        <w:ind w:left="685" w:leftChars="176" w:hanging="315" w:hangingChars="15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日期：   年    月     日</w:t>
      </w:r>
    </w:p>
    <w:p w14:paraId="2C59335A">
      <w:pPr>
        <w:spacing w:line="360" w:lineRule="auto"/>
        <w:ind w:firstLine="5040" w:firstLineChars="2400"/>
        <w:rPr>
          <w:rFonts w:ascii="宋体" w:hAnsi="宋体" w:eastAsia="宋体" w:cs="宋体"/>
          <w:color w:val="auto"/>
          <w:szCs w:val="21"/>
          <w:highlight w:val="none"/>
          <w:lang w:val="zh-CN"/>
        </w:rPr>
      </w:pPr>
    </w:p>
    <w:p w14:paraId="601E9EB9">
      <w:pPr>
        <w:spacing w:line="360" w:lineRule="auto"/>
        <w:ind w:firstLine="5040" w:firstLineChars="2400"/>
        <w:rPr>
          <w:rFonts w:ascii="宋体" w:hAnsi="宋体" w:eastAsia="宋体" w:cs="宋体"/>
          <w:color w:val="auto"/>
          <w:szCs w:val="21"/>
          <w:highlight w:val="none"/>
          <w:lang w:val="zh-CN"/>
        </w:rPr>
      </w:pPr>
    </w:p>
    <w:p w14:paraId="2D9D5C62">
      <w:pPr>
        <w:pageBreakBefore/>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（2）拟投入项目负责人简历表</w:t>
      </w:r>
    </w:p>
    <w:tbl>
      <w:tblPr>
        <w:tblStyle w:val="36"/>
        <w:tblW w:w="10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406"/>
        <w:gridCol w:w="577"/>
        <w:gridCol w:w="975"/>
        <w:gridCol w:w="531"/>
        <w:gridCol w:w="1037"/>
        <w:gridCol w:w="637"/>
        <w:gridCol w:w="473"/>
        <w:gridCol w:w="506"/>
        <w:gridCol w:w="944"/>
        <w:gridCol w:w="508"/>
        <w:gridCol w:w="1473"/>
      </w:tblGrid>
      <w:tr w14:paraId="6EBEB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single" w:color="auto" w:sz="8" w:space="0"/>
              <w:left w:val="single" w:color="auto" w:sz="8" w:space="0"/>
              <w:bottom w:val="single" w:color="auto" w:sz="8" w:space="0"/>
              <w:right w:val="single" w:color="auto" w:sz="8" w:space="0"/>
            </w:tcBorders>
            <w:vAlign w:val="center"/>
          </w:tcPr>
          <w:p w14:paraId="444BE92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489" w:type="dxa"/>
            <w:gridSpan w:val="4"/>
            <w:tcBorders>
              <w:top w:val="single" w:color="auto" w:sz="8" w:space="0"/>
              <w:left w:val="nil"/>
              <w:bottom w:val="single" w:color="auto" w:sz="8" w:space="0"/>
              <w:right w:val="single" w:color="000000" w:sz="8" w:space="0"/>
            </w:tcBorders>
            <w:vAlign w:val="center"/>
          </w:tcPr>
          <w:p w14:paraId="2D7DD75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single" w:color="auto" w:sz="8" w:space="0"/>
              <w:left w:val="nil"/>
              <w:bottom w:val="single" w:color="auto" w:sz="8" w:space="0"/>
              <w:right w:val="single" w:color="auto" w:sz="8" w:space="0"/>
            </w:tcBorders>
            <w:vAlign w:val="center"/>
          </w:tcPr>
          <w:p w14:paraId="12FDA78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16" w:type="dxa"/>
            <w:gridSpan w:val="3"/>
            <w:tcBorders>
              <w:top w:val="single" w:color="auto" w:sz="8" w:space="0"/>
              <w:left w:val="nil"/>
              <w:bottom w:val="single" w:color="auto" w:sz="8" w:space="0"/>
              <w:right w:val="single" w:color="000000" w:sz="8" w:space="0"/>
            </w:tcBorders>
            <w:vAlign w:val="center"/>
          </w:tcPr>
          <w:p w14:paraId="4D61C38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26FB7B2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473" w:type="dxa"/>
            <w:tcBorders>
              <w:top w:val="single" w:color="auto" w:sz="8" w:space="0"/>
              <w:left w:val="nil"/>
              <w:bottom w:val="single" w:color="auto" w:sz="8" w:space="0"/>
              <w:right w:val="single" w:color="000000" w:sz="8" w:space="0"/>
            </w:tcBorders>
            <w:vAlign w:val="center"/>
          </w:tcPr>
          <w:p w14:paraId="31AA0411">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9D8B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nil"/>
              <w:left w:val="single" w:color="auto" w:sz="8" w:space="0"/>
              <w:bottom w:val="single" w:color="auto" w:sz="8" w:space="0"/>
              <w:right w:val="single" w:color="auto" w:sz="8" w:space="0"/>
            </w:tcBorders>
            <w:vAlign w:val="center"/>
          </w:tcPr>
          <w:p w14:paraId="7D94B818">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489" w:type="dxa"/>
            <w:gridSpan w:val="4"/>
            <w:tcBorders>
              <w:top w:val="single" w:color="auto" w:sz="8" w:space="0"/>
              <w:left w:val="nil"/>
              <w:bottom w:val="single" w:color="auto" w:sz="8" w:space="0"/>
              <w:right w:val="single" w:color="000000" w:sz="8" w:space="0"/>
            </w:tcBorders>
            <w:vAlign w:val="center"/>
          </w:tcPr>
          <w:p w14:paraId="47762299">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nil"/>
              <w:left w:val="nil"/>
              <w:bottom w:val="single" w:color="auto" w:sz="8" w:space="0"/>
              <w:right w:val="single" w:color="auto" w:sz="8" w:space="0"/>
            </w:tcBorders>
            <w:vAlign w:val="center"/>
          </w:tcPr>
          <w:p w14:paraId="5C90C6C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616" w:type="dxa"/>
            <w:gridSpan w:val="3"/>
            <w:tcBorders>
              <w:top w:val="single" w:color="auto" w:sz="8" w:space="0"/>
              <w:left w:val="nil"/>
              <w:bottom w:val="single" w:color="auto" w:sz="8" w:space="0"/>
              <w:right w:val="single" w:color="000000" w:sz="8" w:space="0"/>
            </w:tcBorders>
            <w:vAlign w:val="center"/>
          </w:tcPr>
          <w:p w14:paraId="7D62617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12796426">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473" w:type="dxa"/>
            <w:tcBorders>
              <w:top w:val="single" w:color="auto" w:sz="8" w:space="0"/>
              <w:left w:val="nil"/>
              <w:bottom w:val="single" w:color="auto" w:sz="8" w:space="0"/>
              <w:right w:val="single" w:color="000000" w:sz="8" w:space="0"/>
            </w:tcBorders>
            <w:vAlign w:val="center"/>
          </w:tcPr>
          <w:p w14:paraId="3147FC43">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32F5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1B3987F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3653" w:type="dxa"/>
            <w:gridSpan w:val="5"/>
            <w:tcBorders>
              <w:top w:val="single" w:color="auto" w:sz="8" w:space="0"/>
              <w:left w:val="nil"/>
              <w:bottom w:val="single" w:color="auto" w:sz="8" w:space="0"/>
              <w:right w:val="single" w:color="000000" w:sz="8" w:space="0"/>
            </w:tcBorders>
            <w:vAlign w:val="center"/>
          </w:tcPr>
          <w:p w14:paraId="0BC1C3DF">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4B30571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1473" w:type="dxa"/>
            <w:tcBorders>
              <w:top w:val="nil"/>
              <w:left w:val="nil"/>
              <w:bottom w:val="single" w:color="auto" w:sz="8" w:space="0"/>
              <w:right w:val="single" w:color="auto" w:sz="8" w:space="0"/>
            </w:tcBorders>
            <w:vAlign w:val="center"/>
          </w:tcPr>
          <w:p w14:paraId="5205829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55EB2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024B4E6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3653" w:type="dxa"/>
            <w:gridSpan w:val="5"/>
            <w:tcBorders>
              <w:top w:val="single" w:color="auto" w:sz="8" w:space="0"/>
              <w:left w:val="nil"/>
              <w:bottom w:val="single" w:color="auto" w:sz="8" w:space="0"/>
              <w:right w:val="single" w:color="000000" w:sz="8" w:space="0"/>
            </w:tcBorders>
            <w:vAlign w:val="center"/>
          </w:tcPr>
          <w:p w14:paraId="4F164DD7">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5FA04F7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73" w:type="dxa"/>
            <w:tcBorders>
              <w:top w:val="nil"/>
              <w:left w:val="nil"/>
              <w:bottom w:val="single" w:color="auto" w:sz="8" w:space="0"/>
              <w:right w:val="single" w:color="auto" w:sz="8" w:space="0"/>
            </w:tcBorders>
            <w:vAlign w:val="center"/>
          </w:tcPr>
          <w:p w14:paraId="2B45311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B837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370" w:type="dxa"/>
            <w:gridSpan w:val="12"/>
            <w:tcBorders>
              <w:top w:val="single" w:color="auto" w:sz="8" w:space="0"/>
              <w:left w:val="single" w:color="auto" w:sz="8" w:space="0"/>
              <w:bottom w:val="single" w:color="auto" w:sz="8" w:space="0"/>
              <w:right w:val="single" w:color="000000" w:sz="8" w:space="0"/>
            </w:tcBorders>
            <w:vAlign w:val="center"/>
          </w:tcPr>
          <w:p w14:paraId="48C61FD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14:paraId="7D8F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222D536E">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552" w:type="dxa"/>
            <w:gridSpan w:val="2"/>
            <w:tcBorders>
              <w:top w:val="single" w:color="auto" w:sz="8" w:space="0"/>
              <w:left w:val="nil"/>
              <w:bottom w:val="single" w:color="auto" w:sz="8" w:space="0"/>
              <w:right w:val="single" w:color="000000" w:sz="8" w:space="0"/>
            </w:tcBorders>
            <w:vAlign w:val="center"/>
          </w:tcPr>
          <w:p w14:paraId="31F9104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发包单位</w:t>
            </w:r>
          </w:p>
        </w:tc>
        <w:tc>
          <w:tcPr>
            <w:tcW w:w="2205" w:type="dxa"/>
            <w:gridSpan w:val="3"/>
            <w:tcBorders>
              <w:top w:val="single" w:color="auto" w:sz="8" w:space="0"/>
              <w:left w:val="nil"/>
              <w:bottom w:val="single" w:color="auto" w:sz="8" w:space="0"/>
              <w:right w:val="single" w:color="000000" w:sz="8" w:space="0"/>
            </w:tcBorders>
            <w:vAlign w:val="center"/>
          </w:tcPr>
          <w:p w14:paraId="0977D885">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923" w:type="dxa"/>
            <w:gridSpan w:val="3"/>
            <w:tcBorders>
              <w:top w:val="single" w:color="auto" w:sz="8" w:space="0"/>
              <w:left w:val="nil"/>
              <w:bottom w:val="single" w:color="auto" w:sz="8" w:space="0"/>
              <w:right w:val="single" w:color="000000" w:sz="8" w:space="0"/>
            </w:tcBorders>
            <w:vAlign w:val="center"/>
          </w:tcPr>
          <w:p w14:paraId="3E96CB03">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1981" w:type="dxa"/>
            <w:gridSpan w:val="2"/>
            <w:tcBorders>
              <w:top w:val="single" w:color="auto" w:sz="8" w:space="0"/>
              <w:left w:val="nil"/>
              <w:bottom w:val="single" w:color="auto" w:sz="8" w:space="0"/>
              <w:right w:val="single" w:color="000000" w:sz="8" w:space="0"/>
            </w:tcBorders>
            <w:vAlign w:val="center"/>
          </w:tcPr>
          <w:p w14:paraId="3A89A87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14:paraId="7BDD6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3DDAC6B7">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5608B6EF">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7D922E0E">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3B5A02B5">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7CCDF9B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F358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771BFE48">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2EDCD36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49E7FA2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6A1FAB68">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4478E37F">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697B2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1933E35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2B848BE1">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165A9923">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60C8D77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5DADA5A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00B2C39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07A91F22">
      <w:p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（1）拟投入本项目的项目负责人需提供本简历表</w:t>
      </w:r>
      <w:r>
        <w:rPr>
          <w:rFonts w:hint="eastAsia" w:ascii="宋体" w:hAnsi="宋体" w:eastAsia="宋体" w:cs="宋体"/>
          <w:color w:val="auto"/>
          <w:szCs w:val="21"/>
          <w:highlight w:val="none"/>
          <w:lang w:eastAsia="zh-CN"/>
        </w:rPr>
        <w:t>；</w:t>
      </w:r>
    </w:p>
    <w:p w14:paraId="0C72356D">
      <w:p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（2）须提供身份证、职称证书、社会保障部门出具的最近1年（</w:t>
      </w:r>
      <w:r>
        <w:rPr>
          <w:rFonts w:hint="eastAsia" w:ascii="宋体" w:hAnsi="宋体" w:eastAsia="宋体" w:cs="宋体"/>
          <w:b/>
          <w:bCs/>
          <w:color w:val="auto"/>
          <w:szCs w:val="21"/>
          <w:highlight w:val="none"/>
        </w:rPr>
        <w:t>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color w:val="auto"/>
          <w:szCs w:val="21"/>
          <w:highlight w:val="none"/>
        </w:rPr>
        <w:t>）在投标人单位缴纳</w:t>
      </w:r>
      <w:r>
        <w:rPr>
          <w:rFonts w:hint="eastAsia" w:ascii="宋体" w:hAnsi="宋体" w:eastAsia="宋体" w:cs="宋体"/>
          <w:color w:val="auto"/>
          <w:szCs w:val="21"/>
          <w:highlight w:val="none"/>
          <w:lang w:eastAsia="zh-CN"/>
        </w:rPr>
        <w:t>社保</w:t>
      </w:r>
      <w:r>
        <w:rPr>
          <w:rFonts w:hint="eastAsia" w:ascii="宋体" w:hAnsi="宋体" w:eastAsia="宋体" w:cs="宋体"/>
          <w:color w:val="auto"/>
          <w:szCs w:val="21"/>
          <w:highlight w:val="none"/>
        </w:rPr>
        <w:t>有效凭证等证明材料复印件加盖投标人公章</w:t>
      </w:r>
      <w:r>
        <w:rPr>
          <w:rFonts w:hint="eastAsia" w:ascii="宋体" w:hAnsi="宋体" w:eastAsia="宋体" w:cs="宋体"/>
          <w:color w:val="auto"/>
          <w:szCs w:val="21"/>
          <w:highlight w:val="none"/>
          <w:lang w:eastAsia="zh-CN"/>
        </w:rPr>
        <w:t>；</w:t>
      </w:r>
    </w:p>
    <w:p w14:paraId="72143134">
      <w:pPr>
        <w:overflowPunct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（3）项目负责人业绩须附合同复印件，合同业绩证明材料必须能反映评审条件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或以后，业绩类型为市政工程检测，项目负责人信息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，否则需同时提供</w:t>
      </w:r>
      <w:r>
        <w:rPr>
          <w:rFonts w:hint="eastAsia" w:ascii="宋体" w:hAnsi="宋体" w:eastAsia="宋体" w:cs="宋体"/>
          <w:color w:val="auto"/>
          <w:szCs w:val="21"/>
          <w:highlight w:val="none"/>
          <w:lang w:val="en-US" w:eastAsia="zh-CN"/>
        </w:rPr>
        <w:t>合同委托方</w:t>
      </w:r>
      <w:r>
        <w:rPr>
          <w:rFonts w:hint="eastAsia" w:ascii="宋体" w:hAnsi="宋体" w:eastAsia="宋体" w:cs="宋体"/>
          <w:color w:val="auto"/>
          <w:szCs w:val="21"/>
          <w:highlight w:val="none"/>
        </w:rPr>
        <w:t>出具的书面补充情况说明文件复印件</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4"/>
          <w:highlight w:val="none"/>
          <w:lang w:val="en-US" w:eastAsia="zh-CN"/>
        </w:rPr>
        <w:t>需加盖委托方公章，即复印件能显示委托方公章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1ADB1C8C">
      <w:pPr>
        <w:spacing w:line="360" w:lineRule="auto"/>
        <w:ind w:left="685" w:leftChars="176" w:hanging="315" w:hangingChars="15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投标人：（加盖投标人法人公章）</w:t>
      </w:r>
    </w:p>
    <w:p w14:paraId="2E82FA57">
      <w:pPr>
        <w:spacing w:line="360" w:lineRule="auto"/>
        <w:ind w:left="685" w:leftChars="176" w:hanging="315" w:hangingChars="15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日期：   年    月     日</w:t>
      </w:r>
    </w:p>
    <w:p w14:paraId="799772AB">
      <w:pPr>
        <w:spacing w:before="120" w:after="120" w:line="360" w:lineRule="auto"/>
        <w:ind w:left="629" w:firstLine="5040"/>
        <w:rPr>
          <w:rFonts w:ascii="宋体" w:hAnsi="宋体" w:eastAsia="宋体" w:cs="宋体"/>
          <w:color w:val="auto"/>
          <w:szCs w:val="21"/>
          <w:highlight w:val="none"/>
          <w:lang w:val="zh-CN"/>
        </w:rPr>
      </w:pPr>
    </w:p>
    <w:p w14:paraId="5AB60D6B">
      <w:pPr>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14:paraId="05F43848">
      <w:pPr>
        <w:pageBreakBefore/>
        <w:spacing w:line="360" w:lineRule="auto"/>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（3）拟投入技术负责人简历表</w:t>
      </w:r>
    </w:p>
    <w:tbl>
      <w:tblPr>
        <w:tblStyle w:val="36"/>
        <w:tblW w:w="103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03"/>
        <w:gridCol w:w="406"/>
        <w:gridCol w:w="577"/>
        <w:gridCol w:w="975"/>
        <w:gridCol w:w="531"/>
        <w:gridCol w:w="1037"/>
        <w:gridCol w:w="637"/>
        <w:gridCol w:w="473"/>
        <w:gridCol w:w="506"/>
        <w:gridCol w:w="944"/>
        <w:gridCol w:w="508"/>
        <w:gridCol w:w="1473"/>
      </w:tblGrid>
      <w:tr w14:paraId="5C5AB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single" w:color="auto" w:sz="8" w:space="0"/>
              <w:left w:val="single" w:color="auto" w:sz="8" w:space="0"/>
              <w:bottom w:val="single" w:color="auto" w:sz="8" w:space="0"/>
              <w:right w:val="single" w:color="auto" w:sz="8" w:space="0"/>
            </w:tcBorders>
            <w:vAlign w:val="center"/>
          </w:tcPr>
          <w:p w14:paraId="6BB4236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489" w:type="dxa"/>
            <w:gridSpan w:val="4"/>
            <w:tcBorders>
              <w:top w:val="single" w:color="auto" w:sz="8" w:space="0"/>
              <w:left w:val="nil"/>
              <w:bottom w:val="single" w:color="auto" w:sz="8" w:space="0"/>
              <w:right w:val="single" w:color="000000" w:sz="8" w:space="0"/>
            </w:tcBorders>
            <w:vAlign w:val="center"/>
          </w:tcPr>
          <w:p w14:paraId="14E6899E">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single" w:color="auto" w:sz="8" w:space="0"/>
              <w:left w:val="nil"/>
              <w:bottom w:val="single" w:color="auto" w:sz="8" w:space="0"/>
              <w:right w:val="single" w:color="auto" w:sz="8" w:space="0"/>
            </w:tcBorders>
            <w:vAlign w:val="center"/>
          </w:tcPr>
          <w:p w14:paraId="644796A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616" w:type="dxa"/>
            <w:gridSpan w:val="3"/>
            <w:tcBorders>
              <w:top w:val="single" w:color="auto" w:sz="8" w:space="0"/>
              <w:left w:val="nil"/>
              <w:bottom w:val="single" w:color="auto" w:sz="8" w:space="0"/>
              <w:right w:val="single" w:color="000000" w:sz="8" w:space="0"/>
            </w:tcBorders>
            <w:vAlign w:val="center"/>
          </w:tcPr>
          <w:p w14:paraId="321A8F43">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0213EE9F">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473" w:type="dxa"/>
            <w:tcBorders>
              <w:top w:val="single" w:color="auto" w:sz="8" w:space="0"/>
              <w:left w:val="nil"/>
              <w:bottom w:val="single" w:color="auto" w:sz="8" w:space="0"/>
              <w:right w:val="single" w:color="000000" w:sz="8" w:space="0"/>
            </w:tcBorders>
            <w:vAlign w:val="center"/>
          </w:tcPr>
          <w:p w14:paraId="00C64BE9">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E0F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303" w:type="dxa"/>
            <w:tcBorders>
              <w:top w:val="nil"/>
              <w:left w:val="single" w:color="auto" w:sz="8" w:space="0"/>
              <w:bottom w:val="single" w:color="auto" w:sz="8" w:space="0"/>
              <w:right w:val="single" w:color="auto" w:sz="8" w:space="0"/>
            </w:tcBorders>
            <w:vAlign w:val="center"/>
          </w:tcPr>
          <w:p w14:paraId="574D3C4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489" w:type="dxa"/>
            <w:gridSpan w:val="4"/>
            <w:tcBorders>
              <w:top w:val="single" w:color="auto" w:sz="8" w:space="0"/>
              <w:left w:val="nil"/>
              <w:bottom w:val="single" w:color="auto" w:sz="8" w:space="0"/>
              <w:right w:val="single" w:color="000000" w:sz="8" w:space="0"/>
            </w:tcBorders>
            <w:vAlign w:val="center"/>
          </w:tcPr>
          <w:p w14:paraId="0BDF46E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037" w:type="dxa"/>
            <w:tcBorders>
              <w:top w:val="nil"/>
              <w:left w:val="nil"/>
              <w:bottom w:val="single" w:color="auto" w:sz="8" w:space="0"/>
              <w:right w:val="single" w:color="auto" w:sz="8" w:space="0"/>
            </w:tcBorders>
            <w:vAlign w:val="center"/>
          </w:tcPr>
          <w:p w14:paraId="3B2CBF62">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616" w:type="dxa"/>
            <w:gridSpan w:val="3"/>
            <w:tcBorders>
              <w:top w:val="single" w:color="auto" w:sz="8" w:space="0"/>
              <w:left w:val="nil"/>
              <w:bottom w:val="single" w:color="auto" w:sz="8" w:space="0"/>
              <w:right w:val="single" w:color="000000" w:sz="8" w:space="0"/>
            </w:tcBorders>
            <w:vAlign w:val="center"/>
          </w:tcPr>
          <w:p w14:paraId="51E6CDE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452" w:type="dxa"/>
            <w:gridSpan w:val="2"/>
            <w:tcBorders>
              <w:top w:val="single" w:color="auto" w:sz="8" w:space="0"/>
              <w:left w:val="nil"/>
              <w:bottom w:val="single" w:color="auto" w:sz="8" w:space="0"/>
              <w:right w:val="single" w:color="000000" w:sz="8" w:space="0"/>
            </w:tcBorders>
            <w:vAlign w:val="center"/>
          </w:tcPr>
          <w:p w14:paraId="49E2A9D8">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473" w:type="dxa"/>
            <w:tcBorders>
              <w:top w:val="single" w:color="auto" w:sz="8" w:space="0"/>
              <w:left w:val="nil"/>
              <w:bottom w:val="single" w:color="auto" w:sz="8" w:space="0"/>
              <w:right w:val="single" w:color="000000" w:sz="8" w:space="0"/>
            </w:tcBorders>
            <w:vAlign w:val="center"/>
          </w:tcPr>
          <w:p w14:paraId="66CEBD5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472B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1AB74A6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3653" w:type="dxa"/>
            <w:gridSpan w:val="5"/>
            <w:tcBorders>
              <w:top w:val="single" w:color="auto" w:sz="8" w:space="0"/>
              <w:left w:val="nil"/>
              <w:bottom w:val="single" w:color="auto" w:sz="8" w:space="0"/>
              <w:right w:val="single" w:color="000000" w:sz="8" w:space="0"/>
            </w:tcBorders>
            <w:vAlign w:val="center"/>
          </w:tcPr>
          <w:p w14:paraId="1CB5A14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54FF6879">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担任</w:t>
            </w:r>
            <w:r>
              <w:rPr>
                <w:rFonts w:hint="eastAsia" w:ascii="宋体" w:hAnsi="宋体" w:eastAsia="宋体" w:cs="宋体"/>
                <w:b/>
                <w:bCs/>
                <w:color w:val="auto"/>
                <w:szCs w:val="21"/>
                <w:highlight w:val="none"/>
                <w:u w:val="single"/>
              </w:rPr>
              <w:t xml:space="preserve"> </w:t>
            </w:r>
            <w:r>
              <w:rPr>
                <w:rFonts w:hint="eastAsia" w:ascii="宋体" w:hAnsi="宋体" w:eastAsia="宋体" w:cs="宋体"/>
                <w:color w:val="auto"/>
                <w:szCs w:val="21"/>
                <w:highlight w:val="none"/>
                <w:u w:val="single"/>
              </w:rPr>
              <w:t xml:space="preserve">    （职位名称）</w:t>
            </w:r>
            <w:r>
              <w:rPr>
                <w:rFonts w:hint="eastAsia" w:ascii="宋体" w:hAnsi="宋体" w:eastAsia="宋体" w:cs="宋体"/>
                <w:color w:val="auto"/>
                <w:szCs w:val="21"/>
                <w:highlight w:val="none"/>
              </w:rPr>
              <w:t>年限</w:t>
            </w:r>
          </w:p>
        </w:tc>
        <w:tc>
          <w:tcPr>
            <w:tcW w:w="1473" w:type="dxa"/>
            <w:tcBorders>
              <w:top w:val="nil"/>
              <w:left w:val="nil"/>
              <w:bottom w:val="single" w:color="auto" w:sz="8" w:space="0"/>
              <w:right w:val="single" w:color="auto" w:sz="8" w:space="0"/>
            </w:tcBorders>
            <w:vAlign w:val="center"/>
          </w:tcPr>
          <w:p w14:paraId="500F46D8">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82DE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3286" w:type="dxa"/>
            <w:gridSpan w:val="3"/>
            <w:tcBorders>
              <w:top w:val="single" w:color="auto" w:sz="8" w:space="0"/>
              <w:left w:val="single" w:color="auto" w:sz="8" w:space="0"/>
              <w:bottom w:val="single" w:color="auto" w:sz="8" w:space="0"/>
              <w:right w:val="single" w:color="000000" w:sz="8" w:space="0"/>
            </w:tcBorders>
            <w:vAlign w:val="center"/>
          </w:tcPr>
          <w:p w14:paraId="45F6F3BC">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资格证书编号</w:t>
            </w:r>
          </w:p>
        </w:tc>
        <w:tc>
          <w:tcPr>
            <w:tcW w:w="3653" w:type="dxa"/>
            <w:gridSpan w:val="5"/>
            <w:tcBorders>
              <w:top w:val="single" w:color="auto" w:sz="8" w:space="0"/>
              <w:left w:val="nil"/>
              <w:bottom w:val="single" w:color="auto" w:sz="8" w:space="0"/>
              <w:right w:val="single" w:color="000000" w:sz="8" w:space="0"/>
            </w:tcBorders>
            <w:vAlign w:val="center"/>
          </w:tcPr>
          <w:p w14:paraId="7EA5A0A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58" w:type="dxa"/>
            <w:gridSpan w:val="3"/>
            <w:tcBorders>
              <w:top w:val="single" w:color="auto" w:sz="8" w:space="0"/>
              <w:left w:val="nil"/>
              <w:bottom w:val="single" w:color="auto" w:sz="8" w:space="0"/>
              <w:right w:val="single" w:color="000000" w:sz="8" w:space="0"/>
            </w:tcBorders>
            <w:vAlign w:val="center"/>
          </w:tcPr>
          <w:p w14:paraId="5046A696">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联系电话</w:t>
            </w:r>
          </w:p>
        </w:tc>
        <w:tc>
          <w:tcPr>
            <w:tcW w:w="1473" w:type="dxa"/>
            <w:tcBorders>
              <w:top w:val="nil"/>
              <w:left w:val="nil"/>
              <w:bottom w:val="single" w:color="auto" w:sz="8" w:space="0"/>
              <w:right w:val="single" w:color="auto" w:sz="8" w:space="0"/>
            </w:tcBorders>
            <w:vAlign w:val="center"/>
          </w:tcPr>
          <w:p w14:paraId="765D01C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149C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370" w:type="dxa"/>
            <w:gridSpan w:val="12"/>
            <w:tcBorders>
              <w:top w:val="single" w:color="auto" w:sz="8" w:space="0"/>
              <w:left w:val="single" w:color="auto" w:sz="8" w:space="0"/>
              <w:bottom w:val="single" w:color="auto" w:sz="8" w:space="0"/>
              <w:right w:val="single" w:color="000000" w:sz="8" w:space="0"/>
            </w:tcBorders>
            <w:vAlign w:val="center"/>
          </w:tcPr>
          <w:p w14:paraId="3F0CEB1B">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主要类似项目业绩</w:t>
            </w:r>
          </w:p>
        </w:tc>
      </w:tr>
      <w:tr w14:paraId="112D7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7AFD1997">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552" w:type="dxa"/>
            <w:gridSpan w:val="2"/>
            <w:tcBorders>
              <w:top w:val="single" w:color="auto" w:sz="8" w:space="0"/>
              <w:left w:val="nil"/>
              <w:bottom w:val="single" w:color="auto" w:sz="8" w:space="0"/>
              <w:right w:val="single" w:color="000000" w:sz="8" w:space="0"/>
            </w:tcBorders>
            <w:vAlign w:val="center"/>
          </w:tcPr>
          <w:p w14:paraId="6628C805">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发包单位</w:t>
            </w:r>
          </w:p>
        </w:tc>
        <w:tc>
          <w:tcPr>
            <w:tcW w:w="2205" w:type="dxa"/>
            <w:gridSpan w:val="3"/>
            <w:tcBorders>
              <w:top w:val="single" w:color="auto" w:sz="8" w:space="0"/>
              <w:left w:val="nil"/>
              <w:bottom w:val="single" w:color="auto" w:sz="8" w:space="0"/>
              <w:right w:val="single" w:color="000000" w:sz="8" w:space="0"/>
            </w:tcBorders>
            <w:vAlign w:val="center"/>
          </w:tcPr>
          <w:p w14:paraId="021817E2">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1923" w:type="dxa"/>
            <w:gridSpan w:val="3"/>
            <w:tcBorders>
              <w:top w:val="single" w:color="auto" w:sz="8" w:space="0"/>
              <w:left w:val="nil"/>
              <w:bottom w:val="single" w:color="auto" w:sz="8" w:space="0"/>
              <w:right w:val="single" w:color="000000" w:sz="8" w:space="0"/>
            </w:tcBorders>
            <w:vAlign w:val="center"/>
          </w:tcPr>
          <w:p w14:paraId="31FD5310">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本人在该项目中所任职务</w:t>
            </w:r>
          </w:p>
        </w:tc>
        <w:tc>
          <w:tcPr>
            <w:tcW w:w="1981" w:type="dxa"/>
            <w:gridSpan w:val="2"/>
            <w:tcBorders>
              <w:top w:val="single" w:color="auto" w:sz="8" w:space="0"/>
              <w:left w:val="nil"/>
              <w:bottom w:val="single" w:color="auto" w:sz="8" w:space="0"/>
              <w:right w:val="single" w:color="000000" w:sz="8" w:space="0"/>
            </w:tcBorders>
            <w:vAlign w:val="center"/>
          </w:tcPr>
          <w:p w14:paraId="33F47DC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起止时间</w:t>
            </w:r>
          </w:p>
        </w:tc>
      </w:tr>
      <w:tr w14:paraId="2C030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0B4F56E5">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4F772DC6">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635ECAF6">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62F3215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57515042">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06B0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0D3DD32E">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1FACB7D9">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4C5270E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26E1B666">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2908F40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r w14:paraId="7A543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2709" w:type="dxa"/>
            <w:gridSpan w:val="2"/>
            <w:tcBorders>
              <w:top w:val="single" w:color="auto" w:sz="8" w:space="0"/>
              <w:left w:val="single" w:color="auto" w:sz="8" w:space="0"/>
              <w:bottom w:val="single" w:color="auto" w:sz="8" w:space="0"/>
              <w:right w:val="single" w:color="000000" w:sz="8" w:space="0"/>
            </w:tcBorders>
            <w:vAlign w:val="center"/>
          </w:tcPr>
          <w:p w14:paraId="0309C43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552" w:type="dxa"/>
            <w:gridSpan w:val="2"/>
            <w:tcBorders>
              <w:top w:val="single" w:color="auto" w:sz="8" w:space="0"/>
              <w:left w:val="nil"/>
              <w:bottom w:val="single" w:color="auto" w:sz="8" w:space="0"/>
              <w:right w:val="single" w:color="000000" w:sz="8" w:space="0"/>
            </w:tcBorders>
            <w:vAlign w:val="center"/>
          </w:tcPr>
          <w:p w14:paraId="2B1336EA">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2205" w:type="dxa"/>
            <w:gridSpan w:val="3"/>
            <w:tcBorders>
              <w:top w:val="single" w:color="auto" w:sz="8" w:space="0"/>
              <w:left w:val="nil"/>
              <w:bottom w:val="single" w:color="auto" w:sz="8" w:space="0"/>
              <w:right w:val="single" w:color="000000" w:sz="8" w:space="0"/>
            </w:tcBorders>
            <w:vAlign w:val="center"/>
          </w:tcPr>
          <w:p w14:paraId="236E96A4">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23" w:type="dxa"/>
            <w:gridSpan w:val="3"/>
            <w:tcBorders>
              <w:top w:val="single" w:color="auto" w:sz="8" w:space="0"/>
              <w:left w:val="nil"/>
              <w:bottom w:val="single" w:color="auto" w:sz="8" w:space="0"/>
              <w:right w:val="single" w:color="000000" w:sz="8" w:space="0"/>
            </w:tcBorders>
            <w:vAlign w:val="center"/>
          </w:tcPr>
          <w:p w14:paraId="7024A4F7">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c>
          <w:tcPr>
            <w:tcW w:w="1981" w:type="dxa"/>
            <w:gridSpan w:val="2"/>
            <w:tcBorders>
              <w:top w:val="single" w:color="auto" w:sz="8" w:space="0"/>
              <w:left w:val="nil"/>
              <w:bottom w:val="single" w:color="auto" w:sz="8" w:space="0"/>
              <w:right w:val="single" w:color="000000" w:sz="8" w:space="0"/>
            </w:tcBorders>
            <w:vAlign w:val="center"/>
          </w:tcPr>
          <w:p w14:paraId="7319D2AD">
            <w:pPr>
              <w:keepNext w:val="0"/>
              <w:keepLines w:val="0"/>
              <w:widowControl/>
              <w:suppressLineNumbers w:val="0"/>
              <w:snapToGrid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　</w:t>
            </w:r>
          </w:p>
        </w:tc>
      </w:tr>
    </w:tbl>
    <w:p w14:paraId="675E591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22A408C">
      <w:pPr>
        <w:numPr>
          <w:ilvl w:val="0"/>
          <w:numId w:val="0"/>
        </w:num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（1）拟投入本项目的技术负责人需提供本简历表</w:t>
      </w:r>
      <w:r>
        <w:rPr>
          <w:rFonts w:hint="eastAsia" w:ascii="宋体" w:hAnsi="宋体" w:eastAsia="宋体" w:cs="宋体"/>
          <w:color w:val="auto"/>
          <w:szCs w:val="21"/>
          <w:highlight w:val="none"/>
          <w:lang w:eastAsia="zh-CN"/>
        </w:rPr>
        <w:t>；</w:t>
      </w:r>
    </w:p>
    <w:p w14:paraId="2E80A93D">
      <w:pPr>
        <w:numPr>
          <w:ilvl w:val="0"/>
          <w:numId w:val="0"/>
        </w:numPr>
        <w:overflowPunct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（2）须提供身份证、职称证书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或注册证书</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szCs w:val="21"/>
          <w:highlight w:val="none"/>
        </w:rPr>
        <w:t>、社会保障部门出具的最近1年（</w:t>
      </w:r>
      <w:r>
        <w:rPr>
          <w:rFonts w:hint="eastAsia" w:ascii="宋体" w:hAnsi="宋体" w:eastAsia="宋体" w:cs="宋体"/>
          <w:b/>
          <w:bCs/>
          <w:color w:val="auto"/>
          <w:szCs w:val="21"/>
          <w:highlight w:val="none"/>
        </w:rPr>
        <w:t>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color w:val="auto"/>
          <w:szCs w:val="21"/>
          <w:highlight w:val="none"/>
        </w:rPr>
        <w:t>）在投标人单位缴纳</w:t>
      </w:r>
      <w:r>
        <w:rPr>
          <w:rFonts w:hint="eastAsia" w:ascii="宋体" w:hAnsi="宋体" w:eastAsia="宋体" w:cs="宋体"/>
          <w:color w:val="auto"/>
          <w:szCs w:val="21"/>
          <w:highlight w:val="none"/>
          <w:lang w:eastAsia="zh-CN"/>
        </w:rPr>
        <w:t>社保</w:t>
      </w:r>
      <w:r>
        <w:rPr>
          <w:rFonts w:hint="eastAsia" w:ascii="宋体" w:hAnsi="宋体" w:eastAsia="宋体" w:cs="宋体"/>
          <w:color w:val="auto"/>
          <w:szCs w:val="21"/>
          <w:highlight w:val="none"/>
        </w:rPr>
        <w:t>有效凭证等证明材料复印件加盖投标人公章</w:t>
      </w:r>
      <w:r>
        <w:rPr>
          <w:rFonts w:hint="eastAsia" w:ascii="宋体" w:hAnsi="宋体" w:eastAsia="宋体" w:cs="宋体"/>
          <w:color w:val="auto"/>
          <w:szCs w:val="21"/>
          <w:highlight w:val="none"/>
          <w:lang w:eastAsia="zh-CN"/>
        </w:rPr>
        <w:t>；</w:t>
      </w:r>
    </w:p>
    <w:p w14:paraId="2B8E1048">
      <w:pPr>
        <w:numPr>
          <w:ilvl w:val="0"/>
          <w:numId w:val="0"/>
        </w:numPr>
        <w:overflowPunct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（3）技术负责人业绩须附合同复印件，合同业绩证明材料必须能反映评审条件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合同签订日期为</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或以后，业绩类型为市政工程检测，技术负责人信息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，否则需同时提供</w:t>
      </w:r>
      <w:r>
        <w:rPr>
          <w:rFonts w:hint="eastAsia" w:ascii="宋体" w:hAnsi="宋体" w:eastAsia="宋体" w:cs="宋体"/>
          <w:color w:val="auto"/>
          <w:szCs w:val="21"/>
          <w:highlight w:val="none"/>
          <w:lang w:val="en-US" w:eastAsia="zh-CN"/>
        </w:rPr>
        <w:t>合同委托方</w:t>
      </w:r>
      <w:r>
        <w:rPr>
          <w:rFonts w:hint="eastAsia" w:ascii="宋体" w:hAnsi="宋体" w:eastAsia="宋体" w:cs="宋体"/>
          <w:color w:val="auto"/>
          <w:szCs w:val="21"/>
          <w:highlight w:val="none"/>
        </w:rPr>
        <w:t>出具的书面补充情况说明文件复印件</w:t>
      </w:r>
      <w:r>
        <w:rPr>
          <w:rFonts w:hint="eastAsia" w:ascii="宋体" w:hAnsi="宋体" w:eastAsia="宋体" w:cs="宋体"/>
          <w:color w:val="auto"/>
          <w:szCs w:val="21"/>
          <w:highlight w:val="none"/>
          <w:lang w:eastAsia="zh-CN"/>
        </w:rPr>
        <w:t>（</w:t>
      </w:r>
      <w:r>
        <w:rPr>
          <w:rFonts w:hint="eastAsia" w:ascii="宋体" w:hAnsi="宋体" w:eastAsia="宋体" w:cs="Times New Roman"/>
          <w:color w:val="auto"/>
          <w:szCs w:val="24"/>
          <w:highlight w:val="none"/>
          <w:lang w:val="en-US" w:eastAsia="zh-CN"/>
        </w:rPr>
        <w:t>需加盖委托方公章，即复印件能显示委托方公章</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p>
    <w:p w14:paraId="2E04E5E5">
      <w:pPr>
        <w:spacing w:line="360" w:lineRule="auto"/>
        <w:ind w:left="685" w:leftChars="176" w:hanging="315" w:hangingChars="150"/>
        <w:jc w:val="righ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14:paraId="7CAF45D2">
      <w:pPr>
        <w:spacing w:line="360" w:lineRule="auto"/>
        <w:ind w:left="685" w:leftChars="176" w:hanging="315" w:hangingChars="150"/>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日期：   年    月     日</w:t>
      </w:r>
    </w:p>
    <w:p w14:paraId="4B07F62D">
      <w:pPr>
        <w:numPr>
          <w:ilvl w:val="0"/>
          <w:numId w:val="5"/>
        </w:numPr>
        <w:rPr>
          <w:rFonts w:hint="eastAsia"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br w:type="page"/>
      </w:r>
    </w:p>
    <w:p w14:paraId="3E31DBDD">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780" w:name="_Toc3977"/>
      <w:bookmarkStart w:id="781" w:name="_Toc31561"/>
      <w:bookmarkStart w:id="782" w:name="_Toc32129"/>
      <w:bookmarkStart w:id="783" w:name="_Toc17193"/>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、投标保证金汇入情况说明</w:t>
      </w:r>
      <w:bookmarkEnd w:id="764"/>
      <w:bookmarkEnd w:id="765"/>
      <w:bookmarkEnd w:id="766"/>
      <w:bookmarkEnd w:id="767"/>
      <w:bookmarkEnd w:id="768"/>
      <w:bookmarkEnd w:id="769"/>
      <w:bookmarkEnd w:id="770"/>
      <w:bookmarkEnd w:id="771"/>
      <w:bookmarkEnd w:id="772"/>
      <w:bookmarkEnd w:id="773"/>
      <w:bookmarkEnd w:id="774"/>
      <w:bookmarkEnd w:id="775"/>
      <w:bookmarkEnd w:id="776"/>
      <w:bookmarkEnd w:id="780"/>
      <w:bookmarkEnd w:id="781"/>
      <w:bookmarkEnd w:id="782"/>
      <w:bookmarkEnd w:id="783"/>
    </w:p>
    <w:p w14:paraId="3FF743D0">
      <w:pPr>
        <w:autoSpaceDE w:val="0"/>
        <w:autoSpaceDN w:val="0"/>
        <w:adjustRightInd w:val="0"/>
        <w:spacing w:line="360" w:lineRule="auto"/>
        <w:jc w:val="left"/>
        <w:rPr>
          <w:rFonts w:ascii="宋体" w:hAnsi="宋体" w:eastAsia="宋体" w:cs="宋体"/>
          <w:color w:val="auto"/>
          <w:szCs w:val="24"/>
          <w:highlight w:val="none"/>
        </w:rPr>
      </w:pPr>
    </w:p>
    <w:p w14:paraId="1CCF1178">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784" w:name="_Toc31832_WPSOffice_Level3"/>
      <w:r>
        <w:rPr>
          <w:rFonts w:hint="eastAsia" w:ascii="宋体" w:hAnsi="宋体" w:eastAsia="宋体" w:cs="宋体"/>
          <w:b/>
          <w:bCs/>
          <w:color w:val="auto"/>
          <w:kern w:val="0"/>
          <w:sz w:val="24"/>
          <w:szCs w:val="24"/>
          <w:highlight w:val="none"/>
        </w:rPr>
        <w:t>投标保证金汇入情况说明</w:t>
      </w:r>
      <w:bookmarkEnd w:id="784"/>
    </w:p>
    <w:p w14:paraId="355D6488">
      <w:pPr>
        <w:autoSpaceDE w:val="0"/>
        <w:autoSpaceDN w:val="0"/>
        <w:adjustRightInd w:val="0"/>
        <w:spacing w:line="360" w:lineRule="auto"/>
        <w:jc w:val="center"/>
        <w:rPr>
          <w:rFonts w:ascii="宋体" w:hAnsi="宋体" w:eastAsia="宋体" w:cs="宋体"/>
          <w:b/>
          <w:bCs/>
          <w:color w:val="auto"/>
          <w:kern w:val="0"/>
          <w:szCs w:val="24"/>
          <w:highlight w:val="none"/>
        </w:rPr>
      </w:pPr>
    </w:p>
    <w:p w14:paraId="0B02B25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东莞市水务集团建设管理有限公司</w:t>
      </w:r>
      <w:r>
        <w:rPr>
          <w:rFonts w:hint="eastAsia" w:ascii="宋体" w:hAnsi="宋体" w:eastAsia="宋体" w:cs="宋体"/>
          <w:color w:val="auto"/>
          <w:szCs w:val="21"/>
          <w:highlight w:val="none"/>
        </w:rPr>
        <w:t>：</w:t>
      </w:r>
    </w:p>
    <w:p w14:paraId="23D0BE7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珠三角水资源配置工程东莞配套芦花坑水厂一期配水管线工程-C标段第三方检测服务采购项目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WTZB2025DG0004</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7360AB5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0C956A5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128CAEBD">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12DD566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0777B4A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73252C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5088FA5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4DBE4B5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0C5BC988">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09F5C4FB">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266CAF4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2DF746AF">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154FA5E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35C7954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AB1893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63A92252">
      <w:pPr>
        <w:spacing w:line="360" w:lineRule="auto"/>
        <w:ind w:left="340" w:leftChars="162" w:firstLine="425"/>
        <w:rPr>
          <w:rFonts w:ascii="宋体" w:hAnsi="宋体" w:eastAsia="宋体" w:cs="宋体"/>
          <w:b/>
          <w:bCs/>
          <w:color w:val="auto"/>
          <w:szCs w:val="21"/>
          <w:highlight w:val="none"/>
        </w:rPr>
      </w:pPr>
      <w:bookmarkStart w:id="785" w:name="_Toc26208_WPSOffice_Level3"/>
      <w:r>
        <w:rPr>
          <w:rFonts w:hint="eastAsia" w:ascii="宋体" w:hAnsi="宋体" w:eastAsia="宋体" w:cs="宋体"/>
          <w:b/>
          <w:bCs/>
          <w:color w:val="auto"/>
          <w:szCs w:val="21"/>
          <w:highlight w:val="none"/>
        </w:rPr>
        <w:t>附：1、我方投标保证金汇款凭证（复印件）</w:t>
      </w:r>
      <w:bookmarkEnd w:id="785"/>
    </w:p>
    <w:p w14:paraId="06397622">
      <w:pPr>
        <w:spacing w:line="360" w:lineRule="auto"/>
        <w:ind w:left="340" w:leftChars="162" w:firstLine="839" w:firstLineChars="398"/>
        <w:rPr>
          <w:rFonts w:ascii="宋体" w:hAnsi="宋体" w:eastAsia="宋体" w:cs="宋体"/>
          <w:b/>
          <w:bCs/>
          <w:color w:val="auto"/>
          <w:szCs w:val="21"/>
          <w:highlight w:val="none"/>
        </w:rPr>
      </w:pPr>
      <w:bookmarkStart w:id="786" w:name="_Toc12992_WPSOffice_Level3"/>
      <w:r>
        <w:rPr>
          <w:rFonts w:hint="eastAsia" w:ascii="宋体" w:hAnsi="宋体" w:eastAsia="宋体" w:cs="宋体"/>
          <w:b/>
          <w:bCs/>
          <w:color w:val="auto"/>
          <w:szCs w:val="21"/>
          <w:highlight w:val="none"/>
        </w:rPr>
        <w:t>2、我方基本账户开户许可证（复印件）</w:t>
      </w:r>
      <w:bookmarkEnd w:id="786"/>
    </w:p>
    <w:p w14:paraId="263C3024">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612A4470">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427DFD87">
      <w:pPr>
        <w:spacing w:line="360" w:lineRule="auto"/>
        <w:rPr>
          <w:rFonts w:ascii="宋体" w:hAnsi="宋体" w:eastAsia="宋体" w:cs="宋体"/>
          <w:b/>
          <w:color w:val="auto"/>
          <w:kern w:val="0"/>
          <w:szCs w:val="21"/>
          <w:highlight w:val="none"/>
        </w:rPr>
      </w:pPr>
      <w:bookmarkStart w:id="787" w:name="_Toc533708134"/>
      <w:bookmarkStart w:id="788" w:name="_Toc486167721"/>
    </w:p>
    <w:p w14:paraId="0690A0DE">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789" w:name="_Toc140596939"/>
      <w:bookmarkStart w:id="790" w:name="_Toc1977738"/>
      <w:bookmarkStart w:id="791" w:name="_Toc102860428"/>
      <w:bookmarkStart w:id="792" w:name="_Toc142508379"/>
      <w:bookmarkStart w:id="793" w:name="_Toc94107221"/>
      <w:bookmarkStart w:id="794" w:name="_Toc104991886"/>
      <w:bookmarkStart w:id="795" w:name="_Toc24616"/>
      <w:bookmarkStart w:id="796" w:name="_Toc102860084"/>
    </w:p>
    <w:p w14:paraId="0B9CF654">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7136FBD8">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bookmarkStart w:id="797" w:name="_Toc3426"/>
      <w:bookmarkStart w:id="798" w:name="_Toc26712"/>
      <w:bookmarkStart w:id="799" w:name="_Toc24583"/>
      <w:bookmarkStart w:id="800" w:name="_Toc24314"/>
      <w:bookmarkStart w:id="801" w:name="_Toc2007"/>
      <w:bookmarkStart w:id="802" w:name="_Toc29652"/>
      <w:r>
        <w:rPr>
          <w:rFonts w:hint="eastAsia" w:ascii="宋体" w:hAnsi="宋体" w:eastAsia="宋体" w:cs="宋体"/>
          <w:b/>
          <w:bCs/>
          <w:color w:val="auto"/>
          <w:kern w:val="0"/>
          <w:sz w:val="32"/>
          <w:szCs w:val="32"/>
          <w:highlight w:val="none"/>
          <w:lang w:val="zh-CN" w:eastAsia="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eastAsia="zh-CN"/>
        </w:rPr>
        <w:t>、投标人“东莞市工程质量检测监管平台”完成注册备案相关网页截图或中标后在7个工作日内完成备案的承诺函（投标人自行拟定）</w:t>
      </w:r>
      <w:r>
        <w:rPr>
          <w:rFonts w:hint="eastAsia" w:ascii="宋体" w:hAnsi="宋体" w:eastAsia="宋体" w:cs="宋体"/>
          <w:b/>
          <w:bCs/>
          <w:color w:val="auto"/>
          <w:kern w:val="0"/>
          <w:sz w:val="32"/>
          <w:szCs w:val="32"/>
          <w:highlight w:val="none"/>
          <w:lang w:val="zh-CN"/>
        </w:rPr>
        <w:br w:type="page"/>
      </w:r>
      <w:bookmarkEnd w:id="797"/>
      <w:bookmarkEnd w:id="798"/>
      <w:bookmarkEnd w:id="799"/>
    </w:p>
    <w:p w14:paraId="200D745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803" w:name="_Toc30161"/>
      <w:bookmarkStart w:id="804" w:name="_Toc24276"/>
      <w:bookmarkStart w:id="805" w:name="_Toc15482"/>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789"/>
      <w:bookmarkEnd w:id="790"/>
      <w:bookmarkEnd w:id="791"/>
      <w:bookmarkEnd w:id="792"/>
      <w:bookmarkEnd w:id="793"/>
      <w:bookmarkEnd w:id="794"/>
      <w:bookmarkEnd w:id="795"/>
      <w:bookmarkEnd w:id="796"/>
      <w:bookmarkEnd w:id="800"/>
      <w:bookmarkEnd w:id="801"/>
      <w:bookmarkEnd w:id="802"/>
      <w:bookmarkEnd w:id="803"/>
      <w:bookmarkEnd w:id="804"/>
      <w:bookmarkEnd w:id="805"/>
    </w:p>
    <w:p w14:paraId="63478BBD">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806" w:name="_Toc94107222"/>
      <w:bookmarkStart w:id="807" w:name="_Toc14906"/>
      <w:bookmarkStart w:id="808" w:name="_Toc142508380"/>
      <w:bookmarkStart w:id="809" w:name="_Toc27482"/>
      <w:bookmarkStart w:id="810" w:name="_Toc1977739"/>
      <w:bookmarkStart w:id="811" w:name="_Toc104991887"/>
      <w:bookmarkStart w:id="812" w:name="_Toc25743"/>
      <w:bookmarkStart w:id="813" w:name="_Toc140596940"/>
      <w:bookmarkStart w:id="814" w:name="_Toc18038"/>
      <w:bookmarkStart w:id="815" w:name="_Toc102860429"/>
      <w:bookmarkStart w:id="816" w:name="_Toc1120"/>
      <w:bookmarkStart w:id="817" w:name="_Toc7161"/>
      <w:bookmarkStart w:id="818" w:name="_Toc102860085"/>
      <w:bookmarkStart w:id="819" w:name="_Toc31916"/>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787"/>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6C1A5799">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1750432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eastAsia="zh-CN"/>
        </w:rPr>
        <w:t>14.</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04A21515">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2、检测方案（投标人自行编写</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p>
    <w:p w14:paraId="630EE840">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3、检测设备；</w:t>
      </w:r>
    </w:p>
    <w:p w14:paraId="44AF9927">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4、检测场所及环境；</w:t>
      </w:r>
    </w:p>
    <w:p w14:paraId="0C917680">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、检测成果准确性承诺书（</w:t>
      </w:r>
      <w:r>
        <w:rPr>
          <w:rFonts w:hint="default" w:ascii="宋体" w:hAnsi="宋体" w:eastAsia="宋体" w:cs="Times New Roman"/>
          <w:color w:val="auto"/>
          <w:szCs w:val="21"/>
          <w:highlight w:val="none"/>
          <w:lang w:val="zh-CN"/>
        </w:rPr>
        <w:t>详</w:t>
      </w:r>
      <w:r>
        <w:rPr>
          <w:rFonts w:hint="eastAsia" w:ascii="宋体" w:hAnsi="宋体" w:eastAsia="宋体" w:cs="宋体"/>
          <w:color w:val="auto"/>
          <w:kern w:val="0"/>
          <w:szCs w:val="21"/>
          <w:highlight w:val="none"/>
          <w:lang w:val="zh-CN"/>
        </w:rPr>
        <w:t>见14.</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检测成果准确性承诺书格式）；</w:t>
      </w:r>
    </w:p>
    <w:p w14:paraId="18A7D15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、服务响应时间承诺书（</w:t>
      </w:r>
      <w:r>
        <w:rPr>
          <w:rFonts w:hint="default" w:ascii="宋体" w:hAnsi="宋体" w:eastAsia="宋体" w:cs="Times New Roman"/>
          <w:color w:val="auto"/>
          <w:szCs w:val="21"/>
          <w:highlight w:val="none"/>
          <w:lang w:val="zh-CN"/>
        </w:rPr>
        <w:t>详</w:t>
      </w:r>
      <w:r>
        <w:rPr>
          <w:rFonts w:hint="eastAsia" w:ascii="宋体" w:hAnsi="宋体" w:eastAsia="宋体" w:cs="宋体"/>
          <w:color w:val="auto"/>
          <w:kern w:val="0"/>
          <w:szCs w:val="21"/>
          <w:highlight w:val="none"/>
          <w:lang w:val="zh-CN"/>
        </w:rPr>
        <w:t>见14.</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服务响应时间承诺书格式）；</w:t>
      </w:r>
    </w:p>
    <w:p w14:paraId="798E746B">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272FBCDD">
      <w:pPr>
        <w:pStyle w:val="3"/>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788"/>
      <w:bookmarkStart w:id="820" w:name="_Toc94107223"/>
      <w:bookmarkStart w:id="821" w:name="_Toc102860086"/>
      <w:bookmarkStart w:id="822" w:name="_Toc104991888"/>
      <w:bookmarkStart w:id="823" w:name="_Toc102860430"/>
      <w:bookmarkStart w:id="824" w:name="_Toc533708135"/>
      <w:bookmarkStart w:id="825" w:name="_Toc140596941"/>
      <w:bookmarkStart w:id="826" w:name="_Toc142508381"/>
      <w:bookmarkStart w:id="827" w:name="_Toc1977740"/>
    </w:p>
    <w:p w14:paraId="335B9FB9">
      <w:pPr>
        <w:pStyle w:val="3"/>
        <w:spacing w:line="360" w:lineRule="auto"/>
        <w:jc w:val="center"/>
        <w:rPr>
          <w:rFonts w:hint="eastAsia" w:ascii="宋体" w:hAnsi="宋体" w:eastAsia="宋体" w:cs="宋体"/>
          <w:b/>
          <w:color w:val="auto"/>
          <w:kern w:val="0"/>
          <w:szCs w:val="21"/>
          <w:highlight w:val="none"/>
        </w:rPr>
      </w:pPr>
    </w:p>
    <w:p w14:paraId="5549ED81">
      <w:pPr>
        <w:pStyle w:val="3"/>
        <w:spacing w:line="360" w:lineRule="auto"/>
        <w:jc w:val="center"/>
        <w:rPr>
          <w:rFonts w:hint="eastAsia" w:ascii="宋体" w:hAnsi="宋体" w:eastAsia="宋体" w:cs="宋体"/>
          <w:b/>
          <w:color w:val="auto"/>
          <w:kern w:val="0"/>
          <w:szCs w:val="21"/>
          <w:highlight w:val="none"/>
        </w:rPr>
      </w:pPr>
    </w:p>
    <w:p w14:paraId="6CADD855">
      <w:pPr>
        <w:pStyle w:val="3"/>
        <w:spacing w:line="360" w:lineRule="auto"/>
        <w:jc w:val="center"/>
        <w:rPr>
          <w:rFonts w:hint="eastAsia" w:ascii="宋体" w:hAnsi="宋体" w:eastAsia="宋体" w:cs="宋体"/>
          <w:b/>
          <w:color w:val="auto"/>
          <w:kern w:val="0"/>
          <w:szCs w:val="21"/>
          <w:highlight w:val="none"/>
        </w:rPr>
      </w:pPr>
    </w:p>
    <w:p w14:paraId="2850B24E">
      <w:pPr>
        <w:pStyle w:val="3"/>
        <w:spacing w:line="360" w:lineRule="auto"/>
        <w:jc w:val="center"/>
        <w:rPr>
          <w:rFonts w:hint="eastAsia" w:ascii="宋体" w:hAnsi="宋体" w:eastAsia="宋体" w:cs="宋体"/>
          <w:b/>
          <w:color w:val="auto"/>
          <w:kern w:val="0"/>
          <w:szCs w:val="21"/>
          <w:highlight w:val="none"/>
        </w:rPr>
      </w:pPr>
    </w:p>
    <w:p w14:paraId="4DC4E72F">
      <w:pPr>
        <w:pStyle w:val="3"/>
        <w:spacing w:line="360" w:lineRule="auto"/>
        <w:jc w:val="center"/>
        <w:rPr>
          <w:rFonts w:hint="eastAsia" w:ascii="宋体" w:hAnsi="宋体" w:eastAsia="宋体" w:cs="宋体"/>
          <w:b/>
          <w:color w:val="auto"/>
          <w:kern w:val="0"/>
          <w:szCs w:val="21"/>
          <w:highlight w:val="none"/>
        </w:rPr>
      </w:pPr>
    </w:p>
    <w:p w14:paraId="78EA603B">
      <w:pPr>
        <w:pStyle w:val="3"/>
        <w:spacing w:line="360" w:lineRule="auto"/>
        <w:jc w:val="center"/>
        <w:rPr>
          <w:rFonts w:hint="eastAsia" w:ascii="宋体" w:hAnsi="宋体" w:eastAsia="宋体" w:cs="宋体"/>
          <w:b/>
          <w:color w:val="auto"/>
          <w:kern w:val="0"/>
          <w:szCs w:val="21"/>
          <w:highlight w:val="none"/>
        </w:rPr>
      </w:pPr>
    </w:p>
    <w:p w14:paraId="77E4E642">
      <w:pPr>
        <w:pStyle w:val="3"/>
        <w:spacing w:line="360" w:lineRule="auto"/>
        <w:jc w:val="center"/>
        <w:rPr>
          <w:rFonts w:hint="eastAsia" w:ascii="宋体" w:hAnsi="宋体" w:eastAsia="宋体" w:cs="宋体"/>
          <w:b/>
          <w:color w:val="auto"/>
          <w:kern w:val="0"/>
          <w:szCs w:val="21"/>
          <w:highlight w:val="none"/>
        </w:rPr>
      </w:pPr>
    </w:p>
    <w:p w14:paraId="441DDF06">
      <w:pPr>
        <w:pStyle w:val="3"/>
        <w:spacing w:line="360" w:lineRule="auto"/>
        <w:jc w:val="center"/>
        <w:rPr>
          <w:rFonts w:hint="eastAsia" w:ascii="宋体" w:hAnsi="宋体" w:eastAsia="宋体" w:cs="宋体"/>
          <w:b/>
          <w:color w:val="auto"/>
          <w:kern w:val="0"/>
          <w:szCs w:val="21"/>
          <w:highlight w:val="none"/>
        </w:rPr>
      </w:pPr>
    </w:p>
    <w:p w14:paraId="7AA0E577">
      <w:pPr>
        <w:pStyle w:val="3"/>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86FA751">
      <w:pPr>
        <w:pStyle w:val="3"/>
        <w:spacing w:line="360" w:lineRule="auto"/>
        <w:rPr>
          <w:rFonts w:hint="eastAsia" w:ascii="宋体" w:hAnsi="宋体" w:eastAsia="宋体" w:cs="宋体"/>
          <w:color w:val="auto"/>
          <w:highlight w:val="none"/>
        </w:rPr>
      </w:pPr>
    </w:p>
    <w:p w14:paraId="4E6BA3FA">
      <w:pPr>
        <w:pStyle w:val="3"/>
        <w:spacing w:line="360" w:lineRule="auto"/>
        <w:rPr>
          <w:rFonts w:hint="eastAsia" w:ascii="宋体" w:hAnsi="宋体" w:eastAsia="宋体" w:cs="宋体"/>
          <w:color w:val="auto"/>
          <w:highlight w:val="none"/>
        </w:rPr>
      </w:pPr>
    </w:p>
    <w:p w14:paraId="0C692965">
      <w:pPr>
        <w:pStyle w:val="3"/>
        <w:spacing w:line="360" w:lineRule="auto"/>
        <w:rPr>
          <w:rFonts w:hint="eastAsia" w:ascii="宋体" w:hAnsi="宋体" w:eastAsia="宋体" w:cs="宋体"/>
          <w:color w:val="auto"/>
          <w:highlight w:val="none"/>
        </w:rPr>
      </w:pPr>
    </w:p>
    <w:p w14:paraId="5502A4E2">
      <w:pPr>
        <w:pStyle w:val="3"/>
        <w:spacing w:line="360" w:lineRule="auto"/>
        <w:rPr>
          <w:rFonts w:hint="eastAsia" w:ascii="宋体" w:hAnsi="宋体" w:eastAsia="宋体" w:cs="宋体"/>
          <w:color w:val="auto"/>
          <w:highlight w:val="none"/>
        </w:rPr>
      </w:pPr>
    </w:p>
    <w:p w14:paraId="2D9DF169">
      <w:pPr>
        <w:pStyle w:val="3"/>
        <w:spacing w:line="360" w:lineRule="auto"/>
        <w:rPr>
          <w:rFonts w:hint="eastAsia" w:ascii="宋体" w:hAnsi="宋体" w:eastAsia="宋体" w:cs="宋体"/>
          <w:color w:val="auto"/>
          <w:highlight w:val="none"/>
        </w:rPr>
      </w:pPr>
    </w:p>
    <w:p w14:paraId="534A587E">
      <w:pPr>
        <w:pStyle w:val="3"/>
        <w:spacing w:line="360" w:lineRule="auto"/>
        <w:rPr>
          <w:rFonts w:hint="eastAsia" w:ascii="宋体" w:hAnsi="宋体" w:eastAsia="宋体" w:cs="宋体"/>
          <w:color w:val="auto"/>
          <w:highlight w:val="none"/>
        </w:rPr>
      </w:pPr>
    </w:p>
    <w:p w14:paraId="14F30186">
      <w:pPr>
        <w:pStyle w:val="3"/>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招标编号：</w:t>
      </w:r>
      <w:r>
        <w:rPr>
          <w:rFonts w:hint="eastAsia" w:ascii="宋体" w:hAnsi="宋体" w:cs="宋体"/>
          <w:color w:val="auto"/>
          <w:sz w:val="30"/>
          <w:highlight w:val="none"/>
          <w:u w:val="single"/>
          <w:lang w:eastAsia="zh-CN"/>
        </w:rPr>
        <w:t>WTZB2025DG0004</w:t>
      </w:r>
    </w:p>
    <w:p w14:paraId="51828A03">
      <w:pPr>
        <w:pStyle w:val="3"/>
        <w:spacing w:line="360" w:lineRule="auto"/>
        <w:rPr>
          <w:rFonts w:hint="eastAsia" w:ascii="宋体" w:hAnsi="宋体" w:eastAsia="宋体" w:cs="宋体"/>
          <w:color w:val="auto"/>
          <w:sz w:val="30"/>
          <w:highlight w:val="none"/>
          <w:u w:val="single"/>
          <w:lang w:eastAsia="zh-CN"/>
        </w:rPr>
      </w:pPr>
      <w:r>
        <w:rPr>
          <w:rFonts w:hint="eastAsia" w:ascii="宋体" w:hAnsi="宋体" w:eastAsia="宋体" w:cs="宋体"/>
          <w:color w:val="auto"/>
          <w:sz w:val="30"/>
          <w:highlight w:val="none"/>
        </w:rPr>
        <w:t>项目名称：</w:t>
      </w:r>
      <w:r>
        <w:rPr>
          <w:rFonts w:hint="eastAsia" w:ascii="宋体" w:hAnsi="宋体" w:cs="宋体"/>
          <w:color w:val="auto"/>
          <w:sz w:val="30"/>
          <w:highlight w:val="none"/>
          <w:u w:val="single"/>
          <w:lang w:eastAsia="zh-CN"/>
        </w:rPr>
        <w:t>珠三角水资源配置工程东莞配套芦花坑水厂一期配水管线工程-C标段第三方检测服务采购项目</w:t>
      </w:r>
    </w:p>
    <w:p w14:paraId="536B84D9">
      <w:pPr>
        <w:pStyle w:val="3"/>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3C74FB88">
      <w:pPr>
        <w:pStyle w:val="3"/>
        <w:spacing w:line="360" w:lineRule="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t>招标人：</w:t>
      </w:r>
      <w:r>
        <w:rPr>
          <w:rFonts w:hint="eastAsia" w:ascii="宋体" w:hAnsi="宋体" w:cs="宋体"/>
          <w:color w:val="auto"/>
          <w:sz w:val="30"/>
          <w:highlight w:val="none"/>
          <w:u w:val="single"/>
          <w:lang w:eastAsia="zh-CN"/>
        </w:rPr>
        <w:t>东莞市水务集团建设管理有限公司</w:t>
      </w:r>
    </w:p>
    <w:p w14:paraId="03CFBEDE">
      <w:pPr>
        <w:pStyle w:val="3"/>
        <w:spacing w:line="360" w:lineRule="auto"/>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F2C1AA9">
      <w:pPr>
        <w:pStyle w:val="3"/>
        <w:spacing w:line="360" w:lineRule="auto"/>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1D357522">
      <w:pPr>
        <w:pStyle w:val="3"/>
        <w:spacing w:line="360" w:lineRule="auto"/>
        <w:rPr>
          <w:rFonts w:hint="eastAsia" w:ascii="宋体" w:hAnsi="宋体" w:eastAsia="宋体" w:cs="宋体"/>
          <w:color w:val="auto"/>
          <w:highlight w:val="none"/>
        </w:rPr>
      </w:pPr>
    </w:p>
    <w:p w14:paraId="46961512">
      <w:pPr>
        <w:pStyle w:val="3"/>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6B94F09">
      <w:pPr>
        <w:pStyle w:val="3"/>
        <w:spacing w:line="360" w:lineRule="auto"/>
        <w:rPr>
          <w:rFonts w:hint="eastAsia" w:ascii="宋体" w:hAnsi="宋体" w:eastAsia="宋体" w:cs="宋体"/>
          <w:color w:val="auto"/>
          <w:highlight w:val="none"/>
        </w:rPr>
      </w:pPr>
    </w:p>
    <w:p w14:paraId="43586D0A">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10368"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2171"/>
        <w:gridCol w:w="4045"/>
      </w:tblGrid>
      <w:tr w14:paraId="17EDEC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1379" w:type="dxa"/>
            <w:vAlign w:val="center"/>
          </w:tcPr>
          <w:p w14:paraId="2B0F51E7">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14:paraId="3ECB9B4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2171" w:type="dxa"/>
            <w:vAlign w:val="center"/>
          </w:tcPr>
          <w:p w14:paraId="5C50E922">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045" w:type="dxa"/>
            <w:tcBorders>
              <w:left w:val="single" w:color="auto" w:sz="4" w:space="0"/>
            </w:tcBorders>
            <w:vAlign w:val="center"/>
          </w:tcPr>
          <w:p w14:paraId="4AF10FE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0D64D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1379" w:type="dxa"/>
            <w:vAlign w:val="center"/>
          </w:tcPr>
          <w:p w14:paraId="5AA5ADD1">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14:paraId="4C8E1EB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171" w:type="dxa"/>
            <w:vAlign w:val="center"/>
          </w:tcPr>
          <w:p w14:paraId="743F4D99">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1C0B8D6B">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4FD88FB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1379" w:type="dxa"/>
            <w:vAlign w:val="center"/>
          </w:tcPr>
          <w:p w14:paraId="7FB75844">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773" w:type="dxa"/>
            <w:vAlign w:val="center"/>
          </w:tcPr>
          <w:p w14:paraId="02DD7CF8">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2171" w:type="dxa"/>
            <w:vAlign w:val="center"/>
          </w:tcPr>
          <w:p w14:paraId="07D2F116">
            <w:pPr>
              <w:keepNext w:val="0"/>
              <w:keepLines w:val="0"/>
              <w:suppressLineNumbers w:val="0"/>
              <w:spacing w:before="0" w:beforeAutospacing="0" w:after="0" w:afterAutospacing="0"/>
              <w:ind w:left="0" w:right="0"/>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750BBB67">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auto"/>
                <w:szCs w:val="21"/>
                <w:highlight w:val="none"/>
              </w:rPr>
            </w:pPr>
          </w:p>
        </w:tc>
      </w:tr>
      <w:tr w14:paraId="3ED581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1379" w:type="dxa"/>
            <w:vAlign w:val="center"/>
          </w:tcPr>
          <w:p w14:paraId="72B7318F">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vAlign w:val="center"/>
          </w:tcPr>
          <w:p w14:paraId="4A68674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71" w:type="dxa"/>
            <w:vAlign w:val="center"/>
          </w:tcPr>
          <w:p w14:paraId="4DD40004">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left w:val="single" w:color="auto" w:sz="4" w:space="0"/>
            </w:tcBorders>
            <w:vAlign w:val="center"/>
          </w:tcPr>
          <w:p w14:paraId="2D0AC42B">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auto"/>
                <w:szCs w:val="21"/>
                <w:highlight w:val="none"/>
              </w:rPr>
            </w:pPr>
          </w:p>
        </w:tc>
      </w:tr>
      <w:tr w14:paraId="70A3AC2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14:paraId="58DBDB9D">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14:paraId="00850FFF">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c>
          <w:tcPr>
            <w:tcW w:w="2171" w:type="dxa"/>
            <w:tcBorders>
              <w:top w:val="single" w:color="auto" w:sz="6" w:space="0"/>
              <w:left w:val="single" w:color="auto" w:sz="6" w:space="0"/>
              <w:bottom w:val="outset" w:color="808080" w:sz="6" w:space="0"/>
              <w:right w:val="single" w:color="auto" w:sz="6" w:space="0"/>
            </w:tcBorders>
            <w:vAlign w:val="center"/>
          </w:tcPr>
          <w:p w14:paraId="7D78EA8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top w:val="single" w:color="auto" w:sz="6" w:space="0"/>
              <w:left w:val="single" w:color="auto" w:sz="4" w:space="0"/>
              <w:bottom w:val="outset" w:color="808080" w:sz="6" w:space="0"/>
              <w:right w:val="single" w:color="auto" w:sz="6" w:space="0"/>
            </w:tcBorders>
            <w:vAlign w:val="center"/>
          </w:tcPr>
          <w:p w14:paraId="5F36CA41">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auto"/>
                <w:szCs w:val="21"/>
                <w:highlight w:val="none"/>
              </w:rPr>
            </w:pPr>
          </w:p>
        </w:tc>
      </w:tr>
      <w:tr w14:paraId="325102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14:paraId="6E65926A">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2171" w:type="dxa"/>
            <w:tcBorders>
              <w:bottom w:val="single" w:color="auto" w:sz="4" w:space="0"/>
            </w:tcBorders>
            <w:vAlign w:val="center"/>
          </w:tcPr>
          <w:p w14:paraId="2B4A837E">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c>
          <w:tcPr>
            <w:tcW w:w="4045" w:type="dxa"/>
            <w:tcBorders>
              <w:left w:val="single" w:color="auto" w:sz="4" w:space="0"/>
              <w:bottom w:val="single" w:color="auto" w:sz="4" w:space="0"/>
            </w:tcBorders>
            <w:vAlign w:val="center"/>
          </w:tcPr>
          <w:p w14:paraId="579A5511">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Cs w:val="21"/>
                <w:highlight w:val="none"/>
              </w:rPr>
            </w:pPr>
          </w:p>
        </w:tc>
      </w:tr>
    </w:tbl>
    <w:p w14:paraId="5639DC31">
      <w:pP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563A518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828" w:name="_Toc8275"/>
      <w:bookmarkStart w:id="829" w:name="_Toc5936"/>
      <w:bookmarkStart w:id="830" w:name="_Toc27934"/>
      <w:bookmarkStart w:id="831" w:name="_Toc18999"/>
      <w:bookmarkStart w:id="832" w:name="_Toc30448"/>
      <w:bookmarkStart w:id="833" w:name="_Toc3956"/>
      <w:bookmarkStart w:id="834" w:name="_Toc22700"/>
      <w:r>
        <w:rPr>
          <w:rFonts w:hint="eastAsia" w:ascii="宋体" w:hAnsi="宋体" w:eastAsia="宋体" w:cs="宋体"/>
          <w:b/>
          <w:color w:val="auto"/>
          <w:kern w:val="0"/>
          <w:sz w:val="30"/>
          <w:szCs w:val="30"/>
          <w:highlight w:val="none"/>
          <w:lang w:eastAsia="zh-CN"/>
        </w:rPr>
        <w:t>14.</w:t>
      </w:r>
      <w:r>
        <w:rPr>
          <w:rFonts w:hint="eastAsia" w:ascii="宋体" w:hAnsi="宋体" w:eastAsia="宋体" w:cs="宋体"/>
          <w:b/>
          <w:color w:val="auto"/>
          <w:kern w:val="0"/>
          <w:sz w:val="30"/>
          <w:szCs w:val="30"/>
          <w:highlight w:val="none"/>
        </w:rPr>
        <w:t>1 用户需求偏离表格式</w:t>
      </w:r>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p>
    <w:p w14:paraId="01410E39">
      <w:pPr>
        <w:spacing w:before="120" w:after="120" w:line="360" w:lineRule="auto"/>
        <w:jc w:val="center"/>
        <w:rPr>
          <w:rFonts w:ascii="宋体" w:hAnsi="宋体" w:eastAsia="宋体" w:cs="Times New Roman"/>
          <w:color w:val="auto"/>
          <w:kern w:val="0"/>
          <w:szCs w:val="21"/>
          <w:highlight w:val="none"/>
        </w:rPr>
      </w:pPr>
      <w:bookmarkStart w:id="835" w:name="_Toc17449_WPSOffice_Level3"/>
      <w:r>
        <w:rPr>
          <w:rFonts w:hint="eastAsia" w:ascii="宋体" w:hAnsi="宋体" w:eastAsia="宋体" w:cs="宋体"/>
          <w:b/>
          <w:color w:val="auto"/>
          <w:kern w:val="0"/>
          <w:sz w:val="30"/>
          <w:szCs w:val="30"/>
          <w:highlight w:val="none"/>
          <w:lang w:val="zh-CN"/>
        </w:rPr>
        <w:t>用户需求偏离表</w:t>
      </w:r>
      <w:bookmarkEnd w:id="835"/>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952"/>
        <w:gridCol w:w="6414"/>
        <w:gridCol w:w="722"/>
        <w:gridCol w:w="867"/>
        <w:gridCol w:w="815"/>
      </w:tblGrid>
      <w:tr w14:paraId="621C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restart"/>
            <w:vAlign w:val="center"/>
          </w:tcPr>
          <w:p w14:paraId="0FC2FCD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7366" w:type="dxa"/>
            <w:gridSpan w:val="2"/>
            <w:vAlign w:val="center"/>
          </w:tcPr>
          <w:p w14:paraId="3BBC5128">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404" w:type="dxa"/>
            <w:gridSpan w:val="3"/>
            <w:vAlign w:val="center"/>
          </w:tcPr>
          <w:p w14:paraId="4BCA4CB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2BBD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00" w:type="dxa"/>
            <w:vMerge w:val="continue"/>
            <w:vAlign w:val="center"/>
          </w:tcPr>
          <w:p w14:paraId="2B8E010E">
            <w:pPr>
              <w:keepNext/>
              <w:keepLines/>
              <w:suppressLineNumbers w:val="0"/>
              <w:spacing w:before="0" w:beforeAutospacing="0" w:after="0" w:afterAutospacing="0" w:line="400" w:lineRule="exact"/>
              <w:ind w:left="0" w:right="0"/>
              <w:jc w:val="center"/>
              <w:outlineLvl w:val="0"/>
              <w:rPr>
                <w:rFonts w:hint="default" w:ascii="宋体" w:hAnsi="宋体" w:eastAsia="宋体" w:cs="宋体"/>
                <w:color w:val="auto"/>
                <w:kern w:val="0"/>
                <w:sz w:val="21"/>
                <w:szCs w:val="21"/>
                <w:highlight w:val="none"/>
              </w:rPr>
            </w:pPr>
          </w:p>
        </w:tc>
        <w:tc>
          <w:tcPr>
            <w:tcW w:w="952" w:type="dxa"/>
            <w:vAlign w:val="center"/>
          </w:tcPr>
          <w:p w14:paraId="4E12FC77">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6414" w:type="dxa"/>
            <w:vAlign w:val="center"/>
          </w:tcPr>
          <w:p w14:paraId="543CF80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722" w:type="dxa"/>
            <w:vAlign w:val="center"/>
          </w:tcPr>
          <w:p w14:paraId="7E488101">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867" w:type="dxa"/>
            <w:vAlign w:val="center"/>
          </w:tcPr>
          <w:p w14:paraId="008303D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815" w:type="dxa"/>
            <w:vAlign w:val="center"/>
          </w:tcPr>
          <w:p w14:paraId="2E11532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4374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0" w:type="dxa"/>
            <w:vAlign w:val="center"/>
          </w:tcPr>
          <w:p w14:paraId="51D2B32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952" w:type="dxa"/>
            <w:vAlign w:val="center"/>
          </w:tcPr>
          <w:p w14:paraId="5272BE2E">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二</w:t>
            </w:r>
          </w:p>
        </w:tc>
        <w:tc>
          <w:tcPr>
            <w:tcW w:w="6414" w:type="dxa"/>
            <w:vAlign w:val="center"/>
          </w:tcPr>
          <w:p w14:paraId="1952896E">
            <w:pPr>
              <w:keepNext w:val="0"/>
              <w:keepLines w:val="0"/>
              <w:widowControl w:val="0"/>
              <w:suppressLineNumbers w:val="0"/>
              <w:wordWrap/>
              <w:autoSpaceDE w:val="0"/>
              <w:autoSpaceDN w:val="0"/>
              <w:adjustRightInd w:val="0"/>
              <w:spacing w:before="0" w:beforeAutospacing="0" w:after="0" w:afterAutospacing="0" w:line="240" w:lineRule="auto"/>
              <w:ind w:left="0" w:right="0" w:firstLine="0" w:firstLineChars="0"/>
              <w:jc w:val="left"/>
              <w:textAlignment w:val="auto"/>
              <w:rPr>
                <w:rFonts w:hint="default" w:ascii="宋体" w:hAnsi="宋体" w:eastAsia="宋体" w:cs="Times New Roman"/>
                <w:b w:val="0"/>
                <w:bCs/>
                <w:color w:val="auto"/>
                <w:kern w:val="0"/>
                <w:sz w:val="21"/>
                <w:szCs w:val="21"/>
                <w:highlight w:val="none"/>
              </w:rPr>
            </w:pPr>
            <w:r>
              <w:rPr>
                <w:rFonts w:hint="eastAsia" w:ascii="宋体" w:hAnsi="宋体" w:eastAsia="宋体" w:cs="Times New Roman"/>
                <w:b w:val="0"/>
                <w:bCs/>
                <w:color w:val="auto"/>
                <w:kern w:val="0"/>
                <w:sz w:val="21"/>
                <w:szCs w:val="21"/>
                <w:highlight w:val="none"/>
              </w:rPr>
              <w:t>总体服务要求</w:t>
            </w:r>
          </w:p>
        </w:tc>
        <w:tc>
          <w:tcPr>
            <w:tcW w:w="722" w:type="dxa"/>
            <w:vAlign w:val="center"/>
          </w:tcPr>
          <w:p w14:paraId="223463C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0077704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40DD31F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1C9B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106CA6A1">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952" w:type="dxa"/>
            <w:vAlign w:val="center"/>
          </w:tcPr>
          <w:p w14:paraId="75256A1F">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三</w:t>
            </w:r>
          </w:p>
        </w:tc>
        <w:tc>
          <w:tcPr>
            <w:tcW w:w="6414" w:type="dxa"/>
            <w:vAlign w:val="center"/>
          </w:tcPr>
          <w:p w14:paraId="0B1B5DD7">
            <w:pPr>
              <w:keepNext w:val="0"/>
              <w:keepLines w:val="0"/>
              <w:widowControl w:val="0"/>
              <w:suppressLineNumbers w:val="0"/>
              <w:wordWrap/>
              <w:adjustRightInd w:val="0"/>
              <w:snapToGrid w:val="0"/>
              <w:spacing w:before="0" w:beforeAutospacing="0" w:after="0" w:afterAutospacing="0" w:line="240" w:lineRule="auto"/>
              <w:ind w:left="0" w:right="0" w:firstLine="0" w:firstLineChars="0"/>
              <w:jc w:val="left"/>
              <w:textAlignment w:val="auto"/>
              <w:rPr>
                <w:rFonts w:hint="default" w:ascii="宋体" w:hAnsi="宋体" w:eastAsia="宋体" w:cs="Times New Roman"/>
                <w:b w:val="0"/>
                <w:bCs/>
                <w:color w:val="auto"/>
                <w:sz w:val="21"/>
                <w:szCs w:val="21"/>
                <w:highlight w:val="none"/>
              </w:rPr>
            </w:pPr>
            <w:r>
              <w:rPr>
                <w:rFonts w:hint="eastAsia" w:ascii="宋体" w:hAnsi="宋体" w:eastAsia="宋体" w:cs="Times New Roman"/>
                <w:b w:val="0"/>
                <w:bCs/>
                <w:color w:val="auto"/>
                <w:sz w:val="21"/>
                <w:szCs w:val="21"/>
                <w:highlight w:val="none"/>
              </w:rPr>
              <w:t>合同价款</w:t>
            </w:r>
          </w:p>
        </w:tc>
        <w:tc>
          <w:tcPr>
            <w:tcW w:w="722" w:type="dxa"/>
            <w:vAlign w:val="center"/>
          </w:tcPr>
          <w:p w14:paraId="373C15B9">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525716D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5AF7D3D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748D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7B2D1CF7">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952" w:type="dxa"/>
            <w:vAlign w:val="center"/>
          </w:tcPr>
          <w:p w14:paraId="7BDC326C">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b w:val="0"/>
                <w:bCs/>
                <w:color w:val="auto"/>
                <w:sz w:val="21"/>
                <w:szCs w:val="21"/>
                <w:highlight w:val="none"/>
                <w:lang w:val="en-US" w:eastAsia="zh-CN"/>
              </w:rPr>
            </w:pPr>
            <w:r>
              <w:rPr>
                <w:rFonts w:hint="eastAsia" w:ascii="宋体" w:hAnsi="宋体" w:eastAsia="宋体"/>
                <w:b w:val="0"/>
                <w:bCs/>
                <w:color w:val="auto"/>
                <w:sz w:val="21"/>
                <w:szCs w:val="21"/>
                <w:highlight w:val="none"/>
                <w:lang w:val="en-US" w:eastAsia="zh-CN"/>
              </w:rPr>
              <w:t>四</w:t>
            </w:r>
          </w:p>
        </w:tc>
        <w:tc>
          <w:tcPr>
            <w:tcW w:w="6414" w:type="dxa"/>
            <w:vAlign w:val="center"/>
          </w:tcPr>
          <w:p w14:paraId="17C376C7">
            <w:pPr>
              <w:keepNext w:val="0"/>
              <w:keepLines w:val="0"/>
              <w:widowControl w:val="0"/>
              <w:suppressLineNumbers w:val="0"/>
              <w:wordWrap/>
              <w:spacing w:before="0" w:beforeAutospacing="0" w:after="0" w:afterAutospacing="0" w:line="240" w:lineRule="auto"/>
              <w:ind w:left="0" w:right="0" w:firstLine="0" w:firstLineChars="0"/>
              <w:jc w:val="left"/>
              <w:textAlignment w:val="auto"/>
              <w:rPr>
                <w:rFonts w:hint="default"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费用支付</w:t>
            </w:r>
          </w:p>
        </w:tc>
        <w:tc>
          <w:tcPr>
            <w:tcW w:w="722" w:type="dxa"/>
            <w:vAlign w:val="center"/>
          </w:tcPr>
          <w:p w14:paraId="2E480134">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09D2F476">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5A000905">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315B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45344E5C">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952" w:type="dxa"/>
            <w:vAlign w:val="center"/>
          </w:tcPr>
          <w:p w14:paraId="1753C2D9">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default" w:ascii="宋体" w:hAnsi="宋体" w:eastAsia="宋体"/>
                <w:b w:val="0"/>
                <w:bCs/>
                <w:color w:val="auto"/>
                <w:sz w:val="21"/>
                <w:szCs w:val="21"/>
                <w:highlight w:val="none"/>
                <w:lang w:val="zh-CN"/>
              </w:rPr>
            </w:pPr>
            <w:r>
              <w:rPr>
                <w:rFonts w:hint="eastAsia" w:ascii="宋体" w:hAnsi="宋体" w:eastAsia="宋体"/>
                <w:b w:val="0"/>
                <w:bCs/>
                <w:color w:val="auto"/>
                <w:sz w:val="21"/>
                <w:szCs w:val="21"/>
                <w:highlight w:val="none"/>
                <w:lang w:val="zh-CN"/>
              </w:rPr>
              <w:t>五</w:t>
            </w:r>
          </w:p>
        </w:tc>
        <w:tc>
          <w:tcPr>
            <w:tcW w:w="6414" w:type="dxa"/>
            <w:vAlign w:val="center"/>
          </w:tcPr>
          <w:p w14:paraId="3CF504DD">
            <w:pPr>
              <w:keepNext w:val="0"/>
              <w:keepLines w:val="0"/>
              <w:widowControl w:val="0"/>
              <w:suppressLineNumbers w:val="0"/>
              <w:wordWrap/>
              <w:spacing w:before="0" w:beforeAutospacing="0" w:after="0" w:afterAutospacing="0" w:line="240" w:lineRule="auto"/>
              <w:ind w:left="0" w:right="0" w:firstLine="0" w:firstLineChars="0"/>
              <w:jc w:val="left"/>
              <w:textAlignment w:val="auto"/>
              <w:rPr>
                <w:rFonts w:hint="default"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考核制度</w:t>
            </w:r>
          </w:p>
        </w:tc>
        <w:tc>
          <w:tcPr>
            <w:tcW w:w="722" w:type="dxa"/>
            <w:vAlign w:val="center"/>
          </w:tcPr>
          <w:p w14:paraId="52BDA2E1">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7ED33B1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277CDEFD">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r w14:paraId="6111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0" w:type="dxa"/>
            <w:vAlign w:val="center"/>
          </w:tcPr>
          <w:p w14:paraId="07C4DC7A">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952" w:type="dxa"/>
            <w:vAlign w:val="center"/>
          </w:tcPr>
          <w:p w14:paraId="0A3BA525">
            <w:pPr>
              <w:keepNext w:val="0"/>
              <w:keepLines w:val="0"/>
              <w:widowControl w:val="0"/>
              <w:suppressLineNumbers w:val="0"/>
              <w:wordWrap/>
              <w:adjustRightInd/>
              <w:snapToGrid/>
              <w:spacing w:before="0" w:beforeAutospacing="0" w:after="0" w:afterAutospacing="0" w:line="240" w:lineRule="auto"/>
              <w:ind w:left="0" w:right="0"/>
              <w:jc w:val="center"/>
              <w:textAlignment w:val="auto"/>
              <w:rPr>
                <w:rFonts w:hint="eastAsia" w:ascii="宋体" w:hAnsi="宋体" w:eastAsia="宋体" w:cs="Times New Roman"/>
                <w:b w:val="0"/>
                <w:bCs/>
                <w:color w:val="auto"/>
                <w:kern w:val="0"/>
                <w:sz w:val="21"/>
                <w:szCs w:val="21"/>
                <w:highlight w:val="none"/>
                <w:lang w:val="en-US" w:eastAsia="zh-CN"/>
              </w:rPr>
            </w:pPr>
            <w:r>
              <w:rPr>
                <w:rFonts w:hint="eastAsia" w:ascii="宋体" w:hAnsi="宋体" w:eastAsia="宋体" w:cs="Times New Roman"/>
                <w:b w:val="0"/>
                <w:bCs/>
                <w:color w:val="auto"/>
                <w:kern w:val="0"/>
                <w:sz w:val="21"/>
                <w:szCs w:val="21"/>
                <w:highlight w:val="none"/>
                <w:lang w:val="en-US" w:eastAsia="zh-CN"/>
              </w:rPr>
              <w:t>附件</w:t>
            </w:r>
          </w:p>
        </w:tc>
        <w:tc>
          <w:tcPr>
            <w:tcW w:w="6414" w:type="dxa"/>
            <w:vAlign w:val="center"/>
          </w:tcPr>
          <w:p w14:paraId="0C94A369">
            <w:pPr>
              <w:keepNext w:val="0"/>
              <w:keepLines w:val="0"/>
              <w:widowControl w:val="0"/>
              <w:suppressLineNumbers w:val="0"/>
              <w:wordWrap/>
              <w:spacing w:before="0" w:beforeAutospacing="0" w:after="0" w:afterAutospacing="0" w:line="240" w:lineRule="auto"/>
              <w:ind w:left="0" w:right="0" w:firstLine="0" w:firstLineChars="0"/>
              <w:jc w:val="left"/>
              <w:textAlignment w:val="auto"/>
              <w:rPr>
                <w:rFonts w:hint="default" w:ascii="宋体" w:hAnsi="宋体" w:eastAsia="宋体"/>
                <w:b w:val="0"/>
                <w:bCs/>
                <w:color w:val="auto"/>
                <w:sz w:val="21"/>
                <w:szCs w:val="21"/>
                <w:highlight w:val="none"/>
              </w:rPr>
            </w:pPr>
            <w:r>
              <w:rPr>
                <w:rFonts w:hint="eastAsia" w:ascii="宋体" w:hAnsi="宋体" w:eastAsia="宋体"/>
                <w:b w:val="0"/>
                <w:bCs/>
                <w:color w:val="auto"/>
                <w:sz w:val="21"/>
                <w:szCs w:val="21"/>
                <w:highlight w:val="none"/>
              </w:rPr>
              <w:t>《工程量清单计价表》</w:t>
            </w:r>
          </w:p>
        </w:tc>
        <w:tc>
          <w:tcPr>
            <w:tcW w:w="722" w:type="dxa"/>
            <w:vAlign w:val="center"/>
          </w:tcPr>
          <w:p w14:paraId="47368B40">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67" w:type="dxa"/>
            <w:vAlign w:val="center"/>
          </w:tcPr>
          <w:p w14:paraId="73BAC1DC">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c>
          <w:tcPr>
            <w:tcW w:w="815" w:type="dxa"/>
            <w:vAlign w:val="center"/>
          </w:tcPr>
          <w:p w14:paraId="476B3BF2">
            <w:pPr>
              <w:keepNext/>
              <w:keepLines/>
              <w:suppressLineNumbers w:val="0"/>
              <w:spacing w:before="0" w:beforeAutospacing="0" w:after="0" w:afterAutospacing="0" w:line="400" w:lineRule="exact"/>
              <w:ind w:left="0" w:right="0"/>
              <w:jc w:val="center"/>
              <w:outlineLvl w:val="2"/>
              <w:rPr>
                <w:rFonts w:hint="default" w:ascii="宋体" w:hAnsi="宋体" w:eastAsia="宋体" w:cs="宋体"/>
                <w:color w:val="auto"/>
                <w:kern w:val="0"/>
                <w:sz w:val="21"/>
                <w:szCs w:val="21"/>
                <w:highlight w:val="none"/>
              </w:rPr>
            </w:pPr>
          </w:p>
        </w:tc>
      </w:tr>
    </w:tbl>
    <w:p w14:paraId="13108520">
      <w:pPr>
        <w:spacing w:line="360" w:lineRule="auto"/>
        <w:rPr>
          <w:rFonts w:ascii="宋体" w:hAnsi="宋体" w:eastAsia="宋体" w:cs="宋体"/>
          <w:color w:val="auto"/>
          <w:szCs w:val="21"/>
          <w:highlight w:val="none"/>
        </w:rPr>
      </w:pPr>
    </w:p>
    <w:p w14:paraId="16DE051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B1D95CD">
      <w:pPr>
        <w:spacing w:line="360" w:lineRule="auto"/>
        <w:ind w:left="605" w:leftChars="18" w:hanging="567" w:hangingChars="270"/>
        <w:rPr>
          <w:rFonts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其中“一、项目概况”除外</w:t>
      </w:r>
      <w:r>
        <w:rPr>
          <w:rFonts w:hint="eastAsia" w:ascii="宋体" w:hAnsi="宋体" w:eastAsia="宋体" w:cs="宋体"/>
          <w:b/>
          <w:color w:val="auto"/>
          <w:szCs w:val="21"/>
          <w:highlight w:val="none"/>
          <w:u w:val="single"/>
          <w:lang w:eastAsia="zh-CN"/>
        </w:rPr>
        <w:t>）</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4CAC48E5">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CEBCA8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highlight w:val="none"/>
          <w:u w:val="single"/>
          <w:lang w:val="en-US" w:eastAsia="zh-CN"/>
        </w:rPr>
        <w:t>服务能力</w:t>
      </w:r>
      <w:r>
        <w:rPr>
          <w:rFonts w:hint="eastAsia" w:ascii="宋体" w:hAnsi="宋体" w:eastAsia="宋体" w:cs="Times New Roman"/>
          <w:b/>
          <w:color w:val="auto"/>
          <w:kern w:val="0"/>
          <w:szCs w:val="21"/>
          <w:highlight w:val="none"/>
          <w:u w:val="single"/>
        </w:rPr>
        <w:t>的技术支持资料作为本表的附件，并在本偏离表“对应证明材料页码”项内注明其在投标文件中的具体页码。</w:t>
      </w:r>
    </w:p>
    <w:p w14:paraId="111D7928">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w:t>
      </w:r>
      <w:r>
        <w:rPr>
          <w:rFonts w:ascii="宋体" w:hAnsi="宋体" w:eastAsia="宋体" w:cs="Times New Roman"/>
          <w:b/>
          <w:bCs w:val="0"/>
          <w:color w:val="auto"/>
          <w:kern w:val="0"/>
          <w:szCs w:val="21"/>
          <w:highlight w:val="none"/>
          <w:u w:val="single"/>
        </w:rPr>
        <w:t>理</w:t>
      </w:r>
      <w:r>
        <w:rPr>
          <w:rFonts w:ascii="宋体" w:hAnsi="宋体" w:eastAsia="宋体" w:cs="Times New Roman"/>
          <w:b/>
          <w:bCs w:val="0"/>
          <w:color w:val="auto"/>
          <w:kern w:val="0"/>
          <w:sz w:val="24"/>
          <w:szCs w:val="21"/>
          <w:highlight w:val="none"/>
          <w:u w:val="single"/>
          <w:lang w:val="zh-CN"/>
        </w:rPr>
        <w:t>。</w:t>
      </w:r>
    </w:p>
    <w:p w14:paraId="72FC62B4">
      <w:pPr>
        <w:spacing w:line="360" w:lineRule="auto"/>
        <w:rPr>
          <w:rFonts w:ascii="宋体" w:hAnsi="宋体" w:eastAsia="宋体" w:cs="宋体"/>
          <w:color w:val="auto"/>
          <w:szCs w:val="21"/>
          <w:highlight w:val="none"/>
        </w:rPr>
      </w:pPr>
    </w:p>
    <w:p w14:paraId="7B7FDDE6">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56914F9E">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1DAC4937">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836" w:name="_Toc140596942"/>
      <w:bookmarkStart w:id="837" w:name="_Toc94107224"/>
      <w:bookmarkStart w:id="838" w:name="_Toc104991889"/>
      <w:bookmarkStart w:id="839" w:name="_Toc102860087"/>
      <w:bookmarkStart w:id="840" w:name="_Toc102860431"/>
      <w:bookmarkStart w:id="841" w:name="_Toc5046"/>
      <w:bookmarkStart w:id="842" w:name="_Toc23150"/>
      <w:bookmarkStart w:id="843" w:name="_Toc142508382"/>
      <w:bookmarkStart w:id="844" w:name="_Toc3593"/>
      <w:bookmarkStart w:id="845" w:name="_Toc21274"/>
      <w:bookmarkStart w:id="846" w:name="_Toc25563"/>
      <w:bookmarkStart w:id="847" w:name="_Toc12081"/>
      <w:bookmarkStart w:id="848" w:name="_Toc23337"/>
      <w:r>
        <w:rPr>
          <w:rFonts w:hint="eastAsia" w:ascii="宋体" w:hAnsi="宋体" w:eastAsia="宋体" w:cs="宋体"/>
          <w:b/>
          <w:color w:val="auto"/>
          <w:kern w:val="0"/>
          <w:sz w:val="30"/>
          <w:szCs w:val="30"/>
          <w:highlight w:val="none"/>
          <w:lang w:eastAsia="zh-CN"/>
        </w:rPr>
        <w:t>14.</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bookmarkEnd w:id="836"/>
      <w:bookmarkEnd w:id="837"/>
      <w:bookmarkEnd w:id="838"/>
      <w:bookmarkEnd w:id="839"/>
      <w:bookmarkEnd w:id="840"/>
      <w:bookmarkEnd w:id="841"/>
      <w:bookmarkEnd w:id="842"/>
      <w:bookmarkEnd w:id="843"/>
      <w:bookmarkEnd w:id="844"/>
      <w:r>
        <w:rPr>
          <w:rFonts w:hint="eastAsia" w:ascii="宋体" w:hAnsi="宋体" w:eastAsia="宋体" w:cs="宋体"/>
          <w:b/>
          <w:color w:val="auto"/>
          <w:kern w:val="0"/>
          <w:sz w:val="30"/>
          <w:szCs w:val="30"/>
          <w:highlight w:val="none"/>
        </w:rPr>
        <w:t>检测方案（投标人自行编写）</w:t>
      </w:r>
      <w:bookmarkEnd w:id="845"/>
      <w:bookmarkEnd w:id="846"/>
      <w:bookmarkEnd w:id="847"/>
      <w:bookmarkEnd w:id="848"/>
    </w:p>
    <w:p w14:paraId="27DE29EC">
      <w:pPr>
        <w:autoSpaceDE/>
        <w:autoSpaceDN/>
        <w:adjustRightInd/>
        <w:spacing w:line="24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F9F1606">
      <w:pPr>
        <w:tabs>
          <w:tab w:val="left" w:pos="567"/>
        </w:tabs>
        <w:spacing w:line="360" w:lineRule="auto"/>
        <w:jc w:val="left"/>
        <w:outlineLvl w:val="2"/>
        <w:rPr>
          <w:rFonts w:hint="eastAsia" w:ascii="宋体" w:hAnsi="宋体" w:eastAsia="宋体" w:cs="宋体"/>
          <w:b/>
          <w:bCs/>
          <w:color w:val="auto"/>
          <w:kern w:val="0"/>
          <w:sz w:val="30"/>
          <w:szCs w:val="30"/>
          <w:highlight w:val="none"/>
          <w:lang w:val="en-US" w:eastAsia="zh-CN"/>
        </w:rPr>
      </w:pPr>
      <w:bookmarkStart w:id="849" w:name="_Toc32284"/>
      <w:r>
        <w:rPr>
          <w:rFonts w:hint="eastAsia" w:hAnsi="宋体" w:cs="宋体"/>
          <w:b/>
          <w:bCs/>
          <w:color w:val="auto"/>
          <w:kern w:val="0"/>
          <w:sz w:val="30"/>
          <w:szCs w:val="30"/>
          <w:highlight w:val="none"/>
          <w:lang w:val="en-US" w:eastAsia="zh-CN"/>
        </w:rPr>
        <w:t>14.3</w:t>
      </w:r>
      <w:r>
        <w:rPr>
          <w:rFonts w:hint="eastAsia" w:ascii="宋体" w:hAnsi="宋体" w:eastAsia="宋体" w:cs="宋体"/>
          <w:b/>
          <w:bCs/>
          <w:color w:val="auto"/>
          <w:kern w:val="0"/>
          <w:sz w:val="30"/>
          <w:szCs w:val="30"/>
          <w:highlight w:val="none"/>
          <w:lang w:val="en-US" w:eastAsia="zh-CN"/>
        </w:rPr>
        <w:t>检测设备</w:t>
      </w:r>
      <w:bookmarkEnd w:id="849"/>
    </w:p>
    <w:p w14:paraId="3F816AA5">
      <w:pPr>
        <w:rPr>
          <w:rFonts w:hint="eastAsia" w:ascii="宋体" w:hAnsi="宋体" w:eastAsia="宋体" w:cs="宋体"/>
          <w:b/>
          <w:bCs/>
          <w:color w:val="auto"/>
          <w:kern w:val="0"/>
          <w:sz w:val="30"/>
          <w:szCs w:val="30"/>
          <w:highlight w:val="none"/>
          <w:lang w:val="en-US" w:eastAsia="zh-CN"/>
        </w:rPr>
      </w:pPr>
      <w:r>
        <w:rPr>
          <w:rFonts w:hint="eastAsia" w:ascii="宋体" w:hAnsi="宋体" w:eastAsia="宋体" w:cs="宋体"/>
          <w:b/>
          <w:bCs/>
          <w:color w:val="auto"/>
          <w:kern w:val="0"/>
          <w:sz w:val="30"/>
          <w:szCs w:val="30"/>
          <w:highlight w:val="none"/>
          <w:lang w:val="en-US" w:eastAsia="zh-CN"/>
        </w:rPr>
        <w:br w:type="page"/>
      </w:r>
    </w:p>
    <w:p w14:paraId="061A1FCE">
      <w:pPr>
        <w:tabs>
          <w:tab w:val="left" w:pos="567"/>
        </w:tabs>
        <w:spacing w:line="360" w:lineRule="auto"/>
        <w:jc w:val="left"/>
        <w:outlineLvl w:val="2"/>
        <w:rPr>
          <w:rFonts w:hint="eastAsia" w:hAnsi="宋体" w:cs="宋体"/>
          <w:b/>
          <w:bCs/>
          <w:color w:val="auto"/>
          <w:kern w:val="0"/>
          <w:sz w:val="30"/>
          <w:szCs w:val="30"/>
          <w:highlight w:val="none"/>
          <w:lang w:val="en-US"/>
        </w:rPr>
      </w:pPr>
      <w:bookmarkStart w:id="850" w:name="_Toc4713"/>
      <w:r>
        <w:rPr>
          <w:rFonts w:hint="eastAsia" w:hAnsi="宋体" w:cs="宋体"/>
          <w:b/>
          <w:bCs/>
          <w:color w:val="auto"/>
          <w:kern w:val="0"/>
          <w:sz w:val="30"/>
          <w:szCs w:val="30"/>
          <w:highlight w:val="none"/>
          <w:lang w:val="en-US" w:eastAsia="zh-CN"/>
        </w:rPr>
        <w:t>14.4</w:t>
      </w:r>
      <w:r>
        <w:rPr>
          <w:rFonts w:hint="eastAsia" w:ascii="宋体" w:hAnsi="宋体" w:eastAsia="宋体" w:cs="宋体"/>
          <w:b/>
          <w:bCs/>
          <w:color w:val="auto"/>
          <w:kern w:val="0"/>
          <w:sz w:val="30"/>
          <w:szCs w:val="30"/>
          <w:highlight w:val="none"/>
          <w:lang w:val="en-US" w:eastAsia="zh-CN"/>
        </w:rPr>
        <w:t>检测场所及环境</w:t>
      </w:r>
      <w:bookmarkEnd w:id="850"/>
    </w:p>
    <w:p w14:paraId="4C1F66D3">
      <w:pPr>
        <w:pStyle w:val="2"/>
        <w:rPr>
          <w:rFonts w:hint="eastAsia"/>
          <w:color w:val="auto"/>
          <w:highlight w:val="none"/>
          <w:lang w:val="en-US"/>
        </w:rPr>
      </w:pPr>
    </w:p>
    <w:p w14:paraId="7814296D">
      <w:pPr>
        <w:widowControl/>
        <w:jc w:val="left"/>
        <w:rPr>
          <w:rFonts w:ascii="宋体" w:hAnsi="宋体" w:eastAsia="宋体" w:cs="Times New Roman"/>
          <w:color w:val="auto"/>
          <w:kern w:val="0"/>
          <w:szCs w:val="21"/>
          <w:highlight w:val="none"/>
        </w:rPr>
      </w:pPr>
      <w:bookmarkStart w:id="851" w:name="_Toc94107225"/>
      <w:r>
        <w:rPr>
          <w:rFonts w:ascii="宋体" w:hAnsi="宋体" w:eastAsia="宋体" w:cs="Times New Roman"/>
          <w:color w:val="auto"/>
          <w:kern w:val="0"/>
          <w:szCs w:val="21"/>
          <w:highlight w:val="none"/>
        </w:rPr>
        <w:br w:type="page"/>
      </w:r>
    </w:p>
    <w:bookmarkEnd w:id="851"/>
    <w:p w14:paraId="2C93D4DD">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52" w:name="_Toc28662"/>
      <w:bookmarkStart w:id="853" w:name="_Toc25963"/>
      <w:bookmarkStart w:id="854" w:name="_Toc24961"/>
      <w:bookmarkStart w:id="855" w:name="_Toc142508389"/>
      <w:bookmarkStart w:id="856" w:name="_Toc102860438"/>
      <w:bookmarkStart w:id="857" w:name="_Toc140596949"/>
      <w:bookmarkStart w:id="858" w:name="_Toc104991896"/>
      <w:bookmarkStart w:id="859" w:name="_Toc102860094"/>
      <w:bookmarkStart w:id="860" w:name="_Toc533708139"/>
      <w:r>
        <w:rPr>
          <w:rFonts w:hint="eastAsia" w:ascii="宋体" w:hAnsi="宋体" w:eastAsia="宋体" w:cs="宋体"/>
          <w:b/>
          <w:color w:val="auto"/>
          <w:kern w:val="0"/>
          <w:sz w:val="30"/>
          <w:szCs w:val="30"/>
          <w:highlight w:val="none"/>
          <w:lang w:val="en-US" w:eastAsia="zh-CN"/>
        </w:rPr>
        <w:t xml:space="preserve">14.5 </w:t>
      </w:r>
      <w:r>
        <w:rPr>
          <w:rFonts w:hint="eastAsia" w:ascii="宋体" w:hAnsi="宋体" w:eastAsia="宋体" w:cs="宋体"/>
          <w:b/>
          <w:color w:val="auto"/>
          <w:kern w:val="0"/>
          <w:sz w:val="30"/>
          <w:szCs w:val="30"/>
          <w:highlight w:val="none"/>
        </w:rPr>
        <w:t>检测成果准确性承诺书格式</w:t>
      </w:r>
      <w:bookmarkEnd w:id="852"/>
      <w:bookmarkEnd w:id="853"/>
      <w:bookmarkEnd w:id="854"/>
    </w:p>
    <w:p w14:paraId="477B02D9">
      <w:pPr>
        <w:rPr>
          <w:rFonts w:ascii="宋体" w:hAnsi="宋体" w:eastAsia="宋体" w:cs="宋体"/>
          <w:b/>
          <w:color w:val="auto"/>
          <w:kern w:val="0"/>
          <w:sz w:val="30"/>
          <w:szCs w:val="30"/>
          <w:highlight w:val="none"/>
        </w:rPr>
      </w:pPr>
    </w:p>
    <w:p w14:paraId="3347058F">
      <w:pPr>
        <w:widowControl/>
        <w:wordWrap/>
        <w:adjustRightInd/>
        <w:snapToGrid/>
        <w:spacing w:line="360" w:lineRule="auto"/>
        <w:ind w:left="0" w:leftChars="0" w:right="0" w:firstLine="0" w:firstLineChars="0"/>
        <w:jc w:val="center"/>
        <w:textAlignment w:val="auto"/>
        <w:outlineLvl w:val="9"/>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检测成果准确性承诺书</w:t>
      </w:r>
    </w:p>
    <w:tbl>
      <w:tblPr>
        <w:tblStyle w:val="36"/>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5"/>
        <w:gridCol w:w="3663"/>
      </w:tblGrid>
      <w:tr w14:paraId="14B4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705" w:type="dxa"/>
            <w:vAlign w:val="center"/>
          </w:tcPr>
          <w:p w14:paraId="0D6CF74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c>
          <w:tcPr>
            <w:tcW w:w="3663" w:type="dxa"/>
            <w:vAlign w:val="center"/>
          </w:tcPr>
          <w:p w14:paraId="7A3398D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错误点数</w:t>
            </w:r>
          </w:p>
        </w:tc>
      </w:tr>
      <w:tr w14:paraId="3F96F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705" w:type="dxa"/>
            <w:vAlign w:val="center"/>
          </w:tcPr>
          <w:p w14:paraId="2A34F3F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rPr>
              <w:t>所有检测成果按实检测</w:t>
            </w:r>
          </w:p>
        </w:tc>
        <w:tc>
          <w:tcPr>
            <w:tcW w:w="3663" w:type="dxa"/>
            <w:vAlign w:val="center"/>
          </w:tcPr>
          <w:p w14:paraId="3157B7D3">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u w:val="single"/>
                <w:shd w:val="clear" w:color="auto" w:fill="FFFFFF"/>
              </w:rPr>
              <w:t xml:space="preserve">   </w:t>
            </w:r>
            <w:r>
              <w:rPr>
                <w:rFonts w:hint="eastAsia" w:ascii="宋体" w:hAnsi="宋体" w:eastAsia="宋体" w:cs="宋体"/>
                <w:color w:val="auto"/>
                <w:szCs w:val="21"/>
                <w:highlight w:val="none"/>
                <w:shd w:val="clear" w:color="auto" w:fill="FFFFFF"/>
              </w:rPr>
              <w:t>个</w:t>
            </w:r>
            <w:r>
              <w:rPr>
                <w:rFonts w:hint="eastAsia" w:ascii="宋体" w:hAnsi="宋体" w:eastAsia="宋体" w:cs="宋体"/>
                <w:color w:val="auto"/>
                <w:szCs w:val="21"/>
                <w:highlight w:val="none"/>
              </w:rPr>
              <w:t>（含）</w:t>
            </w:r>
            <w:r>
              <w:rPr>
                <w:rFonts w:hint="eastAsia" w:ascii="宋体" w:hAnsi="宋体" w:eastAsia="宋体" w:cs="宋体"/>
                <w:color w:val="auto"/>
                <w:szCs w:val="21"/>
                <w:highlight w:val="none"/>
                <w:shd w:val="clear" w:color="auto" w:fill="FFFFFF"/>
              </w:rPr>
              <w:t>以内</w:t>
            </w:r>
          </w:p>
        </w:tc>
      </w:tr>
    </w:tbl>
    <w:p w14:paraId="36C4219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7C8AC594">
      <w:pPr>
        <w:spacing w:line="360" w:lineRule="auto"/>
        <w:rPr>
          <w:rFonts w:ascii="宋体" w:hAnsi="宋体" w:eastAsia="宋体" w:cs="宋体"/>
          <w:color w:val="auto"/>
          <w:highlight w:val="none"/>
        </w:rPr>
      </w:pPr>
    </w:p>
    <w:p w14:paraId="4600CFAA">
      <w:pPr>
        <w:spacing w:line="360" w:lineRule="auto"/>
        <w:rPr>
          <w:rFonts w:ascii="宋体" w:hAnsi="宋体" w:eastAsia="宋体" w:cs="宋体"/>
          <w:color w:val="auto"/>
          <w:highlight w:val="none"/>
        </w:rPr>
      </w:pPr>
    </w:p>
    <w:p w14:paraId="0F26D3EF">
      <w:pPr>
        <w:spacing w:line="360" w:lineRule="auto"/>
        <w:ind w:firstLine="5040"/>
        <w:rPr>
          <w:rFonts w:ascii="宋体" w:hAnsi="宋体" w:eastAsia="宋体" w:cs="宋体"/>
          <w:color w:val="auto"/>
          <w:highlight w:val="none"/>
          <w:lang w:val="zh-CN"/>
        </w:rPr>
      </w:pPr>
      <w:r>
        <w:rPr>
          <w:rFonts w:hint="eastAsia" w:ascii="宋体" w:hAnsi="宋体" w:eastAsia="宋体" w:cs="宋体"/>
          <w:color w:val="auto"/>
          <w:highlight w:val="none"/>
          <w:lang w:val="zh-CN"/>
        </w:rPr>
        <w:t>投标人：（加盖投标人法人公章）</w:t>
      </w:r>
    </w:p>
    <w:p w14:paraId="769333D1">
      <w:pPr>
        <w:spacing w:line="360" w:lineRule="auto"/>
        <w:ind w:firstLine="5040"/>
        <w:rPr>
          <w:rFonts w:ascii="宋体" w:hAnsi="宋体" w:eastAsia="宋体" w:cs="宋体"/>
          <w:color w:val="auto"/>
          <w:highlight w:val="none"/>
        </w:rPr>
      </w:pPr>
      <w:r>
        <w:rPr>
          <w:rFonts w:hint="eastAsia" w:ascii="宋体" w:hAnsi="宋体" w:eastAsia="宋体" w:cs="宋体"/>
          <w:color w:val="auto"/>
          <w:highlight w:val="none"/>
          <w:lang w:val="zh-CN"/>
        </w:rPr>
        <w:t>日期：   年   月   日</w:t>
      </w:r>
    </w:p>
    <w:p w14:paraId="43EDFE42">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ADBB965">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61" w:name="_Toc13136"/>
      <w:bookmarkStart w:id="862" w:name="_Toc21958"/>
      <w:bookmarkStart w:id="863" w:name="_Toc14499"/>
      <w:r>
        <w:rPr>
          <w:rFonts w:hint="eastAsia" w:ascii="宋体" w:hAnsi="宋体" w:eastAsia="宋体" w:cs="宋体"/>
          <w:b/>
          <w:color w:val="auto"/>
          <w:kern w:val="0"/>
          <w:sz w:val="30"/>
          <w:szCs w:val="30"/>
          <w:highlight w:val="none"/>
          <w:lang w:val="en-US" w:eastAsia="zh-CN"/>
        </w:rPr>
        <w:t xml:space="preserve">14.6 </w:t>
      </w:r>
      <w:r>
        <w:rPr>
          <w:rFonts w:hint="eastAsia" w:ascii="宋体" w:hAnsi="宋体" w:eastAsia="宋体" w:cs="宋体"/>
          <w:b/>
          <w:color w:val="auto"/>
          <w:kern w:val="0"/>
          <w:sz w:val="30"/>
          <w:szCs w:val="30"/>
          <w:highlight w:val="none"/>
        </w:rPr>
        <w:t>服务响应时间承诺书格式</w:t>
      </w:r>
      <w:bookmarkEnd w:id="861"/>
      <w:bookmarkEnd w:id="862"/>
      <w:bookmarkEnd w:id="863"/>
    </w:p>
    <w:p w14:paraId="4313A5AB">
      <w:pPr>
        <w:spacing w:line="360" w:lineRule="auto"/>
        <w:rPr>
          <w:color w:val="auto"/>
          <w:highlight w:val="none"/>
        </w:rPr>
      </w:pPr>
    </w:p>
    <w:p w14:paraId="7697F9FB">
      <w:pPr>
        <w:widowControl/>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color w:val="auto"/>
          <w:sz w:val="32"/>
          <w:szCs w:val="32"/>
          <w:highlight w:val="none"/>
        </w:rPr>
        <w:t>服务响应时间承诺书</w:t>
      </w:r>
    </w:p>
    <w:tbl>
      <w:tblPr>
        <w:tblStyle w:val="36"/>
        <w:tblW w:w="10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3"/>
        <w:gridCol w:w="3505"/>
      </w:tblGrid>
      <w:tr w14:paraId="0FE7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863" w:type="dxa"/>
            <w:vAlign w:val="center"/>
          </w:tcPr>
          <w:p w14:paraId="0841C0A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承诺事项</w:t>
            </w:r>
          </w:p>
        </w:tc>
        <w:tc>
          <w:tcPr>
            <w:tcW w:w="3505" w:type="dxa"/>
            <w:vAlign w:val="center"/>
          </w:tcPr>
          <w:p w14:paraId="72BDA2D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承诺时间</w:t>
            </w:r>
          </w:p>
        </w:tc>
      </w:tr>
      <w:tr w14:paraId="7D90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6863" w:type="dxa"/>
            <w:vAlign w:val="center"/>
          </w:tcPr>
          <w:p w14:paraId="7D5AAC60">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rPr>
              <w:t>接到招标人电话通知后机械设备、人员进场服务</w:t>
            </w:r>
          </w:p>
        </w:tc>
        <w:tc>
          <w:tcPr>
            <w:tcW w:w="3505" w:type="dxa"/>
            <w:vAlign w:val="center"/>
          </w:tcPr>
          <w:p w14:paraId="585C1EA9">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小时（含）内</w:t>
            </w:r>
          </w:p>
        </w:tc>
      </w:tr>
    </w:tbl>
    <w:p w14:paraId="57CA926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备注：对于本承诺，如中标人后期未能做到，视为同意将其行为予以公示，且招标人有权将中标人纳入东莞市水务集团有限公司（含其全资子公司、控股公司、由其管理的参股公司）招标、采购、征集供应商或合作方采购“黑名单”中。</w:t>
      </w:r>
    </w:p>
    <w:p w14:paraId="257DF439">
      <w:pPr>
        <w:spacing w:line="360" w:lineRule="auto"/>
        <w:rPr>
          <w:rFonts w:ascii="宋体" w:hAnsi="宋体" w:eastAsia="宋体" w:cs="宋体"/>
          <w:color w:val="auto"/>
          <w:highlight w:val="none"/>
        </w:rPr>
      </w:pPr>
    </w:p>
    <w:p w14:paraId="3042FF06">
      <w:pPr>
        <w:spacing w:line="360" w:lineRule="auto"/>
        <w:rPr>
          <w:rFonts w:ascii="宋体" w:hAnsi="宋体" w:eastAsia="宋体" w:cs="宋体"/>
          <w:color w:val="auto"/>
          <w:highlight w:val="none"/>
        </w:rPr>
      </w:pPr>
    </w:p>
    <w:p w14:paraId="0B4F027E">
      <w:pPr>
        <w:spacing w:line="360" w:lineRule="auto"/>
        <w:ind w:firstLine="5040"/>
        <w:rPr>
          <w:rFonts w:ascii="宋体" w:hAnsi="宋体" w:eastAsia="宋体" w:cs="宋体"/>
          <w:color w:val="auto"/>
          <w:highlight w:val="none"/>
          <w:lang w:val="zh-CN"/>
        </w:rPr>
      </w:pPr>
      <w:r>
        <w:rPr>
          <w:rFonts w:hint="eastAsia" w:ascii="宋体" w:hAnsi="宋体" w:eastAsia="宋体" w:cs="宋体"/>
          <w:color w:val="auto"/>
          <w:highlight w:val="none"/>
          <w:lang w:val="zh-CN"/>
        </w:rPr>
        <w:t>投标人：（加盖投标人法人公章）</w:t>
      </w:r>
    </w:p>
    <w:p w14:paraId="477DBB72">
      <w:pPr>
        <w:spacing w:line="360" w:lineRule="auto"/>
        <w:ind w:firstLine="5040"/>
        <w:rPr>
          <w:rFonts w:ascii="宋体" w:hAnsi="宋体" w:eastAsia="宋体" w:cs="宋体"/>
          <w:color w:val="auto"/>
          <w:highlight w:val="none"/>
        </w:rPr>
      </w:pPr>
      <w:r>
        <w:rPr>
          <w:rFonts w:hint="eastAsia" w:ascii="宋体" w:hAnsi="宋体" w:eastAsia="宋体" w:cs="宋体"/>
          <w:color w:val="auto"/>
          <w:highlight w:val="none"/>
          <w:lang w:val="zh-CN"/>
        </w:rPr>
        <w:t>日期：   年   月   日</w:t>
      </w:r>
    </w:p>
    <w:p w14:paraId="77BE50A7">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26F1B7F">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864" w:name="_Toc3750"/>
      <w:bookmarkStart w:id="865" w:name="_Toc26770"/>
      <w:bookmarkStart w:id="866" w:name="_Toc30545"/>
      <w:bookmarkStart w:id="867" w:name="_Toc18870"/>
      <w:bookmarkStart w:id="868" w:name="_Toc18180"/>
      <w:bookmarkStart w:id="869" w:name="_Toc24082"/>
      <w:bookmarkStart w:id="870" w:name="_Toc8074"/>
      <w:r>
        <w:rPr>
          <w:rFonts w:hint="eastAsia" w:ascii="宋体" w:hAnsi="宋体" w:eastAsia="宋体" w:cs="宋体"/>
          <w:b/>
          <w:color w:val="auto"/>
          <w:kern w:val="0"/>
          <w:sz w:val="30"/>
          <w:szCs w:val="30"/>
          <w:highlight w:val="none"/>
          <w:lang w:val="en-US" w:eastAsia="zh-CN"/>
        </w:rPr>
        <w:t xml:space="preserve">14.7 </w:t>
      </w:r>
      <w:r>
        <w:rPr>
          <w:rFonts w:hint="eastAsia" w:ascii="宋体" w:hAnsi="宋体" w:eastAsia="宋体" w:cs="宋体"/>
          <w:b/>
          <w:color w:val="auto"/>
          <w:kern w:val="0"/>
          <w:sz w:val="30"/>
          <w:szCs w:val="30"/>
          <w:highlight w:val="none"/>
        </w:rPr>
        <w:t>投标人认为有必要提供的其它材料（不做强制要求）</w:t>
      </w:r>
      <w:bookmarkEnd w:id="855"/>
      <w:bookmarkEnd w:id="856"/>
      <w:bookmarkEnd w:id="857"/>
      <w:bookmarkEnd w:id="858"/>
      <w:bookmarkEnd w:id="859"/>
      <w:bookmarkEnd w:id="864"/>
      <w:bookmarkEnd w:id="865"/>
      <w:bookmarkEnd w:id="866"/>
      <w:bookmarkEnd w:id="867"/>
      <w:bookmarkEnd w:id="868"/>
      <w:bookmarkEnd w:id="869"/>
      <w:bookmarkEnd w:id="870"/>
    </w:p>
    <w:p w14:paraId="7C5BEAD3">
      <w:pPr>
        <w:autoSpaceDE w:val="0"/>
        <w:autoSpaceDN w:val="0"/>
        <w:adjustRightInd w:val="0"/>
        <w:jc w:val="left"/>
        <w:rPr>
          <w:rFonts w:ascii="宋体" w:hAnsi="宋体" w:eastAsia="宋体" w:cs="Times New Roman"/>
          <w:color w:val="auto"/>
          <w:kern w:val="0"/>
          <w:sz w:val="24"/>
          <w:szCs w:val="24"/>
          <w:highlight w:val="none"/>
        </w:rPr>
      </w:pPr>
    </w:p>
    <w:p w14:paraId="08303E21">
      <w:pPr>
        <w:autoSpaceDE w:val="0"/>
        <w:autoSpaceDN w:val="0"/>
        <w:adjustRightInd w:val="0"/>
        <w:jc w:val="left"/>
        <w:rPr>
          <w:rFonts w:ascii="宋体" w:hAnsi="宋体" w:eastAsia="宋体" w:cs="Times New Roman"/>
          <w:color w:val="auto"/>
          <w:kern w:val="0"/>
          <w:sz w:val="24"/>
          <w:szCs w:val="24"/>
          <w:highlight w:val="none"/>
        </w:rPr>
      </w:pPr>
    </w:p>
    <w:p w14:paraId="79DC4124">
      <w:pPr>
        <w:autoSpaceDE w:val="0"/>
        <w:autoSpaceDN w:val="0"/>
        <w:adjustRightInd w:val="0"/>
        <w:jc w:val="left"/>
        <w:rPr>
          <w:rFonts w:ascii="宋体" w:hAnsi="宋体" w:eastAsia="宋体" w:cs="Times New Roman"/>
          <w:color w:val="auto"/>
          <w:kern w:val="0"/>
          <w:sz w:val="24"/>
          <w:szCs w:val="24"/>
          <w:highlight w:val="none"/>
        </w:rPr>
      </w:pPr>
    </w:p>
    <w:p w14:paraId="3504D64D">
      <w:pPr>
        <w:autoSpaceDE w:val="0"/>
        <w:autoSpaceDN w:val="0"/>
        <w:adjustRightInd w:val="0"/>
        <w:jc w:val="left"/>
        <w:rPr>
          <w:rFonts w:ascii="宋体" w:hAnsi="宋体" w:eastAsia="宋体" w:cs="Times New Roman"/>
          <w:color w:val="auto"/>
          <w:kern w:val="0"/>
          <w:sz w:val="24"/>
          <w:szCs w:val="24"/>
          <w:highlight w:val="none"/>
        </w:rPr>
      </w:pPr>
    </w:p>
    <w:p w14:paraId="7BF060EE">
      <w:pPr>
        <w:autoSpaceDE w:val="0"/>
        <w:autoSpaceDN w:val="0"/>
        <w:adjustRightInd w:val="0"/>
        <w:jc w:val="left"/>
        <w:rPr>
          <w:rFonts w:ascii="宋体" w:hAnsi="宋体" w:eastAsia="宋体" w:cs="Times New Roman"/>
          <w:color w:val="auto"/>
          <w:kern w:val="0"/>
          <w:sz w:val="24"/>
          <w:szCs w:val="24"/>
          <w:highlight w:val="none"/>
        </w:rPr>
      </w:pPr>
    </w:p>
    <w:p w14:paraId="141C7DD4">
      <w:pPr>
        <w:autoSpaceDE w:val="0"/>
        <w:autoSpaceDN w:val="0"/>
        <w:adjustRightInd w:val="0"/>
        <w:jc w:val="left"/>
        <w:rPr>
          <w:rFonts w:ascii="宋体" w:hAnsi="宋体" w:eastAsia="宋体" w:cs="Times New Roman"/>
          <w:color w:val="auto"/>
          <w:kern w:val="0"/>
          <w:sz w:val="24"/>
          <w:szCs w:val="24"/>
          <w:highlight w:val="none"/>
        </w:rPr>
      </w:pPr>
    </w:p>
    <w:p w14:paraId="4AED5EA3">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727D5781">
      <w:pPr>
        <w:autoSpaceDE w:val="0"/>
        <w:autoSpaceDN w:val="0"/>
        <w:adjustRightInd w:val="0"/>
        <w:jc w:val="left"/>
        <w:rPr>
          <w:rFonts w:ascii="宋体" w:hAnsi="宋体" w:eastAsia="宋体" w:cs="Times New Roman"/>
          <w:color w:val="auto"/>
          <w:kern w:val="0"/>
          <w:sz w:val="24"/>
          <w:szCs w:val="24"/>
          <w:highlight w:val="none"/>
        </w:rPr>
      </w:pPr>
    </w:p>
    <w:p w14:paraId="5539872A">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871" w:name="_Toc13812"/>
      <w:bookmarkStart w:id="872" w:name="_Toc30548"/>
      <w:bookmarkStart w:id="873" w:name="_Toc142508390"/>
      <w:bookmarkStart w:id="874" w:name="_Toc28942"/>
      <w:bookmarkStart w:id="875" w:name="_Toc14977"/>
      <w:bookmarkStart w:id="876" w:name="_Toc21059"/>
      <w:bookmarkStart w:id="877" w:name="_Toc521918141"/>
      <w:bookmarkStart w:id="878" w:name="_Toc522047402"/>
      <w:bookmarkStart w:id="879" w:name="_Toc22601_WPSOffice_Level1"/>
      <w:r>
        <w:rPr>
          <w:rFonts w:hint="eastAsia" w:ascii="宋体" w:hAnsi="宋体" w:eastAsia="宋体" w:cs="宋体"/>
          <w:b/>
          <w:bCs/>
          <w:color w:val="auto"/>
          <w:kern w:val="44"/>
          <w:sz w:val="32"/>
          <w:szCs w:val="32"/>
          <w:highlight w:val="none"/>
          <w:lang w:val="zh-CN"/>
        </w:rPr>
        <w:t>附件一：评标工作大纲</w:t>
      </w:r>
      <w:bookmarkEnd w:id="871"/>
      <w:bookmarkEnd w:id="872"/>
      <w:bookmarkEnd w:id="873"/>
      <w:bookmarkEnd w:id="874"/>
      <w:bookmarkEnd w:id="875"/>
      <w:bookmarkEnd w:id="876"/>
    </w:p>
    <w:p w14:paraId="33575723">
      <w:pPr>
        <w:autoSpaceDE w:val="0"/>
        <w:autoSpaceDN w:val="0"/>
        <w:adjustRightInd w:val="0"/>
        <w:spacing w:line="400" w:lineRule="atLeast"/>
        <w:jc w:val="center"/>
        <w:rPr>
          <w:rFonts w:ascii="宋体" w:hAnsi="宋体" w:eastAsia="宋体" w:cs="宋体"/>
          <w:b/>
          <w:bCs/>
          <w:color w:val="auto"/>
          <w:szCs w:val="21"/>
          <w:highlight w:val="none"/>
        </w:rPr>
      </w:pPr>
    </w:p>
    <w:p w14:paraId="6B8816DA">
      <w:pPr>
        <w:autoSpaceDE w:val="0"/>
        <w:autoSpaceDN w:val="0"/>
        <w:adjustRightInd w:val="0"/>
        <w:spacing w:line="400" w:lineRule="atLeast"/>
        <w:jc w:val="center"/>
        <w:rPr>
          <w:rFonts w:ascii="宋体" w:hAnsi="宋体" w:eastAsia="宋体" w:cs="宋体"/>
          <w:b/>
          <w:bCs/>
          <w:color w:val="auto"/>
          <w:szCs w:val="21"/>
          <w:highlight w:val="none"/>
        </w:rPr>
      </w:pPr>
    </w:p>
    <w:p w14:paraId="2355C73C">
      <w:pPr>
        <w:autoSpaceDE w:val="0"/>
        <w:autoSpaceDN w:val="0"/>
        <w:adjustRightInd w:val="0"/>
        <w:spacing w:line="400" w:lineRule="atLeast"/>
        <w:jc w:val="center"/>
        <w:rPr>
          <w:rFonts w:ascii="宋体" w:hAnsi="宋体" w:eastAsia="宋体" w:cs="宋体"/>
          <w:b/>
          <w:bCs/>
          <w:color w:val="auto"/>
          <w:szCs w:val="21"/>
          <w:highlight w:val="none"/>
        </w:rPr>
      </w:pPr>
    </w:p>
    <w:p w14:paraId="23ED95AF">
      <w:pPr>
        <w:autoSpaceDE w:val="0"/>
        <w:autoSpaceDN w:val="0"/>
        <w:adjustRightInd w:val="0"/>
        <w:spacing w:line="400" w:lineRule="atLeast"/>
        <w:jc w:val="center"/>
        <w:rPr>
          <w:rFonts w:ascii="宋体" w:hAnsi="宋体" w:eastAsia="宋体" w:cs="宋体"/>
          <w:b/>
          <w:bCs/>
          <w:color w:val="auto"/>
          <w:szCs w:val="21"/>
          <w:highlight w:val="none"/>
        </w:rPr>
      </w:pPr>
    </w:p>
    <w:p w14:paraId="0E7950B2">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珠三角水资源配置工程东莞配套芦花坑水厂一期配水管线工程-C标段第三方检测服务采购项目</w:t>
      </w:r>
    </w:p>
    <w:p w14:paraId="44891699">
      <w:pPr>
        <w:autoSpaceDE w:val="0"/>
        <w:autoSpaceDN w:val="0"/>
        <w:adjustRightInd w:val="0"/>
        <w:spacing w:line="360" w:lineRule="auto"/>
        <w:jc w:val="center"/>
        <w:rPr>
          <w:rFonts w:ascii="宋体" w:hAnsi="宋体" w:eastAsia="宋体" w:cs="宋体"/>
          <w:b/>
          <w:bCs/>
          <w:color w:val="auto"/>
          <w:sz w:val="36"/>
          <w:szCs w:val="36"/>
          <w:highlight w:val="none"/>
        </w:rPr>
      </w:pPr>
      <w:bookmarkStart w:id="880" w:name="_Toc14752_WPSOffice_Level1"/>
      <w:r>
        <w:rPr>
          <w:rFonts w:hint="eastAsia" w:ascii="宋体" w:hAnsi="宋体" w:eastAsia="宋体" w:cs="宋体"/>
          <w:b/>
          <w:bCs/>
          <w:color w:val="auto"/>
          <w:sz w:val="36"/>
          <w:szCs w:val="36"/>
          <w:highlight w:val="none"/>
          <w:lang w:val="zh-CN"/>
        </w:rPr>
        <w:t>（招标编号：WTZB2025DG0004）</w:t>
      </w:r>
      <w:bookmarkEnd w:id="880"/>
    </w:p>
    <w:p w14:paraId="5612AF0A">
      <w:pPr>
        <w:autoSpaceDE w:val="0"/>
        <w:autoSpaceDN w:val="0"/>
        <w:adjustRightInd w:val="0"/>
        <w:spacing w:line="400" w:lineRule="atLeast"/>
        <w:jc w:val="center"/>
        <w:rPr>
          <w:rFonts w:ascii="宋体" w:hAnsi="宋体" w:eastAsia="宋体" w:cs="宋体"/>
          <w:b/>
          <w:bCs/>
          <w:color w:val="auto"/>
          <w:sz w:val="36"/>
          <w:szCs w:val="36"/>
          <w:highlight w:val="none"/>
        </w:rPr>
      </w:pPr>
    </w:p>
    <w:p w14:paraId="5A7A58DC">
      <w:pPr>
        <w:autoSpaceDE w:val="0"/>
        <w:autoSpaceDN w:val="0"/>
        <w:adjustRightInd w:val="0"/>
        <w:spacing w:line="400" w:lineRule="atLeast"/>
        <w:jc w:val="center"/>
        <w:rPr>
          <w:rFonts w:ascii="宋体" w:hAnsi="宋体" w:eastAsia="宋体" w:cs="宋体"/>
          <w:b/>
          <w:bCs/>
          <w:color w:val="auto"/>
          <w:sz w:val="36"/>
          <w:szCs w:val="36"/>
          <w:highlight w:val="none"/>
        </w:rPr>
      </w:pPr>
    </w:p>
    <w:p w14:paraId="2615EAA0">
      <w:pPr>
        <w:autoSpaceDE w:val="0"/>
        <w:autoSpaceDN w:val="0"/>
        <w:adjustRightInd w:val="0"/>
        <w:spacing w:line="400" w:lineRule="atLeast"/>
        <w:jc w:val="center"/>
        <w:rPr>
          <w:rFonts w:ascii="宋体" w:hAnsi="宋体" w:eastAsia="宋体" w:cs="宋体"/>
          <w:b/>
          <w:bCs/>
          <w:color w:val="auto"/>
          <w:sz w:val="36"/>
          <w:szCs w:val="36"/>
          <w:highlight w:val="none"/>
        </w:rPr>
      </w:pPr>
    </w:p>
    <w:p w14:paraId="4B6F1F48">
      <w:pPr>
        <w:autoSpaceDE w:val="0"/>
        <w:autoSpaceDN w:val="0"/>
        <w:adjustRightInd w:val="0"/>
        <w:spacing w:line="400" w:lineRule="atLeast"/>
        <w:jc w:val="center"/>
        <w:rPr>
          <w:rFonts w:ascii="宋体" w:hAnsi="宋体" w:eastAsia="宋体" w:cs="宋体"/>
          <w:b/>
          <w:bCs/>
          <w:color w:val="auto"/>
          <w:sz w:val="36"/>
          <w:szCs w:val="36"/>
          <w:highlight w:val="none"/>
        </w:rPr>
      </w:pPr>
    </w:p>
    <w:p w14:paraId="00D00CDE">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881" w:name="_Toc18947_WPSOffice_Level2"/>
      <w:r>
        <w:rPr>
          <w:rFonts w:hint="eastAsia" w:ascii="宋体" w:hAnsi="宋体" w:eastAsia="宋体" w:cs="宋体"/>
          <w:b/>
          <w:bCs/>
          <w:color w:val="auto"/>
          <w:sz w:val="72"/>
          <w:szCs w:val="72"/>
          <w:highlight w:val="none"/>
          <w:lang w:val="zh-CN"/>
        </w:rPr>
        <w:t>评标工作大纲</w:t>
      </w:r>
      <w:bookmarkEnd w:id="881"/>
    </w:p>
    <w:p w14:paraId="3F96D641">
      <w:pPr>
        <w:autoSpaceDE w:val="0"/>
        <w:autoSpaceDN w:val="0"/>
        <w:adjustRightInd w:val="0"/>
        <w:spacing w:line="400" w:lineRule="atLeast"/>
        <w:jc w:val="center"/>
        <w:rPr>
          <w:rFonts w:ascii="宋体" w:hAnsi="宋体" w:eastAsia="宋体" w:cs="宋体"/>
          <w:b/>
          <w:bCs/>
          <w:color w:val="auto"/>
          <w:sz w:val="36"/>
          <w:szCs w:val="36"/>
          <w:highlight w:val="none"/>
        </w:rPr>
      </w:pPr>
    </w:p>
    <w:p w14:paraId="2F8E39AE">
      <w:pPr>
        <w:autoSpaceDE w:val="0"/>
        <w:autoSpaceDN w:val="0"/>
        <w:adjustRightInd w:val="0"/>
        <w:spacing w:line="400" w:lineRule="atLeast"/>
        <w:rPr>
          <w:rFonts w:ascii="宋体" w:hAnsi="宋体" w:eastAsia="宋体" w:cs="宋体"/>
          <w:b/>
          <w:bCs/>
          <w:color w:val="auto"/>
          <w:sz w:val="36"/>
          <w:szCs w:val="36"/>
          <w:highlight w:val="none"/>
        </w:rPr>
      </w:pPr>
    </w:p>
    <w:p w14:paraId="5F876042">
      <w:pPr>
        <w:autoSpaceDE w:val="0"/>
        <w:autoSpaceDN w:val="0"/>
        <w:adjustRightInd w:val="0"/>
        <w:spacing w:line="400" w:lineRule="atLeast"/>
        <w:jc w:val="center"/>
        <w:rPr>
          <w:rFonts w:ascii="宋体" w:hAnsi="宋体" w:eastAsia="宋体" w:cs="宋体"/>
          <w:b/>
          <w:bCs/>
          <w:color w:val="auto"/>
          <w:sz w:val="36"/>
          <w:szCs w:val="36"/>
          <w:highlight w:val="none"/>
        </w:rPr>
      </w:pPr>
    </w:p>
    <w:p w14:paraId="3C0AE049">
      <w:pPr>
        <w:autoSpaceDE w:val="0"/>
        <w:autoSpaceDN w:val="0"/>
        <w:adjustRightInd w:val="0"/>
        <w:spacing w:line="400" w:lineRule="atLeast"/>
        <w:jc w:val="center"/>
        <w:rPr>
          <w:rFonts w:ascii="宋体" w:hAnsi="宋体" w:eastAsia="宋体" w:cs="宋体"/>
          <w:b/>
          <w:bCs/>
          <w:color w:val="auto"/>
          <w:sz w:val="36"/>
          <w:szCs w:val="36"/>
          <w:highlight w:val="none"/>
        </w:rPr>
      </w:pPr>
    </w:p>
    <w:p w14:paraId="02EF7558">
      <w:pPr>
        <w:autoSpaceDE w:val="0"/>
        <w:autoSpaceDN w:val="0"/>
        <w:adjustRightInd w:val="0"/>
        <w:spacing w:line="400" w:lineRule="atLeast"/>
        <w:jc w:val="center"/>
        <w:rPr>
          <w:rFonts w:ascii="宋体" w:hAnsi="宋体" w:eastAsia="宋体" w:cs="宋体"/>
          <w:b/>
          <w:bCs/>
          <w:color w:val="auto"/>
          <w:sz w:val="36"/>
          <w:szCs w:val="36"/>
          <w:highlight w:val="none"/>
        </w:rPr>
      </w:pPr>
    </w:p>
    <w:p w14:paraId="7A2AEE49">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0E64E742">
      <w:pPr>
        <w:autoSpaceDE w:val="0"/>
        <w:autoSpaceDN w:val="0"/>
        <w:adjustRightInd w:val="0"/>
        <w:spacing w:line="400" w:lineRule="atLeast"/>
        <w:jc w:val="center"/>
        <w:rPr>
          <w:rFonts w:ascii="宋体" w:hAnsi="宋体" w:eastAsia="宋体" w:cs="宋体"/>
          <w:b/>
          <w:bCs/>
          <w:color w:val="auto"/>
          <w:sz w:val="36"/>
          <w:szCs w:val="36"/>
          <w:highlight w:val="none"/>
        </w:rPr>
      </w:pPr>
    </w:p>
    <w:p w14:paraId="359A2474">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82" w:name="_Toc32395_WPSOffice_Level1"/>
      <w:r>
        <w:rPr>
          <w:rFonts w:hint="eastAsia" w:ascii="宋体" w:hAnsi="宋体" w:eastAsia="宋体" w:cs="宋体"/>
          <w:b/>
          <w:bCs/>
          <w:color w:val="auto"/>
          <w:sz w:val="36"/>
          <w:szCs w:val="36"/>
          <w:highlight w:val="none"/>
          <w:lang w:val="zh-CN"/>
        </w:rPr>
        <w:t>目录</w:t>
      </w:r>
      <w:bookmarkEnd w:id="882"/>
    </w:p>
    <w:p w14:paraId="6AC28723">
      <w:pPr>
        <w:autoSpaceDE w:val="0"/>
        <w:autoSpaceDN w:val="0"/>
        <w:adjustRightInd w:val="0"/>
        <w:spacing w:line="400" w:lineRule="atLeast"/>
        <w:jc w:val="center"/>
        <w:rPr>
          <w:rFonts w:ascii="宋体" w:hAnsi="宋体" w:eastAsia="宋体" w:cs="宋体"/>
          <w:color w:val="auto"/>
          <w:sz w:val="44"/>
          <w:szCs w:val="44"/>
          <w:highlight w:val="none"/>
        </w:rPr>
      </w:pPr>
    </w:p>
    <w:p w14:paraId="73038D69">
      <w:pPr>
        <w:autoSpaceDE w:val="0"/>
        <w:autoSpaceDN w:val="0"/>
        <w:adjustRightInd w:val="0"/>
        <w:spacing w:line="360" w:lineRule="auto"/>
        <w:ind w:left="567" w:hanging="567"/>
        <w:rPr>
          <w:rFonts w:ascii="宋体" w:hAnsi="宋体" w:eastAsia="宋体" w:cs="宋体"/>
          <w:color w:val="auto"/>
          <w:szCs w:val="30"/>
          <w:highlight w:val="none"/>
        </w:rPr>
      </w:pPr>
      <w:bookmarkStart w:id="88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83"/>
    </w:p>
    <w:p w14:paraId="5EBDF05C">
      <w:pPr>
        <w:autoSpaceDE w:val="0"/>
        <w:autoSpaceDN w:val="0"/>
        <w:adjustRightInd w:val="0"/>
        <w:spacing w:line="360" w:lineRule="auto"/>
        <w:ind w:left="567" w:hanging="567"/>
        <w:rPr>
          <w:rFonts w:ascii="宋体" w:hAnsi="宋体" w:eastAsia="宋体" w:cs="宋体"/>
          <w:color w:val="auto"/>
          <w:szCs w:val="30"/>
          <w:highlight w:val="none"/>
        </w:rPr>
      </w:pPr>
      <w:bookmarkStart w:id="88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84"/>
    </w:p>
    <w:p w14:paraId="75861164">
      <w:pPr>
        <w:autoSpaceDE w:val="0"/>
        <w:autoSpaceDN w:val="0"/>
        <w:adjustRightInd w:val="0"/>
        <w:spacing w:line="360" w:lineRule="auto"/>
        <w:ind w:left="567" w:hanging="567"/>
        <w:rPr>
          <w:rFonts w:ascii="宋体" w:hAnsi="宋体" w:eastAsia="宋体" w:cs="宋体"/>
          <w:color w:val="auto"/>
          <w:szCs w:val="30"/>
          <w:highlight w:val="none"/>
        </w:rPr>
      </w:pPr>
      <w:bookmarkStart w:id="88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85"/>
    </w:p>
    <w:p w14:paraId="490C27ED">
      <w:pPr>
        <w:autoSpaceDE w:val="0"/>
        <w:autoSpaceDN w:val="0"/>
        <w:adjustRightInd w:val="0"/>
        <w:spacing w:line="360" w:lineRule="auto"/>
        <w:ind w:left="567" w:hanging="567"/>
        <w:rPr>
          <w:rFonts w:ascii="宋体" w:hAnsi="宋体" w:eastAsia="宋体" w:cs="宋体"/>
          <w:color w:val="auto"/>
          <w:szCs w:val="30"/>
          <w:highlight w:val="none"/>
        </w:rPr>
      </w:pPr>
      <w:bookmarkStart w:id="886" w:name="_Toc1206_WPSOffice_Level1"/>
      <w:r>
        <w:rPr>
          <w:rFonts w:hint="eastAsia" w:ascii="宋体" w:hAnsi="宋体" w:eastAsia="宋体" w:cs="宋体"/>
          <w:color w:val="auto"/>
          <w:szCs w:val="30"/>
          <w:highlight w:val="none"/>
        </w:rPr>
        <w:t>四、 比较和评价</w:t>
      </w:r>
      <w:bookmarkEnd w:id="886"/>
    </w:p>
    <w:p w14:paraId="7B6CFA84">
      <w:pPr>
        <w:autoSpaceDE w:val="0"/>
        <w:autoSpaceDN w:val="0"/>
        <w:adjustRightInd w:val="0"/>
        <w:spacing w:line="360" w:lineRule="auto"/>
        <w:ind w:left="567" w:hanging="567"/>
        <w:rPr>
          <w:rFonts w:ascii="宋体" w:hAnsi="宋体" w:eastAsia="宋体" w:cs="宋体"/>
          <w:color w:val="auto"/>
          <w:szCs w:val="30"/>
          <w:highlight w:val="none"/>
        </w:rPr>
      </w:pPr>
      <w:bookmarkStart w:id="88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87"/>
    </w:p>
    <w:p w14:paraId="09A9BC85">
      <w:pPr>
        <w:autoSpaceDE w:val="0"/>
        <w:autoSpaceDN w:val="0"/>
        <w:adjustRightInd w:val="0"/>
        <w:spacing w:line="360" w:lineRule="auto"/>
        <w:ind w:left="567" w:hanging="567"/>
        <w:rPr>
          <w:rFonts w:ascii="宋体" w:hAnsi="宋体" w:eastAsia="宋体" w:cs="宋体"/>
          <w:color w:val="auto"/>
          <w:szCs w:val="30"/>
          <w:highlight w:val="none"/>
        </w:rPr>
      </w:pPr>
      <w:bookmarkStart w:id="88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88"/>
    </w:p>
    <w:p w14:paraId="1ABEC8D3">
      <w:pPr>
        <w:autoSpaceDE w:val="0"/>
        <w:autoSpaceDN w:val="0"/>
        <w:adjustRightInd w:val="0"/>
        <w:spacing w:line="360" w:lineRule="auto"/>
        <w:ind w:left="567" w:hanging="567"/>
        <w:rPr>
          <w:rFonts w:ascii="宋体" w:hAnsi="宋体" w:eastAsia="宋体" w:cs="宋体"/>
          <w:color w:val="auto"/>
          <w:szCs w:val="30"/>
          <w:highlight w:val="none"/>
        </w:rPr>
      </w:pPr>
      <w:bookmarkStart w:id="88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89"/>
    </w:p>
    <w:p w14:paraId="382C408E">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1D0E8458">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D2677E3">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31DD2024">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9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90"/>
    </w:p>
    <w:p w14:paraId="41BE8D0A">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76A6B43E">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珠三角水资源配置工程东莞配套芦花坑水厂一期配水管线工程-C标段第三方检测服务采购项目</w:t>
      </w:r>
      <w:r>
        <w:rPr>
          <w:rFonts w:hint="eastAsia" w:ascii="宋体" w:hAnsi="宋体" w:eastAsia="宋体" w:cs="宋体"/>
          <w:color w:val="auto"/>
          <w:szCs w:val="21"/>
          <w:highlight w:val="none"/>
          <w:lang w:val="zh-CN"/>
        </w:rPr>
        <w:t>(招标编号：WTZB2025DG0004</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60E5B94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454F1CF6">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7C6B511A">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2DDB13B">
      <w:pPr>
        <w:numPr>
          <w:ilvl w:val="1"/>
          <w:numId w:val="6"/>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2EB37D44">
      <w:pPr>
        <w:autoSpaceDE w:val="0"/>
        <w:autoSpaceDN w:val="0"/>
        <w:adjustRightInd w:val="0"/>
        <w:spacing w:line="360" w:lineRule="auto"/>
        <w:rPr>
          <w:rFonts w:ascii="宋体" w:hAnsi="宋体" w:eastAsia="宋体" w:cs="宋体"/>
          <w:color w:val="auto"/>
          <w:sz w:val="24"/>
          <w:szCs w:val="24"/>
          <w:highlight w:val="none"/>
          <w:lang w:val="zh-CN"/>
        </w:rPr>
      </w:pPr>
    </w:p>
    <w:p w14:paraId="0C02D43C">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44A4E3A">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7D8F2BA">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3EDBCBB1">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576B5ED8">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42F536D1">
      <w:pPr>
        <w:autoSpaceDE w:val="0"/>
        <w:autoSpaceDN w:val="0"/>
        <w:adjustRightInd w:val="0"/>
        <w:spacing w:line="360" w:lineRule="auto"/>
        <w:rPr>
          <w:rFonts w:ascii="宋体" w:hAnsi="宋体" w:eastAsia="宋体" w:cs="宋体"/>
          <w:color w:val="auto"/>
          <w:sz w:val="24"/>
          <w:szCs w:val="24"/>
          <w:highlight w:val="none"/>
          <w:lang w:val="zh-CN"/>
        </w:rPr>
      </w:pPr>
    </w:p>
    <w:p w14:paraId="3252FCFA">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54F2D59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503D0D9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48A9109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7CB6136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700EAC68">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23904A99">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5BDDC87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53190EA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5273075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473B545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3B255C9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29FDCD9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13E67410">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2B3323F3">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2354F3AE">
      <w:pPr>
        <w:autoSpaceDE w:val="0"/>
        <w:autoSpaceDN w:val="0"/>
        <w:adjustRightInd w:val="0"/>
        <w:spacing w:line="360" w:lineRule="auto"/>
        <w:ind w:left="567" w:hanging="567"/>
        <w:outlineLvl w:val="9"/>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6AE7DE9F">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36B581E2">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12E4E184">
      <w:pPr>
        <w:autoSpaceDE w:val="0"/>
        <w:autoSpaceDN w:val="0"/>
        <w:adjustRightInd w:val="0"/>
        <w:spacing w:line="360" w:lineRule="auto"/>
        <w:ind w:left="567" w:hanging="567"/>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7C552E10">
      <w:pPr>
        <w:autoSpaceDE w:val="0"/>
        <w:autoSpaceDN w:val="0"/>
        <w:adjustRightInd w:val="0"/>
        <w:spacing w:line="360" w:lineRule="auto"/>
        <w:ind w:left="567" w:hanging="567"/>
        <w:outlineLvl w:val="9"/>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42325DAE">
      <w:pPr>
        <w:autoSpaceDE w:val="0"/>
        <w:autoSpaceDN w:val="0"/>
        <w:adjustRightInd w:val="0"/>
        <w:spacing w:line="360" w:lineRule="auto"/>
        <w:ind w:left="567" w:hanging="567"/>
        <w:outlineLvl w:val="9"/>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50003376">
      <w:pPr>
        <w:autoSpaceDE w:val="0"/>
        <w:autoSpaceDN w:val="0"/>
        <w:adjustRightInd w:val="0"/>
        <w:spacing w:line="360" w:lineRule="auto"/>
        <w:ind w:left="525" w:hanging="525" w:hangingChars="25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3FE178D2">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3E38CC50">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891" w:name="_Toc19435_WPSOffice_Level1"/>
      <w:r>
        <w:rPr>
          <w:rFonts w:hint="eastAsia" w:ascii="宋体" w:hAnsi="宋体" w:eastAsia="宋体" w:cs="宋体"/>
          <w:b/>
          <w:bCs/>
          <w:color w:val="auto"/>
          <w:sz w:val="28"/>
          <w:szCs w:val="28"/>
          <w:highlight w:val="none"/>
          <w:lang w:val="zh-CN"/>
        </w:rPr>
        <w:t>二、投标文件的初审</w:t>
      </w:r>
      <w:bookmarkEnd w:id="891"/>
    </w:p>
    <w:p w14:paraId="7E6BE30D">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0EAC81C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6D299D3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1FE057A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33113806">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41A948CB">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7714D725">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3B188C3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65EE234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eastAsia="宋体"/>
          <w:b/>
          <w:color w:val="auto"/>
          <w:szCs w:val="21"/>
          <w:highlight w:val="none"/>
        </w:rPr>
        <w:t>投标人报价</w:t>
      </w:r>
      <w:bookmarkStart w:id="892" w:name="OLE_LINK3"/>
      <w:r>
        <w:rPr>
          <w:rFonts w:hint="eastAsia" w:ascii="宋体" w:eastAsia="宋体"/>
          <w:b/>
          <w:color w:val="auto"/>
          <w:szCs w:val="21"/>
          <w:highlight w:val="none"/>
        </w:rPr>
        <w:t>未按照招标文件要求</w:t>
      </w:r>
      <w:bookmarkStart w:id="893" w:name="OLE_LINK2"/>
      <w:r>
        <w:rPr>
          <w:rFonts w:hint="eastAsia" w:ascii="宋体" w:eastAsia="宋体"/>
          <w:b/>
          <w:color w:val="auto"/>
          <w:szCs w:val="21"/>
          <w:highlight w:val="none"/>
        </w:rPr>
        <w:t>对检测服务系数进行报价的</w:t>
      </w:r>
      <w:bookmarkEnd w:id="892"/>
      <w:bookmarkEnd w:id="893"/>
      <w:r>
        <w:rPr>
          <w:rFonts w:hint="eastAsia" w:ascii="宋体" w:hAnsi="宋体" w:eastAsia="宋体" w:cs="宋体"/>
          <w:b/>
          <w:bCs/>
          <w:color w:val="auto"/>
          <w:kern w:val="0"/>
          <w:szCs w:val="21"/>
          <w:highlight w:val="none"/>
        </w:rPr>
        <w:t>；</w:t>
      </w:r>
    </w:p>
    <w:p w14:paraId="2D0AEC76">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5F7E3C89">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0884983E">
      <w:pPr>
        <w:tabs>
          <w:tab w:val="left" w:pos="567"/>
        </w:tabs>
        <w:spacing w:line="360" w:lineRule="auto"/>
        <w:ind w:left="632" w:hanging="632" w:hangingChars="300"/>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31B57168">
      <w:pPr>
        <w:tabs>
          <w:tab w:val="left" w:pos="567"/>
        </w:tabs>
        <w:spacing w:line="360" w:lineRule="auto"/>
        <w:ind w:left="632" w:hanging="632" w:hangingChars="300"/>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lang w:val="en-US" w:eastAsia="zh-CN"/>
        </w:rPr>
        <w:t xml:space="preserve">7.6  </w:t>
      </w:r>
      <w:r>
        <w:rPr>
          <w:rFonts w:hint="eastAsia" w:ascii="宋体" w:hAnsi="宋体" w:eastAsia="宋体" w:cs="宋体"/>
          <w:b/>
          <w:color w:val="auto"/>
          <w:kern w:val="0"/>
          <w:szCs w:val="21"/>
          <w:highlight w:val="none"/>
        </w:rPr>
        <w:t>投标人为本工程的勘察</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rPr>
        <w:t>设计单位、施工单位、监理单位（包括与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kern w:val="0"/>
          <w:szCs w:val="21"/>
          <w:highlight w:val="none"/>
        </w:rPr>
        <w:t>单位法定代表人或负责人为同一人的单位，或者与</w:t>
      </w:r>
      <w:r>
        <w:rPr>
          <w:rFonts w:hint="eastAsia" w:ascii="宋体" w:hAnsi="宋体" w:eastAsia="宋体" w:cs="宋体"/>
          <w:b/>
          <w:color w:val="auto"/>
          <w:szCs w:val="21"/>
          <w:highlight w:val="none"/>
          <w:lang w:val="en-US" w:eastAsia="zh-CN"/>
        </w:rPr>
        <w:t>上述</w:t>
      </w:r>
      <w:r>
        <w:rPr>
          <w:rFonts w:hint="eastAsia" w:ascii="宋体" w:hAnsi="宋体" w:eastAsia="宋体" w:cs="宋体"/>
          <w:b/>
          <w:color w:val="auto"/>
          <w:kern w:val="0"/>
          <w:szCs w:val="21"/>
          <w:highlight w:val="none"/>
        </w:rPr>
        <w:t>单位存在控股、管理关系的单位</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或者与上述单位存在其他利害关系</w:t>
      </w:r>
      <w:r>
        <w:rPr>
          <w:rFonts w:hint="eastAsia" w:ascii="宋体" w:hAnsi="宋体" w:eastAsia="宋体" w:cs="宋体"/>
          <w:b/>
          <w:color w:val="auto"/>
          <w:kern w:val="0"/>
          <w:szCs w:val="21"/>
          <w:highlight w:val="none"/>
        </w:rPr>
        <w:t>）</w:t>
      </w:r>
      <w:r>
        <w:rPr>
          <w:rFonts w:hint="eastAsia" w:ascii="宋体" w:hAnsi="宋体" w:eastAsia="宋体" w:cs="宋体"/>
          <w:b/>
          <w:color w:val="auto"/>
          <w:kern w:val="0"/>
          <w:szCs w:val="21"/>
          <w:highlight w:val="none"/>
          <w:lang w:eastAsia="zh-CN"/>
        </w:rPr>
        <w:t>；</w:t>
      </w:r>
    </w:p>
    <w:p w14:paraId="7977BD8E">
      <w:pPr>
        <w:spacing w:line="360" w:lineRule="auto"/>
        <w:ind w:left="527" w:hanging="527" w:hangingChars="25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 xml:space="preserve">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14:paraId="5F1B59E1">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2EFB7FFC">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 xml:space="preserve"> </w:t>
      </w:r>
      <w:r>
        <w:rPr>
          <w:rFonts w:hint="eastAsia" w:ascii="宋体" w:hAnsi="宋体" w:eastAsia="宋体" w:cs="宋体"/>
          <w:b/>
          <w:bCs/>
          <w:color w:val="auto"/>
          <w:kern w:val="0"/>
          <w:szCs w:val="21"/>
          <w:highlight w:val="none"/>
        </w:rPr>
        <w:t>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59AA0ECA">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516B8408">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11</w:t>
      </w:r>
      <w:r>
        <w:rPr>
          <w:rFonts w:ascii="宋体" w:hAnsi="宋体" w:eastAsia="宋体" w:cs="Times New Roman"/>
          <w:b/>
          <w:color w:val="auto"/>
          <w:kern w:val="0"/>
          <w:szCs w:val="21"/>
          <w:highlight w:val="none"/>
        </w:rPr>
        <w:t xml:space="preserve"> 未填写或虚假填写《用户需求偏离表》的；</w:t>
      </w:r>
    </w:p>
    <w:p w14:paraId="1223A8A4">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 xml:space="preserve">2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6161C518">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5F215D7">
      <w:pPr>
        <w:spacing w:line="360" w:lineRule="auto"/>
        <w:ind w:left="480"/>
        <w:rPr>
          <w:rFonts w:ascii="宋体" w:hAnsi="宋体" w:eastAsia="宋体" w:cs="宋体"/>
          <w:b/>
          <w:color w:val="auto"/>
          <w:kern w:val="0"/>
          <w:szCs w:val="21"/>
          <w:highlight w:val="none"/>
        </w:rPr>
      </w:pPr>
    </w:p>
    <w:p w14:paraId="6590BF07">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94" w:name="_Toc4109_WPSOffice_Level1"/>
      <w:r>
        <w:rPr>
          <w:rFonts w:hint="eastAsia" w:ascii="宋体" w:hAnsi="宋体" w:eastAsia="宋体" w:cs="宋体"/>
          <w:b/>
          <w:bCs/>
          <w:color w:val="auto"/>
          <w:sz w:val="28"/>
          <w:szCs w:val="28"/>
          <w:highlight w:val="none"/>
          <w:lang w:val="zh-CN"/>
        </w:rPr>
        <w:t>三、澄清有关问题</w:t>
      </w:r>
      <w:bookmarkEnd w:id="894"/>
    </w:p>
    <w:p w14:paraId="261E0790">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298E97DA">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39B36A9E">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26749D8">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4D2C8C03">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 xml:space="preserve">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583A081D">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95" w:name="_Toc8518_WPSOffice_Level1"/>
    </w:p>
    <w:p w14:paraId="2B9601AE">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95"/>
    </w:p>
    <w:p w14:paraId="65432937">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44988EA4">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46F40355">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5BE14F67">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1E2F00B">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54718233">
      <w:pPr>
        <w:autoSpaceDE w:val="0"/>
        <w:autoSpaceDN w:val="0"/>
        <w:adjustRightInd w:val="0"/>
        <w:spacing w:line="360" w:lineRule="auto"/>
        <w:ind w:left="565"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6EBDA733">
      <w:pPr>
        <w:autoSpaceDE w:val="0"/>
        <w:autoSpaceDN w:val="0"/>
        <w:adjustRightInd w:val="0"/>
        <w:spacing w:line="360" w:lineRule="auto"/>
        <w:ind w:left="565"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44586BE9">
      <w:pPr>
        <w:autoSpaceDE w:val="0"/>
        <w:autoSpaceDN w:val="0"/>
        <w:adjustRightInd w:val="0"/>
        <w:spacing w:line="360" w:lineRule="auto"/>
        <w:ind w:left="565"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6AFBC34A">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636FEB65">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00802D80">
      <w:pPr>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3A2447BF">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260D336B">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276CA8F0">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B4FC941">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60BBB0BC">
      <w:pPr>
        <w:tabs>
          <w:tab w:val="left" w:pos="1134"/>
        </w:tabs>
        <w:autoSpaceDE w:val="0"/>
        <w:autoSpaceDN w:val="0"/>
        <w:adjustRightInd w:val="0"/>
        <w:spacing w:line="360" w:lineRule="auto"/>
        <w:ind w:left="565"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64407058">
      <w:pPr>
        <w:autoSpaceDE w:val="0"/>
        <w:autoSpaceDN w:val="0"/>
        <w:adjustRightInd w:val="0"/>
        <w:spacing w:line="360" w:lineRule="auto"/>
        <w:rPr>
          <w:rFonts w:ascii="宋体" w:hAnsi="宋体" w:eastAsia="宋体" w:cs="宋体"/>
          <w:color w:val="auto"/>
          <w:szCs w:val="24"/>
          <w:highlight w:val="none"/>
          <w:lang w:val="zh-CN"/>
        </w:rPr>
      </w:pPr>
    </w:p>
    <w:p w14:paraId="1BD64CB9">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10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14:paraId="2A4F3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4A0BA53E">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14:paraId="74FD64F0">
            <w:pPr>
              <w:keepNext w:val="0"/>
              <w:keepLines w:val="0"/>
              <w:suppressLineNumbers w:val="0"/>
              <w:spacing w:before="0" w:beforeAutospacing="0" w:after="0" w:afterAutospacing="0" w:line="400" w:lineRule="exact"/>
              <w:ind w:left="0" w:right="0"/>
              <w:jc w:val="center"/>
              <w:rPr>
                <w:rFonts w:hint="default"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0178B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299503F1">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14:paraId="0BF4722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10A90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1B9C93C2">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14:paraId="63B82FF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745E14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14:paraId="746C9542">
            <w:pPr>
              <w:keepNext w:val="0"/>
              <w:keepLines w:val="0"/>
              <w:suppressLineNumbers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14:paraId="7D1C633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2AF9F175">
      <w:pPr>
        <w:tabs>
          <w:tab w:val="left" w:pos="585"/>
        </w:tabs>
        <w:autoSpaceDE w:val="0"/>
        <w:autoSpaceDN w:val="0"/>
        <w:adjustRightInd w:val="0"/>
        <w:spacing w:line="360" w:lineRule="auto"/>
        <w:rPr>
          <w:rFonts w:ascii="宋体" w:hAnsi="宋体" w:eastAsia="宋体" w:cs="宋体"/>
          <w:b/>
          <w:color w:val="auto"/>
          <w:szCs w:val="21"/>
          <w:highlight w:val="none"/>
        </w:rPr>
      </w:pPr>
      <w:bookmarkStart w:id="896" w:name="_Toc18349_WPSOffice_Level2"/>
    </w:p>
    <w:p w14:paraId="00626007">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896"/>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14:paraId="15487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14:paraId="0ED83F0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14:paraId="7A00F57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14:paraId="11BC8D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14:paraId="7495C2C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8AF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77E1DC1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43B639D9">
            <w:pPr>
              <w:keepNext w:val="0"/>
              <w:keepLines w:val="0"/>
              <w:suppressLineNumbers w:val="0"/>
              <w:spacing w:before="0" w:beforeAutospacing="0" w:after="0" w:afterAutospacing="0" w:line="360" w:lineRule="auto"/>
              <w:ind w:left="0" w:right="0"/>
              <w:jc w:val="center"/>
              <w:rPr>
                <w:rFonts w:hint="default" w:ascii="宋体" w:hAnsi="宋体" w:eastAsia="宋体" w:cs="Times New Roman"/>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14:paraId="6D64A364">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年-20</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年三个年度，每具有1个年度盈利的得</w:t>
            </w:r>
            <w:r>
              <w:rPr>
                <w:rFonts w:hint="eastAsia" w:ascii="宋体" w:hAnsi="宋体" w:eastAsia="宋体" w:cs="宋体"/>
                <w:color w:val="auto"/>
                <w:szCs w:val="21"/>
                <w:highlight w:val="none"/>
              </w:rPr>
              <w:t>0.5</w:t>
            </w:r>
            <w:r>
              <w:rPr>
                <w:rFonts w:hint="eastAsia" w:ascii="宋体" w:hAnsi="宋体" w:eastAsia="宋体" w:cs="宋体"/>
                <w:color w:val="auto"/>
                <w:szCs w:val="21"/>
                <w:highlight w:val="none"/>
                <w:lang w:val="zh-CN"/>
              </w:rPr>
              <w:t>分，满分</w:t>
            </w:r>
            <w:r>
              <w:rPr>
                <w:rFonts w:hint="eastAsia" w:ascii="宋体" w:hAnsi="宋体" w:eastAsia="宋体" w:cs="宋体"/>
                <w:color w:val="auto"/>
                <w:szCs w:val="21"/>
                <w:highlight w:val="none"/>
              </w:rPr>
              <w:t>1.5</w:t>
            </w:r>
            <w:r>
              <w:rPr>
                <w:rFonts w:hint="eastAsia" w:ascii="宋体" w:hAnsi="宋体" w:eastAsia="宋体" w:cs="宋体"/>
                <w:color w:val="auto"/>
                <w:szCs w:val="21"/>
                <w:highlight w:val="none"/>
                <w:lang w:val="zh-CN"/>
              </w:rPr>
              <w:t>分。</w:t>
            </w:r>
          </w:p>
          <w:p w14:paraId="2A82385C">
            <w:pPr>
              <w:keepNext w:val="0"/>
              <w:keepLines w:val="0"/>
              <w:suppressLineNumbers w:val="0"/>
              <w:spacing w:before="0" w:beforeAutospacing="0" w:after="0" w:afterAutospacing="0" w:line="360" w:lineRule="auto"/>
              <w:ind w:left="0" w:right="0"/>
              <w:contextualSpacing/>
              <w:rPr>
                <w:rFonts w:hint="default" w:ascii="宋体" w:hAnsi="宋体" w:eastAsia="宋体" w:cs="Times New Roman"/>
                <w:b/>
                <w:color w:val="auto"/>
                <w:kern w:val="0"/>
                <w:szCs w:val="21"/>
                <w:highlight w:val="none"/>
                <w:lang w:val="zh-CN"/>
              </w:rPr>
            </w:pPr>
            <w:r>
              <w:rPr>
                <w:rFonts w:hint="eastAsia" w:ascii="宋体" w:hAnsi="宋体" w:eastAsia="宋体" w:cs="宋体"/>
                <w:b/>
                <w:color w:val="auto"/>
                <w:szCs w:val="21"/>
                <w:highlight w:val="none"/>
                <w:lang w:val="zh-CN"/>
              </w:rPr>
              <w:t>备注：</w:t>
            </w:r>
            <w:r>
              <w:rPr>
                <w:rFonts w:hint="eastAsia" w:ascii="宋体" w:hAnsi="宋体" w:eastAsia="宋体" w:cs="宋体"/>
                <w:b/>
                <w:color w:val="auto"/>
                <w:szCs w:val="21"/>
                <w:highlight w:val="none"/>
                <w:lang w:val="en-US" w:eastAsia="zh-CN"/>
              </w:rPr>
              <w:t>盈利指净利润为正数（非零、非负数），</w:t>
            </w:r>
            <w:r>
              <w:rPr>
                <w:rFonts w:hint="eastAsia" w:ascii="宋体" w:hAnsi="宋体" w:eastAsia="宋体" w:cs="宋体"/>
                <w:b/>
                <w:color w:val="auto"/>
                <w:szCs w:val="21"/>
                <w:highlight w:val="none"/>
                <w:lang w:val="zh-CN"/>
              </w:rPr>
              <w:t>投标人应提供202</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年、202</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年三个年度的财务报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，净利润以</w:t>
            </w:r>
            <w:r>
              <w:rPr>
                <w:rFonts w:hint="eastAsia" w:ascii="宋体" w:hAnsi="宋体" w:eastAsia="宋体" w:cs="宋体"/>
                <w:b/>
                <w:color w:val="auto"/>
                <w:szCs w:val="21"/>
                <w:highlight w:val="none"/>
                <w:lang w:val="en-US" w:eastAsia="zh-CN"/>
              </w:rPr>
              <w:t>对应年度</w:t>
            </w:r>
            <w:r>
              <w:rPr>
                <w:rFonts w:hint="eastAsia" w:ascii="宋体" w:hAnsi="宋体" w:eastAsia="宋体" w:cs="宋体"/>
                <w:b/>
                <w:color w:val="auto"/>
                <w:szCs w:val="21"/>
                <w:highlight w:val="none"/>
                <w:lang w:val="zh-CN"/>
              </w:rPr>
              <w:t>经审计的财务报表为准，应提供经独立会计师事务所审计过的有效的财务报告</w:t>
            </w:r>
            <w:r>
              <w:rPr>
                <w:rFonts w:hint="eastAsia" w:ascii="宋体" w:hAnsi="宋体" w:eastAsia="宋体" w:cs="宋体"/>
                <w:b/>
                <w:color w:val="auto"/>
                <w:szCs w:val="21"/>
                <w:highlight w:val="none"/>
                <w:lang w:val="en-US" w:eastAsia="zh-CN"/>
              </w:rPr>
              <w:t>复印件</w:t>
            </w:r>
            <w:r>
              <w:rPr>
                <w:rFonts w:hint="eastAsia" w:ascii="宋体" w:hAnsi="宋体" w:eastAsia="宋体" w:cs="宋体"/>
                <w:b/>
                <w:color w:val="auto"/>
                <w:szCs w:val="21"/>
                <w:highlight w:val="none"/>
                <w:lang w:val="zh-CN"/>
              </w:rPr>
              <w:t>；未提供前述财务报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或财务报</w:t>
            </w:r>
            <w:r>
              <w:rPr>
                <w:rFonts w:hint="eastAsia" w:ascii="宋体" w:hAnsi="宋体" w:eastAsia="宋体" w:cs="宋体"/>
                <w:b/>
                <w:color w:val="auto"/>
                <w:szCs w:val="21"/>
                <w:highlight w:val="none"/>
                <w:lang w:val="en-US" w:eastAsia="zh-CN"/>
              </w:rPr>
              <w:t>表</w:t>
            </w:r>
            <w:r>
              <w:rPr>
                <w:rFonts w:hint="eastAsia" w:ascii="宋体" w:hAnsi="宋体" w:eastAsia="宋体" w:cs="宋体"/>
                <w:b/>
                <w:color w:val="auto"/>
                <w:szCs w:val="21"/>
                <w:highlight w:val="none"/>
                <w:lang w:val="zh-CN"/>
              </w:rPr>
              <w:t>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14:paraId="357266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1.5分</w:t>
            </w:r>
          </w:p>
        </w:tc>
      </w:tr>
      <w:tr w14:paraId="7B7E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4CD854D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2</w:t>
            </w:r>
          </w:p>
        </w:tc>
        <w:tc>
          <w:tcPr>
            <w:tcW w:w="1134" w:type="dxa"/>
            <w:tcBorders>
              <w:top w:val="single" w:color="auto" w:sz="4" w:space="0"/>
              <w:left w:val="single" w:color="auto" w:sz="4" w:space="0"/>
              <w:bottom w:val="single" w:color="auto" w:sz="4" w:space="0"/>
              <w:right w:val="single" w:color="auto" w:sz="4" w:space="0"/>
            </w:tcBorders>
            <w:vAlign w:val="center"/>
          </w:tcPr>
          <w:p w14:paraId="74843E0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lang w:val="zh-CN"/>
              </w:rPr>
            </w:pPr>
            <w:r>
              <w:rPr>
                <w:rFonts w:hint="eastAsia" w:ascii="宋体" w:hAnsi="宋体" w:eastAsia="宋体" w:cs="宋体"/>
                <w:color w:val="auto"/>
                <w:szCs w:val="21"/>
                <w:highlight w:val="none"/>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14:paraId="14C54424">
            <w:pPr>
              <w:keepNext w:val="0"/>
              <w:keepLines w:val="0"/>
              <w:suppressLineNumbers w:val="0"/>
              <w:tabs>
                <w:tab w:val="left" w:pos="134"/>
              </w:tabs>
              <w:spacing w:before="0" w:beforeAutospacing="0" w:after="0" w:afterAutospacing="0" w:line="360" w:lineRule="auto"/>
              <w:ind w:left="0" w:right="0"/>
              <w:contextualSpacing/>
              <w:rPr>
                <w:rFonts w:hint="default" w:ascii="宋体" w:hAnsi="宋体" w:eastAsia="宋体" w:cs="宋体"/>
                <w:color w:val="auto"/>
                <w:szCs w:val="21"/>
                <w:highlight w:val="none"/>
              </w:rPr>
            </w:pPr>
            <w:r>
              <w:rPr>
                <w:rFonts w:hint="eastAsia" w:ascii="宋体" w:hAnsi="宋体" w:eastAsia="宋体" w:cs="宋体"/>
                <w:color w:val="auto"/>
                <w:szCs w:val="21"/>
                <w:highlight w:val="none"/>
              </w:rPr>
              <w:t>(1)投标人具有有效期内的ISO9001质量管理体系认证证书得0.5分；</w:t>
            </w:r>
          </w:p>
          <w:p w14:paraId="60C662D5">
            <w:pPr>
              <w:keepNext w:val="0"/>
              <w:keepLines w:val="0"/>
              <w:suppressLineNumbers w:val="0"/>
              <w:tabs>
                <w:tab w:val="left" w:pos="134"/>
              </w:tabs>
              <w:spacing w:before="0" w:beforeAutospacing="0" w:after="0" w:afterAutospacing="0" w:line="360" w:lineRule="auto"/>
              <w:ind w:left="0" w:right="0"/>
              <w:contextualSpacing/>
              <w:rPr>
                <w:rFonts w:hint="default" w:ascii="宋体" w:hAnsi="宋体" w:eastAsia="宋体" w:cs="宋体"/>
                <w:color w:val="auto"/>
                <w:szCs w:val="21"/>
                <w:highlight w:val="none"/>
              </w:rPr>
            </w:pPr>
            <w:r>
              <w:rPr>
                <w:rFonts w:hint="eastAsia" w:ascii="宋体" w:hAnsi="宋体" w:eastAsia="宋体" w:cs="宋体"/>
                <w:color w:val="auto"/>
                <w:szCs w:val="21"/>
                <w:highlight w:val="none"/>
              </w:rPr>
              <w:t>(2)投标人具有有效期内的ISO14001环境管理体系认证证书得0.5分；</w:t>
            </w:r>
          </w:p>
          <w:p w14:paraId="3BAC01F6">
            <w:pPr>
              <w:keepNext w:val="0"/>
              <w:keepLines w:val="0"/>
              <w:suppressLineNumbers w:val="0"/>
              <w:tabs>
                <w:tab w:val="left" w:pos="134"/>
              </w:tabs>
              <w:spacing w:before="0" w:beforeAutospacing="0" w:after="0" w:afterAutospacing="0" w:line="360" w:lineRule="auto"/>
              <w:ind w:left="0" w:right="0"/>
              <w:contextualSpacing/>
              <w:rPr>
                <w:rFonts w:hint="default" w:ascii="宋体" w:hAnsi="宋体" w:eastAsia="宋体" w:cs="宋体"/>
                <w:color w:val="auto"/>
                <w:szCs w:val="21"/>
                <w:highlight w:val="none"/>
              </w:rPr>
            </w:pPr>
            <w:r>
              <w:rPr>
                <w:rFonts w:hint="eastAsia" w:ascii="宋体" w:hAnsi="宋体" w:eastAsia="宋体" w:cs="宋体"/>
                <w:color w:val="auto"/>
                <w:szCs w:val="21"/>
                <w:highlight w:val="none"/>
              </w:rPr>
              <w:t>(3)投标人具有有效期内的OHSAS18001（或GB/T45001-2020，或IS045001）职业健康安全管理体系认证证书得0.5分。</w:t>
            </w:r>
          </w:p>
          <w:p w14:paraId="3EA9516D">
            <w:pPr>
              <w:keepNext w:val="0"/>
              <w:keepLines w:val="0"/>
              <w:suppressLineNumbers w:val="0"/>
              <w:spacing w:before="0" w:beforeAutospacing="0" w:after="0" w:afterAutospacing="0" w:line="360" w:lineRule="auto"/>
              <w:ind w:left="0" w:right="0"/>
              <w:contextualSpacing/>
              <w:rPr>
                <w:rFonts w:hint="default" w:ascii="宋体" w:hAnsi="宋体" w:eastAsia="宋体" w:cs="Times New Roman"/>
                <w:b/>
                <w:color w:val="auto"/>
                <w:kern w:val="0"/>
                <w:sz w:val="24"/>
                <w:szCs w:val="24"/>
                <w:highlight w:val="none"/>
              </w:rPr>
            </w:pPr>
            <w:r>
              <w:rPr>
                <w:rFonts w:hint="eastAsia" w:ascii="宋体" w:hAnsi="宋体" w:eastAsia="宋体" w:cs="宋体"/>
                <w:b/>
                <w:color w:val="auto"/>
                <w:szCs w:val="21"/>
                <w:highlight w:val="none"/>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14:paraId="13A2D99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1.5分</w:t>
            </w:r>
          </w:p>
        </w:tc>
      </w:tr>
      <w:tr w14:paraId="6CF80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14:paraId="6FA7F8C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bookmarkStart w:id="897" w:name="_Hlk104987354"/>
            <w:r>
              <w:rPr>
                <w:rFonts w:hint="eastAsia" w:ascii="宋体" w:hAnsi="宋体" w:eastAsia="宋体" w:cs="宋体"/>
                <w:color w:val="auto"/>
                <w:szCs w:val="21"/>
                <w:highlight w:val="none"/>
              </w:rPr>
              <w:t>3</w:t>
            </w:r>
          </w:p>
        </w:tc>
        <w:tc>
          <w:tcPr>
            <w:tcW w:w="1134" w:type="dxa"/>
            <w:tcBorders>
              <w:top w:val="single" w:color="auto" w:sz="4" w:space="0"/>
              <w:left w:val="single" w:color="auto" w:sz="4" w:space="0"/>
              <w:bottom w:val="single" w:color="auto" w:sz="4" w:space="0"/>
              <w:right w:val="single" w:color="auto" w:sz="4" w:space="0"/>
            </w:tcBorders>
            <w:vAlign w:val="center"/>
          </w:tcPr>
          <w:p w14:paraId="18D69FD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业绩</w:t>
            </w:r>
          </w:p>
        </w:tc>
        <w:tc>
          <w:tcPr>
            <w:tcW w:w="7655" w:type="dxa"/>
            <w:tcBorders>
              <w:top w:val="single" w:color="auto" w:sz="4" w:space="0"/>
              <w:left w:val="single" w:color="auto" w:sz="4" w:space="0"/>
              <w:bottom w:val="single" w:color="auto" w:sz="4" w:space="0"/>
              <w:right w:val="single" w:color="auto" w:sz="4" w:space="0"/>
            </w:tcBorders>
            <w:vAlign w:val="center"/>
          </w:tcPr>
          <w:p w14:paraId="7D5C048B">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（以合同签订日期为准）至今承接的市政工程检测业绩，按下列情况评分（满分</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分）：</w:t>
            </w:r>
          </w:p>
          <w:p w14:paraId="0E7929F7">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①单项合同金额≥</w:t>
            </w:r>
            <w:r>
              <w:rPr>
                <w:rFonts w:hint="eastAsia" w:ascii="宋体" w:hAnsi="宋体" w:eastAsia="宋体" w:cs="宋体"/>
                <w:color w:val="auto"/>
                <w:szCs w:val="21"/>
                <w:highlight w:val="none"/>
                <w:lang w:val="en-US" w:eastAsia="zh-CN"/>
              </w:rPr>
              <w:t>120</w:t>
            </w:r>
            <w:r>
              <w:rPr>
                <w:rFonts w:hint="eastAsia" w:ascii="宋体" w:hAnsi="宋体" w:eastAsia="宋体" w:cs="宋体"/>
                <w:color w:val="auto"/>
                <w:szCs w:val="21"/>
                <w:highlight w:val="none"/>
              </w:rPr>
              <w:t>万元的前述业绩的，每项得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6173C8B0">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val="en-US" w:eastAsia="zh-CN"/>
              </w:rPr>
              <w:t>80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120</w:t>
            </w:r>
            <w:r>
              <w:rPr>
                <w:rFonts w:hint="eastAsia" w:ascii="宋体" w:hAnsi="宋体" w:eastAsia="宋体" w:cs="宋体"/>
                <w:color w:val="auto"/>
                <w:szCs w:val="21"/>
                <w:highlight w:val="none"/>
              </w:rPr>
              <w:t>万元的前述业绩的，每项得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6255EE08">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80</w:t>
            </w:r>
            <w:r>
              <w:rPr>
                <w:rFonts w:hint="eastAsia" w:ascii="宋体" w:hAnsi="宋体" w:eastAsia="宋体" w:cs="宋体"/>
                <w:color w:val="auto"/>
                <w:szCs w:val="21"/>
                <w:highlight w:val="none"/>
              </w:rPr>
              <w:t>万元的前述业绩的，每项得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分，本子项满分</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分。</w:t>
            </w:r>
          </w:p>
          <w:p w14:paraId="581140C2">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备注：</w:t>
            </w:r>
          </w:p>
          <w:p w14:paraId="05DA6C21">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1）业绩须附合同复印件，否则不得分；</w:t>
            </w:r>
          </w:p>
          <w:p w14:paraId="39A9322F">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2）合同业绩证明材料必须能反映评分条件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合同签订日期为</w:t>
            </w:r>
            <w:r>
              <w:rPr>
                <w:rFonts w:hint="eastAsia" w:ascii="宋体" w:hAnsi="宋体" w:eastAsia="宋体" w:cs="宋体"/>
                <w:b/>
                <w:bCs/>
                <w:color w:val="auto"/>
                <w:szCs w:val="21"/>
                <w:highlight w:val="none"/>
                <w:lang w:eastAsia="zh-CN"/>
              </w:rPr>
              <w:t>2020年1月1日</w:t>
            </w:r>
            <w:r>
              <w:rPr>
                <w:rFonts w:hint="eastAsia" w:ascii="宋体" w:hAnsi="宋体" w:eastAsia="宋体" w:cs="宋体"/>
                <w:b/>
                <w:bCs/>
                <w:color w:val="auto"/>
                <w:szCs w:val="21"/>
                <w:highlight w:val="none"/>
              </w:rPr>
              <w:t>或以后，业绩类型为市政工程检测，合同金额</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若合同内容无法反映合同金额的，需提供可反映合同金额的结算资料复印件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，否则需同时提供</w:t>
            </w:r>
            <w:r>
              <w:rPr>
                <w:rFonts w:hint="eastAsia" w:ascii="宋体" w:hAnsi="宋体" w:eastAsia="宋体" w:cs="宋体"/>
                <w:b/>
                <w:bCs/>
                <w:color w:val="auto"/>
                <w:szCs w:val="21"/>
                <w:highlight w:val="none"/>
                <w:lang w:val="en-US" w:eastAsia="zh-CN"/>
              </w:rPr>
              <w:t>合同委托方</w:t>
            </w:r>
            <w:r>
              <w:rPr>
                <w:rFonts w:hint="eastAsia" w:ascii="宋体" w:hAnsi="宋体" w:eastAsia="宋体" w:cs="宋体"/>
                <w:b/>
                <w:bCs/>
                <w:color w:val="auto"/>
                <w:szCs w:val="21"/>
                <w:highlight w:val="none"/>
              </w:rPr>
              <w:t>出具的书面补充情况说明文件复印件</w:t>
            </w:r>
            <w:r>
              <w:rPr>
                <w:rFonts w:hint="eastAsia" w:ascii="宋体" w:hAnsi="宋体" w:eastAsia="宋体" w:cs="宋体"/>
                <w:b/>
                <w:bCs/>
                <w:color w:val="auto"/>
                <w:szCs w:val="21"/>
                <w:highlight w:val="none"/>
                <w:lang w:eastAsia="zh-CN"/>
              </w:rPr>
              <w:t>（需加盖委托方公章，即复印件能显示委托方公章）</w:t>
            </w:r>
            <w:r>
              <w:rPr>
                <w:rFonts w:hint="eastAsia" w:ascii="宋体" w:hAnsi="宋体" w:eastAsia="宋体" w:cs="宋体"/>
                <w:b/>
                <w:bCs/>
                <w:color w:val="auto"/>
                <w:szCs w:val="21"/>
                <w:highlight w:val="none"/>
              </w:rPr>
              <w:t>；</w:t>
            </w:r>
          </w:p>
          <w:p w14:paraId="1606227E">
            <w:pPr>
              <w:keepNext w:val="0"/>
              <w:keepLines w:val="0"/>
              <w:suppressLineNumbers w:val="0"/>
              <w:spacing w:before="0" w:beforeAutospacing="0" w:after="0" w:afterAutospacing="0" w:line="400" w:lineRule="exact"/>
              <w:ind w:left="0" w:right="0"/>
              <w:rPr>
                <w:rFonts w:hint="default"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3）未按上述要求提供证明材料的业绩，或所附材料无法证明填报项目符合本项评分要求的业绩，在评标时将不予考虑。</w:t>
            </w:r>
          </w:p>
        </w:tc>
        <w:tc>
          <w:tcPr>
            <w:tcW w:w="907" w:type="dxa"/>
            <w:tcBorders>
              <w:top w:val="single" w:color="auto" w:sz="4" w:space="0"/>
              <w:left w:val="single" w:color="auto" w:sz="4" w:space="0"/>
              <w:bottom w:val="single" w:color="auto" w:sz="4" w:space="0"/>
              <w:right w:val="single" w:color="auto" w:sz="4" w:space="0"/>
            </w:tcBorders>
            <w:vAlign w:val="center"/>
          </w:tcPr>
          <w:p w14:paraId="45DA243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rPr>
              <w:t>分</w:t>
            </w:r>
          </w:p>
        </w:tc>
      </w:tr>
      <w:tr w14:paraId="72DC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restart"/>
            <w:tcBorders>
              <w:top w:val="single" w:color="auto" w:sz="4" w:space="0"/>
              <w:left w:val="single" w:color="auto" w:sz="4" w:space="0"/>
              <w:bottom w:val="single" w:color="auto" w:sz="4" w:space="0"/>
              <w:right w:val="single" w:color="auto" w:sz="4" w:space="0"/>
            </w:tcBorders>
            <w:vAlign w:val="center"/>
          </w:tcPr>
          <w:p w14:paraId="5A4D73D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bookmarkStart w:id="898" w:name="_Toc11639_WPSOffice_Level2"/>
            <w:r>
              <w:rPr>
                <w:rFonts w:hint="eastAsia" w:ascii="宋体" w:hAnsi="宋体" w:eastAsia="宋体" w:cs="宋体"/>
                <w:color w:val="auto"/>
                <w:szCs w:val="21"/>
                <w:highlight w:val="none"/>
                <w:lang w:val="en-US" w:eastAsia="zh-CN"/>
              </w:rPr>
              <w:t>4</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41B2EE5A">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拟投入人员情况</w:t>
            </w:r>
          </w:p>
        </w:tc>
        <w:tc>
          <w:tcPr>
            <w:tcW w:w="7655" w:type="dxa"/>
            <w:tcBorders>
              <w:top w:val="single" w:color="auto" w:sz="4" w:space="0"/>
              <w:left w:val="single" w:color="auto" w:sz="4" w:space="0"/>
              <w:bottom w:val="single" w:color="auto" w:sz="4" w:space="0"/>
              <w:right w:val="single" w:color="auto" w:sz="4" w:space="0"/>
            </w:tcBorders>
            <w:vAlign w:val="center"/>
          </w:tcPr>
          <w:p w14:paraId="1C1B7726">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(1)项目负责人（满分</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24125865">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①具有工程类专业高级工程师职称的，得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51B69098">
            <w:pPr>
              <w:keepNext w:val="0"/>
              <w:keepLines w:val="0"/>
              <w:suppressLineNumbers w:val="0"/>
              <w:spacing w:before="0" w:beforeAutospacing="0" w:after="0" w:afterAutospacing="0" w:line="40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以来（以合同签订日期为准），作为项目负责人，承接过一项市政工程检测项目的，得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60242CCA">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0CD53695">
            <w:pPr>
              <w:keepNext w:val="0"/>
              <w:keepLines w:val="0"/>
              <w:suppressLineNumbers w:val="0"/>
              <w:spacing w:before="0" w:beforeAutospacing="0" w:after="0" w:afterAutospacing="0" w:line="400" w:lineRule="exact"/>
              <w:ind w:left="0" w:right="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1）须提供身份证、职称证书、社会保障部门出具的最近1年（即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b/>
                <w:bCs/>
                <w:color w:val="auto"/>
                <w:szCs w:val="21"/>
                <w:highlight w:val="none"/>
              </w:rPr>
              <w:t>）在投标人单位缴纳</w:t>
            </w:r>
            <w:r>
              <w:rPr>
                <w:rFonts w:hint="eastAsia" w:ascii="宋体" w:hAnsi="宋体" w:eastAsia="宋体" w:cs="宋体"/>
                <w:b/>
                <w:bCs/>
                <w:color w:val="auto"/>
                <w:szCs w:val="21"/>
                <w:highlight w:val="none"/>
                <w:lang w:eastAsia="zh-CN"/>
              </w:rPr>
              <w:t>社保</w:t>
            </w:r>
            <w:r>
              <w:rPr>
                <w:rFonts w:hint="eastAsia" w:ascii="宋体" w:hAnsi="宋体" w:eastAsia="宋体" w:cs="宋体"/>
                <w:b/>
                <w:bCs/>
                <w:color w:val="auto"/>
                <w:szCs w:val="21"/>
                <w:highlight w:val="none"/>
              </w:rPr>
              <w:t>有效凭证等证明材料复印件加盖投标人公章</w:t>
            </w:r>
            <w:r>
              <w:rPr>
                <w:rFonts w:hint="eastAsia" w:ascii="宋体" w:hAnsi="宋体" w:eastAsia="宋体" w:cs="宋体"/>
                <w:b/>
                <w:bCs/>
                <w:color w:val="auto"/>
                <w:szCs w:val="21"/>
                <w:highlight w:val="none"/>
                <w:lang w:eastAsia="zh-CN"/>
              </w:rPr>
              <w:t>；</w:t>
            </w:r>
          </w:p>
          <w:p w14:paraId="04C7361A">
            <w:pPr>
              <w:keepNext w:val="0"/>
              <w:keepLines w:val="0"/>
              <w:suppressLineNumbers w:val="0"/>
              <w:spacing w:before="0" w:beforeAutospacing="0" w:after="0" w:afterAutospacing="0" w:line="400" w:lineRule="exact"/>
              <w:ind w:left="0" w:right="0"/>
              <w:rPr>
                <w:rFonts w:hint="default"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2）项目负责人业绩须附合同复印件，合同业绩证明材料必须能反映评审条件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合同签订日期为</w:t>
            </w:r>
            <w:r>
              <w:rPr>
                <w:rFonts w:hint="eastAsia" w:ascii="宋体" w:hAnsi="宋体" w:eastAsia="宋体" w:cs="宋体"/>
                <w:b/>
                <w:bCs/>
                <w:color w:val="auto"/>
                <w:szCs w:val="21"/>
                <w:highlight w:val="none"/>
                <w:lang w:eastAsia="zh-CN"/>
              </w:rPr>
              <w:t>2020年1月1日</w:t>
            </w:r>
            <w:r>
              <w:rPr>
                <w:rFonts w:hint="eastAsia" w:ascii="宋体" w:hAnsi="宋体" w:eastAsia="宋体" w:cs="宋体"/>
                <w:b/>
                <w:bCs/>
                <w:color w:val="auto"/>
                <w:szCs w:val="21"/>
                <w:highlight w:val="none"/>
              </w:rPr>
              <w:t>或以后，业绩类型为市政工程检测，项目负责人信息</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，否则需同时提供</w:t>
            </w:r>
            <w:r>
              <w:rPr>
                <w:rFonts w:hint="eastAsia" w:ascii="宋体" w:hAnsi="宋体" w:eastAsia="宋体" w:cs="宋体"/>
                <w:b/>
                <w:bCs/>
                <w:color w:val="auto"/>
                <w:szCs w:val="21"/>
                <w:highlight w:val="none"/>
                <w:lang w:val="en-US" w:eastAsia="zh-CN"/>
              </w:rPr>
              <w:t>合同委托方</w:t>
            </w:r>
            <w:r>
              <w:rPr>
                <w:rFonts w:hint="eastAsia" w:ascii="宋体" w:hAnsi="宋体" w:eastAsia="宋体" w:cs="宋体"/>
                <w:b/>
                <w:bCs/>
                <w:color w:val="auto"/>
                <w:szCs w:val="21"/>
                <w:highlight w:val="none"/>
              </w:rPr>
              <w:t>出具的书面补充情况说明文件复印件</w:t>
            </w:r>
            <w:r>
              <w:rPr>
                <w:rFonts w:hint="eastAsia" w:ascii="宋体" w:hAnsi="宋体" w:eastAsia="宋体" w:cs="宋体"/>
                <w:b/>
                <w:bCs/>
                <w:color w:val="auto"/>
                <w:szCs w:val="21"/>
                <w:highlight w:val="none"/>
                <w:lang w:eastAsia="zh-CN"/>
              </w:rPr>
              <w:t>（需加盖委托方公章，即复印件能显示委托方公章）</w:t>
            </w:r>
            <w:r>
              <w:rPr>
                <w:rFonts w:hint="eastAsia" w:ascii="宋体" w:hAnsi="宋体" w:eastAsia="宋体" w:cs="宋体"/>
                <w:b/>
                <w:bCs/>
                <w:color w:val="auto"/>
                <w:szCs w:val="21"/>
                <w:highlight w:val="none"/>
              </w:rPr>
              <w:t>。</w:t>
            </w:r>
          </w:p>
        </w:tc>
        <w:tc>
          <w:tcPr>
            <w:tcW w:w="907" w:type="dxa"/>
            <w:vMerge w:val="restart"/>
            <w:tcBorders>
              <w:top w:val="single" w:color="auto" w:sz="4" w:space="0"/>
              <w:left w:val="single" w:color="auto" w:sz="4" w:space="0"/>
              <w:bottom w:val="single" w:color="auto" w:sz="4" w:space="0"/>
              <w:right w:val="single" w:color="auto" w:sz="4" w:space="0"/>
            </w:tcBorders>
            <w:vAlign w:val="center"/>
          </w:tcPr>
          <w:p w14:paraId="3D6917DF">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分</w:t>
            </w:r>
          </w:p>
        </w:tc>
      </w:tr>
      <w:tr w14:paraId="55BD8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4D4EA9E4">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BAD902D">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7655" w:type="dxa"/>
            <w:tcBorders>
              <w:top w:val="single" w:color="auto" w:sz="4" w:space="0"/>
              <w:left w:val="single" w:color="auto" w:sz="4" w:space="0"/>
              <w:bottom w:val="single" w:color="auto" w:sz="4" w:space="0"/>
              <w:right w:val="single" w:color="auto" w:sz="4" w:space="0"/>
            </w:tcBorders>
            <w:vAlign w:val="center"/>
          </w:tcPr>
          <w:p w14:paraId="7CDF84DB">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(2)技术负责人（满分</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分）：</w:t>
            </w:r>
          </w:p>
          <w:p w14:paraId="29B98C8D">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①具有工程类专业高级工程师职称的，得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6D7433F7">
            <w:pPr>
              <w:keepNext w:val="0"/>
              <w:keepLines w:val="0"/>
              <w:suppressLineNumbers w:val="0"/>
              <w:spacing w:before="0" w:beforeAutospacing="0" w:after="0" w:afterAutospacing="0" w:line="400" w:lineRule="exact"/>
              <w:ind w:left="0" w:right="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eastAsia="zh-CN"/>
              </w:rPr>
              <w:t>2020年1月1日</w:t>
            </w:r>
            <w:r>
              <w:rPr>
                <w:rFonts w:hint="eastAsia" w:ascii="宋体" w:hAnsi="宋体" w:eastAsia="宋体" w:cs="宋体"/>
                <w:color w:val="auto"/>
                <w:szCs w:val="21"/>
                <w:highlight w:val="none"/>
              </w:rPr>
              <w:t>以来（以合同签订日期为准），作为技术负责人，承接过一项市政工程检测项目的，得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69752D62">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72351F29">
            <w:pPr>
              <w:keepNext w:val="0"/>
              <w:keepLines w:val="0"/>
              <w:suppressLineNumbers w:val="0"/>
              <w:spacing w:before="0" w:beforeAutospacing="0" w:after="0" w:afterAutospacing="0" w:line="400" w:lineRule="exact"/>
              <w:ind w:left="0" w:right="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1）须提供身份证、职称证书、社会保障部门出具的最近1年（即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b/>
                <w:bCs/>
                <w:color w:val="auto"/>
                <w:szCs w:val="21"/>
                <w:highlight w:val="none"/>
              </w:rPr>
              <w:t>）在投标人单位缴纳</w:t>
            </w:r>
            <w:r>
              <w:rPr>
                <w:rFonts w:hint="eastAsia" w:ascii="宋体" w:hAnsi="宋体" w:eastAsia="宋体" w:cs="宋体"/>
                <w:b/>
                <w:bCs/>
                <w:color w:val="auto"/>
                <w:szCs w:val="21"/>
                <w:highlight w:val="none"/>
                <w:lang w:eastAsia="zh-CN"/>
              </w:rPr>
              <w:t>社保</w:t>
            </w:r>
            <w:r>
              <w:rPr>
                <w:rFonts w:hint="eastAsia" w:ascii="宋体" w:hAnsi="宋体" w:eastAsia="宋体" w:cs="宋体"/>
                <w:b/>
                <w:bCs/>
                <w:color w:val="auto"/>
                <w:szCs w:val="21"/>
                <w:highlight w:val="none"/>
              </w:rPr>
              <w:t>有效凭证等证明材料复印件加盖投标人公章</w:t>
            </w:r>
            <w:r>
              <w:rPr>
                <w:rFonts w:hint="eastAsia" w:ascii="宋体" w:hAnsi="宋体" w:eastAsia="宋体" w:cs="宋体"/>
                <w:b/>
                <w:bCs/>
                <w:color w:val="auto"/>
                <w:szCs w:val="21"/>
                <w:highlight w:val="none"/>
                <w:lang w:eastAsia="zh-CN"/>
              </w:rPr>
              <w:t>；</w:t>
            </w:r>
          </w:p>
          <w:p w14:paraId="77DCF7AD">
            <w:pPr>
              <w:keepNext w:val="0"/>
              <w:keepLines w:val="0"/>
              <w:suppressLineNumbers w:val="0"/>
              <w:spacing w:before="0" w:beforeAutospacing="0" w:after="0" w:afterAutospacing="0" w:line="400" w:lineRule="exact"/>
              <w:ind w:left="0" w:right="0"/>
              <w:rPr>
                <w:rFonts w:hint="default"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2）技术负责人业绩须附合同复印件，合同业绩证明材料必须能反映评审条件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合同签订日期为</w:t>
            </w:r>
            <w:r>
              <w:rPr>
                <w:rFonts w:hint="eastAsia" w:ascii="宋体" w:hAnsi="宋体" w:eastAsia="宋体" w:cs="宋体"/>
                <w:b/>
                <w:bCs/>
                <w:color w:val="auto"/>
                <w:szCs w:val="21"/>
                <w:highlight w:val="none"/>
                <w:lang w:eastAsia="zh-CN"/>
              </w:rPr>
              <w:t>2020年1月1日</w:t>
            </w:r>
            <w:r>
              <w:rPr>
                <w:rFonts w:hint="eastAsia" w:ascii="宋体" w:hAnsi="宋体" w:eastAsia="宋体" w:cs="宋体"/>
                <w:b/>
                <w:bCs/>
                <w:color w:val="auto"/>
                <w:szCs w:val="21"/>
                <w:highlight w:val="none"/>
              </w:rPr>
              <w:t>或以后，业绩类型为市政工程检测，技术负责人信息</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，否则需同时提供</w:t>
            </w:r>
            <w:r>
              <w:rPr>
                <w:rFonts w:hint="eastAsia" w:ascii="宋体" w:hAnsi="宋体" w:eastAsia="宋体" w:cs="宋体"/>
                <w:b/>
                <w:bCs/>
                <w:color w:val="auto"/>
                <w:szCs w:val="21"/>
                <w:highlight w:val="none"/>
                <w:lang w:val="en-US" w:eastAsia="zh-CN"/>
              </w:rPr>
              <w:t>合同委托方</w:t>
            </w:r>
            <w:r>
              <w:rPr>
                <w:rFonts w:hint="eastAsia" w:ascii="宋体" w:hAnsi="宋体" w:eastAsia="宋体" w:cs="宋体"/>
                <w:b/>
                <w:bCs/>
                <w:color w:val="auto"/>
                <w:szCs w:val="21"/>
                <w:highlight w:val="none"/>
              </w:rPr>
              <w:t>出具的书面补充情况说明文件复印件</w:t>
            </w:r>
            <w:r>
              <w:rPr>
                <w:rFonts w:hint="eastAsia" w:ascii="宋体" w:hAnsi="宋体" w:eastAsia="宋体" w:cs="宋体"/>
                <w:b/>
                <w:bCs/>
                <w:color w:val="auto"/>
                <w:szCs w:val="21"/>
                <w:highlight w:val="none"/>
                <w:lang w:eastAsia="zh-CN"/>
              </w:rPr>
              <w:t>（需加盖委托方公章，即复印件能显示委托方公章）</w:t>
            </w:r>
            <w:r>
              <w:rPr>
                <w:rFonts w:hint="eastAsia" w:ascii="宋体" w:hAnsi="宋体" w:eastAsia="宋体" w:cs="宋体"/>
                <w:b/>
                <w:bCs/>
                <w:color w:val="auto"/>
                <w:szCs w:val="21"/>
                <w:highlight w:val="none"/>
              </w:rPr>
              <w:t>。</w:t>
            </w:r>
          </w:p>
        </w:tc>
        <w:tc>
          <w:tcPr>
            <w:tcW w:w="907" w:type="dxa"/>
            <w:vMerge w:val="continue"/>
            <w:tcBorders>
              <w:top w:val="single" w:color="auto" w:sz="4" w:space="0"/>
              <w:left w:val="single" w:color="auto" w:sz="4" w:space="0"/>
              <w:bottom w:val="single" w:color="auto" w:sz="4" w:space="0"/>
              <w:right w:val="single" w:color="auto" w:sz="4" w:space="0"/>
            </w:tcBorders>
            <w:vAlign w:val="center"/>
          </w:tcPr>
          <w:p w14:paraId="61FC580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rPr>
            </w:pPr>
          </w:p>
        </w:tc>
      </w:tr>
      <w:tr w14:paraId="48B9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74" w:type="dxa"/>
            <w:vMerge w:val="continue"/>
            <w:tcBorders>
              <w:top w:val="single" w:color="auto" w:sz="4" w:space="0"/>
              <w:left w:val="single" w:color="auto" w:sz="4" w:space="0"/>
              <w:bottom w:val="single" w:color="auto" w:sz="4" w:space="0"/>
              <w:right w:val="single" w:color="auto" w:sz="4" w:space="0"/>
            </w:tcBorders>
            <w:vAlign w:val="center"/>
          </w:tcPr>
          <w:p w14:paraId="75AF9047">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429FCB0B">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p>
        </w:tc>
        <w:tc>
          <w:tcPr>
            <w:tcW w:w="7655" w:type="dxa"/>
            <w:tcBorders>
              <w:top w:val="single" w:color="auto" w:sz="4" w:space="0"/>
              <w:left w:val="single" w:color="auto" w:sz="4" w:space="0"/>
              <w:bottom w:val="single" w:color="auto" w:sz="4" w:space="0"/>
              <w:right w:val="single" w:color="auto" w:sz="4" w:space="0"/>
            </w:tcBorders>
            <w:vAlign w:val="center"/>
          </w:tcPr>
          <w:p w14:paraId="044E47EE">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(3)拟投入人员（不含项目负责人和技术负责人）：</w:t>
            </w:r>
          </w:p>
          <w:p w14:paraId="17A05FD7">
            <w:pPr>
              <w:keepNext w:val="0"/>
              <w:keepLines w:val="0"/>
              <w:suppressLineNumbers w:val="0"/>
              <w:spacing w:before="0" w:beforeAutospacing="0" w:after="0" w:afterAutospacing="0" w:line="400" w:lineRule="exact"/>
              <w:ind w:left="0" w:right="0"/>
              <w:rPr>
                <w:rFonts w:hint="default" w:ascii="宋体" w:hAnsi="宋体" w:eastAsia="宋体" w:cs="宋体"/>
                <w:color w:val="auto"/>
                <w:szCs w:val="21"/>
                <w:highlight w:val="none"/>
              </w:rPr>
            </w:pPr>
            <w:r>
              <w:rPr>
                <w:rFonts w:hint="eastAsia" w:ascii="宋体" w:hAnsi="宋体" w:eastAsia="宋体" w:cs="宋体"/>
                <w:color w:val="auto"/>
                <w:szCs w:val="21"/>
                <w:highlight w:val="none"/>
              </w:rPr>
              <w:t>具有工程类专业中级工程师（或以上）职称的，每人得1分，本子项满分</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5E773F28">
            <w:pPr>
              <w:keepNext w:val="0"/>
              <w:keepLines w:val="0"/>
              <w:suppressLineNumbers w:val="0"/>
              <w:spacing w:before="0" w:beforeAutospacing="0" w:after="0" w:afterAutospacing="0" w:line="400" w:lineRule="exact"/>
              <w:ind w:left="0" w:right="0"/>
              <w:rPr>
                <w:rFonts w:hint="default"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4080AEF4">
            <w:pPr>
              <w:keepNext w:val="0"/>
              <w:keepLines w:val="0"/>
              <w:suppressLineNumbers w:val="0"/>
              <w:spacing w:before="0" w:beforeAutospacing="0" w:after="0" w:afterAutospacing="0" w:line="400" w:lineRule="exact"/>
              <w:ind w:left="0" w:right="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1）须提供身份证、职称证书、社会保障部门出具的最近1年（即</w:t>
            </w:r>
            <w:r>
              <w:rPr>
                <w:rFonts w:hint="eastAsia" w:ascii="宋体" w:hAnsi="宋体" w:eastAsia="宋体" w:cs="宋体"/>
                <w:b/>
                <w:bCs/>
                <w:color w:val="auto"/>
                <w:szCs w:val="21"/>
                <w:highlight w:val="none"/>
                <w:lang w:eastAsia="zh-CN"/>
              </w:rPr>
              <w:t>2024年2月至2025年1月</w:t>
            </w:r>
            <w:r>
              <w:rPr>
                <w:rFonts w:hint="eastAsia" w:ascii="宋体" w:hAnsi="宋体" w:eastAsia="宋体" w:cs="宋体"/>
                <w:b/>
                <w:bCs/>
                <w:color w:val="auto"/>
                <w:szCs w:val="21"/>
                <w:highlight w:val="none"/>
              </w:rPr>
              <w:t>）在投标人单位缴纳</w:t>
            </w:r>
            <w:r>
              <w:rPr>
                <w:rFonts w:hint="eastAsia" w:ascii="宋体" w:hAnsi="宋体" w:eastAsia="宋体" w:cs="宋体"/>
                <w:b/>
                <w:bCs/>
                <w:color w:val="auto"/>
                <w:szCs w:val="21"/>
                <w:highlight w:val="none"/>
                <w:lang w:eastAsia="zh-CN"/>
              </w:rPr>
              <w:t>社保</w:t>
            </w:r>
            <w:r>
              <w:rPr>
                <w:rFonts w:hint="eastAsia" w:ascii="宋体" w:hAnsi="宋体" w:eastAsia="宋体" w:cs="宋体"/>
                <w:b/>
                <w:bCs/>
                <w:color w:val="auto"/>
                <w:szCs w:val="21"/>
                <w:highlight w:val="none"/>
              </w:rPr>
              <w:t>有效凭证等证明材料复印件加盖投标人公章</w:t>
            </w:r>
            <w:r>
              <w:rPr>
                <w:rFonts w:hint="eastAsia" w:ascii="宋体" w:hAnsi="宋体" w:eastAsia="宋体" w:cs="宋体"/>
                <w:b/>
                <w:bCs/>
                <w:color w:val="auto"/>
                <w:szCs w:val="21"/>
                <w:highlight w:val="none"/>
                <w:lang w:eastAsia="zh-CN"/>
              </w:rPr>
              <w:t>；</w:t>
            </w:r>
          </w:p>
          <w:p w14:paraId="5706B4B2">
            <w:pPr>
              <w:keepNext w:val="0"/>
              <w:keepLines w:val="0"/>
              <w:suppressLineNumbers w:val="0"/>
              <w:spacing w:before="0" w:beforeAutospacing="0" w:after="0" w:afterAutospacing="0" w:line="400" w:lineRule="exact"/>
              <w:ind w:left="0" w:right="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2）同一人员具备多个种类证书不重复得分</w:t>
            </w:r>
            <w:r>
              <w:rPr>
                <w:rFonts w:hint="eastAsia" w:ascii="宋体" w:hAnsi="宋体" w:eastAsia="宋体" w:cs="宋体"/>
                <w:b/>
                <w:bCs/>
                <w:color w:val="auto"/>
                <w:szCs w:val="21"/>
                <w:highlight w:val="none"/>
                <w:lang w:eastAsia="zh-CN"/>
              </w:rPr>
              <w:t>；</w:t>
            </w:r>
          </w:p>
          <w:p w14:paraId="3377D655">
            <w:pPr>
              <w:keepNext w:val="0"/>
              <w:keepLines w:val="0"/>
              <w:suppressLineNumbers w:val="0"/>
              <w:spacing w:before="0" w:beforeAutospacing="0" w:after="0" w:afterAutospacing="0" w:line="400" w:lineRule="exact"/>
              <w:ind w:left="0" w:right="0"/>
              <w:rPr>
                <w:rFonts w:hint="default" w:ascii="宋体" w:hAnsi="宋体" w:eastAsia="宋体" w:cs="Times New Roman"/>
                <w:b/>
                <w:color w:val="auto"/>
                <w:kern w:val="0"/>
                <w:szCs w:val="21"/>
                <w:highlight w:val="none"/>
              </w:rPr>
            </w:pPr>
            <w:r>
              <w:rPr>
                <w:rFonts w:hint="eastAsia" w:ascii="宋体" w:hAnsi="宋体" w:eastAsia="宋体" w:cs="宋体"/>
                <w:b/>
                <w:bCs/>
                <w:color w:val="auto"/>
                <w:szCs w:val="21"/>
                <w:highlight w:val="none"/>
              </w:rPr>
              <w:t>3）同一人员具备同一种类证书或同一个专业含有多个</w:t>
            </w:r>
            <w:r>
              <w:rPr>
                <w:rFonts w:hint="eastAsia" w:ascii="宋体" w:hAnsi="宋体" w:eastAsia="宋体" w:cs="宋体"/>
                <w:b/>
                <w:bCs/>
                <w:color w:val="auto"/>
                <w:szCs w:val="21"/>
                <w:highlight w:val="none"/>
                <w:lang w:val="en-US" w:eastAsia="zh-CN"/>
              </w:rPr>
              <w:t>等级</w:t>
            </w:r>
            <w:r>
              <w:rPr>
                <w:rFonts w:hint="eastAsia" w:ascii="宋体" w:hAnsi="宋体" w:eastAsia="宋体" w:cs="宋体"/>
                <w:b/>
                <w:bCs/>
                <w:color w:val="auto"/>
                <w:szCs w:val="21"/>
                <w:highlight w:val="none"/>
              </w:rPr>
              <w:t>的仅按最高等级证书计算一次得分。</w:t>
            </w:r>
          </w:p>
        </w:tc>
        <w:tc>
          <w:tcPr>
            <w:tcW w:w="907" w:type="dxa"/>
            <w:vMerge w:val="continue"/>
            <w:tcBorders>
              <w:top w:val="single" w:color="auto" w:sz="4" w:space="0"/>
              <w:left w:val="single" w:color="auto" w:sz="4" w:space="0"/>
              <w:bottom w:val="single" w:color="auto" w:sz="4" w:space="0"/>
              <w:right w:val="single" w:color="auto" w:sz="4" w:space="0"/>
            </w:tcBorders>
            <w:vAlign w:val="center"/>
          </w:tcPr>
          <w:p w14:paraId="31ED156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rPr>
            </w:pPr>
          </w:p>
        </w:tc>
      </w:tr>
      <w:tr w14:paraId="3A7C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463" w:type="dxa"/>
            <w:gridSpan w:val="3"/>
            <w:tcBorders>
              <w:top w:val="single" w:color="auto" w:sz="4" w:space="0"/>
              <w:left w:val="single" w:color="auto" w:sz="4" w:space="0"/>
              <w:bottom w:val="single" w:color="auto" w:sz="4" w:space="0"/>
              <w:right w:val="single" w:color="auto" w:sz="4" w:space="0"/>
            </w:tcBorders>
            <w:vAlign w:val="center"/>
          </w:tcPr>
          <w:p w14:paraId="1EE03F16">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color w:val="auto"/>
                <w:kern w:val="0"/>
                <w:szCs w:val="21"/>
                <w:highlight w:val="none"/>
              </w:rPr>
            </w:pPr>
            <w:r>
              <w:rPr>
                <w:rFonts w:hint="eastAsia" w:ascii="宋体" w:hAnsi="宋体" w:eastAsia="宋体" w:cs="宋体"/>
                <w:b/>
                <w:color w:val="auto"/>
                <w:szCs w:val="21"/>
                <w:highlight w:val="none"/>
                <w:lang w:val="zh-CN"/>
              </w:rPr>
              <w:t>商务总分</w:t>
            </w:r>
          </w:p>
        </w:tc>
        <w:tc>
          <w:tcPr>
            <w:tcW w:w="907" w:type="dxa"/>
            <w:tcBorders>
              <w:top w:val="single" w:color="auto" w:sz="4" w:space="0"/>
              <w:left w:val="single" w:color="auto" w:sz="4" w:space="0"/>
              <w:bottom w:val="single" w:color="auto" w:sz="4" w:space="0"/>
              <w:right w:val="single" w:color="auto" w:sz="4" w:space="0"/>
            </w:tcBorders>
            <w:vAlign w:val="center"/>
          </w:tcPr>
          <w:p w14:paraId="731A837C">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Cs w:val="24"/>
                <w:highlight w:val="none"/>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rPr>
              <w:t>分</w:t>
            </w:r>
          </w:p>
        </w:tc>
      </w:tr>
      <w:bookmarkEnd w:id="897"/>
    </w:tbl>
    <w:p w14:paraId="5E8B17E8">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606E3D0C">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898"/>
    </w:p>
    <w:tbl>
      <w:tblPr>
        <w:tblStyle w:val="36"/>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33"/>
        <w:gridCol w:w="7659"/>
        <w:gridCol w:w="907"/>
      </w:tblGrid>
      <w:tr w14:paraId="49B4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918124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bookmarkStart w:id="899" w:name="_Hlk104987779"/>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06C14A7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9" w:type="dxa"/>
            <w:tcBorders>
              <w:top w:val="single" w:color="auto" w:sz="4" w:space="0"/>
              <w:left w:val="single" w:color="auto" w:sz="4" w:space="0"/>
              <w:bottom w:val="single" w:color="auto" w:sz="4" w:space="0"/>
              <w:right w:val="single" w:color="auto" w:sz="4" w:space="0"/>
            </w:tcBorders>
            <w:vAlign w:val="center"/>
          </w:tcPr>
          <w:p w14:paraId="6BEEA8E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14:paraId="4C08D3C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9383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7FC9F1C1">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1</w:t>
            </w:r>
          </w:p>
        </w:tc>
        <w:tc>
          <w:tcPr>
            <w:tcW w:w="1133" w:type="dxa"/>
            <w:tcBorders>
              <w:top w:val="single" w:color="auto" w:sz="4" w:space="0"/>
              <w:left w:val="single" w:color="auto" w:sz="4" w:space="0"/>
              <w:bottom w:val="single" w:color="auto" w:sz="4" w:space="0"/>
              <w:right w:val="single" w:color="auto" w:sz="4" w:space="0"/>
            </w:tcBorders>
            <w:vAlign w:val="center"/>
          </w:tcPr>
          <w:p w14:paraId="2D2E6379">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用户需求的响应程度</w:t>
            </w:r>
          </w:p>
        </w:tc>
        <w:tc>
          <w:tcPr>
            <w:tcW w:w="7659" w:type="dxa"/>
            <w:tcBorders>
              <w:top w:val="single" w:color="auto" w:sz="4" w:space="0"/>
              <w:left w:val="single" w:color="auto" w:sz="4" w:space="0"/>
              <w:bottom w:val="single" w:color="auto" w:sz="4" w:space="0"/>
              <w:right w:val="single" w:color="auto" w:sz="4" w:space="0"/>
            </w:tcBorders>
            <w:vAlign w:val="center"/>
          </w:tcPr>
          <w:p w14:paraId="7AD6BCA4">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lang w:val="zh-CN"/>
              </w:rPr>
              <w:t>对用户需求偏离表的偏离情况进行评审计分，完全满足用户需求书的要求得满分；每一处负偏离扣2.5分；同时参照其投标文件中其它部分的内容进行对比，每发现一处投标人填写为无偏离或正偏离，但评标委员会评审认定其为负偏离的，每处扣5分；本项最低分为0分。</w:t>
            </w:r>
          </w:p>
        </w:tc>
        <w:tc>
          <w:tcPr>
            <w:tcW w:w="907" w:type="dxa"/>
            <w:tcBorders>
              <w:top w:val="single" w:color="auto" w:sz="4" w:space="0"/>
              <w:left w:val="single" w:color="auto" w:sz="4" w:space="0"/>
              <w:bottom w:val="single" w:color="auto" w:sz="4" w:space="0"/>
              <w:right w:val="single" w:color="auto" w:sz="4" w:space="0"/>
            </w:tcBorders>
            <w:vAlign w:val="center"/>
          </w:tcPr>
          <w:p w14:paraId="26F5F40E">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5分</w:t>
            </w:r>
          </w:p>
        </w:tc>
      </w:tr>
      <w:tr w14:paraId="3A6E9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80D13F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2</w:t>
            </w:r>
          </w:p>
        </w:tc>
        <w:tc>
          <w:tcPr>
            <w:tcW w:w="1133" w:type="dxa"/>
            <w:tcBorders>
              <w:top w:val="single" w:color="auto" w:sz="4" w:space="0"/>
              <w:left w:val="single" w:color="auto" w:sz="4" w:space="0"/>
              <w:bottom w:val="single" w:color="auto" w:sz="4" w:space="0"/>
              <w:right w:val="single" w:color="auto" w:sz="4" w:space="0"/>
            </w:tcBorders>
            <w:vAlign w:val="center"/>
          </w:tcPr>
          <w:p w14:paraId="5BF81193">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检测方案</w:t>
            </w:r>
          </w:p>
        </w:tc>
        <w:tc>
          <w:tcPr>
            <w:tcW w:w="7659" w:type="dxa"/>
            <w:tcBorders>
              <w:top w:val="single" w:color="auto" w:sz="4" w:space="0"/>
              <w:left w:val="single" w:color="auto" w:sz="4" w:space="0"/>
              <w:bottom w:val="single" w:color="auto" w:sz="4" w:space="0"/>
              <w:right w:val="single" w:color="auto" w:sz="4" w:space="0"/>
            </w:tcBorders>
            <w:vAlign w:val="center"/>
          </w:tcPr>
          <w:p w14:paraId="2957F279">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根据各投标人提供的检测方案进行评审，</w:t>
            </w:r>
            <w:r>
              <w:rPr>
                <w:rFonts w:hint="eastAsia" w:ascii="宋体" w:hAnsi="宋体" w:eastAsia="宋体" w:cs="宋体"/>
                <w:color w:val="auto"/>
                <w:szCs w:val="21"/>
                <w:highlight w:val="none"/>
                <w:lang w:val="en-US" w:eastAsia="zh-CN"/>
              </w:rPr>
              <w:t>包括但不限于</w:t>
            </w:r>
            <w:r>
              <w:rPr>
                <w:rFonts w:hint="eastAsia" w:ascii="宋体" w:hAnsi="宋体" w:eastAsia="宋体" w:cs="宋体"/>
                <w:color w:val="auto"/>
                <w:szCs w:val="21"/>
                <w:highlight w:val="none"/>
                <w:lang w:val="zh-CN"/>
              </w:rPr>
              <w:t>对本地区的认识熟悉程度、对检测项目的认知程度、检测质量的保障措施、配合施工进度的检测实施措施等：</w:t>
            </w:r>
          </w:p>
          <w:p w14:paraId="500FEFEC">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优：整体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全面、思路清晰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高</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准确、透彻</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科学、可操作性强</w:t>
            </w:r>
            <w:r>
              <w:rPr>
                <w:rFonts w:hint="eastAsia" w:ascii="宋体" w:hAnsi="宋体" w:eastAsia="宋体" w:cs="宋体"/>
                <w:color w:val="auto"/>
                <w:szCs w:val="21"/>
                <w:highlight w:val="none"/>
                <w:lang w:val="zh-CN"/>
              </w:rPr>
              <w:t>，检测目标明确，实施方法可行</w:t>
            </w:r>
            <w:r>
              <w:rPr>
                <w:rFonts w:hint="eastAsia" w:ascii="宋体" w:hAnsi="宋体" w:eastAsia="宋体" w:cs="宋体"/>
                <w:color w:val="auto"/>
                <w:szCs w:val="21"/>
                <w:highlight w:val="none"/>
                <w:lang w:val="en-US" w:eastAsia="zh-CN"/>
              </w:rPr>
              <w:t>性高</w:t>
            </w:r>
            <w:r>
              <w:rPr>
                <w:rFonts w:hint="eastAsia" w:ascii="宋体" w:hAnsi="宋体" w:eastAsia="宋体" w:cs="宋体"/>
                <w:color w:val="auto"/>
                <w:szCs w:val="21"/>
                <w:highlight w:val="none"/>
                <w:lang w:val="zh-CN"/>
              </w:rPr>
              <w:t>、手段科学</w:t>
            </w:r>
            <w:r>
              <w:rPr>
                <w:rFonts w:hint="eastAsia" w:ascii="宋体" w:hAnsi="宋体" w:eastAsia="宋体" w:cs="宋体"/>
                <w:color w:val="auto"/>
                <w:szCs w:val="21"/>
                <w:highlight w:val="none"/>
                <w:lang w:val="en-US" w:eastAsia="zh-CN"/>
              </w:rPr>
              <w:t>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2.25，3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p w14:paraId="652FB087">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良：整体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较全面、思路较清晰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良好</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较为准确、透彻</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科学、可操作性良好</w:t>
            </w:r>
            <w:r>
              <w:rPr>
                <w:rFonts w:hint="eastAsia" w:ascii="宋体" w:hAnsi="宋体" w:eastAsia="宋体" w:cs="宋体"/>
                <w:color w:val="auto"/>
                <w:szCs w:val="21"/>
                <w:highlight w:val="none"/>
                <w:lang w:val="zh-CN"/>
              </w:rPr>
              <w:t>，检测目标</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lang w:val="zh-CN"/>
              </w:rPr>
              <w:t>明确，实施方法可行</w:t>
            </w:r>
            <w:r>
              <w:rPr>
                <w:rFonts w:hint="eastAsia" w:ascii="宋体" w:hAnsi="宋体" w:eastAsia="宋体" w:cs="宋体"/>
                <w:color w:val="auto"/>
                <w:szCs w:val="21"/>
                <w:highlight w:val="none"/>
                <w:lang w:val="en-US" w:eastAsia="zh-CN"/>
              </w:rPr>
              <w:t>性良好的，得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2.25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p w14:paraId="2E19B31E">
            <w:pPr>
              <w:keepNext w:val="0"/>
              <w:keepLines w:val="0"/>
              <w:suppressLineNumbers w:val="0"/>
              <w:spacing w:before="0" w:beforeAutospacing="0" w:after="0" w:afterAutospacing="0" w:line="360" w:lineRule="auto"/>
              <w:ind w:left="0" w:right="0"/>
              <w:contextualSpacing/>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基本全面、思路基本清晰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一般</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基本理解</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可操作性一般</w:t>
            </w:r>
            <w:r>
              <w:rPr>
                <w:rFonts w:hint="eastAsia" w:ascii="宋体" w:hAnsi="宋体" w:eastAsia="宋体" w:cs="宋体"/>
                <w:color w:val="auto"/>
                <w:szCs w:val="21"/>
                <w:highlight w:val="none"/>
                <w:lang w:val="zh-CN"/>
              </w:rPr>
              <w:t>，检测目标</w:t>
            </w:r>
            <w:r>
              <w:rPr>
                <w:rFonts w:hint="eastAsia" w:ascii="宋体" w:hAnsi="宋体" w:eastAsia="宋体" w:cs="宋体"/>
                <w:color w:val="auto"/>
                <w:szCs w:val="21"/>
                <w:highlight w:val="none"/>
                <w:lang w:val="en-US" w:eastAsia="zh-CN"/>
              </w:rPr>
              <w:t>基本</w:t>
            </w:r>
            <w:r>
              <w:rPr>
                <w:rFonts w:hint="eastAsia" w:ascii="宋体" w:hAnsi="宋体" w:eastAsia="宋体" w:cs="宋体"/>
                <w:color w:val="auto"/>
                <w:szCs w:val="21"/>
                <w:highlight w:val="none"/>
                <w:lang w:val="zh-CN"/>
              </w:rPr>
              <w:t>明确，实施方法可行</w:t>
            </w:r>
            <w:r>
              <w:rPr>
                <w:rFonts w:hint="eastAsia" w:ascii="宋体" w:hAnsi="宋体" w:eastAsia="宋体" w:cs="宋体"/>
                <w:color w:val="auto"/>
                <w:szCs w:val="21"/>
                <w:highlight w:val="none"/>
                <w:lang w:val="en-US" w:eastAsia="zh-CN"/>
              </w:rPr>
              <w:t>性一般的，得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p w14:paraId="1C2C3501">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lang w:val="zh-CN" w:eastAsia="zh-CN"/>
              </w:rPr>
              <w:t>差</w:t>
            </w:r>
            <w:r>
              <w:rPr>
                <w:rFonts w:hint="eastAsia" w:ascii="宋体" w:hAnsi="宋体" w:eastAsia="宋体" w:cs="宋体"/>
                <w:color w:val="auto"/>
                <w:szCs w:val="21"/>
                <w:highlight w:val="none"/>
                <w:lang w:val="en-US" w:eastAsia="zh-CN"/>
              </w:rPr>
              <w:t>：整体</w:t>
            </w:r>
            <w:r>
              <w:rPr>
                <w:rFonts w:hint="eastAsia" w:ascii="宋体" w:hAnsi="宋体" w:eastAsia="宋体" w:cs="宋体"/>
                <w:color w:val="auto"/>
                <w:szCs w:val="21"/>
                <w:highlight w:val="none"/>
                <w:lang w:val="zh-CN"/>
              </w:rPr>
              <w:t>检测方案</w:t>
            </w:r>
            <w:r>
              <w:rPr>
                <w:rFonts w:hint="eastAsia" w:ascii="宋体" w:hAnsi="宋体" w:eastAsia="宋体" w:cs="宋体"/>
                <w:color w:val="auto"/>
                <w:szCs w:val="21"/>
                <w:highlight w:val="none"/>
                <w:lang w:val="en-US" w:eastAsia="zh-CN"/>
              </w:rPr>
              <w:t>不全面、思路不清晰</w:t>
            </w:r>
            <w:r>
              <w:rPr>
                <w:rFonts w:hint="eastAsia" w:ascii="宋体" w:hAnsi="宋体" w:eastAsia="宋体" w:cs="宋体"/>
                <w:color w:val="auto"/>
                <w:szCs w:val="21"/>
                <w:highlight w:val="none"/>
                <w:lang w:val="zh-CN"/>
              </w:rPr>
              <w:t>，对本地区的认识熟悉程度</w:t>
            </w:r>
            <w:r>
              <w:rPr>
                <w:rFonts w:hint="eastAsia" w:ascii="宋体" w:hAnsi="宋体" w:eastAsia="宋体" w:cs="宋体"/>
                <w:color w:val="auto"/>
                <w:szCs w:val="21"/>
                <w:highlight w:val="none"/>
                <w:lang w:val="en-US" w:eastAsia="zh-CN"/>
              </w:rPr>
              <w:t>较差</w:t>
            </w:r>
            <w:r>
              <w:rPr>
                <w:rFonts w:hint="eastAsia" w:ascii="宋体" w:hAnsi="宋体" w:eastAsia="宋体" w:cs="宋体"/>
                <w:color w:val="auto"/>
                <w:szCs w:val="21"/>
                <w:highlight w:val="none"/>
                <w:lang w:val="zh-CN"/>
              </w:rPr>
              <w:t>、对检测项目的认知</w:t>
            </w:r>
            <w:r>
              <w:rPr>
                <w:rFonts w:hint="eastAsia" w:ascii="宋体" w:hAnsi="宋体" w:eastAsia="宋体" w:cs="宋体"/>
                <w:color w:val="auto"/>
                <w:szCs w:val="21"/>
                <w:highlight w:val="none"/>
                <w:lang w:val="en-US" w:eastAsia="zh-CN"/>
              </w:rPr>
              <w:t>不够准确</w:t>
            </w:r>
            <w:r>
              <w:rPr>
                <w:rFonts w:hint="eastAsia" w:ascii="宋体" w:hAnsi="宋体" w:eastAsia="宋体" w:cs="宋体"/>
                <w:color w:val="auto"/>
                <w:szCs w:val="21"/>
                <w:highlight w:val="none"/>
                <w:lang w:val="zh-CN"/>
              </w:rPr>
              <w:t>，检测质量的保障措施、配合施工进度的检测实施措施等</w:t>
            </w:r>
            <w:r>
              <w:rPr>
                <w:rFonts w:hint="eastAsia" w:ascii="宋体" w:hAnsi="宋体" w:eastAsia="宋体" w:cs="宋体"/>
                <w:color w:val="auto"/>
                <w:szCs w:val="21"/>
                <w:highlight w:val="none"/>
                <w:lang w:val="en-US" w:eastAsia="zh-CN"/>
              </w:rPr>
              <w:t>可操作性较差</w:t>
            </w:r>
            <w:r>
              <w:rPr>
                <w:rFonts w:hint="eastAsia" w:ascii="宋体" w:hAnsi="宋体" w:eastAsia="宋体" w:cs="宋体"/>
                <w:color w:val="auto"/>
                <w:szCs w:val="21"/>
                <w:highlight w:val="none"/>
                <w:lang w:val="zh-CN"/>
              </w:rPr>
              <w:t>，检测目标</w:t>
            </w:r>
            <w:r>
              <w:rPr>
                <w:rFonts w:hint="eastAsia" w:ascii="宋体" w:hAnsi="宋体" w:eastAsia="宋体" w:cs="宋体"/>
                <w:color w:val="auto"/>
                <w:szCs w:val="21"/>
                <w:highlight w:val="none"/>
                <w:lang w:val="en-US" w:eastAsia="zh-CN"/>
              </w:rPr>
              <w:t>不</w:t>
            </w:r>
            <w:r>
              <w:rPr>
                <w:rFonts w:hint="eastAsia" w:ascii="宋体" w:hAnsi="宋体" w:eastAsia="宋体" w:cs="宋体"/>
                <w:color w:val="auto"/>
                <w:szCs w:val="21"/>
                <w:highlight w:val="none"/>
                <w:lang w:val="zh-CN"/>
              </w:rPr>
              <w:t>明确，实施方法可行</w:t>
            </w:r>
            <w:r>
              <w:rPr>
                <w:rFonts w:hint="eastAsia" w:ascii="宋体" w:hAnsi="宋体" w:eastAsia="宋体" w:cs="宋体"/>
                <w:color w:val="auto"/>
                <w:szCs w:val="21"/>
                <w:highlight w:val="none"/>
                <w:lang w:val="en-US" w:eastAsia="zh-CN"/>
              </w:rPr>
              <w:t>性较差的，得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分；</w:t>
            </w:r>
          </w:p>
        </w:tc>
        <w:tc>
          <w:tcPr>
            <w:tcW w:w="907" w:type="dxa"/>
            <w:tcBorders>
              <w:top w:val="single" w:color="auto" w:sz="4" w:space="0"/>
              <w:left w:val="single" w:color="auto" w:sz="4" w:space="0"/>
              <w:bottom w:val="single" w:color="auto" w:sz="4" w:space="0"/>
              <w:right w:val="single" w:color="auto" w:sz="4" w:space="0"/>
            </w:tcBorders>
            <w:vAlign w:val="center"/>
          </w:tcPr>
          <w:p w14:paraId="0900E1BD">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02C6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227BFF2">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1133" w:type="dxa"/>
            <w:tcBorders>
              <w:top w:val="single" w:color="auto" w:sz="4" w:space="0"/>
              <w:left w:val="single" w:color="auto" w:sz="4" w:space="0"/>
              <w:bottom w:val="single" w:color="auto" w:sz="4" w:space="0"/>
              <w:right w:val="single" w:color="auto" w:sz="4" w:space="0"/>
            </w:tcBorders>
            <w:vAlign w:val="center"/>
          </w:tcPr>
          <w:p w14:paraId="21D851CC">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检测设备</w:t>
            </w:r>
          </w:p>
        </w:tc>
        <w:tc>
          <w:tcPr>
            <w:tcW w:w="7659" w:type="dxa"/>
            <w:tcBorders>
              <w:top w:val="single" w:color="auto" w:sz="4" w:space="0"/>
              <w:left w:val="single" w:color="auto" w:sz="4" w:space="0"/>
              <w:bottom w:val="single" w:color="auto" w:sz="4" w:space="0"/>
              <w:right w:val="single" w:color="auto" w:sz="4" w:space="0"/>
            </w:tcBorders>
            <w:vAlign w:val="center"/>
          </w:tcPr>
          <w:p w14:paraId="1BC331F8">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横向比较各</w:t>
            </w:r>
            <w:r>
              <w:rPr>
                <w:rFonts w:hint="eastAsia" w:ascii="宋体" w:hAnsi="宋体" w:eastAsia="宋体" w:cs="宋体"/>
                <w:color w:val="auto"/>
                <w:sz w:val="21"/>
                <w:szCs w:val="21"/>
                <w:highlight w:val="none"/>
                <w:lang w:val="zh-CN"/>
              </w:rPr>
              <w:t>投标人拟投入检测项目的</w:t>
            </w:r>
            <w:r>
              <w:rPr>
                <w:rFonts w:hint="eastAsia" w:ascii="宋体" w:hAnsi="宋体" w:eastAsia="宋体" w:cs="宋体"/>
                <w:color w:val="auto"/>
                <w:sz w:val="21"/>
                <w:szCs w:val="21"/>
                <w:highlight w:val="none"/>
                <w:lang w:val="en-US" w:eastAsia="zh-CN"/>
              </w:rPr>
              <w:t>主要</w:t>
            </w:r>
            <w:r>
              <w:rPr>
                <w:rFonts w:hint="eastAsia" w:ascii="宋体" w:hAnsi="宋体" w:eastAsia="宋体" w:cs="宋体"/>
                <w:color w:val="auto"/>
                <w:sz w:val="21"/>
                <w:szCs w:val="21"/>
                <w:highlight w:val="none"/>
                <w:lang w:val="zh-CN"/>
              </w:rPr>
              <w:t>设备（包含</w:t>
            </w:r>
            <w:r>
              <w:rPr>
                <w:rFonts w:hint="eastAsia" w:ascii="宋体" w:hAnsi="宋体" w:eastAsia="宋体" w:cs="宋体"/>
                <w:color w:val="auto"/>
                <w:sz w:val="21"/>
                <w:szCs w:val="21"/>
                <w:highlight w:val="none"/>
                <w:lang w:val="en-US" w:eastAsia="zh-CN"/>
              </w:rPr>
              <w:t>但不限于</w:t>
            </w:r>
            <w:r>
              <w:rPr>
                <w:rFonts w:hint="eastAsia" w:ascii="宋体" w:hAnsi="宋体" w:eastAsia="宋体" w:cs="宋体"/>
                <w:color w:val="auto"/>
                <w:sz w:val="21"/>
                <w:szCs w:val="21"/>
                <w:highlight w:val="none"/>
                <w:lang w:val="zh-CN" w:eastAsia="zh-CN"/>
              </w:rPr>
              <w:t>低应变检测仪</w:t>
            </w:r>
            <w:r>
              <w:rPr>
                <w:rFonts w:hint="eastAsia" w:ascii="宋体" w:hAnsi="宋体" w:eastAsia="宋体" w:cs="宋体"/>
                <w:color w:val="auto"/>
                <w:sz w:val="21"/>
                <w:szCs w:val="21"/>
                <w:highlight w:val="none"/>
                <w:lang w:val="zh-CN"/>
              </w:rPr>
              <w:t>、全自动静载测试分析仪、液压千斤顶、</w:t>
            </w:r>
            <w:r>
              <w:rPr>
                <w:rFonts w:hint="eastAsia" w:ascii="宋体" w:hAnsi="宋体" w:eastAsia="宋体" w:cs="宋体"/>
                <w:color w:val="auto"/>
                <w:sz w:val="21"/>
                <w:szCs w:val="21"/>
                <w:highlight w:val="none"/>
                <w:lang w:val="zh-CN" w:eastAsia="zh-CN"/>
              </w:rPr>
              <w:t>混凝土回弹仪、混凝土钻芯机、锚杆拉力计、数字式超声波探伤仪、磁粉探伤仪、涂层测厚仪、混凝土搅拌机</w:t>
            </w:r>
            <w:r>
              <w:rPr>
                <w:rFonts w:hint="eastAsia" w:ascii="宋体" w:hAnsi="宋体" w:eastAsia="宋体" w:cs="宋体"/>
                <w:color w:val="auto"/>
                <w:sz w:val="21"/>
                <w:szCs w:val="21"/>
                <w:highlight w:val="none"/>
                <w:lang w:val="en-US" w:eastAsia="zh-CN"/>
              </w:rPr>
              <w:t>等设备等）：</w:t>
            </w:r>
          </w:p>
          <w:p w14:paraId="6B399863">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lang w:val="en-US" w:eastAsia="zh-CN"/>
              </w:rPr>
              <w:t>检测设备最齐全，数量最多，设备最先进的，得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2.25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lang w:val="zh-CN"/>
              </w:rPr>
              <w:t>分；</w:t>
            </w:r>
          </w:p>
          <w:p w14:paraId="4C5865CD">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良：检测设备齐全，数量多，设备先进的，得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2.25</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lang w:val="zh-CN"/>
              </w:rPr>
              <w:t>分；</w:t>
            </w:r>
          </w:p>
          <w:p w14:paraId="00C1F4D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lang w:val="en-US" w:eastAsia="zh-CN"/>
              </w:rPr>
              <w:t>检测设备较齐全，数量较多，设备较先进的，得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lang w:val="zh-CN"/>
              </w:rPr>
              <w:t>分；</w:t>
            </w:r>
          </w:p>
          <w:p w14:paraId="3FC177CF">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差：</w:t>
            </w:r>
            <w:r>
              <w:rPr>
                <w:rFonts w:hint="eastAsia" w:ascii="宋体" w:hAnsi="宋体" w:eastAsia="宋体" w:cs="宋体"/>
                <w:color w:val="auto"/>
                <w:sz w:val="21"/>
                <w:szCs w:val="21"/>
                <w:highlight w:val="none"/>
                <w:lang w:val="en-US" w:eastAsia="zh-CN"/>
              </w:rPr>
              <w:t>检测设备不齐全，数量少，设备不够先进的，得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zh-CN"/>
              </w:rPr>
              <w:t>分。</w:t>
            </w:r>
          </w:p>
          <w:p w14:paraId="04D60FC0">
            <w:pPr>
              <w:keepNext w:val="0"/>
              <w:keepLines w:val="0"/>
              <w:suppressLineNumbers w:val="0"/>
              <w:snapToGrid w:val="0"/>
              <w:spacing w:before="0" w:beforeAutospacing="0" w:after="0" w:afterAutospacing="0" w:line="360" w:lineRule="auto"/>
              <w:ind w:left="0" w:right="0"/>
              <w:contextualSpacing w:val="0"/>
              <w:rPr>
                <w:rFonts w:hint="eastAsia" w:ascii="宋体" w:hAnsi="宋体" w:eastAsia="宋体" w:cs="宋体"/>
                <w:color w:val="auto"/>
                <w:szCs w:val="21"/>
                <w:highlight w:val="none"/>
                <w:lang w:val="zh-CN" w:eastAsia="zh-CN"/>
              </w:rPr>
            </w:pPr>
            <w:r>
              <w:rPr>
                <w:rFonts w:hint="eastAsia" w:ascii="宋体" w:hAnsi="宋体" w:eastAsia="宋体" w:cs="宋体"/>
                <w:b/>
                <w:bCs/>
                <w:color w:val="auto"/>
                <w:sz w:val="21"/>
                <w:szCs w:val="21"/>
                <w:highlight w:val="none"/>
                <w:lang w:val="zh-CN"/>
              </w:rPr>
              <w:t>注:需提供投标人购置设备的发票复印件，必设备照片/图片打印件(照片/图片须清晰显示拍摄时间为2024年10月1日或以后)。设备发、证书的交字描述与以上设备名称描述不完全一致，但技术能力，含义一致的，均视为满足，无提供不得分。</w:t>
            </w:r>
          </w:p>
        </w:tc>
        <w:tc>
          <w:tcPr>
            <w:tcW w:w="907" w:type="dxa"/>
            <w:tcBorders>
              <w:top w:val="single" w:color="auto" w:sz="4" w:space="0"/>
              <w:left w:val="single" w:color="auto" w:sz="4" w:space="0"/>
              <w:bottom w:val="single" w:color="auto" w:sz="4" w:space="0"/>
              <w:right w:val="single" w:color="auto" w:sz="4" w:space="0"/>
            </w:tcBorders>
            <w:vAlign w:val="center"/>
          </w:tcPr>
          <w:p w14:paraId="7C214E7B">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3分</w:t>
            </w:r>
          </w:p>
        </w:tc>
      </w:tr>
      <w:tr w14:paraId="1A4C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5"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3F4C6022">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1133" w:type="dxa"/>
            <w:tcBorders>
              <w:top w:val="single" w:color="auto" w:sz="4" w:space="0"/>
              <w:left w:val="single" w:color="auto" w:sz="4" w:space="0"/>
              <w:bottom w:val="single" w:color="auto" w:sz="4" w:space="0"/>
              <w:right w:val="single" w:color="auto" w:sz="4" w:space="0"/>
            </w:tcBorders>
            <w:vAlign w:val="center"/>
          </w:tcPr>
          <w:p w14:paraId="40AFD325">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检测场所及环境</w:t>
            </w:r>
          </w:p>
        </w:tc>
        <w:tc>
          <w:tcPr>
            <w:tcW w:w="7659" w:type="dxa"/>
            <w:tcBorders>
              <w:top w:val="single" w:color="auto" w:sz="4" w:space="0"/>
              <w:left w:val="single" w:color="auto" w:sz="4" w:space="0"/>
              <w:bottom w:val="single" w:color="auto" w:sz="4" w:space="0"/>
              <w:right w:val="single" w:color="auto" w:sz="4" w:space="0"/>
            </w:tcBorders>
            <w:vAlign w:val="center"/>
          </w:tcPr>
          <w:p w14:paraId="46CE50FA">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横向比较</w:t>
            </w:r>
            <w:r>
              <w:rPr>
                <w:rFonts w:hint="eastAsia" w:ascii="宋体" w:hAnsi="宋体" w:eastAsia="宋体" w:cs="宋体"/>
                <w:color w:val="auto"/>
                <w:szCs w:val="21"/>
                <w:highlight w:val="none"/>
                <w:lang w:val="zh-CN"/>
              </w:rPr>
              <w:t>各投标人</w:t>
            </w:r>
            <w:r>
              <w:rPr>
                <w:rFonts w:hint="eastAsia" w:ascii="宋体" w:hAnsi="宋体" w:eastAsia="宋体" w:cs="宋体"/>
                <w:color w:val="auto"/>
                <w:sz w:val="21"/>
                <w:szCs w:val="21"/>
                <w:highlight w:val="none"/>
                <w:lang w:val="zh-CN"/>
              </w:rPr>
              <w:t>的</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环境资料等</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lang w:val="zh-CN"/>
              </w:rPr>
              <w:t>：</w:t>
            </w:r>
          </w:p>
          <w:p w14:paraId="4E68497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环境</w:t>
            </w:r>
            <w:r>
              <w:rPr>
                <w:rFonts w:hint="eastAsia" w:ascii="宋体" w:hAnsi="宋体" w:eastAsia="宋体" w:cs="宋体"/>
                <w:color w:val="auto"/>
                <w:sz w:val="21"/>
                <w:szCs w:val="21"/>
                <w:highlight w:val="none"/>
                <w:lang w:val="en-US" w:eastAsia="zh-CN"/>
              </w:rPr>
              <w:t>好的，得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2.25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lang w:val="zh-CN"/>
              </w:rPr>
              <w:t>分；</w:t>
            </w:r>
          </w:p>
          <w:p w14:paraId="0437F4BF">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良：检测</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较大</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环境</w:t>
            </w:r>
            <w:r>
              <w:rPr>
                <w:rFonts w:hint="eastAsia" w:ascii="宋体" w:hAnsi="宋体" w:eastAsia="宋体" w:cs="宋体"/>
                <w:color w:val="auto"/>
                <w:sz w:val="21"/>
                <w:szCs w:val="21"/>
                <w:highlight w:val="none"/>
                <w:lang w:val="en-US" w:eastAsia="zh-CN"/>
              </w:rPr>
              <w:t>较好的，得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2.25</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lang w:val="zh-CN"/>
              </w:rPr>
              <w:t>分；</w:t>
            </w:r>
          </w:p>
          <w:p w14:paraId="4E671CB1">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环境</w:t>
            </w:r>
            <w:r>
              <w:rPr>
                <w:rFonts w:hint="eastAsia" w:ascii="宋体" w:hAnsi="宋体" w:eastAsia="宋体" w:cs="宋体"/>
                <w:color w:val="auto"/>
                <w:sz w:val="21"/>
                <w:szCs w:val="21"/>
                <w:highlight w:val="none"/>
                <w:lang w:val="en-US" w:eastAsia="zh-CN"/>
              </w:rPr>
              <w:t>一般的，得</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w:t>
            </w:r>
            <w:r>
              <w:rPr>
                <w:rFonts w:hint="eastAsia" w:ascii="宋体" w:hAnsi="宋体" w:eastAsia="宋体" w:cs="宋体"/>
                <w:color w:val="auto"/>
                <w:sz w:val="21"/>
                <w:szCs w:val="21"/>
                <w:highlight w:val="none"/>
                <w:lang w:val="zh-CN"/>
              </w:rPr>
              <w:t>分；</w:t>
            </w:r>
          </w:p>
          <w:p w14:paraId="2BAD740B">
            <w:pPr>
              <w:keepNext w:val="0"/>
              <w:keepLines w:val="0"/>
              <w:suppressLineNumbers w:val="0"/>
              <w:snapToGrid w:val="0"/>
              <w:spacing w:before="0" w:beforeAutospacing="0" w:after="0" w:afterAutospacing="0" w:line="360" w:lineRule="auto"/>
              <w:ind w:left="0" w:right="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差：</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场地规模</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检测</w:t>
            </w:r>
            <w:r>
              <w:rPr>
                <w:rFonts w:hint="eastAsia" w:ascii="宋体" w:hAnsi="宋体" w:eastAsia="宋体" w:cs="宋体"/>
                <w:color w:val="auto"/>
                <w:sz w:val="21"/>
                <w:szCs w:val="21"/>
                <w:highlight w:val="none"/>
                <w:lang w:val="zh-CN"/>
              </w:rPr>
              <w:t>环境</w:t>
            </w:r>
            <w:r>
              <w:rPr>
                <w:rFonts w:hint="eastAsia" w:ascii="宋体" w:hAnsi="宋体" w:eastAsia="宋体" w:cs="宋体"/>
                <w:color w:val="auto"/>
                <w:sz w:val="21"/>
                <w:szCs w:val="21"/>
                <w:highlight w:val="none"/>
                <w:lang w:val="en-US" w:eastAsia="zh-CN"/>
              </w:rPr>
              <w:t>简陋的，得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0.75</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val="zh-CN"/>
              </w:rPr>
              <w:t>分。</w:t>
            </w:r>
          </w:p>
          <w:p w14:paraId="53232591">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14:paraId="46E473BF">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（1）提供</w:t>
            </w:r>
            <w:r>
              <w:rPr>
                <w:rFonts w:hint="eastAsia" w:ascii="宋体" w:hAnsi="宋体" w:eastAsia="宋体" w:cs="宋体"/>
                <w:b/>
                <w:color w:val="auto"/>
                <w:sz w:val="21"/>
                <w:szCs w:val="21"/>
                <w:highlight w:val="none"/>
                <w:lang w:val="en-US" w:eastAsia="zh-CN"/>
              </w:rPr>
              <w:t>投标人检测</w:t>
            </w:r>
            <w:r>
              <w:rPr>
                <w:rFonts w:hint="eastAsia" w:ascii="宋体" w:hAnsi="宋体" w:eastAsia="宋体" w:cs="宋体"/>
                <w:b/>
                <w:color w:val="auto"/>
                <w:sz w:val="21"/>
                <w:szCs w:val="21"/>
                <w:highlight w:val="none"/>
                <w:lang w:val="zh-CN"/>
              </w:rPr>
              <w:t>场地自有产权证明复印件（或非自有产权时提供租赁合同复印件），产权证明或租赁合同的有效期须至202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val="zh-CN"/>
              </w:rPr>
              <w:t>年12月31日或以后，否则在评标时将不予考虑；</w:t>
            </w:r>
          </w:p>
          <w:p w14:paraId="2FC684F0">
            <w:pPr>
              <w:keepNext w:val="0"/>
              <w:keepLines w:val="0"/>
              <w:suppressLineNumbers w:val="0"/>
              <w:snapToGrid w:val="0"/>
              <w:spacing w:before="0" w:beforeAutospacing="0" w:after="0" w:afterAutospacing="0" w:line="360" w:lineRule="auto"/>
              <w:ind w:left="0" w:right="0"/>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（2）提供</w:t>
            </w:r>
            <w:r>
              <w:rPr>
                <w:rFonts w:hint="eastAsia" w:ascii="宋体" w:hAnsi="宋体" w:eastAsia="宋体" w:cs="宋体"/>
                <w:b/>
                <w:color w:val="auto"/>
                <w:sz w:val="21"/>
                <w:szCs w:val="21"/>
                <w:highlight w:val="none"/>
                <w:lang w:val="en-US" w:eastAsia="zh-CN"/>
              </w:rPr>
              <w:t>投标人检测</w:t>
            </w:r>
            <w:r>
              <w:rPr>
                <w:rFonts w:hint="eastAsia" w:ascii="宋体" w:hAnsi="宋体" w:eastAsia="宋体" w:cs="宋体"/>
                <w:b/>
                <w:color w:val="auto"/>
                <w:sz w:val="21"/>
                <w:szCs w:val="21"/>
                <w:highlight w:val="none"/>
                <w:lang w:val="zh-CN"/>
              </w:rPr>
              <w:t>场地现场、</w:t>
            </w:r>
            <w:r>
              <w:rPr>
                <w:rFonts w:hint="eastAsia" w:ascii="宋体" w:hAnsi="宋体" w:eastAsia="宋体" w:cs="宋体"/>
                <w:b/>
                <w:color w:val="auto"/>
                <w:sz w:val="21"/>
                <w:szCs w:val="21"/>
                <w:highlight w:val="none"/>
                <w:lang w:val="en-US" w:eastAsia="zh-CN"/>
              </w:rPr>
              <w:t>检测</w:t>
            </w:r>
            <w:r>
              <w:rPr>
                <w:rFonts w:hint="eastAsia" w:ascii="宋体" w:hAnsi="宋体" w:eastAsia="宋体" w:cs="宋体"/>
                <w:b/>
                <w:color w:val="auto"/>
                <w:sz w:val="21"/>
                <w:szCs w:val="21"/>
                <w:highlight w:val="none"/>
                <w:lang w:val="zh-CN"/>
              </w:rPr>
              <w:t>环境、</w:t>
            </w:r>
            <w:r>
              <w:rPr>
                <w:rFonts w:hint="eastAsia" w:ascii="宋体" w:hAnsi="宋体" w:eastAsia="宋体" w:cs="宋体"/>
                <w:b/>
                <w:color w:val="auto"/>
                <w:sz w:val="21"/>
                <w:szCs w:val="21"/>
                <w:highlight w:val="none"/>
                <w:lang w:val="en-US" w:eastAsia="zh-CN"/>
              </w:rPr>
              <w:t>检测</w:t>
            </w:r>
            <w:r>
              <w:rPr>
                <w:rFonts w:hint="eastAsia" w:ascii="宋体" w:hAnsi="宋体" w:eastAsia="宋体" w:cs="宋体"/>
                <w:b/>
                <w:color w:val="auto"/>
                <w:sz w:val="21"/>
                <w:szCs w:val="21"/>
                <w:highlight w:val="none"/>
                <w:lang w:val="zh-CN"/>
              </w:rPr>
              <w:t>设备、</w:t>
            </w:r>
            <w:r>
              <w:rPr>
                <w:rFonts w:hint="eastAsia" w:ascii="宋体" w:hAnsi="宋体" w:eastAsia="宋体" w:cs="宋体"/>
                <w:b/>
                <w:color w:val="auto"/>
                <w:sz w:val="21"/>
                <w:szCs w:val="21"/>
                <w:highlight w:val="none"/>
                <w:lang w:val="en-US" w:eastAsia="zh-CN"/>
              </w:rPr>
              <w:t>仪器</w:t>
            </w:r>
            <w:r>
              <w:rPr>
                <w:rFonts w:hint="eastAsia" w:ascii="宋体" w:hAnsi="宋体" w:eastAsia="宋体" w:cs="宋体"/>
                <w:b/>
                <w:color w:val="auto"/>
                <w:sz w:val="21"/>
                <w:szCs w:val="21"/>
                <w:highlight w:val="none"/>
                <w:lang w:val="zh-CN"/>
              </w:rPr>
              <w:t>设</w:t>
            </w:r>
            <w:r>
              <w:rPr>
                <w:rFonts w:hint="eastAsia" w:ascii="宋体" w:hAnsi="宋体" w:eastAsia="宋体" w:cs="宋体"/>
                <w:b/>
                <w:color w:val="auto"/>
                <w:sz w:val="21"/>
                <w:szCs w:val="21"/>
                <w:highlight w:val="none"/>
                <w:lang w:val="en-US" w:eastAsia="zh-CN"/>
              </w:rPr>
              <w:t>备</w:t>
            </w:r>
            <w:r>
              <w:rPr>
                <w:rFonts w:hint="eastAsia" w:ascii="宋体" w:hAnsi="宋体" w:eastAsia="宋体" w:cs="宋体"/>
                <w:b/>
                <w:color w:val="auto"/>
                <w:sz w:val="21"/>
                <w:szCs w:val="21"/>
                <w:highlight w:val="none"/>
                <w:lang w:val="zh-CN"/>
              </w:rPr>
              <w:t>的照片/图片打印件（照片/图片须清晰显示拍摄时间为202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10</w:t>
            </w:r>
            <w:r>
              <w:rPr>
                <w:rFonts w:hint="eastAsia" w:ascii="宋体" w:hAnsi="宋体" w:eastAsia="宋体" w:cs="宋体"/>
                <w:b/>
                <w:color w:val="auto"/>
                <w:sz w:val="21"/>
                <w:szCs w:val="21"/>
                <w:highlight w:val="none"/>
                <w:lang w:val="zh-CN"/>
              </w:rPr>
              <w:t>月1日或以后）</w:t>
            </w:r>
          </w:p>
          <w:p w14:paraId="723127DA">
            <w:pPr>
              <w:keepNext w:val="0"/>
              <w:keepLines w:val="0"/>
              <w:suppressLineNumbers w:val="0"/>
              <w:spacing w:before="0" w:beforeAutospacing="0" w:after="0" w:afterAutospacing="0" w:line="360" w:lineRule="auto"/>
              <w:ind w:left="0" w:right="0"/>
              <w:contextualSpacing/>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）投标人除文字介绍外，必须按要求提供以上证明材料。</w:t>
            </w:r>
          </w:p>
        </w:tc>
        <w:tc>
          <w:tcPr>
            <w:tcW w:w="907" w:type="dxa"/>
            <w:tcBorders>
              <w:top w:val="single" w:color="auto" w:sz="4" w:space="0"/>
              <w:left w:val="single" w:color="auto" w:sz="4" w:space="0"/>
              <w:bottom w:val="single" w:color="auto" w:sz="4" w:space="0"/>
              <w:right w:val="single" w:color="auto" w:sz="4" w:space="0"/>
            </w:tcBorders>
            <w:vAlign w:val="center"/>
          </w:tcPr>
          <w:p w14:paraId="25EED5AE">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3分</w:t>
            </w:r>
          </w:p>
        </w:tc>
      </w:tr>
      <w:tr w14:paraId="0C06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3EC2A9F">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rPr>
              <w:t>5</w:t>
            </w:r>
          </w:p>
        </w:tc>
        <w:tc>
          <w:tcPr>
            <w:tcW w:w="1133" w:type="dxa"/>
            <w:tcBorders>
              <w:top w:val="single" w:color="auto" w:sz="4" w:space="0"/>
              <w:left w:val="single" w:color="auto" w:sz="4" w:space="0"/>
              <w:bottom w:val="single" w:color="auto" w:sz="4" w:space="0"/>
              <w:right w:val="single" w:color="auto" w:sz="4" w:space="0"/>
            </w:tcBorders>
            <w:vAlign w:val="center"/>
          </w:tcPr>
          <w:p w14:paraId="673BEAF6">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承诺检测成果的准确性</w:t>
            </w:r>
          </w:p>
        </w:tc>
        <w:tc>
          <w:tcPr>
            <w:tcW w:w="7659" w:type="dxa"/>
            <w:tcBorders>
              <w:top w:val="single" w:color="auto" w:sz="4" w:space="0"/>
              <w:left w:val="single" w:color="auto" w:sz="4" w:space="0"/>
              <w:bottom w:val="single" w:color="auto" w:sz="4" w:space="0"/>
              <w:right w:val="single" w:color="auto" w:sz="4" w:space="0"/>
            </w:tcBorders>
            <w:vAlign w:val="center"/>
          </w:tcPr>
          <w:p w14:paraId="32B80EFC">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（1）承诺所有检测成果按实检测，错误点数0个（含）以内，得3分；</w:t>
            </w:r>
          </w:p>
          <w:p w14:paraId="0F964FA8">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（2）承诺所有检测成果按实检测，错误点数1个（含）以内，得2分；</w:t>
            </w:r>
          </w:p>
          <w:p w14:paraId="0C5E89FD">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（3）承诺所有检测成果按实检测，错误点数2个（含）以内，得1分；</w:t>
            </w:r>
          </w:p>
          <w:p w14:paraId="51B7FBA1">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（4）承诺所有检测成果按实检测，错误点数大于或等于3个的，得0分。</w:t>
            </w:r>
          </w:p>
          <w:p w14:paraId="6F0C5E4B">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备注：</w:t>
            </w:r>
          </w:p>
          <w:p w14:paraId="3334E2B5">
            <w:pPr>
              <w:keepNext w:val="0"/>
              <w:keepLines w:val="0"/>
              <w:widowControl w:val="0"/>
              <w:suppressLineNumbers w:val="0"/>
              <w:spacing w:before="0" w:beforeAutospacing="0" w:after="0" w:afterAutospacing="0"/>
              <w:ind w:left="0" w:right="0"/>
              <w:jc w:val="both"/>
              <w:rPr>
                <w:rFonts w:hint="eastAsia" w:ascii="宋体" w:hAnsi="宋体" w:eastAsia="宋体" w:cs="宋体"/>
                <w:b/>
                <w:bCs/>
                <w:kern w:val="2"/>
                <w:sz w:val="21"/>
                <w:szCs w:val="21"/>
              </w:rPr>
            </w:pPr>
            <w:r>
              <w:rPr>
                <w:rFonts w:hint="eastAsia" w:ascii="宋体" w:hAnsi="宋体" w:eastAsia="宋体" w:cs="宋体"/>
                <w:b/>
                <w:bCs w:val="0"/>
                <w:kern w:val="2"/>
                <w:sz w:val="21"/>
                <w:szCs w:val="21"/>
                <w:lang w:val="en-US" w:eastAsia="zh-CN" w:bidi="ar"/>
              </w:rPr>
              <w:t>（1）</w:t>
            </w:r>
            <w:r>
              <w:rPr>
                <w:rFonts w:hint="eastAsia" w:ascii="宋体" w:hAnsi="宋体" w:eastAsia="宋体" w:cs="宋体"/>
                <w:b/>
                <w:bCs/>
                <w:kern w:val="2"/>
                <w:sz w:val="21"/>
                <w:szCs w:val="21"/>
                <w:lang w:val="en-US" w:eastAsia="zh-CN" w:bidi="ar"/>
              </w:rPr>
              <w:t>根据《检测成果准确性承诺书》对应的内容进行评审。提供承诺函加盖投标人公章；</w:t>
            </w:r>
          </w:p>
          <w:p w14:paraId="3295086C">
            <w:pPr>
              <w:keepNext w:val="0"/>
              <w:keepLines w:val="0"/>
              <w:widowControl w:val="0"/>
              <w:suppressLineNumbers w:val="0"/>
              <w:spacing w:before="0" w:beforeAutospacing="0" w:after="0" w:afterAutospacing="0"/>
              <w:ind w:left="0" w:right="0"/>
              <w:jc w:val="both"/>
              <w:rPr>
                <w:rFonts w:hint="eastAsia" w:ascii="等线" w:hAnsi="等线" w:eastAsia="等线" w:cs="黑体"/>
                <w:kern w:val="2"/>
                <w:sz w:val="21"/>
                <w:szCs w:val="21"/>
              </w:rPr>
            </w:pPr>
            <w:r>
              <w:rPr>
                <w:rFonts w:hint="eastAsia" w:ascii="宋体" w:hAnsi="宋体" w:eastAsia="宋体" w:cs="宋体"/>
                <w:b/>
                <w:bCs w:val="0"/>
                <w:kern w:val="2"/>
                <w:sz w:val="21"/>
                <w:szCs w:val="21"/>
                <w:lang w:val="en-US" w:eastAsia="zh-CN" w:bidi="ar"/>
              </w:rPr>
              <w:t>（2）</w:t>
            </w:r>
            <w:r>
              <w:rPr>
                <w:rFonts w:hint="eastAsia" w:ascii="宋体" w:hAnsi="宋体" w:eastAsia="宋体" w:cs="宋体"/>
                <w:b w:val="0"/>
                <w:bCs w:val="0"/>
                <w:kern w:val="2"/>
                <w:sz w:val="24"/>
                <w:szCs w:val="24"/>
                <w:lang w:val="en-US" w:eastAsia="zh-CN" w:bidi="ar"/>
              </w:rPr>
              <w:t>本项按最高得分计算一次，不重复得分。</w:t>
            </w:r>
          </w:p>
          <w:p w14:paraId="09963492">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kern w:val="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14:paraId="2BC3F21A">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tr w14:paraId="707C3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7BEFC8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rPr>
              <w:t>6</w:t>
            </w:r>
          </w:p>
        </w:tc>
        <w:tc>
          <w:tcPr>
            <w:tcW w:w="1133" w:type="dxa"/>
            <w:tcBorders>
              <w:top w:val="single" w:color="auto" w:sz="4" w:space="0"/>
              <w:left w:val="single" w:color="auto" w:sz="4" w:space="0"/>
              <w:bottom w:val="single" w:color="auto" w:sz="4" w:space="0"/>
              <w:right w:val="single" w:color="auto" w:sz="4" w:space="0"/>
            </w:tcBorders>
            <w:vAlign w:val="center"/>
          </w:tcPr>
          <w:p w14:paraId="6FF9A584">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服务及时性承诺</w:t>
            </w:r>
          </w:p>
        </w:tc>
        <w:tc>
          <w:tcPr>
            <w:tcW w:w="7659" w:type="dxa"/>
            <w:tcBorders>
              <w:top w:val="single" w:color="auto" w:sz="4" w:space="0"/>
              <w:left w:val="single" w:color="auto" w:sz="4" w:space="0"/>
              <w:bottom w:val="single" w:color="auto" w:sz="4" w:space="0"/>
              <w:right w:val="single" w:color="auto" w:sz="4" w:space="0"/>
            </w:tcBorders>
            <w:vAlign w:val="center"/>
          </w:tcPr>
          <w:p w14:paraId="35B14CB8">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（1）承诺接到招标人电话通知后1小时（含）内机械设备、人员进场服务的，得3分；</w:t>
            </w:r>
          </w:p>
          <w:p w14:paraId="5597D331">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（2）承诺接到招标人电话通知后2小时（含）内机械设备、人员进场服务的，得2分；</w:t>
            </w:r>
          </w:p>
          <w:p w14:paraId="108D8A96">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（3）承诺接到招标人电话通知后4小时（含）内机械设备、人员进场服务的，得1分；</w:t>
            </w:r>
          </w:p>
          <w:p w14:paraId="7CEE61DD">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（4）承诺接到招标人电话通知后超过4小时机械设备、人员进场服务的，得0分。</w:t>
            </w:r>
          </w:p>
          <w:p w14:paraId="708EF7DE">
            <w:pPr>
              <w:keepNext w:val="0"/>
              <w:keepLines w:val="0"/>
              <w:widowControl w:val="0"/>
              <w:suppressLineNumbers w:val="0"/>
              <w:spacing w:before="0" w:beforeAutospacing="0" w:after="0" w:afterAutospacing="0" w:line="400" w:lineRule="exact"/>
              <w:ind w:left="0" w:right="0"/>
              <w:contextualSpacing/>
              <w:jc w:val="both"/>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bidi="ar"/>
              </w:rPr>
              <w:t>备注：</w:t>
            </w:r>
          </w:p>
          <w:p w14:paraId="733D0DDB">
            <w:pPr>
              <w:keepNext w:val="0"/>
              <w:keepLines w:val="0"/>
              <w:widowControl w:val="0"/>
              <w:suppressLineNumbers w:val="0"/>
              <w:spacing w:before="0" w:beforeAutospacing="0" w:after="0" w:afterAutospacing="0" w:line="400" w:lineRule="exact"/>
              <w:ind w:left="0" w:right="0"/>
              <w:contextualSpacing/>
              <w:jc w:val="both"/>
              <w:rPr>
                <w:rFonts w:hint="eastAsia" w:ascii="宋体" w:hAnsi="宋体" w:eastAsia="宋体" w:cs="宋体"/>
                <w:b/>
                <w:bCs/>
                <w:kern w:val="2"/>
                <w:sz w:val="21"/>
                <w:szCs w:val="21"/>
              </w:rPr>
            </w:pPr>
            <w:r>
              <w:rPr>
                <w:rFonts w:hint="eastAsia" w:ascii="宋体" w:hAnsi="宋体" w:eastAsia="宋体" w:cs="宋体"/>
                <w:b/>
                <w:bCs w:val="0"/>
                <w:kern w:val="2"/>
                <w:sz w:val="21"/>
                <w:szCs w:val="21"/>
                <w:lang w:val="en-US" w:eastAsia="zh-CN" w:bidi="ar"/>
              </w:rPr>
              <w:t>（1）</w:t>
            </w:r>
            <w:r>
              <w:rPr>
                <w:rFonts w:hint="eastAsia" w:ascii="宋体" w:hAnsi="宋体" w:eastAsia="宋体" w:cs="宋体"/>
                <w:b/>
                <w:bCs/>
                <w:kern w:val="2"/>
                <w:sz w:val="21"/>
                <w:szCs w:val="21"/>
                <w:lang w:val="en-US" w:eastAsia="zh-CN" w:bidi="ar"/>
              </w:rPr>
              <w:t>根据《服务响应时间承诺书》对应的内容进行评审。提供承诺函加盖投标人公章；</w:t>
            </w:r>
          </w:p>
          <w:p w14:paraId="7165ED5D">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b/>
                <w:bCs w:val="0"/>
                <w:kern w:val="2"/>
                <w:sz w:val="21"/>
                <w:szCs w:val="21"/>
                <w:lang w:val="en-US" w:eastAsia="zh-CN" w:bidi="ar"/>
              </w:rPr>
              <w:t>（2）</w:t>
            </w:r>
            <w:r>
              <w:rPr>
                <w:rFonts w:hint="eastAsia" w:ascii="宋体" w:hAnsi="宋体" w:eastAsia="宋体" w:cs="宋体"/>
                <w:b/>
                <w:bCs/>
                <w:kern w:val="2"/>
                <w:sz w:val="21"/>
                <w:szCs w:val="21"/>
                <w:lang w:val="en-US" w:eastAsia="zh-CN" w:bidi="ar"/>
              </w:rPr>
              <w:t>本项按最高得分计算一次，不重复得分。</w:t>
            </w:r>
          </w:p>
          <w:p w14:paraId="30093B8D">
            <w:pPr>
              <w:keepNext w:val="0"/>
              <w:keepLines w:val="0"/>
              <w:suppressLineNumbers w:val="0"/>
              <w:spacing w:before="0" w:beforeAutospacing="0" w:after="0" w:afterAutospacing="0" w:line="360" w:lineRule="auto"/>
              <w:ind w:left="0" w:right="0"/>
              <w:contextualSpacing/>
              <w:rPr>
                <w:rFonts w:hint="default" w:ascii="宋体" w:hAnsi="宋体" w:eastAsia="宋体" w:cs="宋体"/>
                <w:color w:val="auto"/>
                <w:kern w:val="0"/>
                <w:szCs w:val="21"/>
                <w:highlight w:val="none"/>
              </w:rPr>
            </w:pPr>
          </w:p>
        </w:tc>
        <w:tc>
          <w:tcPr>
            <w:tcW w:w="907" w:type="dxa"/>
            <w:tcBorders>
              <w:top w:val="single" w:color="auto" w:sz="4" w:space="0"/>
              <w:left w:val="single" w:color="auto" w:sz="4" w:space="0"/>
              <w:bottom w:val="single" w:color="auto" w:sz="4" w:space="0"/>
              <w:right w:val="single" w:color="auto" w:sz="4" w:space="0"/>
            </w:tcBorders>
            <w:vAlign w:val="center"/>
          </w:tcPr>
          <w:p w14:paraId="6A684052">
            <w:pPr>
              <w:keepNext w:val="0"/>
              <w:keepLines w:val="0"/>
              <w:suppressLineNumbers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szCs w:val="21"/>
                <w:highlight w:val="none"/>
              </w:rPr>
              <w:t>3分</w:t>
            </w:r>
          </w:p>
        </w:tc>
      </w:tr>
      <w:tr w14:paraId="076D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463" w:type="dxa"/>
            <w:gridSpan w:val="3"/>
            <w:tcBorders>
              <w:top w:val="single" w:color="auto" w:sz="4" w:space="0"/>
              <w:left w:val="single" w:color="auto" w:sz="4" w:space="0"/>
              <w:right w:val="single" w:color="auto" w:sz="4" w:space="0"/>
            </w:tcBorders>
            <w:vAlign w:val="center"/>
          </w:tcPr>
          <w:p w14:paraId="2B18C11D">
            <w:pPr>
              <w:pStyle w:val="73"/>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cs="宋体"/>
                <w:b/>
                <w:color w:val="auto"/>
                <w:szCs w:val="21"/>
                <w:highlight w:val="none"/>
                <w:lang w:val="zh-CN"/>
              </w:rPr>
              <w:t>技术总分</w:t>
            </w:r>
          </w:p>
        </w:tc>
        <w:tc>
          <w:tcPr>
            <w:tcW w:w="907" w:type="dxa"/>
            <w:tcBorders>
              <w:top w:val="single" w:color="auto" w:sz="4" w:space="0"/>
              <w:left w:val="single" w:color="auto" w:sz="4" w:space="0"/>
              <w:right w:val="single" w:color="auto" w:sz="4" w:space="0"/>
            </w:tcBorders>
            <w:vAlign w:val="center"/>
          </w:tcPr>
          <w:p w14:paraId="052883B3">
            <w:pPr>
              <w:pStyle w:val="73"/>
              <w:keepLines w:val="0"/>
              <w:suppressLineNumbers w:val="0"/>
              <w:tabs>
                <w:tab w:val="left" w:pos="585"/>
                <w:tab w:val="left" w:pos="680"/>
              </w:tabs>
              <w:spacing w:before="0" w:beforeAutospacing="0" w:after="0" w:afterAutospacing="0" w:line="360" w:lineRule="auto"/>
              <w:ind w:left="0" w:right="0"/>
              <w:jc w:val="center"/>
              <w:rPr>
                <w:rFonts w:hint="default" w:ascii="宋体" w:hAnsi="宋体" w:eastAsia="宋体" w:cs="宋体"/>
                <w:color w:val="auto"/>
                <w:kern w:val="0"/>
                <w:szCs w:val="21"/>
                <w:highlight w:val="none"/>
              </w:rPr>
            </w:pPr>
            <w:r>
              <w:rPr>
                <w:rFonts w:hint="eastAsia" w:ascii="宋体" w:hAnsi="宋体" w:cs="宋体"/>
                <w:b/>
                <w:color w:val="auto"/>
                <w:szCs w:val="21"/>
                <w:highlight w:val="none"/>
                <w:lang w:val="en-US" w:eastAsia="zh-CN"/>
              </w:rPr>
              <w:t>20</w:t>
            </w:r>
            <w:r>
              <w:rPr>
                <w:rFonts w:hint="eastAsia" w:ascii="宋体" w:hAnsi="宋体" w:cs="宋体"/>
                <w:b/>
                <w:color w:val="auto"/>
                <w:szCs w:val="21"/>
                <w:highlight w:val="none"/>
                <w:lang w:val="zh-CN"/>
              </w:rPr>
              <w:t>分</w:t>
            </w:r>
          </w:p>
        </w:tc>
      </w:tr>
      <w:bookmarkEnd w:id="899"/>
    </w:tbl>
    <w:p w14:paraId="3D2D3C61">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1068F2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33A69F38">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554B1453">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6AC47424">
      <w:pPr>
        <w:autoSpaceDE w:val="0"/>
        <w:autoSpaceDN w:val="0"/>
        <w:adjustRightInd w:val="0"/>
        <w:spacing w:line="360" w:lineRule="auto"/>
        <w:ind w:left="420" w:leftChars="200" w:firstLine="422" w:firstLineChars="200"/>
        <w:rPr>
          <w:rFonts w:ascii="宋体" w:hAnsi="宋体" w:eastAsia="宋体" w:cs="宋体"/>
          <w:color w:val="auto"/>
          <w:kern w:val="0"/>
          <w:szCs w:val="21"/>
          <w:highlight w:val="none"/>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6ABFDBED">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6A2F5A87">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AE2ED36">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6D8D8AC">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241E0D92">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12AECEAD">
      <w:pPr>
        <w:spacing w:line="360" w:lineRule="auto"/>
        <w:ind w:left="420" w:leftChars="200" w:firstLine="420" w:firstLineChars="200"/>
        <w:rPr>
          <w:rFonts w:ascii="宋体" w:hAnsi="宋体" w:eastAsia="宋体" w:cs="宋体"/>
          <w:color w:val="auto"/>
          <w:kern w:val="0"/>
          <w:szCs w:val="21"/>
          <w:highlight w:val="none"/>
          <w:lang w:val="zh-CN"/>
        </w:rPr>
      </w:pPr>
    </w:p>
    <w:p w14:paraId="0FE2B2BE">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236C1EC0">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服务系数，最低</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服务系数作为基准系数（Y）。投标人</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服务系数（X）等于基准系数的得满分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p>
    <w:p w14:paraId="4F62940C">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价格得分=(基准系数／</w:t>
      </w:r>
      <w:r>
        <w:rPr>
          <w:rFonts w:hint="eastAsia" w:ascii="宋体" w:hAnsi="宋体" w:eastAsia="宋体" w:cs="宋体"/>
          <w:color w:val="auto"/>
          <w:kern w:val="0"/>
          <w:szCs w:val="21"/>
          <w:highlight w:val="none"/>
          <w:lang w:val="en-US" w:eastAsia="zh-CN"/>
        </w:rPr>
        <w:t>检测</w:t>
      </w:r>
      <w:r>
        <w:rPr>
          <w:rFonts w:hint="eastAsia" w:ascii="宋体" w:hAnsi="宋体" w:eastAsia="宋体" w:cs="宋体"/>
          <w:color w:val="auto"/>
          <w:kern w:val="0"/>
          <w:szCs w:val="21"/>
          <w:highlight w:val="none"/>
        </w:rPr>
        <w:t>服务系数)×</w:t>
      </w:r>
      <w:r>
        <w:rPr>
          <w:rFonts w:hint="eastAsia" w:ascii="宋体" w:hAnsi="宋体" w:eastAsia="宋体" w:cs="宋体"/>
          <w:color w:val="auto"/>
          <w:kern w:val="0"/>
          <w:szCs w:val="21"/>
          <w:highlight w:val="none"/>
          <w:lang w:val="en-US" w:eastAsia="zh-CN"/>
        </w:rPr>
        <w:t>50</w:t>
      </w:r>
    </w:p>
    <w:p w14:paraId="5E56654C">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101C0C46">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7B46FC99">
      <w:pPr>
        <w:spacing w:line="400" w:lineRule="exact"/>
        <w:ind w:firstLine="848" w:firstLineChars="404"/>
        <w:rPr>
          <w:rFonts w:ascii="宋体" w:hAnsi="宋体" w:eastAsia="宋体" w:cs="宋体"/>
          <w:color w:val="auto"/>
          <w:kern w:val="0"/>
          <w:szCs w:val="28"/>
          <w:highlight w:val="none"/>
          <w:lang w:val="zh-CN"/>
        </w:rPr>
      </w:pPr>
      <w:bookmarkStart w:id="900" w:name="_Toc31624_WPSOffice_Level2"/>
      <w:r>
        <w:rPr>
          <w:rFonts w:hint="eastAsia" w:ascii="宋体" w:hAnsi="宋体" w:eastAsia="宋体" w:cs="宋体"/>
          <w:color w:val="auto"/>
          <w:kern w:val="0"/>
          <w:szCs w:val="28"/>
          <w:highlight w:val="none"/>
          <w:lang w:val="zh-CN"/>
        </w:rPr>
        <w:t>评标总得分=F1＋F2＋……+Fn</w:t>
      </w:r>
      <w:bookmarkEnd w:id="900"/>
    </w:p>
    <w:p w14:paraId="305DD6BD">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901" w:name="_Toc13236_WPSOffice_Level2"/>
      <w:r>
        <w:rPr>
          <w:rFonts w:hint="eastAsia" w:ascii="宋体" w:hAnsi="宋体" w:eastAsia="宋体" w:cs="宋体"/>
          <w:color w:val="auto"/>
          <w:kern w:val="0"/>
          <w:szCs w:val="21"/>
          <w:highlight w:val="none"/>
        </w:rPr>
        <w:t>F1、F2、……Fn分别为各项评分因素的得分</w:t>
      </w:r>
      <w:bookmarkEnd w:id="901"/>
      <w:r>
        <w:rPr>
          <w:rFonts w:hint="eastAsia" w:ascii="宋体" w:hAnsi="宋体" w:eastAsia="宋体" w:cs="宋体"/>
          <w:color w:val="auto"/>
          <w:kern w:val="0"/>
          <w:szCs w:val="21"/>
          <w:highlight w:val="none"/>
        </w:rPr>
        <w:t>。</w:t>
      </w:r>
    </w:p>
    <w:p w14:paraId="6B508E22">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569A53C8">
      <w:pPr>
        <w:autoSpaceDE w:val="0"/>
        <w:autoSpaceDN w:val="0"/>
        <w:adjustRightInd w:val="0"/>
        <w:spacing w:line="360" w:lineRule="auto"/>
        <w:jc w:val="center"/>
        <w:rPr>
          <w:rFonts w:ascii="宋体" w:hAnsi="宋体" w:eastAsia="宋体" w:cs="宋体"/>
          <w:b/>
          <w:bCs/>
          <w:color w:val="auto"/>
          <w:sz w:val="28"/>
          <w:szCs w:val="28"/>
          <w:highlight w:val="none"/>
        </w:rPr>
      </w:pPr>
      <w:bookmarkStart w:id="902" w:name="_Toc518_WPSOffice_Level1"/>
      <w:r>
        <w:rPr>
          <w:rFonts w:hint="eastAsia" w:ascii="宋体" w:hAnsi="宋体" w:eastAsia="宋体" w:cs="宋体"/>
          <w:b/>
          <w:bCs/>
          <w:color w:val="auto"/>
          <w:sz w:val="28"/>
          <w:szCs w:val="28"/>
          <w:highlight w:val="none"/>
          <w:lang w:val="zh-CN"/>
        </w:rPr>
        <w:t>五、推荐中标人</w:t>
      </w:r>
      <w:bookmarkEnd w:id="902"/>
    </w:p>
    <w:p w14:paraId="197B2A8D">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75F6C989">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7A5A97F">
      <w:pPr>
        <w:widowControl/>
        <w:spacing w:line="360" w:lineRule="auto"/>
        <w:jc w:val="left"/>
        <w:rPr>
          <w:rFonts w:ascii="宋体" w:hAnsi="宋体" w:eastAsia="宋体" w:cs="宋体"/>
          <w:color w:val="auto"/>
          <w:kern w:val="0"/>
          <w:szCs w:val="21"/>
          <w:highlight w:val="none"/>
        </w:rPr>
      </w:pPr>
    </w:p>
    <w:p w14:paraId="6A11BBD2">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903" w:name="_Toc22724_WPSOffice_Level1"/>
      <w:r>
        <w:rPr>
          <w:rFonts w:hint="eastAsia" w:ascii="宋体" w:hAnsi="宋体" w:eastAsia="宋体" w:cs="宋体"/>
          <w:b/>
          <w:bCs/>
          <w:color w:val="auto"/>
          <w:sz w:val="28"/>
          <w:szCs w:val="28"/>
          <w:highlight w:val="none"/>
          <w:lang w:val="zh-CN"/>
        </w:rPr>
        <w:t>六、编写评标报告</w:t>
      </w:r>
      <w:bookmarkEnd w:id="903"/>
    </w:p>
    <w:p w14:paraId="2704F26A">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5972DE9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6C8C77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78B2498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2DB7FB9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5A92C0F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6F78E593">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033EF363">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1F002168">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904" w:name="_Toc23773_WPSOffice_Level1"/>
      <w:r>
        <w:rPr>
          <w:rFonts w:hint="eastAsia" w:ascii="宋体" w:hAnsi="宋体" w:eastAsia="宋体" w:cs="宋体"/>
          <w:b/>
          <w:bCs/>
          <w:color w:val="auto"/>
          <w:sz w:val="28"/>
          <w:szCs w:val="28"/>
          <w:highlight w:val="none"/>
          <w:lang w:val="zh-CN"/>
        </w:rPr>
        <w:t>七、注意事项</w:t>
      </w:r>
      <w:bookmarkEnd w:id="904"/>
    </w:p>
    <w:p w14:paraId="7C91C7F6">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0EBC7E67">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74D6252">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E07A68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6C34582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5597D0C">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860"/>
    <w:bookmarkEnd w:id="877"/>
    <w:bookmarkEnd w:id="878"/>
    <w:bookmarkEnd w:id="879"/>
    <w:p w14:paraId="02E2B923">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FrutigerNext LT Light">
    <w:altName w:val="宋体"/>
    <w:panose1 w:val="00000000000000000000"/>
    <w:charset w:val="86"/>
    <w:family w:val="auto"/>
    <w:pitch w:val="default"/>
    <w:sig w:usb0="00000000" w:usb1="00000000" w:usb2="00000010" w:usb3="00000000" w:csb0="00040001" w:csb1="00000000"/>
  </w:font>
  <w:font w:name="Cambria">
    <w:panose1 w:val="02040503050406030204"/>
    <w:charset w:val="00"/>
    <w:family w:val="auto"/>
    <w:pitch w:val="default"/>
    <w:sig w:usb0="E00006FF" w:usb1="420024FF" w:usb2="02000000" w:usb3="00000000" w:csb0="2000019F" w:csb1="00000000"/>
  </w:font>
  <w:font w:name="Microsoft YaHei UI">
    <w:panose1 w:val="020B0503020204020204"/>
    <w:charset w:val="86"/>
    <w:family w:val="auto"/>
    <w:pitch w:val="default"/>
    <w:sig w:usb0="80000287" w:usb1="2ACF3C50" w:usb2="00000016" w:usb3="00000000" w:csb0="0004001F" w:csb1="00000000"/>
  </w:font>
  <w:font w:name="ˎ̥">
    <w:altName w:val="Times New Roman"/>
    <w:panose1 w:val="00000000000000000000"/>
    <w:charset w:val="01"/>
    <w:family w:val="auto"/>
    <w:pitch w:val="default"/>
    <w:sig w:usb0="00000000" w:usb1="00000000" w:usb2="00000000" w:usb3="00000000" w:csb0="00040001" w:csb1="00000000"/>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F222">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B2B4B">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AFB20">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C82CB">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E7A26">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622D3081">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2BAED"/>
    <w:multiLevelType w:val="singleLevel"/>
    <w:tmpl w:val="91C2BAED"/>
    <w:lvl w:ilvl="0" w:tentative="0">
      <w:start w:val="11"/>
      <w:numFmt w:val="chineseCounting"/>
      <w:suff w:val="nothing"/>
      <w:lvlText w:val="%1、"/>
      <w:lvlJc w:val="left"/>
      <w:rPr>
        <w:rFonts w:hint="eastAsia"/>
      </w:rPr>
    </w:lvl>
  </w:abstractNum>
  <w:abstractNum w:abstractNumId="1">
    <w:nsid w:val="112975A4"/>
    <w:multiLevelType w:val="multilevel"/>
    <w:tmpl w:val="112975A4"/>
    <w:lvl w:ilvl="0" w:tentative="0">
      <w:start w:val="1"/>
      <w:numFmt w:val="japaneseCounting"/>
      <w:lvlText w:val="（%1）"/>
      <w:lvlJc w:val="left"/>
      <w:pPr>
        <w:ind w:left="1700" w:hanging="1080"/>
      </w:pPr>
      <w:rPr>
        <w:rFonts w:hint="default"/>
      </w:rPr>
    </w:lvl>
    <w:lvl w:ilvl="1" w:tentative="0">
      <w:start w:val="1"/>
      <w:numFmt w:val="lowerLetter"/>
      <w:lvlText w:val="%2)"/>
      <w:lvlJc w:val="left"/>
      <w:pPr>
        <w:ind w:left="1460" w:hanging="420"/>
      </w:pPr>
    </w:lvl>
    <w:lvl w:ilvl="2" w:tentative="0">
      <w:start w:val="1"/>
      <w:numFmt w:val="lowerRoman"/>
      <w:lvlText w:val="%3."/>
      <w:lvlJc w:val="right"/>
      <w:pPr>
        <w:ind w:left="1880" w:hanging="420"/>
      </w:pPr>
    </w:lvl>
    <w:lvl w:ilvl="3" w:tentative="0">
      <w:start w:val="1"/>
      <w:numFmt w:val="decimal"/>
      <w:lvlText w:val="%4."/>
      <w:lvlJc w:val="left"/>
      <w:pPr>
        <w:ind w:left="2300" w:hanging="420"/>
      </w:pPr>
    </w:lvl>
    <w:lvl w:ilvl="4" w:tentative="0">
      <w:start w:val="1"/>
      <w:numFmt w:val="lowerLetter"/>
      <w:lvlText w:val="%5)"/>
      <w:lvlJc w:val="left"/>
      <w:pPr>
        <w:ind w:left="2720" w:hanging="420"/>
      </w:pPr>
    </w:lvl>
    <w:lvl w:ilvl="5" w:tentative="0">
      <w:start w:val="1"/>
      <w:numFmt w:val="lowerRoman"/>
      <w:lvlText w:val="%6."/>
      <w:lvlJc w:val="right"/>
      <w:pPr>
        <w:ind w:left="3140" w:hanging="420"/>
      </w:pPr>
    </w:lvl>
    <w:lvl w:ilvl="6" w:tentative="0">
      <w:start w:val="1"/>
      <w:numFmt w:val="decimal"/>
      <w:lvlText w:val="%7."/>
      <w:lvlJc w:val="left"/>
      <w:pPr>
        <w:ind w:left="3560" w:hanging="420"/>
      </w:pPr>
    </w:lvl>
    <w:lvl w:ilvl="7" w:tentative="0">
      <w:start w:val="1"/>
      <w:numFmt w:val="lowerLetter"/>
      <w:lvlText w:val="%8)"/>
      <w:lvlJc w:val="left"/>
      <w:pPr>
        <w:ind w:left="3980" w:hanging="420"/>
      </w:pPr>
    </w:lvl>
    <w:lvl w:ilvl="8" w:tentative="0">
      <w:start w:val="1"/>
      <w:numFmt w:val="lowerRoman"/>
      <w:lvlText w:val="%9."/>
      <w:lvlJc w:val="right"/>
      <w:pPr>
        <w:ind w:left="4400" w:hanging="42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60C59F"/>
    <w:multiLevelType w:val="singleLevel"/>
    <w:tmpl w:val="5860C59F"/>
    <w:lvl w:ilvl="0" w:tentative="0">
      <w:start w:val="3"/>
      <w:numFmt w:val="chineseCounting"/>
      <w:suff w:val="nothing"/>
      <w:lvlText w:val="%1、"/>
      <w:lvlJc w:val="left"/>
    </w:lvl>
  </w:abstractNum>
  <w:abstractNum w:abstractNumId="5">
    <w:nsid w:val="5860D940"/>
    <w:multiLevelType w:val="singleLevel"/>
    <w:tmpl w:val="5860D940"/>
    <w:lvl w:ilvl="0" w:tentative="0">
      <w:start w:val="1"/>
      <w:numFmt w:val="chineseCounting"/>
      <w:suff w:val="nothing"/>
      <w:lvlText w:val="%1、"/>
      <w:lvlJc w:val="left"/>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f885b62e-38d9-4ea0-bdc3-ebc527872538"/>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B6A57"/>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15C1"/>
    <w:rsid w:val="00A03414"/>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D14E0A"/>
    <w:rsid w:val="02094F64"/>
    <w:rsid w:val="02780A9B"/>
    <w:rsid w:val="03082744"/>
    <w:rsid w:val="037D28C8"/>
    <w:rsid w:val="04174BE5"/>
    <w:rsid w:val="045B1853"/>
    <w:rsid w:val="046D6604"/>
    <w:rsid w:val="0493460E"/>
    <w:rsid w:val="04E04F32"/>
    <w:rsid w:val="058F7720"/>
    <w:rsid w:val="06466218"/>
    <w:rsid w:val="06765EB3"/>
    <w:rsid w:val="06A75D00"/>
    <w:rsid w:val="06F139B4"/>
    <w:rsid w:val="07565116"/>
    <w:rsid w:val="078B7B6F"/>
    <w:rsid w:val="07AA2823"/>
    <w:rsid w:val="07CF228A"/>
    <w:rsid w:val="083C6152"/>
    <w:rsid w:val="08493425"/>
    <w:rsid w:val="09820A3A"/>
    <w:rsid w:val="0A192AB0"/>
    <w:rsid w:val="0A9A32F9"/>
    <w:rsid w:val="0AE653B4"/>
    <w:rsid w:val="0AFD7516"/>
    <w:rsid w:val="0B7329D8"/>
    <w:rsid w:val="0DCB6F7B"/>
    <w:rsid w:val="0EC304F7"/>
    <w:rsid w:val="0F241091"/>
    <w:rsid w:val="0F295C3C"/>
    <w:rsid w:val="0FCA38F7"/>
    <w:rsid w:val="101D5BA4"/>
    <w:rsid w:val="10BC03C7"/>
    <w:rsid w:val="10C24687"/>
    <w:rsid w:val="10FE7849"/>
    <w:rsid w:val="11FD0B9C"/>
    <w:rsid w:val="12541464"/>
    <w:rsid w:val="128F1748"/>
    <w:rsid w:val="130F4A87"/>
    <w:rsid w:val="13306EC2"/>
    <w:rsid w:val="14237C67"/>
    <w:rsid w:val="14687E1D"/>
    <w:rsid w:val="14CB202B"/>
    <w:rsid w:val="14DD044C"/>
    <w:rsid w:val="15A13C38"/>
    <w:rsid w:val="15C42012"/>
    <w:rsid w:val="16B60189"/>
    <w:rsid w:val="17582E48"/>
    <w:rsid w:val="17B857BC"/>
    <w:rsid w:val="17BF7077"/>
    <w:rsid w:val="1811183D"/>
    <w:rsid w:val="182745FA"/>
    <w:rsid w:val="19814B1F"/>
    <w:rsid w:val="19FE509D"/>
    <w:rsid w:val="1A2569C7"/>
    <w:rsid w:val="1A440EA4"/>
    <w:rsid w:val="1A5E42D0"/>
    <w:rsid w:val="1AD733B8"/>
    <w:rsid w:val="1B0940FF"/>
    <w:rsid w:val="1B0A6763"/>
    <w:rsid w:val="1B2C1F1C"/>
    <w:rsid w:val="1B956E0A"/>
    <w:rsid w:val="1BDF2702"/>
    <w:rsid w:val="1CDD0E6C"/>
    <w:rsid w:val="1D6F2828"/>
    <w:rsid w:val="1D9E327C"/>
    <w:rsid w:val="1DAF6046"/>
    <w:rsid w:val="1DE336BF"/>
    <w:rsid w:val="1DE47C02"/>
    <w:rsid w:val="1E627640"/>
    <w:rsid w:val="1EA43346"/>
    <w:rsid w:val="1F0E6B82"/>
    <w:rsid w:val="1F667210"/>
    <w:rsid w:val="1FAC1F03"/>
    <w:rsid w:val="20271AE1"/>
    <w:rsid w:val="20627B58"/>
    <w:rsid w:val="207A1985"/>
    <w:rsid w:val="20B523B5"/>
    <w:rsid w:val="211749D8"/>
    <w:rsid w:val="22A0638A"/>
    <w:rsid w:val="22C62CF4"/>
    <w:rsid w:val="22CF3D2A"/>
    <w:rsid w:val="23A06120"/>
    <w:rsid w:val="246F229F"/>
    <w:rsid w:val="24A15F64"/>
    <w:rsid w:val="2585551C"/>
    <w:rsid w:val="260625F3"/>
    <w:rsid w:val="26127169"/>
    <w:rsid w:val="26AE4CD1"/>
    <w:rsid w:val="271A0E36"/>
    <w:rsid w:val="27923612"/>
    <w:rsid w:val="280B7C22"/>
    <w:rsid w:val="286E02B3"/>
    <w:rsid w:val="28AC24C6"/>
    <w:rsid w:val="28AE124C"/>
    <w:rsid w:val="28CD7B64"/>
    <w:rsid w:val="28DA73F5"/>
    <w:rsid w:val="29522F35"/>
    <w:rsid w:val="29AE6B2F"/>
    <w:rsid w:val="29C57E70"/>
    <w:rsid w:val="2A9E4307"/>
    <w:rsid w:val="2B156096"/>
    <w:rsid w:val="2B3E188E"/>
    <w:rsid w:val="2B415D6C"/>
    <w:rsid w:val="2C842D93"/>
    <w:rsid w:val="2C8F25C5"/>
    <w:rsid w:val="2CFC2BFE"/>
    <w:rsid w:val="2D6830FE"/>
    <w:rsid w:val="2E6A6D6A"/>
    <w:rsid w:val="2EFA6DCF"/>
    <w:rsid w:val="2F434DCF"/>
    <w:rsid w:val="2F533A00"/>
    <w:rsid w:val="2F8D32E4"/>
    <w:rsid w:val="2F912804"/>
    <w:rsid w:val="2FB829D9"/>
    <w:rsid w:val="2FE547A2"/>
    <w:rsid w:val="314D028A"/>
    <w:rsid w:val="32420F62"/>
    <w:rsid w:val="32652028"/>
    <w:rsid w:val="33056013"/>
    <w:rsid w:val="345B0644"/>
    <w:rsid w:val="34CD68D3"/>
    <w:rsid w:val="34E17668"/>
    <w:rsid w:val="34F2196C"/>
    <w:rsid w:val="352A0A0D"/>
    <w:rsid w:val="355530AA"/>
    <w:rsid w:val="35882F60"/>
    <w:rsid w:val="363E3878"/>
    <w:rsid w:val="364631D7"/>
    <w:rsid w:val="368928C2"/>
    <w:rsid w:val="370E5770"/>
    <w:rsid w:val="37707522"/>
    <w:rsid w:val="37850378"/>
    <w:rsid w:val="37E6353D"/>
    <w:rsid w:val="382D30DF"/>
    <w:rsid w:val="38A25892"/>
    <w:rsid w:val="38F00B77"/>
    <w:rsid w:val="397A4E8A"/>
    <w:rsid w:val="39BC436E"/>
    <w:rsid w:val="39DB1DF9"/>
    <w:rsid w:val="39F44700"/>
    <w:rsid w:val="3A775CE5"/>
    <w:rsid w:val="3B1F29B6"/>
    <w:rsid w:val="3B9C1971"/>
    <w:rsid w:val="3BD21BCF"/>
    <w:rsid w:val="3C050185"/>
    <w:rsid w:val="3C0A2B36"/>
    <w:rsid w:val="3C1771A5"/>
    <w:rsid w:val="3C9B7C8C"/>
    <w:rsid w:val="3CB53C90"/>
    <w:rsid w:val="3E444F53"/>
    <w:rsid w:val="3EFA21A2"/>
    <w:rsid w:val="3F5B255F"/>
    <w:rsid w:val="3FEC41EC"/>
    <w:rsid w:val="408D7A18"/>
    <w:rsid w:val="40DC5A18"/>
    <w:rsid w:val="417B0E8C"/>
    <w:rsid w:val="419E0F2B"/>
    <w:rsid w:val="41B36482"/>
    <w:rsid w:val="41C276F1"/>
    <w:rsid w:val="42E40008"/>
    <w:rsid w:val="437917F6"/>
    <w:rsid w:val="4389125B"/>
    <w:rsid w:val="43AD41E0"/>
    <w:rsid w:val="43B50E83"/>
    <w:rsid w:val="44310EC3"/>
    <w:rsid w:val="447A65E5"/>
    <w:rsid w:val="44F97BD6"/>
    <w:rsid w:val="45190EB0"/>
    <w:rsid w:val="452D4AE2"/>
    <w:rsid w:val="453C1F26"/>
    <w:rsid w:val="45C00B37"/>
    <w:rsid w:val="461D00A8"/>
    <w:rsid w:val="463918EF"/>
    <w:rsid w:val="47306580"/>
    <w:rsid w:val="47D81434"/>
    <w:rsid w:val="4922188C"/>
    <w:rsid w:val="49684651"/>
    <w:rsid w:val="49A11F60"/>
    <w:rsid w:val="49AA5FD4"/>
    <w:rsid w:val="4A6873F9"/>
    <w:rsid w:val="4BA27E76"/>
    <w:rsid w:val="4BC8467F"/>
    <w:rsid w:val="4BFC604B"/>
    <w:rsid w:val="4CFE53E3"/>
    <w:rsid w:val="4D16138E"/>
    <w:rsid w:val="4DA67BFE"/>
    <w:rsid w:val="4E2E1272"/>
    <w:rsid w:val="4E4311B7"/>
    <w:rsid w:val="4F0A4599"/>
    <w:rsid w:val="4F3A3B8D"/>
    <w:rsid w:val="4F95350E"/>
    <w:rsid w:val="4F9662AF"/>
    <w:rsid w:val="4FE63648"/>
    <w:rsid w:val="5018666B"/>
    <w:rsid w:val="5161236A"/>
    <w:rsid w:val="519C169E"/>
    <w:rsid w:val="52EA1CFD"/>
    <w:rsid w:val="53010E82"/>
    <w:rsid w:val="53F27A0C"/>
    <w:rsid w:val="54031CF0"/>
    <w:rsid w:val="54806E61"/>
    <w:rsid w:val="54977258"/>
    <w:rsid w:val="54D3527F"/>
    <w:rsid w:val="54F06565"/>
    <w:rsid w:val="563D18F8"/>
    <w:rsid w:val="56632611"/>
    <w:rsid w:val="56637494"/>
    <w:rsid w:val="56B26950"/>
    <w:rsid w:val="56B37004"/>
    <w:rsid w:val="570F757A"/>
    <w:rsid w:val="579E50CE"/>
    <w:rsid w:val="58867007"/>
    <w:rsid w:val="59017256"/>
    <w:rsid w:val="59522196"/>
    <w:rsid w:val="59633BAD"/>
    <w:rsid w:val="597C40B4"/>
    <w:rsid w:val="59846195"/>
    <w:rsid w:val="59FB128F"/>
    <w:rsid w:val="5A244C37"/>
    <w:rsid w:val="5A31681B"/>
    <w:rsid w:val="5A323012"/>
    <w:rsid w:val="5ADB0E96"/>
    <w:rsid w:val="5AE90FB3"/>
    <w:rsid w:val="5B9532E5"/>
    <w:rsid w:val="5BE12FA3"/>
    <w:rsid w:val="5C4D6613"/>
    <w:rsid w:val="5C573D5D"/>
    <w:rsid w:val="5CDA473C"/>
    <w:rsid w:val="5D7F72F1"/>
    <w:rsid w:val="5D8866EC"/>
    <w:rsid w:val="5EBF421E"/>
    <w:rsid w:val="5F4C65B2"/>
    <w:rsid w:val="5F6B72E5"/>
    <w:rsid w:val="5FF63581"/>
    <w:rsid w:val="60193068"/>
    <w:rsid w:val="60692272"/>
    <w:rsid w:val="62181CDD"/>
    <w:rsid w:val="62636276"/>
    <w:rsid w:val="62B13874"/>
    <w:rsid w:val="62C34F0C"/>
    <w:rsid w:val="62D4107D"/>
    <w:rsid w:val="63672753"/>
    <w:rsid w:val="640270DF"/>
    <w:rsid w:val="64461314"/>
    <w:rsid w:val="65E62E7A"/>
    <w:rsid w:val="66944F2C"/>
    <w:rsid w:val="66EC7F6C"/>
    <w:rsid w:val="675E72EA"/>
    <w:rsid w:val="67BB5990"/>
    <w:rsid w:val="67E46BB2"/>
    <w:rsid w:val="69F452BC"/>
    <w:rsid w:val="6A6D259B"/>
    <w:rsid w:val="6AAD178D"/>
    <w:rsid w:val="6AB3020B"/>
    <w:rsid w:val="6AB73874"/>
    <w:rsid w:val="6B54494A"/>
    <w:rsid w:val="6CC649E7"/>
    <w:rsid w:val="6D6043C7"/>
    <w:rsid w:val="6DA03611"/>
    <w:rsid w:val="6DDA5CDD"/>
    <w:rsid w:val="6F5F71DE"/>
    <w:rsid w:val="6F6F483B"/>
    <w:rsid w:val="6FC4095F"/>
    <w:rsid w:val="70630D09"/>
    <w:rsid w:val="70B51F27"/>
    <w:rsid w:val="70C82BD8"/>
    <w:rsid w:val="713C2AC7"/>
    <w:rsid w:val="715C648F"/>
    <w:rsid w:val="71737D57"/>
    <w:rsid w:val="71E07541"/>
    <w:rsid w:val="724C75E6"/>
    <w:rsid w:val="73427930"/>
    <w:rsid w:val="73A66718"/>
    <w:rsid w:val="73D50338"/>
    <w:rsid w:val="745646B7"/>
    <w:rsid w:val="74634755"/>
    <w:rsid w:val="746A7B67"/>
    <w:rsid w:val="751D3132"/>
    <w:rsid w:val="75414E2E"/>
    <w:rsid w:val="75CC6367"/>
    <w:rsid w:val="765B6A0C"/>
    <w:rsid w:val="7690601D"/>
    <w:rsid w:val="76B92B53"/>
    <w:rsid w:val="77021291"/>
    <w:rsid w:val="77130569"/>
    <w:rsid w:val="77281627"/>
    <w:rsid w:val="77E00280"/>
    <w:rsid w:val="78070277"/>
    <w:rsid w:val="78474E2E"/>
    <w:rsid w:val="790A58BE"/>
    <w:rsid w:val="790D22C6"/>
    <w:rsid w:val="79CD5792"/>
    <w:rsid w:val="7ABE3E64"/>
    <w:rsid w:val="7ADA3322"/>
    <w:rsid w:val="7B5F352B"/>
    <w:rsid w:val="7BCC2375"/>
    <w:rsid w:val="7D2A70EF"/>
    <w:rsid w:val="7D3C14FA"/>
    <w:rsid w:val="7D630A43"/>
    <w:rsid w:val="7D6457E7"/>
    <w:rsid w:val="7EE06A06"/>
    <w:rsid w:val="7F625F8B"/>
    <w:rsid w:val="7FB44CA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黑体"/>
      <w:kern w:val="2"/>
      <w:sz w:val="21"/>
      <w:szCs w:val="22"/>
      <w:lang w:val="en-US" w:eastAsia="zh-CN" w:bidi="ar-SA"/>
    </w:rPr>
  </w:style>
  <w:style w:type="paragraph" w:styleId="4">
    <w:name w:val="heading 1"/>
    <w:basedOn w:val="1"/>
    <w:next w:val="1"/>
    <w:link w:val="175"/>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82"/>
    <w:autoRedefine/>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69"/>
    <w:autoRedefine/>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84"/>
    <w:autoRedefine/>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58"/>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67"/>
    <w:autoRedefine/>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87"/>
    <w:autoRedefine/>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88"/>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89"/>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unhideWhenUsed/>
    <w:qFormat/>
    <w:uiPriority w:val="1"/>
  </w:style>
  <w:style w:type="table" w:default="1" w:styleId="36">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3"/>
    <w:link w:val="146"/>
    <w:autoRedefine/>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Indent"/>
    <w:basedOn w:val="1"/>
    <w:next w:val="1"/>
    <w:link w:val="121"/>
    <w:autoRedefine/>
    <w:qFormat/>
    <w:uiPriority w:val="0"/>
    <w:pPr>
      <w:ind w:left="567" w:leftChars="270"/>
    </w:pPr>
    <w:rPr>
      <w:rFonts w:ascii="Times New Roman" w:hAnsi="Times New Roman" w:eastAsia="宋体" w:cs="Times New Roman"/>
      <w:szCs w:val="20"/>
    </w:rPr>
  </w:style>
  <w:style w:type="paragraph" w:customStyle="1" w:styleId="10">
    <w:name w:val="模板正文"/>
    <w:basedOn w:val="1"/>
    <w:link w:val="12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113"/>
    <w:autoRedefine/>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4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86"/>
    <w:autoRedefine/>
    <w:unhideWhenUsed/>
    <w:qFormat/>
    <w:uiPriority w:val="99"/>
    <w:pPr>
      <w:jc w:val="left"/>
    </w:pPr>
  </w:style>
  <w:style w:type="paragraph" w:styleId="19">
    <w:name w:val="Body Text 3"/>
    <w:basedOn w:val="1"/>
    <w:link w:val="181"/>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129"/>
    <w:autoRedefine/>
    <w:qFormat/>
    <w:uiPriority w:val="0"/>
    <w:rPr>
      <w:rFonts w:ascii="宋体" w:hAnsi="Courier New" w:eastAsia="宋体"/>
    </w:rPr>
  </w:style>
  <w:style w:type="paragraph" w:styleId="22">
    <w:name w:val="Date"/>
    <w:basedOn w:val="1"/>
    <w:next w:val="1"/>
    <w:link w:val="13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30"/>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105"/>
    <w:autoRedefine/>
    <w:qFormat/>
    <w:uiPriority w:val="0"/>
    <w:rPr>
      <w:rFonts w:ascii="Times New Roman" w:hAnsi="Times New Roman" w:eastAsia="宋体" w:cs="Times New Roman"/>
      <w:sz w:val="18"/>
      <w:szCs w:val="18"/>
    </w:rPr>
  </w:style>
  <w:style w:type="paragraph" w:styleId="25">
    <w:name w:val="footer"/>
    <w:basedOn w:val="1"/>
    <w:link w:val="109"/>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4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79"/>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68"/>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116"/>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122"/>
    <w:autoRedefine/>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92"/>
    <w:autoRedefine/>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8"/>
    <w:next w:val="18"/>
    <w:link w:val="138"/>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2"/>
    <w:link w:val="201"/>
    <w:autoRedefine/>
    <w:unhideWhenUsed/>
    <w:qFormat/>
    <w:uiPriority w:val="99"/>
    <w:pPr>
      <w:adjustRightInd/>
      <w:spacing w:after="120"/>
      <w:ind w:right="0" w:firstLine="420" w:firstLineChars="100"/>
      <w:jc w:val="both"/>
    </w:pPr>
    <w:rPr>
      <w:rFonts w:ascii="等线" w:eastAsia="等线"/>
      <w:b w:val="0"/>
      <w:bCs w:val="0"/>
      <w:sz w:val="21"/>
      <w:szCs w:val="22"/>
      <w:lang w:val="en-US"/>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basedOn w:val="38"/>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文档正文"/>
    <w:basedOn w:val="1"/>
    <w:autoRedefine/>
    <w:qFormat/>
    <w:uiPriority w:val="0"/>
    <w:pPr>
      <w:spacing w:line="360" w:lineRule="auto"/>
    </w:pPr>
    <w:rPr>
      <w:rFonts w:ascii="宋体" w:cs="Arial"/>
      <w:bCs/>
    </w:rPr>
  </w:style>
  <w:style w:type="paragraph" w:customStyle="1" w:styleId="45">
    <w:name w:val="首行缩进"/>
    <w:basedOn w:val="1"/>
    <w:autoRedefine/>
    <w:qFormat/>
    <w:uiPriority w:val="0"/>
    <w:pPr>
      <w:ind w:firstLine="480" w:firstLineChars="200"/>
    </w:pPr>
    <w:rPr>
      <w:lang w:val="zh-CN"/>
    </w:rPr>
  </w:style>
  <w:style w:type="paragraph" w:customStyle="1" w:styleId="46">
    <w:name w:val="正文缩进2格"/>
    <w:basedOn w:val="1"/>
    <w:link w:val="96"/>
    <w:autoRedefine/>
    <w:qFormat/>
    <w:uiPriority w:val="0"/>
    <w:pPr>
      <w:spacing w:line="600" w:lineRule="exact"/>
      <w:ind w:firstLine="639" w:firstLineChars="206"/>
    </w:pPr>
    <w:rPr>
      <w:rFonts w:ascii="仿宋_GB2312" w:hAnsi="宋体" w:eastAsia="仿宋_GB2312"/>
      <w:sz w:val="31"/>
      <w:szCs w:val="28"/>
    </w:rPr>
  </w:style>
  <w:style w:type="paragraph" w:customStyle="1" w:styleId="47">
    <w:name w:val="列出段落1"/>
    <w:basedOn w:val="1"/>
    <w:link w:val="100"/>
    <w:autoRedefine/>
    <w:qFormat/>
    <w:uiPriority w:val="34"/>
    <w:pPr>
      <w:ind w:firstLine="420" w:firstLineChars="200"/>
    </w:pPr>
    <w:rPr>
      <w:rFonts w:ascii="Calibri" w:hAnsi="Calibri"/>
    </w:rPr>
  </w:style>
  <w:style w:type="paragraph" w:customStyle="1" w:styleId="48">
    <w:name w:val="标书正文"/>
    <w:basedOn w:val="1"/>
    <w:link w:val="101"/>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paragraph" w:customStyle="1" w:styleId="49">
    <w:name w:val="吉奥正文"/>
    <w:basedOn w:val="1"/>
    <w:link w:val="110"/>
    <w:autoRedefine/>
    <w:qFormat/>
    <w:uiPriority w:val="0"/>
    <w:pPr>
      <w:adjustRightInd w:val="0"/>
      <w:snapToGrid w:val="0"/>
      <w:spacing w:before="120" w:line="360" w:lineRule="auto"/>
      <w:ind w:firstLine="200" w:firstLineChars="200"/>
      <w:textAlignment w:val="baseline"/>
    </w:pPr>
    <w:rPr>
      <w:rFonts w:eastAsia="仿宋_GB2312"/>
      <w:sz w:val="28"/>
    </w:rPr>
  </w:style>
  <w:style w:type="paragraph" w:customStyle="1" w:styleId="50">
    <w:name w:val="标题 3.1"/>
    <w:basedOn w:val="6"/>
    <w:link w:val="117"/>
    <w:autoRedefine/>
    <w:qFormat/>
    <w:uiPriority w:val="0"/>
    <w:pPr>
      <w:keepNext/>
      <w:keepLines/>
      <w:pageBreakBefore/>
      <w:tabs>
        <w:tab w:val="left" w:pos="1440"/>
        <w:tab w:val="left" w:pos="1620"/>
      </w:tabs>
      <w:adjustRightInd/>
      <w:spacing w:before="260" w:after="260" w:line="600" w:lineRule="exact"/>
      <w:jc w:val="both"/>
    </w:pPr>
    <w:rPr>
      <w:rFonts w:hAnsi="宋体" w:eastAsia="等线" w:cs="黑体"/>
      <w:b/>
      <w:bCs/>
      <w:kern w:val="2"/>
      <w:sz w:val="32"/>
      <w:szCs w:val="32"/>
    </w:rPr>
  </w:style>
  <w:style w:type="paragraph" w:customStyle="1" w:styleId="51">
    <w:name w:val="表头文字"/>
    <w:basedOn w:val="1"/>
    <w:link w:val="135"/>
    <w:autoRedefine/>
    <w:qFormat/>
    <w:uiPriority w:val="0"/>
    <w:pPr>
      <w:adjustRightInd w:val="0"/>
      <w:snapToGrid w:val="0"/>
      <w:spacing w:before="120" w:line="360" w:lineRule="auto"/>
      <w:jc w:val="center"/>
      <w:textAlignment w:val="baseline"/>
    </w:pPr>
    <w:rPr>
      <w:rFonts w:eastAsia="仿宋_GB2312"/>
      <w:b/>
      <w:sz w:val="28"/>
      <w:szCs w:val="21"/>
    </w:rPr>
  </w:style>
  <w:style w:type="paragraph" w:customStyle="1" w:styleId="52">
    <w:name w:val="表格文字"/>
    <w:basedOn w:val="1"/>
    <w:link w:val="149"/>
    <w:autoRedefine/>
    <w:qFormat/>
    <w:uiPriority w:val="0"/>
    <w:rPr>
      <w:rFonts w:eastAsia="仿宋_GB2312"/>
      <w:sz w:val="28"/>
      <w:szCs w:val="24"/>
    </w:rPr>
  </w:style>
  <w:style w:type="paragraph" w:customStyle="1" w:styleId="53">
    <w:name w:val="List Paragraph"/>
    <w:basedOn w:val="1"/>
    <w:link w:val="155"/>
    <w:autoRedefine/>
    <w:qFormat/>
    <w:uiPriority w:val="34"/>
    <w:pPr>
      <w:ind w:firstLine="420" w:firstLineChars="200"/>
    </w:pPr>
  </w:style>
  <w:style w:type="paragraph" w:customStyle="1" w:styleId="54">
    <w:name w:val="彩色列表 - 着色 11"/>
    <w:basedOn w:val="1"/>
    <w:link w:val="165"/>
    <w:autoRedefine/>
    <w:qFormat/>
    <w:uiPriority w:val="0"/>
    <w:pPr>
      <w:ind w:firstLine="420" w:firstLineChars="200"/>
    </w:pPr>
    <w:rPr>
      <w:rFonts w:ascii="Calibri" w:hAnsi="Calibri"/>
    </w:rPr>
  </w:style>
  <w:style w:type="paragraph" w:customStyle="1" w:styleId="55">
    <w:name w:val="彩色列表 - 强调文字颜色 11"/>
    <w:basedOn w:val="1"/>
    <w:link w:val="183"/>
    <w:autoRedefine/>
    <w:qFormat/>
    <w:uiPriority w:val="0"/>
    <w:pPr>
      <w:autoSpaceDE w:val="0"/>
      <w:autoSpaceDN w:val="0"/>
      <w:adjustRightInd w:val="0"/>
      <w:ind w:firstLine="420" w:firstLineChars="200"/>
      <w:jc w:val="left"/>
    </w:pPr>
    <w:rPr>
      <w:rFonts w:ascii="宋体"/>
      <w:sz w:val="24"/>
      <w:szCs w:val="24"/>
    </w:rPr>
  </w:style>
  <w:style w:type="paragraph" w:customStyle="1" w:styleId="56">
    <w:name w:val="_Style 123"/>
    <w:basedOn w:val="1"/>
    <w:next w:val="53"/>
    <w:autoRedefine/>
    <w:qFormat/>
    <w:uiPriority w:val="34"/>
    <w:pPr>
      <w:spacing w:line="360" w:lineRule="auto"/>
      <w:ind w:firstLine="420" w:firstLineChars="200"/>
    </w:pPr>
    <w:rPr>
      <w:rFonts w:ascii="Calibri" w:hAnsi="Calibri" w:eastAsia="宋体" w:cs="Times New Roman"/>
    </w:rPr>
  </w:style>
  <w:style w:type="paragraph" w:customStyle="1" w:styleId="57">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58">
    <w:name w:val="列表段落1"/>
    <w:basedOn w:val="1"/>
    <w:autoRedefine/>
    <w:qFormat/>
    <w:uiPriority w:val="0"/>
    <w:pPr>
      <w:ind w:firstLine="420" w:firstLineChars="200"/>
    </w:pPr>
    <w:rPr>
      <w:rFonts w:ascii="Times New Roman" w:hAnsi="Times New Roman" w:eastAsia="宋体" w:cs="Times New Roman"/>
      <w:szCs w:val="20"/>
    </w:rPr>
  </w:style>
  <w:style w:type="paragraph" w:customStyle="1" w:styleId="59">
    <w:name w:val="彩色底纹 - 强调文字颜色 11"/>
    <w:autoRedefine/>
    <w:semiHidden/>
    <w:qFormat/>
    <w:uiPriority w:val="99"/>
    <w:rPr>
      <w:rFonts w:ascii="宋体" w:hAnsi="Calibri" w:eastAsia="宋体" w:cs="Times New Roman"/>
      <w:sz w:val="24"/>
      <w:szCs w:val="24"/>
      <w:lang w:val="en-US" w:eastAsia="zh-CN" w:bidi="ar-SA"/>
    </w:rPr>
  </w:style>
  <w:style w:type="paragraph" w:customStyle="1" w:styleId="60">
    <w:name w:val="d"/>
    <w:basedOn w:val="1"/>
    <w:autoRedefine/>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61">
    <w:name w:val="修订1"/>
    <w:autoRedefine/>
    <w:semiHidden/>
    <w:qFormat/>
    <w:uiPriority w:val="99"/>
    <w:rPr>
      <w:rFonts w:ascii="宋体" w:hAnsi="Calibri" w:eastAsia="宋体" w:cs="Times New Roman"/>
      <w:sz w:val="24"/>
      <w:szCs w:val="24"/>
      <w:lang w:val="en-US" w:eastAsia="zh-CN" w:bidi="ar-SA"/>
    </w:rPr>
  </w:style>
  <w:style w:type="paragraph" w:customStyle="1" w:styleId="62">
    <w:name w:val="图/图注"/>
    <w:basedOn w:val="10"/>
    <w:autoRedefine/>
    <w:qFormat/>
    <w:uiPriority w:val="0"/>
    <w:pPr>
      <w:wordWrap/>
      <w:adjustRightInd/>
      <w:spacing w:before="50"/>
      <w:ind w:firstLine="0" w:firstLineChars="0"/>
      <w:jc w:val="center"/>
    </w:pPr>
    <w:rPr>
      <w:rFonts w:ascii="Times New Roman" w:eastAsia="黑体"/>
      <w:b/>
      <w:sz w:val="21"/>
      <w:szCs w:val="22"/>
    </w:rPr>
  </w:style>
  <w:style w:type="paragraph" w:customStyle="1" w:styleId="6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6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65">
    <w:name w:val="Pa8"/>
    <w:basedOn w:val="1"/>
    <w:next w:val="1"/>
    <w:autoRedefine/>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66">
    <w:name w:val="p0"/>
    <w:basedOn w:val="1"/>
    <w:autoRedefine/>
    <w:qFormat/>
    <w:uiPriority w:val="0"/>
    <w:pPr>
      <w:widowControl/>
    </w:pPr>
    <w:rPr>
      <w:rFonts w:ascii="Times New Roman" w:hAnsi="Calibri" w:eastAsia="宋体" w:cs="Times New Roman"/>
      <w:kern w:val="0"/>
      <w:szCs w:val="20"/>
    </w:rPr>
  </w:style>
  <w:style w:type="paragraph" w:customStyle="1" w:styleId="67">
    <w:name w:val="Char Char 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6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69">
    <w:name w:val="网格表 32"/>
    <w:basedOn w:val="4"/>
    <w:next w:val="1"/>
    <w:autoRedefine/>
    <w:qFormat/>
    <w:uiPriority w:val="39"/>
    <w:pPr>
      <w:keepNext/>
      <w:keepLines/>
      <w:widowControl/>
      <w:adjustRightInd/>
      <w:spacing w:before="480" w:line="276" w:lineRule="auto"/>
      <w:outlineLvl w:val="9"/>
    </w:pPr>
    <w:rPr>
      <w:rFonts w:ascii="Cambria" w:hAnsi="Cambria"/>
      <w:b/>
      <w:bCs/>
      <w:color w:val="365F91"/>
      <w:sz w:val="28"/>
      <w:szCs w:val="28"/>
    </w:rPr>
  </w:style>
  <w:style w:type="paragraph" w:customStyle="1" w:styleId="70">
    <w:name w:val="WPSOffice手动目录 1"/>
    <w:autoRedefine/>
    <w:qFormat/>
    <w:uiPriority w:val="0"/>
    <w:rPr>
      <w:rFonts w:ascii="Calibri" w:hAnsi="Calibri" w:eastAsia="宋体" w:cs="Times New Roman"/>
      <w:lang w:val="en-US" w:eastAsia="zh-CN" w:bidi="ar-SA"/>
    </w:rPr>
  </w:style>
  <w:style w:type="paragraph" w:customStyle="1" w:styleId="71">
    <w:name w:val="_Style 69"/>
    <w:basedOn w:val="1"/>
    <w:next w:val="53"/>
    <w:autoRedefine/>
    <w:qFormat/>
    <w:uiPriority w:val="34"/>
    <w:pPr>
      <w:spacing w:line="360" w:lineRule="auto"/>
      <w:ind w:firstLine="420" w:firstLineChars="200"/>
    </w:pPr>
    <w:rPr>
      <w:rFonts w:ascii="Calibri" w:hAnsi="Calibri" w:eastAsia="宋体" w:cs="Times New Roman"/>
    </w:rPr>
  </w:style>
  <w:style w:type="paragraph" w:customStyle="1" w:styleId="72">
    <w:name w:val="中等深浅网格 21"/>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73">
    <w:name w:val="保留正文"/>
    <w:basedOn w:val="2"/>
    <w:autoRedefine/>
    <w:qFormat/>
    <w:uiPriority w:val="0"/>
    <w:pPr>
      <w:keepNext/>
      <w:adjustRightInd/>
      <w:spacing w:after="160"/>
      <w:ind w:right="0"/>
      <w:jc w:val="both"/>
    </w:pPr>
    <w:rPr>
      <w:rFonts w:ascii="Times New Roman"/>
      <w:b w:val="0"/>
      <w:bCs w:val="0"/>
      <w:sz w:val="21"/>
      <w:szCs w:val="24"/>
      <w:lang w:val="en-US"/>
    </w:rPr>
  </w:style>
  <w:style w:type="paragraph" w:customStyle="1" w:styleId="74">
    <w:name w:val="彩色底纹 - 着色 11"/>
    <w:autoRedefine/>
    <w:semiHidden/>
    <w:qFormat/>
    <w:uiPriority w:val="99"/>
    <w:rPr>
      <w:rFonts w:ascii="宋体" w:hAnsi="Calibri" w:eastAsia="宋体" w:cs="Times New Roman"/>
      <w:sz w:val="24"/>
      <w:szCs w:val="24"/>
      <w:lang w:val="en-US" w:eastAsia="zh-CN" w:bidi="ar-SA"/>
    </w:rPr>
  </w:style>
  <w:style w:type="paragraph" w:customStyle="1" w:styleId="75">
    <w:name w:val="WPSOffice手动目录 2"/>
    <w:autoRedefine/>
    <w:qFormat/>
    <w:uiPriority w:val="0"/>
    <w:pPr>
      <w:ind w:left="200" w:leftChars="200"/>
    </w:pPr>
    <w:rPr>
      <w:rFonts w:ascii="Calibri" w:hAnsi="Calibri" w:eastAsia="宋体" w:cs="Times New Roman"/>
      <w:lang w:val="en-US" w:eastAsia="zh-CN" w:bidi="ar-SA"/>
    </w:rPr>
  </w:style>
  <w:style w:type="paragraph" w:customStyle="1" w:styleId="76">
    <w:name w:val="网格表 31"/>
    <w:basedOn w:val="4"/>
    <w:next w:val="1"/>
    <w:autoRedefine/>
    <w:unhideWhenUsed/>
    <w:qFormat/>
    <w:uiPriority w:val="39"/>
    <w:pPr>
      <w:keepNext/>
      <w:keepLines/>
      <w:widowControl/>
      <w:adjustRightInd/>
      <w:spacing w:before="480" w:line="276" w:lineRule="auto"/>
      <w:outlineLvl w:val="9"/>
    </w:pPr>
    <w:rPr>
      <w:rFonts w:ascii="Cambria" w:hAnsi="Cambria"/>
      <w:b/>
      <w:bCs/>
      <w:color w:val="365F91"/>
      <w:sz w:val="28"/>
      <w:szCs w:val="28"/>
    </w:rPr>
  </w:style>
  <w:style w:type="paragraph" w:customStyle="1" w:styleId="77">
    <w:name w:val="表格文字居中"/>
    <w:basedOn w:val="52"/>
    <w:autoRedefine/>
    <w:qFormat/>
    <w:uiPriority w:val="0"/>
    <w:pPr>
      <w:jc w:val="center"/>
    </w:pPr>
    <w:rPr>
      <w:rFonts w:cs="宋体"/>
      <w:szCs w:val="20"/>
    </w:rPr>
  </w:style>
  <w:style w:type="paragraph" w:customStyle="1" w:styleId="78">
    <w:name w:val="正文缩进4格"/>
    <w:basedOn w:val="46"/>
    <w:autoRedefine/>
    <w:qFormat/>
    <w:uiPriority w:val="0"/>
    <w:pPr>
      <w:spacing w:line="360" w:lineRule="auto"/>
      <w:ind w:left="964" w:leftChars="314" w:hanging="210" w:hangingChars="100"/>
    </w:pPr>
    <w:rPr>
      <w:rFonts w:ascii="宋体" w:eastAsia="宋体"/>
      <w:sz w:val="21"/>
      <w:szCs w:val="21"/>
      <w:lang w:val="zh-CN"/>
    </w:rPr>
  </w:style>
  <w:style w:type="paragraph" w:customStyle="1" w:styleId="79">
    <w:name w:val="版本说明标题"/>
    <w:basedOn w:val="1"/>
    <w:autoRedefine/>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paragraph" w:customStyle="1" w:styleId="80">
    <w:name w:val="修订2"/>
    <w:autoRedefine/>
    <w:hidden/>
    <w:semiHidden/>
    <w:qFormat/>
    <w:uiPriority w:val="99"/>
    <w:rPr>
      <w:rFonts w:ascii="等线" w:hAnsi="等线" w:eastAsia="等线" w:cs="黑体"/>
      <w:kern w:val="2"/>
      <w:sz w:val="21"/>
      <w:szCs w:val="22"/>
      <w:lang w:val="en-US" w:eastAsia="zh-CN" w:bidi="ar-SA"/>
    </w:rPr>
  </w:style>
  <w:style w:type="character" w:customStyle="1" w:styleId="81">
    <w:name w:val="标题 1 字符"/>
    <w:basedOn w:val="38"/>
    <w:autoRedefine/>
    <w:qFormat/>
    <w:uiPriority w:val="0"/>
    <w:rPr>
      <w:b/>
      <w:bCs/>
      <w:kern w:val="44"/>
      <w:sz w:val="44"/>
      <w:szCs w:val="44"/>
    </w:rPr>
  </w:style>
  <w:style w:type="character" w:customStyle="1" w:styleId="82">
    <w:name w:val="标题 2 Char"/>
    <w:basedOn w:val="38"/>
    <w:link w:val="5"/>
    <w:autoRedefine/>
    <w:qFormat/>
    <w:uiPriority w:val="0"/>
    <w:rPr>
      <w:rFonts w:ascii="宋体" w:hAnsi="Calibri" w:eastAsia="宋体" w:cs="Times New Roman"/>
      <w:kern w:val="0"/>
      <w:sz w:val="24"/>
      <w:szCs w:val="24"/>
    </w:rPr>
  </w:style>
  <w:style w:type="character" w:customStyle="1" w:styleId="83">
    <w:name w:val="标题 3 字符"/>
    <w:basedOn w:val="38"/>
    <w:autoRedefine/>
    <w:qFormat/>
    <w:uiPriority w:val="0"/>
    <w:rPr>
      <w:b/>
      <w:bCs/>
      <w:sz w:val="32"/>
      <w:szCs w:val="32"/>
    </w:rPr>
  </w:style>
  <w:style w:type="character" w:customStyle="1" w:styleId="84">
    <w:name w:val="标题 4 Char1"/>
    <w:basedOn w:val="38"/>
    <w:link w:val="7"/>
    <w:autoRedefine/>
    <w:qFormat/>
    <w:uiPriority w:val="9"/>
    <w:rPr>
      <w:rFonts w:ascii="Arial" w:hAnsi="Arial" w:eastAsia="黑体" w:cs="Times New Roman"/>
      <w:b/>
      <w:bCs/>
      <w:kern w:val="0"/>
      <w:sz w:val="28"/>
      <w:szCs w:val="28"/>
    </w:rPr>
  </w:style>
  <w:style w:type="character" w:customStyle="1" w:styleId="85">
    <w:name w:val="标题 5 字符"/>
    <w:basedOn w:val="38"/>
    <w:autoRedefine/>
    <w:qFormat/>
    <w:uiPriority w:val="9"/>
    <w:rPr>
      <w:b/>
      <w:bCs/>
      <w:sz w:val="28"/>
      <w:szCs w:val="28"/>
    </w:rPr>
  </w:style>
  <w:style w:type="character" w:customStyle="1" w:styleId="86">
    <w:name w:val="标题 6 字符"/>
    <w:basedOn w:val="38"/>
    <w:autoRedefine/>
    <w:qFormat/>
    <w:uiPriority w:val="0"/>
    <w:rPr>
      <w:rFonts w:ascii="等线 Light" w:hAnsi="等线 Light" w:eastAsia="等线 Light" w:cs="黑体"/>
      <w:b/>
      <w:bCs/>
      <w:sz w:val="24"/>
      <w:szCs w:val="24"/>
    </w:rPr>
  </w:style>
  <w:style w:type="character" w:customStyle="1" w:styleId="87">
    <w:name w:val="标题 7 Char"/>
    <w:basedOn w:val="38"/>
    <w:link w:val="11"/>
    <w:autoRedefine/>
    <w:qFormat/>
    <w:uiPriority w:val="9"/>
    <w:rPr>
      <w:rFonts w:ascii="Times New Roman" w:hAnsi="Calibri" w:eastAsia="黑体" w:cs="Times New Roman"/>
      <w:b/>
      <w:bCs/>
      <w:kern w:val="0"/>
      <w:sz w:val="28"/>
      <w:szCs w:val="24"/>
    </w:rPr>
  </w:style>
  <w:style w:type="character" w:customStyle="1" w:styleId="88">
    <w:name w:val="标题 8 Char"/>
    <w:basedOn w:val="38"/>
    <w:link w:val="12"/>
    <w:autoRedefine/>
    <w:qFormat/>
    <w:uiPriority w:val="9"/>
    <w:rPr>
      <w:rFonts w:ascii="Times New Roman" w:hAnsi="Calibri" w:eastAsia="黑体" w:cs="Times New Roman"/>
      <w:b/>
      <w:kern w:val="0"/>
      <w:sz w:val="28"/>
      <w:szCs w:val="24"/>
    </w:rPr>
  </w:style>
  <w:style w:type="character" w:customStyle="1" w:styleId="89">
    <w:name w:val="标题 9 Char"/>
    <w:basedOn w:val="38"/>
    <w:link w:val="13"/>
    <w:autoRedefine/>
    <w:qFormat/>
    <w:uiPriority w:val="9"/>
    <w:rPr>
      <w:rFonts w:ascii="Times New Roman" w:hAnsi="Calibri" w:eastAsia="黑体" w:cs="Times New Roman"/>
      <w:b/>
      <w:kern w:val="0"/>
      <w:sz w:val="28"/>
      <w:szCs w:val="24"/>
    </w:rPr>
  </w:style>
  <w:style w:type="character" w:customStyle="1" w:styleId="90">
    <w:name w:val="正文文本缩进 字符"/>
    <w:autoRedefine/>
    <w:qFormat/>
    <w:uiPriority w:val="0"/>
    <w:rPr>
      <w:rFonts w:ascii="Times New Roman" w:hAnsi="Times New Roman" w:eastAsia="宋体" w:cs="Times New Roman"/>
      <w:szCs w:val="20"/>
    </w:rPr>
  </w:style>
  <w:style w:type="character" w:customStyle="1" w:styleId="91">
    <w:name w:val="普通(网站) Char"/>
    <w:autoRedefine/>
    <w:qFormat/>
    <w:locked/>
    <w:uiPriority w:val="0"/>
    <w:rPr>
      <w:rFonts w:ascii="宋体" w:hAnsi="宋体"/>
      <w:sz w:val="15"/>
      <w:szCs w:val="15"/>
    </w:rPr>
  </w:style>
  <w:style w:type="character" w:customStyle="1" w:styleId="92">
    <w:name w:val="标题 Char"/>
    <w:link w:val="33"/>
    <w:autoRedefine/>
    <w:qFormat/>
    <w:uiPriority w:val="10"/>
    <w:rPr>
      <w:rFonts w:ascii="等线 Light" w:hAnsi="等线 Light" w:eastAsia="仿宋"/>
      <w:b/>
      <w:bCs/>
      <w:sz w:val="28"/>
      <w:szCs w:val="32"/>
    </w:rPr>
  </w:style>
  <w:style w:type="character" w:customStyle="1" w:styleId="93">
    <w:name w:val="日期 Char"/>
    <w:autoRedefine/>
    <w:semiHidden/>
    <w:qFormat/>
    <w:uiPriority w:val="99"/>
    <w:rPr>
      <w:kern w:val="2"/>
      <w:sz w:val="21"/>
    </w:rPr>
  </w:style>
  <w:style w:type="character" w:customStyle="1" w:styleId="94">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95">
    <w:name w:val="批注文字 Char"/>
    <w:autoRedefine/>
    <w:semiHidden/>
    <w:qFormat/>
    <w:uiPriority w:val="99"/>
    <w:rPr>
      <w:kern w:val="2"/>
      <w:sz w:val="21"/>
    </w:rPr>
  </w:style>
  <w:style w:type="character" w:customStyle="1" w:styleId="96">
    <w:name w:val="正文缩进2格 Char"/>
    <w:link w:val="46"/>
    <w:autoRedefine/>
    <w:qFormat/>
    <w:uiPriority w:val="0"/>
    <w:rPr>
      <w:rFonts w:ascii="仿宋_GB2312" w:hAnsi="宋体" w:eastAsia="仿宋_GB2312"/>
      <w:sz w:val="31"/>
      <w:szCs w:val="28"/>
    </w:rPr>
  </w:style>
  <w:style w:type="character" w:customStyle="1" w:styleId="97">
    <w:name w:val="批注文字 字符"/>
    <w:autoRedefine/>
    <w:semiHidden/>
    <w:qFormat/>
    <w:uiPriority w:val="99"/>
    <w:rPr>
      <w:rFonts w:ascii="Times New Roman" w:hAnsi="Times New Roman"/>
      <w:kern w:val="2"/>
      <w:sz w:val="24"/>
      <w:szCs w:val="24"/>
    </w:rPr>
  </w:style>
  <w:style w:type="character" w:customStyle="1" w:styleId="98">
    <w:name w:val="正文文本缩进 Char"/>
    <w:autoRedefine/>
    <w:qFormat/>
    <w:uiPriority w:val="0"/>
    <w:rPr>
      <w:rFonts w:ascii="Times New Roman" w:hAnsi="Times New Roman" w:eastAsia="宋体" w:cs="Times New Roman"/>
      <w:szCs w:val="20"/>
      <w:lang w:val="en-US" w:eastAsia="zh-CN"/>
    </w:rPr>
  </w:style>
  <w:style w:type="character" w:customStyle="1" w:styleId="99">
    <w:name w:val="批注框文本 字符1"/>
    <w:autoRedefine/>
    <w:semiHidden/>
    <w:qFormat/>
    <w:uiPriority w:val="99"/>
    <w:rPr>
      <w:rFonts w:ascii="宋体" w:hAnsi="Calibri" w:eastAsia="宋体" w:cs="Times New Roman"/>
      <w:kern w:val="0"/>
      <w:sz w:val="18"/>
      <w:szCs w:val="18"/>
    </w:rPr>
  </w:style>
  <w:style w:type="character" w:customStyle="1" w:styleId="100">
    <w:name w:val="List Paragraph Char"/>
    <w:link w:val="47"/>
    <w:autoRedefine/>
    <w:qFormat/>
    <w:uiPriority w:val="34"/>
    <w:rPr>
      <w:rFonts w:ascii="Calibri" w:hAnsi="Calibri"/>
    </w:rPr>
  </w:style>
  <w:style w:type="character" w:customStyle="1" w:styleId="101">
    <w:name w:val="标书正文 字符"/>
    <w:link w:val="48"/>
    <w:autoRedefine/>
    <w:qFormat/>
    <w:uiPriority w:val="0"/>
    <w:rPr>
      <w:rFonts w:ascii="Calibri" w:hAnsi="Calibri" w:eastAsia="仿宋"/>
      <w:sz w:val="24"/>
      <w:szCs w:val="21"/>
    </w:rPr>
  </w:style>
  <w:style w:type="character" w:customStyle="1" w:styleId="102">
    <w:name w:val="正文文本 字符"/>
    <w:autoRedefine/>
    <w:semiHidden/>
    <w:qFormat/>
    <w:uiPriority w:val="99"/>
    <w:rPr>
      <w:rFonts w:ascii="Times New Roman" w:hAnsi="Times New Roman"/>
      <w:kern w:val="2"/>
      <w:sz w:val="24"/>
      <w:szCs w:val="24"/>
    </w:rPr>
  </w:style>
  <w:style w:type="character" w:customStyle="1" w:styleId="103">
    <w:name w:val="页脚 Char"/>
    <w:autoRedefine/>
    <w:qFormat/>
    <w:uiPriority w:val="0"/>
    <w:rPr>
      <w:kern w:val="2"/>
      <w:sz w:val="18"/>
      <w:szCs w:val="18"/>
    </w:rPr>
  </w:style>
  <w:style w:type="character" w:customStyle="1" w:styleId="104">
    <w:name w:val="neir1"/>
    <w:autoRedefine/>
    <w:qFormat/>
    <w:uiPriority w:val="0"/>
    <w:rPr>
      <w:rFonts w:hint="default" w:ascii="ˎ̥" w:hAnsi="ˎ̥"/>
      <w:color w:val="333333"/>
      <w:sz w:val="21"/>
      <w:szCs w:val="21"/>
      <w:u w:val="none"/>
    </w:rPr>
  </w:style>
  <w:style w:type="character" w:customStyle="1" w:styleId="105">
    <w:name w:val="批注框文本 Char1"/>
    <w:link w:val="24"/>
    <w:autoRedefine/>
    <w:qFormat/>
    <w:uiPriority w:val="0"/>
    <w:rPr>
      <w:rFonts w:ascii="Times New Roman" w:hAnsi="Times New Roman" w:eastAsia="宋体" w:cs="Times New Roman"/>
      <w:sz w:val="18"/>
      <w:szCs w:val="18"/>
    </w:rPr>
  </w:style>
  <w:style w:type="character" w:customStyle="1" w:styleId="106">
    <w:name w:val="正文文本 3 字符1"/>
    <w:autoRedefine/>
    <w:semiHidden/>
    <w:qFormat/>
    <w:uiPriority w:val="99"/>
    <w:rPr>
      <w:rFonts w:ascii="宋体" w:hAnsi="Calibri" w:eastAsia="宋体" w:cs="Times New Roman"/>
      <w:kern w:val="0"/>
      <w:sz w:val="16"/>
      <w:szCs w:val="16"/>
    </w:rPr>
  </w:style>
  <w:style w:type="character" w:customStyle="1" w:styleId="107">
    <w:name w:val="正文文本 字符3"/>
    <w:autoRedefine/>
    <w:semiHidden/>
    <w:qFormat/>
    <w:uiPriority w:val="99"/>
    <w:rPr>
      <w:rFonts w:ascii="宋体" w:hAnsi="Calibri" w:eastAsia="宋体" w:cs="Times New Roman"/>
      <w:kern w:val="0"/>
      <w:sz w:val="24"/>
      <w:szCs w:val="24"/>
    </w:rPr>
  </w:style>
  <w:style w:type="character" w:customStyle="1" w:styleId="108">
    <w:name w:val="日期 字符1"/>
    <w:autoRedefine/>
    <w:semiHidden/>
    <w:qFormat/>
    <w:uiPriority w:val="99"/>
    <w:rPr>
      <w:rFonts w:ascii="宋体" w:hAnsi="Calibri" w:eastAsia="宋体" w:cs="Times New Roman"/>
      <w:kern w:val="0"/>
      <w:sz w:val="24"/>
      <w:szCs w:val="24"/>
    </w:rPr>
  </w:style>
  <w:style w:type="character" w:customStyle="1" w:styleId="109">
    <w:name w:val="页脚 Char2"/>
    <w:link w:val="25"/>
    <w:autoRedefine/>
    <w:qFormat/>
    <w:uiPriority w:val="99"/>
    <w:rPr>
      <w:rFonts w:ascii="宋体" w:eastAsia="宋体"/>
      <w:sz w:val="18"/>
      <w:szCs w:val="18"/>
    </w:rPr>
  </w:style>
  <w:style w:type="character" w:customStyle="1" w:styleId="110">
    <w:name w:val="吉奥正文 Char"/>
    <w:link w:val="49"/>
    <w:autoRedefine/>
    <w:qFormat/>
    <w:locked/>
    <w:uiPriority w:val="0"/>
    <w:rPr>
      <w:rFonts w:eastAsia="仿宋_GB2312"/>
      <w:sz w:val="28"/>
    </w:rPr>
  </w:style>
  <w:style w:type="character" w:customStyle="1" w:styleId="111">
    <w:name w:val="页脚 Char1"/>
    <w:autoRedefine/>
    <w:qFormat/>
    <w:uiPriority w:val="99"/>
    <w:rPr>
      <w:rFonts w:ascii="宋体" w:hAnsi="Times New Roman" w:eastAsia="宋体" w:cs="Times New Roman"/>
      <w:kern w:val="0"/>
      <w:sz w:val="18"/>
      <w:szCs w:val="18"/>
    </w:rPr>
  </w:style>
  <w:style w:type="character" w:customStyle="1" w:styleId="112">
    <w:name w:val="标题 字符"/>
    <w:autoRedefine/>
    <w:qFormat/>
    <w:uiPriority w:val="10"/>
    <w:rPr>
      <w:rFonts w:ascii="Cambria" w:hAnsi="Cambria" w:eastAsia="宋体" w:cs="Times New Roman"/>
      <w:b/>
      <w:bCs/>
      <w:kern w:val="0"/>
      <w:sz w:val="32"/>
      <w:szCs w:val="32"/>
      <w:lang w:val="en-US" w:eastAsia="zh-CN"/>
    </w:rPr>
  </w:style>
  <w:style w:type="character" w:customStyle="1" w:styleId="113">
    <w:name w:val="题注 Char"/>
    <w:link w:val="15"/>
    <w:autoRedefine/>
    <w:qFormat/>
    <w:uiPriority w:val="0"/>
    <w:rPr>
      <w:rFonts w:ascii="Arial" w:hAnsi="Arial" w:eastAsia="黑体" w:cs="Arial"/>
    </w:rPr>
  </w:style>
  <w:style w:type="character" w:customStyle="1" w:styleId="114">
    <w:name w:val="批注文字 字符2"/>
    <w:autoRedefine/>
    <w:qFormat/>
    <w:uiPriority w:val="99"/>
    <w:rPr>
      <w:rFonts w:ascii="宋体" w:hAnsi="Times New Roman" w:eastAsia="宋体" w:cs="Times New Roman"/>
      <w:kern w:val="0"/>
      <w:sz w:val="24"/>
      <w:szCs w:val="24"/>
    </w:rPr>
  </w:style>
  <w:style w:type="character" w:customStyle="1" w:styleId="115">
    <w:name w:val="批注主题 字符1"/>
    <w:autoRedefine/>
    <w:semiHidden/>
    <w:qFormat/>
    <w:uiPriority w:val="99"/>
    <w:rPr>
      <w:rFonts w:ascii="宋体" w:hAnsi="Calibri" w:eastAsia="宋体" w:cs="Times New Roman"/>
      <w:b/>
      <w:bCs/>
      <w:kern w:val="0"/>
      <w:sz w:val="24"/>
      <w:szCs w:val="24"/>
    </w:rPr>
  </w:style>
  <w:style w:type="character" w:customStyle="1" w:styleId="116">
    <w:name w:val="HTML 预设格式 Char"/>
    <w:link w:val="31"/>
    <w:autoRedefine/>
    <w:qFormat/>
    <w:uiPriority w:val="99"/>
    <w:rPr>
      <w:rFonts w:ascii="Arial" w:hAnsi="Arial" w:eastAsia="宋体" w:cs="Arial"/>
      <w:szCs w:val="21"/>
    </w:rPr>
  </w:style>
  <w:style w:type="character" w:customStyle="1" w:styleId="117">
    <w:name w:val="标题 3.1 Char"/>
    <w:link w:val="50"/>
    <w:autoRedefine/>
    <w:qFormat/>
    <w:uiPriority w:val="0"/>
    <w:rPr>
      <w:rFonts w:ascii="宋体" w:hAnsi="宋体"/>
      <w:b/>
      <w:bCs/>
      <w:sz w:val="32"/>
      <w:szCs w:val="32"/>
    </w:rPr>
  </w:style>
  <w:style w:type="character" w:customStyle="1" w:styleId="118">
    <w:name w:val="HTML 预设格式 Char1"/>
    <w:autoRedefine/>
    <w:semiHidden/>
    <w:qFormat/>
    <w:uiPriority w:val="99"/>
    <w:rPr>
      <w:rFonts w:ascii="Courier New" w:hAnsi="Courier New" w:eastAsia="宋体" w:cs="Courier New"/>
      <w:kern w:val="0"/>
      <w:sz w:val="20"/>
      <w:szCs w:val="20"/>
    </w:rPr>
  </w:style>
  <w:style w:type="character" w:customStyle="1" w:styleId="119">
    <w:name w:val="批注文字 字符1"/>
    <w:autoRedefine/>
    <w:qFormat/>
    <w:uiPriority w:val="0"/>
    <w:rPr>
      <w:rFonts w:eastAsia="宋体"/>
      <w:kern w:val="2"/>
      <w:sz w:val="24"/>
      <w:szCs w:val="24"/>
      <w:lang w:val="en-US" w:eastAsia="zh-CN" w:bidi="ar-SA"/>
    </w:rPr>
  </w:style>
  <w:style w:type="character" w:customStyle="1" w:styleId="120">
    <w:name w:val="正文文本缩进 字符2"/>
    <w:autoRedefine/>
    <w:semiHidden/>
    <w:qFormat/>
    <w:uiPriority w:val="99"/>
    <w:rPr>
      <w:rFonts w:ascii="宋体" w:hAnsi="Calibri" w:eastAsia="宋体" w:cs="Times New Roman"/>
      <w:kern w:val="0"/>
      <w:sz w:val="24"/>
      <w:szCs w:val="24"/>
    </w:rPr>
  </w:style>
  <w:style w:type="character" w:customStyle="1" w:styleId="121">
    <w:name w:val="正文文本缩进 Char1"/>
    <w:link w:val="3"/>
    <w:autoRedefine/>
    <w:qFormat/>
    <w:uiPriority w:val="0"/>
    <w:rPr>
      <w:rFonts w:ascii="Times New Roman" w:hAnsi="Times New Roman" w:eastAsia="宋体" w:cs="Times New Roman"/>
      <w:szCs w:val="20"/>
    </w:rPr>
  </w:style>
  <w:style w:type="character" w:customStyle="1" w:styleId="122">
    <w:name w:val="普通(网站) Char1"/>
    <w:link w:val="32"/>
    <w:autoRedefine/>
    <w:qFormat/>
    <w:locked/>
    <w:uiPriority w:val="0"/>
    <w:rPr>
      <w:rFonts w:ascii="宋体" w:hAnsi="宋体"/>
      <w:sz w:val="15"/>
      <w:szCs w:val="15"/>
    </w:rPr>
  </w:style>
  <w:style w:type="character" w:customStyle="1" w:styleId="123">
    <w:name w:val="模板正文 Char"/>
    <w:link w:val="10"/>
    <w:autoRedefine/>
    <w:qFormat/>
    <w:uiPriority w:val="0"/>
    <w:rPr>
      <w:rFonts w:ascii="宋体" w:eastAsia="仿宋"/>
      <w:sz w:val="24"/>
      <w:szCs w:val="21"/>
    </w:rPr>
  </w:style>
  <w:style w:type="character" w:customStyle="1" w:styleId="124">
    <w:name w:val="批注主题 Char"/>
    <w:autoRedefine/>
    <w:semiHidden/>
    <w:qFormat/>
    <w:uiPriority w:val="99"/>
    <w:rPr>
      <w:b/>
      <w:bCs/>
      <w:kern w:val="2"/>
      <w:sz w:val="21"/>
    </w:rPr>
  </w:style>
  <w:style w:type="character" w:customStyle="1" w:styleId="125">
    <w:name w:val="正文文本 Char1"/>
    <w:autoRedefine/>
    <w:qFormat/>
    <w:uiPriority w:val="0"/>
    <w:rPr>
      <w:rFonts w:ascii="宋体" w:hAnsi="Times New Roman" w:eastAsia="宋体" w:cs="Times New Roman"/>
      <w:kern w:val="0"/>
      <w:sz w:val="24"/>
      <w:szCs w:val="24"/>
    </w:rPr>
  </w:style>
  <w:style w:type="character" w:customStyle="1" w:styleId="126">
    <w:name w:val="正文文本 字符1"/>
    <w:autoRedefine/>
    <w:qFormat/>
    <w:uiPriority w:val="99"/>
    <w:rPr>
      <w:rFonts w:ascii="宋体" w:eastAsia="宋体"/>
      <w:b/>
      <w:bCs/>
      <w:sz w:val="84"/>
      <w:szCs w:val="84"/>
      <w:lang w:val="zh-CN"/>
    </w:rPr>
  </w:style>
  <w:style w:type="character" w:customStyle="1" w:styleId="127">
    <w:name w:val="标题 1 Char"/>
    <w:autoRedefine/>
    <w:qFormat/>
    <w:uiPriority w:val="9"/>
    <w:rPr>
      <w:rFonts w:ascii="宋体" w:hAnsi="Times New Roman" w:eastAsia="宋体" w:cs="Times New Roman"/>
      <w:kern w:val="0"/>
      <w:sz w:val="24"/>
      <w:szCs w:val="24"/>
    </w:rPr>
  </w:style>
  <w:style w:type="character" w:customStyle="1" w:styleId="128">
    <w:name w:val="正文文本 Char2"/>
    <w:autoRedefine/>
    <w:qFormat/>
    <w:uiPriority w:val="99"/>
    <w:rPr>
      <w:rFonts w:ascii="宋体" w:eastAsia="宋体"/>
      <w:b/>
      <w:bCs/>
      <w:sz w:val="84"/>
      <w:szCs w:val="84"/>
      <w:lang w:val="zh-CN"/>
    </w:rPr>
  </w:style>
  <w:style w:type="character" w:customStyle="1" w:styleId="129">
    <w:name w:val="纯文本 Char2"/>
    <w:link w:val="21"/>
    <w:autoRedefine/>
    <w:qFormat/>
    <w:uiPriority w:val="0"/>
    <w:rPr>
      <w:rFonts w:ascii="宋体" w:hAnsi="Courier New" w:eastAsia="宋体"/>
    </w:rPr>
  </w:style>
  <w:style w:type="character" w:customStyle="1" w:styleId="130">
    <w:name w:val="正文文本缩进 2 Char"/>
    <w:link w:val="23"/>
    <w:autoRedefine/>
    <w:qFormat/>
    <w:uiPriority w:val="0"/>
    <w:rPr>
      <w:rFonts w:ascii="宋体" w:hAnsi="Times New Roman" w:eastAsia="宋体" w:cs="Times New Roman"/>
      <w:szCs w:val="20"/>
    </w:rPr>
  </w:style>
  <w:style w:type="character" w:customStyle="1" w:styleId="131">
    <w:name w:val="HTML Markup"/>
    <w:autoRedefine/>
    <w:qFormat/>
    <w:uiPriority w:val="0"/>
    <w:rPr>
      <w:vanish/>
      <w:color w:val="FF0000"/>
    </w:rPr>
  </w:style>
  <w:style w:type="character" w:customStyle="1" w:styleId="132">
    <w:name w:val="页眉 Char1"/>
    <w:autoRedefine/>
    <w:qFormat/>
    <w:uiPriority w:val="0"/>
    <w:rPr>
      <w:rFonts w:ascii="宋体" w:hAnsi="Times New Roman" w:eastAsia="宋体" w:cs="Times New Roman"/>
      <w:kern w:val="0"/>
      <w:sz w:val="18"/>
      <w:szCs w:val="18"/>
    </w:rPr>
  </w:style>
  <w:style w:type="character" w:customStyle="1" w:styleId="133">
    <w:name w:val="font11"/>
    <w:autoRedefine/>
    <w:qFormat/>
    <w:uiPriority w:val="0"/>
    <w:rPr>
      <w:rFonts w:hint="eastAsia" w:ascii="宋体" w:hAnsi="宋体" w:eastAsia="宋体" w:cs="宋体"/>
      <w:color w:val="FF0000"/>
      <w:sz w:val="22"/>
      <w:szCs w:val="22"/>
      <w:u w:val="none"/>
    </w:rPr>
  </w:style>
  <w:style w:type="character" w:customStyle="1" w:styleId="134">
    <w:name w:val="style61"/>
    <w:autoRedefine/>
    <w:qFormat/>
    <w:uiPriority w:val="0"/>
    <w:rPr>
      <w:b/>
      <w:bCs/>
    </w:rPr>
  </w:style>
  <w:style w:type="character" w:customStyle="1" w:styleId="135">
    <w:name w:val="表头文字 Char"/>
    <w:link w:val="51"/>
    <w:autoRedefine/>
    <w:qFormat/>
    <w:uiPriority w:val="0"/>
    <w:rPr>
      <w:rFonts w:eastAsia="仿宋_GB2312"/>
      <w:b/>
      <w:sz w:val="28"/>
      <w:szCs w:val="21"/>
    </w:rPr>
  </w:style>
  <w:style w:type="character" w:customStyle="1" w:styleId="136">
    <w:name w:val="日期 Char1"/>
    <w:link w:val="22"/>
    <w:autoRedefine/>
    <w:qFormat/>
    <w:uiPriority w:val="99"/>
    <w:rPr>
      <w:rFonts w:ascii="宋体" w:hAnsi="Times New Roman" w:eastAsia="宋体" w:cs="Times New Roman"/>
      <w:b/>
      <w:bCs/>
      <w:szCs w:val="21"/>
      <w:lang w:val="zh-CN"/>
    </w:rPr>
  </w:style>
  <w:style w:type="character" w:customStyle="1" w:styleId="137">
    <w:name w:val="纯文本 Char1"/>
    <w:autoRedefine/>
    <w:qFormat/>
    <w:uiPriority w:val="0"/>
    <w:rPr>
      <w:rFonts w:ascii="宋体" w:hAnsi="Courier New" w:eastAsia="宋体" w:cs="Courier New"/>
      <w:kern w:val="0"/>
      <w:szCs w:val="21"/>
    </w:rPr>
  </w:style>
  <w:style w:type="character" w:customStyle="1" w:styleId="138">
    <w:name w:val="批注主题 Char1"/>
    <w:link w:val="34"/>
    <w:autoRedefine/>
    <w:qFormat/>
    <w:uiPriority w:val="99"/>
    <w:rPr>
      <w:rFonts w:ascii="宋体" w:hAnsi="Times New Roman" w:eastAsia="宋体" w:cs="Times New Roman"/>
      <w:b/>
      <w:bCs/>
      <w:kern w:val="0"/>
      <w:sz w:val="24"/>
      <w:szCs w:val="24"/>
    </w:rPr>
  </w:style>
  <w:style w:type="character" w:customStyle="1" w:styleId="139">
    <w:name w:val="纯文本 字符"/>
    <w:autoRedefine/>
    <w:qFormat/>
    <w:uiPriority w:val="99"/>
    <w:rPr>
      <w:rFonts w:ascii="宋体" w:hAnsi="Courier New" w:eastAsia="宋体" w:cs="Times New Roman"/>
      <w:szCs w:val="20"/>
      <w:lang w:val="en-US" w:eastAsia="zh-CN"/>
    </w:rPr>
  </w:style>
  <w:style w:type="character" w:customStyle="1" w:styleId="140">
    <w:name w:val="font71"/>
    <w:autoRedefine/>
    <w:qFormat/>
    <w:uiPriority w:val="0"/>
    <w:rPr>
      <w:rFonts w:hint="eastAsia" w:ascii="宋体" w:hAnsi="宋体" w:eastAsia="宋体" w:cs="宋体"/>
      <w:color w:val="FF0000"/>
      <w:sz w:val="18"/>
      <w:szCs w:val="18"/>
      <w:u w:val="none"/>
    </w:rPr>
  </w:style>
  <w:style w:type="character" w:customStyle="1" w:styleId="141">
    <w:name w:val="font21"/>
    <w:autoRedefine/>
    <w:qFormat/>
    <w:uiPriority w:val="0"/>
    <w:rPr>
      <w:rFonts w:hint="eastAsia" w:ascii="宋体" w:hAnsi="宋体" w:eastAsia="宋体" w:cs="宋体"/>
      <w:b/>
      <w:color w:val="000000"/>
      <w:sz w:val="21"/>
      <w:szCs w:val="21"/>
      <w:u w:val="none"/>
    </w:rPr>
  </w:style>
  <w:style w:type="character" w:customStyle="1" w:styleId="142">
    <w:name w:val="纯文本 字符3"/>
    <w:autoRedefine/>
    <w:semiHidden/>
    <w:qFormat/>
    <w:uiPriority w:val="99"/>
    <w:rPr>
      <w:rFonts w:ascii="等线" w:hAnsi="Courier New" w:cs="Courier New"/>
      <w:kern w:val="0"/>
      <w:sz w:val="24"/>
      <w:szCs w:val="24"/>
    </w:rPr>
  </w:style>
  <w:style w:type="character" w:customStyle="1" w:styleId="143">
    <w:name w:val="font31"/>
    <w:autoRedefine/>
    <w:qFormat/>
    <w:uiPriority w:val="0"/>
    <w:rPr>
      <w:rFonts w:hint="eastAsia" w:ascii="宋体" w:hAnsi="宋体" w:eastAsia="宋体" w:cs="宋体"/>
      <w:color w:val="000000"/>
      <w:sz w:val="18"/>
      <w:szCs w:val="18"/>
      <w:u w:val="none"/>
    </w:rPr>
  </w:style>
  <w:style w:type="character" w:customStyle="1" w:styleId="144">
    <w:name w:val="文档结构图 Char"/>
    <w:link w:val="16"/>
    <w:autoRedefine/>
    <w:semiHidden/>
    <w:qFormat/>
    <w:uiPriority w:val="99"/>
    <w:rPr>
      <w:rFonts w:ascii="宋体" w:hAnsi="Times New Roman" w:eastAsia="宋体" w:cs="Times New Roman"/>
      <w:kern w:val="0"/>
      <w:sz w:val="24"/>
      <w:szCs w:val="24"/>
      <w:shd w:val="clear" w:color="auto" w:fill="000080"/>
    </w:rPr>
  </w:style>
  <w:style w:type="character" w:customStyle="1" w:styleId="145">
    <w:name w:val="普通(网站) 字符1"/>
    <w:autoRedefine/>
    <w:qFormat/>
    <w:locked/>
    <w:uiPriority w:val="0"/>
    <w:rPr>
      <w:rFonts w:ascii="宋体" w:hAnsi="宋体"/>
      <w:sz w:val="15"/>
      <w:szCs w:val="15"/>
    </w:rPr>
  </w:style>
  <w:style w:type="character" w:customStyle="1" w:styleId="146">
    <w:name w:val="正文文本 Char3"/>
    <w:link w:val="2"/>
    <w:autoRedefine/>
    <w:qFormat/>
    <w:uiPriority w:val="99"/>
    <w:rPr>
      <w:rFonts w:ascii="宋体" w:eastAsia="宋体"/>
      <w:b/>
      <w:bCs/>
      <w:sz w:val="84"/>
      <w:szCs w:val="84"/>
      <w:lang w:val="zh-CN"/>
    </w:rPr>
  </w:style>
  <w:style w:type="character" w:customStyle="1" w:styleId="147">
    <w:name w:val="标题 5 Char"/>
    <w:autoRedefine/>
    <w:semiHidden/>
    <w:qFormat/>
    <w:uiPriority w:val="9"/>
    <w:rPr>
      <w:b/>
      <w:bCs/>
      <w:kern w:val="2"/>
      <w:sz w:val="28"/>
      <w:szCs w:val="28"/>
    </w:rPr>
  </w:style>
  <w:style w:type="character" w:customStyle="1" w:styleId="148">
    <w:name w:val="页眉 Char2"/>
    <w:link w:val="26"/>
    <w:autoRedefine/>
    <w:qFormat/>
    <w:uiPriority w:val="99"/>
    <w:rPr>
      <w:rFonts w:ascii="宋体" w:eastAsia="宋体"/>
      <w:sz w:val="18"/>
      <w:szCs w:val="18"/>
    </w:rPr>
  </w:style>
  <w:style w:type="character" w:customStyle="1" w:styleId="149">
    <w:name w:val="表格文字 Char"/>
    <w:link w:val="52"/>
    <w:autoRedefine/>
    <w:qFormat/>
    <w:uiPriority w:val="0"/>
    <w:rPr>
      <w:rFonts w:eastAsia="仿宋_GB2312"/>
      <w:sz w:val="28"/>
      <w:szCs w:val="24"/>
    </w:rPr>
  </w:style>
  <w:style w:type="character" w:customStyle="1" w:styleId="150">
    <w:name w:val="标题 字符2"/>
    <w:autoRedefine/>
    <w:qFormat/>
    <w:uiPriority w:val="10"/>
    <w:rPr>
      <w:rFonts w:ascii="等线 Light" w:hAnsi="等线 Light" w:eastAsia="等线 Light" w:cs="Times New Roman"/>
      <w:b/>
      <w:bCs/>
      <w:kern w:val="0"/>
      <w:sz w:val="32"/>
      <w:szCs w:val="32"/>
    </w:rPr>
  </w:style>
  <w:style w:type="character" w:customStyle="1" w:styleId="151">
    <w:name w:val="正文缩进2格 Char Char"/>
    <w:autoRedefine/>
    <w:qFormat/>
    <w:uiPriority w:val="0"/>
    <w:rPr>
      <w:rFonts w:ascii="仿宋_GB2312" w:hAnsi="宋体" w:eastAsia="仿宋_GB2312"/>
      <w:kern w:val="2"/>
      <w:sz w:val="31"/>
      <w:szCs w:val="28"/>
      <w:lang w:val="en-US" w:eastAsia="zh-CN" w:bidi="ar-SA"/>
    </w:rPr>
  </w:style>
  <w:style w:type="character" w:customStyle="1" w:styleId="152">
    <w:name w:val="小 Char"/>
    <w:autoRedefine/>
    <w:qFormat/>
    <w:uiPriority w:val="0"/>
    <w:rPr>
      <w:rFonts w:ascii="宋体" w:hAnsi="Courier New" w:eastAsia="宋体"/>
      <w:kern w:val="2"/>
      <w:sz w:val="21"/>
      <w:lang w:val="en-US" w:eastAsia="zh-CN" w:bidi="ar-SA"/>
    </w:rPr>
  </w:style>
  <w:style w:type="character" w:customStyle="1" w:styleId="153">
    <w:name w:val="themebody1"/>
    <w:autoRedefine/>
    <w:qFormat/>
    <w:uiPriority w:val="0"/>
    <w:rPr>
      <w:color w:val="FFFFFF"/>
    </w:rPr>
  </w:style>
  <w:style w:type="character" w:customStyle="1" w:styleId="154">
    <w:name w:val="页脚 字符1"/>
    <w:autoRedefine/>
    <w:semiHidden/>
    <w:qFormat/>
    <w:uiPriority w:val="99"/>
    <w:rPr>
      <w:rFonts w:ascii="宋体" w:hAnsi="Calibri" w:eastAsia="宋体" w:cs="Times New Roman"/>
      <w:kern w:val="0"/>
      <w:sz w:val="18"/>
      <w:szCs w:val="18"/>
    </w:rPr>
  </w:style>
  <w:style w:type="character" w:customStyle="1" w:styleId="155">
    <w:name w:val="列出段落 Char"/>
    <w:link w:val="53"/>
    <w:autoRedefine/>
    <w:qFormat/>
    <w:uiPriority w:val="34"/>
    <w:rPr>
      <w:kern w:val="2"/>
      <w:sz w:val="21"/>
      <w:szCs w:val="22"/>
    </w:rPr>
  </w:style>
  <w:style w:type="character" w:customStyle="1" w:styleId="156">
    <w:name w:val="正文文本 Char"/>
    <w:autoRedefine/>
    <w:qFormat/>
    <w:uiPriority w:val="99"/>
    <w:rPr>
      <w:rFonts w:ascii="宋体" w:eastAsia="宋体"/>
      <w:b/>
      <w:bCs/>
      <w:sz w:val="84"/>
      <w:szCs w:val="84"/>
      <w:lang w:val="zh-CN"/>
    </w:rPr>
  </w:style>
  <w:style w:type="character" w:customStyle="1" w:styleId="157">
    <w:name w:val="页眉 字符1"/>
    <w:autoRedefine/>
    <w:semiHidden/>
    <w:qFormat/>
    <w:uiPriority w:val="99"/>
    <w:rPr>
      <w:rFonts w:ascii="宋体" w:hAnsi="Calibri" w:eastAsia="宋体" w:cs="Times New Roman"/>
      <w:kern w:val="0"/>
      <w:sz w:val="18"/>
      <w:szCs w:val="18"/>
    </w:rPr>
  </w:style>
  <w:style w:type="character" w:customStyle="1" w:styleId="158">
    <w:name w:val="标题 5 Char1"/>
    <w:link w:val="8"/>
    <w:autoRedefine/>
    <w:qFormat/>
    <w:uiPriority w:val="9"/>
    <w:rPr>
      <w:rFonts w:ascii="宋体" w:hAnsi="Calibri" w:eastAsia="宋体" w:cs="Times New Roman"/>
      <w:b/>
      <w:bCs/>
      <w:kern w:val="0"/>
      <w:sz w:val="28"/>
      <w:szCs w:val="28"/>
    </w:rPr>
  </w:style>
  <w:style w:type="character" w:customStyle="1" w:styleId="159">
    <w:name w:val="keyfeatures1"/>
    <w:autoRedefine/>
    <w:qFormat/>
    <w:uiPriority w:val="0"/>
    <w:rPr>
      <w:rFonts w:hint="default" w:ascii="Arial" w:hAnsi="Arial" w:cs="Arial"/>
      <w:color w:val="003366"/>
      <w:sz w:val="17"/>
      <w:szCs w:val="17"/>
      <w:u w:val="none"/>
    </w:rPr>
  </w:style>
  <w:style w:type="character" w:customStyle="1" w:styleId="160">
    <w:name w:val="题注 字符"/>
    <w:autoRedefine/>
    <w:qFormat/>
    <w:uiPriority w:val="0"/>
    <w:rPr>
      <w:rFonts w:ascii="宋体" w:hAnsi="宋体" w:eastAsia="黑体" w:cs="Times New Roman"/>
      <w:b/>
      <w:szCs w:val="21"/>
    </w:rPr>
  </w:style>
  <w:style w:type="character" w:customStyle="1" w:styleId="161">
    <w:name w:val="标题 4 Char"/>
    <w:autoRedefine/>
    <w:qFormat/>
    <w:uiPriority w:val="0"/>
    <w:rPr>
      <w:rFonts w:ascii="宋体" w:hAnsi="宋体" w:eastAsia="宋体"/>
      <w:b/>
      <w:kern w:val="2"/>
      <w:sz w:val="21"/>
      <w:szCs w:val="24"/>
      <w:lang w:val="en-US" w:eastAsia="zh-CN" w:bidi="ar-SA"/>
    </w:rPr>
  </w:style>
  <w:style w:type="character" w:customStyle="1" w:styleId="162">
    <w:name w:val="批注文字 字符3"/>
    <w:autoRedefine/>
    <w:semiHidden/>
    <w:qFormat/>
    <w:uiPriority w:val="99"/>
    <w:rPr>
      <w:rFonts w:ascii="宋体" w:hAnsi="Calibri" w:eastAsia="宋体" w:cs="Times New Roman"/>
      <w:kern w:val="0"/>
      <w:sz w:val="24"/>
      <w:szCs w:val="24"/>
    </w:rPr>
  </w:style>
  <w:style w:type="character" w:customStyle="1" w:styleId="163">
    <w:name w:val="纯文本 字符1"/>
    <w:autoRedefine/>
    <w:qFormat/>
    <w:uiPriority w:val="0"/>
    <w:rPr>
      <w:rFonts w:ascii="宋体" w:hAnsi="Courier New" w:eastAsia="宋体"/>
      <w:kern w:val="2"/>
      <w:sz w:val="21"/>
      <w:szCs w:val="24"/>
      <w:lang w:val="en-US" w:eastAsia="zh-CN" w:bidi="ar-SA"/>
    </w:rPr>
  </w:style>
  <w:style w:type="character" w:customStyle="1" w:styleId="164">
    <w:name w:val="列出段落 Char1"/>
    <w:autoRedefine/>
    <w:qFormat/>
    <w:uiPriority w:val="34"/>
    <w:rPr>
      <w:rFonts w:ascii="宋体"/>
      <w:sz w:val="24"/>
      <w:szCs w:val="24"/>
    </w:rPr>
  </w:style>
  <w:style w:type="character" w:customStyle="1" w:styleId="165">
    <w:name w:val="彩色列表 - 着色 1 字符"/>
    <w:link w:val="54"/>
    <w:autoRedefine/>
    <w:qFormat/>
    <w:uiPriority w:val="0"/>
    <w:rPr>
      <w:rFonts w:ascii="Calibri" w:hAnsi="Calibri"/>
    </w:rPr>
  </w:style>
  <w:style w:type="character" w:customStyle="1" w:styleId="166">
    <w:name w:val="纯文本 Char"/>
    <w:autoRedefine/>
    <w:qFormat/>
    <w:uiPriority w:val="0"/>
    <w:rPr>
      <w:rFonts w:ascii="宋体" w:hAnsi="Courier New" w:eastAsia="宋体" w:cs="Times New Roman"/>
      <w:szCs w:val="20"/>
    </w:rPr>
  </w:style>
  <w:style w:type="character" w:customStyle="1" w:styleId="167">
    <w:name w:val="标题 6 Char"/>
    <w:link w:val="9"/>
    <w:autoRedefine/>
    <w:qFormat/>
    <w:uiPriority w:val="9"/>
    <w:rPr>
      <w:rFonts w:ascii="Times New Roman" w:hAnsi="Calibri" w:eastAsia="黑体" w:cs="Times New Roman"/>
      <w:b/>
      <w:bCs/>
      <w:kern w:val="0"/>
      <w:sz w:val="28"/>
      <w:szCs w:val="24"/>
    </w:rPr>
  </w:style>
  <w:style w:type="character" w:customStyle="1" w:styleId="168">
    <w:name w:val="正文文本 2 Char"/>
    <w:link w:val="30"/>
    <w:autoRedefine/>
    <w:qFormat/>
    <w:uiPriority w:val="0"/>
    <w:rPr>
      <w:rFonts w:ascii="Arial" w:hAnsi="Arial" w:eastAsia="宋体" w:cs="Times New Roman"/>
      <w:color w:val="000000"/>
      <w:szCs w:val="24"/>
    </w:rPr>
  </w:style>
  <w:style w:type="character" w:customStyle="1" w:styleId="169">
    <w:name w:val="标题 3 Char"/>
    <w:link w:val="6"/>
    <w:autoRedefine/>
    <w:qFormat/>
    <w:uiPriority w:val="0"/>
    <w:rPr>
      <w:rFonts w:ascii="宋体" w:hAnsi="Calibri" w:eastAsia="宋体" w:cs="Times New Roman"/>
      <w:kern w:val="0"/>
      <w:sz w:val="24"/>
      <w:szCs w:val="24"/>
    </w:rPr>
  </w:style>
  <w:style w:type="character" w:customStyle="1" w:styleId="170">
    <w:name w:val="正文文本缩进 2 字符1"/>
    <w:autoRedefine/>
    <w:semiHidden/>
    <w:qFormat/>
    <w:uiPriority w:val="99"/>
    <w:rPr>
      <w:rFonts w:ascii="宋体" w:hAnsi="Calibri" w:eastAsia="宋体" w:cs="Times New Roman"/>
      <w:kern w:val="0"/>
      <w:sz w:val="24"/>
      <w:szCs w:val="24"/>
    </w:rPr>
  </w:style>
  <w:style w:type="character" w:customStyle="1" w:styleId="171">
    <w:name w:val="正文文本缩进 3 字符1"/>
    <w:autoRedefine/>
    <w:semiHidden/>
    <w:qFormat/>
    <w:uiPriority w:val="99"/>
    <w:rPr>
      <w:rFonts w:ascii="宋体" w:hAnsi="Calibri" w:eastAsia="宋体" w:cs="Times New Roman"/>
      <w:kern w:val="0"/>
      <w:sz w:val="16"/>
      <w:szCs w:val="16"/>
    </w:rPr>
  </w:style>
  <w:style w:type="character" w:customStyle="1" w:styleId="172">
    <w:name w:val="正文文本 2 字符1"/>
    <w:autoRedefine/>
    <w:semiHidden/>
    <w:qFormat/>
    <w:uiPriority w:val="99"/>
    <w:rPr>
      <w:rFonts w:ascii="宋体" w:hAnsi="Calibri" w:eastAsia="宋体" w:cs="Times New Roman"/>
      <w:kern w:val="0"/>
      <w:sz w:val="24"/>
      <w:szCs w:val="24"/>
    </w:rPr>
  </w:style>
  <w:style w:type="character" w:customStyle="1" w:styleId="173">
    <w:name w:val="eschoolnr"/>
    <w:autoRedefine/>
    <w:qFormat/>
    <w:uiPriority w:val="0"/>
    <w:rPr>
      <w:sz w:val="23"/>
      <w:szCs w:val="23"/>
    </w:rPr>
  </w:style>
  <w:style w:type="character" w:customStyle="1" w:styleId="174">
    <w:name w:val="访问过的超链接1"/>
    <w:autoRedefine/>
    <w:qFormat/>
    <w:uiPriority w:val="0"/>
    <w:rPr>
      <w:rFonts w:ascii="Arial" w:hAnsi="Arial" w:cs="Arial"/>
      <w:color w:val="000000"/>
      <w:sz w:val="20"/>
      <w:szCs w:val="20"/>
      <w:u w:val="none"/>
    </w:rPr>
  </w:style>
  <w:style w:type="character" w:customStyle="1" w:styleId="175">
    <w:name w:val="标题 1 Char1"/>
    <w:link w:val="4"/>
    <w:autoRedefine/>
    <w:qFormat/>
    <w:uiPriority w:val="0"/>
    <w:rPr>
      <w:rFonts w:ascii="宋体" w:hAnsi="Calibri" w:eastAsia="宋体" w:cs="Times New Roman"/>
      <w:kern w:val="0"/>
      <w:sz w:val="24"/>
      <w:szCs w:val="24"/>
    </w:rPr>
  </w:style>
  <w:style w:type="character" w:customStyle="1" w:styleId="176">
    <w:name w:val="批注文字 Char1"/>
    <w:autoRedefine/>
    <w:qFormat/>
    <w:uiPriority w:val="0"/>
    <w:rPr>
      <w:kern w:val="2"/>
      <w:sz w:val="21"/>
      <w:szCs w:val="24"/>
    </w:rPr>
  </w:style>
  <w:style w:type="character" w:customStyle="1" w:styleId="177">
    <w:name w:val="批注框文本 Char"/>
    <w:autoRedefine/>
    <w:semiHidden/>
    <w:qFormat/>
    <w:uiPriority w:val="99"/>
    <w:rPr>
      <w:kern w:val="2"/>
      <w:sz w:val="18"/>
      <w:szCs w:val="18"/>
    </w:rPr>
  </w:style>
  <w:style w:type="character" w:customStyle="1" w:styleId="178">
    <w:name w:val="DAS正文 Char"/>
    <w:autoRedefine/>
    <w:qFormat/>
    <w:uiPriority w:val="0"/>
    <w:rPr>
      <w:rFonts w:ascii="Verdana" w:hAnsi="Verdana" w:eastAsia="宋体"/>
      <w:kern w:val="2"/>
      <w:sz w:val="21"/>
      <w:szCs w:val="21"/>
      <w:lang w:val="en-US" w:eastAsia="zh-CN" w:bidi="ar-SA"/>
    </w:rPr>
  </w:style>
  <w:style w:type="character" w:customStyle="1" w:styleId="179">
    <w:name w:val="正文文本缩进 3 Char"/>
    <w:link w:val="29"/>
    <w:autoRedefine/>
    <w:qFormat/>
    <w:uiPriority w:val="0"/>
    <w:rPr>
      <w:rFonts w:ascii="宋体" w:hAnsi="Times New Roman" w:eastAsia="宋体" w:cs="Times New Roman"/>
      <w:kern w:val="0"/>
      <w:sz w:val="24"/>
      <w:szCs w:val="24"/>
    </w:rPr>
  </w:style>
  <w:style w:type="character" w:customStyle="1" w:styleId="180">
    <w:name w:val="页眉 Char"/>
    <w:autoRedefine/>
    <w:qFormat/>
    <w:uiPriority w:val="99"/>
    <w:rPr>
      <w:kern w:val="2"/>
      <w:sz w:val="18"/>
      <w:szCs w:val="18"/>
    </w:rPr>
  </w:style>
  <w:style w:type="character" w:customStyle="1" w:styleId="181">
    <w:name w:val="正文文本 3 Char"/>
    <w:link w:val="19"/>
    <w:autoRedefine/>
    <w:qFormat/>
    <w:uiPriority w:val="0"/>
    <w:rPr>
      <w:rFonts w:ascii="宋体" w:hAnsi="Times New Roman" w:eastAsia="宋体" w:cs="Times New Roman"/>
      <w:b/>
      <w:bCs/>
      <w:color w:val="3366FF"/>
      <w:sz w:val="52"/>
      <w:szCs w:val="52"/>
      <w:lang w:val="zh-CN"/>
    </w:rPr>
  </w:style>
  <w:style w:type="character" w:customStyle="1" w:styleId="182">
    <w:name w:val="HTML 预设格式 字符1"/>
    <w:autoRedefine/>
    <w:semiHidden/>
    <w:qFormat/>
    <w:uiPriority w:val="99"/>
    <w:rPr>
      <w:rFonts w:ascii="Courier New" w:hAnsi="Courier New" w:eastAsia="宋体" w:cs="Courier New"/>
      <w:kern w:val="0"/>
      <w:sz w:val="20"/>
      <w:szCs w:val="20"/>
    </w:rPr>
  </w:style>
  <w:style w:type="character" w:customStyle="1" w:styleId="183">
    <w:name w:val="彩色列表 - 强调文字颜色 1 Char"/>
    <w:link w:val="55"/>
    <w:autoRedefine/>
    <w:qFormat/>
    <w:uiPriority w:val="0"/>
    <w:rPr>
      <w:rFonts w:ascii="宋体"/>
      <w:sz w:val="24"/>
      <w:szCs w:val="24"/>
    </w:rPr>
  </w:style>
  <w:style w:type="character" w:customStyle="1" w:styleId="184">
    <w:name w:val="普通(网站) 字符"/>
    <w:autoRedefine/>
    <w:qFormat/>
    <w:locked/>
    <w:uiPriority w:val="99"/>
    <w:rPr>
      <w:rFonts w:ascii="宋体" w:hAnsi="宋体" w:eastAsia="宋体" w:cs="Times New Roman"/>
      <w:kern w:val="0"/>
      <w:sz w:val="15"/>
      <w:szCs w:val="15"/>
      <w:lang w:val="en-US" w:eastAsia="zh-CN"/>
    </w:rPr>
  </w:style>
  <w:style w:type="character" w:customStyle="1" w:styleId="185">
    <w:name w:val="纯文本 字符4"/>
    <w:basedOn w:val="38"/>
    <w:autoRedefine/>
    <w:semiHidden/>
    <w:qFormat/>
    <w:uiPriority w:val="99"/>
    <w:rPr>
      <w:rFonts w:ascii="等线" w:hAnsi="Courier New" w:cs="Courier New"/>
    </w:rPr>
  </w:style>
  <w:style w:type="character" w:customStyle="1" w:styleId="186">
    <w:name w:val="批注文字 Char2"/>
    <w:basedOn w:val="38"/>
    <w:link w:val="18"/>
    <w:autoRedefine/>
    <w:semiHidden/>
    <w:qFormat/>
    <w:uiPriority w:val="99"/>
  </w:style>
  <w:style w:type="character" w:customStyle="1" w:styleId="187">
    <w:name w:val="批注主题 字符2"/>
    <w:basedOn w:val="186"/>
    <w:autoRedefine/>
    <w:semiHidden/>
    <w:qFormat/>
    <w:uiPriority w:val="99"/>
    <w:rPr>
      <w:b/>
      <w:bCs/>
    </w:rPr>
  </w:style>
  <w:style w:type="character" w:customStyle="1" w:styleId="188">
    <w:name w:val="标题 字符3"/>
    <w:basedOn w:val="38"/>
    <w:autoRedefine/>
    <w:qFormat/>
    <w:uiPriority w:val="10"/>
    <w:rPr>
      <w:rFonts w:ascii="等线 Light" w:hAnsi="等线 Light" w:eastAsia="等线 Light" w:cs="黑体"/>
      <w:b/>
      <w:bCs/>
      <w:sz w:val="32"/>
      <w:szCs w:val="32"/>
    </w:rPr>
  </w:style>
  <w:style w:type="character" w:customStyle="1" w:styleId="189">
    <w:name w:val="正文文本缩进 字符3"/>
    <w:basedOn w:val="38"/>
    <w:autoRedefine/>
    <w:semiHidden/>
    <w:qFormat/>
    <w:uiPriority w:val="99"/>
  </w:style>
  <w:style w:type="character" w:customStyle="1" w:styleId="190">
    <w:name w:val="正文文本 字符4"/>
    <w:basedOn w:val="38"/>
    <w:autoRedefine/>
    <w:semiHidden/>
    <w:qFormat/>
    <w:uiPriority w:val="99"/>
  </w:style>
  <w:style w:type="character" w:customStyle="1" w:styleId="191">
    <w:name w:val="正文文本缩进 3 字符2"/>
    <w:basedOn w:val="38"/>
    <w:autoRedefine/>
    <w:semiHidden/>
    <w:qFormat/>
    <w:uiPriority w:val="99"/>
    <w:rPr>
      <w:sz w:val="16"/>
      <w:szCs w:val="16"/>
    </w:rPr>
  </w:style>
  <w:style w:type="character" w:customStyle="1" w:styleId="192">
    <w:name w:val="页眉 字符2"/>
    <w:basedOn w:val="38"/>
    <w:autoRedefine/>
    <w:semiHidden/>
    <w:qFormat/>
    <w:uiPriority w:val="99"/>
    <w:rPr>
      <w:sz w:val="18"/>
      <w:szCs w:val="18"/>
    </w:rPr>
  </w:style>
  <w:style w:type="character" w:customStyle="1" w:styleId="193">
    <w:name w:val="批注框文本 字符2"/>
    <w:basedOn w:val="38"/>
    <w:autoRedefine/>
    <w:semiHidden/>
    <w:qFormat/>
    <w:uiPriority w:val="99"/>
    <w:rPr>
      <w:sz w:val="18"/>
      <w:szCs w:val="18"/>
    </w:rPr>
  </w:style>
  <w:style w:type="character" w:customStyle="1" w:styleId="194">
    <w:name w:val="HTML 预设格式 字符2"/>
    <w:basedOn w:val="38"/>
    <w:autoRedefine/>
    <w:semiHidden/>
    <w:qFormat/>
    <w:uiPriority w:val="99"/>
    <w:rPr>
      <w:rFonts w:ascii="Courier New" w:hAnsi="Courier New" w:cs="Courier New"/>
      <w:sz w:val="20"/>
      <w:szCs w:val="20"/>
    </w:rPr>
  </w:style>
  <w:style w:type="character" w:customStyle="1" w:styleId="195">
    <w:name w:val="页脚 字符2"/>
    <w:basedOn w:val="38"/>
    <w:autoRedefine/>
    <w:semiHidden/>
    <w:qFormat/>
    <w:uiPriority w:val="99"/>
    <w:rPr>
      <w:sz w:val="18"/>
      <w:szCs w:val="18"/>
    </w:rPr>
  </w:style>
  <w:style w:type="character" w:customStyle="1" w:styleId="196">
    <w:name w:val="正文文本缩进 2 字符2"/>
    <w:basedOn w:val="38"/>
    <w:autoRedefine/>
    <w:semiHidden/>
    <w:qFormat/>
    <w:uiPriority w:val="99"/>
  </w:style>
  <w:style w:type="character" w:customStyle="1" w:styleId="197">
    <w:name w:val="正文文本 3 字符2"/>
    <w:basedOn w:val="38"/>
    <w:autoRedefine/>
    <w:semiHidden/>
    <w:qFormat/>
    <w:uiPriority w:val="99"/>
    <w:rPr>
      <w:sz w:val="16"/>
      <w:szCs w:val="16"/>
    </w:rPr>
  </w:style>
  <w:style w:type="character" w:customStyle="1" w:styleId="198">
    <w:name w:val="正文文本 2 字符2"/>
    <w:basedOn w:val="38"/>
    <w:autoRedefine/>
    <w:semiHidden/>
    <w:qFormat/>
    <w:uiPriority w:val="99"/>
  </w:style>
  <w:style w:type="character" w:customStyle="1" w:styleId="199">
    <w:name w:val="文档结构图 字符2"/>
    <w:basedOn w:val="38"/>
    <w:autoRedefine/>
    <w:semiHidden/>
    <w:qFormat/>
    <w:uiPriority w:val="99"/>
    <w:rPr>
      <w:rFonts w:ascii="Microsoft YaHei UI" w:eastAsia="Microsoft YaHei UI"/>
      <w:sz w:val="18"/>
      <w:szCs w:val="18"/>
    </w:rPr>
  </w:style>
  <w:style w:type="character" w:customStyle="1" w:styleId="200">
    <w:name w:val="日期 字符2"/>
    <w:basedOn w:val="38"/>
    <w:autoRedefine/>
    <w:semiHidden/>
    <w:qFormat/>
    <w:uiPriority w:val="99"/>
  </w:style>
  <w:style w:type="character" w:customStyle="1" w:styleId="201">
    <w:name w:val="正文首行缩进 Char"/>
    <w:basedOn w:val="146"/>
    <w:link w:val="35"/>
    <w:autoRedefine/>
    <w:semiHidden/>
    <w:qFormat/>
    <w:uiPriority w:val="99"/>
    <w:rPr>
      <w:rFonts w:ascii="宋体" w:eastAsia="宋体"/>
      <w:b w:val="0"/>
      <w:bCs w:val="0"/>
      <w:sz w:val="84"/>
      <w:szCs w:val="84"/>
      <w:lang w:val="zh-CN"/>
    </w:rPr>
  </w:style>
  <w:style w:type="character" w:customStyle="1" w:styleId="202">
    <w:name w:val="10"/>
    <w:basedOn w:val="38"/>
    <w:autoRedefine/>
    <w:qFormat/>
    <w:uiPriority w:val="0"/>
    <w:rPr>
      <w:rFonts w:hint="default" w:ascii="Times New Roman" w:hAnsi="Times New Roman" w:cs="Times New Roman"/>
    </w:rPr>
  </w:style>
  <w:style w:type="character" w:customStyle="1" w:styleId="203">
    <w:name w:val="15"/>
    <w:basedOn w:val="38"/>
    <w:autoRedefine/>
    <w:qFormat/>
    <w:uiPriority w:val="0"/>
    <w:rPr>
      <w:rFonts w:hint="eastAsia" w:ascii="宋体" w:hAnsi="宋体" w:eastAsia="宋体" w:cs="宋体"/>
      <w:color w:val="FF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115</Pages>
  <Words>24467</Words>
  <Characters>25974</Characters>
  <Lines>1</Lines>
  <Paragraphs>1</Paragraphs>
  <TotalTime>5</TotalTime>
  <ScaleCrop>false</ScaleCrop>
  <LinksUpToDate>false</LinksUpToDate>
  <CharactersWithSpaces>26384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cp:lastModifiedBy>
  <cp:lastPrinted>2024-07-01T02:48:00Z</cp:lastPrinted>
  <dcterms:modified xsi:type="dcterms:W3CDTF">2025-04-02T09:05:10Z</dcterms:modified>
  <dc:title>东莞市污泥集中处理处置项目-生产区标段第三方检测（不含基桩完整性检测）服务采购项目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C1E08CBCC44B4AB089C07153842BAE37_13</vt:lpwstr>
  </property>
  <property fmtid="{D5CDD505-2E9C-101B-9397-08002B2CF9AE}" pid="4" name="KSOTemplateDocerSaveRecord">
    <vt:lpwstr>eyJoZGlkIjoiZmQ4ZGY0MmJmY2E0NzM2NWZjNTBkNmQxZGI1Y2UzMWQiLCJ1c2VySWQiOiI4MTE2MjA3NDIifQ==</vt:lpwstr>
  </property>
</Properties>
</file>