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C50434">
      <w:pPr>
        <w:autoSpaceDE w:val="0"/>
        <w:autoSpaceDN w:val="0"/>
        <w:adjustRightInd w:val="0"/>
        <w:spacing w:line="276" w:lineRule="auto"/>
        <w:ind w:left="357" w:leftChars="170" w:right="-23" w:rightChars="-11"/>
        <w:jc w:val="center"/>
        <w:rPr>
          <w:rFonts w:ascii="宋体" w:hAnsi="宋体" w:eastAsia="宋体" w:cs="宋体"/>
          <w:b/>
          <w:bCs/>
          <w:color w:val="auto"/>
          <w:kern w:val="0"/>
          <w:sz w:val="52"/>
          <w:szCs w:val="52"/>
          <w:highlight w:val="none"/>
          <w:lang w:val="zh-CN"/>
        </w:rPr>
      </w:pPr>
    </w:p>
    <w:p w14:paraId="514EC583">
      <w:pPr>
        <w:jc w:val="center"/>
        <w:rPr>
          <w:rFonts w:hint="eastAsia" w:ascii="宋体" w:hAnsi="宋体" w:eastAsia="宋体" w:cs="宋体"/>
          <w:b/>
          <w:bCs/>
          <w:color w:val="auto"/>
          <w:sz w:val="60"/>
          <w:szCs w:val="60"/>
          <w:highlight w:val="none"/>
          <w:lang w:val="zh-CN"/>
        </w:rPr>
      </w:pPr>
      <w:r>
        <w:rPr>
          <w:rFonts w:hint="eastAsia" w:ascii="宋体" w:hAnsi="宋体" w:eastAsia="宋体" w:cs="宋体"/>
          <w:b/>
          <w:bCs/>
          <w:color w:val="auto"/>
          <w:sz w:val="60"/>
          <w:szCs w:val="60"/>
          <w:highlight w:val="none"/>
          <w:lang w:val="zh-CN"/>
        </w:rPr>
        <w:t>东莞市水务集团净水有限公司2025年生产药剂液体柠檬酸采购项目</w:t>
      </w:r>
    </w:p>
    <w:p w14:paraId="5E77E86F">
      <w:pPr>
        <w:jc w:val="center"/>
        <w:rPr>
          <w:rFonts w:hint="eastAsia" w:ascii="宋体" w:hAnsi="宋体" w:eastAsia="宋体" w:cs="宋体"/>
          <w:b/>
          <w:bCs/>
          <w:color w:val="auto"/>
          <w:sz w:val="60"/>
          <w:szCs w:val="60"/>
          <w:highlight w:val="none"/>
          <w:lang w:val="zh-CN"/>
        </w:rPr>
      </w:pPr>
      <w:r>
        <w:rPr>
          <w:rFonts w:hint="eastAsia" w:ascii="宋体" w:hAnsi="宋体" w:eastAsia="宋体" w:cs="宋体"/>
          <w:b/>
          <w:bCs/>
          <w:color w:val="auto"/>
          <w:sz w:val="60"/>
          <w:szCs w:val="60"/>
          <w:highlight w:val="none"/>
          <w:lang w:val="zh-CN"/>
        </w:rPr>
        <w:t>（重新招标）</w:t>
      </w:r>
    </w:p>
    <w:p w14:paraId="0C374C5C">
      <w:pPr>
        <w:autoSpaceDE w:val="0"/>
        <w:autoSpaceDN w:val="0"/>
        <w:adjustRightInd w:val="0"/>
        <w:spacing w:line="276" w:lineRule="auto"/>
        <w:ind w:left="357" w:leftChars="170" w:right="-23" w:rightChars="-11"/>
        <w:jc w:val="center"/>
        <w:rPr>
          <w:rFonts w:ascii="宋体" w:hAnsi="宋体" w:eastAsia="宋体" w:cs="宋体"/>
          <w:b/>
          <w:bCs/>
          <w:color w:val="auto"/>
          <w:kern w:val="0"/>
          <w:sz w:val="44"/>
          <w:szCs w:val="44"/>
          <w:highlight w:val="none"/>
          <w:lang w:val="zh-CN"/>
        </w:rPr>
      </w:pPr>
    </w:p>
    <w:p w14:paraId="602718AE">
      <w:pPr>
        <w:autoSpaceDE w:val="0"/>
        <w:autoSpaceDN w:val="0"/>
        <w:adjustRightInd w:val="0"/>
        <w:ind w:right="-23" w:rightChars="-11"/>
        <w:jc w:val="left"/>
        <w:rPr>
          <w:rFonts w:ascii="宋体" w:hAnsi="宋体" w:eastAsia="宋体" w:cs="宋体"/>
          <w:b/>
          <w:bCs/>
          <w:color w:val="auto"/>
          <w:sz w:val="44"/>
          <w:szCs w:val="44"/>
          <w:highlight w:val="none"/>
          <w:lang w:val="zh-CN"/>
        </w:rPr>
      </w:pPr>
    </w:p>
    <w:p w14:paraId="1393CC07">
      <w:pPr>
        <w:autoSpaceDE w:val="0"/>
        <w:autoSpaceDN w:val="0"/>
        <w:adjustRightInd w:val="0"/>
        <w:ind w:right="-23" w:rightChars="-11"/>
        <w:jc w:val="center"/>
        <w:rPr>
          <w:rFonts w:hint="eastAsia" w:ascii="宋体" w:hAnsi="宋体" w:eastAsia="宋体" w:cs="Times New Roman"/>
          <w:b/>
          <w:bCs/>
          <w:color w:val="auto"/>
          <w:sz w:val="72"/>
          <w:szCs w:val="72"/>
          <w:highlight w:val="none"/>
          <w:lang w:val="en-US" w:eastAsia="zh-CN"/>
        </w:rPr>
      </w:pPr>
    </w:p>
    <w:p w14:paraId="6190DE31">
      <w:pPr>
        <w:autoSpaceDE w:val="0"/>
        <w:autoSpaceDN w:val="0"/>
        <w:adjustRightInd w:val="0"/>
        <w:ind w:right="-23" w:rightChars="-11"/>
        <w:jc w:val="center"/>
        <w:rPr>
          <w:rFonts w:ascii="宋体" w:hAnsi="宋体" w:eastAsia="宋体" w:cs="Times New Roman"/>
          <w:b/>
          <w:bCs/>
          <w:color w:val="auto"/>
          <w:sz w:val="72"/>
          <w:szCs w:val="72"/>
          <w:highlight w:val="none"/>
          <w:lang w:val="zh-CN"/>
        </w:rPr>
      </w:pPr>
      <w:r>
        <w:rPr>
          <w:rFonts w:hint="eastAsia" w:ascii="宋体" w:hAnsi="宋体" w:eastAsia="宋体" w:cs="Times New Roman"/>
          <w:b/>
          <w:bCs/>
          <w:color w:val="auto"/>
          <w:sz w:val="72"/>
          <w:szCs w:val="72"/>
          <w:highlight w:val="none"/>
          <w:lang w:val="zh-CN"/>
        </w:rPr>
        <w:t>招</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标</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文</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件</w:t>
      </w:r>
    </w:p>
    <w:p w14:paraId="323A9693">
      <w:pPr>
        <w:autoSpaceDE w:val="0"/>
        <w:autoSpaceDN w:val="0"/>
        <w:adjustRightInd w:val="0"/>
        <w:ind w:right="-23" w:rightChars="-11"/>
        <w:jc w:val="center"/>
        <w:rPr>
          <w:rFonts w:ascii="宋体" w:hAnsi="宋体" w:eastAsia="宋体" w:cs="宋体"/>
          <w:b/>
          <w:bCs/>
          <w:color w:val="auto"/>
          <w:sz w:val="32"/>
          <w:szCs w:val="32"/>
          <w:highlight w:val="none"/>
          <w:lang w:val="zh-CN"/>
        </w:rPr>
      </w:pPr>
    </w:p>
    <w:p w14:paraId="523DBAA5">
      <w:pPr>
        <w:autoSpaceDE w:val="0"/>
        <w:autoSpaceDN w:val="0"/>
        <w:adjustRightInd w:val="0"/>
        <w:ind w:right="-23" w:rightChars="-11"/>
        <w:jc w:val="center"/>
        <w:rPr>
          <w:rFonts w:ascii="宋体" w:hAnsi="宋体" w:eastAsia="宋体" w:cs="宋体"/>
          <w:b/>
          <w:bCs/>
          <w:color w:val="auto"/>
          <w:sz w:val="44"/>
          <w:szCs w:val="44"/>
          <w:highlight w:val="none"/>
          <w:lang w:val="zh-CN"/>
        </w:rPr>
      </w:pPr>
    </w:p>
    <w:p w14:paraId="454D7E44">
      <w:pPr>
        <w:autoSpaceDE w:val="0"/>
        <w:autoSpaceDN w:val="0"/>
        <w:adjustRightInd w:val="0"/>
        <w:ind w:right="-23" w:rightChars="-11"/>
        <w:jc w:val="left"/>
        <w:rPr>
          <w:rFonts w:ascii="宋体" w:hAnsi="宋体" w:eastAsia="宋体" w:cs="宋体"/>
          <w:b/>
          <w:bCs/>
          <w:color w:val="auto"/>
          <w:sz w:val="32"/>
          <w:szCs w:val="32"/>
          <w:highlight w:val="none"/>
          <w:u w:val="single"/>
          <w:lang w:val="zh-CN"/>
        </w:rPr>
      </w:pPr>
    </w:p>
    <w:p w14:paraId="0BA707F5">
      <w:pPr>
        <w:ind w:left="0" w:leftChars="0" w:firstLine="1898" w:firstLineChars="904"/>
        <w:rPr>
          <w:color w:val="auto"/>
          <w:highlight w:val="none"/>
          <w:lang w:val="zh-CN"/>
        </w:rPr>
      </w:pPr>
    </w:p>
    <w:p w14:paraId="686446C9">
      <w:pPr>
        <w:keepNext w:val="0"/>
        <w:keepLines w:val="0"/>
        <w:pageBreakBefore w:val="0"/>
        <w:widowControl w:val="0"/>
        <w:kinsoku/>
        <w:wordWrap/>
        <w:overflowPunct/>
        <w:topLinePunct w:val="0"/>
        <w:autoSpaceDE/>
        <w:autoSpaceDN/>
        <w:bidi w:val="0"/>
        <w:adjustRightInd/>
        <w:snapToGrid/>
        <w:spacing w:line="480" w:lineRule="auto"/>
        <w:ind w:left="0" w:leftChars="0" w:firstLine="1886" w:firstLineChars="587"/>
        <w:textAlignment w:val="auto"/>
        <w:rPr>
          <w:rFonts w:hint="eastAsia" w:ascii="宋体" w:hAnsi="宋体" w:eastAsia="宋体" w:cs="宋体"/>
          <w:b/>
          <w:bCs/>
          <w:color w:val="auto"/>
          <w:sz w:val="32"/>
          <w:szCs w:val="32"/>
          <w:highlight w:val="none"/>
          <w:lang w:val="zh-CN"/>
        </w:rPr>
      </w:pPr>
      <w:bookmarkStart w:id="0" w:name="_Toc22544"/>
      <w:r>
        <w:rPr>
          <w:rFonts w:hint="eastAsia" w:ascii="宋体" w:hAnsi="宋体" w:eastAsia="宋体" w:cs="宋体"/>
          <w:b/>
          <w:bCs/>
          <w:color w:val="auto"/>
          <w:sz w:val="32"/>
          <w:szCs w:val="32"/>
          <w:highlight w:val="none"/>
          <w:lang w:val="zh-CN"/>
        </w:rPr>
        <w:t>招</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标</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编</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号：</w:t>
      </w:r>
      <w:bookmarkEnd w:id="0"/>
      <w:r>
        <w:rPr>
          <w:rFonts w:hint="eastAsia" w:ascii="宋体" w:hAnsi="宋体" w:eastAsia="宋体" w:cs="宋体"/>
          <w:b/>
          <w:bCs/>
          <w:color w:val="auto"/>
          <w:sz w:val="32"/>
          <w:szCs w:val="32"/>
          <w:highlight w:val="none"/>
          <w:lang w:val="zh-CN"/>
        </w:rPr>
        <w:t>YDZB24DGQY0194-1</w:t>
      </w:r>
    </w:p>
    <w:p w14:paraId="005F597C">
      <w:pPr>
        <w:keepNext w:val="0"/>
        <w:keepLines w:val="0"/>
        <w:pageBreakBefore w:val="0"/>
        <w:widowControl w:val="0"/>
        <w:kinsoku/>
        <w:wordWrap/>
        <w:overflowPunct/>
        <w:topLinePunct w:val="0"/>
        <w:autoSpaceDE/>
        <w:autoSpaceDN/>
        <w:bidi w:val="0"/>
        <w:adjustRightInd/>
        <w:snapToGrid/>
        <w:spacing w:line="480" w:lineRule="auto"/>
        <w:ind w:left="0" w:leftChars="0" w:firstLine="1886" w:firstLineChars="587"/>
        <w:textAlignment w:val="auto"/>
        <w:rPr>
          <w:rFonts w:hint="eastAsia" w:ascii="宋体" w:hAnsi="宋体" w:eastAsia="宋体" w:cs="宋体"/>
          <w:b/>
          <w:bCs/>
          <w:color w:val="auto"/>
          <w:sz w:val="32"/>
          <w:szCs w:val="32"/>
          <w:highlight w:val="none"/>
          <w:lang w:val="zh-CN"/>
        </w:rPr>
      </w:pPr>
      <w:bookmarkStart w:id="1" w:name="_Toc30193"/>
      <w:r>
        <w:rPr>
          <w:rFonts w:hint="eastAsia" w:ascii="宋体" w:hAnsi="宋体" w:eastAsia="宋体" w:cs="宋体"/>
          <w:b/>
          <w:bCs/>
          <w:color w:val="auto"/>
          <w:sz w:val="32"/>
          <w:szCs w:val="32"/>
          <w:highlight w:val="none"/>
          <w:lang w:val="zh-CN"/>
        </w:rPr>
        <w:t>招 标 人：东莞市水务集团净水有限公司</w:t>
      </w:r>
      <w:bookmarkEnd w:id="1"/>
    </w:p>
    <w:p w14:paraId="5293B218">
      <w:pPr>
        <w:keepNext w:val="0"/>
        <w:keepLines w:val="0"/>
        <w:pageBreakBefore w:val="0"/>
        <w:widowControl w:val="0"/>
        <w:kinsoku/>
        <w:wordWrap/>
        <w:overflowPunct/>
        <w:topLinePunct w:val="0"/>
        <w:autoSpaceDE/>
        <w:autoSpaceDN/>
        <w:bidi w:val="0"/>
        <w:adjustRightInd/>
        <w:snapToGrid/>
        <w:spacing w:line="480" w:lineRule="auto"/>
        <w:ind w:left="0" w:leftChars="0" w:firstLine="1886" w:firstLineChars="587"/>
        <w:textAlignment w:val="auto"/>
        <w:rPr>
          <w:rFonts w:hint="eastAsia" w:ascii="宋体" w:hAnsi="宋体" w:eastAsia="宋体" w:cs="宋体"/>
          <w:b/>
          <w:bCs/>
          <w:color w:val="auto"/>
          <w:sz w:val="32"/>
          <w:szCs w:val="32"/>
          <w:highlight w:val="none"/>
          <w:lang w:val="zh-CN"/>
        </w:rPr>
      </w:pPr>
      <w:bookmarkStart w:id="2" w:name="_Toc24413"/>
      <w:r>
        <w:rPr>
          <w:rFonts w:hint="eastAsia" w:ascii="宋体" w:hAnsi="宋体" w:eastAsia="宋体" w:cs="宋体"/>
          <w:b/>
          <w:bCs/>
          <w:color w:val="auto"/>
          <w:sz w:val="32"/>
          <w:szCs w:val="32"/>
          <w:highlight w:val="none"/>
          <w:lang w:val="zh-CN"/>
        </w:rPr>
        <w:t>招标代理机构：广东有德招标采购有限公司</w:t>
      </w:r>
      <w:bookmarkEnd w:id="2"/>
    </w:p>
    <w:p w14:paraId="3EDB3528">
      <w:pPr>
        <w:autoSpaceDE w:val="0"/>
        <w:autoSpaceDN w:val="0"/>
        <w:adjustRightInd w:val="0"/>
        <w:ind w:right="-23" w:rightChars="-11"/>
        <w:jc w:val="left"/>
        <w:rPr>
          <w:rFonts w:ascii="宋体" w:hAnsi="宋体" w:eastAsia="宋体" w:cs="Times New Roman"/>
          <w:b/>
          <w:bCs/>
          <w:color w:val="auto"/>
          <w:kern w:val="0"/>
          <w:sz w:val="32"/>
          <w:szCs w:val="32"/>
          <w:highlight w:val="none"/>
          <w:lang w:val="zh-CN"/>
        </w:rPr>
      </w:pPr>
    </w:p>
    <w:p w14:paraId="06E976E2">
      <w:pPr>
        <w:autoSpaceDE w:val="0"/>
        <w:autoSpaceDN w:val="0"/>
        <w:adjustRightInd w:val="0"/>
        <w:ind w:right="-23" w:rightChars="-11"/>
        <w:jc w:val="center"/>
        <w:rPr>
          <w:rFonts w:ascii="宋体" w:hAnsi="宋体" w:eastAsia="宋体" w:cs="Times New Roman"/>
          <w:b/>
          <w:bCs/>
          <w:color w:val="auto"/>
          <w:kern w:val="0"/>
          <w:sz w:val="84"/>
          <w:szCs w:val="84"/>
          <w:highlight w:val="none"/>
          <w:lang w:val="zh-CN"/>
        </w:rPr>
      </w:pPr>
    </w:p>
    <w:p w14:paraId="51EF9224">
      <w:pPr>
        <w:autoSpaceDE w:val="0"/>
        <w:autoSpaceDN w:val="0"/>
        <w:adjustRightInd w:val="0"/>
        <w:spacing w:line="360" w:lineRule="auto"/>
        <w:ind w:left="357" w:leftChars="170" w:right="-23" w:rightChars="-11" w:firstLine="321" w:firstLineChars="100"/>
        <w:jc w:val="center"/>
        <w:rPr>
          <w:rFonts w:ascii="宋体" w:hAnsi="宋体" w:eastAsia="宋体" w:cs="宋体"/>
          <w:b/>
          <w:bCs/>
          <w:color w:val="auto"/>
          <w:kern w:val="0"/>
          <w:sz w:val="52"/>
          <w:szCs w:val="52"/>
          <w:highlight w:val="none"/>
        </w:rPr>
      </w:pPr>
      <w:r>
        <w:rPr>
          <w:rFonts w:hint="eastAsia" w:ascii="宋体" w:hAnsi="宋体" w:eastAsia="宋体" w:cs="宋体"/>
          <w:b/>
          <w:bCs/>
          <w:color w:val="auto"/>
          <w:sz w:val="32"/>
          <w:szCs w:val="32"/>
          <w:highlight w:val="none"/>
          <w:lang w:val="en-US" w:eastAsia="zh-CN"/>
        </w:rPr>
        <w:t>2025</w:t>
      </w:r>
      <w:r>
        <w:rPr>
          <w:rFonts w:hint="eastAsia" w:ascii="宋体" w:hAnsi="宋体" w:eastAsia="宋体" w:cs="宋体"/>
          <w:b/>
          <w:bCs/>
          <w:color w:val="auto"/>
          <w:sz w:val="32"/>
          <w:szCs w:val="32"/>
          <w:highlight w:val="none"/>
          <w:lang w:val="zh-CN"/>
        </w:rPr>
        <w:t>年</w:t>
      </w:r>
      <w:r>
        <w:rPr>
          <w:rFonts w:hint="eastAsia" w:ascii="宋体" w:hAnsi="宋体" w:eastAsia="宋体" w:cs="宋体"/>
          <w:b/>
          <w:bCs/>
          <w:color w:val="auto"/>
          <w:sz w:val="32"/>
          <w:szCs w:val="32"/>
          <w:highlight w:val="none"/>
          <w:lang w:val="en-US" w:eastAsia="zh-CN"/>
        </w:rPr>
        <w:t>03</w:t>
      </w:r>
      <w:r>
        <w:rPr>
          <w:rFonts w:hint="eastAsia" w:ascii="宋体" w:hAnsi="宋体" w:eastAsia="宋体" w:cs="宋体"/>
          <w:b/>
          <w:bCs/>
          <w:color w:val="auto"/>
          <w:sz w:val="32"/>
          <w:szCs w:val="32"/>
          <w:highlight w:val="none"/>
          <w:lang w:val="zh-CN"/>
        </w:rPr>
        <w:t>月</w:t>
      </w:r>
      <w:r>
        <w:rPr>
          <w:rFonts w:hint="eastAsia" w:ascii="宋体" w:hAnsi="宋体" w:eastAsia="宋体" w:cs="宋体"/>
          <w:b/>
          <w:bCs/>
          <w:color w:val="auto"/>
          <w:sz w:val="32"/>
          <w:szCs w:val="32"/>
          <w:highlight w:val="none"/>
          <w:lang w:val="en-US" w:eastAsia="zh-CN"/>
        </w:rPr>
        <w:t>20</w:t>
      </w:r>
      <w:r>
        <w:rPr>
          <w:rFonts w:hint="eastAsia" w:ascii="宋体" w:hAnsi="宋体" w:eastAsia="宋体" w:cs="宋体"/>
          <w:b/>
          <w:bCs/>
          <w:color w:val="auto"/>
          <w:sz w:val="32"/>
          <w:szCs w:val="32"/>
          <w:highlight w:val="none"/>
          <w:lang w:val="zh-CN"/>
        </w:rPr>
        <w:t>日</w:t>
      </w:r>
    </w:p>
    <w:p w14:paraId="2783BA5B">
      <w:pPr>
        <w:pageBreakBefore/>
        <w:tabs>
          <w:tab w:val="left" w:pos="9923"/>
          <w:tab w:val="left" w:pos="10206"/>
        </w:tabs>
        <w:autoSpaceDE w:val="0"/>
        <w:autoSpaceDN w:val="0"/>
        <w:adjustRightInd w:val="0"/>
        <w:spacing w:line="360" w:lineRule="auto"/>
        <w:jc w:val="center"/>
        <w:rPr>
          <w:rFonts w:ascii="宋体" w:hAnsi="宋体" w:eastAsia="宋体" w:cs="Times New Roman"/>
          <w:b/>
          <w:color w:val="auto"/>
          <w:kern w:val="0"/>
          <w:szCs w:val="21"/>
          <w:highlight w:val="none"/>
        </w:rPr>
      </w:pPr>
      <w:bookmarkStart w:id="3" w:name="_Toc4578"/>
      <w:r>
        <w:rPr>
          <w:rFonts w:ascii="宋体" w:hAnsi="宋体" w:eastAsia="宋体" w:cs="Times New Roman"/>
          <w:b/>
          <w:color w:val="auto"/>
          <w:kern w:val="0"/>
          <w:sz w:val="24"/>
          <w:szCs w:val="24"/>
          <w:highlight w:val="none"/>
        </w:rPr>
        <w:t>目</w:t>
      </w:r>
      <w:r>
        <w:rPr>
          <w:rFonts w:hint="eastAsia" w:ascii="宋体" w:hAnsi="宋体" w:eastAsia="宋体" w:cs="Times New Roman"/>
          <w:b/>
          <w:color w:val="auto"/>
          <w:kern w:val="0"/>
          <w:sz w:val="24"/>
          <w:szCs w:val="24"/>
          <w:highlight w:val="none"/>
          <w:lang w:val="en-US" w:eastAsia="zh-CN"/>
        </w:rPr>
        <w:t xml:space="preserve">  </w:t>
      </w:r>
      <w:r>
        <w:rPr>
          <w:rFonts w:ascii="宋体" w:hAnsi="宋体" w:eastAsia="宋体" w:cs="Times New Roman"/>
          <w:b/>
          <w:color w:val="auto"/>
          <w:kern w:val="0"/>
          <w:sz w:val="24"/>
          <w:szCs w:val="24"/>
          <w:highlight w:val="none"/>
        </w:rPr>
        <w:t>录</w:t>
      </w:r>
    </w:p>
    <w:p w14:paraId="2FD7C7A7">
      <w:pPr>
        <w:pStyle w:val="30"/>
        <w:keepNext w:val="0"/>
        <w:keepLines w:val="0"/>
        <w:widowControl w:val="0"/>
        <w:tabs>
          <w:tab w:val="right" w:leader="dot" w:pos="10154"/>
        </w:tabs>
        <w:kinsoku/>
        <w:wordWrap/>
        <w:overflowPunct/>
        <w:topLinePunct w:val="0"/>
        <w:bidi w:val="0"/>
        <w:snapToGrid/>
        <w:spacing w:line="360" w:lineRule="auto"/>
        <w:ind w:left="0" w:leftChars="0" w:firstLine="0" w:firstLineChars="0"/>
        <w:textAlignment w:val="auto"/>
        <w:rPr>
          <w:rFonts w:hint="eastAsia" w:ascii="宋体" w:hAnsi="宋体" w:eastAsia="宋体" w:cs="宋体"/>
          <w:b/>
          <w:bCs w:val="0"/>
          <w:color w:val="auto"/>
          <w:highlight w:val="none"/>
        </w:rPr>
      </w:pP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TOC \o "1-3" \h \u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val="0"/>
          <w:color w:val="auto"/>
          <w:szCs w:val="21"/>
          <w:highlight w:val="none"/>
        </w:rPr>
        <w:fldChar w:fldCharType="begin"/>
      </w:r>
      <w:r>
        <w:rPr>
          <w:rFonts w:hint="eastAsia" w:ascii="宋体" w:hAnsi="宋体" w:eastAsia="宋体" w:cs="宋体"/>
          <w:b/>
          <w:bCs w:val="0"/>
          <w:color w:val="auto"/>
          <w:szCs w:val="21"/>
          <w:highlight w:val="none"/>
        </w:rPr>
        <w:instrText xml:space="preserve"> HYPERLINK \l _Toc22372 </w:instrText>
      </w:r>
      <w:r>
        <w:rPr>
          <w:rFonts w:hint="eastAsia" w:ascii="宋体" w:hAnsi="宋体" w:eastAsia="宋体" w:cs="宋体"/>
          <w:b/>
          <w:bCs w:val="0"/>
          <w:color w:val="auto"/>
          <w:szCs w:val="21"/>
          <w:highlight w:val="none"/>
        </w:rPr>
        <w:fldChar w:fldCharType="separate"/>
      </w:r>
      <w:r>
        <w:rPr>
          <w:rFonts w:hint="eastAsia" w:ascii="宋体" w:hAnsi="宋体" w:eastAsia="宋体" w:cs="宋体"/>
          <w:b/>
          <w:bCs w:val="0"/>
          <w:color w:val="auto"/>
          <w:kern w:val="44"/>
          <w:szCs w:val="32"/>
          <w:highlight w:val="none"/>
          <w:lang w:val="zh-CN"/>
        </w:rPr>
        <w:t>第</w:t>
      </w:r>
      <w:r>
        <w:rPr>
          <w:rFonts w:hint="eastAsia" w:ascii="宋体" w:hAnsi="宋体" w:eastAsia="宋体" w:cs="宋体"/>
          <w:b/>
          <w:bCs w:val="0"/>
          <w:color w:val="auto"/>
          <w:kern w:val="44"/>
          <w:szCs w:val="32"/>
          <w:highlight w:val="none"/>
          <w:lang w:val="en-US" w:eastAsia="zh-CN"/>
        </w:rPr>
        <w:t>一</w:t>
      </w:r>
      <w:r>
        <w:rPr>
          <w:rFonts w:hint="eastAsia" w:ascii="宋体" w:hAnsi="宋体" w:eastAsia="宋体" w:cs="宋体"/>
          <w:b/>
          <w:bCs w:val="0"/>
          <w:color w:val="auto"/>
          <w:kern w:val="44"/>
          <w:szCs w:val="32"/>
          <w:highlight w:val="none"/>
          <w:lang w:val="zh-CN"/>
        </w:rPr>
        <w:t>篇</w:t>
      </w:r>
      <w:r>
        <w:rPr>
          <w:rFonts w:hint="eastAsia" w:ascii="宋体" w:hAnsi="宋体" w:eastAsia="宋体" w:cs="宋体"/>
          <w:b/>
          <w:bCs w:val="0"/>
          <w:color w:val="auto"/>
          <w:kern w:val="44"/>
          <w:szCs w:val="32"/>
          <w:highlight w:val="none"/>
        </w:rPr>
        <w:t xml:space="preserve"> </w:t>
      </w:r>
      <w:r>
        <w:rPr>
          <w:rFonts w:hint="eastAsia" w:ascii="宋体" w:hAnsi="宋体" w:eastAsia="宋体" w:cs="宋体"/>
          <w:b/>
          <w:bCs w:val="0"/>
          <w:color w:val="auto"/>
          <w:kern w:val="44"/>
          <w:szCs w:val="32"/>
          <w:highlight w:val="none"/>
          <w:lang w:val="en-US" w:eastAsia="zh-CN"/>
        </w:rPr>
        <w:t>招标公告</w:t>
      </w:r>
      <w:r>
        <w:rPr>
          <w:rFonts w:hint="eastAsia" w:ascii="宋体" w:hAnsi="宋体" w:eastAsia="宋体" w:cs="宋体"/>
          <w:b/>
          <w:bCs w:val="0"/>
          <w:color w:val="auto"/>
          <w:highlight w:val="none"/>
        </w:rPr>
        <w:tab/>
      </w:r>
      <w:r>
        <w:rPr>
          <w:rFonts w:hint="eastAsia" w:ascii="宋体" w:hAnsi="宋体" w:eastAsia="宋体" w:cs="宋体"/>
          <w:b/>
          <w:bCs w:val="0"/>
          <w:color w:val="auto"/>
          <w:highlight w:val="none"/>
        </w:rPr>
        <w:fldChar w:fldCharType="begin"/>
      </w:r>
      <w:r>
        <w:rPr>
          <w:rFonts w:hint="eastAsia" w:ascii="宋体" w:hAnsi="宋体" w:eastAsia="宋体" w:cs="宋体"/>
          <w:b/>
          <w:bCs w:val="0"/>
          <w:color w:val="auto"/>
          <w:highlight w:val="none"/>
        </w:rPr>
        <w:instrText xml:space="preserve"> PAGEREF _Toc22372 \h </w:instrText>
      </w:r>
      <w:r>
        <w:rPr>
          <w:rFonts w:hint="eastAsia" w:ascii="宋体" w:hAnsi="宋体" w:eastAsia="宋体" w:cs="宋体"/>
          <w:b/>
          <w:bCs w:val="0"/>
          <w:color w:val="auto"/>
          <w:highlight w:val="none"/>
        </w:rPr>
        <w:fldChar w:fldCharType="separate"/>
      </w:r>
      <w:r>
        <w:rPr>
          <w:rFonts w:hint="eastAsia" w:ascii="宋体" w:hAnsi="宋体" w:eastAsia="宋体" w:cs="宋体"/>
          <w:b/>
          <w:bCs w:val="0"/>
          <w:color w:val="auto"/>
          <w:highlight w:val="none"/>
        </w:rPr>
        <w:t>4</w:t>
      </w:r>
      <w:r>
        <w:rPr>
          <w:rFonts w:hint="eastAsia" w:ascii="宋体" w:hAnsi="宋体" w:eastAsia="宋体" w:cs="宋体"/>
          <w:b/>
          <w:bCs w:val="0"/>
          <w:color w:val="auto"/>
          <w:highlight w:val="none"/>
        </w:rPr>
        <w:fldChar w:fldCharType="end"/>
      </w:r>
      <w:r>
        <w:rPr>
          <w:rFonts w:hint="eastAsia" w:ascii="宋体" w:hAnsi="宋体" w:eastAsia="宋体" w:cs="宋体"/>
          <w:b/>
          <w:bCs w:val="0"/>
          <w:color w:val="auto"/>
          <w:szCs w:val="21"/>
          <w:highlight w:val="none"/>
        </w:rPr>
        <w:fldChar w:fldCharType="end"/>
      </w:r>
    </w:p>
    <w:p w14:paraId="18620CA9">
      <w:pPr>
        <w:pStyle w:val="30"/>
        <w:keepNext w:val="0"/>
        <w:keepLines w:val="0"/>
        <w:widowControl w:val="0"/>
        <w:tabs>
          <w:tab w:val="right" w:leader="dot" w:pos="10154"/>
        </w:tabs>
        <w:kinsoku/>
        <w:wordWrap/>
        <w:overflowPunct/>
        <w:topLinePunct w:val="0"/>
        <w:bidi w:val="0"/>
        <w:snapToGrid/>
        <w:spacing w:line="360" w:lineRule="auto"/>
        <w:ind w:left="0" w:leftChars="0" w:firstLine="0" w:firstLineChars="0"/>
        <w:textAlignment w:val="auto"/>
        <w:rPr>
          <w:rFonts w:hint="eastAsia" w:ascii="宋体" w:hAnsi="宋体" w:eastAsia="宋体" w:cs="宋体"/>
          <w:color w:val="auto"/>
          <w:highlight w:val="none"/>
        </w:rPr>
      </w:pPr>
      <w:r>
        <w:rPr>
          <w:rFonts w:hint="eastAsia" w:ascii="宋体" w:hAnsi="宋体" w:eastAsia="宋体" w:cs="宋体"/>
          <w:b/>
          <w:bCs w:val="0"/>
          <w:color w:val="auto"/>
          <w:szCs w:val="21"/>
          <w:highlight w:val="none"/>
        </w:rPr>
        <w:fldChar w:fldCharType="begin"/>
      </w:r>
      <w:r>
        <w:rPr>
          <w:rFonts w:hint="eastAsia" w:ascii="宋体" w:hAnsi="宋体" w:eastAsia="宋体" w:cs="宋体"/>
          <w:b/>
          <w:bCs w:val="0"/>
          <w:color w:val="auto"/>
          <w:szCs w:val="21"/>
          <w:highlight w:val="none"/>
        </w:rPr>
        <w:instrText xml:space="preserve"> HYPERLINK \l _Toc26383 </w:instrText>
      </w:r>
      <w:r>
        <w:rPr>
          <w:rFonts w:hint="eastAsia" w:ascii="宋体" w:hAnsi="宋体" w:eastAsia="宋体" w:cs="宋体"/>
          <w:b/>
          <w:bCs w:val="0"/>
          <w:color w:val="auto"/>
          <w:szCs w:val="21"/>
          <w:highlight w:val="none"/>
        </w:rPr>
        <w:fldChar w:fldCharType="separate"/>
      </w:r>
      <w:r>
        <w:rPr>
          <w:rFonts w:hint="eastAsia" w:ascii="宋体" w:hAnsi="宋体" w:eastAsia="宋体" w:cs="宋体"/>
          <w:b/>
          <w:bCs w:val="0"/>
          <w:color w:val="auto"/>
          <w:kern w:val="44"/>
          <w:szCs w:val="32"/>
          <w:highlight w:val="none"/>
          <w:lang w:val="zh-CN"/>
        </w:rPr>
        <w:t>第二篇</w:t>
      </w:r>
      <w:r>
        <w:rPr>
          <w:rFonts w:hint="eastAsia" w:ascii="宋体" w:hAnsi="宋体" w:eastAsia="宋体" w:cs="宋体"/>
          <w:b/>
          <w:bCs w:val="0"/>
          <w:color w:val="auto"/>
          <w:kern w:val="44"/>
          <w:szCs w:val="32"/>
          <w:highlight w:val="none"/>
        </w:rPr>
        <w:t xml:space="preserve"> </w:t>
      </w:r>
      <w:r>
        <w:rPr>
          <w:rFonts w:hint="eastAsia" w:ascii="宋体" w:hAnsi="宋体" w:eastAsia="宋体" w:cs="宋体"/>
          <w:b/>
          <w:bCs w:val="0"/>
          <w:color w:val="auto"/>
          <w:kern w:val="44"/>
          <w:szCs w:val="32"/>
          <w:highlight w:val="none"/>
          <w:lang w:val="zh-CN"/>
        </w:rPr>
        <w:t>投标人须知</w:t>
      </w:r>
      <w:r>
        <w:rPr>
          <w:rFonts w:hint="eastAsia" w:ascii="宋体" w:hAnsi="宋体" w:eastAsia="宋体" w:cs="宋体"/>
          <w:b/>
          <w:bCs w:val="0"/>
          <w:color w:val="auto"/>
          <w:highlight w:val="none"/>
        </w:rPr>
        <w:tab/>
      </w:r>
      <w:r>
        <w:rPr>
          <w:rFonts w:hint="eastAsia" w:ascii="宋体" w:hAnsi="宋体" w:eastAsia="宋体" w:cs="宋体"/>
          <w:b/>
          <w:bCs w:val="0"/>
          <w:color w:val="auto"/>
          <w:highlight w:val="none"/>
        </w:rPr>
        <w:fldChar w:fldCharType="begin"/>
      </w:r>
      <w:r>
        <w:rPr>
          <w:rFonts w:hint="eastAsia" w:ascii="宋体" w:hAnsi="宋体" w:eastAsia="宋体" w:cs="宋体"/>
          <w:b/>
          <w:bCs w:val="0"/>
          <w:color w:val="auto"/>
          <w:highlight w:val="none"/>
        </w:rPr>
        <w:instrText xml:space="preserve"> PAGEREF _Toc26383 \h </w:instrText>
      </w:r>
      <w:r>
        <w:rPr>
          <w:rFonts w:hint="eastAsia" w:ascii="宋体" w:hAnsi="宋体" w:eastAsia="宋体" w:cs="宋体"/>
          <w:b/>
          <w:bCs w:val="0"/>
          <w:color w:val="auto"/>
          <w:highlight w:val="none"/>
        </w:rPr>
        <w:fldChar w:fldCharType="separate"/>
      </w:r>
      <w:r>
        <w:rPr>
          <w:rFonts w:hint="eastAsia" w:ascii="宋体" w:hAnsi="宋体" w:eastAsia="宋体" w:cs="宋体"/>
          <w:b/>
          <w:bCs w:val="0"/>
          <w:color w:val="auto"/>
          <w:highlight w:val="none"/>
        </w:rPr>
        <w:t>6</w:t>
      </w:r>
      <w:r>
        <w:rPr>
          <w:rFonts w:hint="eastAsia" w:ascii="宋体" w:hAnsi="宋体" w:eastAsia="宋体" w:cs="宋体"/>
          <w:b/>
          <w:bCs w:val="0"/>
          <w:color w:val="auto"/>
          <w:highlight w:val="none"/>
        </w:rPr>
        <w:fldChar w:fldCharType="end"/>
      </w:r>
      <w:r>
        <w:rPr>
          <w:rFonts w:hint="eastAsia" w:ascii="宋体" w:hAnsi="宋体" w:eastAsia="宋体" w:cs="宋体"/>
          <w:b/>
          <w:bCs w:val="0"/>
          <w:color w:val="auto"/>
          <w:szCs w:val="21"/>
          <w:highlight w:val="none"/>
        </w:rPr>
        <w:fldChar w:fldCharType="end"/>
      </w:r>
    </w:p>
    <w:p w14:paraId="173F0B2A">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315" w:leftChars="150" w:firstLine="6" w:firstLineChars="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_Toc13226 </w:instrText>
      </w:r>
      <w:r>
        <w:rPr>
          <w:rFonts w:hint="eastAsia" w:ascii="宋体" w:hAnsi="宋体" w:eastAsia="宋体" w:cs="宋体"/>
          <w:bCs/>
          <w:color w:val="auto"/>
          <w:szCs w:val="21"/>
          <w:highlight w:val="none"/>
        </w:rPr>
        <w:fldChar w:fldCharType="separate"/>
      </w:r>
      <w:r>
        <w:rPr>
          <w:rFonts w:hint="eastAsia" w:ascii="宋体" w:hAnsi="宋体" w:eastAsia="宋体" w:cs="宋体"/>
          <w:bCs/>
          <w:color w:val="auto"/>
          <w:kern w:val="44"/>
          <w:szCs w:val="21"/>
          <w:highlight w:val="none"/>
          <w:lang w:val="zh-CN"/>
        </w:rPr>
        <w:t>一、总则</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_Toc13226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482A7086">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525" w:leftChars="250" w:firstLine="6" w:firstLineChars="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_Toc32567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1 资金来源：企业自筹资金。</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_Toc32567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69D049BE">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525" w:leftChars="250" w:firstLine="6" w:firstLineChars="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_Toc23526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2 合格的投标人</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_Toc23526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4DF4C2B1">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525" w:leftChars="250" w:firstLine="6" w:firstLineChars="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_Toc19846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3 合格的货物</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_Toc19846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40DE06C0">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525" w:leftChars="250" w:firstLine="6" w:firstLineChars="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_Toc20618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4 其它说明</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_Toc20618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7</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2DE016A4">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315" w:leftChars="150" w:firstLine="6" w:firstLineChars="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_Toc13061 </w:instrText>
      </w:r>
      <w:r>
        <w:rPr>
          <w:rFonts w:hint="eastAsia" w:ascii="宋体" w:hAnsi="宋体" w:eastAsia="宋体" w:cs="宋体"/>
          <w:bCs/>
          <w:color w:val="auto"/>
          <w:szCs w:val="21"/>
          <w:highlight w:val="none"/>
        </w:rPr>
        <w:fldChar w:fldCharType="separate"/>
      </w:r>
      <w:r>
        <w:rPr>
          <w:rFonts w:hint="eastAsia" w:ascii="宋体" w:hAnsi="宋体" w:eastAsia="宋体" w:cs="宋体"/>
          <w:bCs/>
          <w:color w:val="auto"/>
          <w:kern w:val="44"/>
          <w:szCs w:val="21"/>
          <w:highlight w:val="none"/>
          <w:lang w:val="zh-CN"/>
        </w:rPr>
        <w:t>二、招标文件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_Toc13061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055201D2">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525" w:leftChars="250" w:firstLine="6" w:firstLineChars="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_Toc12144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5 招标文件的构成</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_Toc12144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4319F956">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525" w:leftChars="250" w:firstLine="6" w:firstLineChars="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_Toc23371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6 招标文件的异议</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_Toc23371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20AFC775">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525" w:leftChars="250" w:firstLine="6" w:firstLineChars="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_Toc3667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7 招标文件的澄清及修改</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_Toc3667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79B53786">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315" w:leftChars="150" w:firstLine="6" w:firstLineChars="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_Toc17318 </w:instrText>
      </w:r>
      <w:r>
        <w:rPr>
          <w:rFonts w:hint="eastAsia" w:ascii="宋体" w:hAnsi="宋体" w:eastAsia="宋体" w:cs="宋体"/>
          <w:bCs/>
          <w:color w:val="auto"/>
          <w:szCs w:val="21"/>
          <w:highlight w:val="none"/>
        </w:rPr>
        <w:fldChar w:fldCharType="separate"/>
      </w:r>
      <w:r>
        <w:rPr>
          <w:rFonts w:hint="eastAsia" w:ascii="宋体" w:hAnsi="宋体" w:eastAsia="宋体" w:cs="宋体"/>
          <w:bCs/>
          <w:color w:val="auto"/>
          <w:kern w:val="44"/>
          <w:szCs w:val="21"/>
          <w:highlight w:val="none"/>
          <w:lang w:val="zh-CN"/>
        </w:rPr>
        <w:t>三、投标文件的编制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_Toc17318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261CE6F3">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525" w:leftChars="250" w:firstLine="6" w:firstLineChars="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_Toc8665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8 投标使用的文字及度量衡单位</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_Toc8665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056AB358">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525" w:leftChars="250" w:firstLine="6" w:firstLineChars="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_Toc4201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9</w:t>
      </w:r>
      <w:r>
        <w:rPr>
          <w:rFonts w:hint="eastAsia" w:ascii="宋体" w:hAnsi="宋体" w:eastAsia="宋体" w:cs="宋体"/>
          <w:color w:val="auto"/>
          <w:szCs w:val="24"/>
          <w:highlight w:val="none"/>
          <w:lang w:val="zh-CN"/>
        </w:rPr>
        <w:t xml:space="preserve"> </w:t>
      </w:r>
      <w:r>
        <w:rPr>
          <w:rFonts w:hint="eastAsia" w:ascii="宋体" w:hAnsi="宋体" w:eastAsia="宋体" w:cs="宋体"/>
          <w:color w:val="auto"/>
          <w:szCs w:val="21"/>
          <w:highlight w:val="none"/>
          <w:lang w:val="zh-CN"/>
        </w:rPr>
        <w:t>投标文件的组成</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_Toc4201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158C7E54">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525" w:leftChars="250" w:firstLine="6" w:firstLineChars="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_Toc24112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10 投标函</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_Toc24112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11</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54F326E1">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525" w:leftChars="250" w:firstLine="6" w:firstLineChars="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_Toc18856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11 投标报价</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_Toc18856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11</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7D1DDCEF">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525" w:leftChars="250" w:firstLine="6" w:firstLineChars="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_Toc25930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12 投标报价货币</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_Toc25930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12</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00A2ABF1">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525" w:leftChars="250" w:firstLine="6" w:firstLineChars="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_Toc8947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13 证明投标人的合格性和资格的声明文件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_Toc8947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12</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69180598">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525" w:leftChars="250" w:firstLine="6" w:firstLineChars="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_Toc30778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14 证明货物的合格性并符合招标文件规定的声明文件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_Toc30778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12</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41D40E61">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525" w:leftChars="250" w:firstLine="6" w:firstLineChars="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_Toc19919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15 投标保证金</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_Toc19919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13</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60199013">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525" w:leftChars="250" w:firstLine="6" w:firstLineChars="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_Toc3140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16 投标有效期</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_Toc3140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20CE4D8E">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525" w:leftChars="250" w:firstLine="6" w:firstLineChars="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_Toc5366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17 投标文件的式样和签署</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_Toc5366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4665E7E6">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315" w:leftChars="150" w:firstLine="6" w:firstLineChars="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_Toc27036 </w:instrText>
      </w:r>
      <w:r>
        <w:rPr>
          <w:rFonts w:hint="eastAsia" w:ascii="宋体" w:hAnsi="宋体" w:eastAsia="宋体" w:cs="宋体"/>
          <w:bCs/>
          <w:color w:val="auto"/>
          <w:szCs w:val="21"/>
          <w:highlight w:val="none"/>
        </w:rPr>
        <w:fldChar w:fldCharType="separate"/>
      </w:r>
      <w:r>
        <w:rPr>
          <w:rFonts w:hint="eastAsia" w:ascii="宋体" w:hAnsi="宋体" w:eastAsia="宋体" w:cs="宋体"/>
          <w:bCs/>
          <w:color w:val="auto"/>
          <w:kern w:val="44"/>
          <w:szCs w:val="21"/>
          <w:highlight w:val="none"/>
          <w:lang w:val="zh-CN"/>
        </w:rPr>
        <w:t>四、投标文件的递交</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_Toc27036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3B9F922E">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525" w:leftChars="250" w:firstLine="6" w:firstLineChars="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_Toc11948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18 投标文件的密封和标记</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_Toc11948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1EF3C904">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525" w:leftChars="250" w:firstLine="6" w:firstLineChars="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_Toc10469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19 递交投标文件的截止日期</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_Toc10469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5393CE08">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525" w:leftChars="250" w:firstLine="6" w:firstLineChars="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_Toc26284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20 迟交的投标文件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_Toc26284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38F03B8B">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525" w:leftChars="250" w:firstLine="6" w:firstLineChars="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_Toc19956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21 投标文件的修改和撤回</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_Toc19956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6C5D7253">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315" w:leftChars="150" w:firstLine="6" w:firstLineChars="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_Toc1137 </w:instrText>
      </w:r>
      <w:r>
        <w:rPr>
          <w:rFonts w:hint="eastAsia" w:ascii="宋体" w:hAnsi="宋体" w:eastAsia="宋体" w:cs="宋体"/>
          <w:bCs/>
          <w:color w:val="auto"/>
          <w:szCs w:val="21"/>
          <w:highlight w:val="none"/>
        </w:rPr>
        <w:fldChar w:fldCharType="separate"/>
      </w:r>
      <w:r>
        <w:rPr>
          <w:rFonts w:hint="eastAsia" w:ascii="宋体" w:hAnsi="宋体" w:eastAsia="宋体" w:cs="宋体"/>
          <w:bCs/>
          <w:color w:val="auto"/>
          <w:kern w:val="44"/>
          <w:szCs w:val="21"/>
          <w:highlight w:val="none"/>
          <w:lang w:val="zh-CN"/>
        </w:rPr>
        <w:t>五、开标与评标</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_Toc1137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62BB82F5">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525" w:leftChars="250" w:firstLine="6" w:firstLineChars="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_Toc29031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22 开标</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_Toc29031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4966988F">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525" w:leftChars="250" w:firstLine="6" w:firstLineChars="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_Toc14578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 xml:space="preserve">23 </w:t>
      </w:r>
      <w:r>
        <w:rPr>
          <w:rFonts w:hint="eastAsia" w:ascii="宋体" w:hAnsi="宋体" w:eastAsia="宋体" w:cs="宋体"/>
          <w:color w:val="auto"/>
          <w:kern w:val="0"/>
          <w:szCs w:val="24"/>
          <w:highlight w:val="none"/>
        </w:rPr>
        <w:t>评标</w:t>
      </w:r>
      <w:r>
        <w:rPr>
          <w:rFonts w:hint="eastAsia" w:ascii="宋体" w:hAnsi="宋体" w:eastAsia="宋体" w:cs="宋体"/>
          <w:color w:val="auto"/>
          <w:szCs w:val="21"/>
          <w:highlight w:val="none"/>
          <w:lang w:val="zh-CN"/>
        </w:rPr>
        <w:t>过程</w:t>
      </w:r>
      <w:r>
        <w:rPr>
          <w:rFonts w:hint="eastAsia" w:ascii="宋体" w:hAnsi="宋体" w:eastAsia="宋体" w:cs="宋体"/>
          <w:color w:val="auto"/>
          <w:kern w:val="0"/>
          <w:szCs w:val="24"/>
          <w:highlight w:val="none"/>
        </w:rPr>
        <w:t>的保密性</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_Toc14578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440DF221">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525" w:leftChars="250" w:firstLine="6" w:firstLineChars="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_Toc14333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24 评标委员会</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_Toc14333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5CAB5FE9">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525" w:leftChars="250" w:firstLine="6" w:firstLineChars="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_Toc30468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25 投标文件的初审</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_Toc30468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36BB8223">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525" w:leftChars="250" w:firstLine="6" w:firstLineChars="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_Toc3561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26 投标文件的澄清</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_Toc3561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1FFAF6F8">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525" w:leftChars="250" w:firstLine="6" w:firstLineChars="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_Toc29692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27 对投标文件的比较和评价</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_Toc29692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7F24774D">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525" w:leftChars="250" w:firstLine="6" w:firstLineChars="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_Toc3436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28 评标原则及方法</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_Toc3436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17</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7D006B3B">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525" w:leftChars="250" w:firstLine="6" w:firstLineChars="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_Toc14930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9 </w:t>
      </w:r>
      <w:r>
        <w:rPr>
          <w:rFonts w:hint="eastAsia" w:ascii="宋体" w:hAnsi="宋体" w:eastAsia="宋体" w:cs="宋体"/>
          <w:color w:val="auto"/>
          <w:szCs w:val="21"/>
          <w:highlight w:val="none"/>
          <w:lang w:val="zh-CN"/>
        </w:rPr>
        <w:t>评标结果公示及异议、投诉</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_Toc14930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17</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577097C7">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525" w:leftChars="250" w:firstLine="6" w:firstLineChars="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_Toc29554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rPr>
        <w:t>30</w:t>
      </w:r>
      <w:r>
        <w:rPr>
          <w:rFonts w:hint="eastAsia" w:ascii="宋体" w:hAnsi="宋体" w:eastAsia="宋体" w:cs="宋体"/>
          <w:color w:val="auto"/>
          <w:szCs w:val="21"/>
          <w:highlight w:val="none"/>
          <w:lang w:val="zh-CN"/>
        </w:rPr>
        <w:t xml:space="preserve"> 真实性审查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_Toc29554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00D8F304">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525" w:leftChars="250" w:firstLine="6" w:firstLineChars="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_Toc17992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 xml:space="preserve"> 评标委员会和招标人接受或拒绝任何投标或所有投标的权利</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_Toc17992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4B68A50A">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315" w:leftChars="150" w:firstLine="6" w:firstLineChars="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_Toc23063 </w:instrText>
      </w:r>
      <w:r>
        <w:rPr>
          <w:rFonts w:hint="eastAsia" w:ascii="宋体" w:hAnsi="宋体" w:eastAsia="宋体" w:cs="宋体"/>
          <w:bCs/>
          <w:color w:val="auto"/>
          <w:szCs w:val="21"/>
          <w:highlight w:val="none"/>
        </w:rPr>
        <w:fldChar w:fldCharType="separate"/>
      </w:r>
      <w:r>
        <w:rPr>
          <w:rFonts w:hint="eastAsia" w:ascii="宋体" w:hAnsi="宋体" w:eastAsia="宋体" w:cs="宋体"/>
          <w:bCs/>
          <w:color w:val="auto"/>
          <w:kern w:val="44"/>
          <w:szCs w:val="21"/>
          <w:highlight w:val="none"/>
          <w:lang w:val="zh-CN"/>
        </w:rPr>
        <w:t>六、授予合同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_Toc23063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2F621A6F">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525" w:leftChars="250" w:firstLine="6" w:firstLineChars="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_Toc9446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zh-CN"/>
        </w:rPr>
        <w:t xml:space="preserve"> 授予合同的准则</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_Toc9446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5C7C2377">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525" w:leftChars="250" w:firstLine="6" w:firstLineChars="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_Toc28723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lang w:val="zh-CN"/>
        </w:rPr>
        <w:t>33 中标通知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_Toc28723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361D410C">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525" w:leftChars="250" w:firstLine="6" w:firstLineChars="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_Toc4048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 xml:space="preserve"> 签署合同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_Toc4048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553E229A">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525" w:leftChars="250" w:firstLine="6" w:firstLineChars="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_Toc24156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rPr>
        <w:t xml:space="preserve">35 </w:t>
      </w:r>
      <w:r>
        <w:rPr>
          <w:rFonts w:hint="eastAsia" w:ascii="宋体" w:hAnsi="宋体" w:eastAsia="宋体" w:cs="宋体"/>
          <w:color w:val="auto"/>
          <w:szCs w:val="21"/>
          <w:highlight w:val="none"/>
          <w:lang w:val="zh-CN"/>
        </w:rPr>
        <w:t>履约担保</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_Toc24156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7B6FA9C3">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525" w:leftChars="250" w:firstLine="6" w:firstLineChars="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_Toc5306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rPr>
        <w:t>36</w:t>
      </w:r>
      <w:r>
        <w:rPr>
          <w:rFonts w:hint="eastAsia" w:ascii="宋体" w:hAnsi="宋体" w:eastAsia="宋体" w:cs="宋体"/>
          <w:color w:val="auto"/>
          <w:szCs w:val="21"/>
          <w:highlight w:val="none"/>
          <w:lang w:val="zh-CN"/>
        </w:rPr>
        <w:t xml:space="preserve"> 在合同履行中变更采购范围的权利</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_Toc5306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5F86E396">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525" w:leftChars="250" w:firstLine="6" w:firstLineChars="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_Toc19724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rPr>
        <w:t>37</w:t>
      </w:r>
      <w:r>
        <w:rPr>
          <w:rFonts w:hint="eastAsia" w:ascii="宋体" w:hAnsi="宋体" w:eastAsia="宋体" w:cs="宋体"/>
          <w:color w:val="auto"/>
          <w:szCs w:val="21"/>
          <w:highlight w:val="none"/>
          <w:lang w:val="zh-CN"/>
        </w:rPr>
        <w:t xml:space="preserve"> 中标服务费</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_Toc19724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22</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5F53B8FA">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525" w:leftChars="250" w:firstLine="6" w:firstLineChars="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_Toc3460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 xml:space="preserve"> 发票</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_Toc3460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22</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5D52696F">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525" w:leftChars="250" w:firstLine="6" w:firstLineChars="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_Toc23745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rPr>
        <w:t xml:space="preserve">39 </w:t>
      </w:r>
      <w:r>
        <w:rPr>
          <w:rFonts w:hint="eastAsia" w:ascii="宋体" w:hAnsi="宋体" w:eastAsia="宋体" w:cs="宋体"/>
          <w:color w:val="auto"/>
          <w:szCs w:val="21"/>
          <w:highlight w:val="none"/>
          <w:lang w:val="zh-CN"/>
        </w:rPr>
        <w:t>招标</w:t>
      </w:r>
      <w:r>
        <w:rPr>
          <w:rFonts w:hint="eastAsia" w:ascii="宋体" w:hAnsi="宋体" w:eastAsia="宋体" w:cs="宋体"/>
          <w:color w:val="auto"/>
          <w:szCs w:val="21"/>
          <w:highlight w:val="none"/>
        </w:rPr>
        <w:t>相关补充约定</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_Toc23745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22</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1A9E6760">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525" w:leftChars="250" w:firstLine="6" w:firstLineChars="0"/>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\l _Toc5709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1"/>
          <w:highlight w:val="none"/>
        </w:rPr>
        <w:t>40 本次招标活动的最终解释权归招标代理机构及招标人所有。</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_Toc5709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22</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rPr>
        <w:fldChar w:fldCharType="end"/>
      </w:r>
    </w:p>
    <w:p w14:paraId="3A0262EF">
      <w:pPr>
        <w:pStyle w:val="30"/>
        <w:keepNext w:val="0"/>
        <w:keepLines w:val="0"/>
        <w:widowControl w:val="0"/>
        <w:tabs>
          <w:tab w:val="right" w:leader="dot" w:pos="10154"/>
        </w:tabs>
        <w:kinsoku/>
        <w:wordWrap/>
        <w:overflowPunct/>
        <w:topLinePunct w:val="0"/>
        <w:bidi w:val="0"/>
        <w:snapToGrid/>
        <w:spacing w:line="360" w:lineRule="auto"/>
        <w:ind w:left="0" w:leftChars="0" w:firstLine="0" w:firstLineChars="0"/>
        <w:textAlignment w:val="auto"/>
        <w:rPr>
          <w:rFonts w:hint="eastAsia" w:ascii="宋体" w:hAnsi="宋体" w:eastAsia="宋体" w:cs="宋体"/>
          <w:b/>
          <w:bCs w:val="0"/>
          <w:color w:val="auto"/>
          <w:highlight w:val="none"/>
        </w:rPr>
      </w:pPr>
      <w:r>
        <w:rPr>
          <w:rFonts w:hint="eastAsia" w:ascii="宋体" w:hAnsi="宋体" w:eastAsia="宋体" w:cs="宋体"/>
          <w:b/>
          <w:bCs w:val="0"/>
          <w:color w:val="auto"/>
          <w:szCs w:val="21"/>
          <w:highlight w:val="none"/>
        </w:rPr>
        <w:fldChar w:fldCharType="begin"/>
      </w:r>
      <w:r>
        <w:rPr>
          <w:rFonts w:hint="eastAsia" w:ascii="宋体" w:hAnsi="宋体" w:eastAsia="宋体" w:cs="宋体"/>
          <w:b/>
          <w:bCs w:val="0"/>
          <w:color w:val="auto"/>
          <w:szCs w:val="21"/>
          <w:highlight w:val="none"/>
        </w:rPr>
        <w:instrText xml:space="preserve"> HYPERLINK \l _Toc10322 </w:instrText>
      </w:r>
      <w:r>
        <w:rPr>
          <w:rFonts w:hint="eastAsia" w:ascii="宋体" w:hAnsi="宋体" w:eastAsia="宋体" w:cs="宋体"/>
          <w:b/>
          <w:bCs w:val="0"/>
          <w:color w:val="auto"/>
          <w:szCs w:val="21"/>
          <w:highlight w:val="none"/>
        </w:rPr>
        <w:fldChar w:fldCharType="separate"/>
      </w:r>
      <w:r>
        <w:rPr>
          <w:rFonts w:hint="eastAsia" w:ascii="宋体" w:hAnsi="宋体" w:eastAsia="宋体" w:cs="宋体"/>
          <w:b/>
          <w:bCs w:val="0"/>
          <w:color w:val="auto"/>
          <w:kern w:val="44"/>
          <w:szCs w:val="32"/>
          <w:highlight w:val="none"/>
          <w:lang w:val="zh-CN"/>
        </w:rPr>
        <w:t>第三篇 用户需求书</w:t>
      </w:r>
      <w:r>
        <w:rPr>
          <w:rFonts w:hint="eastAsia" w:ascii="宋体" w:hAnsi="宋体" w:eastAsia="宋体" w:cs="宋体"/>
          <w:b/>
          <w:bCs w:val="0"/>
          <w:color w:val="auto"/>
          <w:highlight w:val="none"/>
        </w:rPr>
        <w:tab/>
      </w:r>
      <w:r>
        <w:rPr>
          <w:rFonts w:hint="eastAsia" w:ascii="宋体" w:hAnsi="宋体" w:eastAsia="宋体" w:cs="宋体"/>
          <w:b/>
          <w:bCs w:val="0"/>
          <w:color w:val="auto"/>
          <w:highlight w:val="none"/>
        </w:rPr>
        <w:fldChar w:fldCharType="begin"/>
      </w:r>
      <w:r>
        <w:rPr>
          <w:rFonts w:hint="eastAsia" w:ascii="宋体" w:hAnsi="宋体" w:eastAsia="宋体" w:cs="宋体"/>
          <w:b/>
          <w:bCs w:val="0"/>
          <w:color w:val="auto"/>
          <w:highlight w:val="none"/>
        </w:rPr>
        <w:instrText xml:space="preserve"> PAGEREF _Toc10322 \h </w:instrText>
      </w:r>
      <w:r>
        <w:rPr>
          <w:rFonts w:hint="eastAsia" w:ascii="宋体" w:hAnsi="宋体" w:eastAsia="宋体" w:cs="宋体"/>
          <w:b/>
          <w:bCs w:val="0"/>
          <w:color w:val="auto"/>
          <w:highlight w:val="none"/>
        </w:rPr>
        <w:fldChar w:fldCharType="separate"/>
      </w:r>
      <w:r>
        <w:rPr>
          <w:rFonts w:hint="eastAsia" w:ascii="宋体" w:hAnsi="宋体" w:eastAsia="宋体" w:cs="宋体"/>
          <w:b/>
          <w:bCs w:val="0"/>
          <w:color w:val="auto"/>
          <w:highlight w:val="none"/>
        </w:rPr>
        <w:t>23</w:t>
      </w:r>
      <w:r>
        <w:rPr>
          <w:rFonts w:hint="eastAsia" w:ascii="宋体" w:hAnsi="宋体" w:eastAsia="宋体" w:cs="宋体"/>
          <w:b/>
          <w:bCs w:val="0"/>
          <w:color w:val="auto"/>
          <w:highlight w:val="none"/>
        </w:rPr>
        <w:fldChar w:fldCharType="end"/>
      </w:r>
      <w:r>
        <w:rPr>
          <w:rFonts w:hint="eastAsia" w:ascii="宋体" w:hAnsi="宋体" w:eastAsia="宋体" w:cs="宋体"/>
          <w:b/>
          <w:bCs w:val="0"/>
          <w:color w:val="auto"/>
          <w:szCs w:val="21"/>
          <w:highlight w:val="none"/>
        </w:rPr>
        <w:fldChar w:fldCharType="end"/>
      </w:r>
    </w:p>
    <w:p w14:paraId="5088D6E8">
      <w:pPr>
        <w:pStyle w:val="27"/>
        <w:keepNext w:val="0"/>
        <w:keepLines w:val="0"/>
        <w:widowControl w:val="0"/>
        <w:tabs>
          <w:tab w:val="right" w:leader="dot" w:pos="10154"/>
        </w:tabs>
        <w:kinsoku/>
        <w:wordWrap/>
        <w:overflowPunct/>
        <w:topLinePunct w:val="0"/>
        <w:bidi w:val="0"/>
        <w:snapToGrid/>
        <w:spacing w:line="360" w:lineRule="auto"/>
        <w:textAlignment w:val="auto"/>
        <w:rPr>
          <w:rFonts w:hint="eastAsia" w:ascii="宋体" w:hAnsi="宋体" w:eastAsia="宋体" w:cs="宋体"/>
          <w:b/>
          <w:bCs w:val="0"/>
          <w:color w:val="auto"/>
          <w:highlight w:val="none"/>
        </w:rPr>
      </w:pPr>
      <w:r>
        <w:rPr>
          <w:rFonts w:hint="eastAsia" w:ascii="宋体" w:hAnsi="宋体" w:eastAsia="宋体" w:cs="宋体"/>
          <w:b/>
          <w:bCs w:val="0"/>
          <w:color w:val="auto"/>
          <w:szCs w:val="21"/>
          <w:highlight w:val="none"/>
        </w:rPr>
        <w:fldChar w:fldCharType="begin"/>
      </w:r>
      <w:r>
        <w:rPr>
          <w:rFonts w:hint="eastAsia" w:ascii="宋体" w:hAnsi="宋体" w:eastAsia="宋体" w:cs="宋体"/>
          <w:b/>
          <w:bCs w:val="0"/>
          <w:color w:val="auto"/>
          <w:szCs w:val="21"/>
          <w:highlight w:val="none"/>
        </w:rPr>
        <w:instrText xml:space="preserve"> HYPERLINK \l _Toc15013 </w:instrText>
      </w:r>
      <w:r>
        <w:rPr>
          <w:rFonts w:hint="eastAsia" w:ascii="宋体" w:hAnsi="宋体" w:eastAsia="宋体" w:cs="宋体"/>
          <w:b/>
          <w:bCs w:val="0"/>
          <w:color w:val="auto"/>
          <w:szCs w:val="21"/>
          <w:highlight w:val="none"/>
        </w:rPr>
        <w:fldChar w:fldCharType="separate"/>
      </w:r>
      <w:r>
        <w:rPr>
          <w:rFonts w:hint="eastAsia" w:ascii="宋体" w:hAnsi="宋体" w:eastAsia="宋体" w:cs="宋体"/>
          <w:b/>
          <w:bCs w:val="0"/>
          <w:color w:val="auto"/>
          <w:kern w:val="44"/>
          <w:szCs w:val="32"/>
          <w:highlight w:val="none"/>
          <w:lang w:val="zh-CN"/>
        </w:rPr>
        <w:t>第四篇 合同条款格式</w:t>
      </w:r>
      <w:r>
        <w:rPr>
          <w:rFonts w:hint="eastAsia" w:ascii="宋体" w:hAnsi="宋体" w:eastAsia="宋体" w:cs="宋体"/>
          <w:b/>
          <w:bCs w:val="0"/>
          <w:color w:val="auto"/>
          <w:highlight w:val="none"/>
        </w:rPr>
        <w:tab/>
      </w:r>
      <w:r>
        <w:rPr>
          <w:rFonts w:hint="eastAsia" w:ascii="宋体" w:hAnsi="宋体" w:eastAsia="宋体" w:cs="宋体"/>
          <w:b/>
          <w:bCs w:val="0"/>
          <w:color w:val="auto"/>
          <w:highlight w:val="none"/>
        </w:rPr>
        <w:fldChar w:fldCharType="begin"/>
      </w:r>
      <w:r>
        <w:rPr>
          <w:rFonts w:hint="eastAsia" w:ascii="宋体" w:hAnsi="宋体" w:eastAsia="宋体" w:cs="宋体"/>
          <w:b/>
          <w:bCs w:val="0"/>
          <w:color w:val="auto"/>
          <w:highlight w:val="none"/>
        </w:rPr>
        <w:instrText xml:space="preserve"> PAGEREF _Toc15013 \h </w:instrText>
      </w:r>
      <w:r>
        <w:rPr>
          <w:rFonts w:hint="eastAsia" w:ascii="宋体" w:hAnsi="宋体" w:eastAsia="宋体" w:cs="宋体"/>
          <w:b/>
          <w:bCs w:val="0"/>
          <w:color w:val="auto"/>
          <w:highlight w:val="none"/>
        </w:rPr>
        <w:fldChar w:fldCharType="separate"/>
      </w:r>
      <w:r>
        <w:rPr>
          <w:rFonts w:hint="eastAsia" w:ascii="宋体" w:hAnsi="宋体" w:eastAsia="宋体" w:cs="宋体"/>
          <w:b/>
          <w:bCs w:val="0"/>
          <w:color w:val="auto"/>
          <w:highlight w:val="none"/>
        </w:rPr>
        <w:t>30</w:t>
      </w:r>
      <w:r>
        <w:rPr>
          <w:rFonts w:hint="eastAsia" w:ascii="宋体" w:hAnsi="宋体" w:eastAsia="宋体" w:cs="宋体"/>
          <w:b/>
          <w:bCs w:val="0"/>
          <w:color w:val="auto"/>
          <w:highlight w:val="none"/>
        </w:rPr>
        <w:fldChar w:fldCharType="end"/>
      </w:r>
      <w:r>
        <w:rPr>
          <w:rFonts w:hint="eastAsia" w:ascii="宋体" w:hAnsi="宋体" w:eastAsia="宋体" w:cs="宋体"/>
          <w:b/>
          <w:bCs w:val="0"/>
          <w:color w:val="auto"/>
          <w:szCs w:val="21"/>
          <w:highlight w:val="none"/>
        </w:rPr>
        <w:fldChar w:fldCharType="end"/>
      </w:r>
    </w:p>
    <w:p w14:paraId="577C5A72">
      <w:pPr>
        <w:pStyle w:val="30"/>
        <w:keepNext w:val="0"/>
        <w:keepLines w:val="0"/>
        <w:widowControl w:val="0"/>
        <w:tabs>
          <w:tab w:val="right" w:leader="dot" w:pos="10154"/>
        </w:tabs>
        <w:kinsoku/>
        <w:wordWrap/>
        <w:overflowPunct/>
        <w:topLinePunct w:val="0"/>
        <w:bidi w:val="0"/>
        <w:snapToGrid/>
        <w:spacing w:line="360" w:lineRule="auto"/>
        <w:ind w:left="0" w:leftChars="0" w:firstLine="0" w:firstLineChars="0"/>
        <w:textAlignment w:val="auto"/>
        <w:rPr>
          <w:rFonts w:hint="eastAsia" w:ascii="宋体" w:hAnsi="宋体" w:eastAsia="宋体" w:cs="宋体"/>
          <w:b/>
          <w:bCs w:val="0"/>
          <w:color w:val="auto"/>
          <w:highlight w:val="none"/>
        </w:rPr>
      </w:pPr>
      <w:r>
        <w:rPr>
          <w:rFonts w:hint="eastAsia" w:ascii="宋体" w:hAnsi="宋体" w:eastAsia="宋体" w:cs="宋体"/>
          <w:b/>
          <w:bCs w:val="0"/>
          <w:color w:val="auto"/>
          <w:szCs w:val="21"/>
          <w:highlight w:val="none"/>
        </w:rPr>
        <w:fldChar w:fldCharType="begin"/>
      </w:r>
      <w:r>
        <w:rPr>
          <w:rFonts w:hint="eastAsia" w:ascii="宋体" w:hAnsi="宋体" w:eastAsia="宋体" w:cs="宋体"/>
          <w:b/>
          <w:bCs w:val="0"/>
          <w:color w:val="auto"/>
          <w:szCs w:val="21"/>
          <w:highlight w:val="none"/>
        </w:rPr>
        <w:instrText xml:space="preserve"> HYPERLINK \l _Toc5895 </w:instrText>
      </w:r>
      <w:r>
        <w:rPr>
          <w:rFonts w:hint="eastAsia" w:ascii="宋体" w:hAnsi="宋体" w:eastAsia="宋体" w:cs="宋体"/>
          <w:b/>
          <w:bCs w:val="0"/>
          <w:color w:val="auto"/>
          <w:szCs w:val="21"/>
          <w:highlight w:val="none"/>
        </w:rPr>
        <w:fldChar w:fldCharType="separate"/>
      </w:r>
      <w:r>
        <w:rPr>
          <w:rFonts w:hint="eastAsia" w:ascii="宋体" w:hAnsi="宋体" w:eastAsia="宋体" w:cs="宋体"/>
          <w:b/>
          <w:bCs w:val="0"/>
          <w:color w:val="auto"/>
          <w:szCs w:val="32"/>
          <w:highlight w:val="none"/>
          <w:lang w:val="zh-CN"/>
        </w:rPr>
        <w:t>第五篇 相关保函格式</w:t>
      </w:r>
      <w:r>
        <w:rPr>
          <w:rFonts w:hint="eastAsia" w:ascii="宋体" w:hAnsi="宋体" w:eastAsia="宋体" w:cs="宋体"/>
          <w:b/>
          <w:bCs w:val="0"/>
          <w:color w:val="auto"/>
          <w:highlight w:val="none"/>
        </w:rPr>
        <w:tab/>
      </w:r>
      <w:r>
        <w:rPr>
          <w:rFonts w:hint="eastAsia" w:ascii="宋体" w:hAnsi="宋体" w:eastAsia="宋体" w:cs="宋体"/>
          <w:b/>
          <w:bCs w:val="0"/>
          <w:color w:val="auto"/>
          <w:highlight w:val="none"/>
        </w:rPr>
        <w:fldChar w:fldCharType="begin"/>
      </w:r>
      <w:r>
        <w:rPr>
          <w:rFonts w:hint="eastAsia" w:ascii="宋体" w:hAnsi="宋体" w:eastAsia="宋体" w:cs="宋体"/>
          <w:b/>
          <w:bCs w:val="0"/>
          <w:color w:val="auto"/>
          <w:highlight w:val="none"/>
        </w:rPr>
        <w:instrText xml:space="preserve"> PAGEREF _Toc5895 \h </w:instrText>
      </w:r>
      <w:r>
        <w:rPr>
          <w:rFonts w:hint="eastAsia" w:ascii="宋体" w:hAnsi="宋体" w:eastAsia="宋体" w:cs="宋体"/>
          <w:b/>
          <w:bCs w:val="0"/>
          <w:color w:val="auto"/>
          <w:highlight w:val="none"/>
        </w:rPr>
        <w:fldChar w:fldCharType="separate"/>
      </w:r>
      <w:r>
        <w:rPr>
          <w:rFonts w:hint="eastAsia" w:ascii="宋体" w:hAnsi="宋体" w:eastAsia="宋体" w:cs="宋体"/>
          <w:b/>
          <w:bCs w:val="0"/>
          <w:color w:val="auto"/>
          <w:highlight w:val="none"/>
        </w:rPr>
        <w:t>53</w:t>
      </w:r>
      <w:r>
        <w:rPr>
          <w:rFonts w:hint="eastAsia" w:ascii="宋体" w:hAnsi="宋体" w:eastAsia="宋体" w:cs="宋体"/>
          <w:b/>
          <w:bCs w:val="0"/>
          <w:color w:val="auto"/>
          <w:highlight w:val="none"/>
        </w:rPr>
        <w:fldChar w:fldCharType="end"/>
      </w:r>
      <w:r>
        <w:rPr>
          <w:rFonts w:hint="eastAsia" w:ascii="宋体" w:hAnsi="宋体" w:eastAsia="宋体" w:cs="宋体"/>
          <w:b/>
          <w:bCs w:val="0"/>
          <w:color w:val="auto"/>
          <w:szCs w:val="21"/>
          <w:highlight w:val="none"/>
        </w:rPr>
        <w:fldChar w:fldCharType="end"/>
      </w:r>
    </w:p>
    <w:p w14:paraId="09A70814">
      <w:pPr>
        <w:pStyle w:val="30"/>
        <w:keepNext w:val="0"/>
        <w:keepLines w:val="0"/>
        <w:widowControl w:val="0"/>
        <w:tabs>
          <w:tab w:val="right" w:leader="dot" w:pos="10154"/>
        </w:tabs>
        <w:kinsoku/>
        <w:wordWrap/>
        <w:overflowPunct/>
        <w:topLinePunct w:val="0"/>
        <w:bidi w:val="0"/>
        <w:snapToGrid/>
        <w:spacing w:line="360" w:lineRule="auto"/>
        <w:ind w:left="0" w:leftChars="0" w:firstLine="0" w:firstLineChars="0"/>
        <w:textAlignment w:val="auto"/>
        <w:rPr>
          <w:rFonts w:hint="eastAsia" w:ascii="宋体" w:hAnsi="宋体" w:eastAsia="宋体" w:cs="宋体"/>
          <w:b/>
          <w:bCs w:val="0"/>
          <w:color w:val="auto"/>
          <w:highlight w:val="none"/>
        </w:rPr>
      </w:pPr>
      <w:r>
        <w:rPr>
          <w:rFonts w:hint="eastAsia" w:ascii="宋体" w:hAnsi="宋体" w:eastAsia="宋体" w:cs="宋体"/>
          <w:b/>
          <w:bCs w:val="0"/>
          <w:color w:val="auto"/>
          <w:szCs w:val="21"/>
          <w:highlight w:val="none"/>
        </w:rPr>
        <w:fldChar w:fldCharType="begin"/>
      </w:r>
      <w:r>
        <w:rPr>
          <w:rFonts w:hint="eastAsia" w:ascii="宋体" w:hAnsi="宋体" w:eastAsia="宋体" w:cs="宋体"/>
          <w:b/>
          <w:bCs w:val="0"/>
          <w:color w:val="auto"/>
          <w:szCs w:val="21"/>
          <w:highlight w:val="none"/>
        </w:rPr>
        <w:instrText xml:space="preserve"> HYPERLINK \l _Toc10720 </w:instrText>
      </w:r>
      <w:r>
        <w:rPr>
          <w:rFonts w:hint="eastAsia" w:ascii="宋体" w:hAnsi="宋体" w:eastAsia="宋体" w:cs="宋体"/>
          <w:b/>
          <w:bCs w:val="0"/>
          <w:color w:val="auto"/>
          <w:szCs w:val="21"/>
          <w:highlight w:val="none"/>
        </w:rPr>
        <w:fldChar w:fldCharType="separate"/>
      </w:r>
      <w:r>
        <w:rPr>
          <w:rFonts w:hint="eastAsia" w:ascii="宋体" w:hAnsi="宋体" w:eastAsia="宋体" w:cs="宋体"/>
          <w:b/>
          <w:bCs w:val="0"/>
          <w:color w:val="auto"/>
          <w:szCs w:val="32"/>
          <w:highlight w:val="none"/>
          <w:lang w:val="zh-CN"/>
        </w:rPr>
        <w:t>第六篇 投标文件格式</w:t>
      </w:r>
      <w:r>
        <w:rPr>
          <w:rFonts w:hint="eastAsia" w:ascii="宋体" w:hAnsi="宋体" w:eastAsia="宋体" w:cs="宋体"/>
          <w:b/>
          <w:bCs w:val="0"/>
          <w:color w:val="auto"/>
          <w:highlight w:val="none"/>
        </w:rPr>
        <w:tab/>
      </w:r>
      <w:r>
        <w:rPr>
          <w:rFonts w:hint="eastAsia" w:ascii="宋体" w:hAnsi="宋体" w:eastAsia="宋体" w:cs="宋体"/>
          <w:b/>
          <w:bCs w:val="0"/>
          <w:color w:val="auto"/>
          <w:highlight w:val="none"/>
        </w:rPr>
        <w:fldChar w:fldCharType="begin"/>
      </w:r>
      <w:r>
        <w:rPr>
          <w:rFonts w:hint="eastAsia" w:ascii="宋体" w:hAnsi="宋体" w:eastAsia="宋体" w:cs="宋体"/>
          <w:b/>
          <w:bCs w:val="0"/>
          <w:color w:val="auto"/>
          <w:highlight w:val="none"/>
        </w:rPr>
        <w:instrText xml:space="preserve"> PAGEREF _Toc10720 \h </w:instrText>
      </w:r>
      <w:r>
        <w:rPr>
          <w:rFonts w:hint="eastAsia" w:ascii="宋体" w:hAnsi="宋体" w:eastAsia="宋体" w:cs="宋体"/>
          <w:b/>
          <w:bCs w:val="0"/>
          <w:color w:val="auto"/>
          <w:highlight w:val="none"/>
        </w:rPr>
        <w:fldChar w:fldCharType="separate"/>
      </w:r>
      <w:r>
        <w:rPr>
          <w:rFonts w:hint="eastAsia" w:ascii="宋体" w:hAnsi="宋体" w:eastAsia="宋体" w:cs="宋体"/>
          <w:b/>
          <w:bCs w:val="0"/>
          <w:color w:val="auto"/>
          <w:highlight w:val="none"/>
        </w:rPr>
        <w:t>56</w:t>
      </w:r>
      <w:r>
        <w:rPr>
          <w:rFonts w:hint="eastAsia" w:ascii="宋体" w:hAnsi="宋体" w:eastAsia="宋体" w:cs="宋体"/>
          <w:b/>
          <w:bCs w:val="0"/>
          <w:color w:val="auto"/>
          <w:highlight w:val="none"/>
        </w:rPr>
        <w:fldChar w:fldCharType="end"/>
      </w:r>
      <w:r>
        <w:rPr>
          <w:rFonts w:hint="eastAsia" w:ascii="宋体" w:hAnsi="宋体" w:eastAsia="宋体" w:cs="宋体"/>
          <w:b/>
          <w:bCs w:val="0"/>
          <w:color w:val="auto"/>
          <w:szCs w:val="21"/>
          <w:highlight w:val="none"/>
        </w:rPr>
        <w:fldChar w:fldCharType="end"/>
      </w:r>
    </w:p>
    <w:p w14:paraId="2AA2C3EF">
      <w:pPr>
        <w:pStyle w:val="27"/>
        <w:keepNext w:val="0"/>
        <w:keepLines w:val="0"/>
        <w:widowControl w:val="0"/>
        <w:tabs>
          <w:tab w:val="right" w:leader="dot" w:pos="10154"/>
        </w:tabs>
        <w:kinsoku/>
        <w:wordWrap/>
        <w:overflowPunct/>
        <w:topLinePunct w:val="0"/>
        <w:bidi w:val="0"/>
        <w:snapToGrid/>
        <w:spacing w:line="360" w:lineRule="auto"/>
        <w:textAlignment w:val="auto"/>
        <w:rPr>
          <w:rFonts w:hint="eastAsia" w:ascii="宋体" w:hAnsi="宋体" w:eastAsia="宋体" w:cs="宋体"/>
          <w:b/>
          <w:bCs w:val="0"/>
          <w:color w:val="auto"/>
          <w:highlight w:val="none"/>
        </w:rPr>
      </w:pPr>
      <w:r>
        <w:rPr>
          <w:rFonts w:hint="eastAsia" w:ascii="宋体" w:hAnsi="宋体" w:eastAsia="宋体" w:cs="宋体"/>
          <w:b/>
          <w:bCs w:val="0"/>
          <w:color w:val="auto"/>
          <w:szCs w:val="21"/>
          <w:highlight w:val="none"/>
        </w:rPr>
        <w:fldChar w:fldCharType="begin"/>
      </w:r>
      <w:r>
        <w:rPr>
          <w:rFonts w:hint="eastAsia" w:ascii="宋体" w:hAnsi="宋体" w:eastAsia="宋体" w:cs="宋体"/>
          <w:b/>
          <w:bCs w:val="0"/>
          <w:color w:val="auto"/>
          <w:szCs w:val="21"/>
          <w:highlight w:val="none"/>
        </w:rPr>
        <w:instrText xml:space="preserve"> HYPERLINK \l _Toc29320 </w:instrText>
      </w:r>
      <w:r>
        <w:rPr>
          <w:rFonts w:hint="eastAsia" w:ascii="宋体" w:hAnsi="宋体" w:eastAsia="宋体" w:cs="宋体"/>
          <w:b/>
          <w:bCs w:val="0"/>
          <w:color w:val="auto"/>
          <w:szCs w:val="21"/>
          <w:highlight w:val="none"/>
        </w:rPr>
        <w:fldChar w:fldCharType="separate"/>
      </w:r>
      <w:r>
        <w:rPr>
          <w:rFonts w:hint="eastAsia" w:ascii="宋体" w:hAnsi="宋体" w:eastAsia="宋体" w:cs="宋体"/>
          <w:b/>
          <w:bCs w:val="0"/>
          <w:color w:val="auto"/>
          <w:kern w:val="44"/>
          <w:szCs w:val="32"/>
          <w:highlight w:val="none"/>
          <w:lang w:val="zh-CN"/>
        </w:rPr>
        <w:t>附件一：评标工作大纲</w:t>
      </w:r>
      <w:r>
        <w:rPr>
          <w:rFonts w:hint="eastAsia" w:ascii="宋体" w:hAnsi="宋体" w:eastAsia="宋体" w:cs="宋体"/>
          <w:b/>
          <w:bCs w:val="0"/>
          <w:color w:val="auto"/>
          <w:highlight w:val="none"/>
        </w:rPr>
        <w:tab/>
      </w:r>
      <w:r>
        <w:rPr>
          <w:rFonts w:hint="eastAsia" w:ascii="宋体" w:hAnsi="宋体" w:eastAsia="宋体" w:cs="宋体"/>
          <w:b/>
          <w:bCs w:val="0"/>
          <w:color w:val="auto"/>
          <w:highlight w:val="none"/>
        </w:rPr>
        <w:fldChar w:fldCharType="begin"/>
      </w:r>
      <w:r>
        <w:rPr>
          <w:rFonts w:hint="eastAsia" w:ascii="宋体" w:hAnsi="宋体" w:eastAsia="宋体" w:cs="宋体"/>
          <w:b/>
          <w:bCs w:val="0"/>
          <w:color w:val="auto"/>
          <w:highlight w:val="none"/>
        </w:rPr>
        <w:instrText xml:space="preserve"> PAGEREF _Toc29320 \h </w:instrText>
      </w:r>
      <w:r>
        <w:rPr>
          <w:rFonts w:hint="eastAsia" w:ascii="宋体" w:hAnsi="宋体" w:eastAsia="宋体" w:cs="宋体"/>
          <w:b/>
          <w:bCs w:val="0"/>
          <w:color w:val="auto"/>
          <w:highlight w:val="none"/>
        </w:rPr>
        <w:fldChar w:fldCharType="separate"/>
      </w:r>
      <w:r>
        <w:rPr>
          <w:rFonts w:hint="eastAsia" w:ascii="宋体" w:hAnsi="宋体" w:eastAsia="宋体" w:cs="宋体"/>
          <w:b/>
          <w:bCs w:val="0"/>
          <w:color w:val="auto"/>
          <w:highlight w:val="none"/>
        </w:rPr>
        <w:t>98</w:t>
      </w:r>
      <w:r>
        <w:rPr>
          <w:rFonts w:hint="eastAsia" w:ascii="宋体" w:hAnsi="宋体" w:eastAsia="宋体" w:cs="宋体"/>
          <w:b/>
          <w:bCs w:val="0"/>
          <w:color w:val="auto"/>
          <w:highlight w:val="none"/>
        </w:rPr>
        <w:fldChar w:fldCharType="end"/>
      </w:r>
      <w:r>
        <w:rPr>
          <w:rFonts w:hint="eastAsia" w:ascii="宋体" w:hAnsi="宋体" w:eastAsia="宋体" w:cs="宋体"/>
          <w:b/>
          <w:bCs w:val="0"/>
          <w:color w:val="auto"/>
          <w:szCs w:val="21"/>
          <w:highlight w:val="none"/>
        </w:rPr>
        <w:fldChar w:fldCharType="end"/>
      </w:r>
    </w:p>
    <w:p w14:paraId="67A08A60">
      <w:pPr>
        <w:keepNext w:val="0"/>
        <w:keepLines w:val="0"/>
        <w:pageBreakBefore/>
        <w:widowControl w:val="0"/>
        <w:tabs>
          <w:tab w:val="left" w:pos="1080"/>
        </w:tabs>
        <w:kinsoku/>
        <w:wordWrap/>
        <w:overflowPunct/>
        <w:topLinePunct w:val="0"/>
        <w:autoSpaceDE w:val="0"/>
        <w:autoSpaceDN w:val="0"/>
        <w:bidi w:val="0"/>
        <w:adjustRightInd w:val="0"/>
        <w:snapToGrid/>
        <w:spacing w:line="360" w:lineRule="auto"/>
        <w:ind w:left="-167" w:leftChars="-100" w:hanging="43"/>
        <w:jc w:val="center"/>
        <w:textAlignment w:val="auto"/>
        <w:outlineLvl w:val="1"/>
        <w:rPr>
          <w:rFonts w:hint="default" w:ascii="宋体" w:hAnsi="宋体" w:eastAsia="宋体" w:cs="宋体"/>
          <w:b/>
          <w:bCs/>
          <w:color w:val="auto"/>
          <w:kern w:val="44"/>
          <w:sz w:val="32"/>
          <w:szCs w:val="32"/>
          <w:highlight w:val="none"/>
          <w:lang w:val="en-US" w:eastAsia="zh-CN"/>
        </w:rPr>
      </w:pPr>
      <w:r>
        <w:rPr>
          <w:rFonts w:hint="eastAsia" w:ascii="宋体" w:hAnsi="宋体" w:eastAsia="宋体" w:cs="宋体"/>
          <w:bCs/>
          <w:color w:val="auto"/>
          <w:szCs w:val="21"/>
          <w:highlight w:val="none"/>
        </w:rPr>
        <w:fldChar w:fldCharType="end"/>
      </w:r>
      <w:bookmarkStart w:id="4" w:name="_Toc22372"/>
      <w:r>
        <w:rPr>
          <w:rFonts w:hint="eastAsia" w:ascii="宋体" w:hAnsi="宋体" w:eastAsia="宋体" w:cs="宋体"/>
          <w:b/>
          <w:bCs/>
          <w:color w:val="auto"/>
          <w:kern w:val="44"/>
          <w:sz w:val="32"/>
          <w:szCs w:val="32"/>
          <w:highlight w:val="none"/>
          <w:lang w:val="zh-CN"/>
        </w:rPr>
        <w:t>第</w:t>
      </w:r>
      <w:r>
        <w:rPr>
          <w:rFonts w:hint="eastAsia" w:ascii="宋体" w:hAnsi="宋体" w:eastAsia="宋体" w:cs="宋体"/>
          <w:b/>
          <w:bCs/>
          <w:color w:val="auto"/>
          <w:kern w:val="44"/>
          <w:sz w:val="32"/>
          <w:szCs w:val="32"/>
          <w:highlight w:val="none"/>
          <w:lang w:val="en-US" w:eastAsia="zh-CN"/>
        </w:rPr>
        <w:t>一</w:t>
      </w:r>
      <w:r>
        <w:rPr>
          <w:rFonts w:hint="eastAsia" w:ascii="宋体" w:hAnsi="宋体" w:eastAsia="宋体" w:cs="宋体"/>
          <w:b/>
          <w:bCs/>
          <w:color w:val="auto"/>
          <w:kern w:val="44"/>
          <w:sz w:val="32"/>
          <w:szCs w:val="32"/>
          <w:highlight w:val="none"/>
          <w:lang w:val="zh-CN"/>
        </w:rPr>
        <w:t>篇</w:t>
      </w:r>
      <w:r>
        <w:rPr>
          <w:rFonts w:ascii="宋体" w:hAnsi="宋体" w:eastAsia="宋体" w:cs="宋体"/>
          <w:b/>
          <w:bCs/>
          <w:color w:val="auto"/>
          <w:kern w:val="44"/>
          <w:sz w:val="32"/>
          <w:szCs w:val="32"/>
          <w:highlight w:val="none"/>
        </w:rPr>
        <w:t xml:space="preserve"> </w:t>
      </w:r>
      <w:r>
        <w:rPr>
          <w:rFonts w:hint="eastAsia" w:ascii="宋体" w:hAnsi="宋体" w:eastAsia="宋体" w:cs="宋体"/>
          <w:b/>
          <w:bCs/>
          <w:color w:val="auto"/>
          <w:kern w:val="44"/>
          <w:sz w:val="32"/>
          <w:szCs w:val="32"/>
          <w:highlight w:val="none"/>
          <w:lang w:val="en-US" w:eastAsia="zh-CN"/>
        </w:rPr>
        <w:t>招标公告</w:t>
      </w:r>
      <w:bookmarkEnd w:id="4"/>
    </w:p>
    <w:bookmarkEnd w:id="3"/>
    <w:p w14:paraId="2AFFE556">
      <w:pPr>
        <w:autoSpaceDE w:val="0"/>
        <w:autoSpaceDN w:val="0"/>
        <w:adjustRightInd w:val="0"/>
        <w:snapToGrid w:val="0"/>
        <w:spacing w:line="360" w:lineRule="auto"/>
        <w:ind w:right="-34" w:firstLine="420" w:firstLineChars="200"/>
        <w:rPr>
          <w:rFonts w:ascii="宋体" w:hAnsi="宋体" w:eastAsia="宋体" w:cs="Times New Roman"/>
          <w:color w:val="auto"/>
          <w:szCs w:val="21"/>
          <w:highlight w:val="none"/>
          <w:lang w:val="zh-CN"/>
        </w:rPr>
      </w:pPr>
      <w:r>
        <w:rPr>
          <w:rFonts w:hint="eastAsia" w:ascii="宋体" w:hAnsi="宋体" w:eastAsia="宋体" w:cs="Times New Roman"/>
          <w:color w:val="auto"/>
          <w:kern w:val="0"/>
          <w:szCs w:val="21"/>
          <w:highlight w:val="none"/>
          <w:lang w:eastAsia="zh-CN"/>
        </w:rPr>
        <w:t>广东有德招标采购有限公司</w:t>
      </w:r>
      <w:r>
        <w:rPr>
          <w:rFonts w:ascii="宋体" w:hAnsi="宋体" w:eastAsia="宋体" w:cs="Times New Roman"/>
          <w:color w:val="auto"/>
          <w:szCs w:val="21"/>
          <w:highlight w:val="none"/>
          <w:lang w:val="zh-CN"/>
        </w:rPr>
        <w:t>（以下简称“招标代理机构”）受</w:t>
      </w:r>
      <w:r>
        <w:rPr>
          <w:rFonts w:hint="eastAsia" w:ascii="宋体" w:hAnsi="宋体" w:eastAsia="宋体" w:cs="Times New Roman"/>
          <w:color w:val="auto"/>
          <w:kern w:val="0"/>
          <w:szCs w:val="21"/>
          <w:highlight w:val="none"/>
          <w:lang w:eastAsia="zh-CN"/>
        </w:rPr>
        <w:t>东莞市水务集团净水有限公司</w:t>
      </w:r>
      <w:r>
        <w:rPr>
          <w:rFonts w:ascii="宋体" w:hAnsi="宋体" w:eastAsia="宋体" w:cs="Times New Roman"/>
          <w:color w:val="auto"/>
          <w:szCs w:val="21"/>
          <w:highlight w:val="none"/>
          <w:lang w:val="zh-CN"/>
        </w:rPr>
        <w:t>（以下简称“招标人”）的委托，对</w:t>
      </w:r>
      <w:bookmarkStart w:id="5" w:name="_Hlk41903390"/>
      <w:r>
        <w:rPr>
          <w:rFonts w:hint="eastAsia" w:ascii="宋体" w:hAnsi="宋体" w:eastAsia="宋体" w:cs="Times New Roman"/>
          <w:color w:val="auto"/>
          <w:kern w:val="0"/>
          <w:szCs w:val="21"/>
          <w:highlight w:val="none"/>
          <w:lang w:eastAsia="zh-CN"/>
        </w:rPr>
        <w:t>东莞市水务集团净水有限公司2025年生产药剂液体柠檬酸采购项目（重新招标）</w:t>
      </w:r>
      <w:r>
        <w:rPr>
          <w:rFonts w:ascii="宋体" w:hAnsi="宋体" w:eastAsia="宋体" w:cs="Times New Roman"/>
          <w:color w:val="auto"/>
          <w:szCs w:val="21"/>
          <w:highlight w:val="none"/>
          <w:lang w:val="zh-CN"/>
        </w:rPr>
        <w:t>(招标编号：</w:t>
      </w:r>
      <w:r>
        <w:rPr>
          <w:rFonts w:hint="eastAsia" w:ascii="宋体" w:hAnsi="宋体" w:eastAsia="宋体" w:cs="Times New Roman"/>
          <w:color w:val="auto"/>
          <w:szCs w:val="21"/>
          <w:highlight w:val="none"/>
          <w:lang w:val="zh-CN"/>
        </w:rPr>
        <w:t>YDZB24DGQY0194-1</w:t>
      </w:r>
      <w:r>
        <w:rPr>
          <w:rFonts w:ascii="宋体" w:hAnsi="宋体" w:eastAsia="宋体" w:cs="Times New Roman"/>
          <w:color w:val="auto"/>
          <w:szCs w:val="21"/>
          <w:highlight w:val="none"/>
          <w:lang w:val="zh-CN"/>
        </w:rPr>
        <w:t>)</w:t>
      </w:r>
      <w:bookmarkEnd w:id="5"/>
      <w:r>
        <w:rPr>
          <w:rFonts w:ascii="宋体" w:hAnsi="宋体" w:eastAsia="宋体" w:cs="Times New Roman"/>
          <w:color w:val="auto"/>
          <w:szCs w:val="21"/>
          <w:highlight w:val="none"/>
          <w:lang w:val="zh-CN"/>
        </w:rPr>
        <w:t>进行国内公开招标，</w:t>
      </w:r>
      <w:r>
        <w:rPr>
          <w:rFonts w:hint="eastAsia" w:ascii="宋体" w:hAnsi="宋体" w:eastAsia="宋体" w:cs="Times New Roman"/>
          <w:bCs/>
          <w:color w:val="auto"/>
          <w:kern w:val="0"/>
          <w:szCs w:val="21"/>
          <w:highlight w:val="none"/>
        </w:rPr>
        <w:t>详情请参见本招标文件</w:t>
      </w:r>
      <w:r>
        <w:rPr>
          <w:rFonts w:ascii="宋体" w:hAnsi="宋体" w:eastAsia="宋体" w:cs="Times New Roman"/>
          <w:bCs/>
          <w:color w:val="auto"/>
          <w:kern w:val="0"/>
          <w:szCs w:val="21"/>
          <w:highlight w:val="none"/>
        </w:rPr>
        <w:t>。</w:t>
      </w:r>
      <w:r>
        <w:rPr>
          <w:rFonts w:hint="eastAsia" w:ascii="宋体" w:hAnsi="宋体" w:eastAsia="宋体" w:cs="Times New Roman"/>
          <w:color w:val="auto"/>
          <w:kern w:val="0"/>
          <w:szCs w:val="21"/>
          <w:highlight w:val="none"/>
        </w:rPr>
        <w:t>欢迎符合条件的合格投标人参加投标，</w:t>
      </w:r>
      <w:r>
        <w:rPr>
          <w:rFonts w:hint="eastAsia" w:ascii="宋体" w:hAnsi="宋体" w:eastAsia="宋体" w:cs="Times New Roman"/>
          <w:bCs/>
          <w:color w:val="auto"/>
          <w:kern w:val="0"/>
          <w:szCs w:val="21"/>
          <w:highlight w:val="none"/>
        </w:rPr>
        <w:t>有关事项如下：</w:t>
      </w:r>
    </w:p>
    <w:p w14:paraId="46B964D6">
      <w:pPr>
        <w:autoSpaceDE w:val="0"/>
        <w:autoSpaceDN w:val="0"/>
        <w:adjustRightInd w:val="0"/>
        <w:spacing w:line="360" w:lineRule="auto"/>
        <w:ind w:right="-29" w:rightChars="-14" w:firstLine="420" w:firstLineChars="200"/>
        <w:rPr>
          <w:rFonts w:ascii="宋体" w:hAnsi="宋体" w:eastAsia="宋体" w:cs="Times New Roman"/>
          <w:color w:val="auto"/>
          <w:szCs w:val="21"/>
          <w:highlight w:val="none"/>
          <w:lang w:val="zh-CN"/>
        </w:rPr>
      </w:pPr>
    </w:p>
    <w:p w14:paraId="77BEFFA3">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bookmarkStart w:id="6" w:name="_Toc17961"/>
      <w:r>
        <w:rPr>
          <w:rFonts w:hint="eastAsia" w:ascii="宋体" w:hAnsi="宋体" w:eastAsia="宋体" w:cs="Times New Roman"/>
          <w:color w:val="auto"/>
          <w:szCs w:val="21"/>
          <w:highlight w:val="none"/>
          <w:lang w:val="zh-CN"/>
        </w:rPr>
        <w:t>招标范围：</w:t>
      </w:r>
      <w:bookmarkEnd w:id="6"/>
    </w:p>
    <w:tbl>
      <w:tblPr>
        <w:tblStyle w:val="37"/>
        <w:tblW w:w="99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929"/>
        <w:gridCol w:w="979"/>
        <w:gridCol w:w="1100"/>
        <w:gridCol w:w="2833"/>
        <w:gridCol w:w="1984"/>
        <w:gridCol w:w="1134"/>
        <w:gridCol w:w="1019"/>
      </w:tblGrid>
      <w:tr w14:paraId="5A80F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815" w:hRule="atLeast"/>
          <w:jc w:val="center"/>
        </w:trPr>
        <w:tc>
          <w:tcPr>
            <w:tcW w:w="929" w:type="dxa"/>
            <w:noWrap w:val="0"/>
            <w:vAlign w:val="center"/>
          </w:tcPr>
          <w:p w14:paraId="53DE88B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货物名称</w:t>
            </w:r>
          </w:p>
        </w:tc>
        <w:tc>
          <w:tcPr>
            <w:tcW w:w="979" w:type="dxa"/>
            <w:noWrap w:val="0"/>
            <w:vAlign w:val="center"/>
          </w:tcPr>
          <w:p w14:paraId="2C56891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暂定采购数量</w:t>
            </w:r>
          </w:p>
        </w:tc>
        <w:tc>
          <w:tcPr>
            <w:tcW w:w="1100" w:type="dxa"/>
            <w:noWrap w:val="0"/>
            <w:vAlign w:val="center"/>
          </w:tcPr>
          <w:p w14:paraId="1F72B42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预算</w:t>
            </w:r>
            <w:r>
              <w:rPr>
                <w:rFonts w:hint="eastAsia" w:ascii="宋体" w:hAnsi="宋体" w:eastAsia="宋体" w:cs="宋体"/>
                <w:color w:val="auto"/>
                <w:sz w:val="21"/>
                <w:szCs w:val="21"/>
                <w:highlight w:val="none"/>
              </w:rPr>
              <w:t>综合单价（不含税）</w:t>
            </w:r>
          </w:p>
        </w:tc>
        <w:tc>
          <w:tcPr>
            <w:tcW w:w="2833" w:type="dxa"/>
            <w:noWrap w:val="0"/>
            <w:vAlign w:val="center"/>
          </w:tcPr>
          <w:p w14:paraId="60E451A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供货期</w:t>
            </w:r>
          </w:p>
        </w:tc>
        <w:tc>
          <w:tcPr>
            <w:tcW w:w="1984" w:type="dxa"/>
            <w:noWrap w:val="0"/>
            <w:vAlign w:val="center"/>
          </w:tcPr>
          <w:p w14:paraId="5944B94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交货时间</w:t>
            </w:r>
          </w:p>
        </w:tc>
        <w:tc>
          <w:tcPr>
            <w:tcW w:w="1134" w:type="dxa"/>
            <w:noWrap w:val="0"/>
            <w:vAlign w:val="center"/>
          </w:tcPr>
          <w:p w14:paraId="3C2836F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保质期</w:t>
            </w:r>
          </w:p>
        </w:tc>
        <w:tc>
          <w:tcPr>
            <w:tcW w:w="1019" w:type="dxa"/>
            <w:noWrap w:val="0"/>
            <w:vAlign w:val="center"/>
          </w:tcPr>
          <w:p w14:paraId="21D4AF6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交货地点</w:t>
            </w:r>
          </w:p>
        </w:tc>
      </w:tr>
      <w:tr w14:paraId="325C4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55" w:hRule="atLeast"/>
          <w:jc w:val="center"/>
        </w:trPr>
        <w:tc>
          <w:tcPr>
            <w:tcW w:w="929" w:type="dxa"/>
            <w:noWrap w:val="0"/>
            <w:vAlign w:val="center"/>
          </w:tcPr>
          <w:p w14:paraId="651588A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液体柠檬酸</w:t>
            </w:r>
          </w:p>
        </w:tc>
        <w:tc>
          <w:tcPr>
            <w:tcW w:w="979" w:type="dxa"/>
            <w:noWrap w:val="0"/>
            <w:vAlign w:val="center"/>
          </w:tcPr>
          <w:p w14:paraId="10B3A72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485.037</w:t>
            </w:r>
            <w:r>
              <w:rPr>
                <w:rFonts w:hint="eastAsia" w:ascii="宋体" w:hAnsi="宋体" w:eastAsia="宋体" w:cs="宋体"/>
                <w:color w:val="auto"/>
                <w:sz w:val="21"/>
                <w:szCs w:val="21"/>
                <w:highlight w:val="none"/>
              </w:rPr>
              <w:t>吨</w:t>
            </w:r>
          </w:p>
        </w:tc>
        <w:tc>
          <w:tcPr>
            <w:tcW w:w="1100" w:type="dxa"/>
            <w:noWrap w:val="0"/>
            <w:vAlign w:val="center"/>
          </w:tcPr>
          <w:p w14:paraId="2674B60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1903.93元/吨</w:t>
            </w:r>
          </w:p>
        </w:tc>
        <w:tc>
          <w:tcPr>
            <w:tcW w:w="2833" w:type="dxa"/>
            <w:noWrap w:val="0"/>
            <w:vAlign w:val="center"/>
          </w:tcPr>
          <w:p w14:paraId="334E8D6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auto"/>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rPr>
              <w:t>自合同签订之日起至202</w:t>
            </w:r>
            <w:r>
              <w:rPr>
                <w:rFonts w:hint="eastAsia" w:ascii="宋体" w:hAnsi="宋体" w:eastAsia="宋体" w:cs="宋体"/>
                <w:iCs/>
                <w:color w:val="auto"/>
                <w:sz w:val="21"/>
                <w:szCs w:val="21"/>
                <w:highlight w:val="none"/>
                <w:lang w:val="en-US" w:eastAsia="zh-CN"/>
              </w:rPr>
              <w:t>5</w:t>
            </w:r>
            <w:r>
              <w:rPr>
                <w:rFonts w:hint="eastAsia" w:ascii="宋体" w:hAnsi="宋体" w:eastAsia="宋体" w:cs="宋体"/>
                <w:iCs/>
                <w:color w:val="auto"/>
                <w:sz w:val="21"/>
                <w:szCs w:val="21"/>
                <w:highlight w:val="none"/>
              </w:rPr>
              <w:t>年12月31日止，具体供货起始日期以</w:t>
            </w:r>
            <w:bookmarkStart w:id="7" w:name="OLE_LINK2"/>
            <w:r>
              <w:rPr>
                <w:rFonts w:hint="eastAsia" w:ascii="宋体" w:hAnsi="宋体" w:eastAsia="宋体" w:cs="宋体"/>
                <w:iCs/>
                <w:color w:val="auto"/>
                <w:sz w:val="21"/>
                <w:szCs w:val="21"/>
                <w:highlight w:val="none"/>
              </w:rPr>
              <w:t>招标人</w:t>
            </w:r>
            <w:bookmarkStart w:id="8" w:name="OLE_LINK14"/>
            <w:r>
              <w:rPr>
                <w:rFonts w:hint="eastAsia" w:ascii="宋体" w:hAnsi="宋体" w:eastAsia="宋体" w:cs="宋体"/>
                <w:iCs/>
                <w:color w:val="auto"/>
                <w:sz w:val="21"/>
                <w:szCs w:val="21"/>
                <w:highlight w:val="none"/>
              </w:rPr>
              <w:t>或招标人权属子公司</w:t>
            </w:r>
            <w:bookmarkEnd w:id="7"/>
            <w:bookmarkEnd w:id="8"/>
            <w:r>
              <w:rPr>
                <w:rFonts w:hint="eastAsia" w:ascii="宋体" w:hAnsi="宋体" w:eastAsia="宋体" w:cs="宋体"/>
                <w:iCs/>
                <w:color w:val="auto"/>
                <w:sz w:val="21"/>
                <w:szCs w:val="21"/>
                <w:highlight w:val="none"/>
              </w:rPr>
              <w:t>书面通知为准，投标人收到招标人</w:t>
            </w:r>
            <w:bookmarkStart w:id="9" w:name="OLE_LINK22"/>
            <w:r>
              <w:rPr>
                <w:rFonts w:hint="eastAsia" w:ascii="宋体" w:hAnsi="宋体" w:eastAsia="宋体" w:cs="宋体"/>
                <w:iCs/>
                <w:color w:val="auto"/>
                <w:sz w:val="21"/>
                <w:szCs w:val="21"/>
                <w:highlight w:val="none"/>
              </w:rPr>
              <w:t>或招标人权属子公司</w:t>
            </w:r>
            <w:bookmarkEnd w:id="9"/>
            <w:r>
              <w:rPr>
                <w:rFonts w:hint="eastAsia" w:ascii="宋体" w:hAnsi="宋体" w:eastAsia="宋体" w:cs="宋体"/>
                <w:iCs/>
                <w:color w:val="auto"/>
                <w:sz w:val="21"/>
                <w:szCs w:val="21"/>
                <w:highlight w:val="none"/>
              </w:rPr>
              <w:t>通知后必须无条件按照招标人的要求开始供货，供货期结束后，按招标人实际生产需要，经双方协商同意后，可签订补充协议延长不超过三个月的供货期。</w:t>
            </w:r>
          </w:p>
        </w:tc>
        <w:tc>
          <w:tcPr>
            <w:tcW w:w="1984" w:type="dxa"/>
            <w:noWrap w:val="0"/>
            <w:vAlign w:val="center"/>
          </w:tcPr>
          <w:p w14:paraId="5F66D6B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日常供货（非加急供货）为接到供货通知24小时内，加急供货为接到供货通知4小时内，具体交货时间以招标人运营项目供货通知为准。招标人无需因加急供货而额外支付任何费用。</w:t>
            </w:r>
          </w:p>
        </w:tc>
        <w:tc>
          <w:tcPr>
            <w:tcW w:w="1134" w:type="dxa"/>
            <w:noWrap w:val="0"/>
            <w:vAlign w:val="center"/>
          </w:tcPr>
          <w:p w14:paraId="3BC983C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eastAsia="zh-CN"/>
              </w:rPr>
              <w:t>以招标人运营项目</w:t>
            </w:r>
            <w:r>
              <w:rPr>
                <w:rFonts w:hint="eastAsia" w:ascii="宋体" w:hAnsi="宋体" w:eastAsia="宋体" w:cs="宋体"/>
                <w:color w:val="auto"/>
                <w:szCs w:val="21"/>
                <w:highlight w:val="none"/>
              </w:rPr>
              <w:t>最终</w:t>
            </w:r>
            <w:r>
              <w:rPr>
                <w:rFonts w:hint="eastAsia" w:ascii="宋体" w:hAnsi="宋体" w:eastAsia="宋体" w:cs="宋体"/>
                <w:color w:val="auto"/>
                <w:kern w:val="2"/>
                <w:sz w:val="21"/>
                <w:szCs w:val="21"/>
                <w:highlight w:val="none"/>
                <w:lang w:eastAsia="zh-CN"/>
              </w:rPr>
              <w:t>验收之日算起3个月，保质期内产品质量须达到所有技术指标要求。</w:t>
            </w:r>
          </w:p>
        </w:tc>
        <w:tc>
          <w:tcPr>
            <w:tcW w:w="1019" w:type="dxa"/>
            <w:noWrap w:val="0"/>
            <w:vAlign w:val="center"/>
          </w:tcPr>
          <w:p w14:paraId="5944725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招标人在东莞市范围内的运营项目。</w:t>
            </w:r>
          </w:p>
        </w:tc>
      </w:tr>
    </w:tbl>
    <w:p w14:paraId="24539BA6">
      <w:pPr>
        <w:numPr>
          <w:ilvl w:val="-1"/>
          <w:numId w:val="0"/>
        </w:numPr>
        <w:autoSpaceDE w:val="0"/>
        <w:autoSpaceDN w:val="0"/>
        <w:adjustRightInd w:val="0"/>
        <w:snapToGrid w:val="0"/>
        <w:spacing w:line="360" w:lineRule="auto"/>
        <w:ind w:left="0" w:right="-34" w:firstLine="0"/>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（具体内容详见：第三篇用户需求书）。</w:t>
      </w:r>
    </w:p>
    <w:p w14:paraId="04B80F24">
      <w:pPr>
        <w:autoSpaceDE w:val="0"/>
        <w:autoSpaceDN w:val="0"/>
        <w:adjustRightInd w:val="0"/>
        <w:spacing w:line="360" w:lineRule="auto"/>
        <w:ind w:right="-29" w:rightChars="-14"/>
        <w:rPr>
          <w:rFonts w:ascii="宋体" w:hAnsi="宋体" w:eastAsia="宋体" w:cs="Times New Roman"/>
          <w:color w:val="auto"/>
          <w:szCs w:val="21"/>
          <w:highlight w:val="none"/>
          <w:lang w:val="zh-CN"/>
        </w:rPr>
      </w:pPr>
    </w:p>
    <w:p w14:paraId="48BC13BF">
      <w:pPr>
        <w:numPr>
          <w:ilvl w:val="0"/>
          <w:numId w:val="1"/>
        </w:numPr>
        <w:autoSpaceDE w:val="0"/>
        <w:autoSpaceDN w:val="0"/>
        <w:adjustRightInd w:val="0"/>
        <w:snapToGrid w:val="0"/>
        <w:spacing w:line="360" w:lineRule="auto"/>
        <w:ind w:right="-34"/>
        <w:jc w:val="left"/>
        <w:rPr>
          <w:rFonts w:ascii="宋体" w:hAnsi="宋体" w:eastAsia="宋体" w:cs="Times New Roman"/>
          <w:b/>
          <w:color w:val="auto"/>
          <w:szCs w:val="21"/>
          <w:highlight w:val="none"/>
          <w:lang w:val="zh-CN"/>
        </w:rPr>
      </w:pPr>
      <w:bookmarkStart w:id="10" w:name="_Toc15679"/>
      <w:r>
        <w:rPr>
          <w:rFonts w:ascii="宋体" w:hAnsi="宋体" w:eastAsia="宋体" w:cs="Times New Roman"/>
          <w:b/>
          <w:color w:val="auto"/>
          <w:szCs w:val="21"/>
          <w:highlight w:val="none"/>
          <w:lang w:val="zh-CN"/>
        </w:rPr>
        <w:t>合格投标人</w:t>
      </w:r>
      <w:r>
        <w:rPr>
          <w:rFonts w:hint="eastAsia" w:ascii="宋体" w:hAnsi="宋体" w:eastAsia="宋体" w:cs="Times New Roman"/>
          <w:b/>
          <w:color w:val="auto"/>
          <w:szCs w:val="21"/>
          <w:highlight w:val="none"/>
          <w:lang w:val="zh-CN"/>
        </w:rPr>
        <w:t>资格要求</w:t>
      </w:r>
      <w:r>
        <w:rPr>
          <w:rFonts w:ascii="宋体" w:hAnsi="宋体" w:eastAsia="宋体" w:cs="Times New Roman"/>
          <w:b/>
          <w:color w:val="auto"/>
          <w:szCs w:val="21"/>
          <w:highlight w:val="none"/>
          <w:lang w:val="zh-CN"/>
        </w:rPr>
        <w:t>：</w:t>
      </w:r>
      <w:bookmarkEnd w:id="10"/>
    </w:p>
    <w:p w14:paraId="53796276">
      <w:pPr>
        <w:pStyle w:val="128"/>
        <w:numPr>
          <w:ilvl w:val="0"/>
          <w:numId w:val="2"/>
        </w:numPr>
        <w:tabs>
          <w:tab w:val="left" w:pos="426"/>
        </w:tabs>
        <w:snapToGrid w:val="0"/>
        <w:spacing w:line="360" w:lineRule="auto"/>
        <w:ind w:firstLineChars="0"/>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在中华人民共和国境内登记注册、合法存续、正常经营且具有独立承担民事责任能力的法人或其他组织；</w:t>
      </w:r>
    </w:p>
    <w:p w14:paraId="2366243F">
      <w:pPr>
        <w:pStyle w:val="128"/>
        <w:numPr>
          <w:ilvl w:val="0"/>
          <w:numId w:val="2"/>
        </w:numPr>
        <w:tabs>
          <w:tab w:val="left" w:pos="426"/>
        </w:tabs>
        <w:snapToGrid w:val="0"/>
        <w:spacing w:line="360" w:lineRule="auto"/>
        <w:ind w:firstLineChars="0"/>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投标人必须是投标产品的制造商，或取得投标产品制造商就本次投标独家授权的经销商；</w:t>
      </w:r>
    </w:p>
    <w:p w14:paraId="4BE378D9">
      <w:pPr>
        <w:pStyle w:val="128"/>
        <w:numPr>
          <w:ilvl w:val="0"/>
          <w:numId w:val="2"/>
        </w:numPr>
        <w:tabs>
          <w:tab w:val="left" w:pos="426"/>
        </w:tabs>
        <w:snapToGrid w:val="0"/>
        <w:spacing w:line="360" w:lineRule="auto"/>
        <w:ind w:firstLineChars="0"/>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所投产品制造商具有环境管理部门核发的合法有效的环评批复（批复内容须体现</w:t>
      </w:r>
      <w:r>
        <w:rPr>
          <w:rFonts w:hint="eastAsia" w:ascii="宋体" w:hAnsi="宋体" w:eastAsia="宋体" w:cs="宋体"/>
          <w:b/>
          <w:color w:val="auto"/>
          <w:sz w:val="21"/>
          <w:szCs w:val="21"/>
          <w:highlight w:val="none"/>
          <w:lang w:val="en-US" w:eastAsia="zh-CN"/>
        </w:rPr>
        <w:t>含投标产品</w:t>
      </w:r>
      <w:r>
        <w:rPr>
          <w:rFonts w:hint="eastAsia" w:ascii="宋体" w:hAnsi="宋体" w:eastAsia="宋体" w:cs="宋体"/>
          <w:b/>
          <w:color w:val="auto"/>
          <w:sz w:val="21"/>
          <w:szCs w:val="21"/>
          <w:highlight w:val="none"/>
        </w:rPr>
        <w:t>）；</w:t>
      </w:r>
    </w:p>
    <w:p w14:paraId="081306C9">
      <w:pPr>
        <w:pStyle w:val="128"/>
        <w:numPr>
          <w:ilvl w:val="0"/>
          <w:numId w:val="2"/>
        </w:numPr>
        <w:tabs>
          <w:tab w:val="left" w:pos="426"/>
        </w:tabs>
        <w:snapToGrid w:val="0"/>
        <w:spacing w:line="360" w:lineRule="auto"/>
        <w:ind w:firstLineChars="0"/>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投标人自2022年1月1日以来具有一份投标品牌液体柠檬酸供货业绩（</w:t>
      </w:r>
      <w:r>
        <w:rPr>
          <w:rFonts w:hint="eastAsia" w:ascii="宋体" w:hAnsi="宋体" w:eastAsia="宋体" w:cs="宋体"/>
          <w:b/>
          <w:color w:val="auto"/>
          <w:szCs w:val="21"/>
          <w:highlight w:val="none"/>
        </w:rPr>
        <w:t>合同签订日期</w:t>
      </w:r>
      <w:r>
        <w:rPr>
          <w:rFonts w:hint="eastAsia" w:ascii="宋体" w:hAnsi="宋体" w:eastAsia="宋体" w:cs="宋体"/>
          <w:b/>
          <w:color w:val="auto"/>
          <w:sz w:val="21"/>
          <w:szCs w:val="21"/>
          <w:highlight w:val="none"/>
          <w:lang w:val="en-US" w:eastAsia="zh-CN"/>
        </w:rPr>
        <w:t>为2022年1月1日或以后）；</w:t>
      </w:r>
    </w:p>
    <w:p w14:paraId="5A778D2A">
      <w:pPr>
        <w:pStyle w:val="128"/>
        <w:numPr>
          <w:ilvl w:val="0"/>
          <w:numId w:val="2"/>
        </w:numPr>
        <w:tabs>
          <w:tab w:val="left" w:pos="426"/>
        </w:tabs>
        <w:snapToGrid w:val="0"/>
        <w:spacing w:line="360" w:lineRule="auto"/>
        <w:ind w:firstLineChars="0"/>
        <w:jc w:val="both"/>
        <w:rPr>
          <w:rFonts w:hint="eastAsia" w:ascii="宋体" w:hAnsi="宋体" w:eastAsia="宋体" w:cs="宋体"/>
          <w:b/>
          <w:color w:val="auto"/>
          <w:sz w:val="21"/>
          <w:szCs w:val="21"/>
          <w:highlight w:val="none"/>
        </w:rPr>
      </w:pPr>
      <w:bookmarkStart w:id="11" w:name="_Toc30188"/>
      <w:r>
        <w:rPr>
          <w:rFonts w:hint="eastAsia" w:ascii="宋体" w:hAnsi="宋体" w:eastAsia="宋体" w:cs="宋体"/>
          <w:b/>
          <w:color w:val="auto"/>
          <w:kern w:val="2"/>
          <w:sz w:val="21"/>
          <w:szCs w:val="21"/>
          <w:highlight w:val="none"/>
          <w:lang w:val="zh-CN"/>
        </w:rPr>
        <w:t>本</w:t>
      </w:r>
      <w:r>
        <w:rPr>
          <w:rFonts w:hint="eastAsia" w:ascii="宋体" w:hAnsi="宋体" w:eastAsia="宋体" w:cs="宋体"/>
          <w:b/>
          <w:color w:val="auto"/>
          <w:sz w:val="21"/>
          <w:szCs w:val="21"/>
          <w:highlight w:val="none"/>
          <w:lang w:val="zh-CN"/>
        </w:rPr>
        <w:t>项目</w:t>
      </w:r>
      <w:r>
        <w:rPr>
          <w:rFonts w:hint="eastAsia" w:ascii="宋体" w:hAnsi="宋体" w:eastAsia="宋体" w:cs="宋体"/>
          <w:b/>
          <w:color w:val="auto"/>
          <w:kern w:val="2"/>
          <w:sz w:val="21"/>
          <w:szCs w:val="21"/>
          <w:highlight w:val="none"/>
          <w:lang w:val="zh-CN"/>
        </w:rPr>
        <w:t>不接</w:t>
      </w:r>
      <w:r>
        <w:rPr>
          <w:rFonts w:hint="eastAsia" w:ascii="宋体" w:hAnsi="宋体" w:eastAsia="宋体" w:cs="宋体"/>
          <w:b/>
          <w:color w:val="auto"/>
          <w:kern w:val="2"/>
          <w:sz w:val="21"/>
          <w:szCs w:val="21"/>
          <w:highlight w:val="none"/>
        </w:rPr>
        <w:t>受</w:t>
      </w:r>
      <w:r>
        <w:rPr>
          <w:rFonts w:hint="eastAsia" w:ascii="宋体" w:hAnsi="宋体" w:eastAsia="宋体" w:cs="宋体"/>
          <w:b/>
          <w:color w:val="auto"/>
          <w:kern w:val="2"/>
          <w:sz w:val="21"/>
          <w:szCs w:val="21"/>
          <w:highlight w:val="none"/>
          <w:lang w:val="zh-CN"/>
        </w:rPr>
        <w:t>联合体投标。</w:t>
      </w:r>
      <w:bookmarkEnd w:id="11"/>
    </w:p>
    <w:p w14:paraId="417E20CB">
      <w:pPr>
        <w:autoSpaceDE w:val="0"/>
        <w:autoSpaceDN w:val="0"/>
        <w:adjustRightInd w:val="0"/>
        <w:spacing w:line="360" w:lineRule="auto"/>
        <w:ind w:right="-29" w:rightChars="-14" w:firstLine="420" w:firstLineChars="200"/>
        <w:rPr>
          <w:rFonts w:ascii="宋体" w:hAnsi="宋体" w:eastAsia="宋体" w:cs="Times New Roman"/>
          <w:color w:val="auto"/>
          <w:szCs w:val="21"/>
          <w:highlight w:val="none"/>
          <w:lang w:val="zh-CN"/>
        </w:rPr>
      </w:pPr>
    </w:p>
    <w:p w14:paraId="1658DD50">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获取招标文件的方式：本项目采用“不记名网上下载”的方式发布招标文件，</w:t>
      </w:r>
      <w:r>
        <w:rPr>
          <w:rFonts w:hint="eastAsia" w:ascii="宋体" w:hAnsi="宋体" w:eastAsia="宋体" w:cs="Times New Roman"/>
          <w:color w:val="auto"/>
          <w:szCs w:val="21"/>
          <w:highlight w:val="none"/>
          <w:lang w:val="zh-CN"/>
        </w:rPr>
        <w:t>有意向的投标人可于本项目投标截止时间前，在本项目招标信息发布媒介</w:t>
      </w:r>
      <w:r>
        <w:rPr>
          <w:rFonts w:hint="eastAsia" w:ascii="宋体" w:hAnsi="宋体" w:eastAsia="宋体" w:cs="Times New Roman"/>
          <w:color w:val="auto"/>
          <w:szCs w:val="21"/>
          <w:highlight w:val="none"/>
          <w:lang w:val="en-US" w:eastAsia="zh-CN"/>
        </w:rPr>
        <w:t>【</w:t>
      </w:r>
      <w:r>
        <w:rPr>
          <w:rFonts w:hint="eastAsia" w:ascii="宋体" w:hAnsi="宋体" w:eastAsia="宋体" w:cs="Times New Roman"/>
          <w:color w:val="auto"/>
          <w:szCs w:val="21"/>
          <w:highlight w:val="none"/>
          <w:lang w:val="zh-CN"/>
        </w:rPr>
        <w:t>详见本招标公告第7点（除中国招标投标公共服务平台外）</w:t>
      </w:r>
      <w:r>
        <w:rPr>
          <w:rFonts w:hint="eastAsia" w:ascii="宋体" w:hAnsi="宋体" w:eastAsia="宋体" w:cs="Times New Roman"/>
          <w:color w:val="auto"/>
          <w:szCs w:val="21"/>
          <w:highlight w:val="none"/>
          <w:lang w:val="en-US" w:eastAsia="zh-CN"/>
        </w:rPr>
        <w:t>】</w:t>
      </w:r>
      <w:r>
        <w:rPr>
          <w:rFonts w:hint="eastAsia" w:ascii="宋体" w:hAnsi="宋体" w:eastAsia="宋体" w:cs="Times New Roman"/>
          <w:color w:val="auto"/>
          <w:szCs w:val="21"/>
          <w:highlight w:val="none"/>
          <w:lang w:val="zh-CN"/>
        </w:rPr>
        <w:t>下载招标文件。</w:t>
      </w:r>
    </w:p>
    <w:p w14:paraId="7D979C58">
      <w:pPr>
        <w:autoSpaceDE w:val="0"/>
        <w:autoSpaceDN w:val="0"/>
        <w:adjustRightInd w:val="0"/>
        <w:spacing w:line="360" w:lineRule="auto"/>
        <w:ind w:left="630" w:leftChars="100" w:right="-29" w:rightChars="-14" w:hanging="420" w:hangingChars="200"/>
        <w:rPr>
          <w:rFonts w:ascii="宋体" w:hAnsi="宋体" w:eastAsia="宋体" w:cs="Times New Roman"/>
          <w:color w:val="auto"/>
          <w:szCs w:val="21"/>
          <w:highlight w:val="none"/>
          <w:lang w:val="zh-CN"/>
        </w:rPr>
      </w:pPr>
    </w:p>
    <w:p w14:paraId="44B8580F">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招标代理机构</w:t>
      </w:r>
      <w:r>
        <w:rPr>
          <w:rFonts w:hint="eastAsia" w:ascii="宋体" w:hAnsi="宋体" w:eastAsia="宋体" w:cs="Times New Roman"/>
          <w:color w:val="auto"/>
          <w:szCs w:val="21"/>
          <w:highlight w:val="none"/>
          <w:lang w:val="zh-CN"/>
        </w:rPr>
        <w:t>在递交投标文件截止时间当天通过“信用中国”网站（www.creditchina.gov.cn）查询投标人（含其不具有独立法人资格的分支机构）信用记录。招标代理机构对投标人信用记录进行甄别，对列入失信被执行人、重大税收违法失信主体、</w:t>
      </w:r>
      <w:r>
        <w:rPr>
          <w:rFonts w:hint="eastAsia" w:ascii="宋体" w:hAnsi="宋体" w:eastAsia="宋体" w:cs="Times New Roman"/>
          <w:color w:val="auto"/>
          <w:szCs w:val="21"/>
          <w:highlight w:val="none"/>
          <w:lang w:val="en-US" w:eastAsia="zh-CN"/>
        </w:rPr>
        <w:t>政府采购</w:t>
      </w:r>
      <w:r>
        <w:rPr>
          <w:rFonts w:hint="eastAsia" w:ascii="宋体" w:hAnsi="宋体" w:eastAsia="宋体" w:cs="Times New Roman"/>
          <w:color w:val="auto"/>
          <w:szCs w:val="21"/>
          <w:highlight w:val="none"/>
          <w:lang w:val="zh-CN"/>
        </w:rPr>
        <w:t>严重违法失信行为记录名单的投标人，做好相关记录（处罚期限届满的除外）</w:t>
      </w:r>
      <w:r>
        <w:rPr>
          <w:rFonts w:ascii="宋体" w:hAnsi="宋体" w:eastAsia="宋体" w:cs="Times New Roman"/>
          <w:color w:val="auto"/>
          <w:szCs w:val="21"/>
          <w:highlight w:val="none"/>
          <w:lang w:val="zh-CN"/>
        </w:rPr>
        <w:t>。</w:t>
      </w:r>
    </w:p>
    <w:p w14:paraId="19B2AB37">
      <w:pPr>
        <w:autoSpaceDE w:val="0"/>
        <w:autoSpaceDN w:val="0"/>
        <w:adjustRightInd w:val="0"/>
        <w:spacing w:line="360" w:lineRule="auto"/>
        <w:ind w:right="-29" w:rightChars="-14" w:firstLine="420"/>
        <w:rPr>
          <w:rFonts w:ascii="宋体" w:hAnsi="宋体" w:eastAsia="宋体" w:cs="Times New Roman"/>
          <w:color w:val="auto"/>
          <w:szCs w:val="21"/>
          <w:highlight w:val="none"/>
          <w:lang w:val="zh-CN"/>
        </w:rPr>
      </w:pPr>
    </w:p>
    <w:p w14:paraId="34854310">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bookmarkStart w:id="12" w:name="_Toc9478"/>
      <w:r>
        <w:rPr>
          <w:rFonts w:ascii="宋体" w:hAnsi="宋体" w:eastAsia="宋体" w:cs="Times New Roman"/>
          <w:color w:val="auto"/>
          <w:szCs w:val="21"/>
          <w:highlight w:val="none"/>
          <w:lang w:val="zh-CN"/>
        </w:rPr>
        <w:t>投标、开标时间及地点：</w:t>
      </w:r>
      <w:bookmarkEnd w:id="12"/>
    </w:p>
    <w:p w14:paraId="001DC14C">
      <w:pPr>
        <w:autoSpaceDE w:val="0"/>
        <w:autoSpaceDN w:val="0"/>
        <w:adjustRightInd w:val="0"/>
        <w:spacing w:line="360" w:lineRule="auto"/>
        <w:ind w:right="-29" w:rightChars="-14"/>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 xml:space="preserve">5.1 </w:t>
      </w:r>
      <w:r>
        <w:rPr>
          <w:rFonts w:ascii="宋体" w:hAnsi="宋体" w:eastAsia="宋体" w:cs="Times New Roman"/>
          <w:color w:val="auto"/>
          <w:szCs w:val="21"/>
          <w:highlight w:val="none"/>
          <w:lang w:val="zh-CN"/>
        </w:rPr>
        <w:t>投标文件递交时间：</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lang w:val="en-US" w:eastAsia="zh-CN"/>
        </w:rPr>
        <w:t>2025</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bCs/>
          <w:color w:val="auto"/>
          <w:kern w:val="0"/>
          <w:sz w:val="21"/>
          <w:szCs w:val="21"/>
          <w:highlight w:val="none"/>
        </w:rPr>
        <w:t>年</w:t>
      </w:r>
      <w:r>
        <w:rPr>
          <w:rFonts w:hint="eastAsia" w:ascii="宋体" w:hAnsi="宋体" w:eastAsia="宋体" w:cs="宋体"/>
          <w:color w:val="auto"/>
          <w:sz w:val="21"/>
          <w:szCs w:val="21"/>
          <w:highlight w:val="none"/>
          <w:u w:val="single"/>
          <w:lang w:val="zh-CN"/>
        </w:rPr>
        <w:t xml:space="preserve"> </w:t>
      </w:r>
      <w:r>
        <w:rPr>
          <w:rFonts w:hint="eastAsia" w:ascii="宋体" w:hAnsi="宋体" w:cs="宋体"/>
          <w:color w:val="auto"/>
          <w:sz w:val="21"/>
          <w:szCs w:val="21"/>
          <w:highlight w:val="none"/>
          <w:u w:val="single"/>
          <w:lang w:val="en-US" w:eastAsia="zh-CN"/>
        </w:rPr>
        <w:t>04</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bCs/>
          <w:color w:val="auto"/>
          <w:kern w:val="0"/>
          <w:sz w:val="21"/>
          <w:szCs w:val="21"/>
          <w:highlight w:val="none"/>
        </w:rPr>
        <w:t>月</w:t>
      </w:r>
      <w:r>
        <w:rPr>
          <w:rFonts w:hint="eastAsia" w:ascii="宋体" w:hAnsi="宋体" w:eastAsia="宋体" w:cs="宋体"/>
          <w:color w:val="auto"/>
          <w:sz w:val="21"/>
          <w:szCs w:val="21"/>
          <w:highlight w:val="none"/>
          <w:u w:val="single"/>
          <w:lang w:val="zh-CN"/>
        </w:rPr>
        <w:t xml:space="preserve"> </w:t>
      </w:r>
      <w:r>
        <w:rPr>
          <w:rFonts w:hint="eastAsia" w:ascii="宋体" w:hAnsi="宋体" w:cs="宋体"/>
          <w:color w:val="auto"/>
          <w:sz w:val="21"/>
          <w:szCs w:val="21"/>
          <w:highlight w:val="none"/>
          <w:u w:val="single"/>
          <w:lang w:val="en-US" w:eastAsia="zh-CN"/>
        </w:rPr>
        <w:t>10</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bCs/>
          <w:color w:val="auto"/>
          <w:kern w:val="0"/>
          <w:sz w:val="21"/>
          <w:szCs w:val="21"/>
          <w:highlight w:val="none"/>
        </w:rPr>
        <w:t>日</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13</w:t>
      </w:r>
      <w:r>
        <w:rPr>
          <w:rFonts w:hint="eastAsia" w:ascii="宋体" w:hAnsi="宋体" w:eastAsia="宋体" w:cs="Times New Roman"/>
          <w:bCs/>
          <w:color w:val="auto"/>
          <w:kern w:val="0"/>
          <w:szCs w:val="21"/>
          <w:highlight w:val="none"/>
          <w:u w:val="single"/>
        </w:rPr>
        <w:t>:</w:t>
      </w:r>
      <w:r>
        <w:rPr>
          <w:rFonts w:hint="eastAsia" w:ascii="宋体" w:hAnsi="宋体" w:eastAsia="宋体" w:cs="Times New Roman"/>
          <w:color w:val="auto"/>
          <w:szCs w:val="21"/>
          <w:highlight w:val="none"/>
          <w:u w:val="single"/>
          <w:lang w:val="en-US" w:eastAsia="zh-CN"/>
        </w:rPr>
        <w:t>30</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14</w:t>
      </w:r>
      <w:r>
        <w:rPr>
          <w:rFonts w:hint="eastAsia" w:ascii="宋体" w:hAnsi="宋体" w:eastAsia="宋体" w:cs="Times New Roman"/>
          <w:bCs/>
          <w:color w:val="auto"/>
          <w:kern w:val="0"/>
          <w:szCs w:val="21"/>
          <w:highlight w:val="none"/>
          <w:u w:val="single"/>
        </w:rPr>
        <w:t>:</w:t>
      </w:r>
      <w:r>
        <w:rPr>
          <w:rFonts w:hint="eastAsia" w:ascii="宋体" w:hAnsi="宋体" w:eastAsia="宋体" w:cs="Times New Roman"/>
          <w:color w:val="auto"/>
          <w:szCs w:val="21"/>
          <w:highlight w:val="none"/>
          <w:u w:val="single"/>
          <w:lang w:val="en-US" w:eastAsia="zh-CN"/>
        </w:rPr>
        <w:t xml:space="preserve">00 </w:t>
      </w:r>
      <w:r>
        <w:rPr>
          <w:rFonts w:hint="eastAsia" w:ascii="宋体" w:hAnsi="宋体" w:eastAsia="宋体" w:cs="Times New Roman"/>
          <w:bCs/>
          <w:color w:val="auto"/>
          <w:kern w:val="0"/>
          <w:szCs w:val="21"/>
          <w:highlight w:val="none"/>
        </w:rPr>
        <w:t>；</w:t>
      </w:r>
    </w:p>
    <w:p w14:paraId="4F8006C3">
      <w:pPr>
        <w:autoSpaceDE w:val="0"/>
        <w:autoSpaceDN w:val="0"/>
        <w:adjustRightInd w:val="0"/>
        <w:spacing w:line="360" w:lineRule="auto"/>
        <w:ind w:right="-29" w:rightChars="-14"/>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 xml:space="preserve">5.2 </w:t>
      </w:r>
      <w:r>
        <w:rPr>
          <w:rFonts w:ascii="宋体" w:hAnsi="宋体" w:eastAsia="宋体" w:cs="Times New Roman"/>
          <w:color w:val="auto"/>
          <w:szCs w:val="21"/>
          <w:highlight w:val="none"/>
          <w:lang w:val="zh-CN"/>
        </w:rPr>
        <w:t>投标截止及开标时间：</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lang w:val="en-US" w:eastAsia="zh-CN"/>
        </w:rPr>
        <w:t>2025</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bCs/>
          <w:color w:val="auto"/>
          <w:kern w:val="0"/>
          <w:sz w:val="21"/>
          <w:szCs w:val="21"/>
          <w:highlight w:val="none"/>
        </w:rPr>
        <w:t>年</w:t>
      </w:r>
      <w:r>
        <w:rPr>
          <w:rFonts w:hint="eastAsia" w:ascii="宋体" w:hAnsi="宋体" w:eastAsia="宋体" w:cs="宋体"/>
          <w:color w:val="auto"/>
          <w:sz w:val="21"/>
          <w:szCs w:val="21"/>
          <w:highlight w:val="none"/>
          <w:u w:val="single"/>
          <w:lang w:val="zh-CN"/>
        </w:rPr>
        <w:t xml:space="preserve"> </w:t>
      </w:r>
      <w:r>
        <w:rPr>
          <w:rFonts w:hint="eastAsia" w:ascii="宋体" w:hAnsi="宋体" w:cs="宋体"/>
          <w:color w:val="auto"/>
          <w:sz w:val="21"/>
          <w:szCs w:val="21"/>
          <w:highlight w:val="none"/>
          <w:u w:val="single"/>
          <w:lang w:val="en-US" w:eastAsia="zh-CN"/>
        </w:rPr>
        <w:t>04</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bCs/>
          <w:color w:val="auto"/>
          <w:kern w:val="0"/>
          <w:sz w:val="21"/>
          <w:szCs w:val="21"/>
          <w:highlight w:val="none"/>
        </w:rPr>
        <w:t>月</w:t>
      </w:r>
      <w:r>
        <w:rPr>
          <w:rFonts w:hint="eastAsia" w:ascii="宋体" w:hAnsi="宋体" w:eastAsia="宋体" w:cs="宋体"/>
          <w:color w:val="auto"/>
          <w:sz w:val="21"/>
          <w:szCs w:val="21"/>
          <w:highlight w:val="none"/>
          <w:u w:val="single"/>
          <w:lang w:val="zh-CN"/>
        </w:rPr>
        <w:t xml:space="preserve"> </w:t>
      </w:r>
      <w:r>
        <w:rPr>
          <w:rFonts w:hint="eastAsia" w:ascii="宋体" w:hAnsi="宋体" w:cs="宋体"/>
          <w:color w:val="auto"/>
          <w:sz w:val="21"/>
          <w:szCs w:val="21"/>
          <w:highlight w:val="none"/>
          <w:u w:val="single"/>
          <w:lang w:val="en-US" w:eastAsia="zh-CN"/>
        </w:rPr>
        <w:t>10</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bCs/>
          <w:color w:val="auto"/>
          <w:kern w:val="0"/>
          <w:sz w:val="21"/>
          <w:szCs w:val="21"/>
          <w:highlight w:val="none"/>
        </w:rPr>
        <w:t>日</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14</w:t>
      </w:r>
      <w:r>
        <w:rPr>
          <w:rFonts w:hint="eastAsia" w:ascii="宋体" w:hAnsi="宋体" w:eastAsia="宋体" w:cs="Times New Roman"/>
          <w:bCs/>
          <w:color w:val="auto"/>
          <w:kern w:val="0"/>
          <w:szCs w:val="21"/>
          <w:highlight w:val="none"/>
          <w:u w:val="single"/>
        </w:rPr>
        <w:t>:</w:t>
      </w:r>
      <w:r>
        <w:rPr>
          <w:rFonts w:hint="eastAsia" w:ascii="宋体" w:hAnsi="宋体" w:eastAsia="宋体" w:cs="Times New Roman"/>
          <w:color w:val="auto"/>
          <w:szCs w:val="21"/>
          <w:highlight w:val="none"/>
          <w:u w:val="single"/>
          <w:lang w:val="en-US" w:eastAsia="zh-CN"/>
        </w:rPr>
        <w:t xml:space="preserve">00 </w:t>
      </w:r>
      <w:r>
        <w:rPr>
          <w:rFonts w:hint="eastAsia" w:ascii="宋体" w:hAnsi="宋体" w:eastAsia="宋体" w:cs="Times New Roman"/>
          <w:bCs/>
          <w:color w:val="auto"/>
          <w:kern w:val="0"/>
          <w:szCs w:val="21"/>
          <w:highlight w:val="none"/>
        </w:rPr>
        <w:t>；</w:t>
      </w:r>
      <w:bookmarkStart w:id="922" w:name="_GoBack"/>
      <w:bookmarkEnd w:id="922"/>
    </w:p>
    <w:p w14:paraId="7E975FA9">
      <w:pPr>
        <w:autoSpaceDE w:val="0"/>
        <w:autoSpaceDN w:val="0"/>
        <w:adjustRightInd w:val="0"/>
        <w:spacing w:line="360" w:lineRule="auto"/>
        <w:ind w:right="-29" w:rightChars="-14"/>
        <w:rPr>
          <w:rFonts w:ascii="宋体" w:hAnsi="宋体" w:eastAsia="宋体" w:cs="Times New Roman"/>
          <w:color w:val="auto"/>
          <w:kern w:val="0"/>
          <w:szCs w:val="21"/>
          <w:highlight w:val="none"/>
        </w:rPr>
      </w:pPr>
      <w:r>
        <w:rPr>
          <w:rFonts w:ascii="宋体" w:hAnsi="宋体" w:eastAsia="宋体" w:cs="Times New Roman"/>
          <w:color w:val="auto"/>
          <w:szCs w:val="21"/>
          <w:highlight w:val="none"/>
          <w:lang w:val="zh-CN"/>
        </w:rPr>
        <w:t>5.3 投标及开标地点：</w:t>
      </w:r>
      <w:r>
        <w:rPr>
          <w:rFonts w:hint="eastAsia" w:ascii="宋体" w:hAnsi="宋体" w:eastAsia="宋体" w:cs="宋体"/>
          <w:color w:val="auto"/>
          <w:kern w:val="0"/>
          <w:szCs w:val="21"/>
          <w:highlight w:val="none"/>
          <w:u w:val="single"/>
        </w:rPr>
        <w:t>东莞市东城街道新源路海德琥珀台6栋1703室</w:t>
      </w:r>
      <w:r>
        <w:rPr>
          <w:rFonts w:hint="eastAsia" w:ascii="宋体" w:hAnsi="宋体" w:eastAsia="宋体" w:cs="Times New Roman"/>
          <w:color w:val="auto"/>
          <w:kern w:val="0"/>
          <w:szCs w:val="21"/>
          <w:highlight w:val="none"/>
        </w:rPr>
        <w:t>。</w:t>
      </w:r>
    </w:p>
    <w:p w14:paraId="3D09AA87">
      <w:pPr>
        <w:autoSpaceDE w:val="0"/>
        <w:autoSpaceDN w:val="0"/>
        <w:adjustRightInd w:val="0"/>
        <w:spacing w:line="360" w:lineRule="auto"/>
        <w:ind w:right="-29" w:rightChars="-14" w:firstLine="210" w:firstLineChars="100"/>
        <w:rPr>
          <w:rFonts w:ascii="宋体" w:hAnsi="宋体" w:eastAsia="宋体" w:cs="Times New Roman"/>
          <w:color w:val="auto"/>
          <w:kern w:val="0"/>
          <w:szCs w:val="21"/>
          <w:highlight w:val="none"/>
        </w:rPr>
      </w:pPr>
    </w:p>
    <w:p w14:paraId="489F5DC2">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招标代理机构只接受在递交投标文件截止日当天由投标人法定代表人或其授权代表于递交投标文件截止时间前亲自递交的投标文件</w:t>
      </w:r>
      <w:r>
        <w:rPr>
          <w:rFonts w:hint="eastAsia" w:ascii="宋体" w:hAnsi="宋体" w:eastAsia="宋体" w:cs="Times New Roman"/>
          <w:color w:val="auto"/>
          <w:szCs w:val="21"/>
          <w:highlight w:val="none"/>
          <w:lang w:val="zh-CN"/>
        </w:rPr>
        <w:t>。电报、传真形式的投标概不接受。</w:t>
      </w:r>
    </w:p>
    <w:p w14:paraId="3C65A192">
      <w:pPr>
        <w:autoSpaceDE w:val="0"/>
        <w:autoSpaceDN w:val="0"/>
        <w:adjustRightInd w:val="0"/>
        <w:spacing w:line="360" w:lineRule="auto"/>
        <w:ind w:left="210" w:leftChars="100" w:right="-29" w:rightChars="-14"/>
        <w:rPr>
          <w:rFonts w:ascii="宋体" w:hAnsi="宋体" w:eastAsia="宋体" w:cs="Times New Roman"/>
          <w:color w:val="auto"/>
          <w:szCs w:val="21"/>
          <w:highlight w:val="none"/>
          <w:lang w:val="zh-CN"/>
        </w:rPr>
      </w:pPr>
    </w:p>
    <w:p w14:paraId="7C5CBE0C">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bCs/>
          <w:color w:val="auto"/>
          <w:szCs w:val="21"/>
          <w:highlight w:val="none"/>
        </w:rPr>
        <w:t>本项目相关公告在以下媒介发布：中国招标投标公共服务平台（www.cebpubservice.com）、东莞市水务集团有限公司网（www.dgswjt.cn）、招标</w:t>
      </w:r>
      <w:r>
        <w:rPr>
          <w:rFonts w:hint="eastAsia" w:ascii="宋体" w:hAnsi="宋体" w:eastAsia="宋体" w:cs="Times New Roman"/>
          <w:color w:val="auto"/>
          <w:szCs w:val="21"/>
          <w:highlight w:val="none"/>
          <w:lang w:val="zh-CN"/>
        </w:rPr>
        <w:t>代理</w:t>
      </w:r>
      <w:r>
        <w:rPr>
          <w:rFonts w:hint="eastAsia" w:ascii="宋体" w:hAnsi="宋体" w:eastAsia="宋体" w:cs="Times New Roman"/>
          <w:color w:val="auto"/>
          <w:szCs w:val="21"/>
          <w:highlight w:val="none"/>
          <w:lang w:val="en-US" w:eastAsia="zh-CN"/>
        </w:rPr>
        <w:t>机构</w:t>
      </w:r>
      <w:r>
        <w:rPr>
          <w:rFonts w:hint="eastAsia" w:ascii="宋体" w:hAnsi="宋体" w:eastAsia="宋体" w:cs="Times New Roman"/>
          <w:color w:val="auto"/>
          <w:szCs w:val="21"/>
          <w:highlight w:val="none"/>
          <w:lang w:val="zh-CN"/>
        </w:rPr>
        <w:t>网站（</w:t>
      </w:r>
      <w:r>
        <w:rPr>
          <w:rFonts w:hint="eastAsia" w:ascii="宋体" w:hAnsi="宋体" w:eastAsia="宋体" w:cs="宋体"/>
          <w:color w:val="auto"/>
          <w:szCs w:val="21"/>
          <w:highlight w:val="none"/>
          <w:lang w:val="zh-CN"/>
        </w:rPr>
        <w:t>www.youde.net</w:t>
      </w:r>
      <w:r>
        <w:rPr>
          <w:rFonts w:ascii="宋体" w:hAnsi="宋体" w:eastAsia="宋体" w:cs="Times New Roman"/>
          <w:color w:val="auto"/>
          <w:szCs w:val="21"/>
          <w:highlight w:val="none"/>
          <w:lang w:val="zh-CN"/>
        </w:rPr>
        <w:t>）。</w:t>
      </w:r>
    </w:p>
    <w:p w14:paraId="0CBC41CC">
      <w:pPr>
        <w:autoSpaceDE w:val="0"/>
        <w:autoSpaceDN w:val="0"/>
        <w:adjustRightInd w:val="0"/>
        <w:spacing w:line="360" w:lineRule="auto"/>
        <w:ind w:right="-29" w:rightChars="-14" w:firstLine="420"/>
        <w:rPr>
          <w:rFonts w:ascii="宋体" w:hAnsi="宋体" w:eastAsia="宋体" w:cs="Times New Roman"/>
          <w:bCs/>
          <w:color w:val="auto"/>
          <w:szCs w:val="21"/>
          <w:highlight w:val="none"/>
        </w:rPr>
      </w:pPr>
    </w:p>
    <w:p w14:paraId="52D82B31">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rPr>
      </w:pPr>
      <w:bookmarkStart w:id="13" w:name="_Toc13193"/>
      <w:r>
        <w:rPr>
          <w:rFonts w:ascii="宋体" w:hAnsi="宋体" w:eastAsia="宋体" w:cs="Times New Roman"/>
          <w:bCs/>
          <w:color w:val="auto"/>
          <w:szCs w:val="21"/>
          <w:highlight w:val="none"/>
          <w:lang w:val="zh-CN"/>
        </w:rPr>
        <w:t>招标人联系方式</w:t>
      </w:r>
      <w:bookmarkEnd w:id="13"/>
    </w:p>
    <w:p w14:paraId="795ADEBC">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eastAsia="zh-CN"/>
        </w:rPr>
      </w:pPr>
      <w:r>
        <w:rPr>
          <w:rFonts w:ascii="宋体" w:hAnsi="宋体" w:eastAsia="宋体" w:cs="Times New Roman"/>
          <w:color w:val="auto"/>
          <w:kern w:val="0"/>
          <w:szCs w:val="21"/>
          <w:highlight w:val="none"/>
        </w:rPr>
        <w:t>招标人：</w:t>
      </w:r>
      <w:r>
        <w:rPr>
          <w:rFonts w:hint="eastAsia" w:ascii="宋体" w:hAnsi="宋体" w:eastAsia="宋体" w:cs="Times New Roman"/>
          <w:color w:val="auto"/>
          <w:kern w:val="0"/>
          <w:szCs w:val="21"/>
          <w:highlight w:val="none"/>
          <w:lang w:eastAsia="zh-CN"/>
        </w:rPr>
        <w:t>东莞市水务集团净水有限公司</w:t>
      </w:r>
    </w:p>
    <w:p w14:paraId="4D5BD253">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地</w:t>
      </w:r>
      <w:r>
        <w:rPr>
          <w:rFonts w:hint="eastAsia" w:ascii="宋体" w:hAnsi="宋体" w:eastAsia="宋体" w:cs="Times New Roman"/>
          <w:color w:val="auto"/>
          <w:kern w:val="0"/>
          <w:szCs w:val="21"/>
          <w:highlight w:val="none"/>
        </w:rPr>
        <w:t xml:space="preserve"> </w:t>
      </w:r>
      <w:r>
        <w:rPr>
          <w:rFonts w:ascii="宋体" w:hAnsi="宋体" w:eastAsia="宋体" w:cs="Times New Roman"/>
          <w:color w:val="auto"/>
          <w:kern w:val="0"/>
          <w:szCs w:val="21"/>
          <w:highlight w:val="none"/>
        </w:rPr>
        <w:t xml:space="preserve"> 址：</w:t>
      </w:r>
      <w:r>
        <w:rPr>
          <w:rFonts w:hint="eastAsia" w:ascii="宋体" w:hAnsi="宋体" w:eastAsia="宋体" w:cs="宋体"/>
          <w:color w:val="auto"/>
          <w:kern w:val="0"/>
          <w:szCs w:val="21"/>
          <w:highlight w:val="none"/>
        </w:rPr>
        <w:t>东莞市南城街道滨河路100号二期1号楼101室</w:t>
      </w:r>
    </w:p>
    <w:p w14:paraId="3487A1FC">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联系人</w:t>
      </w:r>
      <w:r>
        <w:rPr>
          <w:rFonts w:hint="eastAsia" w:ascii="宋体" w:hAnsi="宋体" w:eastAsia="宋体" w:cs="Times New Roman"/>
          <w:color w:val="auto"/>
          <w:kern w:val="0"/>
          <w:szCs w:val="21"/>
          <w:highlight w:val="none"/>
        </w:rPr>
        <w:t>：李嘉馨</w:t>
      </w:r>
    </w:p>
    <w:p w14:paraId="3992C503">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电  话：</w:t>
      </w:r>
      <w:r>
        <w:rPr>
          <w:rFonts w:hint="eastAsia" w:ascii="宋体" w:hAnsi="宋体" w:eastAsia="宋体" w:cs="宋体"/>
          <w:color w:val="auto"/>
          <w:highlight w:val="none"/>
        </w:rPr>
        <w:t>0769-23286160</w:t>
      </w:r>
    </w:p>
    <w:p w14:paraId="2C1BF1C1">
      <w:pPr>
        <w:autoSpaceDE w:val="0"/>
        <w:autoSpaceDN w:val="0"/>
        <w:adjustRightInd w:val="0"/>
        <w:spacing w:line="360" w:lineRule="auto"/>
        <w:ind w:right="-29" w:rightChars="-14" w:firstLine="420"/>
        <w:rPr>
          <w:rFonts w:ascii="宋体" w:hAnsi="宋体" w:eastAsia="宋体" w:cs="Times New Roman"/>
          <w:color w:val="auto"/>
          <w:kern w:val="0"/>
          <w:szCs w:val="21"/>
          <w:highlight w:val="none"/>
        </w:rPr>
      </w:pPr>
    </w:p>
    <w:p w14:paraId="5C1EC6CB">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rPr>
      </w:pPr>
      <w:bookmarkStart w:id="14" w:name="_Toc32512"/>
      <w:r>
        <w:rPr>
          <w:rFonts w:ascii="宋体" w:hAnsi="宋体" w:eastAsia="宋体" w:cs="Times New Roman"/>
          <w:color w:val="auto"/>
          <w:szCs w:val="21"/>
          <w:highlight w:val="none"/>
        </w:rPr>
        <w:t>招标代理机构</w:t>
      </w:r>
      <w:r>
        <w:rPr>
          <w:rFonts w:hint="eastAsia" w:ascii="宋体" w:hAnsi="宋体" w:eastAsia="宋体" w:cs="Times New Roman"/>
          <w:color w:val="auto"/>
          <w:szCs w:val="21"/>
          <w:highlight w:val="none"/>
        </w:rPr>
        <w:t>及异议受理</w:t>
      </w:r>
      <w:r>
        <w:rPr>
          <w:rFonts w:ascii="宋体" w:hAnsi="宋体" w:eastAsia="宋体" w:cs="Times New Roman"/>
          <w:color w:val="auto"/>
          <w:szCs w:val="21"/>
          <w:highlight w:val="none"/>
        </w:rPr>
        <w:t>联系方式</w:t>
      </w:r>
      <w:bookmarkEnd w:id="14"/>
    </w:p>
    <w:p w14:paraId="49ED1EC9">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rPr>
      </w:pPr>
      <w:bookmarkStart w:id="15" w:name="_Toc486167661"/>
      <w:bookmarkStart w:id="16" w:name="_Toc450662847"/>
      <w:bookmarkStart w:id="17" w:name="_Toc31764_WPSOffice_Level1"/>
      <w:r>
        <w:rPr>
          <w:rFonts w:hint="eastAsia" w:ascii="宋体" w:hAnsi="宋体" w:eastAsia="宋体" w:cs="宋体"/>
          <w:color w:val="auto"/>
          <w:kern w:val="0"/>
          <w:szCs w:val="21"/>
          <w:highlight w:val="none"/>
        </w:rPr>
        <w:t>招标代理机构：广东有德招标采购有限公司</w:t>
      </w:r>
    </w:p>
    <w:p w14:paraId="465A6FFC">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  址：东莞市东城街道新源路海德琥珀台6栋1703室</w:t>
      </w:r>
    </w:p>
    <w:p w14:paraId="649B0F10">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联系人：</w:t>
      </w:r>
      <w:r>
        <w:rPr>
          <w:rFonts w:hint="eastAsia" w:ascii="宋体" w:hAnsi="宋体" w:eastAsia="宋体" w:cs="宋体"/>
          <w:color w:val="auto"/>
          <w:kern w:val="0"/>
          <w:szCs w:val="21"/>
          <w:highlight w:val="none"/>
          <w:lang w:val="en-US" w:eastAsia="zh-CN"/>
        </w:rPr>
        <w:t>郑翠婷</w:t>
      </w:r>
    </w:p>
    <w:p w14:paraId="52CB2B85">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电  话：</w:t>
      </w:r>
      <w:r>
        <w:rPr>
          <w:rFonts w:hint="eastAsia" w:ascii="宋体" w:hAnsi="宋体" w:eastAsia="宋体" w:cs="宋体"/>
          <w:color w:val="auto"/>
          <w:szCs w:val="21"/>
          <w:highlight w:val="none"/>
        </w:rPr>
        <w:t>0769-23362836</w:t>
      </w:r>
      <w:r>
        <w:rPr>
          <w:rFonts w:hint="eastAsia" w:ascii="宋体" w:hAnsi="宋体" w:eastAsia="宋体" w:cs="宋体"/>
          <w:color w:val="auto"/>
          <w:szCs w:val="21"/>
          <w:highlight w:val="none"/>
          <w:lang w:val="en-US" w:eastAsia="zh-CN"/>
        </w:rPr>
        <w:t>-8019</w:t>
      </w:r>
    </w:p>
    <w:p w14:paraId="262709F5">
      <w:pPr>
        <w:pageBreakBefore/>
        <w:tabs>
          <w:tab w:val="left" w:pos="1080"/>
        </w:tabs>
        <w:autoSpaceDE w:val="0"/>
        <w:autoSpaceDN w:val="0"/>
        <w:adjustRightInd w:val="0"/>
        <w:spacing w:line="360" w:lineRule="auto"/>
        <w:ind w:left="-167" w:leftChars="-100" w:hanging="43"/>
        <w:jc w:val="center"/>
        <w:outlineLvl w:val="1"/>
        <w:rPr>
          <w:rFonts w:ascii="宋体" w:hAnsi="宋体" w:eastAsia="宋体" w:cs="宋体"/>
          <w:b/>
          <w:bCs/>
          <w:color w:val="auto"/>
          <w:kern w:val="44"/>
          <w:sz w:val="32"/>
          <w:szCs w:val="32"/>
          <w:highlight w:val="none"/>
        </w:rPr>
      </w:pPr>
      <w:bookmarkStart w:id="18" w:name="_Toc26383"/>
      <w:bookmarkStart w:id="19" w:name="_Toc142508311"/>
      <w:bookmarkStart w:id="20" w:name="_Toc6217"/>
      <w:bookmarkStart w:id="21" w:name="_Toc12475"/>
      <w:r>
        <w:rPr>
          <w:rFonts w:hint="eastAsia" w:ascii="宋体" w:hAnsi="宋体" w:eastAsia="宋体" w:cs="宋体"/>
          <w:b/>
          <w:bCs/>
          <w:color w:val="auto"/>
          <w:kern w:val="44"/>
          <w:sz w:val="32"/>
          <w:szCs w:val="32"/>
          <w:highlight w:val="none"/>
          <w:lang w:val="zh-CN"/>
        </w:rPr>
        <w:t>第二篇</w:t>
      </w:r>
      <w:r>
        <w:rPr>
          <w:rFonts w:ascii="宋体" w:hAnsi="宋体" w:eastAsia="宋体" w:cs="宋体"/>
          <w:b/>
          <w:bCs/>
          <w:color w:val="auto"/>
          <w:kern w:val="44"/>
          <w:sz w:val="32"/>
          <w:szCs w:val="32"/>
          <w:highlight w:val="none"/>
        </w:rPr>
        <w:t xml:space="preserve"> </w:t>
      </w:r>
      <w:r>
        <w:rPr>
          <w:rFonts w:hint="eastAsia" w:ascii="宋体" w:hAnsi="宋体" w:eastAsia="宋体" w:cs="宋体"/>
          <w:b/>
          <w:bCs/>
          <w:color w:val="auto"/>
          <w:kern w:val="44"/>
          <w:sz w:val="32"/>
          <w:szCs w:val="32"/>
          <w:highlight w:val="none"/>
          <w:lang w:val="zh-CN"/>
        </w:rPr>
        <w:t>投标人须知</w:t>
      </w:r>
      <w:bookmarkEnd w:id="15"/>
      <w:bookmarkEnd w:id="16"/>
      <w:bookmarkEnd w:id="17"/>
      <w:bookmarkEnd w:id="18"/>
      <w:bookmarkEnd w:id="19"/>
      <w:bookmarkEnd w:id="20"/>
      <w:bookmarkEnd w:id="21"/>
    </w:p>
    <w:p w14:paraId="04A86E32">
      <w:pPr>
        <w:keepNext/>
        <w:keepLines/>
        <w:autoSpaceDE w:val="0"/>
        <w:autoSpaceDN w:val="0"/>
        <w:adjustRightInd w:val="0"/>
        <w:spacing w:line="360" w:lineRule="auto"/>
        <w:jc w:val="left"/>
        <w:outlineLvl w:val="1"/>
        <w:rPr>
          <w:rFonts w:ascii="宋体" w:hAnsi="宋体" w:eastAsia="宋体" w:cs="宋体"/>
          <w:b/>
          <w:bCs/>
          <w:color w:val="auto"/>
          <w:kern w:val="44"/>
          <w:szCs w:val="21"/>
          <w:highlight w:val="none"/>
          <w:lang w:val="zh-CN"/>
        </w:rPr>
      </w:pPr>
      <w:bookmarkStart w:id="22" w:name="_Toc140596871"/>
      <w:bookmarkStart w:id="23" w:name="_Toc450662848"/>
      <w:bookmarkStart w:id="24" w:name="_Toc15366_WPSOffice_Level2"/>
      <w:bookmarkStart w:id="25" w:name="_Toc30546"/>
      <w:bookmarkStart w:id="26" w:name="_Toc16098"/>
      <w:bookmarkStart w:id="27" w:name="_Toc486167662"/>
      <w:bookmarkStart w:id="28" w:name="_Toc142508312"/>
      <w:bookmarkStart w:id="29" w:name="_Toc13226"/>
      <w:r>
        <w:rPr>
          <w:rFonts w:hint="eastAsia" w:ascii="宋体" w:hAnsi="宋体" w:eastAsia="宋体" w:cs="宋体"/>
          <w:b/>
          <w:bCs/>
          <w:color w:val="auto"/>
          <w:kern w:val="44"/>
          <w:szCs w:val="21"/>
          <w:highlight w:val="none"/>
          <w:lang w:val="zh-CN"/>
        </w:rPr>
        <w:t>一、总则</w:t>
      </w:r>
      <w:bookmarkEnd w:id="22"/>
      <w:bookmarkEnd w:id="23"/>
      <w:bookmarkEnd w:id="24"/>
      <w:bookmarkEnd w:id="25"/>
      <w:bookmarkEnd w:id="26"/>
      <w:bookmarkEnd w:id="27"/>
      <w:bookmarkEnd w:id="28"/>
      <w:bookmarkEnd w:id="29"/>
    </w:p>
    <w:p w14:paraId="2A8C655A">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30" w:name="_Toc32567"/>
      <w:bookmarkStart w:id="31" w:name="_Toc486167663"/>
      <w:bookmarkStart w:id="32" w:name="_Toc450662849"/>
      <w:bookmarkStart w:id="33" w:name="_Toc16316"/>
      <w:bookmarkStart w:id="34" w:name="_Toc16700"/>
      <w:bookmarkStart w:id="35" w:name="_Toc142508313"/>
      <w:bookmarkStart w:id="36" w:name="_Toc21710_WPSOffice_Level3"/>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资金来源：企业自筹资金。</w:t>
      </w:r>
      <w:bookmarkEnd w:id="30"/>
      <w:bookmarkEnd w:id="31"/>
      <w:bookmarkEnd w:id="32"/>
      <w:bookmarkEnd w:id="33"/>
      <w:bookmarkEnd w:id="34"/>
      <w:bookmarkEnd w:id="35"/>
      <w:bookmarkEnd w:id="36"/>
    </w:p>
    <w:p w14:paraId="7DA2E263">
      <w:pPr>
        <w:autoSpaceDE w:val="0"/>
        <w:autoSpaceDN w:val="0"/>
        <w:adjustRightInd w:val="0"/>
        <w:jc w:val="left"/>
        <w:rPr>
          <w:rFonts w:ascii="宋体" w:hAnsi="宋体" w:eastAsia="宋体" w:cs="宋体"/>
          <w:color w:val="auto"/>
          <w:kern w:val="0"/>
          <w:sz w:val="24"/>
          <w:szCs w:val="24"/>
          <w:highlight w:val="none"/>
        </w:rPr>
      </w:pPr>
    </w:p>
    <w:p w14:paraId="3ECFED32">
      <w:pPr>
        <w:tabs>
          <w:tab w:val="left" w:pos="570"/>
        </w:tabs>
        <w:autoSpaceDE w:val="0"/>
        <w:autoSpaceDN w:val="0"/>
        <w:adjustRightInd w:val="0"/>
        <w:spacing w:line="360" w:lineRule="auto"/>
        <w:ind w:left="357" w:leftChars="-100" w:hanging="567"/>
        <w:jc w:val="left"/>
        <w:outlineLvl w:val="0"/>
        <w:rPr>
          <w:rFonts w:ascii="宋体" w:hAnsi="宋体" w:eastAsia="宋体" w:cs="宋体"/>
          <w:b/>
          <w:color w:val="auto"/>
          <w:szCs w:val="21"/>
          <w:highlight w:val="none"/>
          <w:lang w:val="zh-CN"/>
        </w:rPr>
      </w:pPr>
      <w:bookmarkStart w:id="37" w:name="_Toc450662850"/>
      <w:bookmarkStart w:id="38" w:name="_Toc23526"/>
      <w:bookmarkStart w:id="39" w:name="_Toc5550"/>
      <w:bookmarkStart w:id="40" w:name="_Toc17249"/>
      <w:bookmarkStart w:id="41" w:name="_Toc142508314"/>
      <w:bookmarkStart w:id="42" w:name="_Toc486167664"/>
      <w:bookmarkStart w:id="43" w:name="_Toc80_WPSOffice_Level3"/>
      <w:r>
        <w:rPr>
          <w:rFonts w:hint="eastAsia" w:ascii="宋体" w:hAnsi="宋体" w:eastAsia="宋体" w:cs="宋体"/>
          <w:b/>
          <w:color w:val="auto"/>
          <w:szCs w:val="21"/>
          <w:highlight w:val="none"/>
          <w:lang w:val="zh-CN"/>
        </w:rPr>
        <w:t>2</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合格的投标人</w:t>
      </w:r>
      <w:bookmarkEnd w:id="37"/>
      <w:bookmarkEnd w:id="38"/>
      <w:bookmarkEnd w:id="39"/>
      <w:bookmarkEnd w:id="40"/>
      <w:bookmarkEnd w:id="41"/>
      <w:bookmarkEnd w:id="42"/>
      <w:bookmarkEnd w:id="43"/>
    </w:p>
    <w:p w14:paraId="542D26D2">
      <w:pPr>
        <w:autoSpaceDE w:val="0"/>
        <w:autoSpaceDN w:val="0"/>
        <w:adjustRightInd w:val="0"/>
        <w:spacing w:line="360" w:lineRule="auto"/>
        <w:ind w:left="317" w:leftChars="-100" w:hanging="527" w:hangingChars="25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2.1  合格的投标人条件见第一篇《招标公告》中第</w:t>
      </w:r>
      <w:r>
        <w:rPr>
          <w:rFonts w:ascii="宋体" w:hAnsi="宋体" w:eastAsia="宋体" w:cs="宋体"/>
          <w:b/>
          <w:color w:val="auto"/>
          <w:szCs w:val="21"/>
          <w:highlight w:val="none"/>
          <w:lang w:val="zh-CN"/>
        </w:rPr>
        <w:t>2</w:t>
      </w:r>
      <w:r>
        <w:rPr>
          <w:rFonts w:hint="eastAsia" w:ascii="宋体" w:hAnsi="宋体" w:eastAsia="宋体" w:cs="宋体"/>
          <w:b/>
          <w:color w:val="auto"/>
          <w:szCs w:val="21"/>
          <w:highlight w:val="none"/>
          <w:lang w:val="zh-CN"/>
        </w:rPr>
        <w:t>条的“合格投标人资格要求”及本条以下2.2款至2.</w:t>
      </w:r>
      <w:r>
        <w:rPr>
          <w:rFonts w:hint="eastAsia" w:ascii="宋体" w:hAnsi="宋体" w:eastAsia="宋体" w:cs="宋体"/>
          <w:b/>
          <w:color w:val="auto"/>
          <w:szCs w:val="21"/>
          <w:highlight w:val="none"/>
          <w:lang w:val="en-US" w:eastAsia="zh-CN"/>
        </w:rPr>
        <w:t>5</w:t>
      </w:r>
      <w:r>
        <w:rPr>
          <w:rFonts w:hint="eastAsia" w:ascii="宋体" w:hAnsi="宋体" w:eastAsia="宋体" w:cs="宋体"/>
          <w:b/>
          <w:color w:val="auto"/>
          <w:szCs w:val="21"/>
          <w:highlight w:val="none"/>
          <w:lang w:val="zh-CN"/>
        </w:rPr>
        <w:t>款的通用要求。</w:t>
      </w:r>
    </w:p>
    <w:p w14:paraId="3CDF34B9">
      <w:pPr>
        <w:autoSpaceDE w:val="0"/>
        <w:autoSpaceDN w:val="0"/>
        <w:adjustRightInd w:val="0"/>
        <w:spacing w:line="360" w:lineRule="auto"/>
        <w:ind w:left="359" w:leftChars="-100" w:hanging="569" w:hangingChars="270"/>
        <w:rPr>
          <w:rFonts w:ascii="宋体" w:hAnsi="宋体" w:eastAsia="宋体" w:cs="宋体"/>
          <w:b/>
          <w:color w:val="auto"/>
          <w:kern w:val="0"/>
          <w:szCs w:val="21"/>
          <w:highlight w:val="none"/>
        </w:rPr>
      </w:pPr>
      <w:r>
        <w:rPr>
          <w:rFonts w:hint="eastAsia" w:ascii="宋体" w:hAnsi="宋体" w:eastAsia="宋体" w:cs="宋体"/>
          <w:b/>
          <w:color w:val="auto"/>
          <w:kern w:val="0"/>
          <w:szCs w:val="24"/>
          <w:highlight w:val="none"/>
        </w:rPr>
        <w:t xml:space="preserve">2.2  </w:t>
      </w:r>
      <w:r>
        <w:rPr>
          <w:rFonts w:hint="eastAsia" w:ascii="宋体" w:hAnsi="宋体" w:eastAsia="宋体" w:cs="宋体"/>
          <w:b/>
          <w:color w:val="auto"/>
          <w:kern w:val="0"/>
          <w:szCs w:val="21"/>
          <w:highlight w:val="none"/>
        </w:rPr>
        <w:t>投标人</w:t>
      </w:r>
      <w:r>
        <w:rPr>
          <w:rFonts w:hint="eastAsia" w:ascii="宋体" w:hAnsi="宋体" w:eastAsia="宋体" w:cs="Times New Roman"/>
          <w:b/>
          <w:color w:val="auto"/>
          <w:kern w:val="0"/>
          <w:szCs w:val="21"/>
          <w:highlight w:val="none"/>
        </w:rPr>
        <w:t>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w:t>
      </w:r>
      <w:r>
        <w:rPr>
          <w:rFonts w:hint="eastAsia" w:ascii="宋体" w:hAnsi="宋体" w:eastAsia="宋体" w:cs="Times New Roman"/>
          <w:b/>
          <w:color w:val="auto"/>
          <w:kern w:val="0"/>
          <w:szCs w:val="21"/>
          <w:highlight w:val="none"/>
          <w:lang w:val="zh-CN"/>
        </w:rPr>
        <w:t>处罚说明</w:t>
      </w:r>
      <w:r>
        <w:rPr>
          <w:rFonts w:hint="eastAsia" w:ascii="宋体" w:hAnsi="宋体" w:eastAsia="宋体" w:cs="Times New Roman"/>
          <w:b/>
          <w:color w:val="auto"/>
          <w:kern w:val="0"/>
          <w:szCs w:val="21"/>
          <w:highlight w:val="none"/>
        </w:rPr>
        <w:t>”，如果不主动填报而被事后发现的，将取消其投标（中标）资格，并按有关规定从重处理</w:t>
      </w:r>
      <w:r>
        <w:rPr>
          <w:rFonts w:hint="eastAsia" w:ascii="宋体" w:hAnsi="宋体" w:eastAsia="宋体" w:cs="宋体"/>
          <w:b/>
          <w:color w:val="auto"/>
          <w:kern w:val="0"/>
          <w:szCs w:val="21"/>
          <w:highlight w:val="none"/>
        </w:rPr>
        <w:t>。</w:t>
      </w:r>
    </w:p>
    <w:p w14:paraId="1478131F">
      <w:pPr>
        <w:autoSpaceDE w:val="0"/>
        <w:autoSpaceDN w:val="0"/>
        <w:adjustRightInd w:val="0"/>
        <w:spacing w:line="360" w:lineRule="auto"/>
        <w:ind w:left="317" w:leftChars="-100" w:hanging="527" w:hangingChars="250"/>
        <w:rPr>
          <w:rFonts w:ascii="宋体" w:hAnsi="宋体" w:eastAsia="宋体" w:cs="宋体"/>
          <w:b/>
          <w:color w:val="auto"/>
          <w:szCs w:val="21"/>
          <w:highlight w:val="none"/>
          <w:lang w:val="zh-CN"/>
        </w:rPr>
      </w:pPr>
      <w:r>
        <w:rPr>
          <w:rFonts w:hint="eastAsia" w:ascii="宋体" w:hAnsi="宋体" w:eastAsia="宋体" w:cs="宋体"/>
          <w:b/>
          <w:color w:val="auto"/>
          <w:kern w:val="0"/>
          <w:szCs w:val="21"/>
          <w:highlight w:val="none"/>
          <w:lang w:val="zh-CN"/>
        </w:rPr>
        <w:t>2.</w:t>
      </w:r>
      <w:r>
        <w:rPr>
          <w:rFonts w:ascii="宋体" w:hAnsi="宋体" w:eastAsia="宋体" w:cs="宋体"/>
          <w:b/>
          <w:color w:val="auto"/>
          <w:kern w:val="0"/>
          <w:szCs w:val="21"/>
          <w:highlight w:val="none"/>
          <w:lang w:val="zh-CN"/>
        </w:rPr>
        <w:t>3</w:t>
      </w:r>
      <w:r>
        <w:rPr>
          <w:rFonts w:hint="eastAsia" w:ascii="宋体" w:hAnsi="宋体" w:eastAsia="宋体" w:cs="宋体"/>
          <w:b/>
          <w:color w:val="auto"/>
          <w:kern w:val="0"/>
          <w:szCs w:val="21"/>
          <w:highlight w:val="none"/>
          <w:lang w:val="zh-CN"/>
        </w:rPr>
        <w:t xml:space="preserve">  投标人</w:t>
      </w:r>
      <w:r>
        <w:rPr>
          <w:rFonts w:hint="eastAsia" w:ascii="宋体" w:hAnsi="宋体" w:eastAsia="宋体" w:cs="宋体"/>
          <w:b/>
          <w:color w:val="auto"/>
          <w:szCs w:val="21"/>
          <w:highlight w:val="none"/>
          <w:lang w:val="zh-CN"/>
        </w:rPr>
        <w:t>符合《中华人民共和国招标投标法》第二十六条规定。</w:t>
      </w:r>
    </w:p>
    <w:p w14:paraId="530E5D69">
      <w:pPr>
        <w:autoSpaceDE w:val="0"/>
        <w:autoSpaceDN w:val="0"/>
        <w:adjustRightInd w:val="0"/>
        <w:spacing w:line="360" w:lineRule="auto"/>
        <w:ind w:left="359" w:leftChars="-99" w:hanging="567" w:hangingChars="269"/>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w:t>
      </w:r>
      <w:r>
        <w:rPr>
          <w:rFonts w:ascii="宋体" w:hAnsi="宋体" w:eastAsia="宋体" w:cs="宋体"/>
          <w:b/>
          <w:color w:val="auto"/>
          <w:kern w:val="0"/>
          <w:szCs w:val="21"/>
          <w:highlight w:val="none"/>
        </w:rPr>
        <w:t>4</w:t>
      </w:r>
      <w:r>
        <w:rPr>
          <w:rFonts w:hint="eastAsia" w:ascii="宋体" w:hAnsi="宋体" w:eastAsia="宋体" w:cs="宋体"/>
          <w:b/>
          <w:color w:val="auto"/>
          <w:kern w:val="0"/>
          <w:szCs w:val="21"/>
          <w:highlight w:val="none"/>
        </w:rPr>
        <w:t xml:space="preserve">  </w:t>
      </w:r>
      <w:r>
        <w:rPr>
          <w:rFonts w:hint="eastAsia" w:ascii="宋体" w:hAnsi="宋体" w:eastAsia="宋体" w:cs="Times New Roman"/>
          <w:b/>
          <w:color w:val="auto"/>
          <w:kern w:val="0"/>
          <w:szCs w:val="21"/>
          <w:highlight w:val="none"/>
        </w:rPr>
        <w:t>投标人（含其不具有独立法人资格的分支机构）未被列入“信用中国”网站（ www.creditchina.gov.cn）失信被执行人、重大税收违法失信主体、</w:t>
      </w:r>
      <w:r>
        <w:rPr>
          <w:rFonts w:hint="eastAsia" w:ascii="宋体" w:hAnsi="宋体" w:eastAsia="宋体" w:cs="Times New Roman"/>
          <w:b/>
          <w:color w:val="auto"/>
          <w:kern w:val="0"/>
          <w:szCs w:val="21"/>
          <w:highlight w:val="none"/>
          <w:lang w:val="en-US" w:eastAsia="zh-CN"/>
        </w:rPr>
        <w:t>政府采购</w:t>
      </w:r>
      <w:r>
        <w:rPr>
          <w:rFonts w:hint="eastAsia" w:ascii="宋体" w:hAnsi="宋体" w:eastAsia="宋体" w:cs="Times New Roman"/>
          <w:b/>
          <w:color w:val="auto"/>
          <w:kern w:val="0"/>
          <w:szCs w:val="21"/>
          <w:highlight w:val="none"/>
        </w:rPr>
        <w:t>严重违法失信行为记录名单（处罚期限届满的除外）</w:t>
      </w:r>
      <w:r>
        <w:rPr>
          <w:rFonts w:hint="eastAsia" w:ascii="宋体" w:hAnsi="宋体" w:eastAsia="宋体" w:cs="宋体"/>
          <w:b/>
          <w:color w:val="auto"/>
          <w:kern w:val="0"/>
          <w:szCs w:val="21"/>
          <w:highlight w:val="none"/>
        </w:rPr>
        <w:t>。</w:t>
      </w:r>
    </w:p>
    <w:p w14:paraId="0C3415A9">
      <w:pPr>
        <w:autoSpaceDE w:val="0"/>
        <w:autoSpaceDN w:val="0"/>
        <w:adjustRightInd w:val="0"/>
        <w:spacing w:line="360" w:lineRule="auto"/>
        <w:ind w:left="317" w:leftChars="-100" w:hanging="527" w:hangingChars="250"/>
        <w:rPr>
          <w:rFonts w:ascii="宋体" w:hAnsi="宋体" w:eastAsia="宋体" w:cs="宋体"/>
          <w:b/>
          <w:color w:val="auto"/>
          <w:kern w:val="0"/>
          <w:szCs w:val="21"/>
          <w:highlight w:val="none"/>
          <w:lang w:val="zh-CN"/>
        </w:rPr>
      </w:pPr>
      <w:r>
        <w:rPr>
          <w:rFonts w:hint="eastAsia" w:ascii="宋体" w:hAnsi="宋体" w:eastAsia="宋体" w:cs="宋体"/>
          <w:b/>
          <w:color w:val="auto"/>
          <w:szCs w:val="21"/>
          <w:highlight w:val="none"/>
          <w:lang w:val="zh-CN"/>
        </w:rPr>
        <w:t>2.</w:t>
      </w:r>
      <w:r>
        <w:rPr>
          <w:rFonts w:ascii="宋体" w:hAnsi="宋体" w:eastAsia="宋体" w:cs="宋体"/>
          <w:b/>
          <w:color w:val="auto"/>
          <w:szCs w:val="21"/>
          <w:highlight w:val="none"/>
          <w:lang w:val="zh-CN"/>
        </w:rPr>
        <w:t>5</w:t>
      </w:r>
      <w:r>
        <w:rPr>
          <w:rFonts w:hint="eastAsia" w:ascii="宋体" w:hAnsi="宋体" w:eastAsia="宋体" w:cs="宋体"/>
          <w:b/>
          <w:color w:val="auto"/>
          <w:szCs w:val="21"/>
          <w:highlight w:val="none"/>
          <w:lang w:val="zh-CN"/>
        </w:rPr>
        <w:t xml:space="preserve">  </w:t>
      </w:r>
      <w:r>
        <w:rPr>
          <w:rFonts w:hint="eastAsia" w:ascii="宋体" w:hAnsi="宋体" w:eastAsia="宋体" w:cs="Times New Roman"/>
          <w:b/>
          <w:color w:val="auto"/>
          <w:kern w:val="0"/>
          <w:szCs w:val="21"/>
          <w:highlight w:val="none"/>
        </w:rPr>
        <w:t>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Pr>
          <w:rFonts w:hint="eastAsia" w:ascii="宋体" w:hAnsi="宋体" w:eastAsia="宋体" w:cs="宋体"/>
          <w:b/>
          <w:color w:val="auto"/>
          <w:szCs w:val="21"/>
          <w:highlight w:val="none"/>
          <w:lang w:val="zh-CN"/>
        </w:rPr>
        <w:t>。</w:t>
      </w:r>
    </w:p>
    <w:p w14:paraId="002A331C">
      <w:pPr>
        <w:tabs>
          <w:tab w:val="left" w:pos="426"/>
        </w:tabs>
        <w:autoSpaceDE w:val="0"/>
        <w:autoSpaceDN w:val="0"/>
        <w:adjustRightInd w:val="0"/>
        <w:spacing w:line="360" w:lineRule="auto"/>
        <w:ind w:left="319" w:leftChars="-100" w:hanging="529" w:hangingChars="252"/>
        <w:rPr>
          <w:rFonts w:ascii="宋体" w:hAnsi="宋体" w:eastAsia="宋体" w:cs="宋体"/>
          <w:color w:val="auto"/>
          <w:kern w:val="0"/>
          <w:szCs w:val="24"/>
          <w:highlight w:val="none"/>
        </w:rPr>
      </w:pPr>
    </w:p>
    <w:p w14:paraId="7572164A">
      <w:pPr>
        <w:tabs>
          <w:tab w:val="left" w:pos="570"/>
        </w:tabs>
        <w:autoSpaceDE w:val="0"/>
        <w:autoSpaceDN w:val="0"/>
        <w:adjustRightInd w:val="0"/>
        <w:spacing w:line="360" w:lineRule="auto"/>
        <w:ind w:left="357" w:leftChars="-100" w:hanging="567"/>
        <w:jc w:val="left"/>
        <w:outlineLvl w:val="0"/>
        <w:rPr>
          <w:rFonts w:ascii="宋体" w:hAnsi="宋体" w:eastAsia="宋体" w:cs="宋体"/>
          <w:b/>
          <w:color w:val="auto"/>
          <w:szCs w:val="21"/>
          <w:highlight w:val="none"/>
          <w:lang w:val="zh-CN"/>
        </w:rPr>
      </w:pPr>
      <w:bookmarkStart w:id="44" w:name="_Toc19846"/>
      <w:bookmarkStart w:id="45" w:name="_Toc23847_WPSOffice_Level3"/>
      <w:bookmarkStart w:id="46" w:name="_Toc14714"/>
      <w:bookmarkStart w:id="47" w:name="_Toc142508315"/>
      <w:bookmarkStart w:id="48" w:name="_Toc8199"/>
      <w:bookmarkStart w:id="49" w:name="_Toc450662851"/>
      <w:bookmarkStart w:id="50" w:name="_Toc486167665"/>
      <w:r>
        <w:rPr>
          <w:rFonts w:hint="eastAsia" w:ascii="宋体" w:hAnsi="宋体" w:eastAsia="宋体" w:cs="宋体"/>
          <w:b/>
          <w:color w:val="auto"/>
          <w:szCs w:val="21"/>
          <w:highlight w:val="none"/>
          <w:lang w:val="zh-CN"/>
        </w:rPr>
        <w:t>3</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合格的货物</w:t>
      </w:r>
      <w:bookmarkEnd w:id="44"/>
      <w:bookmarkEnd w:id="45"/>
      <w:bookmarkEnd w:id="46"/>
      <w:bookmarkEnd w:id="47"/>
      <w:bookmarkEnd w:id="48"/>
    </w:p>
    <w:p w14:paraId="5EA96688">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ascii="宋体" w:hAnsi="宋体" w:eastAsia="宋体" w:cs="Times New Roman"/>
          <w:color w:val="auto"/>
          <w:szCs w:val="21"/>
          <w:highlight w:val="none"/>
          <w:lang w:val="zh-CN"/>
        </w:rPr>
        <w:t>3.</w:t>
      </w:r>
      <w:r>
        <w:rPr>
          <w:rFonts w:hint="eastAsia" w:ascii="宋体" w:hAnsi="宋体" w:eastAsia="宋体" w:cs="Times New Roman"/>
          <w:color w:val="auto"/>
          <w:szCs w:val="21"/>
          <w:highlight w:val="none"/>
          <w:lang w:val="zh-CN"/>
        </w:rPr>
        <w:t>1</w:t>
      </w:r>
      <w:r>
        <w:rPr>
          <w:rFonts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lang w:val="zh-CN"/>
        </w:rPr>
        <w:t>本款所述的“原产地”指最终供货货物生产制造地方。所述的货物是指制造、加工或使用重要的和主要的原材料制作而成的货物，必须是全新、原装、符合国家质量检测标准和国家安全技术标准，且在商业上公认其基本特征、性能或功能与部件（或原材料）有着实质性区别的产品。</w:t>
      </w:r>
    </w:p>
    <w:p w14:paraId="66232543">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51" w:name="_Toc533708063"/>
      <w:bookmarkStart w:id="52" w:name="_Toc1977663"/>
      <w:r>
        <w:rPr>
          <w:rFonts w:hint="eastAsia" w:ascii="宋体" w:hAnsi="宋体" w:eastAsia="宋体" w:cs="宋体"/>
          <w:color w:val="auto"/>
          <w:szCs w:val="21"/>
          <w:highlight w:val="none"/>
          <w:lang w:val="zh-CN"/>
        </w:rPr>
        <w:t>3.2  投标人</w:t>
      </w:r>
      <w:r>
        <w:rPr>
          <w:rFonts w:hint="eastAsia" w:ascii="宋体" w:hAnsi="宋体" w:eastAsia="宋体" w:cs="Times New Roman"/>
          <w:color w:val="auto"/>
          <w:szCs w:val="21"/>
          <w:highlight w:val="none"/>
          <w:lang w:val="zh-CN"/>
        </w:rPr>
        <w:t>中标后提供的货物</w:t>
      </w:r>
      <w:r>
        <w:rPr>
          <w:rFonts w:hint="eastAsia" w:ascii="宋体" w:hAnsi="宋体" w:eastAsia="宋体" w:cs="Times New Roman"/>
          <w:color w:val="auto"/>
          <w:kern w:val="0"/>
          <w:szCs w:val="21"/>
          <w:highlight w:val="none"/>
        </w:rPr>
        <w:t>必须是合法生产、合法来源的原厂生产的、全新的、未使用过的，并完全符合原厂质量检测标准和国家质量检测标准、行业标准和招标文件要求、投标文件承诺。涉及进口产品或原材料的，中标人</w:t>
      </w:r>
      <w:r>
        <w:rPr>
          <w:rFonts w:ascii="宋体" w:hAnsi="宋体" w:eastAsia="宋体" w:cs="Times New Roman"/>
          <w:color w:val="auto"/>
          <w:kern w:val="0"/>
          <w:szCs w:val="21"/>
          <w:highlight w:val="none"/>
        </w:rPr>
        <w:t>负责办理所有货物的进口及商检手续</w:t>
      </w:r>
      <w:r>
        <w:rPr>
          <w:rFonts w:hint="eastAsia" w:ascii="宋体" w:hAnsi="宋体" w:eastAsia="宋体" w:cs="Times New Roman"/>
          <w:color w:val="auto"/>
          <w:kern w:val="0"/>
          <w:szCs w:val="21"/>
          <w:highlight w:val="none"/>
        </w:rPr>
        <w:t>，并承担相关费用</w:t>
      </w:r>
      <w:r>
        <w:rPr>
          <w:rFonts w:hint="eastAsia" w:ascii="宋体" w:hAnsi="宋体" w:eastAsia="宋体" w:cs="宋体"/>
          <w:color w:val="auto"/>
          <w:szCs w:val="21"/>
          <w:highlight w:val="none"/>
          <w:lang w:val="zh-CN"/>
        </w:rPr>
        <w:t>。</w:t>
      </w:r>
    </w:p>
    <w:bookmarkEnd w:id="51"/>
    <w:bookmarkEnd w:id="52"/>
    <w:p w14:paraId="22224DFD">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53" w:name="_Toc1977664"/>
      <w:bookmarkStart w:id="54" w:name="_Toc533708064"/>
      <w:r>
        <w:rPr>
          <w:rFonts w:hint="eastAsia" w:ascii="宋体" w:hAnsi="宋体" w:eastAsia="宋体" w:cs="宋体"/>
          <w:color w:val="auto"/>
          <w:szCs w:val="21"/>
          <w:highlight w:val="none"/>
          <w:lang w:val="zh-CN"/>
        </w:rPr>
        <w:t xml:space="preserve">3.3  </w:t>
      </w:r>
      <w:bookmarkEnd w:id="53"/>
      <w:bookmarkEnd w:id="54"/>
      <w:bookmarkStart w:id="55" w:name="_Toc533708065"/>
      <w:bookmarkStart w:id="56" w:name="_Toc1977665"/>
      <w:r>
        <w:rPr>
          <w:rFonts w:hint="eastAsia" w:ascii="宋体" w:hAnsi="宋体" w:eastAsia="宋体" w:cs="宋体"/>
          <w:color w:val="auto"/>
          <w:szCs w:val="21"/>
          <w:highlight w:val="none"/>
          <w:lang w:val="zh-CN"/>
        </w:rPr>
        <w:t>投标人</w:t>
      </w:r>
      <w:r>
        <w:rPr>
          <w:rFonts w:hint="eastAsia" w:ascii="宋体" w:hAnsi="宋体" w:eastAsia="宋体" w:cs="Times New Roman"/>
          <w:color w:val="auto"/>
          <w:szCs w:val="21"/>
          <w:highlight w:val="none"/>
          <w:lang w:val="zh-CN"/>
        </w:rPr>
        <w:t>必须保证提供的所有货物或货物的任何部分均为最新正式版本</w:t>
      </w:r>
      <w:r>
        <w:rPr>
          <w:rFonts w:hint="eastAsia" w:ascii="宋体" w:hAnsi="宋体" w:eastAsia="宋体" w:cs="宋体"/>
          <w:color w:val="auto"/>
          <w:szCs w:val="21"/>
          <w:highlight w:val="none"/>
          <w:lang w:val="zh-CN"/>
        </w:rPr>
        <w:t>。</w:t>
      </w:r>
      <w:bookmarkEnd w:id="55"/>
      <w:bookmarkEnd w:id="56"/>
    </w:p>
    <w:p w14:paraId="76DB47C2">
      <w:pPr>
        <w:autoSpaceDE w:val="0"/>
        <w:autoSpaceDN w:val="0"/>
        <w:adjustRightInd w:val="0"/>
        <w:spacing w:line="360" w:lineRule="auto"/>
        <w:ind w:left="315" w:leftChars="-100" w:hanging="525" w:hangingChars="250"/>
        <w:rPr>
          <w:rFonts w:ascii="宋体" w:hAnsi="宋体" w:eastAsia="宋体" w:cs="Times New Roman"/>
          <w:color w:val="auto"/>
          <w:kern w:val="0"/>
          <w:szCs w:val="21"/>
          <w:highlight w:val="none"/>
        </w:rPr>
      </w:pPr>
      <w:bookmarkStart w:id="57" w:name="_Toc1977666"/>
      <w:bookmarkStart w:id="58" w:name="_Toc533708066"/>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 xml:space="preserve">  </w:t>
      </w:r>
      <w:r>
        <w:rPr>
          <w:rFonts w:hint="eastAsia" w:ascii="宋体" w:hAnsi="宋体" w:eastAsia="宋体" w:cs="Times New Roman"/>
          <w:color w:val="auto"/>
          <w:kern w:val="0"/>
          <w:szCs w:val="21"/>
          <w:highlight w:val="none"/>
        </w:rPr>
        <w:t>进口的货物及其有关服务必须符合原产地和中华人民共和国的设计和制造生产或行业标准。进口的货物须是具有合法的进口手续和途径，并通过了中华人民共和国商检部门的检验。中标人负责办理所有货物的进口及商检手续，并承担相关费用，还应提供原产地证书、报关资料及检验检疫证明、完税证明。</w:t>
      </w:r>
    </w:p>
    <w:bookmarkEnd w:id="57"/>
    <w:bookmarkEnd w:id="58"/>
    <w:p w14:paraId="1E4D2EBD">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59" w:name="_Toc533708067"/>
      <w:bookmarkStart w:id="60" w:name="_Toc1977667"/>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 xml:space="preserve">  投标人</w:t>
      </w:r>
      <w:r>
        <w:rPr>
          <w:rFonts w:hint="eastAsia" w:ascii="宋体" w:hAnsi="宋体" w:eastAsia="宋体" w:cs="Times New Roman"/>
          <w:color w:val="auto"/>
          <w:kern w:val="0"/>
          <w:szCs w:val="21"/>
          <w:highlight w:val="none"/>
        </w:rPr>
        <w:t>应保证招标人在中华人民共和国使用货物或货物的任何一部分时，招标人免受第三方提出侵犯其专利权、商标权或其它知识产权的起诉。如果投标人不拥有相应的知识产权，则须在报价中包括合法获取该知识产权的相关费用，并在招标文件中附有相关证明文件。如有违反，造成招标人任何经济损失或其他损失的，由投标人承担全部赔偿责任</w:t>
      </w:r>
      <w:r>
        <w:rPr>
          <w:rFonts w:hint="eastAsia" w:ascii="宋体" w:hAnsi="宋体" w:eastAsia="宋体" w:cs="宋体"/>
          <w:color w:val="auto"/>
          <w:szCs w:val="21"/>
          <w:highlight w:val="none"/>
          <w:lang w:val="zh-CN"/>
        </w:rPr>
        <w:t>。</w:t>
      </w:r>
      <w:bookmarkEnd w:id="59"/>
      <w:bookmarkEnd w:id="60"/>
    </w:p>
    <w:p w14:paraId="2DD3246C">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61" w:name="_Toc1977668"/>
      <w:bookmarkStart w:id="62" w:name="_Toc533708068"/>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 xml:space="preserve">  无论投标人</w:t>
      </w:r>
      <w:r>
        <w:rPr>
          <w:rFonts w:hint="eastAsia" w:ascii="宋体" w:hAnsi="宋体" w:eastAsia="宋体" w:cs="Times New Roman"/>
          <w:color w:val="auto"/>
          <w:kern w:val="0"/>
          <w:szCs w:val="21"/>
          <w:highlight w:val="none"/>
        </w:rPr>
        <w:t>是否在投标报价表中明示，均视为投标报价已包含所有应支付的对专利权</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商标权和版权、设计或其他知识产权而需要向其他方支付的版税和使用费等相关费用。如投标人未依法向第三方支付应缴版税和使用费等相关费用</w:t>
      </w:r>
      <w:r>
        <w:rPr>
          <w:rFonts w:hint="eastAsia" w:ascii="宋体" w:hAnsi="宋体" w:eastAsia="宋体" w:cs="Times New Roman"/>
          <w:color w:val="auto"/>
          <w:kern w:val="0"/>
          <w:szCs w:val="21"/>
          <w:highlight w:val="none"/>
          <w:lang w:val="en-US" w:eastAsia="zh-CN"/>
        </w:rPr>
        <w:t>的</w:t>
      </w:r>
      <w:r>
        <w:rPr>
          <w:rFonts w:hint="eastAsia" w:ascii="宋体" w:hAnsi="宋体" w:eastAsia="宋体" w:cs="Times New Roman"/>
          <w:color w:val="auto"/>
          <w:kern w:val="0"/>
          <w:szCs w:val="21"/>
          <w:highlight w:val="none"/>
        </w:rPr>
        <w:t>，造成招标人任何经济损失的，由投标人承担全部赔偿责任</w:t>
      </w:r>
      <w:r>
        <w:rPr>
          <w:rFonts w:hint="eastAsia" w:ascii="宋体" w:hAnsi="宋体" w:eastAsia="宋体" w:cs="宋体"/>
          <w:color w:val="auto"/>
          <w:szCs w:val="21"/>
          <w:highlight w:val="none"/>
          <w:lang w:val="zh-CN"/>
        </w:rPr>
        <w:t>。</w:t>
      </w:r>
      <w:bookmarkEnd w:id="61"/>
      <w:bookmarkEnd w:id="62"/>
    </w:p>
    <w:p w14:paraId="34F8ADDC">
      <w:pPr>
        <w:autoSpaceDE w:val="0"/>
        <w:autoSpaceDN w:val="0"/>
        <w:adjustRightInd w:val="0"/>
        <w:spacing w:line="360" w:lineRule="auto"/>
        <w:jc w:val="left"/>
        <w:rPr>
          <w:rFonts w:ascii="宋体" w:hAnsi="宋体" w:eastAsia="宋体" w:cs="宋体"/>
          <w:color w:val="auto"/>
          <w:szCs w:val="21"/>
          <w:highlight w:val="none"/>
          <w:lang w:val="zh-CN"/>
        </w:rPr>
      </w:pPr>
    </w:p>
    <w:p w14:paraId="51758C4E">
      <w:pPr>
        <w:tabs>
          <w:tab w:val="left" w:pos="570"/>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63" w:name="_Toc142508316"/>
      <w:bookmarkStart w:id="64" w:name="_Toc23394"/>
      <w:bookmarkStart w:id="65" w:name="_Toc19714"/>
      <w:bookmarkStart w:id="66" w:name="_Toc9658_WPSOffice_Level3"/>
      <w:bookmarkStart w:id="67" w:name="_Toc20618"/>
      <w:r>
        <w:rPr>
          <w:rFonts w:hint="eastAsia" w:ascii="宋体" w:hAnsi="宋体" w:eastAsia="宋体" w:cs="宋体"/>
          <w:color w:val="auto"/>
          <w:szCs w:val="21"/>
          <w:highlight w:val="none"/>
          <w:lang w:val="zh-CN"/>
        </w:rPr>
        <w:t>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其它说明</w:t>
      </w:r>
      <w:bookmarkEnd w:id="63"/>
      <w:bookmarkEnd w:id="64"/>
      <w:bookmarkEnd w:id="65"/>
      <w:bookmarkEnd w:id="66"/>
      <w:bookmarkEnd w:id="67"/>
    </w:p>
    <w:p w14:paraId="66830F61">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68" w:name="_Toc1569"/>
      <w:bookmarkStart w:id="69" w:name="_Toc1977670"/>
      <w:bookmarkStart w:id="70" w:name="_Toc533708070"/>
      <w:r>
        <w:rPr>
          <w:rFonts w:hint="eastAsia" w:ascii="宋体" w:hAnsi="宋体" w:eastAsia="宋体" w:cs="宋体"/>
          <w:color w:val="auto"/>
          <w:szCs w:val="21"/>
          <w:highlight w:val="none"/>
          <w:lang w:val="zh-CN"/>
        </w:rPr>
        <w:t>4.1  投标费用</w:t>
      </w:r>
      <w:bookmarkEnd w:id="68"/>
      <w:bookmarkEnd w:id="69"/>
      <w:bookmarkEnd w:id="70"/>
    </w:p>
    <w:p w14:paraId="6C238528">
      <w:pPr>
        <w:autoSpaceDE w:val="0"/>
        <w:autoSpaceDN w:val="0"/>
        <w:adjustRightInd w:val="0"/>
        <w:spacing w:line="360" w:lineRule="auto"/>
        <w:ind w:left="210" w:leftChars="100" w:firstLine="420" w:firstLineChars="200"/>
        <w:rPr>
          <w:rFonts w:ascii="宋体" w:hAnsi="宋体" w:eastAsia="宋体" w:cs="宋体"/>
          <w:color w:val="auto"/>
          <w:szCs w:val="21"/>
          <w:highlight w:val="none"/>
          <w:lang w:val="zh-CN"/>
        </w:rPr>
      </w:pPr>
      <w:bookmarkStart w:id="71" w:name="_Toc1977672"/>
      <w:bookmarkStart w:id="72" w:name="_Toc533708072"/>
      <w:r>
        <w:rPr>
          <w:rFonts w:hint="eastAsia" w:ascii="宋体" w:hAnsi="宋体" w:eastAsia="宋体" w:cs="Times New Roman"/>
          <w:color w:val="auto"/>
          <w:szCs w:val="21"/>
          <w:highlight w:val="none"/>
          <w:lang w:val="zh-CN"/>
        </w:rPr>
        <w:t>无论招标过程中的做法和结果如何，投标人须承担所有与编写和递交投标文件有关的费用，招标人和招标代理机构在任何情况下不负担这些费用</w:t>
      </w:r>
      <w:r>
        <w:rPr>
          <w:rFonts w:hint="eastAsia" w:ascii="宋体" w:hAnsi="宋体" w:eastAsia="宋体" w:cs="宋体"/>
          <w:color w:val="auto"/>
          <w:szCs w:val="21"/>
          <w:highlight w:val="none"/>
          <w:lang w:val="zh-CN"/>
        </w:rPr>
        <w:t>。</w:t>
      </w:r>
      <w:bookmarkEnd w:id="71"/>
      <w:bookmarkEnd w:id="72"/>
    </w:p>
    <w:p w14:paraId="2E762855">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73" w:name="_Toc533708073"/>
      <w:bookmarkStart w:id="74" w:name="_Toc16403"/>
      <w:bookmarkStart w:id="75" w:name="_Toc1977673"/>
      <w:r>
        <w:rPr>
          <w:rFonts w:hint="eastAsia" w:ascii="宋体" w:hAnsi="宋体" w:eastAsia="宋体" w:cs="宋体"/>
          <w:color w:val="auto"/>
          <w:szCs w:val="21"/>
          <w:highlight w:val="none"/>
          <w:lang w:val="zh-CN"/>
        </w:rPr>
        <w:t>4.2  踏勘现场</w:t>
      </w:r>
      <w:bookmarkEnd w:id="73"/>
      <w:bookmarkEnd w:id="74"/>
      <w:bookmarkEnd w:id="75"/>
    </w:p>
    <w:p w14:paraId="06AB0AB1">
      <w:pPr>
        <w:autoSpaceDE w:val="0"/>
        <w:autoSpaceDN w:val="0"/>
        <w:adjustRightInd w:val="0"/>
        <w:spacing w:line="360" w:lineRule="auto"/>
        <w:ind w:left="300" w:leftChars="-59" w:hanging="424" w:hangingChars="202"/>
        <w:jc w:val="left"/>
        <w:rPr>
          <w:rFonts w:ascii="宋体" w:hAnsi="宋体" w:eastAsia="宋体" w:cs="Times New Roman"/>
          <w:color w:val="auto"/>
          <w:kern w:val="0"/>
          <w:szCs w:val="21"/>
          <w:highlight w:val="none"/>
        </w:rPr>
      </w:pPr>
      <w:bookmarkStart w:id="76" w:name="_Toc1977676"/>
      <w:bookmarkStart w:id="77" w:name="_Toc533708076"/>
      <w:r>
        <w:rPr>
          <w:rFonts w:hint="eastAsia" w:ascii="宋体" w:hAnsi="宋体" w:eastAsia="宋体" w:cs="Times New Roman"/>
          <w:color w:val="auto"/>
          <w:kern w:val="0"/>
          <w:szCs w:val="21"/>
          <w:highlight w:val="none"/>
        </w:rPr>
        <w:t>（1）本项目不组织集中踏勘现场和答疑，投标人应自行到实地踏勘考察。</w:t>
      </w:r>
    </w:p>
    <w:p w14:paraId="20F7CCC1">
      <w:pPr>
        <w:spacing w:line="360" w:lineRule="auto"/>
        <w:ind w:left="300" w:leftChars="-59" w:hanging="424" w:hangingChars="202"/>
        <w:rPr>
          <w:rFonts w:ascii="宋体" w:hAnsi="宋体" w:eastAsia="宋体" w:cs="Times New Roman"/>
          <w:color w:val="auto"/>
          <w:kern w:val="0"/>
          <w:szCs w:val="21"/>
          <w:highlight w:val="none"/>
        </w:rPr>
      </w:pPr>
      <w:bookmarkStart w:id="78" w:name="_Toc24830"/>
      <w:r>
        <w:rPr>
          <w:rFonts w:hint="eastAsia" w:ascii="宋体" w:hAnsi="宋体" w:eastAsia="宋体" w:cs="Times New Roman"/>
          <w:color w:val="auto"/>
          <w:kern w:val="0"/>
          <w:szCs w:val="21"/>
          <w:highlight w:val="none"/>
        </w:rPr>
        <w:t>（2）潜在投标人应承担踏勘现场自身所发生的费用。</w:t>
      </w:r>
      <w:bookmarkEnd w:id="78"/>
    </w:p>
    <w:p w14:paraId="22BEAFD7">
      <w:pPr>
        <w:spacing w:line="360" w:lineRule="auto"/>
        <w:ind w:left="300" w:leftChars="-59" w:hanging="424" w:hangingChars="202"/>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（3）招标人和招标代理机构在踏勘现场中介绍的有关现场和相关的周边环境情况，供投标人在编制投标文件时参考，招标人不对投标人据此作出的判断和决策负责。</w:t>
      </w:r>
    </w:p>
    <w:p w14:paraId="2DEA8228">
      <w:pPr>
        <w:spacing w:line="360" w:lineRule="auto"/>
        <w:ind w:left="300" w:leftChars="-59" w:hanging="424" w:hangingChars="202"/>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（4）潜在投标人可为踏勘需要而进入招标人的项目现场，但潜在投标人不得因此使招标人承担有关的责任和蒙受损失。潜在投标人应承担踏勘现场的责任和风险。</w:t>
      </w:r>
    </w:p>
    <w:p w14:paraId="47893427">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79" w:name="_Toc21997"/>
      <w:r>
        <w:rPr>
          <w:rFonts w:hint="eastAsia" w:ascii="宋体" w:hAnsi="宋体" w:eastAsia="宋体" w:cs="宋体"/>
          <w:color w:val="auto"/>
          <w:szCs w:val="21"/>
          <w:highlight w:val="none"/>
          <w:lang w:val="zh-CN"/>
        </w:rPr>
        <w:t>4.3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纪律与保密事项</w:t>
      </w:r>
      <w:bookmarkEnd w:id="49"/>
      <w:bookmarkEnd w:id="50"/>
      <w:bookmarkEnd w:id="76"/>
      <w:bookmarkEnd w:id="77"/>
      <w:bookmarkEnd w:id="79"/>
    </w:p>
    <w:p w14:paraId="44189DD7">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（1）获得本招标文件的投标人，不得用作本次投标以外的任何用途。</w:t>
      </w:r>
    </w:p>
    <w:p w14:paraId="0E1A2A26">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（2</w:t>
      </w:r>
      <w:r>
        <w:rPr>
          <w:rFonts w:hint="eastAsia" w:ascii="宋体" w:hAnsi="宋体" w:eastAsia="宋体" w:cs="Times New Roman"/>
          <w:color w:val="auto"/>
          <w:kern w:val="0"/>
          <w:szCs w:val="21"/>
          <w:highlight w:val="none"/>
        </w:rPr>
        <w:t>）凡参与招标工作的有关人员均应自觉接受有关主管部门的监督，不得向他人透露可能影响公平竞争的情况。</w:t>
      </w:r>
    </w:p>
    <w:p w14:paraId="10D2C4A0">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（3）开标后，直至向中标人</w:t>
      </w:r>
      <w:r>
        <w:rPr>
          <w:rFonts w:hint="eastAsia" w:ascii="宋体" w:hAnsi="宋体" w:eastAsia="宋体" w:cs="Times New Roman"/>
          <w:color w:val="auto"/>
          <w:kern w:val="0"/>
          <w:szCs w:val="21"/>
          <w:highlight w:val="none"/>
          <w:lang w:eastAsia="zh-CN"/>
        </w:rPr>
        <w:t>授予合同期间</w:t>
      </w:r>
      <w:r>
        <w:rPr>
          <w:rFonts w:hint="eastAsia" w:ascii="宋体" w:hAnsi="宋体" w:eastAsia="宋体" w:cs="Times New Roman"/>
          <w:color w:val="auto"/>
          <w:kern w:val="0"/>
          <w:szCs w:val="21"/>
          <w:highlight w:val="none"/>
        </w:rPr>
        <w:t>，凡与审查、澄清、评价和比较报价的有关资料以及授标意见等，参与评标工作的有关人员均不得向投标人及与评标无关的其他人透露。</w:t>
      </w:r>
    </w:p>
    <w:p w14:paraId="7536AB37">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（4）除投标人被要求对投标文件进行澄清外，从递交投标文件截止之时起至授予合同期间，投标人不得就与其投标文件有关的事项主动与评标委员会、招标代理机构以及招标人联系。</w:t>
      </w:r>
    </w:p>
    <w:p w14:paraId="7A5EE2C7">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14:paraId="43ECCA4D">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（6）投标人不得串通作弊，以不正当的手段妨碍、排挤其他投标人，扰乱采购市场，破坏公平竞争原则。</w:t>
      </w:r>
    </w:p>
    <w:p w14:paraId="0064AB5F">
      <w:pPr>
        <w:autoSpaceDE w:val="0"/>
        <w:autoSpaceDN w:val="0"/>
        <w:adjustRightInd w:val="0"/>
        <w:spacing w:line="360" w:lineRule="auto"/>
        <w:ind w:left="315" w:leftChars="-100" w:hanging="525" w:hangingChars="250"/>
        <w:rPr>
          <w:rFonts w:ascii="宋体" w:hAnsi="宋体" w:eastAsia="宋体" w:cs="宋体"/>
          <w:color w:val="auto"/>
          <w:szCs w:val="21"/>
          <w:highlight w:val="none"/>
        </w:rPr>
      </w:pPr>
    </w:p>
    <w:p w14:paraId="486716B2">
      <w:pPr>
        <w:keepNext/>
        <w:keepLines/>
        <w:autoSpaceDE w:val="0"/>
        <w:autoSpaceDN w:val="0"/>
        <w:adjustRightInd w:val="0"/>
        <w:spacing w:line="360" w:lineRule="auto"/>
        <w:jc w:val="left"/>
        <w:outlineLvl w:val="1"/>
        <w:rPr>
          <w:rFonts w:hint="eastAsia" w:ascii="宋体" w:hAnsi="宋体" w:eastAsia="宋体" w:cs="宋体"/>
          <w:b/>
          <w:bCs/>
          <w:color w:val="auto"/>
          <w:kern w:val="44"/>
          <w:szCs w:val="21"/>
          <w:highlight w:val="none"/>
          <w:lang w:val="zh-CN"/>
        </w:rPr>
      </w:pPr>
      <w:bookmarkStart w:id="80" w:name="_Toc1482"/>
      <w:bookmarkStart w:id="81" w:name="_Toc486167667"/>
      <w:bookmarkStart w:id="82" w:name="_Toc450662853"/>
      <w:bookmarkStart w:id="83" w:name="_Toc142508317"/>
      <w:bookmarkStart w:id="84" w:name="_Toc13061"/>
      <w:bookmarkStart w:id="85" w:name="_Toc25665"/>
      <w:bookmarkStart w:id="86" w:name="_Toc30507_WPSOffice_Level2"/>
      <w:bookmarkStart w:id="87" w:name="_Toc140596876"/>
      <w:r>
        <w:rPr>
          <w:rFonts w:hint="eastAsia" w:ascii="宋体" w:hAnsi="宋体" w:eastAsia="宋体" w:cs="宋体"/>
          <w:b/>
          <w:bCs/>
          <w:color w:val="auto"/>
          <w:kern w:val="44"/>
          <w:szCs w:val="21"/>
          <w:highlight w:val="none"/>
          <w:lang w:val="zh-CN"/>
        </w:rPr>
        <w:t>二、招标文件</w:t>
      </w:r>
      <w:bookmarkEnd w:id="80"/>
      <w:bookmarkEnd w:id="81"/>
      <w:bookmarkEnd w:id="82"/>
      <w:bookmarkEnd w:id="83"/>
      <w:bookmarkEnd w:id="84"/>
      <w:bookmarkEnd w:id="85"/>
      <w:bookmarkEnd w:id="86"/>
      <w:bookmarkEnd w:id="87"/>
    </w:p>
    <w:p w14:paraId="37BF15B8">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88" w:name="_Toc142508318"/>
      <w:bookmarkStart w:id="89" w:name="_Toc21838"/>
      <w:bookmarkStart w:id="90" w:name="_Toc28179"/>
      <w:bookmarkStart w:id="91" w:name="_Toc486167668"/>
      <w:bookmarkStart w:id="92" w:name="_Toc450662854"/>
      <w:bookmarkStart w:id="93" w:name="_Toc26635_WPSOffice_Level3"/>
      <w:bookmarkStart w:id="94" w:name="_Toc12144"/>
      <w:r>
        <w:rPr>
          <w:rFonts w:hint="eastAsia" w:ascii="宋体" w:hAnsi="宋体" w:eastAsia="宋体" w:cs="宋体"/>
          <w:color w:val="auto"/>
          <w:szCs w:val="21"/>
          <w:highlight w:val="none"/>
          <w:lang w:val="zh-CN"/>
        </w:rPr>
        <w:t>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招标文件的构成</w:t>
      </w:r>
      <w:bookmarkEnd w:id="88"/>
      <w:bookmarkEnd w:id="89"/>
      <w:bookmarkEnd w:id="90"/>
      <w:bookmarkEnd w:id="91"/>
      <w:bookmarkEnd w:id="92"/>
      <w:bookmarkEnd w:id="93"/>
      <w:bookmarkEnd w:id="94"/>
    </w:p>
    <w:p w14:paraId="0159C402">
      <w:pPr>
        <w:autoSpaceDE w:val="0"/>
        <w:autoSpaceDN w:val="0"/>
        <w:adjustRightInd w:val="0"/>
        <w:spacing w:line="360" w:lineRule="auto"/>
        <w:ind w:left="356" w:leftChars="-99" w:hanging="564" w:hangingChars="269"/>
        <w:rPr>
          <w:rFonts w:hint="eastAsia" w:ascii="宋体" w:hAnsi="宋体" w:eastAsia="宋体" w:cs="宋体"/>
          <w:color w:val="auto"/>
          <w:szCs w:val="21"/>
          <w:highlight w:val="none"/>
          <w:lang w:val="zh-CN"/>
        </w:rPr>
      </w:pPr>
      <w:bookmarkStart w:id="95" w:name="_Toc17338"/>
      <w:r>
        <w:rPr>
          <w:rFonts w:hint="eastAsia" w:ascii="宋体" w:hAnsi="宋体" w:eastAsia="宋体" w:cs="宋体"/>
          <w:color w:val="auto"/>
          <w:szCs w:val="21"/>
          <w:highlight w:val="none"/>
          <w:lang w:val="zh-CN"/>
        </w:rPr>
        <w:t>5.1</w:t>
      </w:r>
      <w:r>
        <w:rPr>
          <w:rFonts w:hint="eastAsia" w:ascii="宋体" w:hAnsi="宋体" w:eastAsia="宋体" w:cs="宋体"/>
          <w:color w:val="auto"/>
          <w:szCs w:val="21"/>
          <w:highlight w:val="none"/>
          <w:lang w:val="zh-CN"/>
        </w:rPr>
        <w:tab/>
      </w:r>
      <w:r>
        <w:rPr>
          <w:rFonts w:hint="eastAsia" w:ascii="宋体" w:hAnsi="宋体" w:eastAsia="宋体" w:cs="宋体"/>
          <w:bCs/>
          <w:color w:val="auto"/>
          <w:szCs w:val="21"/>
          <w:highlight w:val="none"/>
          <w:lang w:val="zh-CN"/>
        </w:rPr>
        <w:t>招标</w:t>
      </w:r>
      <w:r>
        <w:rPr>
          <w:rFonts w:hint="eastAsia" w:ascii="宋体" w:hAnsi="宋体" w:eastAsia="宋体" w:cs="宋体"/>
          <w:color w:val="auto"/>
          <w:szCs w:val="21"/>
          <w:highlight w:val="none"/>
          <w:lang w:val="zh-CN"/>
        </w:rPr>
        <w:t>文件包括：</w:t>
      </w:r>
      <w:bookmarkEnd w:id="95"/>
    </w:p>
    <w:p w14:paraId="0C962C84">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第一篇 招标公告</w:t>
      </w:r>
    </w:p>
    <w:p w14:paraId="12CF0F8D">
      <w:pPr>
        <w:tabs>
          <w:tab w:val="left" w:pos="1890"/>
        </w:tabs>
        <w:autoSpaceDE w:val="0"/>
        <w:autoSpaceDN w:val="0"/>
        <w:adjustRightInd w:val="0"/>
        <w:spacing w:line="360" w:lineRule="auto"/>
        <w:ind w:firstLine="424" w:firstLineChars="202"/>
        <w:rPr>
          <w:rFonts w:hint="eastAsia" w:ascii="宋体" w:hAnsi="宋体" w:eastAsia="宋体" w:cs="Times New Roman"/>
          <w:color w:val="auto"/>
          <w:szCs w:val="21"/>
          <w:highlight w:val="none"/>
          <w:lang w:val="zh-CN"/>
        </w:rPr>
      </w:pPr>
      <w:bookmarkStart w:id="96" w:name="_Toc12973"/>
      <w:r>
        <w:rPr>
          <w:rFonts w:hint="eastAsia" w:ascii="宋体" w:hAnsi="宋体" w:eastAsia="宋体" w:cs="Times New Roman"/>
          <w:color w:val="auto"/>
          <w:szCs w:val="21"/>
          <w:highlight w:val="none"/>
          <w:lang w:val="zh-CN"/>
        </w:rPr>
        <w:t>第二篇 投标人须知</w:t>
      </w:r>
      <w:bookmarkEnd w:id="96"/>
    </w:p>
    <w:p w14:paraId="4A6E06C3">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第三篇 用户需求书</w:t>
      </w:r>
    </w:p>
    <w:p w14:paraId="1F89A063">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第四篇 合同条款</w:t>
      </w:r>
    </w:p>
    <w:p w14:paraId="301FD5EF">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第五篇 相关保函格式</w:t>
      </w:r>
    </w:p>
    <w:p w14:paraId="6FC0C183">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第六篇 投标文件格式</w:t>
      </w:r>
    </w:p>
    <w:p w14:paraId="3D5A6007">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宋体"/>
          <w:color w:val="auto"/>
          <w:szCs w:val="21"/>
          <w:highlight w:val="none"/>
          <w:lang w:val="zh-CN"/>
        </w:rPr>
        <w:t>附件一：评标工作大纲</w:t>
      </w:r>
    </w:p>
    <w:p w14:paraId="499964A2">
      <w:pPr>
        <w:autoSpaceDE w:val="0"/>
        <w:autoSpaceDN w:val="0"/>
        <w:adjustRightInd w:val="0"/>
        <w:spacing w:line="360" w:lineRule="auto"/>
        <w:ind w:left="356" w:leftChars="-99" w:hanging="564" w:hangingChars="269"/>
        <w:rPr>
          <w:rFonts w:hint="eastAsia" w:ascii="宋体" w:hAnsi="宋体" w:eastAsia="宋体" w:cs="宋体"/>
          <w:b/>
          <w:bCs/>
          <w:color w:val="auto"/>
          <w:szCs w:val="21"/>
          <w:highlight w:val="none"/>
          <w:lang w:val="zh-CN"/>
        </w:rPr>
      </w:pPr>
      <w:r>
        <w:rPr>
          <w:rFonts w:hint="eastAsia" w:ascii="宋体" w:hAnsi="宋体" w:eastAsia="宋体" w:cs="宋体"/>
          <w:bCs/>
          <w:color w:val="auto"/>
          <w:szCs w:val="21"/>
          <w:highlight w:val="none"/>
          <w:lang w:val="zh-CN"/>
        </w:rPr>
        <w:t>5.2</w:t>
      </w:r>
      <w:r>
        <w:rPr>
          <w:rFonts w:hint="eastAsia" w:ascii="宋体" w:hAnsi="宋体" w:eastAsia="宋体" w:cs="宋体"/>
          <w:b/>
          <w:bCs/>
          <w:color w:val="auto"/>
          <w:szCs w:val="21"/>
          <w:highlight w:val="none"/>
          <w:lang w:val="zh-CN"/>
        </w:rPr>
        <w:tab/>
      </w:r>
      <w:r>
        <w:rPr>
          <w:rFonts w:hint="eastAsia" w:ascii="宋体" w:hAnsi="宋体" w:eastAsia="宋体" w:cs="宋体"/>
          <w:b/>
          <w:bCs/>
          <w:color w:val="auto"/>
          <w:szCs w:val="21"/>
          <w:highlight w:val="none"/>
          <w:u w:val="single"/>
          <w:lang w:val="zh-CN"/>
        </w:rPr>
        <w:t>投标人</w:t>
      </w:r>
      <w:r>
        <w:rPr>
          <w:rFonts w:hint="eastAsia" w:ascii="宋体" w:hAnsi="宋体" w:eastAsia="宋体" w:cs="Times New Roman"/>
          <w:b/>
          <w:bCs/>
          <w:color w:val="auto"/>
          <w:szCs w:val="21"/>
          <w:highlight w:val="none"/>
          <w:u w:val="single"/>
          <w:lang w:val="zh-CN"/>
        </w:rPr>
        <w:t>应审阅招标文件中所有须知、格式、条款和规格。投标人未按招标文件要求提供全部资料或提交的投标文件未对招标文件作出实质性响应（</w:t>
      </w:r>
      <w:r>
        <w:rPr>
          <w:rFonts w:hint="eastAsia" w:ascii="宋体" w:hAnsi="宋体" w:eastAsia="宋体" w:cs="宋体"/>
          <w:b/>
          <w:bCs/>
          <w:color w:val="auto"/>
          <w:szCs w:val="21"/>
          <w:highlight w:val="none"/>
          <w:u w:val="single"/>
          <w:lang w:val="zh-CN"/>
        </w:rPr>
        <w:t>★</w:t>
      </w:r>
      <w:r>
        <w:rPr>
          <w:rFonts w:hint="eastAsia" w:ascii="宋体" w:hAnsi="宋体" w:eastAsia="宋体" w:cs="Times New Roman"/>
          <w:b/>
          <w:bCs/>
          <w:color w:val="auto"/>
          <w:szCs w:val="21"/>
          <w:highlight w:val="none"/>
          <w:u w:val="single"/>
          <w:lang w:val="zh-CN"/>
        </w:rPr>
        <w:t>标志的部分为投标人、投标拟供货物必备的条件或重要指示），那么投标人的投标文件将有可能被拒绝接收或评审为无效投标文件</w:t>
      </w:r>
      <w:r>
        <w:rPr>
          <w:rFonts w:hint="eastAsia" w:ascii="宋体" w:hAnsi="宋体" w:eastAsia="宋体" w:cs="宋体"/>
          <w:b/>
          <w:bCs/>
          <w:color w:val="auto"/>
          <w:szCs w:val="21"/>
          <w:highlight w:val="none"/>
          <w:lang w:val="zh-CN"/>
        </w:rPr>
        <w:t>。</w:t>
      </w:r>
    </w:p>
    <w:p w14:paraId="0F970897">
      <w:pPr>
        <w:autoSpaceDE w:val="0"/>
        <w:autoSpaceDN w:val="0"/>
        <w:adjustRightInd w:val="0"/>
        <w:spacing w:line="360" w:lineRule="auto"/>
        <w:ind w:left="356" w:leftChars="-99" w:hanging="564" w:hangingChars="269"/>
        <w:rPr>
          <w:rFonts w:ascii="宋体" w:hAnsi="宋体" w:eastAsia="宋体" w:cs="宋体"/>
          <w:b/>
          <w:bCs/>
          <w:color w:val="auto"/>
          <w:szCs w:val="21"/>
          <w:highlight w:val="none"/>
          <w:u w:val="single"/>
        </w:rPr>
      </w:pPr>
      <w:bookmarkStart w:id="97" w:name="_Toc31328"/>
      <w:r>
        <w:rPr>
          <w:rFonts w:hint="eastAsia" w:ascii="宋体" w:hAnsi="宋体" w:eastAsia="宋体" w:cs="宋体"/>
          <w:color w:val="auto"/>
          <w:szCs w:val="21"/>
          <w:highlight w:val="none"/>
          <w:lang w:val="zh-CN"/>
        </w:rPr>
        <w:t>5.3  本招标文件使用的词语有如下定义：</w:t>
      </w:r>
      <w:bookmarkEnd w:id="97"/>
    </w:p>
    <w:p w14:paraId="2B30BEB2">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（1）“招标人”指</w:t>
      </w:r>
      <w:r>
        <w:rPr>
          <w:rFonts w:hint="eastAsia" w:ascii="宋体" w:hAnsi="宋体" w:eastAsia="宋体" w:cs="Times New Roman"/>
          <w:color w:val="auto"/>
          <w:kern w:val="0"/>
          <w:szCs w:val="21"/>
          <w:highlight w:val="none"/>
          <w:lang w:eastAsia="zh-CN"/>
        </w:rPr>
        <w:t>东莞市水务集团净水有限公司</w:t>
      </w:r>
      <w:r>
        <w:rPr>
          <w:rFonts w:hint="eastAsia" w:ascii="宋体" w:hAnsi="宋体" w:eastAsia="宋体" w:cs="Times New Roman"/>
          <w:color w:val="auto"/>
          <w:kern w:val="0"/>
          <w:szCs w:val="21"/>
          <w:highlight w:val="none"/>
        </w:rPr>
        <w:t>；</w:t>
      </w:r>
    </w:p>
    <w:p w14:paraId="55796A8D">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2</w:t>
      </w:r>
      <w:r>
        <w:rPr>
          <w:rFonts w:hint="eastAsia" w:ascii="宋体" w:hAnsi="宋体" w:eastAsia="宋体" w:cs="Times New Roman"/>
          <w:color w:val="auto"/>
          <w:kern w:val="0"/>
          <w:szCs w:val="21"/>
          <w:highlight w:val="none"/>
        </w:rPr>
        <w:t>）“招标代理机构”指</w:t>
      </w:r>
      <w:r>
        <w:rPr>
          <w:rFonts w:hint="eastAsia" w:ascii="宋体" w:hAnsi="宋体" w:eastAsia="宋体" w:cs="Times New Roman"/>
          <w:color w:val="auto"/>
          <w:kern w:val="0"/>
          <w:szCs w:val="21"/>
          <w:highlight w:val="none"/>
          <w:lang w:eastAsia="zh-CN"/>
        </w:rPr>
        <w:t>广东有德招标采购有限公司</w:t>
      </w:r>
      <w:r>
        <w:rPr>
          <w:rFonts w:hint="eastAsia" w:ascii="宋体" w:hAnsi="宋体" w:eastAsia="宋体" w:cs="Times New Roman"/>
          <w:color w:val="auto"/>
          <w:kern w:val="0"/>
          <w:szCs w:val="21"/>
          <w:highlight w:val="none"/>
        </w:rPr>
        <w:t>；</w:t>
      </w:r>
    </w:p>
    <w:p w14:paraId="3FC631F1">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）“投标人”指参加</w:t>
      </w:r>
      <w:r>
        <w:rPr>
          <w:rFonts w:hint="eastAsia" w:ascii="宋体" w:hAnsi="宋体" w:eastAsia="宋体" w:cs="Times New Roman"/>
          <w:color w:val="auto"/>
          <w:kern w:val="0"/>
          <w:szCs w:val="21"/>
          <w:highlight w:val="none"/>
          <w:lang w:eastAsia="zh-CN"/>
        </w:rPr>
        <w:t>东莞市水务集团净水有限公司2025年生产药剂液体柠檬酸采购项目（重新招标）</w:t>
      </w:r>
      <w:r>
        <w:rPr>
          <w:rFonts w:hint="eastAsia" w:ascii="宋体" w:hAnsi="宋体" w:eastAsia="宋体" w:cs="Times New Roman"/>
          <w:color w:val="auto"/>
          <w:kern w:val="0"/>
          <w:szCs w:val="21"/>
          <w:highlight w:val="none"/>
        </w:rPr>
        <w:t>所需的货物及有关服务的投标，并向招标代理机构提交投标文件的当事人；</w:t>
      </w:r>
    </w:p>
    <w:p w14:paraId="2290424F">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4</w:t>
      </w:r>
      <w:r>
        <w:rPr>
          <w:rFonts w:hint="eastAsia" w:ascii="宋体" w:hAnsi="宋体" w:eastAsia="宋体" w:cs="Times New Roman"/>
          <w:color w:val="auto"/>
          <w:kern w:val="0"/>
          <w:szCs w:val="21"/>
          <w:highlight w:val="none"/>
        </w:rPr>
        <w:t>）“评标委员会”是依照《中华人民共和国招标投标法》等法规组建的专门负责本次评标工作的临时性机构；</w:t>
      </w:r>
    </w:p>
    <w:p w14:paraId="29FC4335">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w:t>
      </w:r>
      <w:r>
        <w:rPr>
          <w:rFonts w:hint="eastAsia" w:ascii="宋体" w:hAnsi="宋体" w:eastAsia="宋体" w:cs="Times New Roman"/>
          <w:color w:val="auto"/>
          <w:kern w:val="0"/>
          <w:szCs w:val="21"/>
          <w:highlight w:val="none"/>
        </w:rPr>
        <w:t>）“中标人”指其投标被招标人接受，并与招标人权属子公司签订合同的当事人；</w:t>
      </w:r>
    </w:p>
    <w:p w14:paraId="65A37472">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6</w:t>
      </w:r>
      <w:r>
        <w:rPr>
          <w:rFonts w:hint="eastAsia" w:ascii="宋体" w:hAnsi="宋体" w:eastAsia="宋体" w:cs="Times New Roman"/>
          <w:color w:val="auto"/>
          <w:kern w:val="0"/>
          <w:szCs w:val="21"/>
          <w:highlight w:val="none"/>
        </w:rPr>
        <w:t>）“甲方”指在合同条款中指明的购买货物及有关服务的单位，即</w:t>
      </w:r>
      <w:r>
        <w:rPr>
          <w:rFonts w:hint="eastAsia" w:ascii="宋体" w:hAnsi="宋体" w:eastAsia="宋体" w:cs="Times New Roman"/>
          <w:color w:val="auto"/>
          <w:kern w:val="0"/>
          <w:szCs w:val="21"/>
          <w:highlight w:val="none"/>
          <w:lang w:eastAsia="zh-CN"/>
        </w:rPr>
        <w:t>东莞市</w:t>
      </w:r>
      <w:r>
        <w:rPr>
          <w:rFonts w:hint="eastAsia" w:ascii="宋体" w:hAnsi="宋体" w:eastAsia="宋体" w:cs="Times New Roman"/>
          <w:color w:val="auto"/>
          <w:kern w:val="0"/>
          <w:szCs w:val="21"/>
          <w:highlight w:val="none"/>
          <w:lang w:val="en-US" w:eastAsia="zh-CN"/>
        </w:rPr>
        <w:t>石鼓</w:t>
      </w:r>
      <w:r>
        <w:rPr>
          <w:rFonts w:hint="eastAsia" w:ascii="宋体" w:hAnsi="宋体" w:eastAsia="宋体" w:cs="Times New Roman"/>
          <w:color w:val="auto"/>
          <w:kern w:val="0"/>
          <w:szCs w:val="21"/>
          <w:highlight w:val="none"/>
          <w:lang w:eastAsia="zh-CN"/>
        </w:rPr>
        <w:t>净水有限公司</w:t>
      </w:r>
      <w:r>
        <w:rPr>
          <w:rFonts w:hint="eastAsia" w:ascii="宋体" w:hAnsi="宋体" w:eastAsia="宋体" w:cs="Times New Roman"/>
          <w:color w:val="auto"/>
          <w:kern w:val="0"/>
          <w:szCs w:val="21"/>
          <w:highlight w:val="none"/>
        </w:rPr>
        <w:t>；</w:t>
      </w:r>
    </w:p>
    <w:p w14:paraId="20E8B2CF">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7</w:t>
      </w:r>
      <w:r>
        <w:rPr>
          <w:rFonts w:hint="eastAsia" w:ascii="宋体" w:hAnsi="宋体" w:eastAsia="宋体" w:cs="Times New Roman"/>
          <w:color w:val="auto"/>
          <w:kern w:val="0"/>
          <w:szCs w:val="21"/>
          <w:highlight w:val="none"/>
        </w:rPr>
        <w:t>）“乙方”指在合同条款中指明的本合同项下提供货物及有关服务的公司或实体；</w:t>
      </w:r>
    </w:p>
    <w:p w14:paraId="052913E3">
      <w:pPr>
        <w:autoSpaceDE w:val="0"/>
        <w:autoSpaceDN w:val="0"/>
        <w:adjustRightInd w:val="0"/>
        <w:spacing w:line="360" w:lineRule="auto"/>
        <w:ind w:left="441" w:leftChars="-60" w:hanging="567" w:hangingChars="270"/>
        <w:jc w:val="left"/>
        <w:rPr>
          <w:rFonts w:hint="eastAsia" w:ascii="宋体" w:hAnsi="宋体" w:eastAsia="宋体" w:cs="Times New Roman"/>
          <w:color w:val="auto"/>
          <w:kern w:val="0"/>
          <w:szCs w:val="21"/>
          <w:highlight w:val="none"/>
          <w:lang w:eastAsia="zh-CN"/>
        </w:rPr>
      </w:pP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lang w:val="en-US" w:eastAsia="zh-CN"/>
        </w:rPr>
        <w:t>8</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丙</w:t>
      </w:r>
      <w:r>
        <w:rPr>
          <w:rFonts w:hint="eastAsia" w:ascii="宋体" w:hAnsi="宋体" w:eastAsia="宋体" w:cs="Times New Roman"/>
          <w:color w:val="auto"/>
          <w:kern w:val="0"/>
          <w:szCs w:val="21"/>
          <w:highlight w:val="none"/>
        </w:rPr>
        <w:t>方”指在合同条款中指明的</w:t>
      </w:r>
      <w:r>
        <w:rPr>
          <w:rFonts w:hint="eastAsia" w:ascii="宋体" w:hAnsi="宋体" w:eastAsia="宋体" w:cs="Times New Roman"/>
          <w:color w:val="auto"/>
          <w:kern w:val="0"/>
          <w:szCs w:val="21"/>
          <w:highlight w:val="none"/>
          <w:lang w:val="en-US" w:eastAsia="zh-CN"/>
        </w:rPr>
        <w:t>招标人</w:t>
      </w:r>
      <w:r>
        <w:rPr>
          <w:rFonts w:hint="eastAsia" w:ascii="宋体" w:hAnsi="宋体" w:eastAsia="宋体" w:cs="Times New Roman"/>
          <w:color w:val="auto"/>
          <w:kern w:val="0"/>
          <w:szCs w:val="21"/>
          <w:highlight w:val="none"/>
        </w:rPr>
        <w:t>新增</w:t>
      </w:r>
      <w:r>
        <w:rPr>
          <w:rFonts w:hint="eastAsia" w:ascii="宋体" w:hAnsi="宋体" w:eastAsia="宋体" w:cs="Times New Roman"/>
          <w:color w:val="auto"/>
          <w:kern w:val="0"/>
          <w:szCs w:val="21"/>
          <w:highlight w:val="none"/>
          <w:lang w:val="en-US" w:eastAsia="zh-CN"/>
        </w:rPr>
        <w:t>的</w:t>
      </w:r>
      <w:r>
        <w:rPr>
          <w:rFonts w:hint="eastAsia" w:ascii="宋体" w:hAnsi="宋体" w:eastAsia="宋体" w:cs="Times New Roman"/>
          <w:color w:val="auto"/>
          <w:kern w:val="0"/>
          <w:szCs w:val="21"/>
          <w:highlight w:val="none"/>
        </w:rPr>
        <w:t>购买货物及有关服务的单位，即</w:t>
      </w:r>
      <w:bookmarkStart w:id="98" w:name="OLE_LINK34"/>
      <w:r>
        <w:rPr>
          <w:rFonts w:hint="eastAsia" w:ascii="宋体" w:hAnsi="宋体" w:eastAsia="宋体" w:cs="宋体"/>
          <w:color w:val="auto"/>
          <w:kern w:val="0"/>
          <w:szCs w:val="21"/>
          <w:highlight w:val="none"/>
          <w:lang w:val="en-US" w:eastAsia="zh-CN"/>
        </w:rPr>
        <w:t>东莞市石鼓净水有限公司关联公司</w:t>
      </w:r>
      <w:bookmarkEnd w:id="98"/>
      <w:r>
        <w:rPr>
          <w:rFonts w:hint="eastAsia" w:ascii="宋体" w:hAnsi="宋体" w:eastAsia="宋体" w:cs="宋体"/>
          <w:color w:val="auto"/>
          <w:kern w:val="0"/>
          <w:szCs w:val="21"/>
          <w:highlight w:val="none"/>
          <w:lang w:val="en-US" w:eastAsia="zh-CN"/>
        </w:rPr>
        <w:t>，包括但不限于东莞市清源净水科技有限公司</w:t>
      </w:r>
      <w:r>
        <w:rPr>
          <w:rFonts w:hint="eastAsia" w:ascii="宋体" w:hAnsi="宋体" w:eastAsia="宋体" w:cs="Times New Roman"/>
          <w:color w:val="auto"/>
          <w:kern w:val="0"/>
          <w:szCs w:val="21"/>
          <w:highlight w:val="none"/>
        </w:rPr>
        <w:t>；</w:t>
      </w:r>
    </w:p>
    <w:p w14:paraId="3B6B2ABC">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9</w:t>
      </w:r>
      <w:r>
        <w:rPr>
          <w:rFonts w:hint="eastAsia" w:ascii="宋体" w:hAnsi="宋体" w:eastAsia="宋体" w:cs="Times New Roman"/>
          <w:color w:val="auto"/>
          <w:kern w:val="0"/>
          <w:szCs w:val="21"/>
          <w:highlight w:val="none"/>
        </w:rPr>
        <w:t>）“招标文件”指包括招标公告和招标文件及其补充、变更和澄清等一系列文件；</w:t>
      </w:r>
    </w:p>
    <w:p w14:paraId="14667F98">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10</w:t>
      </w:r>
      <w:r>
        <w:rPr>
          <w:rFonts w:hint="eastAsia" w:ascii="宋体" w:hAnsi="宋体" w:eastAsia="宋体" w:cs="Times New Roman"/>
          <w:color w:val="auto"/>
          <w:kern w:val="0"/>
          <w:szCs w:val="21"/>
          <w:highlight w:val="none"/>
        </w:rPr>
        <w:t>）“投标文件”指投标人根据本招标文件向招标代理机构提交的全部文件；</w:t>
      </w:r>
    </w:p>
    <w:p w14:paraId="65FB0EF1">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w:t>
      </w:r>
      <w:r>
        <w:rPr>
          <w:rFonts w:hint="eastAsia" w:ascii="宋体" w:hAnsi="宋体" w:eastAsia="宋体" w:cs="Times New Roman"/>
          <w:color w:val="auto"/>
          <w:kern w:val="0"/>
          <w:szCs w:val="21"/>
          <w:highlight w:val="none"/>
          <w:lang w:val="en-US" w:eastAsia="zh-CN"/>
        </w:rPr>
        <w:t>1</w:t>
      </w:r>
      <w:r>
        <w:rPr>
          <w:rFonts w:hint="eastAsia" w:ascii="宋体" w:hAnsi="宋体" w:eastAsia="宋体" w:cs="Times New Roman"/>
          <w:color w:val="auto"/>
          <w:kern w:val="0"/>
          <w:szCs w:val="21"/>
          <w:highlight w:val="none"/>
        </w:rPr>
        <w:t>）“书面函件”指手写、打字或印刷的函件，包括电传、电报和传真；</w:t>
      </w:r>
    </w:p>
    <w:p w14:paraId="58393DC6">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w:t>
      </w:r>
      <w:r>
        <w:rPr>
          <w:rFonts w:hint="eastAsia" w:ascii="宋体" w:hAnsi="宋体" w:eastAsia="宋体" w:cs="Times New Roman"/>
          <w:color w:val="auto"/>
          <w:kern w:val="0"/>
          <w:szCs w:val="21"/>
          <w:highlight w:val="none"/>
          <w:lang w:val="en-US" w:eastAsia="zh-CN"/>
        </w:rPr>
        <w:t>2</w:t>
      </w:r>
      <w:r>
        <w:rPr>
          <w:rFonts w:hint="eastAsia" w:ascii="宋体" w:hAnsi="宋体" w:eastAsia="宋体" w:cs="Times New Roman"/>
          <w:color w:val="auto"/>
          <w:kern w:val="0"/>
          <w:szCs w:val="21"/>
          <w:highlight w:val="none"/>
        </w:rPr>
        <w:t>）“合同”指由本次招标所产生的合同或合约文件；</w:t>
      </w:r>
    </w:p>
    <w:p w14:paraId="2DE807F5">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w:t>
      </w:r>
      <w:r>
        <w:rPr>
          <w:rFonts w:hint="eastAsia" w:ascii="宋体" w:hAnsi="宋体" w:eastAsia="宋体" w:cs="Times New Roman"/>
          <w:color w:val="auto"/>
          <w:kern w:val="0"/>
          <w:szCs w:val="21"/>
          <w:highlight w:val="none"/>
          <w:lang w:val="en-US" w:eastAsia="zh-CN"/>
        </w:rPr>
        <w:t>3</w:t>
      </w:r>
      <w:r>
        <w:rPr>
          <w:rFonts w:hint="eastAsia" w:ascii="宋体" w:hAnsi="宋体" w:eastAsia="宋体" w:cs="Times New Roman"/>
          <w:color w:val="auto"/>
          <w:kern w:val="0"/>
          <w:szCs w:val="21"/>
          <w:highlight w:val="none"/>
        </w:rPr>
        <w:t>）“日期”指公历日，“时间”指北京时间；</w:t>
      </w:r>
    </w:p>
    <w:p w14:paraId="3418EC02">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w:t>
      </w:r>
      <w:r>
        <w:rPr>
          <w:rFonts w:hint="eastAsia" w:ascii="宋体" w:hAnsi="宋体" w:eastAsia="宋体" w:cs="Times New Roman"/>
          <w:color w:val="auto"/>
          <w:kern w:val="0"/>
          <w:szCs w:val="21"/>
          <w:highlight w:val="none"/>
          <w:lang w:val="en-US" w:eastAsia="zh-CN"/>
        </w:rPr>
        <w:t>4</w:t>
      </w:r>
      <w:r>
        <w:rPr>
          <w:rFonts w:hint="eastAsia" w:ascii="宋体" w:hAnsi="宋体" w:eastAsia="宋体" w:cs="Times New Roman"/>
          <w:color w:val="auto"/>
          <w:kern w:val="0"/>
          <w:szCs w:val="21"/>
          <w:highlight w:val="none"/>
        </w:rPr>
        <w:t>）本招标文件中的“境内”特指中华人民共和国海关关境以内，“境外”特指中华人民共和国海关关境以外；</w:t>
      </w:r>
    </w:p>
    <w:p w14:paraId="38B7FDDE">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w:t>
      </w:r>
      <w:r>
        <w:rPr>
          <w:rFonts w:hint="eastAsia" w:ascii="宋体" w:hAnsi="宋体" w:eastAsia="宋体" w:cs="Times New Roman"/>
          <w:color w:val="auto"/>
          <w:kern w:val="0"/>
          <w:szCs w:val="21"/>
          <w:highlight w:val="none"/>
          <w:lang w:val="en-US" w:eastAsia="zh-CN"/>
        </w:rPr>
        <w:t>5</w:t>
      </w:r>
      <w:r>
        <w:rPr>
          <w:rFonts w:hint="eastAsia" w:ascii="宋体" w:hAnsi="宋体" w:eastAsia="宋体" w:cs="Times New Roman"/>
          <w:color w:val="auto"/>
          <w:kern w:val="0"/>
          <w:szCs w:val="21"/>
          <w:highlight w:val="none"/>
        </w:rPr>
        <w:t>）不含税价，即为《中华人民共和国增值税暂行条例》（国务院令第6</w:t>
      </w:r>
      <w:r>
        <w:rPr>
          <w:rFonts w:ascii="宋体" w:hAnsi="宋体" w:eastAsia="宋体" w:cs="Times New Roman"/>
          <w:color w:val="auto"/>
          <w:kern w:val="0"/>
          <w:szCs w:val="21"/>
          <w:highlight w:val="none"/>
        </w:rPr>
        <w:t>91</w:t>
      </w:r>
      <w:r>
        <w:rPr>
          <w:rFonts w:hint="eastAsia" w:ascii="宋体" w:hAnsi="宋体" w:eastAsia="宋体" w:cs="Times New Roman"/>
          <w:color w:val="auto"/>
          <w:kern w:val="0"/>
          <w:szCs w:val="21"/>
          <w:highlight w:val="none"/>
        </w:rPr>
        <w:t>号修订版）规定的销售额。本招标文件所称的不含税价和不含税合同价是指不含本采购项目投标人的销项税额，包含了投标人完成合同义务（含投标人代缴代扣、分包及委外服务、</w:t>
      </w:r>
      <w:r>
        <w:rPr>
          <w:rFonts w:hint="eastAsia" w:ascii="宋体" w:hAnsi="宋体" w:eastAsia="宋体" w:cs="Times New Roman"/>
          <w:color w:val="auto"/>
          <w:kern w:val="0"/>
          <w:szCs w:val="21"/>
          <w:highlight w:val="none"/>
          <w:lang w:val="en-US" w:eastAsia="zh-CN"/>
        </w:rPr>
        <w:t>安装</w:t>
      </w:r>
      <w:r>
        <w:rPr>
          <w:rFonts w:hint="eastAsia" w:ascii="宋体" w:hAnsi="宋体" w:eastAsia="宋体" w:cs="Times New Roman"/>
          <w:color w:val="auto"/>
          <w:kern w:val="0"/>
          <w:szCs w:val="21"/>
          <w:highlight w:val="none"/>
        </w:rPr>
        <w:t>、采购货物等所产生的价税）的其他全部费用。本采购项目投标人的销项税额由招标人承担，不计入投标报价。</w:t>
      </w:r>
    </w:p>
    <w:p w14:paraId="28CC1115">
      <w:pPr>
        <w:autoSpaceDE w:val="0"/>
        <w:autoSpaceDN w:val="0"/>
        <w:adjustRightInd w:val="0"/>
        <w:spacing w:line="360" w:lineRule="auto"/>
        <w:ind w:left="951" w:leftChars="78" w:hanging="787" w:hangingChars="375"/>
        <w:rPr>
          <w:rFonts w:ascii="宋体" w:hAnsi="宋体" w:eastAsia="宋体" w:cs="宋体"/>
          <w:color w:val="auto"/>
          <w:szCs w:val="21"/>
          <w:highlight w:val="none"/>
          <w:lang w:val="zh-CN"/>
        </w:rPr>
      </w:pPr>
    </w:p>
    <w:p w14:paraId="2BEBB6F7">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99" w:name="_Toc29125_WPSOffice_Level3"/>
      <w:bookmarkStart w:id="100" w:name="_Toc486167669"/>
      <w:bookmarkStart w:id="101" w:name="_Toc450662855"/>
      <w:bookmarkStart w:id="102" w:name="_Toc23574"/>
      <w:bookmarkStart w:id="103" w:name="_Toc18407"/>
      <w:bookmarkStart w:id="104" w:name="_Toc142508319"/>
      <w:bookmarkStart w:id="105" w:name="_Toc23371"/>
      <w:r>
        <w:rPr>
          <w:rFonts w:hint="eastAsia" w:ascii="宋体" w:hAnsi="宋体" w:eastAsia="宋体" w:cs="宋体"/>
          <w:color w:val="auto"/>
          <w:szCs w:val="21"/>
          <w:highlight w:val="none"/>
          <w:lang w:val="zh-CN"/>
        </w:rPr>
        <w:t>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招标文件的异议</w:t>
      </w:r>
      <w:bookmarkEnd w:id="99"/>
      <w:bookmarkEnd w:id="100"/>
      <w:bookmarkEnd w:id="101"/>
      <w:bookmarkEnd w:id="102"/>
      <w:bookmarkEnd w:id="103"/>
      <w:bookmarkEnd w:id="104"/>
      <w:bookmarkEnd w:id="105"/>
    </w:p>
    <w:p w14:paraId="349CF17A">
      <w:pPr>
        <w:autoSpaceDE w:val="0"/>
        <w:autoSpaceDN w:val="0"/>
        <w:adjustRightInd w:val="0"/>
        <w:spacing w:line="360" w:lineRule="auto"/>
        <w:ind w:left="288" w:leftChars="137" w:firstLine="420" w:firstLineChars="200"/>
        <w:rPr>
          <w:rFonts w:ascii="宋体" w:hAnsi="宋体" w:eastAsia="宋体" w:cs="宋体"/>
          <w:bCs/>
          <w:color w:val="auto"/>
          <w:szCs w:val="21"/>
          <w:highlight w:val="none"/>
          <w:lang w:val="zh-CN"/>
        </w:rPr>
      </w:pPr>
      <w:r>
        <w:rPr>
          <w:rFonts w:hint="eastAsia" w:ascii="宋体" w:hAnsi="宋体" w:eastAsia="宋体" w:cs="Times New Roman"/>
          <w:bCs/>
          <w:color w:val="auto"/>
          <w:szCs w:val="21"/>
          <w:highlight w:val="none"/>
          <w:lang w:val="zh-CN"/>
        </w:rPr>
        <w:t>投标人或者其他利害关系人对招标文件有异议的，应当在投标截止时间10日前</w:t>
      </w:r>
      <w:r>
        <w:rPr>
          <w:rFonts w:ascii="宋体" w:hAnsi="宋体" w:eastAsia="宋体" w:cs="Times New Roman"/>
          <w:color w:val="auto"/>
          <w:szCs w:val="21"/>
          <w:highlight w:val="none"/>
          <w:lang w:val="zh-CN"/>
        </w:rPr>
        <w:t>以书面形式向</w:t>
      </w:r>
      <w:r>
        <w:rPr>
          <w:rFonts w:hint="eastAsia" w:ascii="宋体" w:hAnsi="宋体" w:eastAsia="宋体" w:cs="Times New Roman"/>
          <w:color w:val="auto"/>
          <w:szCs w:val="21"/>
          <w:highlight w:val="none"/>
          <w:lang w:val="zh-CN"/>
        </w:rPr>
        <w:t>招标代理机构</w:t>
      </w:r>
      <w:r>
        <w:rPr>
          <w:rFonts w:ascii="宋体" w:hAnsi="宋体" w:eastAsia="宋体" w:cs="Times New Roman"/>
          <w:color w:val="auto"/>
          <w:szCs w:val="21"/>
          <w:highlight w:val="none"/>
          <w:lang w:val="zh-CN"/>
        </w:rPr>
        <w:t>提出</w:t>
      </w: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并</w:t>
      </w:r>
      <w:r>
        <w:rPr>
          <w:rFonts w:hint="eastAsia" w:ascii="宋体" w:hAnsi="宋体" w:eastAsia="宋体" w:cs="Times New Roman"/>
          <w:color w:val="auto"/>
          <w:szCs w:val="21"/>
          <w:highlight w:val="none"/>
          <w:lang w:val="zh-CN"/>
        </w:rPr>
        <w:t>将材料原件</w:t>
      </w:r>
      <w:r>
        <w:rPr>
          <w:rFonts w:ascii="宋体" w:hAnsi="宋体" w:eastAsia="宋体" w:cs="Times New Roman"/>
          <w:color w:val="auto"/>
          <w:szCs w:val="21"/>
          <w:highlight w:val="none"/>
          <w:lang w:val="zh-CN"/>
        </w:rPr>
        <w:t>送</w:t>
      </w:r>
      <w:r>
        <w:rPr>
          <w:rFonts w:hint="eastAsia" w:ascii="宋体" w:hAnsi="宋体" w:eastAsia="宋体" w:cs="Times New Roman"/>
          <w:color w:val="auto"/>
          <w:szCs w:val="21"/>
          <w:highlight w:val="none"/>
          <w:lang w:val="zh-CN"/>
        </w:rPr>
        <w:t>达招标代理机构</w:t>
      </w:r>
      <w:r>
        <w:rPr>
          <w:rFonts w:ascii="宋体" w:hAnsi="宋体" w:eastAsia="宋体" w:cs="Times New Roman"/>
          <w:color w:val="auto"/>
          <w:szCs w:val="21"/>
          <w:highlight w:val="none"/>
          <w:lang w:val="zh-CN"/>
        </w:rPr>
        <w:t>，逾期则视为</w:t>
      </w:r>
      <w:r>
        <w:rPr>
          <w:rFonts w:hint="eastAsia" w:ascii="宋体" w:hAnsi="宋体" w:eastAsia="宋体" w:cs="Times New Roman"/>
          <w:color w:val="auto"/>
          <w:szCs w:val="21"/>
          <w:highlight w:val="none"/>
          <w:lang w:val="zh-CN"/>
        </w:rPr>
        <w:t>对</w:t>
      </w:r>
      <w:r>
        <w:rPr>
          <w:rFonts w:ascii="宋体" w:hAnsi="宋体" w:eastAsia="宋体" w:cs="Times New Roman"/>
          <w:color w:val="auto"/>
          <w:szCs w:val="21"/>
          <w:highlight w:val="none"/>
          <w:lang w:val="zh-CN"/>
        </w:rPr>
        <w:t>招标文件所有内容</w:t>
      </w:r>
      <w:r>
        <w:rPr>
          <w:rFonts w:hint="eastAsia" w:ascii="宋体" w:hAnsi="宋体" w:eastAsia="宋体" w:cs="Times New Roman"/>
          <w:color w:val="auto"/>
          <w:szCs w:val="21"/>
          <w:highlight w:val="none"/>
          <w:lang w:val="zh-CN"/>
        </w:rPr>
        <w:t>无异议</w:t>
      </w:r>
      <w:r>
        <w:rPr>
          <w:rFonts w:ascii="宋体" w:hAnsi="宋体" w:eastAsia="宋体" w:cs="Times New Roman"/>
          <w:color w:val="auto"/>
          <w:szCs w:val="21"/>
          <w:highlight w:val="none"/>
          <w:lang w:val="zh-CN"/>
        </w:rPr>
        <w:t>。</w:t>
      </w:r>
      <w:r>
        <w:rPr>
          <w:rFonts w:hint="eastAsia" w:ascii="宋体" w:hAnsi="宋体" w:eastAsia="宋体" w:cs="Times New Roman"/>
          <w:bCs/>
          <w:color w:val="auto"/>
          <w:szCs w:val="21"/>
          <w:highlight w:val="none"/>
          <w:lang w:val="zh-CN"/>
        </w:rPr>
        <w:t>异议</w:t>
      </w:r>
      <w:r>
        <w:rPr>
          <w:rFonts w:hint="eastAsia" w:ascii="宋体" w:hAnsi="宋体" w:eastAsia="宋体" w:cs="Times New Roman"/>
          <w:color w:val="auto"/>
          <w:szCs w:val="21"/>
          <w:highlight w:val="none"/>
          <w:lang w:val="zh-CN"/>
        </w:rPr>
        <w:t>书面材料必须</w:t>
      </w:r>
      <w:r>
        <w:rPr>
          <w:rFonts w:ascii="宋体" w:hAnsi="宋体" w:eastAsia="宋体" w:cs="Times New Roman"/>
          <w:color w:val="auto"/>
          <w:szCs w:val="21"/>
          <w:highlight w:val="none"/>
          <w:lang w:val="zh-CN"/>
        </w:rPr>
        <w:t>加盖投标人</w:t>
      </w:r>
      <w:r>
        <w:rPr>
          <w:rFonts w:hint="eastAsia" w:ascii="宋体" w:hAnsi="宋体" w:eastAsia="宋体" w:cs="Times New Roman"/>
          <w:color w:val="auto"/>
          <w:szCs w:val="21"/>
          <w:highlight w:val="none"/>
          <w:lang w:val="zh-CN"/>
        </w:rPr>
        <w:t>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，并注明联系人、联系电话、联系地址。</w:t>
      </w:r>
      <w:r>
        <w:rPr>
          <w:rFonts w:hint="eastAsia" w:ascii="宋体" w:hAnsi="宋体" w:eastAsia="宋体" w:cs="Times New Roman"/>
          <w:bCs/>
          <w:color w:val="auto"/>
          <w:szCs w:val="21"/>
          <w:highlight w:val="none"/>
          <w:lang w:val="zh-CN"/>
        </w:rPr>
        <w:t>超出</w:t>
      </w:r>
      <w:r>
        <w:rPr>
          <w:rFonts w:hint="eastAsia" w:ascii="宋体" w:hAnsi="宋体" w:eastAsia="宋体" w:cs="Times New Roman"/>
          <w:color w:val="auto"/>
          <w:szCs w:val="21"/>
          <w:highlight w:val="none"/>
          <w:lang w:val="zh-CN"/>
        </w:rPr>
        <w:t>提交接收异议截止时间而</w:t>
      </w:r>
      <w:r>
        <w:rPr>
          <w:rFonts w:hint="eastAsia" w:ascii="宋体" w:hAnsi="宋体" w:eastAsia="宋体" w:cs="Times New Roman"/>
          <w:bCs/>
          <w:color w:val="auto"/>
          <w:szCs w:val="21"/>
          <w:highlight w:val="none"/>
          <w:lang w:val="zh-CN"/>
        </w:rPr>
        <w:t>提出的任何疑问，招标代理机构可不予答复。</w:t>
      </w:r>
      <w:r>
        <w:rPr>
          <w:rFonts w:hint="eastAsia" w:ascii="宋体" w:hAnsi="宋体" w:eastAsia="宋体" w:cs="Times New Roman"/>
          <w:b/>
          <w:bCs/>
          <w:color w:val="auto"/>
          <w:szCs w:val="21"/>
          <w:highlight w:val="none"/>
          <w:u w:val="single"/>
          <w:lang w:val="zh-CN"/>
        </w:rPr>
        <w:t>投标人必须在投标文件中提供投标承诺书（格式详见第六篇投标文件格式）</w:t>
      </w:r>
      <w:r>
        <w:rPr>
          <w:rFonts w:hint="eastAsia" w:ascii="宋体" w:hAnsi="宋体" w:eastAsia="宋体" w:cs="宋体"/>
          <w:b/>
          <w:bCs/>
          <w:color w:val="auto"/>
          <w:szCs w:val="21"/>
          <w:highlight w:val="none"/>
          <w:lang w:val="zh-CN"/>
        </w:rPr>
        <w:t>。</w:t>
      </w:r>
    </w:p>
    <w:p w14:paraId="79CC7F68">
      <w:pPr>
        <w:autoSpaceDE w:val="0"/>
        <w:autoSpaceDN w:val="0"/>
        <w:adjustRightInd w:val="0"/>
        <w:spacing w:line="360" w:lineRule="auto"/>
        <w:ind w:left="290" w:leftChars="137" w:hanging="2" w:hangingChars="1"/>
        <w:rPr>
          <w:rFonts w:ascii="宋体" w:hAnsi="宋体" w:eastAsia="宋体" w:cs="宋体"/>
          <w:b/>
          <w:bCs/>
          <w:color w:val="auto"/>
          <w:szCs w:val="21"/>
          <w:highlight w:val="none"/>
          <w:lang w:val="zh-CN"/>
        </w:rPr>
      </w:pPr>
    </w:p>
    <w:p w14:paraId="1B89D09D">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106" w:name="_Toc23483_WPSOffice_Level3"/>
      <w:bookmarkStart w:id="107" w:name="_Toc486167670"/>
      <w:bookmarkStart w:id="108" w:name="_Toc26320"/>
      <w:bookmarkStart w:id="109" w:name="_Toc26934"/>
      <w:bookmarkStart w:id="110" w:name="_Toc142508320"/>
      <w:bookmarkStart w:id="111" w:name="_Toc450662856"/>
      <w:bookmarkStart w:id="112" w:name="_Toc3667"/>
      <w:r>
        <w:rPr>
          <w:rFonts w:hint="eastAsia" w:ascii="宋体" w:hAnsi="宋体" w:eastAsia="宋体" w:cs="宋体"/>
          <w:color w:val="auto"/>
          <w:szCs w:val="21"/>
          <w:highlight w:val="none"/>
          <w:lang w:val="zh-CN"/>
        </w:rPr>
        <w:t>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招标文件的澄清及修改</w:t>
      </w:r>
      <w:bookmarkEnd w:id="106"/>
      <w:bookmarkEnd w:id="107"/>
      <w:bookmarkEnd w:id="108"/>
      <w:bookmarkEnd w:id="109"/>
      <w:bookmarkEnd w:id="110"/>
      <w:bookmarkEnd w:id="111"/>
      <w:bookmarkEnd w:id="112"/>
    </w:p>
    <w:p w14:paraId="5B981FED">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7.1  招标代理机构对已发出的招标文件进行必要澄清或者修改的，将在招标文件要求提交投标文件截止时间1</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日前，在招标信息发布媒介上发布更正公告，请各投标人密切留意。该澄清或者修改的内容为招标文件的组成部分。</w:t>
      </w:r>
    </w:p>
    <w:p w14:paraId="0DD50868">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项目特定情况下，招标代理机构必须延长投标截止时间和开标时间时，将在招标文件要求提交投标文件的截止时间前，在招标信息发布媒介上发布变更公告。</w:t>
      </w:r>
    </w:p>
    <w:p w14:paraId="12033C55">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7.3  招标文件的修改、补充通知在</w:t>
      </w:r>
      <w:r>
        <w:rPr>
          <w:rFonts w:ascii="宋体" w:hAnsi="宋体" w:eastAsia="宋体" w:cs="Times New Roman"/>
          <w:color w:val="auto"/>
          <w:szCs w:val="21"/>
          <w:highlight w:val="none"/>
          <w:lang w:val="zh-CN"/>
        </w:rPr>
        <w:t>中国招标投标公共服务平台</w:t>
      </w:r>
      <w:r>
        <w:rPr>
          <w:rFonts w:ascii="宋体" w:hAnsi="宋体" w:eastAsia="宋体" w:cs="Times New Roman"/>
          <w:color w:val="auto"/>
          <w:szCs w:val="21"/>
          <w:highlight w:val="none"/>
        </w:rPr>
        <w:t>（www.cebpubservice.com）</w:t>
      </w:r>
      <w:r>
        <w:rPr>
          <w:rFonts w:ascii="宋体" w:hAnsi="宋体" w:eastAsia="宋体" w:cs="Times New Roman"/>
          <w:color w:val="auto"/>
          <w:szCs w:val="21"/>
          <w:highlight w:val="none"/>
          <w:lang w:val="zh-CN"/>
        </w:rPr>
        <w:t>、东莞市水务集团有限公司网</w:t>
      </w:r>
      <w:r>
        <w:rPr>
          <w:rFonts w:ascii="宋体" w:hAnsi="宋体" w:eastAsia="宋体" w:cs="Times New Roman"/>
          <w:color w:val="auto"/>
          <w:szCs w:val="21"/>
          <w:highlight w:val="none"/>
        </w:rPr>
        <w:t>（</w:t>
      </w:r>
      <w:r>
        <w:rPr>
          <w:rFonts w:ascii="宋体" w:hAnsi="宋体" w:eastAsia="宋体" w:cs="Times New Roman"/>
          <w:color w:val="auto"/>
          <w:sz w:val="21"/>
          <w:szCs w:val="21"/>
          <w:highlight w:val="none"/>
        </w:rPr>
        <w:t>www.dgswjt.cn）</w:t>
      </w:r>
      <w:r>
        <w:rPr>
          <w:rFonts w:ascii="宋体" w:hAnsi="宋体" w:eastAsia="宋体" w:cs="Times New Roman"/>
          <w:color w:val="auto"/>
          <w:sz w:val="21"/>
          <w:szCs w:val="21"/>
          <w:highlight w:val="none"/>
          <w:lang w:val="zh-CN"/>
        </w:rPr>
        <w:t>、</w:t>
      </w:r>
      <w:r>
        <w:rPr>
          <w:rFonts w:hint="eastAsia" w:ascii="宋体" w:hAnsi="宋体" w:eastAsia="宋体" w:cs="Times New Roman"/>
          <w:bCs/>
          <w:color w:val="auto"/>
          <w:kern w:val="0"/>
          <w:sz w:val="21"/>
          <w:szCs w:val="21"/>
          <w:highlight w:val="none"/>
        </w:rPr>
        <w:t>招标代理</w:t>
      </w:r>
      <w:r>
        <w:rPr>
          <w:rFonts w:hint="eastAsia" w:ascii="宋体" w:hAnsi="宋体" w:eastAsia="宋体" w:cs="Times New Roman"/>
          <w:bCs/>
          <w:color w:val="auto"/>
          <w:kern w:val="0"/>
          <w:sz w:val="21"/>
          <w:szCs w:val="21"/>
          <w:highlight w:val="none"/>
          <w:lang w:val="en-US" w:eastAsia="zh-CN"/>
        </w:rPr>
        <w:t>机构</w:t>
      </w:r>
      <w:r>
        <w:rPr>
          <w:rFonts w:hint="eastAsia" w:ascii="宋体" w:hAnsi="宋体" w:eastAsia="宋体" w:cs="Times New Roman"/>
          <w:bCs/>
          <w:color w:val="auto"/>
          <w:kern w:val="0"/>
          <w:sz w:val="21"/>
          <w:szCs w:val="21"/>
          <w:highlight w:val="none"/>
        </w:rPr>
        <w:t>网站（</w:t>
      </w:r>
      <w:r>
        <w:rPr>
          <w:rFonts w:hint="eastAsia" w:ascii="宋体" w:hAnsi="宋体" w:eastAsia="宋体" w:cs="宋体"/>
          <w:color w:val="auto"/>
          <w:szCs w:val="21"/>
          <w:highlight w:val="none"/>
          <w:lang w:val="zh-CN"/>
        </w:rPr>
        <w:t>www.youde.net</w:t>
      </w:r>
      <w:r>
        <w:rPr>
          <w:rFonts w:ascii="宋体" w:hAnsi="宋体" w:eastAsia="宋体" w:cs="Times New Roman"/>
          <w:bCs/>
          <w:color w:val="auto"/>
          <w:kern w:val="0"/>
          <w:sz w:val="21"/>
          <w:szCs w:val="21"/>
          <w:highlight w:val="none"/>
        </w:rPr>
        <w:t>）</w:t>
      </w:r>
      <w:r>
        <w:rPr>
          <w:rFonts w:hint="eastAsia" w:ascii="宋体" w:hAnsi="宋体" w:eastAsia="宋体" w:cs="宋体"/>
          <w:color w:val="auto"/>
          <w:szCs w:val="21"/>
          <w:highlight w:val="none"/>
          <w:lang w:val="zh-CN"/>
        </w:rPr>
        <w:t>公布，请各投标人密切留意。</w:t>
      </w:r>
    </w:p>
    <w:p w14:paraId="7FFE4F41">
      <w:pPr>
        <w:autoSpaceDE w:val="0"/>
        <w:autoSpaceDN w:val="0"/>
        <w:adjustRightInd w:val="0"/>
        <w:spacing w:line="360" w:lineRule="auto"/>
        <w:ind w:left="357" w:leftChars="-100" w:hanging="567"/>
        <w:rPr>
          <w:rFonts w:ascii="宋体" w:hAnsi="宋体" w:eastAsia="宋体" w:cs="宋体"/>
          <w:color w:val="auto"/>
          <w:szCs w:val="21"/>
          <w:highlight w:val="none"/>
        </w:rPr>
      </w:pPr>
    </w:p>
    <w:p w14:paraId="0AD61592">
      <w:pPr>
        <w:keepNext/>
        <w:keepLines/>
        <w:tabs>
          <w:tab w:val="left" w:pos="509"/>
        </w:tabs>
        <w:autoSpaceDE w:val="0"/>
        <w:autoSpaceDN w:val="0"/>
        <w:adjustRightInd w:val="0"/>
        <w:spacing w:line="360" w:lineRule="auto"/>
        <w:jc w:val="left"/>
        <w:outlineLvl w:val="1"/>
        <w:rPr>
          <w:rFonts w:ascii="宋体" w:hAnsi="宋体" w:eastAsia="宋体" w:cs="宋体"/>
          <w:b/>
          <w:bCs/>
          <w:color w:val="auto"/>
          <w:kern w:val="44"/>
          <w:szCs w:val="21"/>
          <w:highlight w:val="none"/>
          <w:lang w:val="zh-CN"/>
        </w:rPr>
      </w:pPr>
      <w:bookmarkStart w:id="113" w:name="_Toc21760"/>
      <w:bookmarkStart w:id="114" w:name="_Toc17318"/>
      <w:bookmarkStart w:id="115" w:name="_Toc450662857"/>
      <w:bookmarkStart w:id="116" w:name="_Toc6039"/>
      <w:bookmarkStart w:id="117" w:name="_Toc486167671"/>
      <w:bookmarkStart w:id="118" w:name="_Toc140596880"/>
      <w:bookmarkStart w:id="119" w:name="_Toc29659_WPSOffice_Level2"/>
      <w:bookmarkStart w:id="120" w:name="_Toc142508321"/>
      <w:r>
        <w:rPr>
          <w:rFonts w:hint="eastAsia" w:ascii="宋体" w:hAnsi="宋体" w:eastAsia="宋体" w:cs="宋体"/>
          <w:b/>
          <w:bCs/>
          <w:color w:val="auto"/>
          <w:kern w:val="44"/>
          <w:szCs w:val="21"/>
          <w:highlight w:val="none"/>
          <w:lang w:val="zh-CN"/>
        </w:rPr>
        <w:t>三、投标文件的编制</w:t>
      </w:r>
      <w:bookmarkEnd w:id="113"/>
      <w:bookmarkEnd w:id="114"/>
      <w:bookmarkEnd w:id="115"/>
      <w:bookmarkEnd w:id="116"/>
      <w:bookmarkEnd w:id="117"/>
      <w:bookmarkEnd w:id="118"/>
      <w:bookmarkEnd w:id="119"/>
      <w:bookmarkEnd w:id="120"/>
    </w:p>
    <w:p w14:paraId="5C768B43">
      <w:pPr>
        <w:tabs>
          <w:tab w:val="left" w:pos="675"/>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121" w:name="_Toc8665"/>
      <w:bookmarkStart w:id="122" w:name="_Toc25773"/>
      <w:bookmarkStart w:id="123" w:name="_Toc10015_WPSOffice_Level3"/>
      <w:bookmarkStart w:id="124" w:name="_Toc450662858"/>
      <w:bookmarkStart w:id="125" w:name="_Toc486167672"/>
      <w:bookmarkStart w:id="126" w:name="_Toc142508322"/>
      <w:bookmarkStart w:id="127" w:name="_Toc6738"/>
      <w:r>
        <w:rPr>
          <w:rFonts w:hint="eastAsia" w:ascii="宋体" w:hAnsi="宋体" w:eastAsia="宋体" w:cs="宋体"/>
          <w:color w:val="auto"/>
          <w:szCs w:val="21"/>
          <w:highlight w:val="none"/>
          <w:lang w:val="zh-CN"/>
        </w:rPr>
        <w:t>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投标使用的文字及度量衡单位</w:t>
      </w:r>
      <w:bookmarkEnd w:id="121"/>
      <w:bookmarkEnd w:id="122"/>
      <w:bookmarkEnd w:id="123"/>
      <w:bookmarkEnd w:id="124"/>
      <w:bookmarkEnd w:id="125"/>
      <w:bookmarkEnd w:id="126"/>
      <w:bookmarkEnd w:id="127"/>
    </w:p>
    <w:p w14:paraId="702DBBF9">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8.1  投标人的投标文件以及投标人与招标代理机构就有关投标的所有往来函电均应使用简体中文。</w:t>
      </w:r>
    </w:p>
    <w:p w14:paraId="542A015B">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8.2  投标文件使用的度量衡单位采用中华人民共和国法定计量单位。</w:t>
      </w:r>
    </w:p>
    <w:p w14:paraId="46EC204F">
      <w:pPr>
        <w:autoSpaceDE w:val="0"/>
        <w:autoSpaceDN w:val="0"/>
        <w:adjustRightInd w:val="0"/>
        <w:spacing w:line="360" w:lineRule="auto"/>
        <w:rPr>
          <w:rFonts w:ascii="宋体" w:hAnsi="宋体" w:eastAsia="宋体" w:cs="宋体"/>
          <w:color w:val="auto"/>
          <w:szCs w:val="21"/>
          <w:highlight w:val="none"/>
          <w:lang w:val="zh-CN"/>
        </w:rPr>
      </w:pPr>
    </w:p>
    <w:p w14:paraId="590B7ED5">
      <w:pPr>
        <w:tabs>
          <w:tab w:val="left" w:pos="540"/>
        </w:tabs>
        <w:autoSpaceDE w:val="0"/>
        <w:autoSpaceDN w:val="0"/>
        <w:adjustRightInd w:val="0"/>
        <w:spacing w:line="360" w:lineRule="auto"/>
        <w:ind w:left="357" w:leftChars="-100" w:hanging="567"/>
        <w:jc w:val="left"/>
        <w:outlineLvl w:val="0"/>
        <w:rPr>
          <w:rFonts w:ascii="宋体" w:hAnsi="宋体" w:eastAsia="宋体" w:cs="宋体"/>
          <w:color w:val="auto"/>
          <w:sz w:val="24"/>
          <w:szCs w:val="24"/>
          <w:highlight w:val="none"/>
          <w:lang w:val="zh-CN"/>
        </w:rPr>
      </w:pPr>
      <w:bookmarkStart w:id="128" w:name="_Toc486167673"/>
      <w:bookmarkStart w:id="129" w:name="_Toc1879"/>
      <w:bookmarkStart w:id="130" w:name="_Toc142508323"/>
      <w:bookmarkStart w:id="131" w:name="_Toc450662859"/>
      <w:bookmarkStart w:id="132" w:name="_Toc10685"/>
      <w:bookmarkStart w:id="133" w:name="_Toc24916_WPSOffice_Level3"/>
      <w:bookmarkStart w:id="134" w:name="_Toc4201"/>
      <w:r>
        <w:rPr>
          <w:rFonts w:hint="eastAsia" w:ascii="宋体" w:hAnsi="宋体" w:eastAsia="宋体" w:cs="宋体"/>
          <w:color w:val="auto"/>
          <w:szCs w:val="21"/>
          <w:highlight w:val="none"/>
          <w:lang w:val="zh-CN"/>
        </w:rPr>
        <w:t>9</w:t>
      </w:r>
      <w:r>
        <w:rPr>
          <w:rFonts w:ascii="宋体" w:hAnsi="宋体" w:eastAsia="宋体" w:cs="宋体"/>
          <w:color w:val="auto"/>
          <w:sz w:val="24"/>
          <w:szCs w:val="24"/>
          <w:highlight w:val="none"/>
          <w:lang w:val="zh-CN"/>
        </w:rPr>
        <w:t xml:space="preserve"> </w:t>
      </w:r>
      <w:r>
        <w:rPr>
          <w:rFonts w:hint="eastAsia" w:ascii="宋体" w:hAnsi="宋体" w:eastAsia="宋体" w:cs="宋体"/>
          <w:color w:val="auto"/>
          <w:szCs w:val="21"/>
          <w:highlight w:val="none"/>
          <w:lang w:val="zh-CN"/>
        </w:rPr>
        <w:t>投标文件的组成</w:t>
      </w:r>
      <w:bookmarkEnd w:id="128"/>
      <w:bookmarkEnd w:id="129"/>
      <w:bookmarkEnd w:id="130"/>
      <w:bookmarkEnd w:id="131"/>
      <w:bookmarkEnd w:id="132"/>
      <w:bookmarkEnd w:id="133"/>
      <w:bookmarkEnd w:id="134"/>
    </w:p>
    <w:p w14:paraId="769CAD65">
      <w:pPr>
        <w:autoSpaceDE w:val="0"/>
        <w:autoSpaceDN w:val="0"/>
        <w:adjustRightInd w:val="0"/>
        <w:spacing w:line="360" w:lineRule="auto"/>
        <w:ind w:left="422" w:leftChars="-100" w:hanging="632" w:hangingChars="300"/>
        <w:rPr>
          <w:rFonts w:hint="eastAsia" w:ascii="宋体" w:hAnsi="宋体" w:eastAsia="宋体" w:cs="Times New Roman"/>
          <w:b/>
          <w:color w:val="auto"/>
          <w:kern w:val="0"/>
          <w:szCs w:val="21"/>
          <w:highlight w:val="none"/>
        </w:rPr>
      </w:pPr>
      <w:r>
        <w:rPr>
          <w:rFonts w:hint="eastAsia" w:ascii="宋体" w:hAnsi="宋体" w:eastAsia="宋体" w:cs="宋体"/>
          <w:b/>
          <w:color w:val="auto"/>
          <w:kern w:val="0"/>
          <w:szCs w:val="24"/>
          <w:highlight w:val="none"/>
        </w:rPr>
        <w:t xml:space="preserve">9.1  </w:t>
      </w:r>
      <w:r>
        <w:rPr>
          <w:rFonts w:hint="eastAsia" w:ascii="宋体" w:hAnsi="宋体" w:eastAsia="宋体" w:cs="宋体"/>
          <w:color w:val="auto"/>
          <w:kern w:val="0"/>
          <w:szCs w:val="24"/>
          <w:highlight w:val="none"/>
        </w:rPr>
        <w:t>投标文件的组成：</w:t>
      </w:r>
      <w:r>
        <w:rPr>
          <w:rFonts w:hint="eastAsia" w:ascii="宋体" w:hAnsi="宋体" w:eastAsia="宋体" w:cs="Times New Roman"/>
          <w:b/>
          <w:color w:val="auto"/>
          <w:kern w:val="0"/>
          <w:szCs w:val="21"/>
          <w:highlight w:val="none"/>
          <w:u w:val="single"/>
        </w:rPr>
        <w:t>商务文件、技术文件由投标人根据各自文件的实际情况决定是否分册装订，招标文件不做限制</w:t>
      </w:r>
      <w:r>
        <w:rPr>
          <w:rFonts w:hint="eastAsia" w:ascii="宋体" w:hAnsi="宋体" w:eastAsia="宋体" w:cs="Times New Roman"/>
          <w:b/>
          <w:color w:val="auto"/>
          <w:kern w:val="0"/>
          <w:szCs w:val="21"/>
          <w:highlight w:val="none"/>
        </w:rPr>
        <w:t>。</w:t>
      </w:r>
      <w:bookmarkStart w:id="135" w:name="_Toc12553"/>
    </w:p>
    <w:p w14:paraId="718C49EA">
      <w:pPr>
        <w:autoSpaceDE w:val="0"/>
        <w:autoSpaceDN w:val="0"/>
        <w:adjustRightInd w:val="0"/>
        <w:spacing w:line="360" w:lineRule="auto"/>
        <w:ind w:left="422" w:leftChars="-100" w:hanging="632" w:hangingChars="300"/>
        <w:rPr>
          <w:rFonts w:hint="eastAsia" w:ascii="宋体" w:hAnsi="宋体" w:eastAsia="宋体" w:cs="Times New Roman"/>
          <w:color w:val="auto"/>
          <w:kern w:val="0"/>
          <w:sz w:val="24"/>
          <w:szCs w:val="24"/>
          <w:highlight w:val="none"/>
          <w:lang w:val="zh-CN"/>
        </w:rPr>
      </w:pPr>
      <w:r>
        <w:rPr>
          <w:rFonts w:hint="eastAsia" w:ascii="宋体" w:hAnsi="宋体" w:eastAsia="宋体" w:cs="Times New Roman"/>
          <w:b/>
          <w:bCs/>
          <w:color w:val="auto"/>
          <w:kern w:val="0"/>
          <w:sz w:val="21"/>
          <w:szCs w:val="21"/>
          <w:highlight w:val="none"/>
          <w:lang w:val="zh-CN"/>
        </w:rPr>
        <w:t>9.1.1 商务文件</w:t>
      </w:r>
      <w:r>
        <w:rPr>
          <w:rFonts w:hint="eastAsia" w:ascii="宋体" w:hAnsi="宋体" w:eastAsia="宋体" w:cs="Times New Roman"/>
          <w:color w:val="auto"/>
          <w:kern w:val="0"/>
          <w:sz w:val="24"/>
          <w:szCs w:val="24"/>
          <w:highlight w:val="none"/>
          <w:lang w:val="zh-CN"/>
        </w:rPr>
        <w:t>：</w:t>
      </w:r>
      <w:bookmarkEnd w:id="135"/>
    </w:p>
    <w:p w14:paraId="513F0966">
      <w:pPr>
        <w:autoSpaceDE w:val="0"/>
        <w:autoSpaceDN w:val="0"/>
        <w:adjustRightInd w:val="0"/>
        <w:spacing w:line="360" w:lineRule="auto"/>
        <w:jc w:val="left"/>
        <w:rPr>
          <w:rFonts w:ascii="宋体" w:hAnsi="宋体" w:eastAsia="宋体" w:cs="Times New Roman"/>
          <w:b/>
          <w:color w:val="auto"/>
          <w:kern w:val="0"/>
          <w:szCs w:val="21"/>
          <w:highlight w:val="none"/>
          <w:lang w:val="zh-CN"/>
        </w:rPr>
      </w:pPr>
      <w:r>
        <w:rPr>
          <w:rFonts w:hint="eastAsia" w:ascii="宋体" w:hAnsi="宋体" w:eastAsia="宋体" w:cs="Times New Roman"/>
          <w:color w:val="auto"/>
          <w:kern w:val="0"/>
          <w:sz w:val="24"/>
          <w:szCs w:val="24"/>
          <w:highlight w:val="none"/>
          <w:lang w:val="zh-CN"/>
        </w:rPr>
        <w:t xml:space="preserve">  </w:t>
      </w:r>
      <w:r>
        <w:rPr>
          <w:rFonts w:ascii="宋体" w:hAnsi="宋体" w:eastAsia="宋体" w:cs="Times New Roman"/>
          <w:color w:val="auto"/>
          <w:kern w:val="0"/>
          <w:sz w:val="24"/>
          <w:szCs w:val="24"/>
          <w:highlight w:val="none"/>
          <w:lang w:val="zh-CN"/>
        </w:rPr>
        <w:t xml:space="preserve"> </w:t>
      </w:r>
      <w:r>
        <w:rPr>
          <w:rFonts w:hint="eastAsia" w:ascii="宋体" w:hAnsi="宋体" w:eastAsia="宋体" w:cs="Times New Roman"/>
          <w:b/>
          <w:color w:val="auto"/>
          <w:kern w:val="0"/>
          <w:szCs w:val="21"/>
          <w:highlight w:val="none"/>
          <w:lang w:val="zh-CN"/>
        </w:rPr>
        <w:t>目录：</w:t>
      </w:r>
    </w:p>
    <w:p w14:paraId="70AB2CDA">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（1）投标函；</w:t>
      </w:r>
    </w:p>
    <w:p w14:paraId="584B116F">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（2）投标承诺书；</w:t>
      </w:r>
    </w:p>
    <w:p w14:paraId="1C5DB9CD">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3</w:t>
      </w:r>
      <w:r>
        <w:rPr>
          <w:rFonts w:hint="eastAsia" w:ascii="宋体" w:hAnsi="宋体" w:eastAsia="宋体" w:cs="宋体"/>
          <w:color w:val="auto"/>
          <w:szCs w:val="21"/>
          <w:highlight w:val="none"/>
          <w:lang w:val="zh-CN"/>
        </w:rPr>
        <w:t>）供货及/或提供服务过程承诺函；</w:t>
      </w:r>
    </w:p>
    <w:p w14:paraId="471B123C">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）投标报价表；</w:t>
      </w:r>
    </w:p>
    <w:p w14:paraId="4BDFA7F2">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）投标人资格证明文件：</w:t>
      </w:r>
    </w:p>
    <w:p w14:paraId="3D1B5102">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bookmarkStart w:id="136" w:name="_Toc16238"/>
      <w:r>
        <w:rPr>
          <w:rFonts w:ascii="宋体" w:hAnsi="宋体" w:eastAsia="宋体" w:cs="Times New Roman"/>
          <w:color w:val="auto"/>
          <w:szCs w:val="21"/>
          <w:highlight w:val="none"/>
          <w:lang w:val="zh-CN"/>
        </w:rPr>
        <w:t>1）多证合一营业执照</w:t>
      </w:r>
      <w:r>
        <w:rPr>
          <w:rFonts w:hint="eastAsia" w:ascii="宋体" w:hAnsi="宋体" w:eastAsia="宋体" w:cs="Times New Roman"/>
          <w:color w:val="auto"/>
          <w:kern w:val="0"/>
          <w:szCs w:val="21"/>
          <w:highlight w:val="none"/>
        </w:rPr>
        <w:t>（或事业单位法人证书）</w:t>
      </w:r>
      <w:r>
        <w:rPr>
          <w:rFonts w:ascii="宋体" w:hAnsi="宋体" w:eastAsia="宋体" w:cs="Times New Roman"/>
          <w:color w:val="auto"/>
          <w:szCs w:val="21"/>
          <w:highlight w:val="none"/>
          <w:lang w:val="zh-CN"/>
        </w:rPr>
        <w:t>复印件；</w:t>
      </w:r>
      <w:bookmarkEnd w:id="136"/>
    </w:p>
    <w:p w14:paraId="25213C72">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开户许可证（基本存款账户）复印件</w:t>
      </w:r>
      <w:r>
        <w:rPr>
          <w:rFonts w:hint="eastAsia" w:ascii="宋体" w:hAnsi="宋体" w:eastAsia="宋体" w:cs="Times New Roman"/>
          <w:color w:val="auto"/>
          <w:szCs w:val="21"/>
          <w:highlight w:val="none"/>
          <w:lang w:val="zh-CN"/>
        </w:rPr>
        <w:t>，如投标人企业银行账户开户所在地区已取消企业银行账户许可，投标人应提供基本存款账户开户名称、开户银行、账号、编号等信息及相关备案证明（如有）或其他能证明其为基本存款账户的资料复印件</w:t>
      </w:r>
      <w:r>
        <w:rPr>
          <w:rFonts w:ascii="宋体" w:hAnsi="宋体" w:eastAsia="宋体" w:cs="Times New Roman"/>
          <w:color w:val="auto"/>
          <w:szCs w:val="21"/>
          <w:highlight w:val="none"/>
          <w:lang w:val="zh-CN"/>
        </w:rPr>
        <w:t>；</w:t>
      </w:r>
    </w:p>
    <w:p w14:paraId="66DD0423">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3</w:t>
      </w:r>
      <w:r>
        <w:rPr>
          <w:rFonts w:ascii="宋体" w:hAnsi="宋体" w:eastAsia="宋体" w:cs="Times New Roman"/>
          <w:color w:val="auto"/>
          <w:szCs w:val="21"/>
          <w:highlight w:val="none"/>
          <w:lang w:val="zh-CN"/>
        </w:rPr>
        <w:t>）法定代表人身份证明书和法定代表人授权书原件（法定代表人投标时只提供法定代表人身份证明书，委托</w:t>
      </w:r>
      <w:r>
        <w:rPr>
          <w:rFonts w:ascii="宋体" w:hAnsi="宋体" w:eastAsia="宋体" w:cs="Times New Roman"/>
          <w:color w:val="auto"/>
          <w:szCs w:val="21"/>
          <w:highlight w:val="none"/>
        </w:rPr>
        <w:t>他人</w:t>
      </w:r>
      <w:r>
        <w:rPr>
          <w:rFonts w:ascii="宋体" w:hAnsi="宋体" w:eastAsia="宋体" w:cs="Times New Roman"/>
          <w:color w:val="auto"/>
          <w:szCs w:val="21"/>
          <w:highlight w:val="none"/>
          <w:lang w:val="zh-CN"/>
        </w:rPr>
        <w:t>为投标代表时同时提供法定代表人授权书）；</w:t>
      </w:r>
    </w:p>
    <w:p w14:paraId="005C9E45">
      <w:pPr>
        <w:numPr>
          <w:ilvl w:val="0"/>
          <w:numId w:val="3"/>
        </w:numPr>
        <w:autoSpaceDE w:val="0"/>
        <w:autoSpaceDN w:val="0"/>
        <w:adjustRightInd w:val="0"/>
        <w:spacing w:line="360" w:lineRule="auto"/>
        <w:ind w:left="283" w:leftChars="0" w:hanging="283" w:hangingChars="135"/>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zh-CN"/>
        </w:rPr>
        <w:t>制造商资格声明和独家授权销售及售后服务承诺函（若投标人为制造商，必须提供制造商资格声明；若投标人为经销商，必须提供制造商资格声明和投标产品制造商出具的《独家授权销售及售后服务承诺函》）</w:t>
      </w:r>
      <w:r>
        <w:rPr>
          <w:rFonts w:hint="eastAsia" w:ascii="宋体" w:hAnsi="宋体" w:eastAsia="宋体" w:cs="宋体"/>
          <w:color w:val="auto"/>
          <w:kern w:val="2"/>
          <w:sz w:val="21"/>
          <w:szCs w:val="21"/>
          <w:highlight w:val="none"/>
        </w:rPr>
        <w:t>；</w:t>
      </w:r>
    </w:p>
    <w:p w14:paraId="24E878E5">
      <w:pPr>
        <w:numPr>
          <w:ilvl w:val="0"/>
          <w:numId w:val="3"/>
        </w:numPr>
        <w:autoSpaceDE w:val="0"/>
        <w:autoSpaceDN w:val="0"/>
        <w:adjustRightInd w:val="0"/>
        <w:spacing w:line="360" w:lineRule="auto"/>
        <w:ind w:left="283" w:leftChars="0" w:hanging="283" w:hangingChars="135"/>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所投产品制造商具有环境管理部门核发的合法有效的环评批复复印件（批复内容须体现</w:t>
      </w:r>
      <w:r>
        <w:rPr>
          <w:rFonts w:hint="eastAsia" w:ascii="宋体" w:hAnsi="宋体" w:eastAsia="宋体" w:cs="宋体"/>
          <w:color w:val="auto"/>
          <w:kern w:val="2"/>
          <w:sz w:val="21"/>
          <w:szCs w:val="21"/>
          <w:highlight w:val="none"/>
          <w:lang w:val="en-US" w:eastAsia="zh-CN"/>
        </w:rPr>
        <w:t>含投标产品</w:t>
      </w:r>
      <w:r>
        <w:rPr>
          <w:rFonts w:hint="eastAsia" w:ascii="宋体" w:hAnsi="宋体" w:eastAsia="宋体" w:cs="宋体"/>
          <w:color w:val="auto"/>
          <w:kern w:val="2"/>
          <w:sz w:val="21"/>
          <w:szCs w:val="21"/>
          <w:highlight w:val="none"/>
        </w:rPr>
        <w:t>）；</w:t>
      </w:r>
    </w:p>
    <w:p w14:paraId="4CCDA43E">
      <w:pPr>
        <w:tabs>
          <w:tab w:val="left" w:pos="1276"/>
        </w:tabs>
        <w:spacing w:line="360" w:lineRule="auto"/>
        <w:ind w:left="283" w:hanging="283" w:hangingChars="135"/>
        <w:rPr>
          <w:rFonts w:hint="eastAsia" w:ascii="宋体" w:hAnsi="宋体" w:eastAsia="宋体" w:cs="宋体"/>
          <w:color w:val="auto"/>
          <w:szCs w:val="21"/>
          <w:highlight w:val="none"/>
          <w:lang w:eastAsia="zh-CN"/>
        </w:rPr>
      </w:pPr>
      <w:r>
        <w:rPr>
          <w:rFonts w:hint="eastAsia" w:ascii="宋体" w:hAnsi="宋体" w:eastAsia="宋体" w:cs="Times New Roman"/>
          <w:color w:val="auto"/>
          <w:szCs w:val="21"/>
          <w:highlight w:val="none"/>
          <w:lang w:val="en-US" w:eastAsia="zh-CN"/>
        </w:rPr>
        <w:t>6</w:t>
      </w:r>
      <w:r>
        <w:rPr>
          <w:rFonts w:hint="eastAsia" w:ascii="宋体" w:hAnsi="宋体" w:eastAsia="宋体" w:cs="宋体"/>
          <w:color w:val="auto"/>
          <w:szCs w:val="21"/>
          <w:highlight w:val="none"/>
        </w:rPr>
        <w:t>）</w:t>
      </w:r>
      <w:r>
        <w:rPr>
          <w:rFonts w:hint="eastAsia" w:ascii="宋体" w:hAnsi="宋体" w:eastAsia="宋体"/>
          <w:color w:val="auto"/>
          <w:szCs w:val="21"/>
          <w:highlight w:val="none"/>
        </w:rPr>
        <w:t>资格业绩【</w:t>
      </w:r>
      <w:r>
        <w:rPr>
          <w:rFonts w:hint="eastAsia" w:ascii="宋体" w:hAnsi="宋体" w:eastAsia="宋体" w:cs="宋体"/>
          <w:color w:val="auto"/>
          <w:kern w:val="2"/>
          <w:sz w:val="21"/>
          <w:szCs w:val="21"/>
          <w:highlight w:val="none"/>
          <w:lang w:val="zh-CN" w:eastAsia="zh-CN"/>
        </w:rPr>
        <w:t>投标人提供一份202</w:t>
      </w: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lang w:val="zh-CN" w:eastAsia="zh-CN"/>
        </w:rPr>
        <w:t>年1月1日以来具有投标品牌</w:t>
      </w:r>
      <w:r>
        <w:rPr>
          <w:rFonts w:hint="eastAsia" w:ascii="宋体" w:hAnsi="宋体" w:eastAsia="宋体" w:cs="宋体"/>
          <w:color w:val="auto"/>
          <w:kern w:val="2"/>
          <w:sz w:val="21"/>
          <w:szCs w:val="21"/>
          <w:highlight w:val="none"/>
          <w:lang w:val="en-US" w:eastAsia="zh-CN"/>
        </w:rPr>
        <w:t>液体柠檬酸</w:t>
      </w:r>
      <w:r>
        <w:rPr>
          <w:rFonts w:hint="eastAsia" w:ascii="宋体" w:hAnsi="宋体" w:eastAsia="宋体" w:cs="宋体"/>
          <w:color w:val="auto"/>
          <w:kern w:val="2"/>
          <w:sz w:val="21"/>
          <w:szCs w:val="21"/>
          <w:highlight w:val="none"/>
          <w:lang w:val="zh-CN" w:eastAsia="zh-CN"/>
        </w:rPr>
        <w:t>供货业绩（</w:t>
      </w:r>
      <w:r>
        <w:rPr>
          <w:rFonts w:hint="eastAsia" w:ascii="宋体" w:hAnsi="宋体" w:eastAsia="宋体" w:cs="宋体"/>
          <w:color w:val="auto"/>
          <w:szCs w:val="21"/>
          <w:highlight w:val="none"/>
          <w:lang w:val="zh-CN"/>
        </w:rPr>
        <w:t>合同签订日期</w:t>
      </w:r>
      <w:r>
        <w:rPr>
          <w:rFonts w:hint="eastAsia" w:ascii="宋体" w:hAnsi="宋体" w:eastAsia="宋体" w:cs="宋体"/>
          <w:color w:val="auto"/>
          <w:kern w:val="2"/>
          <w:sz w:val="21"/>
          <w:szCs w:val="21"/>
          <w:highlight w:val="none"/>
          <w:lang w:val="zh-CN" w:eastAsia="zh-CN"/>
        </w:rPr>
        <w:t>为202</w:t>
      </w: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lang w:val="zh-CN" w:eastAsia="zh-CN"/>
        </w:rPr>
        <w:t>年1月1日或以后），</w:t>
      </w:r>
      <w:r>
        <w:rPr>
          <w:rFonts w:hint="eastAsia" w:ascii="宋体" w:hAnsi="宋体" w:eastAsia="宋体" w:cs="宋体"/>
          <w:color w:val="auto"/>
          <w:kern w:val="2"/>
          <w:sz w:val="21"/>
          <w:szCs w:val="21"/>
          <w:highlight w:val="none"/>
          <w:lang w:val="en-US" w:eastAsia="zh-CN"/>
        </w:rPr>
        <w:t>资格业绩证明材料提交要求详见招标文件第六篇投标文件格式6.6</w:t>
      </w:r>
      <w:r>
        <w:rPr>
          <w:rFonts w:hint="eastAsia" w:ascii="宋体" w:hAnsi="宋体" w:eastAsia="宋体"/>
          <w:color w:val="auto"/>
          <w:szCs w:val="21"/>
          <w:highlight w:val="none"/>
        </w:rPr>
        <w:t>】</w:t>
      </w:r>
      <w:r>
        <w:rPr>
          <w:rFonts w:hint="eastAsia" w:ascii="宋体" w:hAnsi="宋体" w:eastAsia="宋体"/>
          <w:color w:val="auto"/>
          <w:szCs w:val="21"/>
          <w:highlight w:val="none"/>
          <w:lang w:eastAsia="zh-CN"/>
        </w:rPr>
        <w:t>；</w:t>
      </w:r>
    </w:p>
    <w:p w14:paraId="008B321E">
      <w:pPr>
        <w:autoSpaceDE w:val="0"/>
        <w:autoSpaceDN w:val="0"/>
        <w:adjustRightInd w:val="0"/>
        <w:spacing w:line="360" w:lineRule="auto"/>
        <w:ind w:left="283" w:hanging="283" w:hangingChars="135"/>
        <w:rPr>
          <w:rFonts w:hint="eastAsia" w:ascii="宋体" w:hAnsi="宋体" w:eastAsia="宋体" w:cs="宋体"/>
          <w:color w:val="auto"/>
          <w:szCs w:val="21"/>
          <w:highlight w:val="none"/>
          <w:lang w:val="zh-CN"/>
        </w:rPr>
      </w:pPr>
      <w:bookmarkStart w:id="137" w:name="_Toc6288"/>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val="zh-CN"/>
        </w:rPr>
        <w:t>最近3年投标人牵涉的其他（失信和违法）</w:t>
      </w:r>
      <w:r>
        <w:rPr>
          <w:rFonts w:hint="eastAsia" w:ascii="宋体" w:hAnsi="宋体" w:eastAsia="宋体" w:cs="宋体"/>
          <w:color w:val="auto"/>
          <w:kern w:val="0"/>
          <w:szCs w:val="21"/>
          <w:highlight w:val="none"/>
        </w:rPr>
        <w:t>处罚说明</w:t>
      </w:r>
      <w:r>
        <w:rPr>
          <w:rFonts w:hint="eastAsia" w:ascii="宋体" w:hAnsi="宋体" w:eastAsia="宋体" w:cs="宋体"/>
          <w:color w:val="auto"/>
          <w:szCs w:val="21"/>
          <w:highlight w:val="none"/>
          <w:lang w:val="zh-CN"/>
        </w:rPr>
        <w:t>；</w:t>
      </w:r>
      <w:bookmarkEnd w:id="137"/>
    </w:p>
    <w:p w14:paraId="21F51E65">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）投标人基本情况一览表；</w:t>
      </w:r>
    </w:p>
    <w:p w14:paraId="63063FA6">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val="zh-CN"/>
        </w:rPr>
        <w:t>）投标人财务状况表；</w:t>
      </w:r>
    </w:p>
    <w:p w14:paraId="653DE6CF">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）合同条款响应程度（合同条款偏离表）；</w:t>
      </w:r>
    </w:p>
    <w:p w14:paraId="5BC16DC3">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lang w:val="zh-CN"/>
        </w:rPr>
        <w:t>）业绩表；</w:t>
      </w:r>
    </w:p>
    <w:p w14:paraId="049C2558">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lang w:val="zh-CN"/>
        </w:rPr>
        <w:t>）车辆运输；</w:t>
      </w:r>
    </w:p>
    <w:p w14:paraId="7FD30DA1">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lang w:val="zh-CN"/>
        </w:rPr>
        <w:t>）投标保证金汇入情况说明；</w:t>
      </w:r>
    </w:p>
    <w:p w14:paraId="3ECBC747">
      <w:pPr>
        <w:tabs>
          <w:tab w:val="left" w:pos="567"/>
        </w:tabs>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lang w:val="zh-CN"/>
        </w:rPr>
        <w:t>）投标人资格证明文件以外的其他资质证书、知识产权证书及获得的相关获奖、认证证书、社会评价资料证明文件复印件等投标人认为有需要证明其具备为本次招标项目提供货物</w:t>
      </w:r>
      <w:r>
        <w:rPr>
          <w:rFonts w:hint="eastAsia" w:ascii="宋体" w:hAnsi="宋体" w:eastAsia="宋体" w:cs="宋体"/>
          <w:color w:val="auto"/>
          <w:szCs w:val="21"/>
          <w:highlight w:val="none"/>
          <w:lang w:val="en-US" w:eastAsia="zh-CN"/>
        </w:rPr>
        <w:t>及有关</w:t>
      </w:r>
      <w:r>
        <w:rPr>
          <w:rFonts w:hint="eastAsia" w:ascii="宋体" w:hAnsi="宋体" w:eastAsia="宋体" w:cs="宋体"/>
          <w:color w:val="auto"/>
          <w:szCs w:val="21"/>
          <w:highlight w:val="none"/>
          <w:lang w:val="zh-CN"/>
        </w:rPr>
        <w:t>服务能力的有关其它商务文件（不做强制要求）。</w:t>
      </w:r>
    </w:p>
    <w:p w14:paraId="3B80469A">
      <w:pPr>
        <w:autoSpaceDE w:val="0"/>
        <w:autoSpaceDN w:val="0"/>
        <w:adjustRightInd w:val="0"/>
        <w:spacing w:line="360" w:lineRule="auto"/>
        <w:ind w:left="422" w:leftChars="-100" w:hanging="632" w:hangingChars="300"/>
        <w:rPr>
          <w:rFonts w:hint="eastAsia" w:ascii="宋体" w:hAnsi="宋体" w:eastAsia="宋体" w:cs="Times New Roman"/>
          <w:b/>
          <w:bCs/>
          <w:color w:val="auto"/>
          <w:kern w:val="0"/>
          <w:sz w:val="21"/>
          <w:szCs w:val="21"/>
          <w:highlight w:val="none"/>
          <w:lang w:val="zh-CN"/>
        </w:rPr>
      </w:pPr>
      <w:bookmarkStart w:id="138" w:name="_Toc27817"/>
      <w:r>
        <w:rPr>
          <w:rFonts w:hint="eastAsia" w:ascii="宋体" w:hAnsi="宋体" w:eastAsia="宋体" w:cs="Times New Roman"/>
          <w:b/>
          <w:bCs/>
          <w:color w:val="auto"/>
          <w:kern w:val="0"/>
          <w:sz w:val="21"/>
          <w:szCs w:val="21"/>
          <w:highlight w:val="none"/>
          <w:lang w:val="zh-CN"/>
        </w:rPr>
        <w:t>9.1.2 技术文件：</w:t>
      </w:r>
      <w:bookmarkEnd w:id="138"/>
    </w:p>
    <w:p w14:paraId="628B174E">
      <w:pPr>
        <w:autoSpaceDE w:val="0"/>
        <w:autoSpaceDN w:val="0"/>
        <w:adjustRightInd w:val="0"/>
        <w:spacing w:line="360" w:lineRule="auto"/>
        <w:ind w:right="-23" w:rightChars="-11"/>
        <w:jc w:val="left"/>
        <w:rPr>
          <w:rFonts w:ascii="宋体" w:hAnsi="宋体" w:eastAsia="宋体" w:cs="Times New Roman"/>
          <w:b/>
          <w:bCs/>
          <w:color w:val="auto"/>
          <w:kern w:val="0"/>
          <w:szCs w:val="21"/>
          <w:highlight w:val="none"/>
          <w:lang w:val="zh-CN"/>
        </w:rPr>
      </w:pPr>
      <w:r>
        <w:rPr>
          <w:rFonts w:hint="eastAsia" w:ascii="宋体" w:hAnsi="宋体" w:eastAsia="宋体" w:cs="Times New Roman"/>
          <w:b/>
          <w:bCs/>
          <w:color w:val="auto"/>
          <w:kern w:val="0"/>
          <w:szCs w:val="21"/>
          <w:highlight w:val="none"/>
          <w:lang w:val="zh-CN"/>
        </w:rPr>
        <w:t xml:space="preserve"> </w:t>
      </w:r>
      <w:r>
        <w:rPr>
          <w:rFonts w:ascii="宋体" w:hAnsi="宋体" w:eastAsia="宋体" w:cs="Times New Roman"/>
          <w:b/>
          <w:bCs/>
          <w:color w:val="auto"/>
          <w:kern w:val="0"/>
          <w:szCs w:val="21"/>
          <w:highlight w:val="none"/>
          <w:lang w:val="zh-CN"/>
        </w:rPr>
        <w:t xml:space="preserve">   </w:t>
      </w:r>
      <w:r>
        <w:rPr>
          <w:rFonts w:hint="eastAsia" w:ascii="宋体" w:hAnsi="宋体" w:eastAsia="宋体" w:cs="Times New Roman"/>
          <w:b/>
          <w:bCs/>
          <w:color w:val="auto"/>
          <w:kern w:val="0"/>
          <w:szCs w:val="21"/>
          <w:highlight w:val="none"/>
          <w:lang w:val="zh-CN"/>
        </w:rPr>
        <w:t>目录：</w:t>
      </w:r>
    </w:p>
    <w:p w14:paraId="66F9C63D">
      <w:p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（1）用户需求响应程度（即用户需求偏离表格式）；</w:t>
      </w:r>
    </w:p>
    <w:p w14:paraId="7FA97CB9">
      <w:pPr>
        <w:spacing w:line="360" w:lineRule="auto"/>
        <w:ind w:left="315" w:leftChars="-100" w:hanging="525" w:hangingChars="2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）投标产品技术指标承诺书；</w:t>
      </w:r>
    </w:p>
    <w:p w14:paraId="6236F611">
      <w:pPr>
        <w:spacing w:line="360" w:lineRule="auto"/>
        <w:ind w:left="315" w:leftChars="-100" w:hanging="525" w:hangingChars="2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）第三方检测机构出具的检验报告复印件（须为202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月1日以后出具的投标产品检验报告）；</w:t>
      </w:r>
    </w:p>
    <w:p w14:paraId="7E78AF69">
      <w:pPr>
        <w:spacing w:line="360" w:lineRule="auto"/>
        <w:ind w:left="315" w:leftChars="-100" w:hanging="525" w:hangingChars="2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）生产工艺；</w:t>
      </w:r>
    </w:p>
    <w:p w14:paraId="6AC06F8E">
      <w:pPr>
        <w:spacing w:line="360" w:lineRule="auto"/>
        <w:ind w:left="315" w:leftChars="-100" w:hanging="525" w:hangingChars="2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）生产供货保障能力；</w:t>
      </w:r>
    </w:p>
    <w:p w14:paraId="0BBB9BC6">
      <w:pPr>
        <w:spacing w:line="360" w:lineRule="auto"/>
        <w:ind w:left="105" w:leftChars="-100" w:hanging="315" w:hangingChars="1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）质量保证体系和措施；</w:t>
      </w:r>
    </w:p>
    <w:p w14:paraId="2E786AA4">
      <w:p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）投标人认为有必要提供的其它材料（不做强制要求）。</w:t>
      </w:r>
    </w:p>
    <w:p w14:paraId="3B469652">
      <w:pPr>
        <w:autoSpaceDE w:val="0"/>
        <w:autoSpaceDN w:val="0"/>
        <w:adjustRightInd w:val="0"/>
        <w:spacing w:line="360" w:lineRule="auto"/>
        <w:ind w:left="422" w:leftChars="-100" w:hanging="632" w:hangingChars="300"/>
        <w:rPr>
          <w:rFonts w:ascii="宋体" w:hAnsi="宋体" w:eastAsia="宋体" w:cs="宋体"/>
          <w:color w:val="auto"/>
          <w:kern w:val="0"/>
          <w:szCs w:val="21"/>
          <w:highlight w:val="none"/>
          <w:lang w:val="zh-CN"/>
        </w:rPr>
      </w:pPr>
      <w:bookmarkStart w:id="139" w:name="_Toc19602"/>
      <w:r>
        <w:rPr>
          <w:rFonts w:hint="eastAsia" w:ascii="宋体" w:hAnsi="宋体" w:eastAsia="宋体" w:cs="Times New Roman"/>
          <w:b/>
          <w:bCs/>
          <w:color w:val="auto"/>
          <w:kern w:val="0"/>
          <w:sz w:val="21"/>
          <w:szCs w:val="21"/>
          <w:highlight w:val="none"/>
          <w:lang w:val="zh-CN"/>
        </w:rPr>
        <w:t>9.1.3</w:t>
      </w:r>
      <w:r>
        <w:rPr>
          <w:rFonts w:hint="eastAsia" w:ascii="宋体" w:hAnsi="宋体" w:eastAsia="宋体" w:cs="Times New Roman"/>
          <w:b/>
          <w:bCs/>
          <w:color w:val="auto"/>
          <w:kern w:val="0"/>
          <w:sz w:val="21"/>
          <w:szCs w:val="21"/>
          <w:highlight w:val="none"/>
          <w:lang w:val="en-US" w:eastAsia="zh-CN"/>
        </w:rPr>
        <w:t xml:space="preserve"> </w:t>
      </w:r>
      <w:r>
        <w:rPr>
          <w:rFonts w:hint="eastAsia" w:ascii="宋体" w:hAnsi="宋体" w:eastAsia="宋体" w:cs="Times New Roman"/>
          <w:b/>
          <w:bCs/>
          <w:color w:val="auto"/>
          <w:kern w:val="0"/>
          <w:sz w:val="21"/>
          <w:szCs w:val="21"/>
          <w:highlight w:val="none"/>
          <w:lang w:val="zh-CN"/>
        </w:rPr>
        <w:t>投标</w:t>
      </w:r>
      <w:r>
        <w:rPr>
          <w:rFonts w:hint="eastAsia" w:ascii="宋体" w:hAnsi="宋体" w:eastAsia="宋体" w:cs="宋体"/>
          <w:b/>
          <w:bCs/>
          <w:color w:val="auto"/>
          <w:kern w:val="0"/>
          <w:szCs w:val="21"/>
          <w:highlight w:val="none"/>
          <w:lang w:val="zh-CN"/>
        </w:rPr>
        <w:t>文件电子文件</w:t>
      </w:r>
      <w:r>
        <w:rPr>
          <w:rFonts w:hint="eastAsia" w:ascii="宋体" w:hAnsi="宋体" w:eastAsia="宋体" w:cs="宋体"/>
          <w:color w:val="auto"/>
          <w:kern w:val="0"/>
          <w:szCs w:val="21"/>
          <w:highlight w:val="none"/>
          <w:lang w:val="zh-CN"/>
        </w:rPr>
        <w:t>（详细要求见本篇第17.</w:t>
      </w:r>
      <w:r>
        <w:rPr>
          <w:rFonts w:ascii="宋体" w:hAnsi="宋体" w:eastAsia="宋体" w:cs="宋体"/>
          <w:color w:val="auto"/>
          <w:kern w:val="0"/>
          <w:szCs w:val="21"/>
          <w:highlight w:val="none"/>
          <w:lang w:val="zh-CN"/>
        </w:rPr>
        <w:t>5</w:t>
      </w:r>
      <w:r>
        <w:rPr>
          <w:rFonts w:hint="eastAsia" w:ascii="宋体" w:hAnsi="宋体" w:eastAsia="宋体" w:cs="宋体"/>
          <w:color w:val="auto"/>
          <w:kern w:val="0"/>
          <w:szCs w:val="21"/>
          <w:highlight w:val="none"/>
          <w:lang w:val="zh-CN"/>
        </w:rPr>
        <w:t>款）</w:t>
      </w:r>
      <w:bookmarkEnd w:id="139"/>
    </w:p>
    <w:p w14:paraId="6AF810ED">
      <w:pPr>
        <w:spacing w:line="360" w:lineRule="auto"/>
        <w:ind w:left="105" w:leftChars="-100" w:hanging="315" w:hangingChars="150"/>
        <w:rPr>
          <w:rFonts w:ascii="宋体" w:hAnsi="宋体" w:eastAsia="宋体" w:cs="宋体"/>
          <w:color w:val="auto"/>
          <w:kern w:val="0"/>
          <w:szCs w:val="21"/>
          <w:highlight w:val="none"/>
        </w:rPr>
      </w:pPr>
      <w:bookmarkStart w:id="140" w:name="_Toc26668"/>
      <w:r>
        <w:rPr>
          <w:rFonts w:hint="eastAsia" w:ascii="宋体" w:hAnsi="宋体" w:eastAsia="宋体" w:cs="宋体"/>
          <w:color w:val="auto"/>
          <w:kern w:val="0"/>
          <w:szCs w:val="21"/>
          <w:highlight w:val="none"/>
        </w:rPr>
        <w:t>（1）签字、盖章后的投标文件扫描版PDF格式电子文件。</w:t>
      </w:r>
      <w:bookmarkEnd w:id="140"/>
    </w:p>
    <w:p w14:paraId="13A8CCBA">
      <w:pPr>
        <w:autoSpaceDE w:val="0"/>
        <w:autoSpaceDN w:val="0"/>
        <w:adjustRightInd w:val="0"/>
        <w:spacing w:line="360" w:lineRule="auto"/>
        <w:ind w:left="422" w:leftChars="-100" w:hanging="632" w:hangingChars="300"/>
        <w:rPr>
          <w:rFonts w:ascii="宋体" w:hAnsi="宋体" w:eastAsia="宋体" w:cs="宋体"/>
          <w:b/>
          <w:bCs/>
          <w:color w:val="auto"/>
          <w:szCs w:val="21"/>
          <w:highlight w:val="none"/>
          <w:lang w:val="zh-CN"/>
        </w:rPr>
      </w:pPr>
      <w:bookmarkStart w:id="141" w:name="_Toc13195"/>
      <w:r>
        <w:rPr>
          <w:rFonts w:hint="eastAsia" w:ascii="宋体" w:hAnsi="宋体" w:eastAsia="宋体" w:cs="宋体"/>
          <w:b/>
          <w:bCs/>
          <w:color w:val="auto"/>
          <w:szCs w:val="21"/>
          <w:highlight w:val="none"/>
          <w:lang w:val="zh-CN"/>
        </w:rPr>
        <w:t>9.1.4 唱标信封（单独密封）</w:t>
      </w:r>
      <w:bookmarkEnd w:id="141"/>
    </w:p>
    <w:p w14:paraId="157521F9">
      <w:pPr>
        <w:spacing w:line="360" w:lineRule="auto"/>
        <w:ind w:left="105" w:leftChars="-100" w:hanging="315" w:hangingChars="15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（1）投标报价表；</w:t>
      </w:r>
    </w:p>
    <w:p w14:paraId="45C15BC4">
      <w:pPr>
        <w:spacing w:line="360" w:lineRule="auto"/>
        <w:ind w:left="105" w:leftChars="-100" w:hanging="315" w:hangingChars="15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（2）投标保证金汇入情况说明（一式两份）。</w:t>
      </w:r>
    </w:p>
    <w:p w14:paraId="750E7529">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9.2  投标人按照投标文件的组成目录编制投标文件应包括上述内容，但不限于上述内容。招标文件提供了相关格式的，严格按照招标文件的要求编制，投标文件未含格式的，投标人自行编制。投标文件编制中要求的复印件、照片可为该资料扫描件的打印件。</w:t>
      </w:r>
    </w:p>
    <w:p w14:paraId="6494C4CF">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9.3  </w:t>
      </w:r>
      <w:r>
        <w:rPr>
          <w:rFonts w:hint="eastAsia" w:ascii="宋体" w:hAnsi="宋体" w:eastAsia="宋体" w:cs="宋体"/>
          <w:b/>
          <w:color w:val="auto"/>
          <w:szCs w:val="21"/>
          <w:highlight w:val="none"/>
          <w:u w:val="single"/>
          <w:lang w:val="zh-CN"/>
        </w:rPr>
        <w:t>投标文件中相关证件、证书、合同、</w:t>
      </w:r>
      <w:r>
        <w:rPr>
          <w:rFonts w:hint="eastAsia" w:ascii="宋体" w:hAnsi="宋体" w:eastAsia="宋体" w:cs="Times New Roman"/>
          <w:b/>
          <w:color w:val="auto"/>
          <w:szCs w:val="21"/>
          <w:highlight w:val="none"/>
          <w:u w:val="single"/>
          <w:lang w:val="zh-CN"/>
        </w:rPr>
        <w:t>发票、照片</w:t>
      </w:r>
      <w:r>
        <w:rPr>
          <w:rFonts w:hint="eastAsia" w:ascii="宋体" w:hAnsi="宋体" w:eastAsia="宋体" w:cs="宋体"/>
          <w:b/>
          <w:color w:val="auto"/>
          <w:szCs w:val="21"/>
          <w:highlight w:val="none"/>
          <w:u w:val="single"/>
          <w:lang w:val="zh-CN"/>
        </w:rPr>
        <w:t>等证明材料中的原始印章、签名、关键内容必须清晰、可辨认，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r>
        <w:rPr>
          <w:rFonts w:hint="eastAsia" w:ascii="宋体" w:hAnsi="宋体" w:eastAsia="宋体" w:cs="宋体"/>
          <w:color w:val="auto"/>
          <w:szCs w:val="21"/>
          <w:highlight w:val="none"/>
          <w:lang w:val="zh-CN"/>
        </w:rPr>
        <w:t>。</w:t>
      </w:r>
    </w:p>
    <w:p w14:paraId="2D105DEC">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p>
    <w:p w14:paraId="5CC456D1">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142" w:name="_Toc486167674"/>
      <w:bookmarkStart w:id="143" w:name="_Toc24112"/>
      <w:bookmarkStart w:id="144" w:name="_Toc142508324"/>
      <w:bookmarkStart w:id="145" w:name="_Toc18007"/>
      <w:bookmarkStart w:id="146" w:name="_Toc450662860"/>
      <w:bookmarkStart w:id="147" w:name="_Toc8675_WPSOffice_Level3"/>
      <w:bookmarkStart w:id="148" w:name="_Toc18697"/>
      <w:r>
        <w:rPr>
          <w:rFonts w:hint="eastAsia" w:ascii="宋体" w:hAnsi="宋体" w:eastAsia="宋体" w:cs="宋体"/>
          <w:color w:val="auto"/>
          <w:szCs w:val="21"/>
          <w:highlight w:val="none"/>
          <w:lang w:val="zh-CN"/>
        </w:rPr>
        <w:t>10</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投标函</w:t>
      </w:r>
      <w:bookmarkEnd w:id="142"/>
      <w:bookmarkEnd w:id="143"/>
      <w:bookmarkEnd w:id="144"/>
      <w:bookmarkEnd w:id="145"/>
      <w:bookmarkEnd w:id="146"/>
      <w:bookmarkEnd w:id="147"/>
      <w:bookmarkEnd w:id="148"/>
    </w:p>
    <w:p w14:paraId="7B63312D">
      <w:pPr>
        <w:autoSpaceDE w:val="0"/>
        <w:autoSpaceDN w:val="0"/>
        <w:adjustRightInd w:val="0"/>
        <w:spacing w:line="360" w:lineRule="auto"/>
        <w:ind w:left="265" w:leftChars="119" w:hanging="15"/>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投标人应完整填写投标文件格式中规定的投标函。</w:t>
      </w:r>
    </w:p>
    <w:p w14:paraId="5369AB9C">
      <w:pPr>
        <w:autoSpaceDE w:val="0"/>
        <w:autoSpaceDN w:val="0"/>
        <w:adjustRightInd w:val="0"/>
        <w:spacing w:line="360" w:lineRule="auto"/>
        <w:ind w:left="265" w:leftChars="119" w:hanging="15"/>
        <w:rPr>
          <w:rFonts w:ascii="宋体" w:hAnsi="宋体" w:eastAsia="宋体" w:cs="宋体"/>
          <w:color w:val="auto"/>
          <w:szCs w:val="21"/>
          <w:highlight w:val="none"/>
          <w:lang w:val="zh-CN"/>
        </w:rPr>
      </w:pPr>
    </w:p>
    <w:p w14:paraId="281DBD68">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149" w:name="_Toc233"/>
      <w:bookmarkStart w:id="150" w:name="_Toc142508325"/>
      <w:bookmarkStart w:id="151" w:name="_Toc4385_WPSOffice_Level3"/>
      <w:bookmarkStart w:id="152" w:name="_Toc486167675"/>
      <w:bookmarkStart w:id="153" w:name="_Toc450662861"/>
      <w:bookmarkStart w:id="154" w:name="_Toc18856"/>
      <w:bookmarkStart w:id="155" w:name="_Toc28822"/>
      <w:r>
        <w:rPr>
          <w:rFonts w:hint="eastAsia" w:ascii="宋体" w:hAnsi="宋体" w:eastAsia="宋体" w:cs="宋体"/>
          <w:color w:val="auto"/>
          <w:szCs w:val="21"/>
          <w:highlight w:val="none"/>
          <w:lang w:val="zh-CN"/>
        </w:rPr>
        <w:t>11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投标报价</w:t>
      </w:r>
      <w:bookmarkEnd w:id="149"/>
      <w:bookmarkEnd w:id="150"/>
      <w:bookmarkEnd w:id="151"/>
      <w:bookmarkEnd w:id="152"/>
      <w:bookmarkEnd w:id="153"/>
      <w:bookmarkEnd w:id="154"/>
      <w:bookmarkEnd w:id="155"/>
    </w:p>
    <w:p w14:paraId="77505DC3">
      <w:pPr>
        <w:tabs>
          <w:tab w:val="left" w:pos="567"/>
        </w:tabs>
        <w:autoSpaceDE w:val="0"/>
        <w:autoSpaceDN w:val="0"/>
        <w:adjustRightInd w:val="0"/>
        <w:spacing w:line="360" w:lineRule="auto"/>
        <w:ind w:left="357" w:leftChars="-100" w:hanging="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11.1 本项目</w:t>
      </w:r>
      <w:r>
        <w:rPr>
          <w:rFonts w:hint="eastAsia" w:ascii="宋体" w:hAnsi="宋体" w:eastAsia="宋体" w:cs="Times New Roman"/>
          <w:b/>
          <w:color w:val="auto"/>
          <w:szCs w:val="21"/>
          <w:highlight w:val="none"/>
          <w:lang w:val="zh-CN"/>
        </w:rPr>
        <w:t>只允许有一个报价价格，任何有选择的或</w:t>
      </w:r>
      <w:r>
        <w:rPr>
          <w:rFonts w:hint="eastAsia" w:ascii="宋体" w:hAnsi="宋体" w:eastAsia="宋体" w:cs="Times New Roman"/>
          <w:b/>
          <w:color w:val="auto"/>
          <w:kern w:val="0"/>
          <w:szCs w:val="21"/>
          <w:highlight w:val="none"/>
          <w:lang w:val="zh-CN"/>
        </w:rPr>
        <w:t>不是固定价的</w:t>
      </w:r>
      <w:r>
        <w:rPr>
          <w:rFonts w:hint="eastAsia" w:ascii="宋体" w:hAnsi="宋体" w:eastAsia="宋体" w:cs="Times New Roman"/>
          <w:b/>
          <w:color w:val="auto"/>
          <w:szCs w:val="21"/>
          <w:highlight w:val="none"/>
          <w:lang w:val="zh-CN"/>
        </w:rPr>
        <w:t>投标报价将不予接受，</w:t>
      </w:r>
      <w:r>
        <w:rPr>
          <w:rFonts w:hint="eastAsia" w:ascii="宋体" w:hAnsi="宋体" w:eastAsia="宋体" w:cs="Times New Roman"/>
          <w:b/>
          <w:color w:val="auto"/>
          <w:kern w:val="0"/>
          <w:szCs w:val="21"/>
          <w:highlight w:val="none"/>
          <w:lang w:val="zh-CN"/>
        </w:rPr>
        <w:t>作为非实质性响应投标而予以拒绝。</w:t>
      </w:r>
      <w:r>
        <w:rPr>
          <w:rFonts w:hint="eastAsia" w:ascii="宋体" w:hAnsi="宋体" w:eastAsia="宋体" w:cs="Times New Roman"/>
          <w:b/>
          <w:color w:val="auto"/>
          <w:kern w:val="0"/>
          <w:szCs w:val="21"/>
          <w:highlight w:val="none"/>
        </w:rPr>
        <w:t>投标人不得以低于企业自身成本的价格竞投</w:t>
      </w:r>
      <w:r>
        <w:rPr>
          <w:rFonts w:hint="eastAsia" w:ascii="宋体" w:hAnsi="宋体" w:eastAsia="宋体" w:cs="宋体"/>
          <w:b/>
          <w:color w:val="auto"/>
          <w:szCs w:val="21"/>
          <w:highlight w:val="none"/>
          <w:lang w:val="zh-CN"/>
        </w:rPr>
        <w:t>。</w:t>
      </w:r>
    </w:p>
    <w:p w14:paraId="5E673FD9">
      <w:pPr>
        <w:tabs>
          <w:tab w:val="left" w:pos="567"/>
        </w:tabs>
        <w:autoSpaceDE w:val="0"/>
        <w:autoSpaceDN w:val="0"/>
        <w:adjustRightInd w:val="0"/>
        <w:spacing w:line="360" w:lineRule="auto"/>
        <w:ind w:firstLine="567"/>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若投标人出现超低报价，有可能影响服务质量和不能诚信履约的，评标委员会将要求该投标人作出书面说明并提供相关证明材料，以确定投标人是否以低于企业成本价报价。若投标人不能合理说明或不能提供相关证明材料的，评标委员会将认定其投标报价低于成本，同时否决其投标。</w:t>
      </w:r>
    </w:p>
    <w:p w14:paraId="28110D17">
      <w:pPr>
        <w:tabs>
          <w:tab w:val="left" w:pos="567"/>
        </w:tabs>
        <w:autoSpaceDE w:val="0"/>
        <w:autoSpaceDN w:val="0"/>
        <w:adjustRightInd w:val="0"/>
        <w:spacing w:line="360" w:lineRule="auto"/>
        <w:ind w:firstLine="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对是否低于企业成本价报价的事宜有争议的投标文件，评标委员会成员将以记名方式表决，</w:t>
      </w:r>
      <w:r>
        <w:rPr>
          <w:rFonts w:hint="eastAsia" w:ascii="宋体" w:hAnsi="宋体" w:eastAsia="宋体" w:cs="宋体"/>
          <w:b/>
          <w:color w:val="auto"/>
          <w:szCs w:val="21"/>
          <w:highlight w:val="none"/>
          <w:lang w:val="en-US" w:eastAsia="zh-CN"/>
        </w:rPr>
        <w:t>根据少数服从多数的原则，获多数表决通过</w:t>
      </w:r>
      <w:r>
        <w:rPr>
          <w:rFonts w:hint="eastAsia" w:ascii="宋体" w:hAnsi="宋体" w:eastAsia="宋体" w:cs="宋体"/>
          <w:b/>
          <w:color w:val="auto"/>
          <w:szCs w:val="21"/>
          <w:highlight w:val="none"/>
          <w:lang w:val="zh-CN"/>
        </w:rPr>
        <w:t>的投标人才有资格进入下一阶段的评审，否则将按无效投标处理。</w:t>
      </w:r>
    </w:p>
    <w:p w14:paraId="262DC983">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11.2</w:t>
      </w:r>
      <w:r>
        <w:rPr>
          <w:rFonts w:hint="eastAsia" w:ascii="宋体" w:hAnsi="宋体" w:eastAsia="宋体" w:cs="宋体"/>
          <w:color w:val="auto"/>
          <w:szCs w:val="21"/>
          <w:highlight w:val="none"/>
          <w:lang w:val="zh-CN"/>
        </w:rPr>
        <w:tab/>
      </w:r>
      <w:r>
        <w:rPr>
          <w:rFonts w:hint="eastAsia" w:ascii="宋体" w:hAnsi="宋体" w:eastAsia="宋体" w:cs="宋体"/>
          <w:b/>
          <w:color w:val="auto"/>
          <w:kern w:val="2"/>
          <w:sz w:val="21"/>
          <w:szCs w:val="21"/>
          <w:highlight w:val="none"/>
          <w:lang w:val="zh-CN"/>
        </w:rPr>
        <w:t>投标人的报价为综合单价(元/吨)乘以采购货物暂定数量的总价。合同履约过程中，在供货期内按投标时的综合单价(元/吨)乘以实际供货数量进行结算。</w:t>
      </w:r>
      <w:r>
        <w:rPr>
          <w:rFonts w:hint="eastAsia" w:ascii="宋体" w:hAnsi="宋体" w:eastAsia="宋体" w:cs="Times New Roman"/>
          <w:b/>
          <w:color w:val="auto"/>
          <w:szCs w:val="21"/>
          <w:highlight w:val="none"/>
          <w:u w:val="single"/>
          <w:lang w:val="zh-CN"/>
        </w:rPr>
        <w:t>本项目投标报价为不含税价，即为《中华人民共和国增值税暂行条例》（国务院令第6</w:t>
      </w:r>
      <w:r>
        <w:rPr>
          <w:rFonts w:ascii="宋体" w:hAnsi="宋体" w:eastAsia="宋体" w:cs="Times New Roman"/>
          <w:b/>
          <w:color w:val="auto"/>
          <w:szCs w:val="21"/>
          <w:highlight w:val="none"/>
          <w:u w:val="single"/>
          <w:lang w:val="zh-CN"/>
        </w:rPr>
        <w:t>91</w:t>
      </w:r>
      <w:r>
        <w:rPr>
          <w:rFonts w:hint="eastAsia" w:ascii="宋体" w:hAnsi="宋体" w:eastAsia="宋体" w:cs="Times New Roman"/>
          <w:b/>
          <w:color w:val="auto"/>
          <w:szCs w:val="21"/>
          <w:highlight w:val="none"/>
          <w:u w:val="single"/>
          <w:lang w:val="zh-CN"/>
        </w:rPr>
        <w:t>号修订版）规定的销售额</w:t>
      </w:r>
      <w:r>
        <w:rPr>
          <w:rFonts w:hint="eastAsia" w:ascii="宋体" w:hAnsi="宋体" w:eastAsia="宋体" w:cs="Times New Roman"/>
          <w:color w:val="auto"/>
          <w:szCs w:val="21"/>
          <w:highlight w:val="none"/>
          <w:lang w:val="zh-CN"/>
        </w:rPr>
        <w:t>。本招标文件所称的不含税价和不含税合同价是指不含本采购项目投标人的销项税额，包含了投标人完成合同义务（含投标人代缴代扣、分包及委外服务、安装、采购货物等所产生的价税）的其他全部费用。本采购项目的销项税额由招标人承担，不计入投标报价。</w:t>
      </w:r>
      <w:r>
        <w:rPr>
          <w:rFonts w:hint="eastAsia" w:ascii="宋体" w:hAnsi="宋体" w:eastAsia="宋体" w:cs="宋体"/>
          <w:color w:val="auto"/>
          <w:kern w:val="0"/>
          <w:szCs w:val="21"/>
          <w:highlight w:val="none"/>
        </w:rPr>
        <w:t>本采购项目投标报价已含投标人履行本招标内容全部义务的一切费用，包括但不限于：</w:t>
      </w:r>
    </w:p>
    <w:p w14:paraId="04AC2C73">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（1）招标范围内所有货物的研究、采购、制造、检验、配合试验、包装、储存、运输（退换货运输）、称重、装卸、安全、保险、培训、验收等费用；</w:t>
      </w:r>
    </w:p>
    <w:p w14:paraId="7DA41F26">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（2）应急供货费用、为满足项目调试需求导致的小批量、多频次分散供货的成本以及货物运输、货物验收合格前发生的安全事故所产生的一切费用；</w:t>
      </w:r>
    </w:p>
    <w:p w14:paraId="7C1F1E49">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（3）投标货物及其工艺所有制造方、使用方应支付的对专有技术、商标权、专利权和版权、设计或其他知识产权而需要向其他方支付的版税；</w:t>
      </w:r>
    </w:p>
    <w:p w14:paraId="369EF290">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（4）日常技术指导，免费的质保服务，包括但不限于免费对具有质量问题的货物进行处理或更换，按招标人要求小试及中试，并以招标人确认的最优化的产品成分配比向招标人供货；</w:t>
      </w:r>
    </w:p>
    <w:p w14:paraId="049E649D">
      <w:pPr>
        <w:spacing w:line="360" w:lineRule="auto"/>
        <w:ind w:left="315" w:leftChars="-100" w:hanging="525" w:hangingChars="250"/>
        <w:rPr>
          <w:rFonts w:hint="eastAsia" w:ascii="宋体" w:hAnsi="宋体" w:eastAsia="宋体" w:cs="宋体"/>
          <w:color w:val="auto"/>
          <w:szCs w:val="21"/>
          <w:highlight w:val="none"/>
          <w:lang w:val="zh-CN"/>
        </w:rPr>
      </w:pPr>
      <w:bookmarkStart w:id="156" w:name="_Toc17217"/>
      <w:r>
        <w:rPr>
          <w:rFonts w:hint="eastAsia" w:ascii="宋体" w:hAnsi="宋体" w:eastAsia="宋体" w:cs="宋体"/>
          <w:color w:val="auto"/>
          <w:szCs w:val="21"/>
          <w:highlight w:val="none"/>
          <w:lang w:val="zh-CN"/>
        </w:rPr>
        <w:t>（5）合理利润、投标人销项税额以外的税费等；</w:t>
      </w:r>
      <w:bookmarkEnd w:id="156"/>
    </w:p>
    <w:p w14:paraId="4D0B0B9E">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（6）法律法规、商业公认、招标文件规定由投标人承担的其他直接及间接费用。</w:t>
      </w:r>
    </w:p>
    <w:p w14:paraId="41B83169">
      <w:pPr>
        <w:pStyle w:val="21"/>
        <w:spacing w:line="360" w:lineRule="auto"/>
        <w:ind w:left="124" w:leftChars="59" w:firstLine="424" w:firstLineChars="201"/>
        <w:rPr>
          <w:rFonts w:hint="eastAsia" w:ascii="宋体" w:hAnsi="宋体" w:eastAsia="宋体" w:cs="宋体"/>
          <w:b/>
          <w:color w:val="auto"/>
          <w:kern w:val="2"/>
          <w:sz w:val="21"/>
          <w:szCs w:val="21"/>
          <w:highlight w:val="none"/>
          <w:lang w:val="zh-CN"/>
        </w:rPr>
      </w:pPr>
      <w:r>
        <w:rPr>
          <w:rFonts w:hint="eastAsia" w:ascii="宋体" w:hAnsi="宋体" w:eastAsia="宋体" w:cs="宋体"/>
          <w:b/>
          <w:color w:val="auto"/>
          <w:kern w:val="2"/>
          <w:sz w:val="21"/>
          <w:szCs w:val="21"/>
          <w:highlight w:val="none"/>
          <w:lang w:val="zh-CN"/>
        </w:rPr>
        <w:t>另外</w:t>
      </w:r>
      <w:r>
        <w:rPr>
          <w:rFonts w:hint="eastAsia" w:hAnsi="宋体" w:cs="宋体"/>
          <w:b/>
          <w:color w:val="auto"/>
          <w:kern w:val="2"/>
          <w:sz w:val="21"/>
          <w:szCs w:val="21"/>
          <w:highlight w:val="none"/>
          <w:lang w:val="en-US" w:eastAsia="zh-CN"/>
        </w:rPr>
        <w:t>液体柠檬酸</w:t>
      </w:r>
      <w:r>
        <w:rPr>
          <w:rFonts w:hint="eastAsia" w:ascii="宋体" w:hAnsi="宋体" w:eastAsia="宋体" w:cs="宋体"/>
          <w:b/>
          <w:color w:val="auto"/>
          <w:kern w:val="2"/>
          <w:sz w:val="21"/>
          <w:szCs w:val="21"/>
          <w:highlight w:val="none"/>
          <w:lang w:val="zh-CN"/>
        </w:rPr>
        <w:t>的供货须按照招标人</w:t>
      </w:r>
      <w:r>
        <w:rPr>
          <w:rFonts w:hint="eastAsia" w:ascii="宋体" w:hAnsi="宋体" w:eastAsia="宋体" w:cs="宋体"/>
          <w:b/>
          <w:color w:val="auto"/>
          <w:kern w:val="2"/>
          <w:sz w:val="21"/>
          <w:szCs w:val="21"/>
          <w:highlight w:val="none"/>
        </w:rPr>
        <w:t>运营项目</w:t>
      </w:r>
      <w:r>
        <w:rPr>
          <w:rFonts w:hint="eastAsia" w:ascii="宋体" w:hAnsi="宋体" w:eastAsia="宋体" w:cs="宋体"/>
          <w:b/>
          <w:color w:val="auto"/>
          <w:kern w:val="2"/>
          <w:sz w:val="21"/>
          <w:szCs w:val="21"/>
          <w:highlight w:val="none"/>
          <w:lang w:val="zh-CN"/>
        </w:rPr>
        <w:t>的实际供货需求，将会存在不同项目、不同时间</w:t>
      </w:r>
      <w:r>
        <w:rPr>
          <w:rFonts w:hint="eastAsia" w:hAnsi="宋体" w:cs="宋体"/>
          <w:b/>
          <w:color w:val="auto"/>
          <w:kern w:val="2"/>
          <w:sz w:val="21"/>
          <w:szCs w:val="21"/>
          <w:highlight w:val="none"/>
          <w:lang w:val="en-US" w:eastAsia="zh-CN"/>
        </w:rPr>
        <w:t>分</w:t>
      </w:r>
      <w:r>
        <w:rPr>
          <w:rFonts w:hint="eastAsia" w:ascii="宋体" w:hAnsi="宋体" w:eastAsia="宋体" w:cs="宋体"/>
          <w:b/>
          <w:color w:val="auto"/>
          <w:kern w:val="2"/>
          <w:sz w:val="21"/>
          <w:szCs w:val="21"/>
          <w:highlight w:val="none"/>
          <w:lang w:val="zh-CN"/>
        </w:rPr>
        <w:t>次供货的情况，投标人应充分考虑上述因素可能导致的增加成本，</w:t>
      </w:r>
      <w:r>
        <w:rPr>
          <w:rFonts w:hint="eastAsia" w:ascii="宋体" w:hAnsi="宋体" w:eastAsia="宋体" w:cs="宋体"/>
          <w:b/>
          <w:color w:val="auto"/>
          <w:kern w:val="2"/>
          <w:sz w:val="21"/>
          <w:szCs w:val="21"/>
          <w:highlight w:val="none"/>
          <w:lang w:val="en-US" w:eastAsia="zh-CN"/>
        </w:rPr>
        <w:t>并且</w:t>
      </w:r>
      <w:r>
        <w:rPr>
          <w:rFonts w:hint="eastAsia" w:ascii="宋体" w:hAnsi="宋体" w:eastAsia="宋体" w:cs="宋体"/>
          <w:b/>
          <w:color w:val="auto"/>
          <w:kern w:val="2"/>
          <w:sz w:val="21"/>
          <w:szCs w:val="21"/>
          <w:highlight w:val="none"/>
          <w:lang w:val="zh-CN"/>
        </w:rPr>
        <w:t>该成本已包含在</w:t>
      </w:r>
      <w:r>
        <w:rPr>
          <w:rFonts w:hint="eastAsia" w:ascii="宋体" w:hAnsi="宋体" w:eastAsia="宋体" w:cs="宋体"/>
          <w:b/>
          <w:color w:val="auto"/>
          <w:kern w:val="2"/>
          <w:sz w:val="21"/>
          <w:szCs w:val="21"/>
          <w:highlight w:val="none"/>
          <w:lang w:val="en-US" w:eastAsia="zh-CN"/>
        </w:rPr>
        <w:t>上述</w:t>
      </w:r>
      <w:r>
        <w:rPr>
          <w:rFonts w:hint="eastAsia" w:ascii="宋体" w:hAnsi="宋体" w:eastAsia="宋体" w:cs="宋体"/>
          <w:b/>
          <w:color w:val="auto"/>
          <w:kern w:val="2"/>
          <w:sz w:val="21"/>
          <w:szCs w:val="21"/>
          <w:highlight w:val="none"/>
          <w:lang w:val="zh-CN"/>
        </w:rPr>
        <w:t>全部费用内。</w:t>
      </w:r>
    </w:p>
    <w:p w14:paraId="39F55942">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11.3</w:t>
      </w:r>
      <w:r>
        <w:rPr>
          <w:rFonts w:ascii="宋体" w:hAnsi="宋体" w:eastAsia="宋体" w:cs="宋体"/>
          <w:color w:val="auto"/>
          <w:kern w:val="0"/>
          <w:szCs w:val="21"/>
          <w:highlight w:val="none"/>
        </w:rPr>
        <w:t xml:space="preserve"> </w:t>
      </w:r>
      <w:r>
        <w:rPr>
          <w:rFonts w:hint="eastAsia" w:ascii="宋体" w:hAnsi="宋体" w:eastAsia="宋体" w:cs="Times New Roman"/>
          <w:color w:val="auto"/>
          <w:szCs w:val="21"/>
          <w:highlight w:val="none"/>
          <w:lang w:val="zh-CN"/>
        </w:rPr>
        <w:t>投标人根据第</w:t>
      </w:r>
      <w:r>
        <w:rPr>
          <w:rFonts w:ascii="宋体" w:hAnsi="宋体" w:eastAsia="宋体" w:cs="Times New Roman"/>
          <w:color w:val="auto"/>
          <w:szCs w:val="21"/>
          <w:highlight w:val="none"/>
          <w:lang w:val="zh-CN"/>
        </w:rPr>
        <w:t>11.</w:t>
      </w: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款所报的价格分项仅供评标委员会评审时使用；在任何情况下不限制投标人以不同的条件中标的权利。</w:t>
      </w:r>
    </w:p>
    <w:p w14:paraId="0494DC92">
      <w:pPr>
        <w:autoSpaceDE w:val="0"/>
        <w:autoSpaceDN w:val="0"/>
        <w:adjustRightInd w:val="0"/>
        <w:spacing w:line="360" w:lineRule="auto"/>
        <w:ind w:left="268" w:leftChars="-100" w:hanging="478" w:hangingChars="228"/>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11.4 在合同期间，投标报价不随国家政策或法规、标准、市场因素及采购数量的变化而进行调整</w:t>
      </w:r>
      <w:r>
        <w:rPr>
          <w:rFonts w:hint="eastAsia" w:ascii="宋体" w:hAnsi="宋体" w:eastAsia="宋体" w:cs="Times New Roman"/>
          <w:color w:val="auto"/>
          <w:kern w:val="0"/>
          <w:szCs w:val="21"/>
          <w:highlight w:val="none"/>
          <w:lang w:val="zh-CN"/>
        </w:rPr>
        <w:t>。</w:t>
      </w:r>
      <w:r>
        <w:rPr>
          <w:rFonts w:hint="eastAsia" w:ascii="宋体" w:hAnsi="宋体" w:eastAsia="宋体" w:cs="宋体"/>
          <w:color w:val="auto"/>
          <w:kern w:val="0"/>
          <w:szCs w:val="21"/>
          <w:highlight w:val="none"/>
        </w:rPr>
        <w:t xml:space="preserve"> </w:t>
      </w:r>
    </w:p>
    <w:p w14:paraId="3F28AD76">
      <w:pPr>
        <w:autoSpaceDE w:val="0"/>
        <w:autoSpaceDN w:val="0"/>
        <w:adjustRightInd w:val="0"/>
        <w:spacing w:line="360" w:lineRule="auto"/>
        <w:ind w:left="357" w:leftChars="-100" w:hanging="567"/>
        <w:rPr>
          <w:rFonts w:ascii="宋体" w:hAnsi="宋体" w:eastAsia="宋体" w:cs="Times New Roman"/>
          <w:b/>
          <w:bCs/>
          <w:color w:val="auto"/>
          <w:szCs w:val="21"/>
          <w:highlight w:val="none"/>
          <w:lang w:val="zh-CN"/>
        </w:rPr>
      </w:pPr>
      <w:r>
        <w:rPr>
          <w:rFonts w:hint="eastAsia" w:ascii="宋体" w:hAnsi="宋体" w:eastAsia="宋体" w:cs="宋体"/>
          <w:color w:val="auto"/>
          <w:szCs w:val="21"/>
          <w:highlight w:val="none"/>
          <w:lang w:val="zh-CN"/>
        </w:rPr>
        <w:t xml:space="preserve">11.5 </w:t>
      </w:r>
      <w:r>
        <w:rPr>
          <w:rFonts w:hint="eastAsia" w:ascii="宋体" w:hAnsi="宋体" w:eastAsia="宋体" w:cs="Times New Roman"/>
          <w:b/>
          <w:bCs/>
          <w:color w:val="auto"/>
          <w:szCs w:val="21"/>
          <w:highlight w:val="none"/>
          <w:lang w:val="zh-CN"/>
        </w:rPr>
        <w:t>合同项下，招标人需要的货物及</w:t>
      </w:r>
      <w:r>
        <w:rPr>
          <w:rFonts w:hint="eastAsia" w:ascii="宋体" w:hAnsi="宋体" w:eastAsia="宋体" w:cs="Times New Roman"/>
          <w:b/>
          <w:bCs/>
          <w:color w:val="auto"/>
          <w:szCs w:val="21"/>
          <w:highlight w:val="none"/>
          <w:lang w:val="en-US" w:eastAsia="zh-CN"/>
        </w:rPr>
        <w:t>有关</w:t>
      </w:r>
      <w:r>
        <w:rPr>
          <w:rFonts w:hint="eastAsia" w:ascii="宋体" w:hAnsi="宋体" w:eastAsia="宋体" w:cs="Times New Roman"/>
          <w:b/>
          <w:bCs/>
          <w:color w:val="auto"/>
          <w:szCs w:val="21"/>
          <w:highlight w:val="none"/>
          <w:lang w:val="zh-CN"/>
        </w:rPr>
        <w:t>服务所需的费用，投标人都应计入投标报价总价。</w:t>
      </w:r>
    </w:p>
    <w:p w14:paraId="450AB586">
      <w:pPr>
        <w:autoSpaceDE w:val="0"/>
        <w:autoSpaceDN w:val="0"/>
        <w:adjustRightInd w:val="0"/>
        <w:spacing w:line="360" w:lineRule="auto"/>
        <w:ind w:left="357" w:leftChars="-100" w:hanging="567"/>
        <w:rPr>
          <w:rFonts w:ascii="宋体" w:hAnsi="宋体" w:eastAsia="宋体" w:cs="宋体"/>
          <w:color w:val="auto"/>
          <w:szCs w:val="21"/>
          <w:highlight w:val="none"/>
        </w:rPr>
      </w:pPr>
      <w:r>
        <w:rPr>
          <w:rFonts w:hint="eastAsia" w:ascii="宋体" w:hAnsi="宋体" w:eastAsia="宋体" w:cs="宋体"/>
          <w:color w:val="auto"/>
          <w:szCs w:val="21"/>
          <w:highlight w:val="none"/>
          <w:lang w:val="zh-CN"/>
        </w:rPr>
        <w:t>11.6</w:t>
      </w:r>
      <w:r>
        <w:rPr>
          <w:rFonts w:hint="eastAsia" w:ascii="宋体" w:hAnsi="宋体" w:eastAsia="宋体" w:cs="Times New Roman"/>
          <w:b/>
          <w:bCs/>
          <w:color w:val="auto"/>
          <w:szCs w:val="21"/>
          <w:highlight w:val="none"/>
          <w:u w:val="none"/>
        </w:rPr>
        <w:t xml:space="preserve"> </w:t>
      </w:r>
      <w:r>
        <w:rPr>
          <w:rFonts w:hint="eastAsia" w:ascii="宋体" w:hAnsi="宋体" w:eastAsia="宋体" w:cs="宋体"/>
          <w:b/>
          <w:bCs/>
          <w:color w:val="auto"/>
          <w:kern w:val="0"/>
          <w:szCs w:val="21"/>
          <w:highlight w:val="none"/>
          <w:u w:val="single"/>
          <w:lang w:val="zh-CN"/>
        </w:rPr>
        <w:t>投</w:t>
      </w:r>
      <w:r>
        <w:rPr>
          <w:rFonts w:hint="eastAsia" w:ascii="宋体" w:hAnsi="宋体" w:eastAsia="宋体" w:cs="宋体"/>
          <w:b/>
          <w:bCs/>
          <w:color w:val="auto"/>
          <w:kern w:val="0"/>
          <w:szCs w:val="21"/>
          <w:highlight w:val="none"/>
          <w:u w:val="single"/>
        </w:rPr>
        <w:t>标人的投标报价或综合单价高于不含税最高投标限价或不含税预算综合单价的，该投标人的投标文件将被视为无效投标。本项目暂定采购数量对应的不含税最高投标限价为</w:t>
      </w:r>
      <w:r>
        <w:rPr>
          <w:rFonts w:hint="eastAsia" w:ascii="宋体" w:hAnsi="宋体" w:eastAsia="宋体" w:cs="宋体"/>
          <w:b/>
          <w:bCs/>
          <w:color w:val="auto"/>
          <w:kern w:val="0"/>
          <w:szCs w:val="21"/>
          <w:highlight w:val="none"/>
          <w:u w:val="single"/>
          <w:lang w:val="en-US" w:eastAsia="zh-CN"/>
        </w:rPr>
        <w:t>923,476.50</w:t>
      </w:r>
      <w:r>
        <w:rPr>
          <w:rFonts w:hint="eastAsia" w:ascii="宋体" w:hAnsi="宋体" w:eastAsia="宋体" w:cs="宋体"/>
          <w:b/>
          <w:bCs/>
          <w:color w:val="auto"/>
          <w:kern w:val="0"/>
          <w:szCs w:val="21"/>
          <w:highlight w:val="none"/>
          <w:u w:val="single"/>
        </w:rPr>
        <w:t>元（大写：</w:t>
      </w:r>
      <w:r>
        <w:rPr>
          <w:rFonts w:hint="eastAsia" w:ascii="宋体" w:hAnsi="宋体" w:eastAsia="宋体" w:cs="宋体"/>
          <w:b/>
          <w:bCs/>
          <w:color w:val="auto"/>
          <w:kern w:val="0"/>
          <w:szCs w:val="21"/>
          <w:highlight w:val="none"/>
          <w:u w:val="single"/>
          <w:lang w:val="en-US" w:eastAsia="zh-CN"/>
        </w:rPr>
        <w:t>玖拾贰万叁仟肆佰柒拾陆元伍角</w:t>
      </w:r>
      <w:r>
        <w:rPr>
          <w:rFonts w:hint="eastAsia" w:ascii="宋体" w:hAnsi="宋体" w:eastAsia="宋体" w:cs="宋体"/>
          <w:b/>
          <w:bCs/>
          <w:color w:val="auto"/>
          <w:kern w:val="0"/>
          <w:szCs w:val="21"/>
          <w:highlight w:val="none"/>
          <w:u w:val="single"/>
        </w:rPr>
        <w:t>），不含税预算综合单价为1</w:t>
      </w:r>
      <w:r>
        <w:rPr>
          <w:rFonts w:hint="eastAsia" w:ascii="宋体" w:hAnsi="宋体" w:eastAsia="宋体" w:cs="宋体"/>
          <w:b/>
          <w:bCs/>
          <w:color w:val="auto"/>
          <w:kern w:val="0"/>
          <w:szCs w:val="21"/>
          <w:highlight w:val="none"/>
          <w:u w:val="single"/>
          <w:lang w:val="en-US" w:eastAsia="zh-CN"/>
        </w:rPr>
        <w:t>,</w:t>
      </w:r>
      <w:r>
        <w:rPr>
          <w:rFonts w:hint="eastAsia" w:ascii="宋体" w:hAnsi="宋体" w:eastAsia="宋体" w:cs="宋体"/>
          <w:b/>
          <w:bCs/>
          <w:color w:val="auto"/>
          <w:kern w:val="0"/>
          <w:szCs w:val="21"/>
          <w:highlight w:val="none"/>
          <w:u w:val="single"/>
        </w:rPr>
        <w:t>903.93元/吨（大写：</w:t>
      </w:r>
      <w:r>
        <w:rPr>
          <w:rFonts w:hint="eastAsia" w:ascii="宋体" w:hAnsi="宋体" w:eastAsia="宋体" w:cs="宋体"/>
          <w:b/>
          <w:bCs/>
          <w:color w:val="auto"/>
          <w:kern w:val="0"/>
          <w:szCs w:val="21"/>
          <w:highlight w:val="none"/>
          <w:u w:val="single"/>
          <w:lang w:val="en-US" w:eastAsia="zh-CN"/>
        </w:rPr>
        <w:t>每吨壹仟玖佰零叁元玖角叁分</w:t>
      </w:r>
      <w:r>
        <w:rPr>
          <w:rFonts w:hint="eastAsia" w:ascii="宋体" w:hAnsi="宋体" w:eastAsia="宋体" w:cs="宋体"/>
          <w:b/>
          <w:bCs/>
          <w:color w:val="auto"/>
          <w:kern w:val="0"/>
          <w:szCs w:val="21"/>
          <w:highlight w:val="none"/>
          <w:u w:val="single"/>
        </w:rPr>
        <w:t>）</w:t>
      </w:r>
      <w:r>
        <w:rPr>
          <w:rFonts w:hint="eastAsia" w:ascii="宋体" w:hAnsi="宋体" w:eastAsia="宋体" w:cs="宋体"/>
          <w:b/>
          <w:bCs/>
          <w:color w:val="auto"/>
          <w:kern w:val="0"/>
          <w:szCs w:val="21"/>
          <w:highlight w:val="none"/>
          <w:u w:val="single"/>
          <w:lang w:val="zh-CN"/>
        </w:rPr>
        <w:t>。</w:t>
      </w:r>
    </w:p>
    <w:p w14:paraId="1427EBC4">
      <w:pPr>
        <w:autoSpaceDE w:val="0"/>
        <w:autoSpaceDN w:val="0"/>
        <w:adjustRightInd w:val="0"/>
        <w:spacing w:line="360" w:lineRule="auto"/>
        <w:ind w:left="357" w:leftChars="-100" w:hanging="567"/>
        <w:jc w:val="left"/>
        <w:outlineLvl w:val="0"/>
        <w:rPr>
          <w:rFonts w:ascii="宋体" w:hAnsi="宋体" w:eastAsia="宋体" w:cs="宋体"/>
          <w:b/>
          <w:color w:val="auto"/>
          <w:szCs w:val="21"/>
          <w:highlight w:val="none"/>
          <w:lang w:val="zh-CN"/>
        </w:rPr>
      </w:pPr>
      <w:bookmarkStart w:id="157" w:name="_Toc450662862"/>
      <w:bookmarkStart w:id="158" w:name="_Toc486167676"/>
      <w:bookmarkStart w:id="159" w:name="_Toc30042_WPSOffice_Level3"/>
      <w:bookmarkStart w:id="160" w:name="_Toc1344"/>
      <w:bookmarkStart w:id="161" w:name="_Toc25930"/>
      <w:bookmarkStart w:id="162" w:name="_Toc14068"/>
      <w:bookmarkStart w:id="163" w:name="_Toc142508326"/>
      <w:r>
        <w:rPr>
          <w:rFonts w:hint="eastAsia" w:ascii="宋体" w:hAnsi="宋体" w:eastAsia="宋体" w:cs="宋体"/>
          <w:b/>
          <w:color w:val="auto"/>
          <w:szCs w:val="21"/>
          <w:highlight w:val="none"/>
          <w:lang w:val="zh-CN"/>
        </w:rPr>
        <w:t>12</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投标报价货币</w:t>
      </w:r>
      <w:bookmarkEnd w:id="157"/>
      <w:bookmarkEnd w:id="158"/>
      <w:bookmarkEnd w:id="159"/>
      <w:bookmarkEnd w:id="160"/>
      <w:bookmarkEnd w:id="161"/>
      <w:bookmarkEnd w:id="162"/>
      <w:bookmarkEnd w:id="163"/>
    </w:p>
    <w:p w14:paraId="31773D10">
      <w:pPr>
        <w:autoSpaceDE w:val="0"/>
        <w:autoSpaceDN w:val="0"/>
        <w:adjustRightInd w:val="0"/>
        <w:spacing w:line="360" w:lineRule="auto"/>
        <w:ind w:left="265" w:leftChars="119" w:hanging="15"/>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投标</w:t>
      </w:r>
      <w:r>
        <w:rPr>
          <w:rFonts w:hint="eastAsia" w:ascii="宋体" w:hAnsi="宋体" w:eastAsia="宋体" w:cs="Times New Roman"/>
          <w:b/>
          <w:color w:val="auto"/>
          <w:szCs w:val="21"/>
          <w:highlight w:val="none"/>
          <w:lang w:val="zh-CN"/>
        </w:rPr>
        <w:t>报价表上的价格须以人民币报价，以其</w:t>
      </w:r>
      <w:r>
        <w:rPr>
          <w:rFonts w:hint="eastAsia" w:ascii="宋体" w:hAnsi="宋体" w:eastAsia="宋体" w:cs="Times New Roman"/>
          <w:b/>
          <w:color w:val="auto"/>
          <w:szCs w:val="21"/>
          <w:highlight w:val="none"/>
          <w:lang w:val="en-US" w:eastAsia="zh-CN"/>
        </w:rPr>
        <w:t>他</w:t>
      </w:r>
      <w:r>
        <w:rPr>
          <w:rFonts w:hint="eastAsia" w:ascii="宋体" w:hAnsi="宋体" w:eastAsia="宋体" w:cs="Times New Roman"/>
          <w:b/>
          <w:color w:val="auto"/>
          <w:szCs w:val="21"/>
          <w:highlight w:val="none"/>
          <w:lang w:val="zh-CN"/>
        </w:rPr>
        <w:t>货币标价的投标将予以拒绝</w:t>
      </w:r>
      <w:r>
        <w:rPr>
          <w:rFonts w:hint="eastAsia" w:ascii="宋体" w:hAnsi="宋体" w:eastAsia="宋体" w:cs="宋体"/>
          <w:b/>
          <w:color w:val="auto"/>
          <w:szCs w:val="21"/>
          <w:highlight w:val="none"/>
          <w:lang w:val="zh-CN"/>
        </w:rPr>
        <w:t>。</w:t>
      </w:r>
    </w:p>
    <w:p w14:paraId="08E0BE48">
      <w:pPr>
        <w:autoSpaceDE w:val="0"/>
        <w:autoSpaceDN w:val="0"/>
        <w:adjustRightInd w:val="0"/>
        <w:spacing w:line="360" w:lineRule="auto"/>
        <w:ind w:left="265" w:leftChars="119" w:hanging="15"/>
        <w:rPr>
          <w:rFonts w:ascii="宋体" w:hAnsi="宋体" w:eastAsia="宋体" w:cs="宋体"/>
          <w:color w:val="auto"/>
          <w:szCs w:val="21"/>
          <w:highlight w:val="none"/>
        </w:rPr>
      </w:pPr>
    </w:p>
    <w:p w14:paraId="127AE399">
      <w:pPr>
        <w:tabs>
          <w:tab w:val="left" w:pos="570"/>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164" w:name="_Toc450662863"/>
      <w:bookmarkStart w:id="165" w:name="_Toc18080"/>
      <w:bookmarkStart w:id="166" w:name="_Toc142508327"/>
      <w:bookmarkStart w:id="167" w:name="_Toc25596"/>
      <w:bookmarkStart w:id="168" w:name="_Toc8947"/>
      <w:bookmarkStart w:id="169" w:name="_Toc9411_WPSOffice_Level3"/>
      <w:bookmarkStart w:id="170" w:name="_Toc486167677"/>
      <w:r>
        <w:rPr>
          <w:rFonts w:hint="eastAsia" w:ascii="宋体" w:hAnsi="宋体" w:eastAsia="宋体" w:cs="宋体"/>
          <w:color w:val="auto"/>
          <w:szCs w:val="21"/>
          <w:highlight w:val="none"/>
          <w:lang w:val="zh-CN"/>
        </w:rPr>
        <w:t>13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证明投标人的合格性和资格的声明文件</w:t>
      </w:r>
      <w:bookmarkEnd w:id="164"/>
      <w:bookmarkEnd w:id="165"/>
      <w:bookmarkEnd w:id="166"/>
      <w:bookmarkEnd w:id="167"/>
      <w:bookmarkEnd w:id="168"/>
      <w:bookmarkEnd w:id="169"/>
      <w:bookmarkEnd w:id="170"/>
    </w:p>
    <w:p w14:paraId="4F0C1C82">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根据第2条、第13.2款规定，投标人须提交证明其有资格进行投标和有能力履行合同的文件，作为投标文件的一部分。</w:t>
      </w:r>
    </w:p>
    <w:p w14:paraId="32C6DB68">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vertAlign w:val="superscript"/>
          <w:lang w:val="zh-CN"/>
        </w:rPr>
      </w:pPr>
      <w:bookmarkStart w:id="171" w:name="_Toc17685"/>
      <w:r>
        <w:rPr>
          <w:rFonts w:hint="eastAsia" w:ascii="宋体" w:hAnsi="宋体" w:eastAsia="宋体" w:cs="宋体"/>
          <w:color w:val="auto"/>
          <w:szCs w:val="21"/>
          <w:highlight w:val="none"/>
          <w:lang w:val="zh-CN"/>
        </w:rPr>
        <w:t>13.2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投标人提供的履行合同的资格声明文件应符合：</w:t>
      </w:r>
      <w:bookmarkEnd w:id="171"/>
    </w:p>
    <w:p w14:paraId="3834AC5F">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（1）符合《中华人民共和国招标投标法》《中华人民共和国招标投标法实施条例》投标人应当具备的条件；</w:t>
      </w:r>
    </w:p>
    <w:p w14:paraId="26299256">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（2）投标人具有履行本项目所必须的证明文件；</w:t>
      </w:r>
    </w:p>
    <w:p w14:paraId="23D146B4">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（3）投标人证明其相应资格</w:t>
      </w:r>
      <w:r>
        <w:rPr>
          <w:rFonts w:hint="eastAsia" w:ascii="宋体" w:hAnsi="宋体" w:eastAsia="宋体" w:cs="Times New Roman"/>
          <w:color w:val="auto"/>
          <w:szCs w:val="21"/>
          <w:highlight w:val="none"/>
          <w:lang w:val="zh-CN"/>
        </w:rPr>
        <w:t>符合或</w:t>
      </w:r>
      <w:r>
        <w:rPr>
          <w:rFonts w:hint="eastAsia" w:ascii="宋体" w:hAnsi="宋体" w:eastAsia="宋体" w:cs="宋体"/>
          <w:color w:val="auto"/>
          <w:szCs w:val="21"/>
          <w:highlight w:val="none"/>
          <w:lang w:val="zh-CN"/>
        </w:rPr>
        <w:t>优于招标文件要求的其它文件。</w:t>
      </w:r>
    </w:p>
    <w:p w14:paraId="5659EEDC">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投标人</w:t>
      </w:r>
      <w:r>
        <w:rPr>
          <w:rFonts w:hint="eastAsia" w:ascii="宋体" w:hAnsi="宋体" w:eastAsia="宋体" w:cs="Times New Roman"/>
          <w:color w:val="auto"/>
          <w:szCs w:val="21"/>
          <w:highlight w:val="none"/>
          <w:lang w:val="zh-CN"/>
        </w:rPr>
        <w:t>根据招标文件载明的货物及有关服务要求的实际情况，拟在中标后将中标项目的非主体、非关键性专业工作交由他人完成的，应当在投标文件中载明，并提供他人的资质、能力证明材料</w:t>
      </w:r>
      <w:r>
        <w:rPr>
          <w:rFonts w:hint="eastAsia" w:ascii="宋体" w:hAnsi="宋体" w:eastAsia="宋体" w:cs="宋体"/>
          <w:color w:val="auto"/>
          <w:szCs w:val="21"/>
          <w:highlight w:val="none"/>
          <w:lang w:val="zh-CN"/>
        </w:rPr>
        <w:t>。</w:t>
      </w:r>
    </w:p>
    <w:p w14:paraId="26592757">
      <w:pPr>
        <w:autoSpaceDE w:val="0"/>
        <w:autoSpaceDN w:val="0"/>
        <w:adjustRightInd w:val="0"/>
        <w:spacing w:line="360" w:lineRule="auto"/>
        <w:ind w:left="560" w:leftChars="128" w:hanging="291" w:hangingChars="139"/>
        <w:rPr>
          <w:rFonts w:ascii="宋体" w:hAnsi="宋体" w:eastAsia="宋体" w:cs="宋体"/>
          <w:color w:val="auto"/>
          <w:szCs w:val="21"/>
          <w:highlight w:val="none"/>
        </w:rPr>
      </w:pPr>
    </w:p>
    <w:p w14:paraId="12794CB7">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172" w:name="_Toc30441"/>
      <w:bookmarkStart w:id="173" w:name="_Toc486167678"/>
      <w:bookmarkStart w:id="174" w:name="_Toc14311"/>
      <w:bookmarkStart w:id="175" w:name="_Toc142508328"/>
      <w:bookmarkStart w:id="176" w:name="_Toc27771_WPSOffice_Level3"/>
      <w:bookmarkStart w:id="177" w:name="_Toc450662864"/>
      <w:bookmarkStart w:id="178" w:name="_Toc30778"/>
      <w:r>
        <w:rPr>
          <w:rFonts w:hint="eastAsia" w:ascii="宋体" w:hAnsi="宋体" w:eastAsia="宋体" w:cs="宋体"/>
          <w:color w:val="auto"/>
          <w:szCs w:val="21"/>
          <w:highlight w:val="none"/>
          <w:lang w:val="zh-CN"/>
        </w:rPr>
        <w:t>14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证明货物的合格性并符合招标文件规定的声明文件</w:t>
      </w:r>
      <w:bookmarkEnd w:id="172"/>
      <w:bookmarkEnd w:id="173"/>
      <w:bookmarkEnd w:id="174"/>
      <w:bookmarkEnd w:id="175"/>
      <w:bookmarkEnd w:id="176"/>
      <w:bookmarkEnd w:id="177"/>
      <w:bookmarkEnd w:id="178"/>
    </w:p>
    <w:p w14:paraId="59E7B581">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w:t>
      </w:r>
      <w:r>
        <w:rPr>
          <w:rFonts w:hint="eastAsia" w:ascii="宋体" w:hAnsi="宋体" w:eastAsia="宋体" w:cs="宋体"/>
          <w:color w:val="auto"/>
          <w:kern w:val="0"/>
          <w:szCs w:val="21"/>
          <w:highlight w:val="none"/>
        </w:rPr>
        <w:t>第9</w:t>
      </w:r>
      <w:r>
        <w:rPr>
          <w:rFonts w:hint="eastAsia" w:ascii="宋体" w:hAnsi="宋体" w:eastAsia="宋体" w:cs="宋体"/>
          <w:color w:val="auto"/>
          <w:szCs w:val="21"/>
          <w:highlight w:val="none"/>
          <w:lang w:val="zh-CN"/>
        </w:rPr>
        <w:t>条规定，投标人须提交证明其拟供货物的合格性并符合招标文件规定的声明文件，作为投标文件的一部分。</w:t>
      </w:r>
    </w:p>
    <w:p w14:paraId="15ED4825">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14.2  证明</w:t>
      </w:r>
      <w:r>
        <w:rPr>
          <w:rFonts w:hint="eastAsia" w:ascii="宋体" w:hAnsi="宋体" w:eastAsia="宋体" w:cs="宋体"/>
          <w:color w:val="auto"/>
          <w:kern w:val="0"/>
          <w:szCs w:val="21"/>
          <w:highlight w:val="none"/>
        </w:rPr>
        <w:t>货物及有关服务</w:t>
      </w:r>
      <w:r>
        <w:rPr>
          <w:rFonts w:hint="eastAsia" w:ascii="宋体" w:hAnsi="宋体" w:eastAsia="宋体" w:cs="宋体"/>
          <w:color w:val="auto"/>
          <w:szCs w:val="21"/>
          <w:highlight w:val="none"/>
          <w:lang w:val="zh-CN"/>
        </w:rPr>
        <w:t>与招标文件的要求相一致的文件可以是文字资料、图纸和数据资料。</w:t>
      </w:r>
    </w:p>
    <w:p w14:paraId="4A1AA7DB">
      <w:pPr>
        <w:autoSpaceDE w:val="0"/>
        <w:autoSpaceDN w:val="0"/>
        <w:adjustRightInd w:val="0"/>
        <w:spacing w:line="360" w:lineRule="auto"/>
        <w:ind w:left="317" w:leftChars="-100" w:hanging="527" w:hangingChars="251"/>
        <w:rPr>
          <w:rFonts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 xml:space="preserve">14.3 </w:t>
      </w:r>
      <w:r>
        <w:rPr>
          <w:rFonts w:hint="eastAsia" w:ascii="宋体" w:hAnsi="宋体" w:eastAsia="宋体" w:cs="宋体"/>
          <w:b/>
          <w:color w:val="auto"/>
          <w:szCs w:val="21"/>
          <w:highlight w:val="none"/>
          <w:lang w:val="zh-CN"/>
        </w:rPr>
        <w:t>为说明第14.2款的规定，</w:t>
      </w:r>
      <w:r>
        <w:rPr>
          <w:rFonts w:hint="eastAsia" w:ascii="宋体" w:hAnsi="宋体" w:eastAsia="宋体" w:cs="Times New Roman"/>
          <w:b/>
          <w:color w:val="auto"/>
          <w:szCs w:val="21"/>
          <w:highlight w:val="none"/>
          <w:lang w:val="zh-CN"/>
        </w:rPr>
        <w:t>投标人应注意本招标文件在《用户需求书》中对货物的性能配置、技术参数、技术要求所描述的特征或说明只是概括性的，不能理解为所需要的全部产品工序的要求，投标人应按行业技术、质量和以往的研究、货物生产制造、售后服务经验，合格优质的完成采购内容和包含的全部服务。用户需求书中所有列出的相关货物技术要求和推荐品牌不是唯一指定，仅作参考，即投标人可就货物提出替代标准，只要相当于(或优于)规定的货物品质和性能等技术参数要求，并提供满足本招标文件要求的证明材料，则视为合格。但</w:t>
      </w:r>
      <w:r>
        <w:rPr>
          <w:rFonts w:ascii="宋体" w:hAnsi="宋体" w:eastAsia="宋体" w:cs="Times New Roman"/>
          <w:b/>
          <w:color w:val="auto"/>
          <w:szCs w:val="21"/>
          <w:highlight w:val="none"/>
          <w:lang w:val="zh-CN"/>
        </w:rPr>
        <w:t>凡标有“</w:t>
      </w:r>
      <w:r>
        <w:rPr>
          <w:rFonts w:hint="eastAsia" w:ascii="宋体" w:hAnsi="宋体" w:eastAsia="宋体" w:cs="Times New Roman"/>
          <w:b/>
          <w:color w:val="auto"/>
          <w:szCs w:val="21"/>
          <w:highlight w:val="none"/>
          <w:lang w:val="zh-CN"/>
        </w:rPr>
        <w:t>★</w:t>
      </w:r>
      <w:r>
        <w:rPr>
          <w:rFonts w:ascii="宋体" w:hAnsi="宋体" w:eastAsia="宋体" w:cs="Times New Roman"/>
          <w:b/>
          <w:color w:val="auto"/>
          <w:szCs w:val="21"/>
          <w:highlight w:val="none"/>
          <w:lang w:val="zh-CN"/>
        </w:rPr>
        <w:t>”的地方均被视为重要的技术指标要求或性能要求。投标</w:t>
      </w:r>
      <w:r>
        <w:rPr>
          <w:rFonts w:hint="eastAsia" w:ascii="宋体" w:hAnsi="宋体" w:eastAsia="宋体" w:cs="Times New Roman"/>
          <w:b/>
          <w:color w:val="auto"/>
          <w:szCs w:val="21"/>
          <w:highlight w:val="none"/>
          <w:lang w:val="zh-CN"/>
        </w:rPr>
        <w:t>人</w:t>
      </w:r>
      <w:r>
        <w:rPr>
          <w:rFonts w:ascii="宋体" w:hAnsi="宋体" w:eastAsia="宋体" w:cs="Times New Roman"/>
          <w:b/>
          <w:color w:val="auto"/>
          <w:szCs w:val="21"/>
          <w:highlight w:val="none"/>
          <w:lang w:val="zh-CN"/>
        </w:rPr>
        <w:t>要特别加以注意，必须对此回答并完全满足这些要求</w:t>
      </w:r>
      <w:r>
        <w:rPr>
          <w:rFonts w:hint="eastAsia" w:ascii="宋体" w:hAnsi="宋体" w:eastAsia="宋体" w:cs="Times New Roman"/>
          <w:b/>
          <w:color w:val="auto"/>
          <w:szCs w:val="21"/>
          <w:highlight w:val="none"/>
          <w:lang w:val="zh-CN"/>
        </w:rPr>
        <w:t>，</w:t>
      </w:r>
      <w:r>
        <w:rPr>
          <w:rFonts w:ascii="宋体" w:hAnsi="宋体" w:eastAsia="宋体" w:cs="Times New Roman"/>
          <w:b/>
          <w:color w:val="auto"/>
          <w:szCs w:val="21"/>
          <w:highlight w:val="none"/>
          <w:lang w:val="zh-CN"/>
        </w:rPr>
        <w:t>否则若有一项带“</w:t>
      </w:r>
      <w:r>
        <w:rPr>
          <w:rFonts w:hint="eastAsia" w:ascii="宋体" w:hAnsi="宋体" w:eastAsia="宋体" w:cs="Times New Roman"/>
          <w:b/>
          <w:color w:val="auto"/>
          <w:szCs w:val="21"/>
          <w:highlight w:val="none"/>
          <w:lang w:val="zh-CN"/>
        </w:rPr>
        <w:t>★</w:t>
      </w:r>
      <w:r>
        <w:rPr>
          <w:rFonts w:ascii="宋体" w:hAnsi="宋体" w:eastAsia="宋体" w:cs="Times New Roman"/>
          <w:b/>
          <w:color w:val="auto"/>
          <w:szCs w:val="21"/>
          <w:highlight w:val="none"/>
          <w:lang w:val="zh-CN"/>
        </w:rPr>
        <w:t>”的指标未响应或不满足，将按</w:t>
      </w:r>
      <w:r>
        <w:rPr>
          <w:rFonts w:hint="eastAsia" w:ascii="宋体" w:hAnsi="宋体" w:eastAsia="宋体" w:cs="Times New Roman"/>
          <w:b/>
          <w:color w:val="auto"/>
          <w:szCs w:val="21"/>
          <w:highlight w:val="none"/>
          <w:lang w:val="zh-CN"/>
        </w:rPr>
        <w:t>无效投标</w:t>
      </w:r>
      <w:r>
        <w:rPr>
          <w:rFonts w:ascii="宋体" w:hAnsi="宋体" w:eastAsia="宋体" w:cs="Times New Roman"/>
          <w:b/>
          <w:color w:val="auto"/>
          <w:szCs w:val="21"/>
          <w:highlight w:val="none"/>
          <w:lang w:val="zh-CN"/>
        </w:rPr>
        <w:t>处理</w:t>
      </w:r>
      <w:r>
        <w:rPr>
          <w:rFonts w:hint="eastAsia" w:ascii="宋体" w:hAnsi="宋体" w:eastAsia="宋体" w:cs="宋体"/>
          <w:b/>
          <w:color w:val="auto"/>
          <w:szCs w:val="21"/>
          <w:highlight w:val="none"/>
          <w:lang w:val="zh-CN"/>
        </w:rPr>
        <w:t>。</w:t>
      </w:r>
    </w:p>
    <w:p w14:paraId="51D8B772">
      <w:pPr>
        <w:autoSpaceDE w:val="0"/>
        <w:autoSpaceDN w:val="0"/>
        <w:adjustRightInd w:val="0"/>
        <w:spacing w:line="360" w:lineRule="auto"/>
        <w:ind w:left="392" w:leftChars="-100" w:hanging="602" w:hangingChars="251"/>
        <w:rPr>
          <w:rFonts w:ascii="宋体" w:hAnsi="宋体" w:eastAsia="宋体" w:cs="Times New Roman"/>
          <w:color w:val="auto"/>
          <w:kern w:val="0"/>
          <w:sz w:val="24"/>
          <w:szCs w:val="24"/>
          <w:highlight w:val="none"/>
        </w:rPr>
      </w:pPr>
    </w:p>
    <w:p w14:paraId="28F030A4">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179" w:name="_Toc486167679"/>
      <w:bookmarkStart w:id="180" w:name="_Toc13069"/>
      <w:bookmarkStart w:id="181" w:name="_Toc24774"/>
      <w:bookmarkStart w:id="182" w:name="_Toc19919"/>
      <w:bookmarkStart w:id="183" w:name="_Toc5356_WPSOffice_Level3"/>
      <w:bookmarkStart w:id="184" w:name="_Toc142508329"/>
      <w:r>
        <w:rPr>
          <w:rFonts w:hint="eastAsia" w:ascii="宋体" w:hAnsi="宋体" w:eastAsia="宋体" w:cs="宋体"/>
          <w:color w:val="auto"/>
          <w:szCs w:val="21"/>
          <w:highlight w:val="none"/>
          <w:lang w:val="zh-CN"/>
        </w:rPr>
        <w:t>15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投标保证金</w:t>
      </w:r>
      <w:bookmarkEnd w:id="179"/>
      <w:bookmarkEnd w:id="180"/>
      <w:bookmarkEnd w:id="181"/>
      <w:bookmarkEnd w:id="182"/>
      <w:bookmarkEnd w:id="183"/>
      <w:bookmarkEnd w:id="184"/>
    </w:p>
    <w:p w14:paraId="18D7ECC5">
      <w:pPr>
        <w:tabs>
          <w:tab w:val="left" w:pos="567"/>
        </w:tabs>
        <w:autoSpaceDE w:val="0"/>
        <w:autoSpaceDN w:val="0"/>
        <w:adjustRightInd w:val="0"/>
        <w:spacing w:line="360" w:lineRule="auto"/>
        <w:ind w:left="357" w:leftChars="-100" w:hanging="567"/>
        <w:jc w:val="left"/>
        <w:rPr>
          <w:rFonts w:ascii="宋体" w:hAnsi="宋体" w:eastAsia="宋体" w:cs="宋体"/>
          <w:color w:val="auto"/>
          <w:kern w:val="0"/>
          <w:szCs w:val="21"/>
          <w:highlight w:val="none"/>
        </w:rPr>
      </w:pPr>
      <w:r>
        <w:rPr>
          <w:rFonts w:hint="eastAsia" w:ascii="宋体" w:hAnsi="宋体" w:eastAsia="宋体" w:cs="宋体"/>
          <w:bCs/>
          <w:color w:val="auto"/>
          <w:kern w:val="0"/>
          <w:szCs w:val="21"/>
          <w:highlight w:val="none"/>
          <w:lang w:val="zh-CN"/>
        </w:rPr>
        <w:t>15.1</w:t>
      </w:r>
      <w:r>
        <w:rPr>
          <w:rFonts w:ascii="宋体" w:hAnsi="宋体" w:eastAsia="宋体" w:cs="宋体"/>
          <w:b/>
          <w:bCs/>
          <w:color w:val="auto"/>
          <w:kern w:val="0"/>
          <w:szCs w:val="21"/>
          <w:highlight w:val="none"/>
          <w:lang w:val="zh-CN"/>
        </w:rPr>
        <w:t xml:space="preserve"> </w:t>
      </w:r>
      <w:r>
        <w:rPr>
          <w:rFonts w:hint="eastAsia" w:ascii="宋体" w:hAnsi="宋体" w:eastAsia="宋体" w:cs="宋体"/>
          <w:b/>
          <w:bCs/>
          <w:color w:val="auto"/>
          <w:kern w:val="0"/>
          <w:szCs w:val="21"/>
          <w:highlight w:val="none"/>
          <w:u w:val="single"/>
          <w:lang w:val="zh-CN"/>
        </w:rPr>
        <w:t>投标人投标时须附有投标保证金</w:t>
      </w:r>
      <w:r>
        <w:rPr>
          <w:rFonts w:hint="eastAsia" w:ascii="宋体" w:hAnsi="宋体" w:eastAsia="宋体" w:cs="宋体"/>
          <w:b/>
          <w:bCs/>
          <w:color w:val="auto"/>
          <w:kern w:val="0"/>
          <w:szCs w:val="21"/>
          <w:highlight w:val="none"/>
          <w:u w:val="single"/>
          <w:lang w:val="en-US" w:eastAsia="zh-CN"/>
        </w:rPr>
        <w:t>18,000.00</w:t>
      </w:r>
      <w:r>
        <w:rPr>
          <w:rFonts w:hint="eastAsia" w:ascii="宋体" w:hAnsi="宋体" w:eastAsia="宋体" w:cs="宋体"/>
          <w:b/>
          <w:color w:val="auto"/>
          <w:kern w:val="0"/>
          <w:szCs w:val="21"/>
          <w:highlight w:val="none"/>
          <w:u w:val="single"/>
        </w:rPr>
        <w:t>元（大写：人民币</w:t>
      </w:r>
      <w:r>
        <w:rPr>
          <w:rFonts w:hint="eastAsia" w:ascii="宋体" w:hAnsi="宋体" w:eastAsia="宋体" w:cs="宋体"/>
          <w:b/>
          <w:color w:val="auto"/>
          <w:kern w:val="0"/>
          <w:szCs w:val="21"/>
          <w:highlight w:val="none"/>
          <w:u w:val="single"/>
          <w:lang w:val="en-US" w:eastAsia="zh-CN"/>
        </w:rPr>
        <w:t>壹万捌仟元整</w:t>
      </w:r>
      <w:r>
        <w:rPr>
          <w:rFonts w:hint="eastAsia" w:ascii="宋体" w:hAnsi="宋体" w:eastAsia="宋体" w:cs="宋体"/>
          <w:b/>
          <w:color w:val="auto"/>
          <w:kern w:val="0"/>
          <w:szCs w:val="21"/>
          <w:highlight w:val="none"/>
          <w:u w:val="single"/>
        </w:rPr>
        <w:t>）</w:t>
      </w:r>
      <w:r>
        <w:rPr>
          <w:rFonts w:hint="eastAsia" w:ascii="宋体" w:hAnsi="宋体" w:eastAsia="宋体" w:cs="宋体"/>
          <w:b/>
          <w:color w:val="auto"/>
          <w:kern w:val="0"/>
          <w:szCs w:val="21"/>
          <w:highlight w:val="none"/>
        </w:rPr>
        <w:t>。</w:t>
      </w:r>
    </w:p>
    <w:p w14:paraId="0E51F24F">
      <w:pPr>
        <w:spacing w:line="360" w:lineRule="auto"/>
        <w:ind w:left="315" w:leftChars="-100" w:hanging="525" w:hangingChars="250"/>
        <w:rPr>
          <w:rFonts w:ascii="宋体" w:hAnsi="宋体" w:eastAsia="宋体" w:cs="宋体"/>
          <w:b/>
          <w:color w:val="auto"/>
          <w:kern w:val="0"/>
          <w:szCs w:val="21"/>
          <w:highlight w:val="none"/>
        </w:rPr>
      </w:pPr>
      <w:r>
        <w:rPr>
          <w:rFonts w:hint="eastAsia" w:ascii="宋体" w:hAnsi="宋体" w:eastAsia="宋体" w:cs="宋体"/>
          <w:bCs/>
          <w:color w:val="auto"/>
          <w:kern w:val="0"/>
          <w:szCs w:val="21"/>
          <w:highlight w:val="none"/>
          <w:lang w:val="zh-CN"/>
        </w:rPr>
        <w:t xml:space="preserve">15.2 </w:t>
      </w: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rPr>
        <w:t>应按要求提交投标保证金，</w:t>
      </w:r>
      <w:r>
        <w:rPr>
          <w:rFonts w:hint="eastAsia" w:ascii="宋体" w:hAnsi="宋体" w:eastAsia="宋体" w:cs="Times New Roman"/>
          <w:b/>
          <w:color w:val="auto"/>
          <w:kern w:val="0"/>
          <w:szCs w:val="21"/>
          <w:highlight w:val="none"/>
          <w:u w:val="single"/>
        </w:rPr>
        <w:t>投标人必须通过本单位银行基本账户采用银行转账、电汇形式缴交，投标人与交款人名称必须一致，非投标人缴纳的或未通过其基本账户提交的投标保证金无效</w:t>
      </w:r>
      <w:r>
        <w:rPr>
          <w:rFonts w:hint="eastAsia" w:ascii="宋体" w:hAnsi="宋体" w:eastAsia="宋体" w:cs="宋体"/>
          <w:b/>
          <w:color w:val="auto"/>
          <w:kern w:val="0"/>
          <w:szCs w:val="21"/>
          <w:highlight w:val="none"/>
        </w:rPr>
        <w:t>。</w:t>
      </w:r>
    </w:p>
    <w:p w14:paraId="6AC770F2">
      <w:pPr>
        <w:spacing w:line="360" w:lineRule="auto"/>
        <w:ind w:left="315" w:leftChars="-100" w:hanging="525" w:hangingChars="250"/>
        <w:rPr>
          <w:rFonts w:ascii="宋体" w:hAnsi="宋体" w:eastAsia="宋体" w:cs="宋体"/>
          <w:bCs/>
          <w:color w:val="auto"/>
          <w:kern w:val="0"/>
          <w:szCs w:val="21"/>
          <w:highlight w:val="none"/>
          <w:lang w:val="zh-CN"/>
        </w:rPr>
      </w:pPr>
      <w:bookmarkStart w:id="185" w:name="_Toc11323"/>
      <w:r>
        <w:rPr>
          <w:rFonts w:hint="eastAsia" w:ascii="宋体" w:hAnsi="宋体" w:eastAsia="宋体" w:cs="宋体"/>
          <w:bCs/>
          <w:color w:val="auto"/>
          <w:kern w:val="0"/>
          <w:szCs w:val="21"/>
          <w:highlight w:val="none"/>
          <w:lang w:val="zh-CN"/>
        </w:rPr>
        <w:t>15.3 提交保证金时应符合下列规定：</w:t>
      </w:r>
      <w:bookmarkEnd w:id="185"/>
    </w:p>
    <w:p w14:paraId="76664ACC">
      <w:pPr>
        <w:spacing w:line="360" w:lineRule="auto"/>
        <w:ind w:firstLine="777" w:firstLineChars="37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必须通过本单位基本账户采用银行转账、电汇方式提交，且在递交投标文件截止时间前</w:t>
      </w:r>
      <w:r>
        <w:rPr>
          <w:rFonts w:hint="eastAsia" w:ascii="宋体" w:hAnsi="宋体" w:eastAsia="宋体" w:cs="Times New Roman"/>
          <w:color w:val="auto"/>
          <w:kern w:val="0"/>
          <w:szCs w:val="21"/>
          <w:highlight w:val="none"/>
        </w:rPr>
        <w:t>到达</w:t>
      </w:r>
      <w:r>
        <w:rPr>
          <w:rFonts w:hint="eastAsia" w:ascii="宋体" w:hAnsi="宋体" w:eastAsia="宋体" w:cs="宋体"/>
          <w:color w:val="auto"/>
          <w:kern w:val="0"/>
          <w:szCs w:val="21"/>
          <w:highlight w:val="none"/>
        </w:rPr>
        <w:t>以下账户上。</w:t>
      </w:r>
    </w:p>
    <w:p w14:paraId="630B19D8">
      <w:pPr>
        <w:autoSpaceDE w:val="0"/>
        <w:autoSpaceDN w:val="0"/>
        <w:adjustRightInd w:val="0"/>
        <w:spacing w:line="360" w:lineRule="auto"/>
        <w:ind w:left="225" w:leftChars="107" w:firstLine="491" w:firstLineChars="233"/>
        <w:jc w:val="left"/>
        <w:rPr>
          <w:rFonts w:hint="eastAsia" w:ascii="宋体" w:hAnsi="宋体" w:eastAsia="宋体" w:cs="宋体"/>
          <w:b/>
          <w:bCs/>
          <w:color w:val="auto"/>
          <w:kern w:val="0"/>
          <w:szCs w:val="21"/>
          <w:highlight w:val="none"/>
          <w:lang w:val="zh-CN" w:eastAsia="zh-CN"/>
        </w:rPr>
      </w:pPr>
      <w:r>
        <w:rPr>
          <w:rFonts w:hint="eastAsia" w:ascii="宋体" w:hAnsi="宋体" w:eastAsia="宋体" w:cs="宋体"/>
          <w:b/>
          <w:bCs/>
          <w:color w:val="auto"/>
          <w:kern w:val="0"/>
          <w:szCs w:val="21"/>
          <w:highlight w:val="none"/>
          <w:lang w:val="zh-CN"/>
        </w:rPr>
        <w:t>开户名称：</w:t>
      </w:r>
      <w:r>
        <w:rPr>
          <w:rFonts w:hint="eastAsia" w:ascii="宋体" w:hAnsi="宋体" w:eastAsia="宋体" w:cs="宋体"/>
          <w:b/>
          <w:bCs/>
          <w:color w:val="auto"/>
          <w:highlight w:val="none"/>
          <w:lang w:val="zh-CN"/>
        </w:rPr>
        <w:t>东莞市水务集团净水有限公司</w:t>
      </w:r>
    </w:p>
    <w:p w14:paraId="4BF7BB00">
      <w:pPr>
        <w:autoSpaceDE w:val="0"/>
        <w:autoSpaceDN w:val="0"/>
        <w:adjustRightInd w:val="0"/>
        <w:spacing w:line="360" w:lineRule="auto"/>
        <w:ind w:left="225" w:leftChars="107" w:firstLine="491" w:firstLineChars="233"/>
        <w:jc w:val="left"/>
        <w:rPr>
          <w:rFonts w:hint="eastAsia" w:ascii="宋体" w:hAnsi="宋体" w:eastAsia="宋体" w:cs="宋体"/>
          <w:b/>
          <w:bCs/>
          <w:color w:val="auto"/>
          <w:kern w:val="0"/>
          <w:szCs w:val="21"/>
          <w:highlight w:val="none"/>
          <w:lang w:val="zh-CN"/>
        </w:rPr>
      </w:pPr>
      <w:r>
        <w:rPr>
          <w:rFonts w:hint="eastAsia" w:ascii="宋体" w:hAnsi="宋体" w:eastAsia="宋体" w:cs="宋体"/>
          <w:b/>
          <w:bCs/>
          <w:color w:val="auto"/>
          <w:kern w:val="0"/>
          <w:szCs w:val="21"/>
          <w:highlight w:val="none"/>
          <w:lang w:val="zh-CN"/>
        </w:rPr>
        <w:t>开户银行：东莞银行东莞分行</w:t>
      </w:r>
    </w:p>
    <w:p w14:paraId="723E895E">
      <w:pPr>
        <w:autoSpaceDE w:val="0"/>
        <w:autoSpaceDN w:val="0"/>
        <w:adjustRightInd w:val="0"/>
        <w:spacing w:line="360" w:lineRule="auto"/>
        <w:ind w:left="225" w:leftChars="107" w:firstLine="491" w:firstLineChars="233"/>
        <w:jc w:val="left"/>
        <w:rPr>
          <w:rFonts w:ascii="宋体" w:hAnsi="宋体" w:eastAsia="宋体" w:cs="Times New Roman"/>
          <w:b/>
          <w:bCs/>
          <w:color w:val="auto"/>
          <w:kern w:val="0"/>
          <w:szCs w:val="21"/>
          <w:highlight w:val="none"/>
          <w:u w:val="single"/>
        </w:rPr>
      </w:pPr>
      <w:r>
        <w:rPr>
          <w:rFonts w:hint="eastAsia" w:ascii="宋体" w:hAnsi="宋体" w:eastAsia="宋体" w:cs="宋体"/>
          <w:b/>
          <w:bCs/>
          <w:color w:val="auto"/>
          <w:kern w:val="0"/>
          <w:szCs w:val="21"/>
          <w:highlight w:val="none"/>
          <w:lang w:val="zh-CN"/>
        </w:rPr>
        <w:t>银行账号：</w:t>
      </w:r>
      <w:r>
        <w:rPr>
          <w:rFonts w:hint="eastAsia" w:ascii="宋体" w:hAnsi="宋体" w:eastAsia="宋体" w:cs="宋体"/>
          <w:b/>
          <w:bCs/>
          <w:color w:val="auto"/>
          <w:kern w:val="0"/>
          <w:szCs w:val="21"/>
          <w:highlight w:val="none"/>
          <w:u w:val="single"/>
        </w:rPr>
        <w:t>540008801002628</w:t>
      </w:r>
    </w:p>
    <w:p w14:paraId="7049767D">
      <w:pPr>
        <w:spacing w:line="360" w:lineRule="auto"/>
        <w:ind w:left="210" w:leftChars="100" w:firstLine="211" w:firstLineChars="1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u w:val="single"/>
        </w:rPr>
        <w:t>投标保证金未按规定时间到达指定账户或提交金额不足的，将被视为无效投标保证金</w:t>
      </w:r>
      <w:r>
        <w:rPr>
          <w:rFonts w:hint="eastAsia" w:ascii="宋体" w:hAnsi="宋体" w:eastAsia="宋体" w:cs="宋体"/>
          <w:b/>
          <w:color w:val="auto"/>
          <w:kern w:val="0"/>
          <w:szCs w:val="21"/>
          <w:highlight w:val="none"/>
        </w:rPr>
        <w:t>。</w:t>
      </w:r>
    </w:p>
    <w:p w14:paraId="098A6FFE">
      <w:pPr>
        <w:autoSpaceDE w:val="0"/>
        <w:autoSpaceDN w:val="0"/>
        <w:adjustRightInd w:val="0"/>
        <w:spacing w:line="360" w:lineRule="auto"/>
        <w:ind w:left="357" w:leftChars="-100" w:hanging="567" w:hangingChars="270"/>
        <w:jc w:val="left"/>
        <w:rPr>
          <w:rFonts w:hint="eastAsia" w:ascii="宋体" w:hAnsi="宋体" w:eastAsia="宋体" w:cs="宋体"/>
          <w:b/>
          <w:color w:val="auto"/>
          <w:kern w:val="0"/>
          <w:szCs w:val="24"/>
          <w:highlight w:val="none"/>
        </w:rPr>
      </w:pPr>
      <w:r>
        <w:rPr>
          <w:rFonts w:hint="eastAsia" w:ascii="宋体" w:hAnsi="宋体" w:eastAsia="宋体" w:cs="宋体"/>
          <w:bCs/>
          <w:color w:val="auto"/>
          <w:szCs w:val="21"/>
          <w:highlight w:val="none"/>
          <w:lang w:val="zh-CN"/>
        </w:rPr>
        <w:t>15.4</w:t>
      </w:r>
      <w:r>
        <w:rPr>
          <w:rFonts w:ascii="宋体" w:hAnsi="宋体" w:eastAsia="宋体" w:cs="宋体"/>
          <w:bCs/>
          <w:color w:val="auto"/>
          <w:szCs w:val="21"/>
          <w:highlight w:val="none"/>
          <w:lang w:val="zh-CN"/>
        </w:rPr>
        <w:t xml:space="preserve"> </w:t>
      </w:r>
      <w:r>
        <w:rPr>
          <w:rFonts w:hint="eastAsia" w:ascii="宋体" w:hAnsi="宋体" w:eastAsia="宋体" w:cs="宋体"/>
          <w:b/>
          <w:color w:val="auto"/>
          <w:kern w:val="0"/>
          <w:szCs w:val="24"/>
          <w:highlight w:val="none"/>
          <w:u w:val="single"/>
        </w:rPr>
        <w:t>任何未按第15.1款、第15.2款、第15.3款规定提交投标保证金的投标，将被视为无效投标</w:t>
      </w:r>
      <w:r>
        <w:rPr>
          <w:rFonts w:hint="eastAsia" w:ascii="宋体" w:hAnsi="宋体" w:eastAsia="宋体" w:cs="宋体"/>
          <w:b/>
          <w:color w:val="auto"/>
          <w:kern w:val="0"/>
          <w:szCs w:val="24"/>
          <w:highlight w:val="none"/>
        </w:rPr>
        <w:t>。</w:t>
      </w:r>
    </w:p>
    <w:p w14:paraId="00CB86C3">
      <w:pPr>
        <w:pStyle w:val="2"/>
        <w:ind w:left="315" w:leftChars="150"/>
        <w:rPr>
          <w:rFonts w:hint="eastAsia" w:ascii="宋体" w:hAnsi="宋体" w:eastAsia="宋体" w:cs="宋体"/>
          <w:b/>
          <w:bCs w:val="0"/>
          <w:snapToGrid/>
          <w:color w:val="auto"/>
          <w:szCs w:val="24"/>
          <w:highlight w:val="none"/>
          <w:u w:val="single"/>
        </w:rPr>
      </w:pPr>
      <w:r>
        <w:rPr>
          <w:rFonts w:hint="eastAsia" w:ascii="宋体" w:hAnsi="宋体" w:eastAsia="宋体" w:cs="宋体"/>
          <w:b/>
          <w:bCs w:val="0"/>
          <w:snapToGrid/>
          <w:color w:val="auto"/>
          <w:szCs w:val="24"/>
          <w:highlight w:val="none"/>
          <w:u w:val="single"/>
        </w:rPr>
        <w:t>为更快捷将投标保证金关联到本项目，投标人应在转账时注明招标编号，否则因此导致的无法识别投标保证金对应项目等不利后果将由投标人承担。</w:t>
      </w:r>
    </w:p>
    <w:p w14:paraId="1EFEB558">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15.5 </w:t>
      </w:r>
      <w:r>
        <w:rPr>
          <w:rFonts w:hint="eastAsia" w:ascii="宋体" w:hAnsi="宋体" w:eastAsia="宋体" w:cs="宋体"/>
          <w:color w:val="auto"/>
          <w:kern w:val="0"/>
          <w:szCs w:val="21"/>
          <w:highlight w:val="none"/>
        </w:rPr>
        <w:t>未</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1"/>
          <w:highlight w:val="none"/>
        </w:rPr>
        <w:t>的投标人的投标保证金，最迟应</w:t>
      </w:r>
      <w:r>
        <w:rPr>
          <w:rFonts w:hint="eastAsia" w:ascii="宋体" w:hAnsi="宋体" w:eastAsia="宋体" w:cs="宋体"/>
          <w:color w:val="auto"/>
          <w:kern w:val="0"/>
          <w:szCs w:val="21"/>
          <w:highlight w:val="none"/>
          <w:lang w:eastAsia="zh-CN"/>
        </w:rPr>
        <w:t>在本项目的书面合同签订后5日内</w:t>
      </w:r>
      <w:r>
        <w:rPr>
          <w:rFonts w:hint="eastAsia" w:ascii="宋体" w:hAnsi="宋体" w:eastAsia="宋体" w:cs="宋体"/>
          <w:color w:val="auto"/>
          <w:kern w:val="0"/>
          <w:szCs w:val="21"/>
          <w:highlight w:val="none"/>
        </w:rPr>
        <w:t>，按照其投标保证金支付凭证上注明的收款人名称和账号予以退还，除非</w:t>
      </w:r>
      <w:r>
        <w:rPr>
          <w:rFonts w:hint="eastAsia" w:ascii="宋体" w:hAnsi="宋体" w:eastAsia="宋体" w:cs="Times New Roman"/>
          <w:color w:val="auto"/>
          <w:kern w:val="0"/>
          <w:szCs w:val="21"/>
          <w:highlight w:val="none"/>
        </w:rPr>
        <w:t>投标保证金</w:t>
      </w:r>
      <w:r>
        <w:rPr>
          <w:rFonts w:hint="eastAsia" w:ascii="宋体" w:hAnsi="宋体" w:eastAsia="宋体" w:cs="宋体"/>
          <w:color w:val="auto"/>
          <w:kern w:val="0"/>
          <w:szCs w:val="21"/>
          <w:highlight w:val="none"/>
        </w:rPr>
        <w:t>有效期已延长。</w:t>
      </w:r>
    </w:p>
    <w:p w14:paraId="3C8B83F2">
      <w:pPr>
        <w:spacing w:line="360" w:lineRule="auto"/>
        <w:ind w:left="357" w:leftChars="-100" w:hanging="567" w:hangingChars="270"/>
        <w:rPr>
          <w:rFonts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15.6 </w:t>
      </w:r>
      <w:r>
        <w:rPr>
          <w:rFonts w:hint="eastAsia" w:ascii="宋体" w:hAnsi="宋体" w:eastAsia="宋体" w:cs="宋体"/>
          <w:color w:val="auto"/>
          <w:kern w:val="0"/>
          <w:szCs w:val="21"/>
          <w:highlight w:val="none"/>
        </w:rPr>
        <w:t>中标人的投标保证金，满足下列要求，并最迟应在本项目的书面合同签订后的5日内退还。</w:t>
      </w:r>
    </w:p>
    <w:p w14:paraId="382001A5">
      <w:pPr>
        <w:autoSpaceDE w:val="0"/>
        <w:autoSpaceDN w:val="0"/>
        <w:adjustRightInd w:val="0"/>
        <w:spacing w:line="360" w:lineRule="auto"/>
        <w:ind w:left="357" w:leftChars="-100" w:hanging="567"/>
        <w:rPr>
          <w:rFonts w:ascii="宋体" w:hAnsi="宋体" w:eastAsia="宋体" w:cs="宋体"/>
          <w:color w:val="auto"/>
          <w:szCs w:val="21"/>
          <w:highlight w:val="none"/>
          <w:lang w:val="zh-CN"/>
        </w:rPr>
      </w:pPr>
      <w:bookmarkStart w:id="186" w:name="_Toc4224"/>
      <w:r>
        <w:rPr>
          <w:rFonts w:hint="eastAsia" w:ascii="宋体" w:hAnsi="宋体" w:eastAsia="宋体" w:cs="宋体"/>
          <w:color w:val="auto"/>
          <w:kern w:val="0"/>
          <w:szCs w:val="21"/>
          <w:highlight w:val="none"/>
        </w:rPr>
        <w:t>（1）</w:t>
      </w:r>
      <w:r>
        <w:rPr>
          <w:rFonts w:hint="eastAsia" w:ascii="宋体" w:hAnsi="宋体" w:eastAsia="宋体" w:cs="宋体"/>
          <w:color w:val="auto"/>
          <w:szCs w:val="21"/>
          <w:highlight w:val="none"/>
          <w:lang w:val="zh-CN"/>
        </w:rPr>
        <w:t>中标人提交了履约担保；</w:t>
      </w:r>
      <w:bookmarkEnd w:id="186"/>
    </w:p>
    <w:p w14:paraId="2D3F1418">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（2）在投标过程中</w:t>
      </w:r>
      <w:r>
        <w:rPr>
          <w:rFonts w:hint="eastAsia" w:ascii="宋体" w:hAnsi="宋体" w:eastAsia="宋体" w:cs="宋体"/>
          <w:color w:val="auto"/>
          <w:kern w:val="0"/>
          <w:szCs w:val="21"/>
          <w:highlight w:val="none"/>
        </w:rPr>
        <w:t>不存在违反本招标文件或《中华人民共和国招标投标法》及其实施条例等规定的行为。</w:t>
      </w:r>
    </w:p>
    <w:p w14:paraId="6B1068C9">
      <w:pPr>
        <w:spacing w:line="360" w:lineRule="auto"/>
        <w:ind w:left="315" w:leftChars="-100" w:hanging="525" w:hangingChars="250"/>
        <w:rPr>
          <w:rFonts w:ascii="宋体" w:hAnsi="宋体" w:eastAsia="宋体" w:cs="宋体"/>
          <w:b/>
          <w:bCs/>
          <w:color w:val="auto"/>
          <w:kern w:val="0"/>
          <w:szCs w:val="20"/>
          <w:highlight w:val="none"/>
        </w:rPr>
      </w:pPr>
      <w:r>
        <w:rPr>
          <w:rFonts w:hint="eastAsia" w:ascii="宋体" w:hAnsi="宋体" w:eastAsia="宋体" w:cs="宋体"/>
          <w:bCs/>
          <w:color w:val="auto"/>
          <w:szCs w:val="21"/>
          <w:highlight w:val="none"/>
          <w:lang w:val="zh-CN"/>
        </w:rPr>
        <w:t xml:space="preserve">15.7 </w:t>
      </w:r>
      <w:r>
        <w:rPr>
          <w:rFonts w:hint="eastAsia" w:ascii="宋体" w:hAnsi="宋体" w:eastAsia="宋体" w:cs="宋体"/>
          <w:color w:val="auto"/>
          <w:kern w:val="0"/>
          <w:szCs w:val="20"/>
          <w:highlight w:val="none"/>
        </w:rPr>
        <w:t>若</w:t>
      </w:r>
      <w:r>
        <w:rPr>
          <w:rFonts w:hint="eastAsia" w:ascii="宋体" w:hAnsi="宋体" w:eastAsia="宋体" w:cs="宋体"/>
          <w:color w:val="auto"/>
          <w:szCs w:val="21"/>
          <w:highlight w:val="none"/>
          <w:lang w:val="zh-CN"/>
        </w:rPr>
        <w:t>发生</w:t>
      </w:r>
      <w:r>
        <w:rPr>
          <w:rFonts w:hint="eastAsia" w:ascii="宋体" w:hAnsi="宋体" w:eastAsia="宋体" w:cs="宋体"/>
          <w:color w:val="auto"/>
          <w:kern w:val="0"/>
          <w:szCs w:val="20"/>
          <w:highlight w:val="none"/>
        </w:rPr>
        <w:t>下列情况，招标人在书面通知投标人（或中标人）后有权不予退还投标保证金：</w:t>
      </w:r>
    </w:p>
    <w:p w14:paraId="19E05313">
      <w:pPr>
        <w:numPr>
          <w:ilvl w:val="2"/>
          <w:numId w:val="0"/>
        </w:numPr>
        <w:autoSpaceDE w:val="0"/>
        <w:autoSpaceDN w:val="0"/>
        <w:adjustRightInd w:val="0"/>
        <w:spacing w:line="360" w:lineRule="auto"/>
        <w:ind w:left="853" w:leftChars="136" w:hanging="567"/>
        <w:jc w:val="left"/>
        <w:rPr>
          <w:rFonts w:ascii="宋体" w:hAnsi="宋体" w:eastAsia="宋体" w:cs="宋体"/>
          <w:color w:val="auto"/>
          <w:kern w:val="0"/>
          <w:szCs w:val="24"/>
          <w:highlight w:val="none"/>
        </w:rPr>
      </w:pPr>
      <w:r>
        <w:rPr>
          <w:rFonts w:hint="eastAsia" w:ascii="宋体" w:hAnsi="宋体" w:eastAsia="宋体" w:cs="宋体"/>
          <w:color w:val="auto"/>
          <w:kern w:val="0"/>
          <w:szCs w:val="24"/>
          <w:highlight w:val="none"/>
        </w:rPr>
        <w:t>如果投标人（或中标人）：</w:t>
      </w:r>
    </w:p>
    <w:p w14:paraId="7ACDB16E">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（1）投标</w:t>
      </w:r>
      <w:r>
        <w:rPr>
          <w:rFonts w:hint="eastAsia" w:ascii="宋体" w:hAnsi="宋体" w:eastAsia="宋体" w:cs="宋体"/>
          <w:color w:val="auto"/>
          <w:szCs w:val="21"/>
          <w:highlight w:val="none"/>
          <w:lang w:val="zh-CN"/>
        </w:rPr>
        <w:t>人在规定的投标截止时间后至投标有效期满之前撤销或修改其投标文件；</w:t>
      </w:r>
    </w:p>
    <w:p w14:paraId="5544F6FE">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（2）中标人未能在规定期限内提交履约担保；</w:t>
      </w:r>
    </w:p>
    <w:p w14:paraId="6366B8D4">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（3）未根据第34条规定签署合同；</w:t>
      </w:r>
    </w:p>
    <w:p w14:paraId="6DCD9842">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4</w:t>
      </w:r>
      <w:r>
        <w:rPr>
          <w:rFonts w:hint="eastAsia" w:ascii="宋体" w:hAnsi="宋体" w:eastAsia="宋体" w:cs="宋体"/>
          <w:color w:val="auto"/>
          <w:szCs w:val="21"/>
          <w:highlight w:val="none"/>
          <w:lang w:val="zh-CN"/>
        </w:rPr>
        <w:t>）将中标项目转让给他人，或者在投标文件中未说明，且未经招标人同意，将中标项目的合同</w:t>
      </w:r>
      <w:r>
        <w:rPr>
          <w:rFonts w:ascii="宋体" w:hAnsi="宋体" w:eastAsia="宋体" w:cs="宋体"/>
          <w:color w:val="auto"/>
          <w:szCs w:val="21"/>
          <w:highlight w:val="none"/>
          <w:lang w:val="zh-CN"/>
        </w:rPr>
        <w:t>的权利义务转让</w:t>
      </w:r>
      <w:r>
        <w:rPr>
          <w:rFonts w:hint="eastAsia" w:ascii="宋体" w:hAnsi="宋体" w:eastAsia="宋体" w:cs="宋体"/>
          <w:color w:val="auto"/>
          <w:szCs w:val="21"/>
          <w:highlight w:val="none"/>
          <w:lang w:val="zh-CN"/>
        </w:rPr>
        <w:t>给第三</w:t>
      </w:r>
      <w:r>
        <w:rPr>
          <w:rFonts w:ascii="宋体" w:hAnsi="宋体" w:eastAsia="宋体" w:cs="宋体"/>
          <w:color w:val="auto"/>
          <w:szCs w:val="21"/>
          <w:highlight w:val="none"/>
          <w:lang w:val="zh-CN"/>
        </w:rPr>
        <w:t>方</w:t>
      </w:r>
      <w:r>
        <w:rPr>
          <w:rFonts w:hint="eastAsia" w:ascii="宋体" w:hAnsi="宋体" w:eastAsia="宋体" w:cs="宋体"/>
          <w:color w:val="auto"/>
          <w:szCs w:val="21"/>
          <w:highlight w:val="none"/>
          <w:lang w:val="zh-CN"/>
        </w:rPr>
        <w:t>的；</w:t>
      </w:r>
    </w:p>
    <w:p w14:paraId="62ACCC68">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）提供虚假投标文</w:t>
      </w:r>
      <w:r>
        <w:rPr>
          <w:rFonts w:hint="eastAsia" w:ascii="宋体" w:hAnsi="宋体" w:eastAsia="宋体" w:cs="宋体"/>
          <w:color w:val="auto"/>
          <w:kern w:val="0"/>
          <w:szCs w:val="21"/>
          <w:highlight w:val="none"/>
        </w:rPr>
        <w:t>件或虚假补充文件的，或违反《中华人民共和国招标投标法》等有关法律、法规、规章及招标投标相关规定的行为。</w:t>
      </w:r>
    </w:p>
    <w:p w14:paraId="364B3F72">
      <w:pPr>
        <w:tabs>
          <w:tab w:val="left" w:pos="1134"/>
        </w:tabs>
        <w:autoSpaceDE w:val="0"/>
        <w:autoSpaceDN w:val="0"/>
        <w:adjustRightInd w:val="0"/>
        <w:spacing w:line="360" w:lineRule="auto"/>
        <w:ind w:left="840" w:leftChars="150" w:hanging="525" w:hangingChars="250"/>
        <w:jc w:val="left"/>
        <w:rPr>
          <w:rFonts w:ascii="宋体" w:hAnsi="宋体" w:eastAsia="宋体" w:cs="宋体"/>
          <w:color w:val="auto"/>
          <w:kern w:val="0"/>
          <w:szCs w:val="21"/>
          <w:highlight w:val="none"/>
        </w:rPr>
      </w:pPr>
    </w:p>
    <w:p w14:paraId="7DD50582">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187" w:name="_Toc450662865"/>
      <w:bookmarkStart w:id="188" w:name="_Toc3140"/>
      <w:bookmarkStart w:id="189" w:name="_Toc22649_WPSOffice_Level3"/>
      <w:bookmarkStart w:id="190" w:name="_Toc486167680"/>
      <w:bookmarkStart w:id="191" w:name="_Toc1332"/>
      <w:bookmarkStart w:id="192" w:name="_Toc10550"/>
      <w:bookmarkStart w:id="193" w:name="_Toc142508330"/>
      <w:r>
        <w:rPr>
          <w:rFonts w:hint="eastAsia" w:ascii="宋体" w:hAnsi="宋体" w:eastAsia="宋体" w:cs="宋体"/>
          <w:color w:val="auto"/>
          <w:szCs w:val="21"/>
          <w:highlight w:val="none"/>
          <w:lang w:val="zh-CN"/>
        </w:rPr>
        <w:t>16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投标有效期</w:t>
      </w:r>
      <w:bookmarkEnd w:id="187"/>
      <w:bookmarkEnd w:id="188"/>
      <w:bookmarkEnd w:id="189"/>
      <w:bookmarkEnd w:id="190"/>
      <w:bookmarkEnd w:id="191"/>
      <w:bookmarkEnd w:id="192"/>
      <w:bookmarkEnd w:id="193"/>
    </w:p>
    <w:p w14:paraId="2D44EF2F">
      <w:pPr>
        <w:tabs>
          <w:tab w:val="left" w:pos="567"/>
        </w:tabs>
        <w:autoSpaceDE w:val="0"/>
        <w:autoSpaceDN w:val="0"/>
        <w:adjustRightInd w:val="0"/>
        <w:spacing w:line="360" w:lineRule="auto"/>
        <w:ind w:left="357" w:leftChars="-100" w:hanging="567"/>
        <w:rPr>
          <w:rFonts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16.1</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u w:val="single"/>
          <w:lang w:val="zh-CN"/>
        </w:rPr>
        <w:t>投标文件将在递交投标文件截止时间届满后90日内有效。投标有效期比规定时间短的按无效投标文件处理</w:t>
      </w:r>
      <w:r>
        <w:rPr>
          <w:rFonts w:hint="eastAsia" w:ascii="宋体" w:hAnsi="宋体" w:eastAsia="宋体" w:cs="宋体"/>
          <w:b/>
          <w:bCs/>
          <w:color w:val="auto"/>
          <w:szCs w:val="21"/>
          <w:highlight w:val="none"/>
          <w:lang w:val="zh-CN"/>
        </w:rPr>
        <w:t>。</w:t>
      </w:r>
    </w:p>
    <w:p w14:paraId="05FEAD6D">
      <w:pPr>
        <w:autoSpaceDE w:val="0"/>
        <w:autoSpaceDN w:val="0"/>
        <w:adjustRightInd w:val="0"/>
        <w:spacing w:line="360" w:lineRule="auto"/>
        <w:ind w:left="357" w:leftChars="-100" w:hanging="567"/>
        <w:rPr>
          <w:rFonts w:ascii="宋体" w:hAnsi="宋体" w:eastAsia="宋体" w:cs="宋体"/>
          <w:color w:val="auto"/>
          <w:szCs w:val="21"/>
          <w:highlight w:val="none"/>
          <w:lang w:val="zh-CN"/>
        </w:rPr>
      </w:pPr>
      <w:bookmarkStart w:id="194" w:name="_Toc20419"/>
      <w:r>
        <w:rPr>
          <w:rFonts w:hint="eastAsia" w:ascii="宋体" w:hAnsi="宋体" w:eastAsia="宋体" w:cs="宋体"/>
          <w:color w:val="auto"/>
          <w:szCs w:val="21"/>
          <w:highlight w:val="none"/>
          <w:lang w:val="zh-CN"/>
        </w:rPr>
        <w:t>16.2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中标人的投标文件作为合同附件，合同失效时同时失效。</w:t>
      </w:r>
      <w:bookmarkEnd w:id="194"/>
    </w:p>
    <w:p w14:paraId="752E5B0F">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在特殊情况下，招标代理机构可于投标有效期满之前要求投标人同意延长投标有效期。要求与答复均应为书面形式往来。投标人可以拒绝上述要求</w:t>
      </w:r>
      <w:r>
        <w:rPr>
          <w:rFonts w:hint="eastAsia" w:ascii="宋体" w:hAnsi="宋体" w:eastAsia="宋体" w:cs="Times New Roman"/>
          <w:color w:val="auto"/>
          <w:szCs w:val="21"/>
          <w:highlight w:val="none"/>
          <w:lang w:val="zh-CN"/>
        </w:rPr>
        <w:t>，招标</w:t>
      </w:r>
      <w:r>
        <w:rPr>
          <w:rFonts w:hint="eastAsia" w:ascii="宋体" w:hAnsi="宋体" w:eastAsia="宋体" w:cs="Times New Roman"/>
          <w:color w:val="auto"/>
          <w:szCs w:val="21"/>
          <w:highlight w:val="none"/>
          <w:lang w:val="en-US" w:eastAsia="zh-CN"/>
        </w:rPr>
        <w:t>人</w:t>
      </w:r>
      <w:r>
        <w:rPr>
          <w:rFonts w:hint="eastAsia" w:ascii="宋体" w:hAnsi="宋体" w:eastAsia="宋体" w:cs="Times New Roman"/>
          <w:color w:val="auto"/>
          <w:szCs w:val="21"/>
          <w:highlight w:val="none"/>
          <w:lang w:val="zh-CN"/>
        </w:rPr>
        <w:t>将退还</w:t>
      </w:r>
      <w:r>
        <w:rPr>
          <w:rFonts w:hint="eastAsia" w:ascii="宋体" w:hAnsi="宋体" w:eastAsia="宋体" w:cs="宋体"/>
          <w:color w:val="auto"/>
          <w:szCs w:val="21"/>
          <w:highlight w:val="none"/>
          <w:lang w:val="zh-CN"/>
        </w:rPr>
        <w:t>其投标保证金。对于同意该要求的投标人，既不要求也不允许其修改投标文件，但将要求其相应延长投标保证金的有效期。第15条投标保证金的有关规定在投标保证金延长期内仍适用。</w:t>
      </w:r>
    </w:p>
    <w:p w14:paraId="78976959">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2A06EF83">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195" w:name="_Toc450662866"/>
      <w:bookmarkStart w:id="196" w:name="_Toc486167681"/>
      <w:bookmarkStart w:id="197" w:name="_Toc13311"/>
      <w:bookmarkStart w:id="198" w:name="_Toc3716"/>
      <w:bookmarkStart w:id="199" w:name="_Toc25637_WPSOffice_Level3"/>
      <w:bookmarkStart w:id="200" w:name="_Toc142508331"/>
      <w:bookmarkStart w:id="201" w:name="_Toc5366"/>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投标文件的式样和签署</w:t>
      </w:r>
      <w:bookmarkEnd w:id="195"/>
      <w:bookmarkEnd w:id="196"/>
      <w:bookmarkEnd w:id="197"/>
      <w:bookmarkEnd w:id="198"/>
      <w:bookmarkEnd w:id="199"/>
      <w:bookmarkEnd w:id="200"/>
      <w:bookmarkEnd w:id="201"/>
    </w:p>
    <w:p w14:paraId="226B8EA0">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17.1</w:t>
      </w:r>
      <w:r>
        <w:rPr>
          <w:rFonts w:hint="eastAsia" w:ascii="宋体" w:hAnsi="宋体" w:eastAsia="宋体" w:cs="宋体"/>
          <w:color w:val="auto"/>
          <w:szCs w:val="21"/>
          <w:highlight w:val="none"/>
          <w:lang w:val="zh-CN"/>
        </w:rPr>
        <w:tab/>
      </w:r>
      <w:r>
        <w:rPr>
          <w:rFonts w:hint="eastAsia" w:ascii="宋体" w:hAnsi="宋体" w:eastAsia="宋体" w:cs="宋体"/>
          <w:b/>
          <w:color w:val="auto"/>
          <w:szCs w:val="21"/>
          <w:highlight w:val="none"/>
          <w:u w:val="single"/>
          <w:lang w:val="zh-CN"/>
        </w:rPr>
        <w:t>投标人应准备一份“唱标信封”、</w:t>
      </w:r>
      <w:r>
        <w:rPr>
          <w:rFonts w:hint="eastAsia" w:ascii="宋体" w:hAnsi="宋体" w:eastAsia="宋体" w:cs="Times New Roman"/>
          <w:b/>
          <w:color w:val="auto"/>
          <w:szCs w:val="21"/>
          <w:highlight w:val="none"/>
          <w:u w:val="single"/>
          <w:lang w:val="zh-CN"/>
        </w:rPr>
        <w:t>一份投标文件电子文件、</w:t>
      </w:r>
      <w:r>
        <w:rPr>
          <w:rFonts w:hint="eastAsia" w:ascii="宋体" w:hAnsi="宋体" w:eastAsia="宋体" w:cs="宋体"/>
          <w:b/>
          <w:color w:val="auto"/>
          <w:szCs w:val="21"/>
          <w:highlight w:val="none"/>
          <w:u w:val="single"/>
          <w:lang w:val="zh-CN"/>
        </w:rPr>
        <w:t>一份正本和五份副本“投标文件”</w:t>
      </w:r>
      <w:r>
        <w:rPr>
          <w:rFonts w:hint="eastAsia" w:ascii="宋体" w:hAnsi="宋体" w:eastAsia="宋体" w:cs="宋体"/>
          <w:color w:val="auto"/>
          <w:szCs w:val="21"/>
          <w:highlight w:val="none"/>
          <w:lang w:val="zh-CN"/>
        </w:rPr>
        <w:t>，</w:t>
      </w:r>
      <w:r>
        <w:rPr>
          <w:rFonts w:hint="eastAsia" w:ascii="宋体" w:hAnsi="宋体" w:eastAsia="宋体" w:cs="Times New Roman"/>
          <w:color w:val="auto"/>
          <w:szCs w:val="21"/>
          <w:highlight w:val="none"/>
          <w:lang w:val="zh-CN"/>
        </w:rPr>
        <w:t>在每一份投标文件上编上目录（目录内的页码必须与实际内容对应）、页次，装订成册（不允许使用活页夹），并要明确注明“正本”或“副本”，一旦正本和副本发现差异，以正本为准</w:t>
      </w:r>
      <w:r>
        <w:rPr>
          <w:rFonts w:hint="eastAsia" w:ascii="宋体" w:hAnsi="宋体" w:eastAsia="宋体" w:cs="宋体"/>
          <w:color w:val="auto"/>
          <w:szCs w:val="21"/>
          <w:highlight w:val="none"/>
          <w:lang w:val="zh-CN"/>
        </w:rPr>
        <w:t>。</w:t>
      </w:r>
    </w:p>
    <w:p w14:paraId="0955BFF5">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17.2</w:t>
      </w:r>
      <w:r>
        <w:rPr>
          <w:rFonts w:hint="eastAsia" w:ascii="宋体" w:hAnsi="宋体" w:eastAsia="宋体" w:cs="宋体"/>
          <w:color w:val="auto"/>
          <w:szCs w:val="21"/>
          <w:highlight w:val="none"/>
          <w:lang w:val="zh-CN"/>
        </w:rPr>
        <w:tab/>
      </w:r>
      <w:r>
        <w:rPr>
          <w:rFonts w:hint="eastAsia" w:ascii="宋体" w:hAnsi="宋体" w:eastAsia="宋体" w:cs="Times New Roman"/>
          <w:bCs/>
          <w:color w:val="auto"/>
          <w:szCs w:val="21"/>
          <w:highlight w:val="none"/>
          <w:lang w:val="zh-CN"/>
        </w:rPr>
        <w:t>投标文件正本和副本须打印或用不褪色墨水书写，招标文件提供的格式文件或投标文件中明确要求签署的，由投标人法定代表人或其授权代表签字（或盖私章），后者须将</w:t>
      </w:r>
      <w:r>
        <w:rPr>
          <w:rFonts w:hint="eastAsia" w:ascii="宋体" w:hAnsi="宋体" w:eastAsia="宋体" w:cs="宋体"/>
          <w:bCs/>
          <w:color w:val="auto"/>
          <w:szCs w:val="21"/>
          <w:highlight w:val="none"/>
          <w:lang w:val="zh-CN"/>
        </w:rPr>
        <w:t>“</w:t>
      </w:r>
      <w:r>
        <w:rPr>
          <w:rFonts w:hint="eastAsia" w:ascii="宋体" w:hAnsi="宋体" w:eastAsia="宋体" w:cs="宋体"/>
          <w:color w:val="auto"/>
          <w:szCs w:val="21"/>
          <w:highlight w:val="none"/>
          <w:lang w:val="zh-CN"/>
        </w:rPr>
        <w:t>法定代表人授权书</w:t>
      </w:r>
      <w:r>
        <w:rPr>
          <w:rFonts w:hint="eastAsia" w:ascii="宋体" w:hAnsi="宋体" w:eastAsia="宋体" w:cs="宋体"/>
          <w:bCs/>
          <w:color w:val="auto"/>
          <w:szCs w:val="21"/>
          <w:highlight w:val="none"/>
          <w:lang w:val="zh-CN"/>
        </w:rPr>
        <w:t>”</w:t>
      </w:r>
      <w:r>
        <w:rPr>
          <w:rFonts w:hint="eastAsia" w:ascii="宋体" w:hAnsi="宋体" w:eastAsia="宋体" w:cs="Times New Roman"/>
          <w:bCs/>
          <w:color w:val="auto"/>
          <w:szCs w:val="21"/>
          <w:highlight w:val="none"/>
          <w:lang w:val="zh-CN"/>
        </w:rPr>
        <w:t>以书面形式附在投标文件中。</w:t>
      </w:r>
      <w:r>
        <w:rPr>
          <w:rFonts w:hint="eastAsia" w:ascii="宋体" w:hAnsi="宋体" w:eastAsia="宋体" w:cs="Times New Roman"/>
          <w:color w:val="auto"/>
          <w:szCs w:val="21"/>
          <w:highlight w:val="none"/>
          <w:lang w:val="zh-CN"/>
        </w:rPr>
        <w:t>副本文件可由正本文件复印而成。</w:t>
      </w:r>
    </w:p>
    <w:p w14:paraId="6F6FAE08">
      <w:pPr>
        <w:autoSpaceDE w:val="0"/>
        <w:autoSpaceDN w:val="0"/>
        <w:adjustRightInd w:val="0"/>
        <w:spacing w:line="360" w:lineRule="auto"/>
        <w:ind w:left="357" w:leftChars="-100" w:hanging="567"/>
        <w:rPr>
          <w:rFonts w:ascii="宋体" w:hAnsi="宋体" w:eastAsia="宋体" w:cs="宋体"/>
          <w:bCs/>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除投标人对错处作必要修改外，投标文件中不许有加行、涂抹或改写。</w:t>
      </w:r>
      <w:r>
        <w:rPr>
          <w:rFonts w:hint="eastAsia" w:ascii="宋体" w:hAnsi="宋体" w:eastAsia="宋体" w:cs="宋体"/>
          <w:bCs/>
          <w:color w:val="auto"/>
          <w:szCs w:val="21"/>
          <w:highlight w:val="none"/>
          <w:lang w:val="zh-CN"/>
        </w:rPr>
        <w:t>若有修改须由签署投标文件的人进行签字（或盖私章），并加盖投标人</w:t>
      </w:r>
      <w:r>
        <w:rPr>
          <w:rFonts w:hint="eastAsia" w:ascii="宋体" w:hAnsi="宋体" w:eastAsia="宋体" w:cs="Times New Roman"/>
          <w:bCs/>
          <w:color w:val="auto"/>
          <w:szCs w:val="21"/>
          <w:highlight w:val="none"/>
          <w:lang w:val="zh-CN"/>
        </w:rPr>
        <w:t>法人</w:t>
      </w:r>
      <w:r>
        <w:rPr>
          <w:rFonts w:hint="eastAsia" w:ascii="宋体" w:hAnsi="宋体" w:eastAsia="宋体" w:cs="宋体"/>
          <w:bCs/>
          <w:color w:val="auto"/>
          <w:szCs w:val="21"/>
          <w:highlight w:val="none"/>
          <w:lang w:val="zh-CN"/>
        </w:rPr>
        <w:t>公章。</w:t>
      </w:r>
    </w:p>
    <w:p w14:paraId="23689A1C">
      <w:pPr>
        <w:autoSpaceDE w:val="0"/>
        <w:autoSpaceDN w:val="0"/>
        <w:adjustRightInd w:val="0"/>
        <w:spacing w:line="360" w:lineRule="auto"/>
        <w:ind w:left="357" w:leftChars="-100" w:hanging="567"/>
        <w:rPr>
          <w:rFonts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4</w:t>
      </w:r>
      <w:r>
        <w:rPr>
          <w:rFonts w:hint="eastAsia" w:ascii="宋体" w:hAnsi="宋体" w:eastAsia="宋体" w:cs="宋体"/>
          <w:color w:val="auto"/>
          <w:szCs w:val="21"/>
          <w:highlight w:val="none"/>
          <w:lang w:val="zh-CN"/>
        </w:rPr>
        <w:t xml:space="preserve">  投标文件的封面应注明“项目名称、招标编号、投标人名称、投标日期等”。</w:t>
      </w:r>
    </w:p>
    <w:p w14:paraId="5C165674">
      <w:pPr>
        <w:autoSpaceDE w:val="0"/>
        <w:autoSpaceDN w:val="0"/>
        <w:adjustRightInd w:val="0"/>
        <w:spacing w:line="360" w:lineRule="auto"/>
        <w:ind w:left="357" w:leftChars="-100" w:hanging="567"/>
        <w:rPr>
          <w:rFonts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电子文件内容包括：电子文件不可设置密码，用DVD或CD-R光盘或U盘储存，</w:t>
      </w:r>
      <w:r>
        <w:rPr>
          <w:rFonts w:hint="eastAsia" w:ascii="宋体" w:hAnsi="宋体" w:eastAsia="宋体" w:cs="Times New Roman"/>
          <w:color w:val="auto"/>
          <w:szCs w:val="21"/>
          <w:highlight w:val="none"/>
          <w:lang w:val="zh-CN"/>
        </w:rPr>
        <w:t>可密封于</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唱标信封</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内（若电子文件单独密封，其包装封面需注明项目名称、招标编号、投标人单位名称，并加盖投标人法人公章）</w:t>
      </w:r>
      <w:r>
        <w:rPr>
          <w:rFonts w:hint="eastAsia" w:ascii="宋体" w:hAnsi="宋体" w:eastAsia="宋体" w:cs="宋体"/>
          <w:color w:val="auto"/>
          <w:szCs w:val="21"/>
          <w:highlight w:val="none"/>
          <w:lang w:val="zh-CN"/>
        </w:rPr>
        <w:t>。</w:t>
      </w:r>
    </w:p>
    <w:p w14:paraId="26607C54">
      <w:pPr>
        <w:autoSpaceDE w:val="0"/>
        <w:autoSpaceDN w:val="0"/>
        <w:adjustRightInd w:val="0"/>
        <w:spacing w:line="360" w:lineRule="auto"/>
        <w:ind w:left="357" w:leftChars="-100" w:hanging="567"/>
        <w:rPr>
          <w:rFonts w:ascii="宋体" w:hAnsi="宋体" w:eastAsia="宋体" w:cs="宋体"/>
          <w:color w:val="auto"/>
          <w:szCs w:val="21"/>
          <w:highlight w:val="none"/>
          <w:lang w:val="zh-CN"/>
        </w:rPr>
      </w:pPr>
      <w:bookmarkStart w:id="202" w:name="_Toc28072"/>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电报、电传、传真的投标概不接受。</w:t>
      </w:r>
      <w:bookmarkEnd w:id="202"/>
    </w:p>
    <w:p w14:paraId="0712D631">
      <w:pPr>
        <w:autoSpaceDE w:val="0"/>
        <w:autoSpaceDN w:val="0"/>
        <w:adjustRightInd w:val="0"/>
        <w:jc w:val="left"/>
        <w:rPr>
          <w:rFonts w:ascii="宋体" w:hAnsi="宋体" w:eastAsia="宋体" w:cs="宋体"/>
          <w:color w:val="auto"/>
          <w:kern w:val="0"/>
          <w:sz w:val="24"/>
          <w:szCs w:val="24"/>
          <w:highlight w:val="none"/>
        </w:rPr>
      </w:pPr>
      <w:bookmarkStart w:id="203" w:name="_Toc450662867"/>
    </w:p>
    <w:p w14:paraId="13E8EB6A">
      <w:pPr>
        <w:keepNext/>
        <w:keepLines/>
        <w:tabs>
          <w:tab w:val="left" w:pos="509"/>
        </w:tabs>
        <w:autoSpaceDE w:val="0"/>
        <w:autoSpaceDN w:val="0"/>
        <w:adjustRightInd w:val="0"/>
        <w:spacing w:line="360" w:lineRule="auto"/>
        <w:jc w:val="left"/>
        <w:outlineLvl w:val="1"/>
        <w:rPr>
          <w:rFonts w:ascii="宋体" w:hAnsi="宋体" w:eastAsia="宋体" w:cs="宋体"/>
          <w:color w:val="auto"/>
          <w:kern w:val="0"/>
          <w:sz w:val="24"/>
          <w:szCs w:val="24"/>
          <w:highlight w:val="none"/>
        </w:rPr>
      </w:pPr>
      <w:bookmarkStart w:id="204" w:name="_Toc142508332"/>
      <w:bookmarkStart w:id="205" w:name="_Toc486167682"/>
      <w:bookmarkStart w:id="206" w:name="_Toc23033"/>
      <w:bookmarkStart w:id="207" w:name="_Toc17608"/>
      <w:bookmarkStart w:id="208" w:name="_Toc140596891"/>
      <w:bookmarkStart w:id="209" w:name="_Toc27036"/>
      <w:bookmarkStart w:id="210" w:name="_Toc22356_WPSOffice_Level2"/>
      <w:r>
        <w:rPr>
          <w:rFonts w:hint="eastAsia" w:ascii="宋体" w:hAnsi="宋体" w:eastAsia="宋体" w:cs="宋体"/>
          <w:b/>
          <w:bCs/>
          <w:color w:val="auto"/>
          <w:kern w:val="44"/>
          <w:szCs w:val="21"/>
          <w:highlight w:val="none"/>
          <w:lang w:val="zh-CN"/>
        </w:rPr>
        <w:t>四、投标文件的递交</w:t>
      </w:r>
      <w:bookmarkEnd w:id="203"/>
      <w:bookmarkEnd w:id="204"/>
      <w:bookmarkEnd w:id="205"/>
      <w:bookmarkEnd w:id="206"/>
      <w:bookmarkEnd w:id="207"/>
      <w:bookmarkEnd w:id="208"/>
      <w:bookmarkEnd w:id="209"/>
      <w:bookmarkEnd w:id="210"/>
    </w:p>
    <w:p w14:paraId="57D328B3">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211" w:name="_Toc9900"/>
      <w:bookmarkStart w:id="212" w:name="_Toc11948"/>
      <w:bookmarkStart w:id="213" w:name="_Toc12192_WPSOffice_Level3"/>
      <w:bookmarkStart w:id="214" w:name="_Toc142508333"/>
      <w:bookmarkStart w:id="215" w:name="_Toc450662868"/>
      <w:bookmarkStart w:id="216" w:name="_Toc9212"/>
      <w:bookmarkStart w:id="217" w:name="_Toc486167683"/>
      <w:r>
        <w:rPr>
          <w:rFonts w:hint="eastAsia" w:ascii="宋体" w:hAnsi="宋体" w:eastAsia="宋体" w:cs="宋体"/>
          <w:color w:val="auto"/>
          <w:szCs w:val="21"/>
          <w:highlight w:val="none"/>
          <w:lang w:val="zh-CN"/>
        </w:rPr>
        <w:t>18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投标文件的密封和标记</w:t>
      </w:r>
      <w:bookmarkEnd w:id="211"/>
      <w:bookmarkEnd w:id="212"/>
      <w:bookmarkEnd w:id="213"/>
      <w:bookmarkEnd w:id="214"/>
      <w:bookmarkEnd w:id="215"/>
      <w:bookmarkEnd w:id="216"/>
      <w:bookmarkEnd w:id="217"/>
    </w:p>
    <w:p w14:paraId="4E8F7A70">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投标人应将正本和副本投标文件（本处不含唱标信封</w:t>
      </w:r>
      <w:r>
        <w:rPr>
          <w:rFonts w:hint="eastAsia" w:ascii="宋体" w:hAnsi="宋体" w:eastAsia="宋体" w:cs="Times New Roman"/>
          <w:color w:val="auto"/>
          <w:szCs w:val="21"/>
          <w:highlight w:val="none"/>
          <w:lang w:val="zh-CN"/>
        </w:rPr>
        <w:t>、投标文件电子文件</w:t>
      </w:r>
      <w:r>
        <w:rPr>
          <w:rFonts w:hint="eastAsia" w:ascii="宋体" w:hAnsi="宋体" w:eastAsia="宋体" w:cs="宋体"/>
          <w:color w:val="auto"/>
          <w:szCs w:val="21"/>
          <w:highlight w:val="none"/>
          <w:lang w:val="zh-CN"/>
        </w:rPr>
        <w:t>）密封在不透明的外层封装中。</w:t>
      </w:r>
    </w:p>
    <w:p w14:paraId="3CC7AEDF">
      <w:pPr>
        <w:autoSpaceDE w:val="0"/>
        <w:autoSpaceDN w:val="0"/>
        <w:adjustRightInd w:val="0"/>
        <w:spacing w:line="360" w:lineRule="auto"/>
        <w:ind w:left="357" w:leftChars="-100" w:hanging="567"/>
        <w:rPr>
          <w:rFonts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18.2</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lang w:val="zh-CN"/>
        </w:rPr>
        <w:t>唱标信封应单独密封</w:t>
      </w:r>
      <w:r>
        <w:rPr>
          <w:rFonts w:hint="eastAsia" w:ascii="宋体" w:hAnsi="宋体" w:eastAsia="宋体" w:cs="Times New Roman"/>
          <w:b/>
          <w:bCs/>
          <w:color w:val="auto"/>
          <w:szCs w:val="21"/>
          <w:highlight w:val="none"/>
          <w:lang w:val="zh-CN"/>
        </w:rPr>
        <w:t>，与18.1款的投标文件一同提交。</w:t>
      </w:r>
    </w:p>
    <w:p w14:paraId="7BE6223F">
      <w:pPr>
        <w:autoSpaceDE w:val="0"/>
        <w:autoSpaceDN w:val="0"/>
        <w:adjustRightInd w:val="0"/>
        <w:spacing w:line="360" w:lineRule="auto"/>
        <w:ind w:left="357" w:leftChars="-100" w:hanging="567"/>
        <w:rPr>
          <w:rFonts w:ascii="宋体" w:hAnsi="宋体" w:eastAsia="宋体" w:cs="宋体"/>
          <w:color w:val="auto"/>
          <w:szCs w:val="21"/>
          <w:highlight w:val="none"/>
          <w:lang w:val="zh-CN"/>
        </w:rPr>
      </w:pPr>
      <w:bookmarkStart w:id="218" w:name="_Toc21627"/>
      <w:r>
        <w:rPr>
          <w:rFonts w:hint="eastAsia" w:ascii="宋体" w:hAnsi="宋体" w:eastAsia="宋体" w:cs="宋体"/>
          <w:color w:val="auto"/>
          <w:szCs w:val="21"/>
          <w:highlight w:val="none"/>
          <w:lang w:val="zh-CN"/>
        </w:rPr>
        <w:t>18.3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投标文件密封封装标记：</w:t>
      </w:r>
      <w:bookmarkEnd w:id="218"/>
    </w:p>
    <w:p w14:paraId="7643150D">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rPr>
        <w:t>1</w:t>
      </w:r>
      <w:r>
        <w:rPr>
          <w:rFonts w:hint="eastAsia" w:ascii="宋体" w:hAnsi="宋体" w:eastAsia="宋体" w:cs="Times New Roman"/>
          <w:color w:val="auto"/>
          <w:szCs w:val="21"/>
          <w:highlight w:val="none"/>
          <w:lang w:val="zh-CN"/>
        </w:rPr>
        <w:t>）外层密封封装表面应正确注明项目名称、招标编号、投标人单位名称、并注明投标文件递交截止时间之前不得开封（在封口位置的封条上标注注明），封口位置的封条上须加盖投标人法人公章；</w:t>
      </w:r>
    </w:p>
    <w:p w14:paraId="71E445F0">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）投标文件已密封但不按前述标志封包，由此而引起的提前开封或错放责任由投标人承担；</w:t>
      </w:r>
    </w:p>
    <w:p w14:paraId="5559C5DA">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（3）不足以造成投标文件可以从外包装内散出而导致投标文件泄密的，不认定为投标文件未密封。</w:t>
      </w:r>
    </w:p>
    <w:p w14:paraId="48CE62E3">
      <w:pPr>
        <w:tabs>
          <w:tab w:val="left" w:pos="567"/>
        </w:tabs>
        <w:autoSpaceDE w:val="0"/>
        <w:autoSpaceDN w:val="0"/>
        <w:adjustRightInd w:val="0"/>
        <w:spacing w:line="360" w:lineRule="auto"/>
        <w:ind w:left="357" w:leftChars="-100" w:right="15" w:rightChars="7" w:hanging="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18.4</w:t>
      </w:r>
      <w:r>
        <w:rPr>
          <w:rFonts w:hint="eastAsia" w:ascii="宋体" w:hAnsi="宋体" w:eastAsia="宋体" w:cs="宋体"/>
          <w:b/>
          <w:color w:val="auto"/>
          <w:szCs w:val="21"/>
          <w:highlight w:val="none"/>
          <w:lang w:val="zh-CN"/>
        </w:rPr>
        <w:tab/>
      </w:r>
      <w:r>
        <w:rPr>
          <w:rFonts w:hint="eastAsia" w:ascii="宋体" w:hAnsi="宋体" w:eastAsia="宋体" w:cs="宋体"/>
          <w:b/>
          <w:color w:val="auto"/>
          <w:szCs w:val="21"/>
          <w:highlight w:val="none"/>
          <w:lang w:val="zh-CN"/>
        </w:rPr>
        <w:t>如果</w:t>
      </w:r>
      <w:r>
        <w:rPr>
          <w:rFonts w:hint="eastAsia" w:ascii="宋体" w:hAnsi="宋体" w:eastAsia="宋体" w:cs="Times New Roman"/>
          <w:b/>
          <w:color w:val="auto"/>
          <w:szCs w:val="21"/>
          <w:highlight w:val="none"/>
          <w:lang w:val="zh-CN"/>
        </w:rPr>
        <w:t>密封封装未按本款规定密封和标记，招标代理机构对投标文件的误投或提前拆封不负责任。对由此造成提前开封的投标文件，招标代理机构予以拒绝，并退回投标人</w:t>
      </w:r>
      <w:r>
        <w:rPr>
          <w:rFonts w:hint="eastAsia" w:ascii="宋体" w:hAnsi="宋体" w:eastAsia="宋体" w:cs="宋体"/>
          <w:b/>
          <w:color w:val="auto"/>
          <w:szCs w:val="21"/>
          <w:highlight w:val="none"/>
          <w:lang w:val="zh-CN"/>
        </w:rPr>
        <w:t>。</w:t>
      </w:r>
    </w:p>
    <w:p w14:paraId="6355BC14">
      <w:pPr>
        <w:autoSpaceDE w:val="0"/>
        <w:autoSpaceDN w:val="0"/>
        <w:adjustRightInd w:val="0"/>
        <w:spacing w:line="360" w:lineRule="auto"/>
        <w:ind w:left="355" w:leftChars="-101" w:right="15" w:rightChars="7" w:hanging="567" w:hangingChars="27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18.5 开标前，</w:t>
      </w:r>
      <w:r>
        <w:rPr>
          <w:rFonts w:hint="eastAsia" w:ascii="宋体" w:hAnsi="宋体" w:eastAsia="宋体" w:cs="Times New Roman"/>
          <w:color w:val="auto"/>
          <w:szCs w:val="21"/>
          <w:highlight w:val="none"/>
          <w:lang w:val="zh-CN"/>
        </w:rPr>
        <w:t>由投标人代表</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第一位递交投标文件的投标人代表及主动自愿参与检查的投标人代表</w:t>
      </w:r>
      <w:r>
        <w:rPr>
          <w:rFonts w:ascii="宋体" w:hAnsi="宋体" w:eastAsia="宋体" w:cs="Times New Roman"/>
          <w:color w:val="auto"/>
          <w:szCs w:val="21"/>
          <w:highlight w:val="none"/>
          <w:lang w:val="zh-CN"/>
        </w:rPr>
        <w:t>）和招标人代表</w:t>
      </w:r>
      <w:r>
        <w:rPr>
          <w:rFonts w:hint="eastAsia" w:ascii="宋体" w:hAnsi="宋体" w:eastAsia="宋体" w:cs="Times New Roman"/>
          <w:color w:val="auto"/>
          <w:kern w:val="0"/>
          <w:szCs w:val="21"/>
          <w:highlight w:val="none"/>
          <w:lang w:val="zh-CN"/>
        </w:rPr>
        <w:t>将对所有的投标文件的密封性进行检查</w:t>
      </w:r>
      <w:r>
        <w:rPr>
          <w:rFonts w:ascii="宋体" w:hAnsi="宋体" w:eastAsia="宋体" w:cs="Times New Roman"/>
          <w:color w:val="auto"/>
          <w:szCs w:val="21"/>
          <w:highlight w:val="none"/>
          <w:lang w:val="zh-CN"/>
        </w:rPr>
        <w:t>，并签署进行确认</w:t>
      </w:r>
      <w:r>
        <w:rPr>
          <w:rFonts w:hint="eastAsia" w:ascii="宋体" w:hAnsi="宋体" w:eastAsia="宋体" w:cs="宋体"/>
          <w:color w:val="auto"/>
          <w:szCs w:val="21"/>
          <w:highlight w:val="none"/>
          <w:lang w:val="zh-CN"/>
        </w:rPr>
        <w:t>。</w:t>
      </w:r>
    </w:p>
    <w:p w14:paraId="0D5BA868">
      <w:pPr>
        <w:tabs>
          <w:tab w:val="left" w:pos="567"/>
        </w:tabs>
        <w:autoSpaceDE w:val="0"/>
        <w:autoSpaceDN w:val="0"/>
        <w:adjustRightInd w:val="0"/>
        <w:spacing w:line="360" w:lineRule="auto"/>
        <w:ind w:right="15" w:rightChars="7" w:firstLine="525" w:firstLineChars="250"/>
        <w:rPr>
          <w:rFonts w:ascii="宋体" w:hAnsi="宋体" w:eastAsia="宋体" w:cs="宋体"/>
          <w:color w:val="auto"/>
          <w:szCs w:val="21"/>
          <w:highlight w:val="none"/>
          <w:lang w:val="zh-CN"/>
        </w:rPr>
      </w:pPr>
    </w:p>
    <w:p w14:paraId="7F062940">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219" w:name="_Toc9494"/>
      <w:bookmarkStart w:id="220" w:name="_Toc486167684"/>
      <w:bookmarkStart w:id="221" w:name="_Toc142508334"/>
      <w:bookmarkStart w:id="222" w:name="_Toc29665_WPSOffice_Level3"/>
      <w:bookmarkStart w:id="223" w:name="_Toc450662869"/>
      <w:bookmarkStart w:id="224" w:name="_Toc10469"/>
      <w:bookmarkStart w:id="225" w:name="_Toc3384"/>
      <w:r>
        <w:rPr>
          <w:rFonts w:hint="eastAsia" w:ascii="宋体" w:hAnsi="宋体" w:eastAsia="宋体" w:cs="宋体"/>
          <w:color w:val="auto"/>
          <w:szCs w:val="21"/>
          <w:highlight w:val="none"/>
          <w:lang w:val="zh-CN"/>
        </w:rPr>
        <w:t>19</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递交投标文件的截止日期</w:t>
      </w:r>
      <w:bookmarkEnd w:id="219"/>
      <w:bookmarkEnd w:id="220"/>
      <w:bookmarkEnd w:id="221"/>
      <w:bookmarkEnd w:id="222"/>
      <w:bookmarkEnd w:id="223"/>
      <w:bookmarkEnd w:id="224"/>
      <w:bookmarkEnd w:id="225"/>
    </w:p>
    <w:p w14:paraId="341E038A">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w:t>
      </w:r>
      <w:r>
        <w:rPr>
          <w:rFonts w:hint="eastAsia" w:ascii="宋体" w:hAnsi="宋体" w:eastAsia="宋体" w:cs="Times New Roman"/>
          <w:color w:val="auto"/>
          <w:szCs w:val="21"/>
          <w:highlight w:val="none"/>
          <w:lang w:val="zh-CN"/>
        </w:rPr>
        <w:t>收到投标文件的时间不得迟于第一篇</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招标公告</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中规定的截止时间</w:t>
      </w:r>
      <w:r>
        <w:rPr>
          <w:rFonts w:hint="eastAsia" w:ascii="宋体" w:hAnsi="宋体" w:eastAsia="宋体" w:cs="宋体"/>
          <w:color w:val="auto"/>
          <w:szCs w:val="21"/>
          <w:highlight w:val="none"/>
          <w:lang w:val="zh-CN"/>
        </w:rPr>
        <w:t>。</w:t>
      </w:r>
    </w:p>
    <w:p w14:paraId="75EE5DD2">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w:t>
      </w:r>
      <w:r>
        <w:rPr>
          <w:rFonts w:hint="eastAsia" w:ascii="宋体" w:hAnsi="宋体" w:eastAsia="宋体" w:cs="Times New Roman"/>
          <w:color w:val="auto"/>
          <w:szCs w:val="21"/>
          <w:highlight w:val="none"/>
          <w:lang w:val="zh-CN"/>
        </w:rPr>
        <w:t>可按照第</w:t>
      </w:r>
      <w:r>
        <w:rPr>
          <w:rFonts w:ascii="宋体" w:hAnsi="宋体" w:eastAsia="宋体" w:cs="Times New Roman"/>
          <w:color w:val="auto"/>
          <w:szCs w:val="21"/>
          <w:highlight w:val="none"/>
          <w:lang w:val="zh-CN"/>
        </w:rPr>
        <w:t>7</w:t>
      </w:r>
      <w:r>
        <w:rPr>
          <w:rFonts w:hint="eastAsia" w:ascii="宋体" w:hAnsi="宋体" w:eastAsia="宋体" w:cs="Times New Roman"/>
          <w:color w:val="auto"/>
          <w:szCs w:val="21"/>
          <w:highlight w:val="none"/>
          <w:lang w:val="zh-CN"/>
        </w:rPr>
        <w:t>条的规定修改招标文件并酌情延长递交投标文件的截止时间，因此，已规定的招标代理机构和投标人的一切权利和义务将按延期后的递交投标文件截止时间履行</w:t>
      </w:r>
      <w:r>
        <w:rPr>
          <w:rFonts w:hint="eastAsia" w:ascii="宋体" w:hAnsi="宋体" w:eastAsia="宋体" w:cs="宋体"/>
          <w:color w:val="auto"/>
          <w:szCs w:val="21"/>
          <w:highlight w:val="none"/>
          <w:lang w:val="zh-CN"/>
        </w:rPr>
        <w:t>。</w:t>
      </w:r>
    </w:p>
    <w:p w14:paraId="7D48D988">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0BAF6B7E">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kern w:val="0"/>
          <w:sz w:val="24"/>
          <w:szCs w:val="24"/>
          <w:highlight w:val="none"/>
        </w:rPr>
      </w:pPr>
      <w:bookmarkStart w:id="226" w:name="_Toc6684"/>
      <w:bookmarkStart w:id="227" w:name="_Toc22431_WPSOffice_Level3"/>
      <w:bookmarkStart w:id="228" w:name="_Toc486167685"/>
      <w:bookmarkStart w:id="229" w:name="_Toc9195"/>
      <w:bookmarkStart w:id="230" w:name="_Toc450662870"/>
      <w:bookmarkStart w:id="231" w:name="_Toc26284"/>
      <w:bookmarkStart w:id="232" w:name="_Toc142508335"/>
      <w:r>
        <w:rPr>
          <w:rFonts w:hint="eastAsia" w:ascii="宋体" w:hAnsi="宋体" w:eastAsia="宋体" w:cs="宋体"/>
          <w:color w:val="auto"/>
          <w:szCs w:val="21"/>
          <w:highlight w:val="none"/>
          <w:lang w:val="zh-CN"/>
        </w:rPr>
        <w:t>20 迟交的投标文件</w:t>
      </w:r>
      <w:bookmarkEnd w:id="226"/>
      <w:bookmarkEnd w:id="227"/>
      <w:bookmarkEnd w:id="228"/>
      <w:bookmarkEnd w:id="229"/>
      <w:bookmarkEnd w:id="230"/>
      <w:bookmarkEnd w:id="231"/>
      <w:bookmarkEnd w:id="232"/>
    </w:p>
    <w:p w14:paraId="6FF4D3DE">
      <w:pPr>
        <w:autoSpaceDE w:val="0"/>
        <w:autoSpaceDN w:val="0"/>
        <w:adjustRightInd w:val="0"/>
        <w:spacing w:line="360" w:lineRule="auto"/>
        <w:ind w:firstLine="315" w:firstLineChars="15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根据第19条规定，招标代理机构将拒绝任何晚于递交投标文件的截止时间交到的投标文件。</w:t>
      </w:r>
    </w:p>
    <w:p w14:paraId="2E049A36">
      <w:pPr>
        <w:autoSpaceDE w:val="0"/>
        <w:autoSpaceDN w:val="0"/>
        <w:adjustRightInd w:val="0"/>
        <w:jc w:val="left"/>
        <w:rPr>
          <w:rFonts w:ascii="宋体" w:hAnsi="宋体" w:eastAsia="宋体" w:cs="宋体"/>
          <w:color w:val="auto"/>
          <w:kern w:val="0"/>
          <w:sz w:val="24"/>
          <w:szCs w:val="24"/>
          <w:highlight w:val="none"/>
        </w:rPr>
      </w:pPr>
    </w:p>
    <w:p w14:paraId="1B530417">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233" w:name="_Toc16964"/>
      <w:bookmarkStart w:id="234" w:name="_Toc142508336"/>
      <w:bookmarkStart w:id="235" w:name="_Toc19956"/>
      <w:bookmarkStart w:id="236" w:name="_Toc20655"/>
      <w:bookmarkStart w:id="237" w:name="_Toc4883_WPSOffice_Level3"/>
      <w:bookmarkStart w:id="238" w:name="_Toc486167686"/>
      <w:bookmarkStart w:id="239" w:name="_Toc450662871"/>
      <w:r>
        <w:rPr>
          <w:rFonts w:hint="eastAsia" w:ascii="宋体" w:hAnsi="宋体" w:eastAsia="宋体" w:cs="宋体"/>
          <w:color w:val="auto"/>
          <w:szCs w:val="21"/>
          <w:highlight w:val="none"/>
          <w:lang w:val="zh-CN"/>
        </w:rPr>
        <w:t>21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投标文件的修改和撤回</w:t>
      </w:r>
      <w:bookmarkEnd w:id="233"/>
      <w:bookmarkEnd w:id="234"/>
      <w:bookmarkEnd w:id="235"/>
      <w:bookmarkEnd w:id="236"/>
      <w:bookmarkEnd w:id="237"/>
      <w:bookmarkEnd w:id="238"/>
      <w:bookmarkEnd w:id="239"/>
    </w:p>
    <w:p w14:paraId="49B7070E">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投标人在提交投标文件后可对其投标文件进行修改或撤回，但招标代理机构须在提交投标文件截止日期前收到该修改或撤回的书面通知。</w:t>
      </w:r>
    </w:p>
    <w:p w14:paraId="28587F20">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21.2</w:t>
      </w:r>
      <w:r>
        <w:rPr>
          <w:rFonts w:hint="eastAsia" w:ascii="宋体" w:hAnsi="宋体" w:eastAsia="宋体" w:cs="宋体"/>
          <w:color w:val="auto"/>
          <w:szCs w:val="21"/>
          <w:highlight w:val="none"/>
          <w:lang w:val="zh-CN"/>
        </w:rPr>
        <w:tab/>
      </w:r>
      <w:r>
        <w:rPr>
          <w:rFonts w:hint="eastAsia" w:ascii="宋体" w:hAnsi="宋体" w:eastAsia="宋体" w:cs="Times New Roman"/>
          <w:color w:val="auto"/>
          <w:szCs w:val="21"/>
          <w:highlight w:val="none"/>
          <w:lang w:val="zh-CN"/>
        </w:rPr>
        <w:t>投标人对投标文件的修改或撤回的通知应按第</w:t>
      </w:r>
      <w:r>
        <w:rPr>
          <w:rFonts w:ascii="宋体" w:hAnsi="宋体" w:eastAsia="宋体" w:cs="Times New Roman"/>
          <w:color w:val="auto"/>
          <w:szCs w:val="21"/>
          <w:highlight w:val="none"/>
          <w:lang w:val="zh-CN"/>
        </w:rPr>
        <w:t>17</w:t>
      </w:r>
      <w:r>
        <w:rPr>
          <w:rFonts w:hint="eastAsia" w:ascii="宋体" w:hAnsi="宋体" w:eastAsia="宋体" w:cs="Times New Roman"/>
          <w:color w:val="auto"/>
          <w:szCs w:val="21"/>
          <w:highlight w:val="none"/>
          <w:lang w:val="zh-CN"/>
        </w:rPr>
        <w:t>条和第18条规定进行准备、密封、标注和递送</w:t>
      </w:r>
      <w:r>
        <w:rPr>
          <w:rFonts w:hint="eastAsia" w:ascii="宋体" w:hAnsi="宋体" w:eastAsia="宋体" w:cs="宋体"/>
          <w:color w:val="auto"/>
          <w:szCs w:val="21"/>
          <w:highlight w:val="none"/>
          <w:lang w:val="zh-CN"/>
        </w:rPr>
        <w:t>。</w:t>
      </w:r>
    </w:p>
    <w:p w14:paraId="0947E22B">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bookmarkStart w:id="240" w:name="_Toc7440"/>
      <w:r>
        <w:rPr>
          <w:rFonts w:hint="eastAsia" w:ascii="宋体" w:hAnsi="宋体" w:eastAsia="宋体" w:cs="宋体"/>
          <w:color w:val="auto"/>
          <w:szCs w:val="21"/>
          <w:highlight w:val="none"/>
          <w:lang w:val="zh-CN"/>
        </w:rPr>
        <w:t>21.3</w:t>
      </w:r>
      <w:r>
        <w:rPr>
          <w:rFonts w:hint="eastAsia" w:ascii="宋体" w:hAnsi="宋体" w:eastAsia="宋体" w:cs="宋体"/>
          <w:color w:val="auto"/>
          <w:szCs w:val="21"/>
          <w:highlight w:val="none"/>
          <w:lang w:val="zh-CN"/>
        </w:rPr>
        <w:tab/>
      </w:r>
      <w:r>
        <w:rPr>
          <w:rFonts w:hint="eastAsia" w:ascii="宋体" w:hAnsi="宋体" w:eastAsia="宋体" w:cs="Times New Roman"/>
          <w:color w:val="auto"/>
          <w:szCs w:val="21"/>
          <w:highlight w:val="none"/>
          <w:lang w:val="zh-CN"/>
        </w:rPr>
        <w:t>递交</w:t>
      </w:r>
      <w:r>
        <w:rPr>
          <w:rFonts w:hint="eastAsia" w:ascii="宋体" w:hAnsi="宋体" w:eastAsia="宋体" w:cs="宋体"/>
          <w:color w:val="auto"/>
          <w:szCs w:val="21"/>
          <w:highlight w:val="none"/>
          <w:lang w:val="zh-CN"/>
        </w:rPr>
        <w:t>投标文件截止时间后不得修改投标文件。</w:t>
      </w:r>
      <w:bookmarkEnd w:id="240"/>
    </w:p>
    <w:p w14:paraId="3F409FB8">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投标人不得在递交投标文件截止时间起至第16条规定的投标文件有效期期满前撤销投标文件。否则招标</w:t>
      </w:r>
      <w:r>
        <w:rPr>
          <w:rFonts w:hint="eastAsia" w:ascii="宋体" w:hAnsi="宋体" w:eastAsia="宋体" w:cs="宋体"/>
          <w:color w:val="auto"/>
          <w:szCs w:val="21"/>
          <w:highlight w:val="none"/>
          <w:lang w:val="en-US" w:eastAsia="zh-CN"/>
        </w:rPr>
        <w:t>人</w:t>
      </w:r>
      <w:r>
        <w:rPr>
          <w:rFonts w:hint="eastAsia" w:ascii="宋体" w:hAnsi="宋体" w:eastAsia="宋体" w:cs="宋体"/>
          <w:color w:val="auto"/>
          <w:szCs w:val="21"/>
          <w:highlight w:val="none"/>
          <w:lang w:val="zh-CN"/>
        </w:rPr>
        <w:t>将按第15.7款（1）规定不予退还其投标保证金。</w:t>
      </w:r>
    </w:p>
    <w:p w14:paraId="4EF56CAA">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14:paraId="102EAB30">
      <w:pPr>
        <w:keepNext/>
        <w:keepLines/>
        <w:tabs>
          <w:tab w:val="left" w:pos="509"/>
        </w:tabs>
        <w:autoSpaceDE w:val="0"/>
        <w:autoSpaceDN w:val="0"/>
        <w:adjustRightInd w:val="0"/>
        <w:spacing w:line="360" w:lineRule="auto"/>
        <w:jc w:val="left"/>
        <w:outlineLvl w:val="1"/>
        <w:rPr>
          <w:rFonts w:ascii="宋体" w:hAnsi="宋体" w:eastAsia="宋体" w:cs="宋体"/>
          <w:b/>
          <w:bCs/>
          <w:color w:val="auto"/>
          <w:kern w:val="44"/>
          <w:szCs w:val="21"/>
          <w:highlight w:val="none"/>
          <w:lang w:val="zh-CN"/>
        </w:rPr>
      </w:pPr>
      <w:bookmarkStart w:id="241" w:name="_Toc5268"/>
      <w:bookmarkStart w:id="242" w:name="_Toc27648"/>
      <w:bookmarkStart w:id="243" w:name="_Toc486167687"/>
      <w:bookmarkStart w:id="244" w:name="_Toc140596896"/>
      <w:bookmarkStart w:id="245" w:name="_Toc1137"/>
      <w:bookmarkStart w:id="246" w:name="_Toc450662872"/>
      <w:bookmarkStart w:id="247" w:name="_Toc1049_WPSOffice_Level2"/>
      <w:bookmarkStart w:id="248" w:name="_Toc142508337"/>
      <w:r>
        <w:rPr>
          <w:rFonts w:hint="eastAsia" w:ascii="宋体" w:hAnsi="宋体" w:eastAsia="宋体" w:cs="宋体"/>
          <w:b/>
          <w:bCs/>
          <w:color w:val="auto"/>
          <w:kern w:val="44"/>
          <w:szCs w:val="21"/>
          <w:highlight w:val="none"/>
          <w:lang w:val="zh-CN"/>
        </w:rPr>
        <w:t>五、开标与评标</w:t>
      </w:r>
      <w:bookmarkEnd w:id="241"/>
      <w:bookmarkEnd w:id="242"/>
      <w:bookmarkEnd w:id="243"/>
      <w:bookmarkEnd w:id="244"/>
      <w:bookmarkEnd w:id="245"/>
      <w:bookmarkEnd w:id="246"/>
      <w:bookmarkEnd w:id="247"/>
      <w:bookmarkEnd w:id="248"/>
    </w:p>
    <w:p w14:paraId="37799AB5">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249" w:name="_Toc7200"/>
      <w:bookmarkStart w:id="250" w:name="_Toc486167688"/>
      <w:bookmarkStart w:id="251" w:name="_Toc142508338"/>
      <w:bookmarkStart w:id="252" w:name="_Toc144_WPSOffice_Level3"/>
      <w:bookmarkStart w:id="253" w:name="_Toc23040"/>
      <w:bookmarkStart w:id="254" w:name="_Toc450662873"/>
      <w:bookmarkStart w:id="255" w:name="_Toc29031"/>
      <w:r>
        <w:rPr>
          <w:rFonts w:hint="eastAsia" w:ascii="宋体" w:hAnsi="宋体" w:eastAsia="宋体" w:cs="宋体"/>
          <w:color w:val="auto"/>
          <w:szCs w:val="21"/>
          <w:highlight w:val="none"/>
          <w:lang w:val="zh-CN"/>
        </w:rPr>
        <w:t>22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开标</w:t>
      </w:r>
      <w:bookmarkEnd w:id="249"/>
      <w:bookmarkEnd w:id="250"/>
      <w:bookmarkEnd w:id="251"/>
      <w:bookmarkEnd w:id="252"/>
      <w:bookmarkEnd w:id="253"/>
      <w:bookmarkEnd w:id="254"/>
      <w:bookmarkEnd w:id="255"/>
    </w:p>
    <w:p w14:paraId="6DFB81E9">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招标代理机构在投标人代表自愿出席的情况下，在第一篇“招标公告”规定的地点和时间开标, 出席代表需登记以示出席。</w:t>
      </w:r>
    </w:p>
    <w:p w14:paraId="743E4963">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按照第21条规定，提交了可接受的“撤回”通知的投标文件将不予开封。</w:t>
      </w:r>
    </w:p>
    <w:p w14:paraId="0F726775">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22.3 开标时，招标代理机构将当众宣读投标人名称、投标报价以及招标代理机构认为合适的其他内容。若招标代理机构宣读的结果与投标文件不符时，投标人有权在开标现场提出异议，经招标人采购活动的监督人员</w:t>
      </w:r>
      <w:r>
        <w:rPr>
          <w:rFonts w:hint="eastAsia" w:ascii="宋体" w:hAnsi="宋体" w:eastAsia="宋体" w:cs="宋体"/>
          <w:color w:val="auto"/>
          <w:szCs w:val="21"/>
          <w:highlight w:val="none"/>
          <w:lang w:val="en-US" w:eastAsia="zh-CN"/>
        </w:rPr>
        <w:t>当</w:t>
      </w:r>
      <w:r>
        <w:rPr>
          <w:rFonts w:hint="eastAsia" w:ascii="宋体" w:hAnsi="宋体" w:eastAsia="宋体" w:cs="宋体"/>
          <w:color w:val="auto"/>
          <w:szCs w:val="21"/>
          <w:highlight w:val="none"/>
          <w:lang w:val="zh-CN"/>
        </w:rPr>
        <w:t>场核查确认之后，可重新宣读其投标文件</w:t>
      </w:r>
      <w:r>
        <w:rPr>
          <w:rFonts w:hint="eastAsia" w:ascii="宋体" w:hAnsi="宋体" w:eastAsia="宋体" w:cs="宋体"/>
          <w:color w:val="auto"/>
          <w:szCs w:val="21"/>
          <w:highlight w:val="none"/>
          <w:lang w:val="en-US" w:eastAsia="zh-CN"/>
        </w:rPr>
        <w:t>相关内容</w:t>
      </w:r>
      <w:r>
        <w:rPr>
          <w:rFonts w:hint="eastAsia" w:ascii="宋体" w:hAnsi="宋体" w:eastAsia="宋体" w:cs="宋体"/>
          <w:color w:val="auto"/>
          <w:szCs w:val="21"/>
          <w:highlight w:val="none"/>
          <w:lang w:val="zh-CN"/>
        </w:rPr>
        <w:t>。若投标人现场未提出异议，则视为投标人确认宣读的结果。</w:t>
      </w:r>
    </w:p>
    <w:p w14:paraId="20D47940">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投标文件的投标报价大写金额和小写金额不一致的，以大写金额为准。对不同文字文本投标文件的解释发生异议的，以中文文本为准。</w:t>
      </w:r>
    </w:p>
    <w:p w14:paraId="53834DBE">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22.5 投标人对开标有异议的，应当在开标现场提出，招标代理机构应当当场作出答复，并制作记录。投标人法定代表人或其授权代表未出席的，视同认可开标结果。</w:t>
      </w:r>
    </w:p>
    <w:p w14:paraId="2AA91876">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22.6 招标代理机构将做开标记录，开标记录包括第22.5款发生的异议及答复、按第22.3款的规定在开标时宣读的全部内容。</w:t>
      </w:r>
    </w:p>
    <w:p w14:paraId="75BB7A15">
      <w:pPr>
        <w:autoSpaceDE w:val="0"/>
        <w:autoSpaceDN w:val="0"/>
        <w:adjustRightInd w:val="0"/>
        <w:spacing w:line="360" w:lineRule="auto"/>
        <w:ind w:left="357" w:leftChars="-100" w:right="15" w:rightChars="7" w:hanging="567"/>
        <w:rPr>
          <w:rFonts w:ascii="宋体" w:hAnsi="宋体" w:eastAsia="宋体" w:cs="宋体"/>
          <w:color w:val="auto"/>
          <w:kern w:val="0"/>
          <w:szCs w:val="21"/>
          <w:highlight w:val="none"/>
        </w:rPr>
      </w:pPr>
    </w:p>
    <w:p w14:paraId="7EE29F96">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256" w:name="_Toc2038"/>
      <w:bookmarkStart w:id="257" w:name="_Toc486167689"/>
      <w:bookmarkStart w:id="258" w:name="_Toc14578"/>
      <w:bookmarkStart w:id="259" w:name="_Toc450662874"/>
      <w:bookmarkStart w:id="260" w:name="_Toc12165_WPSOffice_Level3"/>
      <w:bookmarkStart w:id="261" w:name="_Toc1"/>
      <w:bookmarkStart w:id="262" w:name="_Toc142508339"/>
      <w:r>
        <w:rPr>
          <w:rFonts w:hint="eastAsia" w:ascii="宋体" w:hAnsi="宋体" w:eastAsia="宋体" w:cs="宋体"/>
          <w:color w:val="auto"/>
          <w:szCs w:val="21"/>
          <w:highlight w:val="none"/>
          <w:lang w:val="zh-CN"/>
        </w:rPr>
        <w:t>23</w:t>
      </w:r>
      <w:r>
        <w:rPr>
          <w:rFonts w:ascii="宋体" w:hAnsi="宋体" w:eastAsia="宋体" w:cs="宋体"/>
          <w:color w:val="auto"/>
          <w:szCs w:val="21"/>
          <w:highlight w:val="none"/>
          <w:lang w:val="zh-CN"/>
        </w:rPr>
        <w:t xml:space="preserve"> </w:t>
      </w:r>
      <w:r>
        <w:rPr>
          <w:rFonts w:hint="eastAsia" w:ascii="宋体" w:hAnsi="宋体" w:eastAsia="宋体" w:cs="宋体"/>
          <w:color w:val="auto"/>
          <w:kern w:val="0"/>
          <w:szCs w:val="24"/>
          <w:highlight w:val="none"/>
        </w:rPr>
        <w:t>评标过程的保密性</w:t>
      </w:r>
      <w:bookmarkEnd w:id="256"/>
      <w:bookmarkEnd w:id="257"/>
      <w:bookmarkEnd w:id="258"/>
      <w:bookmarkEnd w:id="259"/>
      <w:bookmarkEnd w:id="260"/>
      <w:bookmarkEnd w:id="261"/>
      <w:bookmarkEnd w:id="262"/>
    </w:p>
    <w:p w14:paraId="476503E5">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递交投标文件后，</w:t>
      </w:r>
      <w:r>
        <w:rPr>
          <w:rFonts w:hint="eastAsia" w:ascii="宋体" w:hAnsi="宋体" w:eastAsia="宋体" w:cs="Times New Roman"/>
          <w:color w:val="auto"/>
          <w:szCs w:val="21"/>
          <w:highlight w:val="none"/>
          <w:lang w:val="zh-CN"/>
        </w:rPr>
        <w:t>直至向中标人授予合同期间，凡与审查、澄清、评估和比较投标报价的有关资料以及意见等，均不得向投标人及与评审无关的其他人透露，否则追究有关当事人的法律责任</w:t>
      </w:r>
      <w:r>
        <w:rPr>
          <w:rFonts w:hint="eastAsia" w:ascii="宋体" w:hAnsi="宋体" w:eastAsia="宋体" w:cs="宋体"/>
          <w:color w:val="auto"/>
          <w:szCs w:val="21"/>
          <w:highlight w:val="none"/>
          <w:lang w:val="zh-CN"/>
        </w:rPr>
        <w:t>。</w:t>
      </w:r>
    </w:p>
    <w:p w14:paraId="38A9433B">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在评标过程中，如果投标人试图在投标文件审查、澄清、比较及授予合同方面向招标代理机构和招标人施加任何影响，其投标文件将被拒绝。</w:t>
      </w:r>
    </w:p>
    <w:p w14:paraId="0832ED39">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14:paraId="2CAD35AD">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263" w:name="_Toc833"/>
      <w:bookmarkStart w:id="264" w:name="_Toc486167690"/>
      <w:bookmarkStart w:id="265" w:name="_Toc142508340"/>
      <w:bookmarkStart w:id="266" w:name="_Toc15565_WPSOffice_Level3"/>
      <w:bookmarkStart w:id="267" w:name="_Toc31902"/>
      <w:bookmarkStart w:id="268" w:name="_Toc14333"/>
      <w:bookmarkStart w:id="269" w:name="_Toc450662875"/>
      <w:r>
        <w:rPr>
          <w:rFonts w:hint="eastAsia" w:ascii="宋体" w:hAnsi="宋体" w:eastAsia="宋体" w:cs="宋体"/>
          <w:color w:val="auto"/>
          <w:szCs w:val="21"/>
          <w:highlight w:val="none"/>
          <w:lang w:val="zh-CN"/>
        </w:rPr>
        <w:t>24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评标委员会</w:t>
      </w:r>
      <w:bookmarkEnd w:id="263"/>
      <w:bookmarkEnd w:id="264"/>
      <w:bookmarkEnd w:id="265"/>
      <w:bookmarkEnd w:id="266"/>
      <w:bookmarkEnd w:id="267"/>
      <w:bookmarkEnd w:id="268"/>
      <w:bookmarkEnd w:id="269"/>
    </w:p>
    <w:p w14:paraId="6D28DD46">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依法组建评标委员会。评标委员会的成员在评审过程中必须严格遵守国家及地方招标投标的有关规定。</w:t>
      </w:r>
    </w:p>
    <w:p w14:paraId="7A0EFCC1">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评标委员会依法根据招标文件的规定，进行投标文件的评审、得出评审结果，并向招标人推荐中标候选人。</w:t>
      </w:r>
    </w:p>
    <w:p w14:paraId="620B5606">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69C85E99">
      <w:pPr>
        <w:tabs>
          <w:tab w:val="left" w:pos="567"/>
        </w:tabs>
        <w:autoSpaceDE w:val="0"/>
        <w:autoSpaceDN w:val="0"/>
        <w:adjustRightInd w:val="0"/>
        <w:spacing w:line="360" w:lineRule="auto"/>
        <w:ind w:left="357" w:leftChars="-100" w:hanging="567"/>
        <w:jc w:val="left"/>
        <w:outlineLvl w:val="0"/>
        <w:rPr>
          <w:rFonts w:ascii="宋体" w:hAnsi="宋体" w:eastAsia="宋体" w:cs="宋体"/>
          <w:b/>
          <w:color w:val="auto"/>
          <w:szCs w:val="21"/>
          <w:highlight w:val="none"/>
          <w:lang w:val="zh-CN"/>
        </w:rPr>
      </w:pPr>
      <w:bookmarkStart w:id="270" w:name="_Toc1691"/>
      <w:bookmarkStart w:id="271" w:name="_Toc486167691"/>
      <w:bookmarkStart w:id="272" w:name="_Toc30468"/>
      <w:bookmarkStart w:id="273" w:name="_Toc450662876"/>
      <w:bookmarkStart w:id="274" w:name="_Toc31399"/>
      <w:bookmarkStart w:id="275" w:name="_Toc142508341"/>
      <w:bookmarkStart w:id="276" w:name="_Toc28910_WPSOffice_Level3"/>
      <w:r>
        <w:rPr>
          <w:rFonts w:hint="eastAsia" w:ascii="宋体" w:hAnsi="宋体" w:eastAsia="宋体" w:cs="宋体"/>
          <w:b/>
          <w:color w:val="auto"/>
          <w:szCs w:val="21"/>
          <w:highlight w:val="none"/>
          <w:lang w:val="zh-CN"/>
        </w:rPr>
        <w:t>25</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投标文件的初审</w:t>
      </w:r>
      <w:bookmarkEnd w:id="270"/>
      <w:bookmarkEnd w:id="271"/>
      <w:bookmarkEnd w:id="272"/>
      <w:bookmarkEnd w:id="273"/>
      <w:bookmarkEnd w:id="274"/>
      <w:bookmarkEnd w:id="275"/>
      <w:bookmarkEnd w:id="276"/>
    </w:p>
    <w:p w14:paraId="60A67CCF">
      <w:pPr>
        <w:autoSpaceDE w:val="0"/>
        <w:autoSpaceDN w:val="0"/>
        <w:adjustRightInd w:val="0"/>
        <w:spacing w:line="360" w:lineRule="auto"/>
        <w:ind w:left="357" w:leftChars="-100" w:hanging="567"/>
        <w:rPr>
          <w:rFonts w:ascii="宋体" w:hAnsi="宋体" w:eastAsia="宋体" w:cs="宋体"/>
          <w:b/>
          <w:color w:val="auto"/>
          <w:szCs w:val="21"/>
          <w:highlight w:val="none"/>
        </w:rPr>
      </w:pPr>
      <w:r>
        <w:rPr>
          <w:rFonts w:hint="eastAsia" w:ascii="宋体" w:hAnsi="宋体" w:eastAsia="宋体" w:cs="宋体"/>
          <w:b/>
          <w:color w:val="auto"/>
          <w:szCs w:val="21"/>
          <w:highlight w:val="none"/>
          <w:lang w:val="zh-CN"/>
        </w:rPr>
        <w:t>25.1 资格性检查：依据法律法规和招标文件的规定，对投标文件中的资格证明、投标保证金等进行审查，以确定投标人是否具备投标资格。</w:t>
      </w:r>
    </w:p>
    <w:p w14:paraId="11A4A427">
      <w:pPr>
        <w:autoSpaceDE w:val="0"/>
        <w:autoSpaceDN w:val="0"/>
        <w:adjustRightInd w:val="0"/>
        <w:spacing w:line="360" w:lineRule="auto"/>
        <w:ind w:left="330" w:leftChars="-100" w:hanging="54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25.2 符合性检查：依据招标文件的规定，从投标文件的有效性、完整性和对招标文件的响应程度进行审查，以确定是否对招标文件的实质性要求作出响应。</w:t>
      </w:r>
    </w:p>
    <w:p w14:paraId="0072ECDF">
      <w:pPr>
        <w:autoSpaceDE w:val="0"/>
        <w:autoSpaceDN w:val="0"/>
        <w:adjustRightInd w:val="0"/>
        <w:spacing w:line="360" w:lineRule="auto"/>
        <w:ind w:left="330" w:leftChars="-100" w:hanging="540"/>
        <w:rPr>
          <w:rFonts w:ascii="宋体" w:hAnsi="宋体" w:eastAsia="宋体" w:cs="宋体"/>
          <w:b/>
          <w:color w:val="auto"/>
          <w:szCs w:val="21"/>
          <w:highlight w:val="none"/>
          <w:lang w:val="zh-CN"/>
        </w:rPr>
      </w:pPr>
    </w:p>
    <w:p w14:paraId="75F18D31">
      <w:pPr>
        <w:tabs>
          <w:tab w:val="left" w:pos="525"/>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277" w:name="_Toc486167692"/>
      <w:bookmarkStart w:id="278" w:name="_Toc3561"/>
      <w:bookmarkStart w:id="279" w:name="_Toc450662877"/>
      <w:bookmarkStart w:id="280" w:name="_Toc142508342"/>
      <w:bookmarkStart w:id="281" w:name="_Toc338_WPSOffice_Level3"/>
      <w:bookmarkStart w:id="282" w:name="_Toc17948"/>
      <w:bookmarkStart w:id="283" w:name="_Toc10130"/>
      <w:r>
        <w:rPr>
          <w:rFonts w:hint="eastAsia" w:ascii="宋体" w:hAnsi="宋体" w:eastAsia="宋体" w:cs="宋体"/>
          <w:color w:val="auto"/>
          <w:szCs w:val="21"/>
          <w:highlight w:val="none"/>
          <w:lang w:val="zh-CN"/>
        </w:rPr>
        <w:t>26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投标文件的澄清</w:t>
      </w:r>
      <w:bookmarkEnd w:id="277"/>
      <w:bookmarkEnd w:id="278"/>
      <w:bookmarkEnd w:id="279"/>
      <w:bookmarkEnd w:id="280"/>
      <w:bookmarkEnd w:id="281"/>
      <w:bookmarkEnd w:id="282"/>
      <w:bookmarkEnd w:id="283"/>
    </w:p>
    <w:p w14:paraId="2E03056B">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 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14:paraId="7579A3CA">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bookmarkStart w:id="284" w:name="_Toc450662879"/>
      <w:r>
        <w:rPr>
          <w:rFonts w:hint="eastAsia" w:ascii="宋体" w:hAnsi="宋体" w:eastAsia="宋体" w:cs="宋体"/>
          <w:color w:val="auto"/>
          <w:szCs w:val="21"/>
          <w:highlight w:val="none"/>
          <w:lang w:val="zh-CN"/>
        </w:rPr>
        <w:t xml:space="preserve">26.2 </w:t>
      </w:r>
      <w:r>
        <w:rPr>
          <w:rFonts w:hint="eastAsia" w:ascii="宋体" w:hAnsi="宋体" w:eastAsia="宋体" w:cs="宋体"/>
          <w:color w:val="auto"/>
          <w:szCs w:val="21"/>
          <w:highlight w:val="none"/>
          <w:lang w:val="en-US" w:eastAsia="zh-CN"/>
        </w:rPr>
        <w:t>开标当天</w:t>
      </w:r>
      <w:r>
        <w:rPr>
          <w:rFonts w:hint="eastAsia" w:ascii="宋体" w:hAnsi="宋体" w:eastAsia="宋体" w:cs="宋体"/>
          <w:color w:val="auto"/>
          <w:szCs w:val="21"/>
          <w:highlight w:val="none"/>
          <w:lang w:val="zh-CN"/>
        </w:rPr>
        <w:t>，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w:t>
      </w:r>
    </w:p>
    <w:bookmarkEnd w:id="284"/>
    <w:p w14:paraId="2857F84C">
      <w:pPr>
        <w:tabs>
          <w:tab w:val="left" w:pos="525"/>
        </w:tabs>
        <w:autoSpaceDE w:val="0"/>
        <w:autoSpaceDN w:val="0"/>
        <w:adjustRightInd w:val="0"/>
        <w:spacing w:line="360" w:lineRule="auto"/>
        <w:ind w:left="357" w:leftChars="-100" w:hanging="567"/>
        <w:jc w:val="left"/>
        <w:outlineLvl w:val="9"/>
        <w:rPr>
          <w:rFonts w:hint="eastAsia" w:ascii="宋体" w:hAnsi="宋体" w:eastAsia="宋体" w:cs="宋体"/>
          <w:color w:val="auto"/>
          <w:szCs w:val="21"/>
          <w:highlight w:val="none"/>
          <w:lang w:val="zh-CN"/>
        </w:rPr>
      </w:pPr>
      <w:bookmarkStart w:id="285" w:name="_Toc522047355"/>
      <w:bookmarkStart w:id="286" w:name="_Toc18368_WPSOffice_Level3"/>
      <w:bookmarkStart w:id="287" w:name="_Toc142508343"/>
      <w:bookmarkStart w:id="288" w:name="_Toc521918096"/>
    </w:p>
    <w:p w14:paraId="1BDC8070">
      <w:pPr>
        <w:tabs>
          <w:tab w:val="left" w:pos="525"/>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289" w:name="_Toc29692"/>
      <w:bookmarkStart w:id="290" w:name="_Toc15022"/>
      <w:bookmarkStart w:id="291" w:name="_Toc6238"/>
      <w:r>
        <w:rPr>
          <w:rFonts w:hint="eastAsia" w:ascii="宋体" w:hAnsi="宋体" w:eastAsia="宋体" w:cs="宋体"/>
          <w:color w:val="auto"/>
          <w:szCs w:val="21"/>
          <w:highlight w:val="none"/>
          <w:lang w:val="zh-CN"/>
        </w:rPr>
        <w:t>27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对投标文件的比较和评价</w:t>
      </w:r>
      <w:bookmarkEnd w:id="285"/>
      <w:bookmarkEnd w:id="286"/>
      <w:bookmarkEnd w:id="287"/>
      <w:bookmarkEnd w:id="288"/>
      <w:bookmarkEnd w:id="289"/>
      <w:bookmarkEnd w:id="290"/>
      <w:bookmarkEnd w:id="291"/>
    </w:p>
    <w:p w14:paraId="49A6823E">
      <w:pPr>
        <w:tabs>
          <w:tab w:val="left" w:pos="540"/>
        </w:tabs>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评标委员会将对资格性检查和符合性检查合格的投标文件进行比较和评价，包括商务、技术和价格的详细评审。</w:t>
      </w:r>
    </w:p>
    <w:p w14:paraId="32B36CAE">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对投标文件商务的评审详见评标工作大纲。</w:t>
      </w:r>
    </w:p>
    <w:p w14:paraId="31571A31">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对投标文件技术的评审详见评标工作大纲。</w:t>
      </w:r>
    </w:p>
    <w:p w14:paraId="5D9A53E9">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对投标价格的评审详见评标工作大纲。</w:t>
      </w:r>
    </w:p>
    <w:p w14:paraId="4572D8F1">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本次评标的评分权重详见评标工作大纲。</w:t>
      </w:r>
    </w:p>
    <w:p w14:paraId="6C6994A6">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根据上述商务、技术及价格综合评价的权重分配计算出各投标人的综合得分。</w:t>
      </w:r>
    </w:p>
    <w:p w14:paraId="67118D9C">
      <w:pPr>
        <w:tabs>
          <w:tab w:val="left" w:pos="567"/>
        </w:tabs>
        <w:autoSpaceDE w:val="0"/>
        <w:autoSpaceDN w:val="0"/>
        <w:adjustRightInd w:val="0"/>
        <w:spacing w:line="360" w:lineRule="auto"/>
        <w:ind w:left="357" w:leftChars="-100" w:hanging="567"/>
        <w:jc w:val="left"/>
        <w:rPr>
          <w:rFonts w:ascii="宋体" w:hAnsi="宋体" w:eastAsia="宋体" w:cs="宋体"/>
          <w:color w:val="auto"/>
          <w:szCs w:val="21"/>
          <w:highlight w:val="none"/>
          <w:lang w:val="zh-CN"/>
        </w:rPr>
      </w:pPr>
      <w:bookmarkStart w:id="292" w:name="_Toc522047356"/>
      <w:bookmarkStart w:id="293" w:name="_Toc521918097"/>
    </w:p>
    <w:p w14:paraId="00D62992">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294" w:name="_Toc142508344"/>
      <w:bookmarkStart w:id="295" w:name="_Toc3436"/>
      <w:bookmarkStart w:id="296" w:name="_Toc7691"/>
      <w:bookmarkStart w:id="297" w:name="_Toc21460_WPSOffice_Level3"/>
      <w:bookmarkStart w:id="298" w:name="_Toc31279"/>
      <w:r>
        <w:rPr>
          <w:rFonts w:hint="eastAsia" w:ascii="宋体" w:hAnsi="宋体" w:eastAsia="宋体" w:cs="宋体"/>
          <w:color w:val="auto"/>
          <w:szCs w:val="21"/>
          <w:highlight w:val="none"/>
          <w:lang w:val="zh-CN"/>
        </w:rPr>
        <w:t>28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评标原则及方法</w:t>
      </w:r>
      <w:bookmarkEnd w:id="292"/>
      <w:bookmarkEnd w:id="293"/>
      <w:bookmarkEnd w:id="294"/>
      <w:bookmarkEnd w:id="295"/>
      <w:bookmarkEnd w:id="296"/>
      <w:bookmarkEnd w:id="297"/>
      <w:bookmarkEnd w:id="298"/>
    </w:p>
    <w:p w14:paraId="31FD9FAC">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对所有投标文件的评审，都采用相同的程序和标准。按步骤先进行初步评审，再进行商务、技术、价格评审。</w:t>
      </w:r>
    </w:p>
    <w:p w14:paraId="6F911302">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bookmarkStart w:id="299" w:name="_Toc4589"/>
      <w:r>
        <w:rPr>
          <w:rFonts w:hint="eastAsia" w:ascii="宋体" w:hAnsi="宋体" w:eastAsia="宋体" w:cs="宋体"/>
          <w:color w:val="auto"/>
          <w:szCs w:val="21"/>
          <w:highlight w:val="none"/>
          <w:lang w:val="zh-CN"/>
        </w:rPr>
        <w:t>28.2 评标严格按照招标文件的要求和条件进行。</w:t>
      </w:r>
      <w:bookmarkEnd w:id="299"/>
    </w:p>
    <w:p w14:paraId="2D1EA36C">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在评标时将根据第27</w:t>
      </w:r>
      <w:r>
        <w:rPr>
          <w:rFonts w:hint="eastAsia" w:ascii="宋体" w:hAnsi="宋体" w:eastAsia="宋体" w:cs="Times New Roman"/>
          <w:color w:val="auto"/>
          <w:szCs w:val="21"/>
          <w:highlight w:val="none"/>
          <w:lang w:val="zh-CN"/>
        </w:rPr>
        <w:t>条</w:t>
      </w:r>
      <w:r>
        <w:rPr>
          <w:rFonts w:hint="eastAsia" w:ascii="宋体" w:hAnsi="宋体" w:eastAsia="宋体" w:cs="宋体"/>
          <w:color w:val="auto"/>
          <w:szCs w:val="21"/>
          <w:highlight w:val="none"/>
          <w:lang w:val="zh-CN"/>
        </w:rPr>
        <w:t>，采用综合评分法的评审方法，对所有实质响应性投标文件进行综合打分。</w:t>
      </w:r>
    </w:p>
    <w:p w14:paraId="133BE097">
      <w:pPr>
        <w:tabs>
          <w:tab w:val="left" w:pos="567"/>
        </w:tabs>
        <w:autoSpaceDE w:val="0"/>
        <w:autoSpaceDN w:val="0"/>
        <w:adjustRightInd w:val="0"/>
        <w:spacing w:line="360" w:lineRule="auto"/>
        <w:ind w:left="105" w:leftChars="-100" w:hanging="315" w:hangingChars="150"/>
        <w:rPr>
          <w:rFonts w:hint="eastAsia" w:ascii="宋体" w:hAnsi="宋体" w:eastAsia="宋体" w:cs="宋体"/>
          <w:b w:val="0"/>
          <w:bCs w:val="0"/>
          <w:color w:val="auto"/>
          <w:szCs w:val="21"/>
          <w:highlight w:val="none"/>
        </w:rPr>
      </w:pPr>
      <w:r>
        <w:rPr>
          <w:rFonts w:hint="eastAsia" w:ascii="宋体" w:hAnsi="宋体" w:eastAsia="宋体" w:cs="宋体"/>
          <w:color w:val="auto"/>
          <w:szCs w:val="21"/>
          <w:highlight w:val="none"/>
          <w:lang w:val="zh-CN"/>
        </w:rPr>
        <w:t xml:space="preserve">28.3 </w:t>
      </w:r>
      <w:r>
        <w:rPr>
          <w:rFonts w:hint="eastAsia" w:ascii="宋体" w:hAnsi="宋体" w:eastAsia="宋体" w:cs="宋体"/>
          <w:b/>
          <w:bCs/>
          <w:color w:val="auto"/>
          <w:szCs w:val="21"/>
          <w:highlight w:val="none"/>
          <w:lang w:val="zh-CN"/>
        </w:rPr>
        <w:t>若</w:t>
      </w:r>
      <w:r>
        <w:rPr>
          <w:rFonts w:hint="eastAsia" w:ascii="宋体" w:hAnsi="宋体" w:eastAsia="宋体" w:cs="宋体"/>
          <w:b/>
          <w:bCs/>
          <w:color w:val="auto"/>
          <w:szCs w:val="21"/>
          <w:highlight w:val="none"/>
        </w:rPr>
        <w:t>本次招标过程中有效投标人不足三个时，公开招标失败</w:t>
      </w:r>
      <w:r>
        <w:rPr>
          <w:rFonts w:hint="eastAsia" w:ascii="宋体" w:hAnsi="宋体" w:eastAsia="宋体" w:cs="宋体"/>
          <w:b/>
          <w:bCs/>
          <w:color w:val="auto"/>
          <w:szCs w:val="21"/>
          <w:highlight w:val="none"/>
          <w:lang w:eastAsia="zh-CN"/>
        </w:rPr>
        <w:t>，</w:t>
      </w:r>
      <w:r>
        <w:rPr>
          <w:rFonts w:hint="eastAsia" w:ascii="宋体" w:hAnsi="宋体" w:eastAsia="宋体" w:cs="宋体"/>
          <w:b w:val="0"/>
          <w:bCs w:val="0"/>
          <w:color w:val="auto"/>
          <w:szCs w:val="21"/>
          <w:highlight w:val="none"/>
        </w:rPr>
        <w:t>本项目根据以下情况可以现场转换采购方式继续采购：</w:t>
      </w:r>
    </w:p>
    <w:p w14:paraId="62C0CCDA">
      <w:pPr>
        <w:tabs>
          <w:tab w:val="left" w:pos="567"/>
        </w:tabs>
        <w:autoSpaceDE w:val="0"/>
        <w:autoSpaceDN w:val="0"/>
        <w:adjustRightInd w:val="0"/>
        <w:spacing w:line="360" w:lineRule="auto"/>
        <w:ind w:left="105" w:leftChars="-100" w:hanging="315" w:hangingChars="150"/>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（1）若有效投标人只有2个时，经评标委员会论证，采购文件没有不合理条款、采购程序符合规定的，经招标人代表和作出实质性响应的投标人代表同意后，现场更改为竞争性谈判的方式继续采购。</w:t>
      </w:r>
    </w:p>
    <w:p w14:paraId="3F00D80D">
      <w:pPr>
        <w:tabs>
          <w:tab w:val="left" w:pos="567"/>
        </w:tabs>
        <w:autoSpaceDE w:val="0"/>
        <w:autoSpaceDN w:val="0"/>
        <w:adjustRightInd w:val="0"/>
        <w:spacing w:line="360" w:lineRule="auto"/>
        <w:ind w:left="105" w:leftChars="-100" w:hanging="315" w:hangingChars="150"/>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（2）若有效投标人只有1个时，经评标委员会论证，采购文件没有不合理条款、采购程序符合规定的，经招标人代表和作出实质性响应的投标人代表同意后，现场更改为单一来源的方式继续采购。</w:t>
      </w:r>
    </w:p>
    <w:p w14:paraId="576EB944">
      <w:pPr>
        <w:tabs>
          <w:tab w:val="left" w:pos="567"/>
        </w:tabs>
        <w:autoSpaceDE w:val="0"/>
        <w:autoSpaceDN w:val="0"/>
        <w:adjustRightInd w:val="0"/>
        <w:spacing w:line="360" w:lineRule="auto"/>
        <w:ind w:left="105" w:leftChars="-100" w:hanging="315" w:hangingChars="150"/>
        <w:rPr>
          <w:rFonts w:hint="default" w:ascii="宋体" w:hAnsi="宋体" w:eastAsia="宋体" w:cs="宋体"/>
          <w:color w:val="auto"/>
          <w:szCs w:val="21"/>
          <w:highlight w:val="none"/>
          <w:lang w:val="en-US" w:eastAsia="zh-CN"/>
        </w:rPr>
      </w:pPr>
      <w:r>
        <w:rPr>
          <w:rFonts w:hint="eastAsia" w:ascii="宋体" w:hAnsi="宋体" w:eastAsia="宋体" w:cs="宋体"/>
          <w:b w:val="0"/>
          <w:bCs w:val="0"/>
          <w:color w:val="auto"/>
          <w:szCs w:val="21"/>
          <w:highlight w:val="none"/>
        </w:rPr>
        <w:t>（3）若上述两种情况下不同意转换采购方式，退出投标的投标人，投标保证金按本须知15.5款的规定退还。</w:t>
      </w:r>
    </w:p>
    <w:p w14:paraId="0E15F36E">
      <w:pPr>
        <w:autoSpaceDE w:val="0"/>
        <w:autoSpaceDN w:val="0"/>
        <w:adjustRightInd w:val="0"/>
        <w:spacing w:line="360" w:lineRule="auto"/>
        <w:ind w:left="443" w:leftChars="-60" w:hanging="569" w:hangingChars="270"/>
        <w:rPr>
          <w:rFonts w:hint="eastAsia" w:ascii="宋体" w:hAnsi="宋体" w:eastAsia="宋体" w:cs="宋体"/>
          <w:b/>
          <w:bCs/>
          <w:color w:val="auto"/>
          <w:szCs w:val="21"/>
          <w:highlight w:val="none"/>
          <w:lang w:val="zh-CN" w:eastAsia="zh-CN"/>
        </w:rPr>
      </w:pPr>
    </w:p>
    <w:p w14:paraId="1D9415D5">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p>
    <w:p w14:paraId="4CA51B42">
      <w:pPr>
        <w:tabs>
          <w:tab w:val="left" w:pos="525"/>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300" w:name="_Toc142508345"/>
      <w:bookmarkStart w:id="301" w:name="_Toc486167694"/>
      <w:bookmarkStart w:id="302" w:name="_Toc32498_WPSOffice_Level3"/>
      <w:bookmarkStart w:id="303" w:name="_Toc466882017"/>
      <w:bookmarkStart w:id="304" w:name="_Toc14930"/>
      <w:bookmarkStart w:id="305" w:name="_Toc9673"/>
      <w:bookmarkStart w:id="306" w:name="_Toc465358969"/>
      <w:bookmarkStart w:id="307" w:name="_Toc15841"/>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9 </w:t>
      </w:r>
      <w:r>
        <w:rPr>
          <w:rFonts w:hint="eastAsia" w:ascii="宋体" w:hAnsi="宋体" w:eastAsia="宋体" w:cs="宋体"/>
          <w:color w:val="auto"/>
          <w:szCs w:val="21"/>
          <w:highlight w:val="none"/>
          <w:lang w:val="zh-CN"/>
        </w:rPr>
        <w:t>评标结果公</w:t>
      </w:r>
      <w:r>
        <w:rPr>
          <w:rFonts w:hint="eastAsia" w:ascii="宋体" w:hAnsi="宋体" w:eastAsia="宋体" w:cs="Times New Roman"/>
          <w:color w:val="auto"/>
          <w:szCs w:val="21"/>
          <w:highlight w:val="none"/>
          <w:lang w:val="zh-CN"/>
        </w:rPr>
        <w:t>示</w:t>
      </w:r>
      <w:r>
        <w:rPr>
          <w:rFonts w:hint="eastAsia" w:ascii="宋体" w:hAnsi="宋体" w:eastAsia="宋体" w:cs="宋体"/>
          <w:color w:val="auto"/>
          <w:szCs w:val="21"/>
          <w:highlight w:val="none"/>
          <w:lang w:val="zh-CN"/>
        </w:rPr>
        <w:t>及异议、投诉</w:t>
      </w:r>
      <w:bookmarkEnd w:id="300"/>
      <w:bookmarkEnd w:id="301"/>
      <w:bookmarkEnd w:id="302"/>
      <w:bookmarkEnd w:id="303"/>
      <w:bookmarkEnd w:id="304"/>
      <w:bookmarkEnd w:id="305"/>
      <w:bookmarkEnd w:id="306"/>
      <w:bookmarkEnd w:id="307"/>
    </w:p>
    <w:p w14:paraId="553776E6">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Times New Roman"/>
          <w:color w:val="auto"/>
          <w:szCs w:val="21"/>
          <w:highlight w:val="none"/>
          <w:lang w:val="zh-CN"/>
        </w:rPr>
        <w:t>招标代理机构在招标公告发布媒介公示中标候选人，公示期为3日。投标人或者其他利害关系人对评标结果有异议的，应当在</w:t>
      </w:r>
      <w:r>
        <w:rPr>
          <w:rFonts w:hint="eastAsia" w:ascii="宋体" w:hAnsi="宋体" w:eastAsia="宋体" w:cs="Times New Roman"/>
          <w:color w:val="auto"/>
          <w:szCs w:val="21"/>
          <w:highlight w:val="none"/>
        </w:rPr>
        <w:t>评标结果</w:t>
      </w:r>
      <w:r>
        <w:rPr>
          <w:rFonts w:hint="eastAsia" w:ascii="宋体" w:hAnsi="宋体" w:eastAsia="宋体" w:cs="Times New Roman"/>
          <w:color w:val="auto"/>
          <w:szCs w:val="21"/>
          <w:highlight w:val="none"/>
          <w:lang w:val="zh-CN"/>
        </w:rPr>
        <w:t>公示期间向招标代理机构以书面的形式提出，</w:t>
      </w:r>
      <w:r>
        <w:rPr>
          <w:rFonts w:ascii="宋体" w:hAnsi="宋体" w:eastAsia="宋体" w:cs="Times New Roman"/>
          <w:color w:val="auto"/>
          <w:szCs w:val="21"/>
          <w:highlight w:val="none"/>
          <w:lang w:val="zh-CN"/>
        </w:rPr>
        <w:t>并</w:t>
      </w:r>
      <w:r>
        <w:rPr>
          <w:rFonts w:hint="eastAsia" w:ascii="宋体" w:hAnsi="宋体" w:eastAsia="宋体" w:cs="Times New Roman"/>
          <w:color w:val="auto"/>
          <w:szCs w:val="21"/>
          <w:highlight w:val="none"/>
          <w:lang w:val="zh-CN"/>
        </w:rPr>
        <w:t>将完整的异议书面材料原件</w:t>
      </w:r>
      <w:r>
        <w:rPr>
          <w:rFonts w:ascii="宋体" w:hAnsi="宋体" w:eastAsia="宋体" w:cs="Times New Roman"/>
          <w:color w:val="auto"/>
          <w:szCs w:val="21"/>
          <w:highlight w:val="none"/>
          <w:lang w:val="zh-CN"/>
        </w:rPr>
        <w:t>送</w:t>
      </w:r>
      <w:r>
        <w:rPr>
          <w:rFonts w:hint="eastAsia" w:ascii="宋体" w:hAnsi="宋体" w:eastAsia="宋体" w:cs="Times New Roman"/>
          <w:color w:val="auto"/>
          <w:szCs w:val="21"/>
          <w:highlight w:val="none"/>
          <w:lang w:val="zh-CN"/>
        </w:rPr>
        <w:t>达招标代理机构，</w:t>
      </w:r>
      <w:r>
        <w:rPr>
          <w:rFonts w:ascii="宋体" w:hAnsi="宋体" w:eastAsia="宋体" w:cs="Times New Roman"/>
          <w:color w:val="auto"/>
          <w:szCs w:val="21"/>
          <w:highlight w:val="none"/>
          <w:lang w:val="zh-CN"/>
        </w:rPr>
        <w:t>逾期则视为</w:t>
      </w:r>
      <w:r>
        <w:rPr>
          <w:rFonts w:hint="eastAsia" w:ascii="宋体" w:hAnsi="宋体" w:eastAsia="宋体" w:cs="Times New Roman"/>
          <w:color w:val="auto"/>
          <w:szCs w:val="21"/>
          <w:highlight w:val="none"/>
          <w:lang w:val="zh-CN"/>
        </w:rPr>
        <w:t>对评标结果无异议。超出提交异议截止时间而提出的任何疑问，招标代理机构可不予答复</w:t>
      </w:r>
      <w:r>
        <w:rPr>
          <w:rFonts w:hint="eastAsia" w:ascii="宋体" w:hAnsi="宋体" w:eastAsia="宋体" w:cs="宋体"/>
          <w:color w:val="auto"/>
          <w:szCs w:val="21"/>
          <w:highlight w:val="none"/>
          <w:lang w:val="zh-CN"/>
        </w:rPr>
        <w:t>。</w:t>
      </w:r>
    </w:p>
    <w:p w14:paraId="2218CD6E">
      <w:pPr>
        <w:autoSpaceDE w:val="0"/>
        <w:autoSpaceDN w:val="0"/>
        <w:adjustRightInd w:val="0"/>
        <w:snapToGrid w:val="0"/>
        <w:spacing w:line="360" w:lineRule="auto"/>
        <w:ind w:left="210" w:leftChars="100" w:firstLine="525" w:firstLineChars="250"/>
        <w:jc w:val="left"/>
        <w:rPr>
          <w:rFonts w:ascii="宋体" w:hAnsi="宋体" w:eastAsia="宋体" w:cs="宋体"/>
          <w:color w:val="auto"/>
          <w:kern w:val="0"/>
          <w:szCs w:val="21"/>
          <w:highlight w:val="none"/>
          <w:lang w:val="zh-CN"/>
        </w:rPr>
      </w:pPr>
      <w:r>
        <w:rPr>
          <w:rFonts w:hint="eastAsia" w:ascii="宋体" w:hAnsi="宋体" w:eastAsia="宋体" w:cs="Times New Roman"/>
          <w:color w:val="auto"/>
          <w:szCs w:val="21"/>
          <w:highlight w:val="none"/>
          <w:lang w:val="zh-CN"/>
        </w:rPr>
        <w:t>招标代理机构将拒收未能提供完整异议书面材料的异议，完整的异议书面材料必须同时包含：异议书（加盖法人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，并注明联系人、联系电话、联系地址）、授权提交异议的法定代表人授权书原件、反映异议人主体资格的营业执照复印件（加盖法人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）、以及合法来源的证据证明材料</w:t>
      </w:r>
      <w:r>
        <w:rPr>
          <w:rFonts w:hint="eastAsia" w:ascii="宋体" w:hAnsi="宋体" w:eastAsia="宋体" w:cs="宋体"/>
          <w:color w:val="auto"/>
          <w:kern w:val="0"/>
          <w:szCs w:val="21"/>
          <w:highlight w:val="none"/>
          <w:lang w:val="zh-CN"/>
        </w:rPr>
        <w:t>。</w:t>
      </w:r>
    </w:p>
    <w:p w14:paraId="0956AE36">
      <w:pPr>
        <w:autoSpaceDE w:val="0"/>
        <w:autoSpaceDN w:val="0"/>
        <w:adjustRightInd w:val="0"/>
        <w:spacing w:line="360" w:lineRule="auto"/>
        <w:ind w:left="284" w:hanging="568"/>
        <w:rPr>
          <w:rFonts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rPr>
        <w:t xml:space="preserve">29.2 </w:t>
      </w:r>
      <w:r>
        <w:rPr>
          <w:rFonts w:hint="eastAsia" w:ascii="宋体" w:hAnsi="宋体" w:eastAsia="宋体" w:cs="Times New Roman"/>
          <w:b/>
          <w:color w:val="auto"/>
          <w:szCs w:val="21"/>
          <w:highlight w:val="none"/>
          <w:lang w:val="zh-CN"/>
        </w:rPr>
        <w:t>结果公示后，招标人有权要求中标候选人在结果公示之日起3日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虚假响应文件等弄虚作假行为骗取中标的，招标人将取消其中标资格，不予退还其投标保证金。涉嫌违法犯罪的，将</w:t>
      </w:r>
      <w:r>
        <w:rPr>
          <w:rFonts w:ascii="宋体" w:hAnsi="宋体" w:eastAsia="宋体" w:cs="Times New Roman"/>
          <w:b/>
          <w:color w:val="auto"/>
          <w:szCs w:val="21"/>
          <w:highlight w:val="none"/>
          <w:lang w:val="zh-CN"/>
        </w:rPr>
        <w:t>移交司法机关处理</w:t>
      </w:r>
      <w:r>
        <w:rPr>
          <w:rFonts w:hint="eastAsia" w:ascii="宋体" w:hAnsi="宋体" w:eastAsia="宋体" w:cs="Times New Roman"/>
          <w:b/>
          <w:color w:val="auto"/>
          <w:szCs w:val="21"/>
          <w:highlight w:val="none"/>
          <w:lang w:val="zh-CN"/>
        </w:rPr>
        <w:t>。</w:t>
      </w:r>
    </w:p>
    <w:p w14:paraId="02F00439">
      <w:pPr>
        <w:autoSpaceDE w:val="0"/>
        <w:autoSpaceDN w:val="0"/>
        <w:adjustRightInd w:val="0"/>
        <w:snapToGrid w:val="0"/>
        <w:spacing w:line="360" w:lineRule="auto"/>
        <w:ind w:left="246" w:leftChars="117" w:firstLine="422" w:firstLineChars="200"/>
        <w:jc w:val="left"/>
        <w:rPr>
          <w:rFonts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lang w:val="zh-CN"/>
        </w:rPr>
        <w:t>当招标人（或其委托的招标代理机构）向中标候选人发出提供上述投标文件或投标文件外其他相关（包括但不限于业绩合同对应的发票等）的证明资料原件进行核查的书面通知后，</w:t>
      </w:r>
      <w:r>
        <w:rPr>
          <w:rFonts w:hint="eastAsia" w:ascii="宋体" w:hAnsi="宋体" w:eastAsia="宋体" w:cs="Times New Roman"/>
          <w:b/>
          <w:color w:val="auto"/>
          <w:kern w:val="0"/>
          <w:szCs w:val="21"/>
          <w:highlight w:val="none"/>
        </w:rPr>
        <w:t>第一中标候选人未能在招标人（或其委托的招标代理机构</w:t>
      </w:r>
      <w:r>
        <w:rPr>
          <w:rFonts w:ascii="宋体" w:hAnsi="宋体" w:eastAsia="宋体" w:cs="Times New Roman"/>
          <w:b/>
          <w:color w:val="auto"/>
          <w:kern w:val="0"/>
          <w:szCs w:val="21"/>
          <w:highlight w:val="none"/>
        </w:rPr>
        <w:t>) 书面要求的时间(一般不少于三个工作日) 内提供完整的材料原件进行核查的</w:t>
      </w:r>
      <w:r>
        <w:rPr>
          <w:rFonts w:hint="eastAsia" w:ascii="宋体" w:hAnsi="宋体" w:eastAsia="宋体" w:cs="Times New Roman"/>
          <w:b/>
          <w:color w:val="auto"/>
          <w:szCs w:val="21"/>
          <w:highlight w:val="none"/>
          <w:lang w:val="zh-CN"/>
        </w:rPr>
        <w:t>，视为其无法提供真实的资料，招标人有权取消其中标候选人资格。</w:t>
      </w:r>
    </w:p>
    <w:p w14:paraId="3403286F">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14:paraId="4E4934DA">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（一）投诉人和被投诉人的姓名或者名称、通讯地址、邮编、联系人及联系电话；</w:t>
      </w:r>
    </w:p>
    <w:p w14:paraId="3770A9DA">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（二）异议和异议答复情况说明及相关证明材料；</w:t>
      </w:r>
    </w:p>
    <w:p w14:paraId="7946F4D4">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（三）具体、明确的投诉事项和与投诉事项相关的投诉请求；</w:t>
      </w:r>
    </w:p>
    <w:p w14:paraId="3E0EF32F">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（四）事实依据；</w:t>
      </w:r>
    </w:p>
    <w:p w14:paraId="61909BBD">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（五）法律依据；</w:t>
      </w:r>
    </w:p>
    <w:p w14:paraId="0CC1D05B">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（六）提起投诉的日期。</w:t>
      </w:r>
    </w:p>
    <w:p w14:paraId="303C9544">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投诉人为法人或者其他组织的，应当由法定代表人、主要负责人，或者其授权代表签字或者盖章，并加盖公章。</w:t>
      </w:r>
    </w:p>
    <w:p w14:paraId="1E8AEECD">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投诉人投诉的事项不得超出已异议事项的范围，但基于异议答复内容提出的投诉事项除外。</w:t>
      </w:r>
    </w:p>
    <w:p w14:paraId="1212C86C">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监督部门：东莞市水务集团有限公司，联系人：莫先生，联系电话：0769-28823251。</w:t>
      </w:r>
    </w:p>
    <w:p w14:paraId="09E237AD">
      <w:pPr>
        <w:autoSpaceDE w:val="0"/>
        <w:autoSpaceDN w:val="0"/>
        <w:adjustRightInd w:val="0"/>
        <w:snapToGrid w:val="0"/>
        <w:spacing w:line="360" w:lineRule="auto"/>
        <w:ind w:left="296" w:leftChars="100" w:hanging="86" w:hangingChars="41"/>
        <w:jc w:val="left"/>
        <w:rPr>
          <w:rFonts w:ascii="宋体" w:hAnsi="宋体" w:eastAsia="宋体" w:cs="宋体"/>
          <w:color w:val="auto"/>
          <w:szCs w:val="21"/>
          <w:highlight w:val="none"/>
          <w:lang w:val="zh-CN"/>
        </w:rPr>
      </w:pPr>
    </w:p>
    <w:p w14:paraId="10C1FE7D">
      <w:pPr>
        <w:tabs>
          <w:tab w:val="left" w:pos="567"/>
        </w:tabs>
        <w:autoSpaceDE w:val="0"/>
        <w:autoSpaceDN w:val="0"/>
        <w:adjustRightInd w:val="0"/>
        <w:spacing w:line="360" w:lineRule="auto"/>
        <w:ind w:left="288" w:leftChars="-100" w:hanging="498" w:hangingChars="236"/>
        <w:outlineLvl w:val="0"/>
        <w:rPr>
          <w:rFonts w:ascii="宋体" w:hAnsi="宋体" w:eastAsia="宋体" w:cs="宋体"/>
          <w:b/>
          <w:color w:val="auto"/>
          <w:szCs w:val="21"/>
          <w:highlight w:val="none"/>
          <w:lang w:val="zh-CN"/>
        </w:rPr>
      </w:pPr>
      <w:bookmarkStart w:id="308" w:name="_Toc17180"/>
      <w:bookmarkStart w:id="309" w:name="_Toc466882018"/>
      <w:bookmarkStart w:id="310" w:name="_Toc29554"/>
      <w:bookmarkStart w:id="311" w:name="_Toc486167695"/>
      <w:bookmarkStart w:id="312" w:name="_Toc26138"/>
      <w:bookmarkStart w:id="313" w:name="_Toc1848_WPSOffice_Level3"/>
      <w:bookmarkStart w:id="314" w:name="_Toc465358970"/>
      <w:bookmarkStart w:id="315" w:name="_Toc142508346"/>
      <w:r>
        <w:rPr>
          <w:rFonts w:hint="eastAsia" w:ascii="宋体" w:hAnsi="宋体" w:eastAsia="宋体" w:cs="宋体"/>
          <w:b/>
          <w:color w:val="auto"/>
          <w:szCs w:val="21"/>
          <w:highlight w:val="none"/>
        </w:rPr>
        <w:t>30</w:t>
      </w:r>
      <w:r>
        <w:rPr>
          <w:rFonts w:hint="eastAsia" w:ascii="宋体" w:hAnsi="宋体" w:eastAsia="宋体" w:cs="宋体"/>
          <w:b/>
          <w:color w:val="auto"/>
          <w:szCs w:val="21"/>
          <w:highlight w:val="none"/>
          <w:lang w:val="zh-CN"/>
        </w:rPr>
        <w:t xml:space="preserve"> 真实性审查</w:t>
      </w:r>
      <w:bookmarkEnd w:id="308"/>
      <w:bookmarkEnd w:id="309"/>
      <w:bookmarkEnd w:id="310"/>
      <w:bookmarkEnd w:id="311"/>
      <w:bookmarkEnd w:id="312"/>
      <w:bookmarkEnd w:id="313"/>
      <w:bookmarkEnd w:id="314"/>
      <w:bookmarkEnd w:id="315"/>
    </w:p>
    <w:p w14:paraId="1735161F">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30.1 在</w:t>
      </w:r>
      <w:r>
        <w:rPr>
          <w:rFonts w:hint="eastAsia" w:ascii="宋体" w:hAnsi="宋体" w:eastAsia="宋体" w:cs="Times New Roman"/>
          <w:b/>
          <w:color w:val="auto"/>
          <w:kern w:val="0"/>
          <w:szCs w:val="21"/>
          <w:highlight w:val="none"/>
        </w:rPr>
        <w:t>授予合同前，招标人（或其委托的招标代理机构）、或评标委员会有权组织对投标人的真实性审查。包括对投标人的资格证明文件、业绩证明文件、对招标文件实质性条款响应文件、履约能力证明文件的原件真实性进行核查。招标人</w:t>
      </w:r>
      <w:r>
        <w:rPr>
          <w:rFonts w:hint="eastAsia" w:ascii="宋体" w:hAnsi="宋体" w:eastAsia="宋体" w:cs="Times New Roman"/>
          <w:b/>
          <w:color w:val="auto"/>
          <w:szCs w:val="21"/>
          <w:highlight w:val="none"/>
          <w:lang w:val="zh-CN"/>
        </w:rPr>
        <w:t>如有需要，投标人有义务提供投标文件外其他相关证明资料原件（包括但不限于业绩合同对应的发票等）供招标人核查。</w:t>
      </w:r>
      <w:r>
        <w:rPr>
          <w:rFonts w:hint="eastAsia" w:ascii="宋体" w:hAnsi="宋体" w:eastAsia="宋体" w:cs="Times New Roman"/>
          <w:b/>
          <w:color w:val="auto"/>
          <w:kern w:val="0"/>
          <w:szCs w:val="21"/>
          <w:highlight w:val="none"/>
        </w:rPr>
        <w:t>若发现投标人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26AFE45E">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30.2 投标人</w:t>
      </w:r>
      <w:r>
        <w:rPr>
          <w:rFonts w:hint="eastAsia" w:ascii="宋体" w:hAnsi="宋体" w:eastAsia="宋体" w:cs="Times New Roman"/>
          <w:b/>
          <w:color w:val="auto"/>
          <w:kern w:val="0"/>
          <w:szCs w:val="21"/>
          <w:highlight w:val="none"/>
        </w:rPr>
        <w:t>在招标人（或其委托的招标代理机构）、或评标委员会通知其提供</w:t>
      </w:r>
      <w:r>
        <w:rPr>
          <w:rFonts w:hint="eastAsia" w:ascii="宋体" w:hAnsi="宋体" w:eastAsia="宋体" w:cs="Times New Roman"/>
          <w:b/>
          <w:color w:val="auto"/>
          <w:szCs w:val="21"/>
          <w:highlight w:val="none"/>
          <w:lang w:val="zh-CN"/>
        </w:rPr>
        <w:t>上述投标文件或投标文件外其他相关（包括但不限于业绩合同对应的发票等）的证明资料原件</w:t>
      </w:r>
      <w:r>
        <w:rPr>
          <w:rFonts w:hint="eastAsia" w:ascii="宋体" w:hAnsi="宋体" w:eastAsia="宋体" w:cs="Times New Roman"/>
          <w:b/>
          <w:color w:val="auto"/>
          <w:kern w:val="0"/>
          <w:szCs w:val="21"/>
          <w:highlight w:val="none"/>
        </w:rPr>
        <w:t>进行核查的要求后，未能在约定的时间内提供原件进行核查的，视为投标人无法提供真实的资料，招标人有权按照评标委员会提出的中标候选人名单排序依次确定其他中标候选人为中标人或重新招标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4E30695A">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30.3 若投标人在投标或履约过程中存在提供虚假材料、</w:t>
      </w:r>
      <w:r>
        <w:rPr>
          <w:rFonts w:ascii="宋体" w:hAnsi="宋体" w:eastAsia="宋体" w:cs="宋体"/>
          <w:b/>
          <w:color w:val="auto"/>
          <w:szCs w:val="21"/>
          <w:highlight w:val="none"/>
        </w:rPr>
        <w:t>虚假响应</w:t>
      </w:r>
      <w:r>
        <w:rPr>
          <w:rFonts w:hint="eastAsia" w:ascii="宋体" w:hAnsi="宋体" w:eastAsia="宋体" w:cs="宋体"/>
          <w:b/>
          <w:color w:val="auto"/>
          <w:szCs w:val="21"/>
          <w:highlight w:val="none"/>
        </w:rPr>
        <w:t>招标</w:t>
      </w:r>
      <w:r>
        <w:rPr>
          <w:rFonts w:ascii="宋体" w:hAnsi="宋体" w:eastAsia="宋体" w:cs="宋体"/>
          <w:b/>
          <w:color w:val="auto"/>
          <w:szCs w:val="21"/>
          <w:highlight w:val="none"/>
        </w:rPr>
        <w:t>文件</w:t>
      </w:r>
      <w:r>
        <w:rPr>
          <w:rFonts w:hint="eastAsia" w:ascii="宋体" w:hAnsi="宋体" w:eastAsia="宋体" w:cs="宋体"/>
          <w:b/>
          <w:color w:val="auto"/>
          <w:szCs w:val="21"/>
          <w:highlight w:val="none"/>
        </w:rPr>
        <w:t>要求等弄虚作假行为，或未能根据本须知2</w:t>
      </w:r>
      <w:r>
        <w:rPr>
          <w:rFonts w:ascii="宋体" w:hAnsi="宋体" w:eastAsia="宋体" w:cs="宋体"/>
          <w:b/>
          <w:color w:val="auto"/>
          <w:szCs w:val="21"/>
          <w:highlight w:val="none"/>
        </w:rPr>
        <w:t>9.2</w:t>
      </w:r>
      <w:r>
        <w:rPr>
          <w:rFonts w:hint="eastAsia" w:ascii="宋体" w:hAnsi="宋体" w:eastAsia="宋体" w:cs="宋体"/>
          <w:b/>
          <w:color w:val="auto"/>
          <w:szCs w:val="21"/>
          <w:highlight w:val="none"/>
        </w:rPr>
        <w:t>款约定按时提供原件进行核查的，</w:t>
      </w:r>
      <w:r>
        <w:rPr>
          <w:rFonts w:ascii="宋体" w:hAnsi="宋体" w:eastAsia="宋体" w:cs="宋体"/>
          <w:b/>
          <w:color w:val="auto"/>
          <w:szCs w:val="21"/>
          <w:highlight w:val="none"/>
        </w:rPr>
        <w:t>或不按照投标文件承诺履约</w:t>
      </w:r>
      <w:r>
        <w:rPr>
          <w:rFonts w:hint="eastAsia" w:ascii="宋体" w:hAnsi="宋体" w:eastAsia="宋体" w:cs="宋体"/>
          <w:b/>
          <w:color w:val="auto"/>
          <w:szCs w:val="21"/>
          <w:highlight w:val="none"/>
        </w:rPr>
        <w:t>或撤回投标或放弃中标资格或</w:t>
      </w:r>
      <w:r>
        <w:rPr>
          <w:rFonts w:ascii="宋体" w:hAnsi="宋体" w:eastAsia="宋体" w:cs="宋体"/>
          <w:b/>
          <w:color w:val="auto"/>
          <w:szCs w:val="21"/>
          <w:highlight w:val="none"/>
        </w:rPr>
        <w:t>不按要求与招标人签订合同等影响中标结果的行为</w:t>
      </w:r>
      <w:r>
        <w:rPr>
          <w:rFonts w:hint="eastAsia" w:ascii="宋体" w:hAnsi="宋体" w:eastAsia="宋体" w:cs="宋体"/>
          <w:b/>
          <w:color w:val="auto"/>
          <w:szCs w:val="21"/>
          <w:highlight w:val="none"/>
        </w:rPr>
        <w:t>，因此导致投标人无法参与东莞市水务集团有限公司相关招标采购等活动的，由投标人自行承担全部后果。</w:t>
      </w:r>
    </w:p>
    <w:p w14:paraId="58F8BB3C">
      <w:pPr>
        <w:autoSpaceDE w:val="0"/>
        <w:autoSpaceDN w:val="0"/>
        <w:adjustRightInd w:val="0"/>
        <w:snapToGrid w:val="0"/>
        <w:spacing w:line="360" w:lineRule="auto"/>
        <w:jc w:val="left"/>
        <w:rPr>
          <w:rFonts w:ascii="宋体" w:hAnsi="宋体" w:eastAsia="宋体" w:cs="宋体"/>
          <w:color w:val="auto"/>
          <w:szCs w:val="21"/>
          <w:highlight w:val="none"/>
        </w:rPr>
      </w:pPr>
      <w:bookmarkStart w:id="316" w:name="_Toc465358971"/>
      <w:bookmarkStart w:id="317" w:name="_Toc466882019"/>
    </w:p>
    <w:p w14:paraId="418A77F5">
      <w:pPr>
        <w:tabs>
          <w:tab w:val="left" w:pos="567"/>
        </w:tabs>
        <w:autoSpaceDE w:val="0"/>
        <w:autoSpaceDN w:val="0"/>
        <w:adjustRightInd w:val="0"/>
        <w:spacing w:line="360" w:lineRule="auto"/>
        <w:ind w:left="16" w:leftChars="-59" w:hanging="140" w:hangingChars="67"/>
        <w:outlineLvl w:val="0"/>
        <w:rPr>
          <w:rFonts w:ascii="宋体" w:hAnsi="宋体" w:eastAsia="宋体" w:cs="宋体"/>
          <w:color w:val="auto"/>
          <w:szCs w:val="21"/>
          <w:highlight w:val="none"/>
          <w:lang w:val="zh-CN"/>
        </w:rPr>
      </w:pPr>
      <w:bookmarkStart w:id="318" w:name="_Toc486167696"/>
      <w:bookmarkStart w:id="319" w:name="_Toc26035"/>
      <w:bookmarkStart w:id="320" w:name="_Toc10867_WPSOffice_Level3"/>
      <w:bookmarkStart w:id="321" w:name="_Toc10782"/>
      <w:bookmarkStart w:id="322" w:name="_Toc17992"/>
      <w:bookmarkStart w:id="323" w:name="_Toc142508347"/>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 xml:space="preserve"> 评标委员会和招标人接受或拒绝任何投标或所有投标的权利</w:t>
      </w:r>
      <w:bookmarkEnd w:id="316"/>
      <w:bookmarkEnd w:id="317"/>
      <w:bookmarkEnd w:id="318"/>
      <w:bookmarkEnd w:id="319"/>
      <w:bookmarkEnd w:id="320"/>
      <w:bookmarkEnd w:id="321"/>
      <w:bookmarkEnd w:id="322"/>
      <w:bookmarkEnd w:id="323"/>
    </w:p>
    <w:p w14:paraId="5E3719A5">
      <w:pPr>
        <w:autoSpaceDE w:val="0"/>
        <w:autoSpaceDN w:val="0"/>
        <w:adjustRightInd w:val="0"/>
        <w:spacing w:line="360" w:lineRule="auto"/>
        <w:ind w:left="248" w:leftChars="118" w:firstLine="1"/>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在授予合同前的任何时候，招标人仍保留接受或拒绝任何投标，宣布招标程序无效或拒绝所有投标的权利，无需向受影响的投标人承担任何责任。</w:t>
      </w:r>
    </w:p>
    <w:p w14:paraId="2E146A63">
      <w:pPr>
        <w:autoSpaceDE w:val="0"/>
        <w:autoSpaceDN w:val="0"/>
        <w:adjustRightInd w:val="0"/>
        <w:snapToGrid w:val="0"/>
        <w:spacing w:line="360" w:lineRule="auto"/>
        <w:ind w:left="436" w:leftChars="-158" w:hanging="768" w:hangingChars="320"/>
        <w:jc w:val="left"/>
        <w:rPr>
          <w:rFonts w:ascii="宋体" w:hAnsi="宋体" w:eastAsia="宋体" w:cs="宋体"/>
          <w:color w:val="auto"/>
          <w:kern w:val="44"/>
          <w:sz w:val="24"/>
          <w:szCs w:val="24"/>
          <w:highlight w:val="none"/>
          <w:lang w:val="zh-CN"/>
        </w:rPr>
      </w:pPr>
      <w:bookmarkStart w:id="324" w:name="_Toc450662880"/>
    </w:p>
    <w:p w14:paraId="548B7EA1">
      <w:pPr>
        <w:keepNext/>
        <w:keepLines/>
        <w:autoSpaceDE w:val="0"/>
        <w:autoSpaceDN w:val="0"/>
        <w:adjustRightInd w:val="0"/>
        <w:spacing w:line="360" w:lineRule="auto"/>
        <w:jc w:val="left"/>
        <w:outlineLvl w:val="1"/>
        <w:rPr>
          <w:rFonts w:ascii="宋体" w:hAnsi="宋体" w:eastAsia="宋体" w:cs="宋体"/>
          <w:b/>
          <w:bCs/>
          <w:color w:val="auto"/>
          <w:kern w:val="44"/>
          <w:szCs w:val="21"/>
          <w:highlight w:val="none"/>
          <w:lang w:val="zh-CN"/>
        </w:rPr>
      </w:pPr>
      <w:bookmarkStart w:id="325" w:name="_Toc18316"/>
      <w:bookmarkStart w:id="326" w:name="_Toc486167697"/>
      <w:bookmarkStart w:id="327" w:name="_Toc16848_WPSOffice_Level2"/>
      <w:bookmarkStart w:id="328" w:name="_Toc6931"/>
      <w:bookmarkStart w:id="329" w:name="_Toc142508348"/>
      <w:bookmarkStart w:id="330" w:name="_Toc23063"/>
      <w:bookmarkStart w:id="331" w:name="_Toc140596907"/>
      <w:r>
        <w:rPr>
          <w:rFonts w:hint="eastAsia" w:ascii="宋体" w:hAnsi="宋体" w:eastAsia="宋体" w:cs="宋体"/>
          <w:b/>
          <w:bCs/>
          <w:color w:val="auto"/>
          <w:kern w:val="44"/>
          <w:szCs w:val="21"/>
          <w:highlight w:val="none"/>
          <w:lang w:val="zh-CN"/>
        </w:rPr>
        <w:t>六、授予合同</w:t>
      </w:r>
      <w:bookmarkEnd w:id="324"/>
      <w:bookmarkEnd w:id="325"/>
      <w:bookmarkEnd w:id="326"/>
      <w:bookmarkEnd w:id="327"/>
      <w:bookmarkEnd w:id="328"/>
      <w:bookmarkEnd w:id="329"/>
      <w:bookmarkEnd w:id="330"/>
      <w:bookmarkEnd w:id="331"/>
    </w:p>
    <w:p w14:paraId="34165D21">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332" w:name="_Toc142508349"/>
      <w:bookmarkStart w:id="333" w:name="_Toc6401_WPSOffice_Level3"/>
      <w:bookmarkStart w:id="334" w:name="_Toc450662881"/>
      <w:bookmarkStart w:id="335" w:name="_Toc486167698"/>
      <w:bookmarkStart w:id="336" w:name="_Toc9446"/>
      <w:bookmarkStart w:id="337" w:name="_Toc28016"/>
      <w:bookmarkStart w:id="338" w:name="_Toc25540"/>
      <w:r>
        <w:rPr>
          <w:rFonts w:hint="eastAsia" w:ascii="宋体" w:hAnsi="宋体" w:eastAsia="宋体" w:cs="宋体"/>
          <w:color w:val="auto"/>
          <w:szCs w:val="21"/>
          <w:highlight w:val="none"/>
        </w:rPr>
        <w:t>32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授予合同的准则</w:t>
      </w:r>
      <w:bookmarkEnd w:id="332"/>
      <w:bookmarkEnd w:id="333"/>
      <w:bookmarkEnd w:id="334"/>
      <w:bookmarkEnd w:id="335"/>
      <w:bookmarkEnd w:id="336"/>
      <w:bookmarkEnd w:id="337"/>
      <w:bookmarkEnd w:id="338"/>
    </w:p>
    <w:p w14:paraId="0F35B6E0">
      <w:pPr>
        <w:tabs>
          <w:tab w:val="left" w:pos="645"/>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除第29条、30条</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Cs w:val="24"/>
          <w:highlight w:val="none"/>
        </w:rPr>
        <w:t>31</w:t>
      </w:r>
      <w:r>
        <w:rPr>
          <w:rFonts w:hint="eastAsia" w:ascii="宋体" w:hAnsi="宋体" w:eastAsia="宋体" w:cs="宋体"/>
          <w:color w:val="auto"/>
          <w:szCs w:val="21"/>
          <w:highlight w:val="none"/>
          <w:lang w:val="zh-CN"/>
        </w:rPr>
        <w:t>条规定外，招标人将合同授予其投标文件符合招标文件要求，并且能承诺履行合同，对招标人最为有利的投标人。</w:t>
      </w:r>
    </w:p>
    <w:p w14:paraId="25880DC2">
      <w:pPr>
        <w:numPr>
          <w:ilvl w:val="1"/>
          <w:numId w:val="0"/>
        </w:numPr>
        <w:tabs>
          <w:tab w:val="left" w:pos="54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32.2 招标人依法</w:t>
      </w:r>
      <w:r>
        <w:rPr>
          <w:rFonts w:hint="eastAsia" w:ascii="宋体" w:hAnsi="宋体" w:eastAsia="宋体" w:cs="宋体"/>
          <w:color w:val="auto"/>
          <w:kern w:val="0"/>
          <w:szCs w:val="21"/>
          <w:highlight w:val="none"/>
        </w:rPr>
        <w:t>按照评标报告中推荐的中标候选人顺序</w:t>
      </w:r>
      <w:r>
        <w:rPr>
          <w:rFonts w:hint="eastAsia" w:ascii="宋体" w:hAnsi="宋体" w:eastAsia="宋体" w:cs="宋体"/>
          <w:color w:val="auto"/>
          <w:szCs w:val="21"/>
          <w:highlight w:val="none"/>
          <w:lang w:val="zh-CN"/>
        </w:rPr>
        <w:t>确定中标人。</w:t>
      </w:r>
    </w:p>
    <w:p w14:paraId="22B338BA">
      <w:pPr>
        <w:autoSpaceDE w:val="0"/>
        <w:autoSpaceDN w:val="0"/>
        <w:adjustRightInd w:val="0"/>
        <w:snapToGrid w:val="0"/>
        <w:spacing w:line="360" w:lineRule="auto"/>
        <w:ind w:left="315" w:leftChars="-100" w:hanging="525" w:hangingChars="250"/>
        <w:jc w:val="left"/>
        <w:rPr>
          <w:rFonts w:ascii="宋体" w:hAnsi="宋体" w:eastAsia="宋体" w:cs="宋体"/>
          <w:b/>
          <w:color w:val="auto"/>
          <w:kern w:val="0"/>
          <w:szCs w:val="21"/>
          <w:highlight w:val="none"/>
        </w:rPr>
      </w:pPr>
      <w:r>
        <w:rPr>
          <w:rFonts w:hint="eastAsia" w:ascii="宋体" w:hAnsi="宋体" w:eastAsia="宋体" w:cs="宋体"/>
          <w:color w:val="auto"/>
          <w:szCs w:val="21"/>
          <w:highlight w:val="none"/>
          <w:lang w:val="zh-CN"/>
        </w:rPr>
        <w:t>32</w:t>
      </w:r>
      <w:r>
        <w:rPr>
          <w:rFonts w:hint="eastAsia" w:ascii="宋体" w:hAnsi="宋体" w:eastAsia="宋体" w:cs="宋体"/>
          <w:color w:val="auto"/>
          <w:kern w:val="0"/>
          <w:szCs w:val="21"/>
          <w:highlight w:val="none"/>
        </w:rPr>
        <w:t>.3 因不可抗力或自身原因不能履行合同的、不按要求与招标人签订合同、中标人放弃中标、中标资格被依法确认无效的，招标人可以按照评标委员会提出的中标候选人名单排序依次确定其他中标候选人为中标人或重新招标</w:t>
      </w:r>
      <w:r>
        <w:rPr>
          <w:rFonts w:hint="eastAsia" w:ascii="宋体" w:hAnsi="宋体" w:eastAsia="宋体" w:cs="宋体"/>
          <w:b/>
          <w:color w:val="auto"/>
          <w:kern w:val="0"/>
          <w:szCs w:val="21"/>
          <w:highlight w:val="none"/>
        </w:rPr>
        <w:t>。</w:t>
      </w:r>
    </w:p>
    <w:p w14:paraId="2B74C112">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39" w:name="_Toc450662885"/>
    </w:p>
    <w:p w14:paraId="3AC137FF">
      <w:pPr>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340" w:name="_Toc278"/>
      <w:bookmarkStart w:id="341" w:name="_Toc6726_WPSOffice_Level3"/>
      <w:bookmarkStart w:id="342" w:name="_Toc142508350"/>
      <w:bookmarkStart w:id="343" w:name="_Toc28723"/>
      <w:bookmarkStart w:id="344" w:name="_Toc486167699"/>
      <w:bookmarkStart w:id="345" w:name="_Toc24266"/>
      <w:r>
        <w:rPr>
          <w:rFonts w:hint="eastAsia" w:ascii="宋体" w:hAnsi="宋体" w:eastAsia="宋体" w:cs="宋体"/>
          <w:color w:val="auto"/>
          <w:szCs w:val="21"/>
          <w:highlight w:val="none"/>
          <w:lang w:val="zh-CN"/>
        </w:rPr>
        <w:t>33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中标通知</w:t>
      </w:r>
      <w:bookmarkEnd w:id="339"/>
      <w:bookmarkEnd w:id="340"/>
      <w:bookmarkEnd w:id="341"/>
      <w:bookmarkEnd w:id="342"/>
      <w:bookmarkEnd w:id="343"/>
      <w:bookmarkEnd w:id="344"/>
      <w:bookmarkEnd w:id="345"/>
    </w:p>
    <w:p w14:paraId="462683B0">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46" w:name="_Toc450662886"/>
      <w:r>
        <w:rPr>
          <w:rFonts w:hint="eastAsia" w:ascii="宋体" w:hAnsi="宋体" w:eastAsia="宋体" w:cs="宋体"/>
          <w:color w:val="auto"/>
          <w:szCs w:val="21"/>
          <w:highlight w:val="none"/>
          <w:lang w:val="zh-CN"/>
        </w:rPr>
        <w:t>33.1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招标代理机构向中标人发出书面通知，中标通知书是合同的一个组成部分。</w:t>
      </w:r>
    </w:p>
    <w:p w14:paraId="0BF4D7C4">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招标代理机构向中标人发出书面通知的同时，招标代理机构通知落选的投标人其投标文件未被接受而不提原因。</w:t>
      </w:r>
    </w:p>
    <w:p w14:paraId="1EAD00DF">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p>
    <w:p w14:paraId="72B21EC4">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347" w:name="_Toc4048"/>
      <w:bookmarkStart w:id="348" w:name="_Toc32732"/>
      <w:bookmarkStart w:id="349" w:name="_Toc486167700"/>
      <w:bookmarkStart w:id="350" w:name="_Toc142508351"/>
      <w:bookmarkStart w:id="351" w:name="_Toc30367"/>
      <w:bookmarkStart w:id="352" w:name="_Toc9694_WPSOffice_Level3"/>
      <w:r>
        <w:rPr>
          <w:rFonts w:hint="eastAsia" w:ascii="宋体" w:hAnsi="宋体" w:eastAsia="宋体" w:cs="宋体"/>
          <w:color w:val="auto"/>
          <w:szCs w:val="21"/>
          <w:highlight w:val="none"/>
        </w:rPr>
        <w:t>34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签署合同</w:t>
      </w:r>
      <w:bookmarkEnd w:id="346"/>
      <w:bookmarkEnd w:id="347"/>
      <w:bookmarkEnd w:id="348"/>
      <w:bookmarkEnd w:id="349"/>
      <w:bookmarkEnd w:id="350"/>
      <w:bookmarkEnd w:id="351"/>
      <w:bookmarkEnd w:id="352"/>
    </w:p>
    <w:p w14:paraId="513E08B9">
      <w:pPr>
        <w:tabs>
          <w:tab w:val="left" w:pos="540"/>
        </w:tabs>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Times New Roman"/>
          <w:b/>
          <w:color w:val="auto"/>
          <w:szCs w:val="21"/>
          <w:highlight w:val="none"/>
          <w:u w:val="single"/>
          <w:lang w:val="zh-CN"/>
        </w:rPr>
        <w:t>中标人在自中标通知书发出之日起30日内，按照招标文件和中标人的投标文件的约定，与招标人签订书面合同，具体签订方式以招标人通知为准。否则招标人有权取消中标资格并按招标文件及法律、法规的规定进行处理</w:t>
      </w:r>
      <w:r>
        <w:rPr>
          <w:rFonts w:hint="eastAsia" w:ascii="宋体" w:hAnsi="宋体" w:eastAsia="宋体" w:cs="宋体"/>
          <w:color w:val="auto"/>
          <w:szCs w:val="21"/>
          <w:highlight w:val="none"/>
          <w:lang w:val="zh-CN"/>
        </w:rPr>
        <w:t>。</w:t>
      </w:r>
    </w:p>
    <w:p w14:paraId="148C6597">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34.2 在签署合同前，招标人可对中标人投标报价明细及附表内的算术性错误进行修正，修正原则为：</w:t>
      </w:r>
    </w:p>
    <w:p w14:paraId="616D647F">
      <w:pPr>
        <w:autoSpaceDE w:val="0"/>
        <w:autoSpaceDN w:val="0"/>
        <w:adjustRightInd w:val="0"/>
        <w:snapToGrid w:val="0"/>
        <w:spacing w:line="360" w:lineRule="auto"/>
        <w:ind w:left="315" w:leftChars="100" w:hanging="105" w:hangingChars="50"/>
        <w:jc w:val="left"/>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1）当以数字表示的金额与以文字表示的金额不一致时，以文字表示的金额为准；（2）当开标一览表(投标报价表)内总报价金额与按综合单价计算的总价不一致的，以综合单价计算结果为准，单项金额小数点有明显错位的，应以总价为准，并修正综合单价金额。按前述修正原则排序依次进行修正至唯一值后的报价表经双方确认后，作为合同文件的组成部分。</w:t>
      </w:r>
    </w:p>
    <w:p w14:paraId="6F4CF313">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 xml:space="preserve">34.3 </w:t>
      </w:r>
      <w:r>
        <w:rPr>
          <w:rFonts w:hint="eastAsia" w:ascii="宋体" w:hAnsi="宋体" w:eastAsia="宋体" w:cs="Times New Roman"/>
          <w:b/>
          <w:bCs/>
          <w:snapToGrid/>
          <w:color w:val="auto"/>
          <w:kern w:val="2"/>
          <w:szCs w:val="21"/>
          <w:highlight w:val="none"/>
          <w:lang w:val="zh-CN"/>
        </w:rPr>
        <w:t>本项目中标人与</w:t>
      </w:r>
      <w:bookmarkStart w:id="353" w:name="OLE_LINK36"/>
      <w:r>
        <w:rPr>
          <w:rFonts w:hint="eastAsia" w:ascii="宋体" w:hAnsi="宋体" w:eastAsia="宋体" w:cs="Times New Roman"/>
          <w:b/>
          <w:bCs/>
          <w:snapToGrid/>
          <w:color w:val="auto"/>
          <w:kern w:val="2"/>
          <w:szCs w:val="21"/>
          <w:highlight w:val="none"/>
          <w:lang w:val="zh-CN"/>
        </w:rPr>
        <w:t>招标人</w:t>
      </w:r>
      <w:bookmarkStart w:id="354" w:name="OLE_LINK35"/>
      <w:r>
        <w:rPr>
          <w:rFonts w:hint="eastAsia" w:ascii="宋体" w:hAnsi="宋体" w:eastAsia="宋体" w:cs="Times New Roman"/>
          <w:b/>
          <w:bCs/>
          <w:snapToGrid/>
          <w:color w:val="auto"/>
          <w:kern w:val="2"/>
          <w:szCs w:val="21"/>
          <w:highlight w:val="none"/>
          <w:lang w:val="zh-CN"/>
        </w:rPr>
        <w:t>权属子公司</w:t>
      </w:r>
      <w:bookmarkEnd w:id="353"/>
      <w:bookmarkEnd w:id="354"/>
      <w:r>
        <w:rPr>
          <w:rFonts w:hint="eastAsia" w:ascii="宋体" w:hAnsi="宋体" w:eastAsia="宋体" w:cs="Times New Roman"/>
          <w:b/>
          <w:bCs/>
          <w:snapToGrid/>
          <w:color w:val="auto"/>
          <w:kern w:val="2"/>
          <w:szCs w:val="21"/>
          <w:highlight w:val="none"/>
          <w:lang w:val="zh-CN"/>
        </w:rPr>
        <w:t>(东莞市石鼓净水有限公司)签署合同，</w:t>
      </w:r>
      <w:r>
        <w:rPr>
          <w:rFonts w:hint="eastAsia" w:ascii="宋体" w:hAnsi="宋体" w:eastAsia="宋体" w:cs="Times New Roman"/>
          <w:b/>
          <w:bCs/>
          <w:snapToGrid/>
          <w:color w:val="auto"/>
          <w:kern w:val="2"/>
          <w:szCs w:val="21"/>
          <w:highlight w:val="none"/>
          <w:lang w:val="en-US" w:eastAsia="zh-CN"/>
        </w:rPr>
        <w:t>合同履行过程中，若</w:t>
      </w:r>
      <w:r>
        <w:rPr>
          <w:rFonts w:hint="eastAsia" w:ascii="宋体" w:hAnsi="宋体" w:eastAsia="宋体" w:cs="Times New Roman"/>
          <w:b/>
          <w:bCs/>
          <w:snapToGrid/>
          <w:color w:val="auto"/>
          <w:kern w:val="2"/>
          <w:szCs w:val="21"/>
          <w:highlight w:val="none"/>
          <w:lang w:val="zh-CN"/>
        </w:rPr>
        <w:t>招标人权属子公司</w:t>
      </w:r>
      <w:r>
        <w:rPr>
          <w:rFonts w:hint="eastAsia" w:ascii="宋体" w:hAnsi="宋体" w:eastAsia="宋体" w:cs="Times New Roman"/>
          <w:b/>
          <w:bCs/>
          <w:snapToGrid/>
          <w:color w:val="auto"/>
          <w:kern w:val="2"/>
          <w:szCs w:val="21"/>
          <w:highlight w:val="none"/>
          <w:lang w:val="en-US" w:eastAsia="zh-CN"/>
        </w:rPr>
        <w:t>关联公司需购买货物的，如东莞市清源净水科技有限公司等，本项目中标人与招标人</w:t>
      </w:r>
      <w:r>
        <w:rPr>
          <w:rFonts w:hint="eastAsia" w:ascii="宋体" w:hAnsi="宋体" w:eastAsia="宋体" w:cs="Times New Roman"/>
          <w:b/>
          <w:bCs/>
          <w:snapToGrid/>
          <w:color w:val="auto"/>
          <w:kern w:val="2"/>
          <w:szCs w:val="21"/>
          <w:highlight w:val="none"/>
          <w:lang w:val="zh-CN"/>
        </w:rPr>
        <w:t>权属子公司（东莞市石鼓净水有限公司）</w:t>
      </w:r>
      <w:r>
        <w:rPr>
          <w:rFonts w:hint="eastAsia" w:ascii="宋体" w:hAnsi="宋体" w:eastAsia="宋体" w:cs="Times New Roman"/>
          <w:b/>
          <w:bCs/>
          <w:snapToGrid/>
          <w:color w:val="auto"/>
          <w:kern w:val="2"/>
          <w:szCs w:val="21"/>
          <w:highlight w:val="none"/>
          <w:lang w:val="en-US" w:eastAsia="zh-CN"/>
        </w:rPr>
        <w:t>及</w:t>
      </w:r>
      <w:r>
        <w:rPr>
          <w:rFonts w:hint="eastAsia" w:ascii="宋体" w:hAnsi="宋体" w:eastAsia="宋体" w:cs="Times New Roman"/>
          <w:b/>
          <w:bCs/>
          <w:snapToGrid/>
          <w:color w:val="auto"/>
          <w:kern w:val="2"/>
          <w:szCs w:val="21"/>
          <w:highlight w:val="none"/>
          <w:lang w:val="zh-CN"/>
        </w:rPr>
        <w:t>招标人权属子公司</w:t>
      </w:r>
      <w:r>
        <w:rPr>
          <w:rFonts w:hint="eastAsia" w:ascii="宋体" w:hAnsi="宋体" w:eastAsia="宋体" w:cs="Times New Roman"/>
          <w:b/>
          <w:bCs/>
          <w:snapToGrid/>
          <w:color w:val="auto"/>
          <w:kern w:val="2"/>
          <w:szCs w:val="21"/>
          <w:highlight w:val="none"/>
          <w:lang w:val="en-US" w:eastAsia="zh-CN"/>
        </w:rPr>
        <w:t>关联公司（</w:t>
      </w:r>
      <w:r>
        <w:rPr>
          <w:rFonts w:hint="eastAsia" w:ascii="宋体" w:hAnsi="宋体" w:eastAsia="宋体" w:cs="宋体"/>
          <w:b/>
          <w:bCs/>
          <w:color w:val="auto"/>
          <w:kern w:val="0"/>
          <w:szCs w:val="21"/>
          <w:highlight w:val="none"/>
          <w:lang w:val="en-US" w:eastAsia="zh-CN"/>
        </w:rPr>
        <w:t>东莞市石鼓净水有限公司关联公司）</w:t>
      </w:r>
      <w:r>
        <w:rPr>
          <w:rFonts w:hint="eastAsia" w:ascii="宋体" w:hAnsi="宋体" w:eastAsia="宋体" w:cs="宋体"/>
          <w:b/>
          <w:color w:val="auto"/>
          <w:sz w:val="21"/>
          <w:szCs w:val="21"/>
          <w:highlight w:val="none"/>
        </w:rPr>
        <w:t>依据</w:t>
      </w:r>
      <w:r>
        <w:rPr>
          <w:rFonts w:hint="eastAsia" w:ascii="宋体" w:hAnsi="宋体" w:eastAsia="宋体" w:cs="宋体"/>
          <w:b/>
          <w:color w:val="auto"/>
          <w:sz w:val="21"/>
          <w:szCs w:val="21"/>
          <w:highlight w:val="none"/>
          <w:lang w:val="en-US" w:eastAsia="zh-CN"/>
        </w:rPr>
        <w:t>本项目</w:t>
      </w:r>
      <w:r>
        <w:rPr>
          <w:rFonts w:hint="eastAsia" w:ascii="宋体" w:hAnsi="宋体" w:eastAsia="宋体" w:cs="宋体"/>
          <w:b/>
          <w:color w:val="auto"/>
          <w:sz w:val="21"/>
          <w:szCs w:val="21"/>
          <w:highlight w:val="none"/>
        </w:rPr>
        <w:t>不含税中标综合单价签订补充协议</w:t>
      </w:r>
      <w:r>
        <w:rPr>
          <w:rFonts w:ascii="宋体" w:hAnsi="宋体" w:eastAsia="宋体" w:cs="Times New Roman"/>
          <w:color w:val="auto"/>
          <w:szCs w:val="21"/>
          <w:highlight w:val="none"/>
          <w:lang w:val="zh-CN"/>
        </w:rPr>
        <w:t>。</w:t>
      </w:r>
    </w:p>
    <w:p w14:paraId="1650086F">
      <w:pPr>
        <w:tabs>
          <w:tab w:val="left" w:pos="360"/>
        </w:tabs>
        <w:autoSpaceDE w:val="0"/>
        <w:autoSpaceDN w:val="0"/>
        <w:adjustRightInd w:val="0"/>
        <w:spacing w:line="360" w:lineRule="auto"/>
        <w:ind w:left="357" w:leftChars="-100" w:hanging="567"/>
        <w:jc w:val="left"/>
        <w:outlineLvl w:val="9"/>
        <w:rPr>
          <w:rFonts w:hint="eastAsia" w:ascii="宋体" w:hAnsi="宋体" w:eastAsia="宋体" w:cs="宋体"/>
          <w:color w:val="auto"/>
          <w:szCs w:val="21"/>
          <w:highlight w:val="none"/>
        </w:rPr>
      </w:pPr>
      <w:bookmarkStart w:id="355" w:name="_Toc142508352"/>
      <w:bookmarkStart w:id="356" w:name="_Toc450662887"/>
      <w:bookmarkStart w:id="357" w:name="_Toc10513_WPSOffice_Level3"/>
      <w:bookmarkStart w:id="358" w:name="_Toc486167701"/>
    </w:p>
    <w:p w14:paraId="03817E3C">
      <w:pPr>
        <w:tabs>
          <w:tab w:val="left" w:pos="360"/>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359" w:name="_Toc8873"/>
      <w:bookmarkStart w:id="360" w:name="_Toc24156"/>
      <w:bookmarkStart w:id="361" w:name="_Toc21125"/>
      <w:r>
        <w:rPr>
          <w:rFonts w:hint="eastAsia" w:ascii="宋体" w:hAnsi="宋体" w:eastAsia="宋体" w:cs="宋体"/>
          <w:color w:val="auto"/>
          <w:szCs w:val="21"/>
          <w:highlight w:val="none"/>
        </w:rPr>
        <w:t>35</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履约担保</w:t>
      </w:r>
      <w:bookmarkEnd w:id="355"/>
      <w:bookmarkEnd w:id="356"/>
      <w:bookmarkEnd w:id="357"/>
      <w:bookmarkEnd w:id="358"/>
      <w:bookmarkEnd w:id="359"/>
      <w:bookmarkEnd w:id="360"/>
      <w:bookmarkEnd w:id="361"/>
    </w:p>
    <w:p w14:paraId="4242B248">
      <w:pPr>
        <w:numPr>
          <w:ilvl w:val="1"/>
          <w:numId w:val="0"/>
        </w:numPr>
        <w:autoSpaceDE w:val="0"/>
        <w:autoSpaceDN w:val="0"/>
        <w:adjustRightInd w:val="0"/>
        <w:spacing w:line="360" w:lineRule="auto"/>
        <w:ind w:left="354" w:leftChars="-100" w:right="15" w:rightChars="7" w:hanging="564" w:hangingChars="269"/>
        <w:rPr>
          <w:rFonts w:ascii="宋体" w:hAnsi="宋体" w:eastAsia="宋体" w:cs="宋体"/>
          <w:b/>
          <w:bCs/>
          <w:color w:val="auto"/>
          <w:szCs w:val="21"/>
          <w:highlight w:val="none"/>
          <w:lang w:val="zh-CN"/>
        </w:rPr>
      </w:pPr>
      <w:bookmarkStart w:id="362" w:name="_Toc466882025"/>
      <w:bookmarkStart w:id="363" w:name="_Toc465358977"/>
      <w:r>
        <w:rPr>
          <w:rFonts w:hint="eastAsia" w:ascii="宋体" w:hAnsi="宋体" w:eastAsia="宋体" w:cs="宋体"/>
          <w:bCs/>
          <w:color w:val="auto"/>
          <w:szCs w:val="21"/>
          <w:highlight w:val="none"/>
        </w:rPr>
        <w:t>35</w:t>
      </w:r>
      <w:r>
        <w:rPr>
          <w:rFonts w:hint="eastAsia" w:ascii="宋体" w:hAnsi="宋体" w:eastAsia="宋体" w:cs="宋体"/>
          <w:bCs/>
          <w:color w:val="auto"/>
          <w:szCs w:val="21"/>
          <w:highlight w:val="none"/>
          <w:lang w:val="zh-CN"/>
        </w:rPr>
        <w:t>.1</w:t>
      </w:r>
      <w:r>
        <w:rPr>
          <w:rFonts w:hint="eastAsia" w:ascii="宋体" w:hAnsi="宋体" w:eastAsia="宋体" w:cs="宋体"/>
          <w:b/>
          <w:bCs/>
          <w:color w:val="auto"/>
          <w:szCs w:val="21"/>
          <w:highlight w:val="none"/>
          <w:lang w:val="zh-CN"/>
        </w:rPr>
        <w:t xml:space="preserve"> </w:t>
      </w:r>
      <w:r>
        <w:rPr>
          <w:rFonts w:hint="eastAsia" w:ascii="宋体" w:hAnsi="宋体" w:eastAsia="宋体" w:cs="Times New Roman"/>
          <w:b/>
          <w:bCs/>
          <w:color w:val="auto"/>
          <w:szCs w:val="21"/>
          <w:highlight w:val="none"/>
          <w:u w:val="single"/>
          <w:lang w:val="zh-CN"/>
        </w:rPr>
        <w:t>中标人应在签订合同前，按本招标文件规定金额及形式要求，向招标人或招标人权属子公司提交不可撤销银行履约保函（或履约保证金</w:t>
      </w:r>
      <w:r>
        <w:rPr>
          <w:rFonts w:hint="eastAsia" w:ascii="宋体" w:hAnsi="宋体" w:eastAsia="宋体" w:cs="Times New Roman"/>
          <w:b/>
          <w:bCs/>
          <w:color w:val="auto"/>
          <w:szCs w:val="21"/>
          <w:highlight w:val="none"/>
          <w:u w:val="single"/>
          <w:lang w:val="en-US" w:eastAsia="zh-CN"/>
        </w:rPr>
        <w:t>或履约保证保险</w:t>
      </w:r>
      <w:r>
        <w:rPr>
          <w:rFonts w:hint="eastAsia" w:ascii="宋体" w:hAnsi="宋体" w:eastAsia="宋体" w:cs="Times New Roman"/>
          <w:b/>
          <w:bCs/>
          <w:color w:val="auto"/>
          <w:szCs w:val="21"/>
          <w:highlight w:val="none"/>
          <w:u w:val="single"/>
          <w:lang w:val="zh-CN"/>
        </w:rPr>
        <w:t>或担保公司履约担保书），作为履约担保（所需费用由中标人自行承担），</w:t>
      </w:r>
      <w:r>
        <w:rPr>
          <w:rFonts w:ascii="宋体" w:hAnsi="宋体" w:eastAsia="宋体" w:cs="Arial"/>
          <w:b/>
          <w:bCs/>
          <w:color w:val="auto"/>
          <w:kern w:val="0"/>
          <w:szCs w:val="24"/>
          <w:highlight w:val="none"/>
          <w:u w:val="single"/>
        </w:rPr>
        <w:t>否则招标人可取消中标人的中标资格，</w:t>
      </w:r>
      <w:r>
        <w:rPr>
          <w:rFonts w:hint="eastAsia" w:ascii="宋体" w:hAnsi="宋体" w:eastAsia="宋体" w:cs="Arial"/>
          <w:b/>
          <w:bCs/>
          <w:color w:val="auto"/>
          <w:kern w:val="0"/>
          <w:szCs w:val="24"/>
          <w:highlight w:val="none"/>
          <w:u w:val="single"/>
        </w:rPr>
        <w:t>不予退还其投标保证金。</w:t>
      </w:r>
      <w:r>
        <w:rPr>
          <w:rFonts w:hint="eastAsia" w:ascii="宋体" w:hAnsi="宋体" w:eastAsia="宋体" w:cs="Times New Roman"/>
          <w:b/>
          <w:bCs/>
          <w:color w:val="auto"/>
          <w:szCs w:val="21"/>
          <w:highlight w:val="none"/>
          <w:u w:val="single"/>
          <w:lang w:val="zh-CN"/>
        </w:rPr>
        <w:t>其中，采用履约保证金（银行转账形式）的金额为暂定总合同价的5%，采用不可撤销银行履约保函形式的金额为暂定总合同价的8%，采用</w:t>
      </w:r>
      <w:r>
        <w:rPr>
          <w:rFonts w:hint="eastAsia" w:ascii="宋体" w:hAnsi="宋体" w:eastAsia="宋体" w:cs="Times New Roman"/>
          <w:b/>
          <w:bCs/>
          <w:color w:val="auto"/>
          <w:szCs w:val="21"/>
          <w:highlight w:val="none"/>
          <w:u w:val="single"/>
          <w:lang w:val="en-US" w:eastAsia="zh-CN"/>
        </w:rPr>
        <w:t>履约保证保险</w:t>
      </w:r>
      <w:r>
        <w:rPr>
          <w:rFonts w:hint="eastAsia" w:ascii="宋体" w:hAnsi="宋体" w:eastAsia="宋体" w:cs="Times New Roman"/>
          <w:b/>
          <w:bCs/>
          <w:color w:val="auto"/>
          <w:szCs w:val="21"/>
          <w:highlight w:val="none"/>
          <w:u w:val="single"/>
          <w:lang w:val="zh-CN"/>
        </w:rPr>
        <w:t>形式的金额为暂定总合同价的8%，采用担保公司履约担保书形式的金额为暂定总合同价的</w:t>
      </w:r>
      <w:r>
        <w:rPr>
          <w:rFonts w:ascii="宋体" w:hAnsi="宋体" w:eastAsia="宋体" w:cs="Times New Roman"/>
          <w:b/>
          <w:bCs/>
          <w:color w:val="auto"/>
          <w:szCs w:val="21"/>
          <w:highlight w:val="none"/>
          <w:u w:val="single"/>
          <w:lang w:val="zh-CN"/>
        </w:rPr>
        <w:t>10</w:t>
      </w:r>
      <w:r>
        <w:rPr>
          <w:rFonts w:hint="eastAsia" w:ascii="宋体" w:hAnsi="宋体" w:eastAsia="宋体" w:cs="Times New Roman"/>
          <w:b/>
          <w:bCs/>
          <w:color w:val="auto"/>
          <w:szCs w:val="21"/>
          <w:highlight w:val="none"/>
          <w:u w:val="single"/>
          <w:lang w:val="zh-CN"/>
        </w:rPr>
        <w:t>%。</w:t>
      </w:r>
      <w:r>
        <w:rPr>
          <w:rFonts w:hint="eastAsia" w:ascii="宋体" w:hAnsi="宋体" w:eastAsia="宋体" w:cs="Arial"/>
          <w:bCs/>
          <w:color w:val="auto"/>
          <w:kern w:val="0"/>
          <w:szCs w:val="24"/>
          <w:highlight w:val="none"/>
        </w:rPr>
        <w:t>合同履行过程中，中标人</w:t>
      </w:r>
      <w:r>
        <w:rPr>
          <w:rFonts w:hint="eastAsia" w:ascii="宋体" w:hAnsi="宋体" w:eastAsia="宋体" w:cs="Arial"/>
          <w:color w:val="auto"/>
          <w:kern w:val="0"/>
          <w:szCs w:val="24"/>
          <w:highlight w:val="none"/>
        </w:rPr>
        <w:t>给招标人或招标人权属子公司造成的损失超过履约担保数额的，中标人还应当对超过部分予以赔偿，招标人或招标人权属子公司并依法追究中标人的相应责任。</w:t>
      </w:r>
    </w:p>
    <w:p w14:paraId="31A4AC8B">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35.2 </w:t>
      </w:r>
      <w:r>
        <w:rPr>
          <w:rFonts w:hint="eastAsia" w:ascii="宋体" w:hAnsi="宋体" w:eastAsia="宋体" w:cs="Times New Roman"/>
          <w:color w:val="auto"/>
          <w:kern w:val="0"/>
          <w:szCs w:val="21"/>
          <w:highlight w:val="none"/>
        </w:rPr>
        <w:t>履约担保用于补偿招标人或招标人权属子公司因中标人不能完全履行其合同义务而蒙受的损失或其他合同约定的事项。如发生下列任一情况时，招标人或招标人权属子公司有权依合同追究违约责任外，同时有权提取履约担保并进行相应处理</w:t>
      </w:r>
      <w:r>
        <w:rPr>
          <w:rFonts w:hint="eastAsia" w:ascii="宋体" w:hAnsi="宋体" w:eastAsia="宋体" w:cs="宋体"/>
          <w:color w:val="auto"/>
          <w:kern w:val="0"/>
          <w:szCs w:val="21"/>
          <w:highlight w:val="none"/>
        </w:rPr>
        <w:t>：</w:t>
      </w:r>
    </w:p>
    <w:p w14:paraId="18AB8CE1">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w:t>
      </w:r>
      <w:r>
        <w:rPr>
          <w:rFonts w:hint="eastAsia" w:ascii="宋体" w:hAnsi="宋体" w:eastAsia="宋体" w:cs="Times New Roman"/>
          <w:color w:val="auto"/>
          <w:kern w:val="0"/>
          <w:szCs w:val="21"/>
          <w:highlight w:val="none"/>
        </w:rPr>
        <w:t>中标人将合同项下中标人的权利义务全部转让给第三方，或未经招标人或招标人权属子公司书面同意将部分权利义务转让给第三方的，招标人或招标人权属子公司有权没收其履约担保。</w:t>
      </w:r>
    </w:p>
    <w:p w14:paraId="6416ADF1">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2）在合同履行期间，中标人</w:t>
      </w:r>
      <w:r>
        <w:rPr>
          <w:rFonts w:hint="eastAsia" w:ascii="宋体" w:hAnsi="宋体" w:eastAsia="宋体" w:cs="Times New Roman"/>
          <w:color w:val="auto"/>
          <w:kern w:val="0"/>
          <w:szCs w:val="21"/>
          <w:highlight w:val="none"/>
        </w:rPr>
        <w:t>怠于履行合同义务，经招标人或招标人权属子公司通知或要求承担违约金后仍拒不改正的，招标人或招标人权属子公司可依法没收或适当扣除其履约担保。</w:t>
      </w:r>
    </w:p>
    <w:p w14:paraId="2D6ABCCE">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3）在合同履行期间，因中标人</w:t>
      </w:r>
      <w:r>
        <w:rPr>
          <w:rFonts w:hint="eastAsia" w:ascii="宋体" w:hAnsi="宋体" w:eastAsia="宋体" w:cs="Times New Roman"/>
          <w:color w:val="auto"/>
          <w:kern w:val="0"/>
          <w:szCs w:val="21"/>
          <w:highlight w:val="none"/>
        </w:rPr>
        <w:t>货物、</w:t>
      </w:r>
      <w:r>
        <w:rPr>
          <w:rFonts w:ascii="宋体" w:hAnsi="宋体" w:eastAsia="宋体" w:cs="Times New Roman"/>
          <w:color w:val="auto"/>
          <w:kern w:val="0"/>
          <w:szCs w:val="21"/>
          <w:highlight w:val="none"/>
        </w:rPr>
        <w:t>服务质量问题造成损害、侵权损失（包括但不限于招标人</w:t>
      </w:r>
      <w:r>
        <w:rPr>
          <w:rFonts w:hint="eastAsia" w:ascii="宋体" w:hAnsi="宋体" w:eastAsia="宋体" w:cs="Times New Roman"/>
          <w:color w:val="auto"/>
          <w:kern w:val="0"/>
          <w:szCs w:val="21"/>
          <w:highlight w:val="none"/>
        </w:rPr>
        <w:t>或招标人权属子公司</w:t>
      </w:r>
      <w:r>
        <w:rPr>
          <w:rFonts w:ascii="宋体" w:hAnsi="宋体" w:eastAsia="宋体" w:cs="Times New Roman"/>
          <w:color w:val="auto"/>
          <w:kern w:val="0"/>
          <w:szCs w:val="21"/>
          <w:highlight w:val="none"/>
        </w:rPr>
        <w:t>经济损失、第三人人身财产损失等）、</w:t>
      </w:r>
      <w:r>
        <w:rPr>
          <w:rFonts w:hint="eastAsia" w:ascii="宋体" w:hAnsi="宋体" w:eastAsia="宋体" w:cs="Times New Roman"/>
          <w:color w:val="auto"/>
          <w:kern w:val="0"/>
          <w:szCs w:val="21"/>
          <w:highlight w:val="none"/>
        </w:rPr>
        <w:t>拖欠原材料供应商货款或与其所雇用员工发生劳资纠纷、上访、闹事或其他影响招标人或招标人权属子公司生产经营等情况而其未及时妥善处理的</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招标人或招标人权属子公司有权使用履约担保予以支付或作出相应处理，由此产生的一切法律后果由中标人承担。</w:t>
      </w:r>
    </w:p>
    <w:p w14:paraId="742C5D44">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4）在合同履行期间，中标人违约产生的违约金、赔偿、罚款或其他应付费用等款项，招标人</w:t>
      </w:r>
      <w:r>
        <w:rPr>
          <w:rFonts w:hint="eastAsia" w:ascii="宋体" w:hAnsi="宋体" w:eastAsia="宋体" w:cs="Times New Roman"/>
          <w:color w:val="auto"/>
          <w:kern w:val="0"/>
          <w:szCs w:val="21"/>
          <w:highlight w:val="none"/>
        </w:rPr>
        <w:t>或招标人权属子公司</w:t>
      </w:r>
      <w:r>
        <w:rPr>
          <w:rFonts w:ascii="宋体" w:hAnsi="宋体" w:eastAsia="宋体" w:cs="Times New Roman"/>
          <w:color w:val="auto"/>
          <w:kern w:val="0"/>
          <w:szCs w:val="21"/>
          <w:highlight w:val="none"/>
        </w:rPr>
        <w:t>有权直接从未付款项中直接扣除或启用履约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予以支付。</w:t>
      </w:r>
    </w:p>
    <w:p w14:paraId="2230BD93">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5）合同期内，中标人不能及时完成合同某项义务的，招标人</w:t>
      </w:r>
      <w:r>
        <w:rPr>
          <w:rFonts w:hint="eastAsia" w:ascii="宋体" w:hAnsi="宋体" w:eastAsia="宋体" w:cs="Times New Roman"/>
          <w:color w:val="auto"/>
          <w:kern w:val="0"/>
          <w:szCs w:val="21"/>
          <w:highlight w:val="none"/>
        </w:rPr>
        <w:t>或招标人权属子公司</w:t>
      </w:r>
      <w:r>
        <w:rPr>
          <w:rFonts w:ascii="宋体" w:hAnsi="宋体" w:eastAsia="宋体" w:cs="Times New Roman"/>
          <w:color w:val="auto"/>
          <w:kern w:val="0"/>
          <w:szCs w:val="21"/>
          <w:highlight w:val="none"/>
        </w:rPr>
        <w:t>有权提取履约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用于处理该项工作。</w:t>
      </w:r>
    </w:p>
    <w:p w14:paraId="4B80EBED">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6）其他根据本合同约定或法律规定，招标人</w:t>
      </w:r>
      <w:r>
        <w:rPr>
          <w:rFonts w:hint="eastAsia" w:ascii="宋体" w:hAnsi="宋体" w:eastAsia="宋体" w:cs="Times New Roman"/>
          <w:color w:val="auto"/>
          <w:kern w:val="0"/>
          <w:szCs w:val="21"/>
          <w:highlight w:val="none"/>
        </w:rPr>
        <w:t>或招标人权属子公司</w:t>
      </w:r>
      <w:r>
        <w:rPr>
          <w:rFonts w:ascii="宋体" w:hAnsi="宋体" w:eastAsia="宋体" w:cs="Times New Roman"/>
          <w:color w:val="auto"/>
          <w:kern w:val="0"/>
          <w:szCs w:val="21"/>
          <w:highlight w:val="none"/>
        </w:rPr>
        <w:t>可启用履约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的情形。</w:t>
      </w:r>
    </w:p>
    <w:p w14:paraId="2E0F3FD8">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bookmarkStart w:id="364" w:name="_Toc24452"/>
      <w:r>
        <w:rPr>
          <w:rFonts w:hint="eastAsia" w:ascii="宋体" w:hAnsi="宋体" w:eastAsia="宋体" w:cs="宋体"/>
          <w:color w:val="auto"/>
          <w:kern w:val="0"/>
          <w:szCs w:val="21"/>
          <w:highlight w:val="none"/>
        </w:rPr>
        <w:t>35.3  履约担保应符合如下规定：</w:t>
      </w:r>
      <w:bookmarkEnd w:id="364"/>
    </w:p>
    <w:p w14:paraId="6BD4B63B">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r>
        <w:rPr>
          <w:rFonts w:ascii="宋体" w:hAnsi="宋体" w:eastAsia="宋体" w:cs="Times New Roman"/>
          <w:color w:val="auto"/>
          <w:kern w:val="0"/>
          <w:szCs w:val="21"/>
          <w:highlight w:val="none"/>
        </w:rPr>
        <w:t>出具履约保函的银行必须是</w:t>
      </w:r>
      <w:r>
        <w:rPr>
          <w:rFonts w:hint="eastAsia" w:ascii="宋体" w:hAnsi="宋体" w:eastAsia="宋体" w:cs="Times New Roman"/>
          <w:color w:val="auto"/>
          <w:kern w:val="0"/>
          <w:szCs w:val="21"/>
          <w:highlight w:val="none"/>
        </w:rPr>
        <w:t>境内</w:t>
      </w:r>
      <w:r>
        <w:rPr>
          <w:rFonts w:ascii="宋体" w:hAnsi="宋体" w:eastAsia="宋体" w:cs="Times New Roman"/>
          <w:color w:val="auto"/>
          <w:kern w:val="0"/>
          <w:szCs w:val="21"/>
          <w:highlight w:val="none"/>
        </w:rPr>
        <w:t>支行一级以上机构，并经招标人</w:t>
      </w:r>
      <w:r>
        <w:rPr>
          <w:rFonts w:hint="eastAsia" w:ascii="宋体" w:hAnsi="宋体" w:eastAsia="宋体" w:cs="Times New Roman"/>
          <w:color w:val="auto"/>
          <w:kern w:val="0"/>
          <w:szCs w:val="21"/>
          <w:highlight w:val="none"/>
        </w:rPr>
        <w:t>或招标人权属子公司</w:t>
      </w:r>
      <w:r>
        <w:rPr>
          <w:rFonts w:ascii="宋体" w:hAnsi="宋体" w:eastAsia="宋体" w:cs="Times New Roman"/>
          <w:color w:val="auto"/>
          <w:kern w:val="0"/>
          <w:szCs w:val="21"/>
          <w:highlight w:val="none"/>
        </w:rPr>
        <w:t>同意，执行本款时所发生的费用由中标人</w:t>
      </w:r>
      <w:r>
        <w:rPr>
          <w:rFonts w:hint="eastAsia" w:ascii="宋体" w:hAnsi="宋体" w:eastAsia="宋体" w:cs="Times New Roman"/>
          <w:color w:val="auto"/>
          <w:kern w:val="0"/>
          <w:szCs w:val="21"/>
          <w:highlight w:val="none"/>
        </w:rPr>
        <w:t>承担</w:t>
      </w:r>
      <w:r>
        <w:rPr>
          <w:rFonts w:ascii="宋体" w:hAnsi="宋体" w:eastAsia="宋体" w:cs="Times New Roman"/>
          <w:color w:val="auto"/>
          <w:kern w:val="0"/>
          <w:szCs w:val="21"/>
          <w:highlight w:val="none"/>
        </w:rPr>
        <w:t>。</w:t>
      </w:r>
    </w:p>
    <w:p w14:paraId="0E34EBDF">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w:t>
      </w:r>
      <w:r>
        <w:rPr>
          <w:rFonts w:ascii="宋体" w:hAnsi="宋体" w:eastAsia="宋体" w:cs="Times New Roman"/>
          <w:color w:val="auto"/>
          <w:kern w:val="0"/>
          <w:szCs w:val="21"/>
          <w:highlight w:val="none"/>
        </w:rPr>
        <w:t>履约担保格式应采用招标文件中提供的（格式参见第</w:t>
      </w:r>
      <w:r>
        <w:rPr>
          <w:rFonts w:hint="eastAsia" w:ascii="宋体" w:hAnsi="宋体" w:eastAsia="宋体" w:cs="Times New Roman"/>
          <w:color w:val="auto"/>
          <w:kern w:val="0"/>
          <w:szCs w:val="21"/>
          <w:highlight w:val="none"/>
        </w:rPr>
        <w:t>五篇</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投标人如以履约保函（或履约保证保险或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履约担保书）形式提供履约担保的，投标前应当自行向其拟申请开具保函的银行（</w:t>
      </w:r>
      <w:r>
        <w:rPr>
          <w:rFonts w:hint="eastAsia" w:ascii="宋体" w:hAnsi="宋体" w:eastAsia="宋体" w:cs="Times New Roman"/>
          <w:color w:val="auto"/>
          <w:kern w:val="0"/>
          <w:szCs w:val="21"/>
          <w:highlight w:val="none"/>
          <w:lang w:val="en-US" w:eastAsia="zh-CN"/>
        </w:rPr>
        <w:t>或保险</w:t>
      </w:r>
      <w:r>
        <w:rPr>
          <w:rFonts w:hint="eastAsia" w:ascii="宋体" w:hAnsi="宋体" w:eastAsia="宋体" w:cs="Times New Roman"/>
          <w:color w:val="auto"/>
          <w:kern w:val="0"/>
          <w:szCs w:val="21"/>
          <w:highlight w:val="none"/>
        </w:rPr>
        <w:t>或担保）机构落实履约保函（或履约保证保险或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履约担保书）格式情况，以确保能按本招标文件规定的格式提供保函。</w:t>
      </w:r>
      <w:r>
        <w:rPr>
          <w:rFonts w:ascii="宋体" w:hAnsi="宋体" w:eastAsia="宋体" w:cs="Times New Roman"/>
          <w:color w:val="auto"/>
          <w:kern w:val="0"/>
          <w:szCs w:val="21"/>
          <w:highlight w:val="none"/>
        </w:rPr>
        <w:t>如使用其他格式的履约保函</w:t>
      </w:r>
      <w:r>
        <w:rPr>
          <w:rFonts w:hint="eastAsia" w:ascii="宋体" w:hAnsi="宋体" w:eastAsia="宋体" w:cs="Times New Roman"/>
          <w:color w:val="auto"/>
          <w:kern w:val="0"/>
          <w:szCs w:val="21"/>
          <w:highlight w:val="none"/>
        </w:rPr>
        <w:t>（或履约保证保险或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w:t>
      </w:r>
      <w:r>
        <w:rPr>
          <w:rFonts w:ascii="宋体" w:hAnsi="宋体" w:eastAsia="宋体" w:cs="Times New Roman"/>
          <w:color w:val="auto"/>
          <w:kern w:val="0"/>
          <w:szCs w:val="21"/>
          <w:highlight w:val="none"/>
        </w:rPr>
        <w:t>，须事先经招标人</w:t>
      </w:r>
      <w:r>
        <w:rPr>
          <w:rFonts w:hint="eastAsia" w:ascii="宋体" w:hAnsi="宋体" w:eastAsia="宋体" w:cs="Times New Roman"/>
          <w:color w:val="auto"/>
          <w:kern w:val="0"/>
          <w:szCs w:val="21"/>
          <w:highlight w:val="none"/>
        </w:rPr>
        <w:t>或招标人权属子公司</w:t>
      </w:r>
      <w:r>
        <w:rPr>
          <w:rFonts w:ascii="宋体" w:hAnsi="宋体" w:eastAsia="宋体" w:cs="Times New Roman"/>
          <w:color w:val="auto"/>
          <w:kern w:val="0"/>
          <w:szCs w:val="21"/>
          <w:highlight w:val="none"/>
        </w:rPr>
        <w:t>的书面</w:t>
      </w:r>
      <w:r>
        <w:rPr>
          <w:rFonts w:hint="eastAsia" w:ascii="宋体" w:hAnsi="宋体" w:eastAsia="宋体" w:cs="Times New Roman"/>
          <w:color w:val="auto"/>
          <w:kern w:val="0"/>
          <w:szCs w:val="21"/>
          <w:highlight w:val="none"/>
        </w:rPr>
        <w:t>同意</w:t>
      </w:r>
      <w:r>
        <w:rPr>
          <w:rFonts w:ascii="宋体" w:hAnsi="宋体" w:eastAsia="宋体" w:cs="Times New Roman"/>
          <w:color w:val="auto"/>
          <w:kern w:val="0"/>
          <w:szCs w:val="21"/>
          <w:highlight w:val="none"/>
        </w:rPr>
        <w:t>。</w:t>
      </w:r>
    </w:p>
    <w:p w14:paraId="2E1D96FC">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）提供担保的担保机构经济性质须为</w:t>
      </w:r>
      <w:r>
        <w:rPr>
          <w:rFonts w:hint="eastAsia" w:ascii="宋体" w:hAnsi="宋体" w:eastAsia="宋体" w:cs="Times New Roman"/>
          <w:color w:val="auto"/>
          <w:kern w:val="0"/>
          <w:szCs w:val="21"/>
          <w:highlight w:val="none"/>
          <w:lang w:val="en-US" w:eastAsia="zh-CN"/>
        </w:rPr>
        <w:t>东莞</w:t>
      </w:r>
      <w:r>
        <w:rPr>
          <w:rFonts w:hint="eastAsia" w:ascii="宋体" w:hAnsi="宋体" w:eastAsia="宋体" w:cs="Times New Roman"/>
          <w:color w:val="auto"/>
          <w:kern w:val="0"/>
          <w:szCs w:val="21"/>
          <w:highlight w:val="none"/>
        </w:rPr>
        <w:t>市国有企业，或政府性融资担保机构（中标人须提供能证明其属于政府性融资担保机构的证明文件），并经招标人或招标人权属子公司同意，执行本款时所发生的费用由中标人承担。如招标人或招标人权属子公司合同条款接受担保公司预付款担保函的，对担保机构要求参照本条执行</w:t>
      </w:r>
      <w:r>
        <w:rPr>
          <w:rFonts w:ascii="宋体" w:hAnsi="宋体" w:eastAsia="宋体" w:cs="Times New Roman"/>
          <w:color w:val="auto"/>
          <w:kern w:val="0"/>
          <w:szCs w:val="21"/>
          <w:highlight w:val="none"/>
        </w:rPr>
        <w:t>。</w:t>
      </w:r>
    </w:p>
    <w:p w14:paraId="007A868C">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w:t>
      </w:r>
      <w:r>
        <w:rPr>
          <w:rFonts w:ascii="宋体" w:hAnsi="宋体" w:eastAsia="宋体" w:cs="Times New Roman"/>
          <w:color w:val="auto"/>
          <w:kern w:val="0"/>
          <w:szCs w:val="21"/>
          <w:highlight w:val="none"/>
        </w:rPr>
        <w:t>如果</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人提交的履约担保的有效期届满时间先于招标文件、合同文件要求的，</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人应在原提交的履约担保有效期届满前15</w:t>
      </w:r>
      <w:r>
        <w:rPr>
          <w:rFonts w:hint="eastAsia" w:ascii="宋体" w:hAnsi="宋体" w:eastAsia="宋体" w:cs="Times New Roman"/>
          <w:color w:val="auto"/>
          <w:kern w:val="0"/>
          <w:szCs w:val="21"/>
          <w:highlight w:val="none"/>
        </w:rPr>
        <w:t>日</w:t>
      </w:r>
      <w:r>
        <w:rPr>
          <w:rFonts w:ascii="宋体" w:hAnsi="宋体" w:eastAsia="宋体" w:cs="Times New Roman"/>
          <w:color w:val="auto"/>
          <w:kern w:val="0"/>
          <w:szCs w:val="21"/>
          <w:highlight w:val="none"/>
        </w:rPr>
        <w:t>内，无条件办理</w:t>
      </w:r>
      <w:r>
        <w:rPr>
          <w:rFonts w:hint="eastAsia" w:ascii="宋体" w:hAnsi="宋体" w:eastAsia="宋体" w:cs="Times New Roman"/>
          <w:color w:val="auto"/>
          <w:kern w:val="0"/>
          <w:szCs w:val="21"/>
          <w:highlight w:val="none"/>
        </w:rPr>
        <w:t>符合招标人或招标人权属子公司要求的</w:t>
      </w:r>
      <w:r>
        <w:rPr>
          <w:rFonts w:ascii="宋体" w:hAnsi="宋体" w:eastAsia="宋体" w:cs="Times New Roman"/>
          <w:color w:val="auto"/>
          <w:kern w:val="0"/>
          <w:szCs w:val="21"/>
          <w:highlight w:val="none"/>
        </w:rPr>
        <w:t>履约担保延期手续，否则视为</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人违约，</w:t>
      </w:r>
      <w:r>
        <w:rPr>
          <w:rFonts w:hint="eastAsia" w:ascii="宋体" w:hAnsi="宋体" w:eastAsia="宋体" w:cs="Times New Roman"/>
          <w:color w:val="auto"/>
          <w:kern w:val="0"/>
          <w:szCs w:val="21"/>
          <w:highlight w:val="none"/>
        </w:rPr>
        <w:t>招标</w:t>
      </w:r>
      <w:r>
        <w:rPr>
          <w:rFonts w:ascii="宋体" w:hAnsi="宋体" w:eastAsia="宋体" w:cs="Times New Roman"/>
          <w:color w:val="auto"/>
          <w:kern w:val="0"/>
          <w:szCs w:val="21"/>
          <w:highlight w:val="none"/>
        </w:rPr>
        <w:t>人</w:t>
      </w:r>
      <w:r>
        <w:rPr>
          <w:rFonts w:hint="eastAsia" w:ascii="宋体" w:hAnsi="宋体" w:eastAsia="宋体" w:cs="Times New Roman"/>
          <w:color w:val="auto"/>
          <w:kern w:val="0"/>
          <w:szCs w:val="21"/>
          <w:highlight w:val="none"/>
        </w:rPr>
        <w:t>或招标人权属子公司</w:t>
      </w:r>
      <w:r>
        <w:rPr>
          <w:rFonts w:ascii="宋体" w:hAnsi="宋体" w:eastAsia="宋体" w:cs="Times New Roman"/>
          <w:color w:val="auto"/>
          <w:kern w:val="0"/>
          <w:szCs w:val="21"/>
          <w:highlight w:val="none"/>
        </w:rPr>
        <w:t>有权</w:t>
      </w:r>
      <w:r>
        <w:rPr>
          <w:rFonts w:hint="eastAsia" w:ascii="宋体" w:hAnsi="宋体" w:eastAsia="宋体" w:cs="Times New Roman"/>
          <w:color w:val="auto"/>
          <w:kern w:val="0"/>
          <w:szCs w:val="21"/>
          <w:highlight w:val="none"/>
        </w:rPr>
        <w:t>在不可撤销银行履约保函或履约保证保险或担保公司履约担保书到期前</w:t>
      </w:r>
      <w:r>
        <w:rPr>
          <w:rFonts w:ascii="宋体" w:hAnsi="宋体" w:eastAsia="宋体" w:cs="Times New Roman"/>
          <w:color w:val="auto"/>
          <w:kern w:val="0"/>
          <w:szCs w:val="21"/>
          <w:highlight w:val="none"/>
        </w:rPr>
        <w:t>向出具履约</w:t>
      </w:r>
      <w:r>
        <w:rPr>
          <w:rFonts w:hint="eastAsia" w:ascii="宋体" w:hAnsi="宋体" w:eastAsia="宋体" w:cs="Times New Roman"/>
          <w:color w:val="auto"/>
          <w:kern w:val="0"/>
          <w:szCs w:val="21"/>
          <w:highlight w:val="none"/>
        </w:rPr>
        <w:t>担保的机构</w:t>
      </w:r>
      <w:r>
        <w:rPr>
          <w:rFonts w:ascii="宋体" w:hAnsi="宋体" w:eastAsia="宋体" w:cs="Times New Roman"/>
          <w:color w:val="auto"/>
          <w:kern w:val="0"/>
          <w:szCs w:val="21"/>
          <w:highlight w:val="none"/>
        </w:rPr>
        <w:t>提取履约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金。</w:t>
      </w:r>
      <w:r>
        <w:rPr>
          <w:rFonts w:hint="eastAsia" w:ascii="宋体" w:hAnsi="宋体" w:eastAsia="宋体" w:cs="Times New Roman"/>
          <w:color w:val="auto"/>
          <w:kern w:val="0"/>
          <w:szCs w:val="21"/>
          <w:highlight w:val="none"/>
        </w:rPr>
        <w:t>在不可撤销银行履约保函</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1"/>
          <w:highlight w:val="none"/>
          <w:lang w:val="en-US" w:eastAsia="zh-CN"/>
        </w:rPr>
        <w:t>或</w:t>
      </w:r>
      <w:r>
        <w:rPr>
          <w:rFonts w:hint="eastAsia" w:ascii="宋体" w:hAnsi="宋体" w:eastAsia="宋体" w:cs="Times New Roman"/>
          <w:color w:val="auto"/>
          <w:kern w:val="0"/>
          <w:szCs w:val="21"/>
          <w:highlight w:val="none"/>
        </w:rPr>
        <w:t>担保公司履约担保书</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到期后中标</w:t>
      </w:r>
      <w:r>
        <w:rPr>
          <w:rFonts w:ascii="宋体" w:hAnsi="宋体" w:eastAsia="宋体" w:cs="Times New Roman"/>
          <w:color w:val="auto"/>
          <w:kern w:val="0"/>
          <w:szCs w:val="21"/>
          <w:highlight w:val="none"/>
        </w:rPr>
        <w:t>人</w:t>
      </w:r>
      <w:r>
        <w:rPr>
          <w:rFonts w:hint="eastAsia" w:ascii="宋体" w:hAnsi="宋体" w:eastAsia="宋体" w:cs="Times New Roman"/>
          <w:color w:val="auto"/>
          <w:kern w:val="0"/>
          <w:szCs w:val="21"/>
          <w:highlight w:val="none"/>
        </w:rPr>
        <w:t>未按招标人或招标人权属子公司要求重新提供的，招标人或招标人权属子公司有权要求中标</w:t>
      </w:r>
      <w:r>
        <w:rPr>
          <w:rFonts w:ascii="宋体" w:hAnsi="宋体" w:eastAsia="宋体" w:cs="Times New Roman"/>
          <w:color w:val="auto"/>
          <w:kern w:val="0"/>
          <w:szCs w:val="21"/>
          <w:highlight w:val="none"/>
        </w:rPr>
        <w:t>人</w:t>
      </w:r>
      <w:r>
        <w:rPr>
          <w:rFonts w:hint="eastAsia" w:ascii="宋体" w:hAnsi="宋体" w:eastAsia="宋体" w:cs="Times New Roman"/>
          <w:color w:val="auto"/>
          <w:kern w:val="0"/>
          <w:szCs w:val="21"/>
          <w:highlight w:val="none"/>
        </w:rPr>
        <w:t>以履约担保金额为限承担违约金，违约金可直接从未付采购合同费用中扣除</w:t>
      </w:r>
      <w:r>
        <w:rPr>
          <w:rFonts w:ascii="宋体" w:hAnsi="宋体" w:eastAsia="宋体" w:cs="Times New Roman"/>
          <w:color w:val="auto"/>
          <w:kern w:val="0"/>
          <w:szCs w:val="21"/>
          <w:highlight w:val="none"/>
        </w:rPr>
        <w:t>。</w:t>
      </w:r>
    </w:p>
    <w:p w14:paraId="5084AA56">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w:t>
      </w:r>
      <w:r>
        <w:rPr>
          <w:rFonts w:hint="eastAsia" w:ascii="宋体" w:hAnsi="宋体" w:eastAsia="宋体" w:cs="Times New Roman"/>
          <w:color w:val="auto"/>
          <w:kern w:val="0"/>
          <w:szCs w:val="21"/>
          <w:highlight w:val="none"/>
        </w:rPr>
        <w:t>）在合同履行过程中，不论何种原因导致履约担保金数额不符合招标文件要求的，中标人应当在</w:t>
      </w:r>
      <w:r>
        <w:rPr>
          <w:rFonts w:ascii="宋体" w:hAnsi="宋体" w:eastAsia="宋体" w:cs="Times New Roman"/>
          <w:color w:val="auto"/>
          <w:kern w:val="0"/>
          <w:szCs w:val="21"/>
          <w:highlight w:val="none"/>
        </w:rPr>
        <w:t>5日内予以补足。逾期不予补足的，</w:t>
      </w:r>
      <w:r>
        <w:rPr>
          <w:rFonts w:hint="eastAsia" w:ascii="宋体" w:hAnsi="宋体" w:eastAsia="宋体" w:cs="Times New Roman"/>
          <w:color w:val="auto"/>
          <w:kern w:val="0"/>
          <w:szCs w:val="21"/>
          <w:highlight w:val="none"/>
        </w:rPr>
        <w:t>招标人或招标人权属子公司有权按需补足的金额要求中标人承担违约金，并要求限期补足。如中标人仍不补足的，招标人或招标人权属子公司有权单方解除合同，违约金可直接从未付合同款或履约担保中扣除。</w:t>
      </w:r>
    </w:p>
    <w:p w14:paraId="2EDA0A48">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（6）不</w:t>
      </w:r>
      <w:r>
        <w:rPr>
          <w:rFonts w:hint="eastAsia" w:ascii="宋体" w:hAnsi="宋体" w:eastAsia="宋体" w:cs="Times New Roman"/>
          <w:color w:val="auto"/>
          <w:kern w:val="0"/>
          <w:szCs w:val="21"/>
          <w:highlight w:val="none"/>
        </w:rPr>
        <w:t>可撤销银行履约保函（或履约保证保险或担保公司履约担保书）</w:t>
      </w:r>
      <w:r>
        <w:rPr>
          <w:rFonts w:hint="eastAsia" w:ascii="宋体" w:hAnsi="宋体" w:eastAsia="宋体" w:cs="宋体"/>
          <w:color w:val="auto"/>
          <w:sz w:val="21"/>
          <w:szCs w:val="21"/>
          <w:highlight w:val="none"/>
        </w:rPr>
        <w:t>应从</w:t>
      </w:r>
      <w:r>
        <w:rPr>
          <w:rFonts w:hint="eastAsia" w:ascii="宋体" w:hAnsi="宋体" w:eastAsia="宋体" w:cs="宋体"/>
          <w:color w:val="auto"/>
          <w:sz w:val="21"/>
          <w:szCs w:val="21"/>
          <w:highlight w:val="none"/>
          <w:lang w:val="en-US" w:eastAsia="zh-CN"/>
        </w:rPr>
        <w:t>合同签订之日起（或签订合同前）至合同期限届满并全部货物经最终验收合格、招标人或招标人权属子公司向中标人支付全部货款（除质保金）后二十八（28）日</w:t>
      </w:r>
      <w:r>
        <w:rPr>
          <w:rFonts w:hint="eastAsia" w:ascii="宋体" w:hAnsi="宋体" w:eastAsia="宋体" w:cs="宋体"/>
          <w:color w:val="auto"/>
          <w:sz w:val="21"/>
          <w:szCs w:val="21"/>
          <w:highlight w:val="none"/>
        </w:rPr>
        <w:t>内保持有效</w:t>
      </w:r>
      <w:r>
        <w:rPr>
          <w:rFonts w:hint="eastAsia" w:ascii="宋体" w:hAnsi="宋体" w:eastAsia="宋体" w:cs="宋体"/>
          <w:color w:val="auto"/>
          <w:kern w:val="0"/>
          <w:szCs w:val="21"/>
          <w:highlight w:val="none"/>
        </w:rPr>
        <w:t>。</w:t>
      </w:r>
    </w:p>
    <w:p w14:paraId="1B5AA194">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bookmarkStart w:id="365" w:name="_Toc5093"/>
      <w:r>
        <w:rPr>
          <w:rFonts w:hint="eastAsia" w:ascii="宋体" w:hAnsi="宋体" w:eastAsia="宋体" w:cs="宋体"/>
          <w:color w:val="auto"/>
          <w:kern w:val="0"/>
          <w:szCs w:val="21"/>
          <w:highlight w:val="none"/>
        </w:rPr>
        <w:t>35.4  履约保证金应用本合同货币。</w:t>
      </w:r>
      <w:bookmarkEnd w:id="365"/>
    </w:p>
    <w:p w14:paraId="3D0FFB8D">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35.5  中标人</w:t>
      </w:r>
      <w:r>
        <w:rPr>
          <w:rFonts w:ascii="宋体" w:hAnsi="宋体" w:eastAsia="宋体" w:cs="Times New Roman"/>
          <w:color w:val="auto"/>
          <w:kern w:val="0"/>
          <w:szCs w:val="21"/>
          <w:highlight w:val="none"/>
        </w:rPr>
        <w:t>也可以按招标文件约定的额度和时间，向招标人</w:t>
      </w:r>
      <w:r>
        <w:rPr>
          <w:rFonts w:hint="eastAsia" w:ascii="宋体" w:hAnsi="宋体" w:eastAsia="宋体" w:cs="Times New Roman"/>
          <w:color w:val="auto"/>
          <w:kern w:val="0"/>
          <w:szCs w:val="21"/>
          <w:highlight w:val="none"/>
        </w:rPr>
        <w:t>或招标人权属子公司</w:t>
      </w:r>
      <w:r>
        <w:rPr>
          <w:rFonts w:ascii="宋体" w:hAnsi="宋体" w:eastAsia="宋体" w:cs="Times New Roman"/>
          <w:color w:val="auto"/>
          <w:kern w:val="0"/>
          <w:szCs w:val="21"/>
          <w:highlight w:val="none"/>
        </w:rPr>
        <w:t>交纳同等数额的履约保证金作为履约担保。如中标人提交的履约保证金是其分支机构以转账形式转入的，要提交</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人的法人书面授权，不接受由私人账户和其它单位转入的保证金</w:t>
      </w:r>
      <w:r>
        <w:rPr>
          <w:rFonts w:hint="eastAsia" w:ascii="宋体" w:hAnsi="宋体" w:eastAsia="宋体" w:cs="Times New Roman"/>
          <w:color w:val="auto"/>
          <w:kern w:val="0"/>
          <w:szCs w:val="21"/>
          <w:highlight w:val="none"/>
        </w:rPr>
        <w:t>，也不接受现金形式提交</w:t>
      </w:r>
      <w:r>
        <w:rPr>
          <w:rFonts w:ascii="宋体" w:hAnsi="宋体" w:eastAsia="宋体" w:cs="Times New Roman"/>
          <w:color w:val="auto"/>
          <w:kern w:val="0"/>
          <w:szCs w:val="21"/>
          <w:highlight w:val="none"/>
        </w:rPr>
        <w:t>。履约保证金应以存入招标人</w:t>
      </w:r>
      <w:r>
        <w:rPr>
          <w:rFonts w:hint="eastAsia" w:ascii="宋体" w:hAnsi="宋体" w:eastAsia="宋体" w:cs="Times New Roman"/>
          <w:color w:val="auto"/>
          <w:kern w:val="0"/>
          <w:szCs w:val="21"/>
          <w:highlight w:val="none"/>
        </w:rPr>
        <w:t>或招标人权属子公司</w:t>
      </w:r>
      <w:r>
        <w:rPr>
          <w:rFonts w:ascii="宋体" w:hAnsi="宋体" w:eastAsia="宋体" w:cs="Times New Roman"/>
          <w:color w:val="auto"/>
          <w:kern w:val="0"/>
          <w:szCs w:val="21"/>
          <w:highlight w:val="none"/>
        </w:rPr>
        <w:t>指定的</w:t>
      </w:r>
      <w:r>
        <w:rPr>
          <w:rFonts w:hint="eastAsia" w:ascii="宋体" w:hAnsi="宋体" w:eastAsia="宋体" w:cs="Times New Roman"/>
          <w:color w:val="auto"/>
          <w:kern w:val="0"/>
          <w:szCs w:val="21"/>
          <w:highlight w:val="none"/>
        </w:rPr>
        <w:t>以下</w:t>
      </w:r>
      <w:r>
        <w:rPr>
          <w:rFonts w:ascii="宋体" w:hAnsi="宋体" w:eastAsia="宋体" w:cs="Times New Roman"/>
          <w:color w:val="auto"/>
          <w:kern w:val="0"/>
          <w:szCs w:val="21"/>
          <w:highlight w:val="none"/>
        </w:rPr>
        <w:t>银行账户为准</w:t>
      </w:r>
      <w:r>
        <w:rPr>
          <w:rFonts w:hint="eastAsia" w:ascii="宋体" w:hAnsi="宋体" w:eastAsia="宋体" w:cs="宋体"/>
          <w:color w:val="auto"/>
          <w:kern w:val="0"/>
          <w:szCs w:val="21"/>
          <w:highlight w:val="none"/>
        </w:rPr>
        <w:t>。</w:t>
      </w:r>
    </w:p>
    <w:p w14:paraId="63D84F4A">
      <w:pPr>
        <w:autoSpaceDE w:val="0"/>
        <w:autoSpaceDN w:val="0"/>
        <w:adjustRightInd w:val="0"/>
        <w:snapToGrid w:val="0"/>
        <w:spacing w:line="360" w:lineRule="auto"/>
        <w:ind w:firstLine="632" w:firstLineChars="300"/>
        <w:jc w:val="left"/>
        <w:rPr>
          <w:rFonts w:ascii="宋体" w:hAnsi="宋体" w:eastAsia="宋体" w:cs="宋体"/>
          <w:b/>
          <w:color w:val="auto"/>
          <w:kern w:val="0"/>
          <w:szCs w:val="21"/>
          <w:highlight w:val="none"/>
        </w:rPr>
      </w:pPr>
      <w:bookmarkStart w:id="366" w:name="_Toc27735"/>
      <w:r>
        <w:rPr>
          <w:rFonts w:hint="eastAsia" w:ascii="宋体" w:hAnsi="宋体" w:eastAsia="宋体" w:cs="宋体"/>
          <w:b/>
          <w:color w:val="auto"/>
          <w:kern w:val="0"/>
          <w:szCs w:val="21"/>
          <w:highlight w:val="none"/>
        </w:rPr>
        <w:t>东莞市石鼓净水有限公司履约</w:t>
      </w:r>
      <w:r>
        <w:rPr>
          <w:rFonts w:hint="eastAsia" w:ascii="宋体" w:hAnsi="宋体" w:eastAsia="宋体" w:cs="Times New Roman"/>
          <w:b/>
          <w:color w:val="auto"/>
          <w:kern w:val="0"/>
          <w:szCs w:val="21"/>
          <w:highlight w:val="none"/>
        </w:rPr>
        <w:t>保证金</w:t>
      </w:r>
      <w:r>
        <w:rPr>
          <w:rFonts w:hint="eastAsia" w:ascii="宋体" w:hAnsi="宋体" w:eastAsia="宋体" w:cs="宋体"/>
          <w:b/>
          <w:color w:val="auto"/>
          <w:kern w:val="0"/>
          <w:szCs w:val="21"/>
          <w:highlight w:val="none"/>
        </w:rPr>
        <w:t>账户：</w:t>
      </w:r>
      <w:r>
        <w:rPr>
          <w:rFonts w:hint="eastAsia" w:ascii="宋体" w:hAnsi="宋体" w:eastAsia="宋体" w:cs="宋体"/>
          <w:b/>
          <w:color w:val="auto"/>
          <w:kern w:val="0"/>
          <w:szCs w:val="21"/>
          <w:highlight w:val="none"/>
          <w:u w:val="single"/>
        </w:rPr>
        <w:t>（特别提醒，本账户非投标保证金账户）</w:t>
      </w:r>
      <w:bookmarkEnd w:id="366"/>
    </w:p>
    <w:p w14:paraId="73BDD0F2">
      <w:pPr>
        <w:autoSpaceDE w:val="0"/>
        <w:autoSpaceDN w:val="0"/>
        <w:adjustRightInd w:val="0"/>
        <w:snapToGrid w:val="0"/>
        <w:spacing w:line="360" w:lineRule="auto"/>
        <w:ind w:firstLine="632" w:firstLineChars="3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开户名称：东莞市石鼓净水有限公司</w:t>
      </w:r>
    </w:p>
    <w:p w14:paraId="5CE58DA7">
      <w:pPr>
        <w:autoSpaceDE w:val="0"/>
        <w:autoSpaceDN w:val="0"/>
        <w:adjustRightInd w:val="0"/>
        <w:snapToGrid w:val="0"/>
        <w:spacing w:line="360" w:lineRule="auto"/>
        <w:ind w:firstLine="632" w:firstLineChars="300"/>
        <w:jc w:val="left"/>
        <w:rPr>
          <w:rFonts w:hint="eastAsia"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银行账号：944004010000157127</w:t>
      </w:r>
    </w:p>
    <w:p w14:paraId="5075BC52">
      <w:pPr>
        <w:autoSpaceDE w:val="0"/>
        <w:autoSpaceDN w:val="0"/>
        <w:adjustRightInd w:val="0"/>
        <w:snapToGrid w:val="0"/>
        <w:spacing w:line="360" w:lineRule="auto"/>
        <w:ind w:firstLine="632" w:firstLineChars="300"/>
        <w:jc w:val="left"/>
        <w:rPr>
          <w:rFonts w:hint="eastAsia"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开户银行：邮政储蓄东莞分行</w:t>
      </w:r>
    </w:p>
    <w:p w14:paraId="2739ED32">
      <w:pPr>
        <w:autoSpaceDE w:val="0"/>
        <w:autoSpaceDN w:val="0"/>
        <w:adjustRightInd w:val="0"/>
        <w:spacing w:line="360" w:lineRule="auto"/>
        <w:ind w:left="420" w:leftChars="-100" w:hanging="630" w:hangingChars="3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35.6</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中标</w:t>
      </w:r>
      <w:r>
        <w:rPr>
          <w:rFonts w:hint="eastAsia" w:ascii="宋体" w:hAnsi="宋体" w:eastAsia="宋体" w:cs="Times New Roman"/>
          <w:color w:val="auto"/>
          <w:kern w:val="0"/>
          <w:szCs w:val="24"/>
          <w:highlight w:val="none"/>
        </w:rPr>
        <w:t>单位提交了履约担保后，当履约保证金转达招标人或招标人权属子公司履约保证金账户后，</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人将履约保证金的汇款凭证用A4纸复印件（</w:t>
      </w:r>
      <w:r>
        <w:rPr>
          <w:rFonts w:hint="eastAsia" w:ascii="宋体" w:hAnsi="宋体" w:eastAsia="宋体" w:cs="Times New Roman"/>
          <w:bCs/>
          <w:color w:val="auto"/>
          <w:kern w:val="0"/>
          <w:szCs w:val="24"/>
          <w:highlight w:val="none"/>
        </w:rPr>
        <w:t>注明</w:t>
      </w:r>
      <w:r>
        <w:rPr>
          <w:rFonts w:hint="eastAsia" w:ascii="宋体" w:hAnsi="宋体" w:eastAsia="宋体" w:cs="Times New Roman"/>
          <w:bCs/>
          <w:color w:val="auto"/>
          <w:szCs w:val="21"/>
          <w:highlight w:val="none"/>
          <w:lang w:val="zh-CN"/>
        </w:rPr>
        <w:t>招标</w:t>
      </w:r>
      <w:r>
        <w:rPr>
          <w:rFonts w:hint="eastAsia" w:ascii="宋体" w:hAnsi="宋体" w:eastAsia="宋体" w:cs="Times New Roman"/>
          <w:bCs/>
          <w:color w:val="auto"/>
          <w:kern w:val="0"/>
          <w:szCs w:val="24"/>
          <w:highlight w:val="none"/>
        </w:rPr>
        <w:t>编号</w:t>
      </w:r>
      <w:r>
        <w:rPr>
          <w:rFonts w:hint="eastAsia" w:ascii="宋体" w:hAnsi="宋体" w:eastAsia="宋体" w:cs="Times New Roman"/>
          <w:color w:val="auto"/>
          <w:kern w:val="0"/>
          <w:szCs w:val="24"/>
          <w:highlight w:val="none"/>
        </w:rPr>
        <w:t>）一式二份并加盖</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人的公章送招标代理机构，[或当中标人采取不可撤销银行履约保函（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4"/>
          <w:highlight w:val="none"/>
        </w:rPr>
        <w:t>或担保公司履约担保书）的方式缴纳履约担保时，中标人将不可撤销银行履约保函（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4"/>
          <w:highlight w:val="none"/>
        </w:rPr>
        <w:t>或担保公司履约担保书）原件</w:t>
      </w:r>
      <w:r>
        <w:rPr>
          <w:rFonts w:hint="eastAsia" w:ascii="宋体" w:hAnsi="宋体" w:eastAsia="宋体" w:cs="Times New Roman"/>
          <w:color w:val="auto"/>
          <w:szCs w:val="21"/>
          <w:highlight w:val="none"/>
          <w:lang w:val="zh-CN"/>
        </w:rPr>
        <w:t>交给招标人或招标人权属子公司，由招标人或招标人权属子公司在</w:t>
      </w:r>
      <w:r>
        <w:rPr>
          <w:rFonts w:hint="eastAsia" w:ascii="宋体" w:hAnsi="宋体" w:eastAsia="宋体" w:cs="Times New Roman"/>
          <w:color w:val="auto"/>
          <w:kern w:val="0"/>
          <w:szCs w:val="24"/>
          <w:highlight w:val="none"/>
        </w:rPr>
        <w:t>履约保函一式两份复印件上</w:t>
      </w:r>
      <w:r>
        <w:rPr>
          <w:rFonts w:hint="eastAsia" w:ascii="宋体" w:hAnsi="宋体" w:eastAsia="宋体" w:cs="Times New Roman"/>
          <w:color w:val="auto"/>
          <w:szCs w:val="21"/>
          <w:highlight w:val="none"/>
          <w:lang w:val="zh-CN"/>
        </w:rPr>
        <w:t>注明“原件已收”及签收人、日期后，中标人在每份复印件上</w:t>
      </w:r>
      <w:r>
        <w:rPr>
          <w:rFonts w:hint="eastAsia" w:ascii="宋体" w:hAnsi="宋体" w:eastAsia="宋体" w:cs="Times New Roman"/>
          <w:color w:val="auto"/>
          <w:kern w:val="0"/>
          <w:szCs w:val="24"/>
          <w:highlight w:val="none"/>
        </w:rPr>
        <w:t>加盖</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人的公章，送招标代理机构]</w:t>
      </w:r>
      <w:r>
        <w:rPr>
          <w:rFonts w:hint="eastAsia" w:ascii="宋体" w:hAnsi="宋体" w:eastAsia="宋体" w:cs="宋体"/>
          <w:color w:val="auto"/>
          <w:kern w:val="0"/>
          <w:szCs w:val="21"/>
          <w:highlight w:val="none"/>
        </w:rPr>
        <w:t>。</w:t>
      </w:r>
    </w:p>
    <w:p w14:paraId="1591BA44">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35.7</w:t>
      </w:r>
      <w:r>
        <w:rPr>
          <w:rFonts w:ascii="宋体" w:hAnsi="宋体" w:eastAsia="宋体" w:cs="Times New Roman"/>
          <w:color w:val="auto"/>
          <w:kern w:val="0"/>
          <w:szCs w:val="24"/>
          <w:highlight w:val="none"/>
        </w:rPr>
        <w:t xml:space="preserve">  </w:t>
      </w:r>
      <w:r>
        <w:rPr>
          <w:rFonts w:hint="eastAsia" w:ascii="宋体" w:hAnsi="宋体" w:eastAsia="宋体" w:cs="宋体"/>
          <w:color w:val="auto"/>
          <w:kern w:val="0"/>
          <w:szCs w:val="21"/>
          <w:highlight w:val="none"/>
        </w:rPr>
        <w:t>中标人以履约保证金（银行转账形式）提供履约担保的，</w:t>
      </w:r>
      <w:r>
        <w:rPr>
          <w:rFonts w:hint="eastAsia" w:ascii="宋体" w:hAnsi="宋体" w:eastAsia="宋体" w:cs="宋体"/>
          <w:color w:val="auto"/>
          <w:kern w:val="0"/>
          <w:szCs w:val="21"/>
          <w:highlight w:val="none"/>
          <w:lang w:val="en-US" w:eastAsia="zh-CN"/>
        </w:rPr>
        <w:t>在</w:t>
      </w:r>
      <w:r>
        <w:rPr>
          <w:rFonts w:hint="eastAsia" w:ascii="宋体" w:hAnsi="宋体" w:eastAsia="宋体" w:cs="宋体"/>
          <w:color w:val="auto"/>
          <w:kern w:val="0"/>
          <w:szCs w:val="21"/>
          <w:highlight w:val="none"/>
        </w:rPr>
        <w:t>合同期限届满并全部货物经最终验收合格，招标人或招标人权属子公司向中标人支付全部货款（除质保金）后二十八（</w:t>
      </w:r>
      <w:r>
        <w:rPr>
          <w:rFonts w:ascii="宋体" w:hAnsi="宋体" w:eastAsia="宋体" w:cs="宋体"/>
          <w:color w:val="auto"/>
          <w:kern w:val="0"/>
          <w:szCs w:val="21"/>
          <w:highlight w:val="none"/>
        </w:rPr>
        <w:t>28）日后</w:t>
      </w:r>
      <w:r>
        <w:rPr>
          <w:rFonts w:hint="eastAsia" w:ascii="宋体" w:hAnsi="宋体" w:eastAsia="宋体" w:cs="宋体"/>
          <w:color w:val="auto"/>
          <w:kern w:val="0"/>
          <w:szCs w:val="21"/>
          <w:highlight w:val="none"/>
        </w:rPr>
        <w:t>，经招标人或招标人权属子公司确认，中标人可向招标人或招标人权属子公司提交退回履约担保的申请。招标人或招标人权属子公司审核无异议后，办理履约担保退还手续，退回时一律以银行转账的形式无息退回到中标人的</w:t>
      </w:r>
      <w:r>
        <w:rPr>
          <w:rFonts w:hint="eastAsia" w:ascii="宋体" w:hAnsi="宋体" w:eastAsia="宋体" w:cs="宋体"/>
          <w:color w:val="auto"/>
          <w:kern w:val="0"/>
          <w:szCs w:val="21"/>
          <w:highlight w:val="none"/>
          <w:lang w:val="en-US" w:eastAsia="zh-CN"/>
        </w:rPr>
        <w:t>账户</w:t>
      </w:r>
      <w:r>
        <w:rPr>
          <w:rFonts w:hint="eastAsia" w:ascii="宋体" w:hAnsi="宋体" w:eastAsia="宋体" w:cs="宋体"/>
          <w:color w:val="auto"/>
          <w:kern w:val="0"/>
          <w:szCs w:val="21"/>
          <w:highlight w:val="none"/>
        </w:rPr>
        <w:t>。</w:t>
      </w:r>
    </w:p>
    <w:p w14:paraId="5FE108E2">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rPr>
      </w:pPr>
    </w:p>
    <w:p w14:paraId="17E8E85B">
      <w:pPr>
        <w:tabs>
          <w:tab w:val="left" w:pos="360"/>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367" w:name="_Toc486167702"/>
      <w:bookmarkStart w:id="368" w:name="_Toc5306"/>
      <w:bookmarkStart w:id="369" w:name="_Toc11056"/>
      <w:bookmarkStart w:id="370" w:name="_Toc142508353"/>
      <w:bookmarkStart w:id="371" w:name="_Toc13033"/>
      <w:r>
        <w:rPr>
          <w:rFonts w:hint="eastAsia" w:ascii="宋体" w:hAnsi="宋体" w:eastAsia="宋体" w:cs="宋体"/>
          <w:color w:val="auto"/>
          <w:szCs w:val="21"/>
          <w:highlight w:val="none"/>
        </w:rPr>
        <w:t>36</w:t>
      </w:r>
      <w:r>
        <w:rPr>
          <w:rFonts w:hint="eastAsia" w:ascii="宋体" w:hAnsi="宋体" w:eastAsia="宋体" w:cs="宋体"/>
          <w:color w:val="auto"/>
          <w:szCs w:val="21"/>
          <w:highlight w:val="none"/>
          <w:lang w:val="zh-CN"/>
        </w:rPr>
        <w:t xml:space="preserve"> 在合同履行中变更采购范围的权利</w:t>
      </w:r>
      <w:bookmarkEnd w:id="362"/>
      <w:bookmarkEnd w:id="363"/>
      <w:bookmarkEnd w:id="367"/>
      <w:bookmarkEnd w:id="368"/>
      <w:bookmarkEnd w:id="369"/>
      <w:bookmarkEnd w:id="370"/>
      <w:bookmarkEnd w:id="371"/>
    </w:p>
    <w:p w14:paraId="440B5378">
      <w:pPr>
        <w:autoSpaceDE w:val="0"/>
        <w:autoSpaceDN w:val="0"/>
        <w:adjustRightInd w:val="0"/>
        <w:spacing w:line="360" w:lineRule="auto"/>
        <w:ind w:left="328" w:leftChars="-114"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36.1</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合同履行中</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rPr>
        <w:t>招标</w:t>
      </w:r>
      <w:r>
        <w:rPr>
          <w:rFonts w:ascii="宋体" w:hAnsi="宋体" w:eastAsia="宋体" w:cs="宋体"/>
          <w:color w:val="auto"/>
          <w:kern w:val="0"/>
          <w:szCs w:val="21"/>
          <w:highlight w:val="none"/>
        </w:rPr>
        <w:t>人</w:t>
      </w:r>
      <w:r>
        <w:rPr>
          <w:rFonts w:hint="eastAsia" w:ascii="宋体" w:hAnsi="宋体" w:eastAsia="宋体" w:cs="宋体"/>
          <w:color w:val="auto"/>
          <w:kern w:val="0"/>
          <w:szCs w:val="21"/>
          <w:highlight w:val="none"/>
        </w:rPr>
        <w:t>或招标人权属子公司在合同约定的范围内，招标人或招标人权属子公司有权根据项目实际情况及有关法律法规、政策的规定对采购范围进行变更调整，变更采购范围后，投标人应遵照执行。</w:t>
      </w:r>
    </w:p>
    <w:p w14:paraId="57543775">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72" w:name="_Toc450662888"/>
    </w:p>
    <w:p w14:paraId="28B2F5B5">
      <w:pPr>
        <w:tabs>
          <w:tab w:val="left" w:pos="465"/>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373" w:name="_Toc142508354"/>
      <w:bookmarkStart w:id="374" w:name="_Toc486167703"/>
      <w:bookmarkStart w:id="375" w:name="_Toc14372"/>
      <w:bookmarkStart w:id="376" w:name="_Toc28921_WPSOffice_Level3"/>
      <w:bookmarkStart w:id="377" w:name="_Toc19724"/>
      <w:bookmarkStart w:id="378" w:name="_Toc23367"/>
      <w:r>
        <w:rPr>
          <w:rFonts w:hint="eastAsia" w:ascii="宋体" w:hAnsi="宋体" w:eastAsia="宋体" w:cs="宋体"/>
          <w:color w:val="auto"/>
          <w:szCs w:val="21"/>
          <w:highlight w:val="none"/>
        </w:rPr>
        <w:t>37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中标服务费</w:t>
      </w:r>
      <w:bookmarkEnd w:id="372"/>
      <w:bookmarkEnd w:id="373"/>
      <w:bookmarkEnd w:id="374"/>
      <w:bookmarkEnd w:id="375"/>
      <w:bookmarkEnd w:id="376"/>
      <w:bookmarkEnd w:id="377"/>
      <w:bookmarkEnd w:id="378"/>
    </w:p>
    <w:p w14:paraId="17CEBED4">
      <w:pPr>
        <w:autoSpaceDE w:val="0"/>
        <w:autoSpaceDN w:val="0"/>
        <w:adjustRightInd w:val="0"/>
        <w:snapToGrid w:val="0"/>
        <w:spacing w:line="360" w:lineRule="auto"/>
        <w:ind w:left="315" w:leftChars="-100" w:hanging="525" w:hangingChars="250"/>
        <w:jc w:val="left"/>
        <w:rPr>
          <w:rFonts w:ascii="宋体" w:hAnsi="宋体" w:eastAsia="宋体" w:cs="宋体"/>
          <w:color w:val="auto"/>
          <w:kern w:val="0"/>
          <w:szCs w:val="21"/>
          <w:highlight w:val="none"/>
        </w:rPr>
      </w:pPr>
      <w:bookmarkStart w:id="379" w:name="_Toc30093"/>
      <w:r>
        <w:rPr>
          <w:rFonts w:hint="eastAsia" w:ascii="宋体" w:hAnsi="宋体" w:eastAsia="宋体" w:cs="宋体"/>
          <w:color w:val="auto"/>
          <w:szCs w:val="21"/>
          <w:highlight w:val="none"/>
          <w:lang w:val="zh-CN"/>
        </w:rPr>
        <w:t>37.1 本项目</w:t>
      </w:r>
      <w:r>
        <w:rPr>
          <w:rFonts w:hint="eastAsia" w:ascii="宋体" w:hAnsi="宋体" w:eastAsia="宋体" w:cs="Times New Roman"/>
          <w:color w:val="auto"/>
          <w:szCs w:val="21"/>
          <w:highlight w:val="none"/>
          <w:lang w:val="zh-CN"/>
        </w:rPr>
        <w:t>中标</w:t>
      </w:r>
      <w:r>
        <w:rPr>
          <w:rFonts w:hint="eastAsia" w:ascii="宋体" w:hAnsi="宋体" w:eastAsia="宋体" w:cs="宋体"/>
          <w:color w:val="auto"/>
          <w:szCs w:val="21"/>
          <w:highlight w:val="none"/>
          <w:lang w:val="zh-CN"/>
        </w:rPr>
        <w:t>服务费由招标人或招标人权属子公司向招标代理机构支付。</w:t>
      </w:r>
      <w:bookmarkEnd w:id="379"/>
    </w:p>
    <w:p w14:paraId="4D1B0E98">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80" w:name="_Toc450662889"/>
    </w:p>
    <w:p w14:paraId="4483A054">
      <w:pPr>
        <w:tabs>
          <w:tab w:val="left" w:pos="360"/>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381" w:name="_Toc6764_WPSOffice_Level3"/>
      <w:bookmarkStart w:id="382" w:name="_Toc142508355"/>
      <w:bookmarkStart w:id="383" w:name="_Toc486167704"/>
      <w:bookmarkStart w:id="384" w:name="_Toc3460"/>
      <w:bookmarkStart w:id="385" w:name="_Toc5577"/>
      <w:bookmarkStart w:id="386" w:name="_Toc26292"/>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 xml:space="preserve"> 发票</w:t>
      </w:r>
      <w:bookmarkEnd w:id="380"/>
      <w:bookmarkEnd w:id="381"/>
      <w:bookmarkEnd w:id="382"/>
      <w:bookmarkEnd w:id="383"/>
      <w:bookmarkEnd w:id="384"/>
      <w:bookmarkEnd w:id="385"/>
      <w:bookmarkEnd w:id="386"/>
    </w:p>
    <w:p w14:paraId="315326E1">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lang w:val="zh-CN"/>
        </w:rPr>
      </w:pPr>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en-US" w:eastAsia="zh-CN"/>
        </w:rPr>
        <w:t xml:space="preserve"> </w:t>
      </w:r>
      <w:r>
        <w:rPr>
          <w:rFonts w:hint="eastAsia" w:ascii="宋体" w:hAnsi="宋体" w:eastAsia="宋体" w:cs="Times New Roman"/>
          <w:color w:val="auto"/>
          <w:szCs w:val="21"/>
          <w:highlight w:val="none"/>
          <w:lang w:val="zh-CN"/>
        </w:rPr>
        <w:t>该项目获得中标的中标人在执行合同过程中，向招标人（或招标人的权属</w:t>
      </w:r>
      <w:r>
        <w:rPr>
          <w:rFonts w:hint="eastAsia" w:ascii="宋体" w:hAnsi="宋体" w:eastAsia="宋体" w:cs="Times New Roman"/>
          <w:color w:val="auto"/>
          <w:szCs w:val="21"/>
          <w:highlight w:val="none"/>
          <w:lang w:val="en-US" w:eastAsia="zh-CN"/>
        </w:rPr>
        <w:t>子</w:t>
      </w:r>
      <w:r>
        <w:rPr>
          <w:rFonts w:hint="eastAsia" w:ascii="宋体" w:hAnsi="宋体" w:eastAsia="宋体" w:cs="Times New Roman"/>
          <w:color w:val="auto"/>
          <w:szCs w:val="21"/>
          <w:highlight w:val="none"/>
          <w:lang w:val="zh-CN"/>
        </w:rPr>
        <w:t>公司）出具的发票必须是由中标人开具，不得以其他单位或个人名义出具，本项目中标人向招标人（或招标人的权属</w:t>
      </w:r>
      <w:r>
        <w:rPr>
          <w:rFonts w:hint="eastAsia" w:ascii="宋体" w:hAnsi="宋体" w:eastAsia="宋体" w:cs="Times New Roman"/>
          <w:color w:val="auto"/>
          <w:szCs w:val="21"/>
          <w:highlight w:val="none"/>
          <w:lang w:val="en-US" w:eastAsia="zh-CN"/>
        </w:rPr>
        <w:t>子</w:t>
      </w:r>
      <w:r>
        <w:rPr>
          <w:rFonts w:hint="eastAsia" w:ascii="宋体" w:hAnsi="宋体" w:eastAsia="宋体" w:cs="Times New Roman"/>
          <w:color w:val="auto"/>
          <w:szCs w:val="21"/>
          <w:highlight w:val="none"/>
          <w:lang w:val="zh-CN"/>
        </w:rPr>
        <w:t>公司）出具的发票类型为增值税专用发票。</w:t>
      </w:r>
      <w:bookmarkStart w:id="387" w:name="_Toc486167705"/>
      <w:bookmarkStart w:id="388" w:name="_Toc31106_WPSOffice_Level3"/>
    </w:p>
    <w:p w14:paraId="07B4BA6D">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rPr>
      </w:pPr>
    </w:p>
    <w:p w14:paraId="3BF2DEBC">
      <w:pPr>
        <w:tabs>
          <w:tab w:val="left" w:pos="360"/>
        </w:tabs>
        <w:autoSpaceDE w:val="0"/>
        <w:autoSpaceDN w:val="0"/>
        <w:adjustRightInd w:val="0"/>
        <w:spacing w:line="360" w:lineRule="auto"/>
        <w:ind w:left="357" w:leftChars="-100" w:hanging="567"/>
        <w:jc w:val="left"/>
        <w:outlineLvl w:val="0"/>
        <w:rPr>
          <w:rFonts w:ascii="宋体" w:hAnsi="宋体" w:eastAsia="宋体" w:cs="宋体"/>
          <w:b/>
          <w:color w:val="auto"/>
          <w:szCs w:val="21"/>
          <w:highlight w:val="none"/>
        </w:rPr>
      </w:pPr>
      <w:bookmarkStart w:id="389" w:name="_Toc16304"/>
      <w:bookmarkStart w:id="390" w:name="_Toc23745"/>
      <w:bookmarkStart w:id="391" w:name="_Toc142508356"/>
      <w:bookmarkStart w:id="392" w:name="_Toc23521"/>
      <w:r>
        <w:rPr>
          <w:rFonts w:ascii="宋体" w:hAnsi="宋体" w:eastAsia="宋体" w:cs="宋体"/>
          <w:b/>
          <w:color w:val="auto"/>
          <w:szCs w:val="21"/>
          <w:highlight w:val="none"/>
        </w:rPr>
        <w:t>39 招标相关补充约定</w:t>
      </w:r>
      <w:bookmarkEnd w:id="389"/>
      <w:bookmarkEnd w:id="390"/>
      <w:bookmarkEnd w:id="391"/>
      <w:bookmarkEnd w:id="392"/>
    </w:p>
    <w:p w14:paraId="5E799B89">
      <w:pPr>
        <w:autoSpaceDE w:val="0"/>
        <w:autoSpaceDN w:val="0"/>
        <w:adjustRightInd w:val="0"/>
        <w:snapToGrid w:val="0"/>
        <w:spacing w:line="360" w:lineRule="auto"/>
        <w:ind w:left="317" w:leftChars="-100" w:hanging="527" w:hangingChars="250"/>
        <w:jc w:val="left"/>
        <w:rPr>
          <w:rFonts w:ascii="宋体" w:hAnsi="宋体" w:eastAsia="宋体" w:cs="Times New Roman"/>
          <w:b/>
          <w:color w:val="auto"/>
          <w:szCs w:val="21"/>
          <w:highlight w:val="none"/>
        </w:rPr>
      </w:pPr>
      <w:r>
        <w:rPr>
          <w:rFonts w:ascii="宋体" w:hAnsi="宋体" w:eastAsia="宋体" w:cs="Times New Roman"/>
          <w:b/>
          <w:color w:val="auto"/>
          <w:szCs w:val="21"/>
          <w:highlight w:val="none"/>
        </w:rPr>
        <w:t>39.1</w:t>
      </w:r>
      <w:r>
        <w:rPr>
          <w:rFonts w:ascii="宋体" w:hAnsi="宋体" w:eastAsia="宋体" w:cs="Times New Roman"/>
          <w:b/>
          <w:color w:val="auto"/>
          <w:szCs w:val="21"/>
          <w:highlight w:val="none"/>
        </w:rPr>
        <w:tab/>
      </w:r>
      <w:r>
        <w:rPr>
          <w:rFonts w:ascii="宋体" w:hAnsi="宋体" w:eastAsia="宋体" w:cs="Times New Roman"/>
          <w:b/>
          <w:color w:val="auto"/>
          <w:szCs w:val="21"/>
          <w:highlight w:val="none"/>
        </w:rPr>
        <w:t>本项目投标人须知第2条所述行政处罚信息，以开标</w:t>
      </w:r>
      <w:r>
        <w:rPr>
          <w:rFonts w:hint="eastAsia" w:ascii="宋体" w:hAnsi="宋体" w:eastAsia="宋体" w:cs="Times New Roman"/>
          <w:b/>
          <w:color w:val="auto"/>
          <w:szCs w:val="21"/>
          <w:highlight w:val="none"/>
          <w:lang w:val="en-US" w:eastAsia="zh-CN"/>
        </w:rPr>
        <w:t>当天</w:t>
      </w:r>
      <w:r>
        <w:rPr>
          <w:rFonts w:ascii="宋体" w:hAnsi="宋体" w:eastAsia="宋体" w:cs="Times New Roman"/>
          <w:b/>
          <w:color w:val="auto"/>
          <w:szCs w:val="21"/>
          <w:highlight w:val="none"/>
        </w:rPr>
        <w:t>在“信用中国”网站（www.creditchina.gov.cn）查询结果为准</w:t>
      </w:r>
      <w:r>
        <w:rPr>
          <w:rFonts w:hint="eastAsia" w:ascii="宋体" w:hAnsi="宋体" w:eastAsia="宋体" w:cs="Times New Roman"/>
          <w:b/>
          <w:color w:val="auto"/>
          <w:szCs w:val="21"/>
          <w:highlight w:val="none"/>
        </w:rPr>
        <w:t>，或以司法、仲裁机构等出具的生效文件予以认定,时间以认定文件的落款时间为准</w:t>
      </w:r>
      <w:r>
        <w:rPr>
          <w:rFonts w:ascii="宋体" w:hAnsi="宋体" w:eastAsia="宋体" w:cs="Times New Roman"/>
          <w:b/>
          <w:color w:val="auto"/>
          <w:szCs w:val="21"/>
          <w:highlight w:val="none"/>
        </w:rPr>
        <w:t>。开标结束后，有关投标单位的行政处罚信息，以</w:t>
      </w:r>
      <w:r>
        <w:rPr>
          <w:rFonts w:hint="eastAsia" w:ascii="宋体" w:hAnsi="宋体" w:eastAsia="宋体" w:cs="Times New Roman"/>
          <w:b/>
          <w:color w:val="auto"/>
          <w:szCs w:val="21"/>
          <w:highlight w:val="none"/>
          <w:lang w:val="en-US" w:eastAsia="zh-CN"/>
        </w:rPr>
        <w:t>开标当天查询</w:t>
      </w:r>
      <w:r>
        <w:rPr>
          <w:rFonts w:ascii="宋体" w:hAnsi="宋体" w:eastAsia="宋体" w:cs="Times New Roman"/>
          <w:b/>
          <w:color w:val="auto"/>
          <w:szCs w:val="21"/>
          <w:highlight w:val="none"/>
        </w:rPr>
        <w:t>结果为准；结果公示期间，如投标人对有关投标单位的行政处罚信息存在异议，但不涉及第一中标候选人的，视为对中标结果没有造成实质影响。</w:t>
      </w:r>
    </w:p>
    <w:p w14:paraId="48ABB933">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rPr>
      </w:pPr>
    </w:p>
    <w:p w14:paraId="749C12E5">
      <w:pPr>
        <w:tabs>
          <w:tab w:val="left" w:pos="360"/>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rPr>
      </w:pPr>
      <w:bookmarkStart w:id="393" w:name="_Toc142508357"/>
      <w:bookmarkStart w:id="394" w:name="_Toc26725"/>
      <w:bookmarkStart w:id="395" w:name="_Toc31079"/>
      <w:bookmarkStart w:id="396" w:name="_Toc5709"/>
      <w:r>
        <w:rPr>
          <w:rFonts w:ascii="宋体" w:hAnsi="宋体" w:eastAsia="宋体" w:cs="宋体"/>
          <w:color w:val="auto"/>
          <w:szCs w:val="21"/>
          <w:highlight w:val="none"/>
        </w:rPr>
        <w:t>40</w:t>
      </w:r>
      <w:r>
        <w:rPr>
          <w:rFonts w:hint="eastAsia" w:ascii="宋体" w:hAnsi="宋体" w:eastAsia="宋体" w:cs="宋体"/>
          <w:color w:val="auto"/>
          <w:szCs w:val="21"/>
          <w:highlight w:val="none"/>
        </w:rPr>
        <w:t xml:space="preserve"> 本次招标活动的最终解释权归招标代理机构及招标人所有。</w:t>
      </w:r>
      <w:bookmarkEnd w:id="387"/>
      <w:bookmarkEnd w:id="388"/>
      <w:bookmarkEnd w:id="393"/>
      <w:bookmarkEnd w:id="394"/>
      <w:bookmarkEnd w:id="395"/>
      <w:bookmarkEnd w:id="396"/>
    </w:p>
    <w:p w14:paraId="5B12FBCF">
      <w:pPr>
        <w:pageBreakBefore/>
        <w:numPr>
          <w:ilvl w:val="0"/>
          <w:numId w:val="4"/>
        </w:numPr>
        <w:tabs>
          <w:tab w:val="left" w:pos="1080"/>
        </w:tabs>
        <w:autoSpaceDE w:val="0"/>
        <w:autoSpaceDN w:val="0"/>
        <w:adjustRightInd w:val="0"/>
        <w:spacing w:line="360" w:lineRule="auto"/>
        <w:ind w:left="357" w:leftChars="-100" w:hanging="567"/>
        <w:jc w:val="center"/>
        <w:outlineLvl w:val="1"/>
        <w:rPr>
          <w:rFonts w:hint="eastAsia" w:ascii="宋体" w:hAnsi="宋体" w:eastAsia="宋体" w:cs="宋体"/>
          <w:b/>
          <w:bCs/>
          <w:color w:val="auto"/>
          <w:kern w:val="44"/>
          <w:sz w:val="32"/>
          <w:szCs w:val="32"/>
          <w:highlight w:val="none"/>
          <w:lang w:val="zh-CN"/>
        </w:rPr>
      </w:pPr>
      <w:bookmarkStart w:id="397" w:name="_Toc450662891"/>
      <w:bookmarkStart w:id="398" w:name="_Toc10322"/>
      <w:bookmarkStart w:id="399" w:name="_Toc27939_WPSOffice_Level1"/>
      <w:bookmarkStart w:id="400" w:name="_Toc25818"/>
      <w:bookmarkStart w:id="401" w:name="_Toc28218"/>
      <w:bookmarkStart w:id="402" w:name="_Toc142508358"/>
      <w:bookmarkStart w:id="403" w:name="_Toc486167706"/>
      <w:r>
        <w:rPr>
          <w:rFonts w:hint="eastAsia" w:ascii="宋体" w:hAnsi="宋体" w:eastAsia="宋体" w:cs="宋体"/>
          <w:b/>
          <w:bCs/>
          <w:color w:val="auto"/>
          <w:kern w:val="44"/>
          <w:sz w:val="32"/>
          <w:szCs w:val="32"/>
          <w:highlight w:val="none"/>
          <w:lang w:val="zh-CN"/>
        </w:rPr>
        <w:t>用户需求书</w:t>
      </w:r>
      <w:bookmarkEnd w:id="397"/>
      <w:bookmarkEnd w:id="398"/>
      <w:bookmarkEnd w:id="399"/>
      <w:bookmarkEnd w:id="400"/>
      <w:bookmarkEnd w:id="401"/>
      <w:bookmarkEnd w:id="402"/>
      <w:bookmarkEnd w:id="403"/>
    </w:p>
    <w:p w14:paraId="4D254E47">
      <w:pPr>
        <w:keepNext w:val="0"/>
        <w:keepLines w:val="0"/>
        <w:widowControl w:val="0"/>
        <w:suppressLineNumbers w:val="0"/>
        <w:spacing w:before="0" w:beforeAutospacing="0" w:after="0" w:afterAutospacing="0" w:line="360" w:lineRule="auto"/>
        <w:ind w:left="0" w:right="0"/>
        <w:jc w:val="both"/>
        <w:outlineLvl w:val="1"/>
        <w:rPr>
          <w:rFonts w:hint="eastAsia" w:ascii="宋体" w:hAnsi="宋体" w:eastAsia="宋体" w:cs="宋体"/>
          <w:b/>
          <w:bCs/>
          <w:color w:val="auto"/>
          <w:kern w:val="2"/>
          <w:sz w:val="21"/>
          <w:szCs w:val="21"/>
          <w:highlight w:val="none"/>
        </w:rPr>
      </w:pPr>
      <w:bookmarkStart w:id="404" w:name="_Toc22775"/>
      <w:r>
        <w:rPr>
          <w:rFonts w:hint="eastAsia" w:ascii="宋体" w:hAnsi="宋体" w:eastAsia="宋体" w:cs="宋体"/>
          <w:b/>
          <w:bCs/>
          <w:color w:val="auto"/>
          <w:kern w:val="2"/>
          <w:sz w:val="21"/>
          <w:szCs w:val="21"/>
          <w:highlight w:val="none"/>
          <w:lang w:val="en-US" w:eastAsia="zh-CN" w:bidi="ar"/>
        </w:rPr>
        <w:t>一、基本采购要求</w:t>
      </w:r>
      <w:bookmarkEnd w:id="404"/>
    </w:p>
    <w:p w14:paraId="7973E996">
      <w:pPr>
        <w:pStyle w:val="128"/>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本次采购东莞市</w:t>
      </w:r>
      <w:r>
        <w:rPr>
          <w:rFonts w:hint="eastAsia" w:ascii="宋体" w:hAnsi="宋体" w:eastAsia="宋体" w:cs="宋体"/>
          <w:color w:val="auto"/>
          <w:sz w:val="21"/>
          <w:szCs w:val="21"/>
          <w:highlight w:val="none"/>
          <w:lang w:val="en-US" w:eastAsia="zh-CN"/>
        </w:rPr>
        <w:t>水务集团净水有限</w:t>
      </w:r>
      <w:r>
        <w:rPr>
          <w:rFonts w:hint="eastAsia" w:ascii="宋体" w:hAnsi="宋体" w:eastAsia="宋体" w:cs="宋体"/>
          <w:color w:val="auto"/>
          <w:sz w:val="21"/>
          <w:szCs w:val="21"/>
          <w:highlight w:val="none"/>
        </w:rPr>
        <w:t>公司旗下运营项目所需生产药剂：</w:t>
      </w:r>
      <w:r>
        <w:rPr>
          <w:rFonts w:hint="eastAsia" w:ascii="宋体" w:hAnsi="宋体" w:eastAsia="宋体" w:cs="宋体"/>
          <w:color w:val="auto"/>
          <w:sz w:val="21"/>
          <w:szCs w:val="21"/>
          <w:highlight w:val="none"/>
          <w:lang w:eastAsia="zh-CN"/>
        </w:rPr>
        <w:t>液体柠檬酸</w:t>
      </w:r>
      <w:r>
        <w:rPr>
          <w:rFonts w:hint="eastAsia" w:ascii="宋体" w:hAnsi="宋体" w:eastAsia="宋体" w:cs="宋体"/>
          <w:color w:val="auto"/>
          <w:sz w:val="21"/>
          <w:szCs w:val="21"/>
          <w:highlight w:val="none"/>
        </w:rPr>
        <w:t>。根据各运营项目进水水质及工艺情况，需使用</w:t>
      </w:r>
      <w:r>
        <w:rPr>
          <w:rFonts w:hint="eastAsia" w:ascii="宋体" w:hAnsi="宋体" w:eastAsia="宋体" w:cs="宋体"/>
          <w:color w:val="auto"/>
          <w:sz w:val="21"/>
          <w:szCs w:val="21"/>
          <w:highlight w:val="none"/>
          <w:lang w:eastAsia="zh-CN"/>
        </w:rPr>
        <w:t>液体柠檬酸</w:t>
      </w:r>
      <w:r>
        <w:rPr>
          <w:rFonts w:hint="eastAsia" w:ascii="宋体" w:hAnsi="宋体" w:eastAsia="宋体" w:cs="宋体"/>
          <w:color w:val="auto"/>
          <w:sz w:val="21"/>
          <w:szCs w:val="21"/>
          <w:highlight w:val="none"/>
        </w:rPr>
        <w:t>（以下简称“生产药剂”）作为膜清洗剂，用于维护性清洗MBR膜，保持设备使用寿命。具体供货项目和供货量根据实际运营需求，并结合招标人运营项目使用中标</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sz w:val="21"/>
          <w:szCs w:val="21"/>
          <w:highlight w:val="none"/>
        </w:rPr>
        <w:t>提供的药剂样品</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实际使用效果确定。</w:t>
      </w:r>
    </w:p>
    <w:p w14:paraId="1D32D1CA">
      <w:pPr>
        <w:pStyle w:val="128"/>
        <w:autoSpaceDE/>
        <w:autoSpaceDN/>
        <w:adjustRightInd/>
        <w:spacing w:line="360" w:lineRule="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本次招标人以公开招标方式确定1家供货单位，分别向招标人运营项目供货。</w:t>
      </w:r>
      <w:bookmarkStart w:id="405" w:name="OLE_LINK13"/>
      <w:r>
        <w:rPr>
          <w:rFonts w:hint="eastAsia" w:ascii="宋体" w:hAnsi="宋体" w:eastAsia="宋体" w:cs="宋体"/>
          <w:color w:val="auto"/>
          <w:sz w:val="21"/>
          <w:szCs w:val="21"/>
          <w:highlight w:val="none"/>
          <w:lang w:val="en-US" w:eastAsia="zh-CN"/>
        </w:rPr>
        <w:t>招标人或招标人权属子公司与中标人签订采购合同。</w:t>
      </w:r>
      <w:bookmarkEnd w:id="405"/>
    </w:p>
    <w:p w14:paraId="10228186">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供货期：自合同签订之日起至202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年12月31日止，具体供货起始日期以招标人或招标人权属子公司书面通知为准，投标人收到招标人或招标人权属子公司通知后必须无条件按照招标人的要求开始供货，供货期结束后，按招标人实际生产需要，经双方协商同意后，可签订补充协议延长不超过三个月的供货期</w:t>
      </w:r>
      <w:r>
        <w:rPr>
          <w:rFonts w:hint="eastAsia" w:ascii="宋体" w:hAnsi="宋体" w:eastAsia="宋体" w:cs="宋体"/>
          <w:color w:val="auto"/>
          <w:kern w:val="2"/>
          <w:sz w:val="21"/>
          <w:szCs w:val="21"/>
          <w:highlight w:val="none"/>
          <w:lang w:val="en-US" w:eastAsia="zh-CN" w:bidi="ar"/>
        </w:rPr>
        <w:t>。</w:t>
      </w:r>
    </w:p>
    <w:p w14:paraId="75251FCB">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0C25635C">
      <w:pPr>
        <w:keepNext w:val="0"/>
        <w:keepLines w:val="0"/>
        <w:widowControl w:val="0"/>
        <w:suppressLineNumbers w:val="0"/>
        <w:spacing w:before="0" w:beforeAutospacing="0" w:after="0" w:afterAutospacing="0" w:line="360" w:lineRule="auto"/>
        <w:ind w:left="0" w:right="0"/>
        <w:jc w:val="both"/>
        <w:outlineLvl w:val="1"/>
        <w:rPr>
          <w:rFonts w:hint="eastAsia" w:ascii="宋体" w:hAnsi="宋体" w:eastAsia="宋体" w:cs="宋体"/>
          <w:b/>
          <w:bCs/>
          <w:color w:val="auto"/>
          <w:kern w:val="2"/>
          <w:sz w:val="21"/>
          <w:szCs w:val="21"/>
          <w:highlight w:val="none"/>
        </w:rPr>
      </w:pPr>
      <w:bookmarkStart w:id="406" w:name="_Toc27352"/>
      <w:r>
        <w:rPr>
          <w:rFonts w:hint="eastAsia" w:ascii="宋体" w:hAnsi="宋体" w:eastAsia="宋体" w:cs="宋体"/>
          <w:b/>
          <w:bCs/>
          <w:color w:val="auto"/>
          <w:kern w:val="2"/>
          <w:sz w:val="21"/>
          <w:szCs w:val="21"/>
          <w:highlight w:val="none"/>
          <w:lang w:val="en-US" w:eastAsia="zh-CN" w:bidi="ar"/>
        </w:rPr>
        <w:t>二、标的物</w:t>
      </w:r>
      <w:bookmarkEnd w:id="406"/>
    </w:p>
    <w:p w14:paraId="49D6C346">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1、产品名称：</w:t>
      </w:r>
      <w:r>
        <w:rPr>
          <w:rFonts w:hint="eastAsia" w:ascii="宋体" w:hAnsi="宋体" w:eastAsia="宋体" w:cs="宋体"/>
          <w:color w:val="auto"/>
          <w:sz w:val="21"/>
          <w:szCs w:val="21"/>
          <w:highlight w:val="none"/>
          <w:lang w:eastAsia="zh-CN"/>
        </w:rPr>
        <w:t>液体柠檬酸</w:t>
      </w:r>
    </w:p>
    <w:p w14:paraId="31AA5D48">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2、暂定采购数量：</w:t>
      </w:r>
      <w:r>
        <w:rPr>
          <w:rFonts w:hint="eastAsia" w:ascii="宋体" w:hAnsi="宋体" w:eastAsia="宋体" w:cs="宋体"/>
          <w:color w:val="auto"/>
          <w:szCs w:val="21"/>
          <w:highlight w:val="none"/>
          <w:lang w:val="en-US" w:eastAsia="zh-CN"/>
        </w:rPr>
        <w:t>485.037</w:t>
      </w:r>
      <w:r>
        <w:rPr>
          <w:rFonts w:hint="eastAsia" w:ascii="宋体" w:hAnsi="宋体" w:eastAsia="宋体" w:cs="宋体"/>
          <w:color w:val="auto"/>
          <w:kern w:val="2"/>
          <w:sz w:val="21"/>
          <w:szCs w:val="21"/>
          <w:highlight w:val="none"/>
          <w:lang w:val="en-US" w:eastAsia="zh-CN" w:bidi="ar"/>
        </w:rPr>
        <w:t>吨</w:t>
      </w:r>
    </w:p>
    <w:p w14:paraId="4B0CFD27">
      <w:pPr>
        <w:keepNext w:val="0"/>
        <w:keepLines w:val="0"/>
        <w:widowControl w:val="0"/>
        <w:suppressLineNumbers w:val="0"/>
        <w:spacing w:before="0" w:beforeAutospacing="0" w:after="0" w:afterAutospacing="0" w:line="360" w:lineRule="auto"/>
        <w:ind w:left="0" w:right="0" w:firstLine="422" w:firstLineChars="200"/>
        <w:jc w:val="both"/>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★3、</w:t>
      </w:r>
      <w:r>
        <w:rPr>
          <w:rFonts w:hint="eastAsia" w:ascii="宋体" w:hAnsi="宋体" w:eastAsia="宋体" w:cs="宋体"/>
          <w:b/>
          <w:color w:val="auto"/>
          <w:sz w:val="21"/>
          <w:szCs w:val="21"/>
          <w:highlight w:val="none"/>
        </w:rPr>
        <w:t>本次采购涉及招标人运营项目及采购数量为暂定，仅为便于计算暂定总合同价使用，不作为招标人最终采购数量的保证</w:t>
      </w:r>
      <w:bookmarkStart w:id="407" w:name="OLE_LINK40"/>
      <w:bookmarkStart w:id="408" w:name="OLE_LINK24"/>
      <w:r>
        <w:rPr>
          <w:rFonts w:hint="eastAsia" w:ascii="宋体" w:hAnsi="宋体" w:eastAsia="宋体" w:cs="宋体"/>
          <w:b/>
          <w:color w:val="auto"/>
          <w:sz w:val="21"/>
          <w:szCs w:val="21"/>
          <w:highlight w:val="none"/>
        </w:rPr>
        <w:t>，招标人保留根据运营项目及新增运营项目实际情况，对采购数量进行灵活调整的权利。</w:t>
      </w:r>
      <w:bookmarkEnd w:id="407"/>
      <w:bookmarkEnd w:id="408"/>
      <w:r>
        <w:rPr>
          <w:rFonts w:hint="eastAsia" w:ascii="宋体" w:hAnsi="宋体" w:eastAsia="宋体" w:cs="宋体"/>
          <w:b/>
          <w:color w:val="auto"/>
          <w:sz w:val="21"/>
          <w:szCs w:val="21"/>
          <w:highlight w:val="none"/>
        </w:rPr>
        <w:t>合同履约过程中，如</w:t>
      </w:r>
      <w:r>
        <w:rPr>
          <w:rFonts w:hint="eastAsia" w:ascii="宋体" w:hAnsi="宋体" w:eastAsia="宋体" w:cs="宋体"/>
          <w:b/>
          <w:color w:val="auto"/>
          <w:sz w:val="21"/>
          <w:szCs w:val="21"/>
          <w:highlight w:val="none"/>
          <w:lang w:val="en-US" w:eastAsia="zh-CN"/>
        </w:rPr>
        <w:t>本项目</w:t>
      </w:r>
      <w:r>
        <w:rPr>
          <w:rFonts w:hint="eastAsia" w:ascii="宋体" w:hAnsi="宋体" w:eastAsia="宋体" w:cs="宋体"/>
          <w:b/>
          <w:color w:val="auto"/>
          <w:sz w:val="21"/>
          <w:szCs w:val="21"/>
          <w:highlight w:val="none"/>
        </w:rPr>
        <w:t>因</w:t>
      </w:r>
      <w:bookmarkStart w:id="409" w:name="OLE_LINK33"/>
      <w:r>
        <w:rPr>
          <w:rFonts w:hint="eastAsia" w:ascii="宋体" w:hAnsi="宋体" w:eastAsia="宋体" w:cs="宋体"/>
          <w:b/>
          <w:color w:val="auto"/>
          <w:sz w:val="21"/>
          <w:szCs w:val="21"/>
          <w:highlight w:val="none"/>
        </w:rPr>
        <w:t>新增合同主体</w:t>
      </w:r>
      <w:bookmarkEnd w:id="409"/>
      <w:r>
        <w:rPr>
          <w:rFonts w:hint="eastAsia" w:ascii="宋体" w:hAnsi="宋体" w:eastAsia="宋体" w:cs="宋体"/>
          <w:b/>
          <w:color w:val="auto"/>
          <w:sz w:val="21"/>
          <w:szCs w:val="21"/>
          <w:highlight w:val="none"/>
        </w:rPr>
        <w:t>需要额外供货，</w:t>
      </w:r>
      <w:r>
        <w:rPr>
          <w:rFonts w:hint="eastAsia" w:ascii="宋体" w:hAnsi="宋体" w:eastAsia="宋体" w:cs="宋体"/>
          <w:b/>
          <w:color w:val="auto"/>
          <w:sz w:val="21"/>
          <w:szCs w:val="21"/>
          <w:highlight w:val="none"/>
          <w:lang w:val="en-US" w:eastAsia="zh-CN"/>
        </w:rPr>
        <w:t>招标人权属子公司、</w:t>
      </w:r>
      <w:r>
        <w:rPr>
          <w:rFonts w:hint="eastAsia" w:ascii="宋体" w:hAnsi="宋体" w:eastAsia="宋体" w:cs="Times New Roman"/>
          <w:b/>
          <w:bCs/>
          <w:snapToGrid/>
          <w:color w:val="auto"/>
          <w:kern w:val="2"/>
          <w:szCs w:val="21"/>
          <w:highlight w:val="none"/>
          <w:lang w:val="zh-CN"/>
        </w:rPr>
        <w:t>招标人权属子公司</w:t>
      </w:r>
      <w:r>
        <w:rPr>
          <w:rFonts w:hint="eastAsia" w:ascii="宋体" w:hAnsi="宋体" w:eastAsia="宋体" w:cs="Times New Roman"/>
          <w:b/>
          <w:bCs/>
          <w:snapToGrid/>
          <w:color w:val="auto"/>
          <w:kern w:val="2"/>
          <w:szCs w:val="21"/>
          <w:highlight w:val="none"/>
          <w:lang w:val="en-US" w:eastAsia="zh-CN"/>
        </w:rPr>
        <w:t>关联公司</w:t>
      </w:r>
      <w:r>
        <w:rPr>
          <w:rFonts w:hint="eastAsia" w:ascii="宋体" w:hAnsi="宋体" w:eastAsia="宋体" w:cs="宋体"/>
          <w:b/>
          <w:color w:val="auto"/>
          <w:sz w:val="21"/>
          <w:szCs w:val="21"/>
          <w:highlight w:val="none"/>
        </w:rPr>
        <w:t>有权依据不含税中标综合单价与中标人协商并签订补充协议，并确保其作为原合同的有效补充。中标人应充分理解并接受</w:t>
      </w:r>
      <w:r>
        <w:rPr>
          <w:rFonts w:hint="eastAsia" w:ascii="宋体" w:hAnsi="宋体" w:eastAsia="宋体" w:cs="宋体"/>
          <w:b/>
          <w:color w:val="auto"/>
          <w:sz w:val="21"/>
          <w:szCs w:val="21"/>
          <w:highlight w:val="none"/>
          <w:lang w:val="en-US" w:eastAsia="zh-CN"/>
        </w:rPr>
        <w:t>本项目</w:t>
      </w:r>
      <w:r>
        <w:rPr>
          <w:rFonts w:hint="eastAsia" w:ascii="宋体" w:hAnsi="宋体" w:eastAsia="宋体" w:cs="宋体"/>
          <w:b/>
          <w:color w:val="auto"/>
          <w:sz w:val="21"/>
          <w:szCs w:val="21"/>
          <w:highlight w:val="none"/>
        </w:rPr>
        <w:t>在合同履约期间可能新增合同主体的可能性，并承诺在接到</w:t>
      </w:r>
      <w:r>
        <w:rPr>
          <w:rFonts w:hint="eastAsia" w:ascii="宋体" w:hAnsi="宋体" w:eastAsia="宋体" w:cs="宋体"/>
          <w:b/>
          <w:color w:val="auto"/>
          <w:sz w:val="21"/>
          <w:szCs w:val="21"/>
          <w:highlight w:val="none"/>
          <w:lang w:val="en-US" w:eastAsia="zh-CN"/>
        </w:rPr>
        <w:t>招标人权属子公司、</w:t>
      </w:r>
      <w:r>
        <w:rPr>
          <w:rFonts w:hint="eastAsia" w:ascii="宋体" w:hAnsi="宋体" w:eastAsia="宋体" w:cs="Times New Roman"/>
          <w:b/>
          <w:bCs/>
          <w:snapToGrid/>
          <w:color w:val="auto"/>
          <w:kern w:val="2"/>
          <w:szCs w:val="21"/>
          <w:highlight w:val="none"/>
          <w:lang w:val="zh-CN"/>
        </w:rPr>
        <w:t>招标人权属子公司</w:t>
      </w:r>
      <w:r>
        <w:rPr>
          <w:rFonts w:hint="eastAsia" w:ascii="宋体" w:hAnsi="宋体" w:eastAsia="宋体" w:cs="Times New Roman"/>
          <w:b/>
          <w:bCs/>
          <w:snapToGrid/>
          <w:color w:val="auto"/>
          <w:kern w:val="2"/>
          <w:szCs w:val="21"/>
          <w:highlight w:val="none"/>
          <w:lang w:val="en-US" w:eastAsia="zh-CN"/>
        </w:rPr>
        <w:t>关联公司</w:t>
      </w:r>
      <w:r>
        <w:rPr>
          <w:rFonts w:hint="eastAsia" w:ascii="宋体" w:hAnsi="宋体" w:eastAsia="宋体" w:cs="宋体"/>
          <w:b/>
          <w:color w:val="auto"/>
          <w:sz w:val="21"/>
          <w:szCs w:val="21"/>
          <w:highlight w:val="none"/>
        </w:rPr>
        <w:t>关于新增</w:t>
      </w:r>
      <w:r>
        <w:rPr>
          <w:rFonts w:hint="eastAsia" w:ascii="宋体" w:hAnsi="宋体" w:eastAsia="宋体" w:cs="宋体"/>
          <w:b/>
          <w:color w:val="auto"/>
          <w:sz w:val="21"/>
          <w:szCs w:val="21"/>
          <w:highlight w:val="none"/>
          <w:lang w:val="en-US" w:eastAsia="zh-CN"/>
        </w:rPr>
        <w:t>合同主体</w:t>
      </w:r>
      <w:r>
        <w:rPr>
          <w:rFonts w:hint="eastAsia" w:ascii="宋体" w:hAnsi="宋体" w:eastAsia="宋体" w:cs="宋体"/>
          <w:b/>
          <w:color w:val="auto"/>
          <w:sz w:val="21"/>
          <w:szCs w:val="21"/>
          <w:highlight w:val="none"/>
        </w:rPr>
        <w:t>的供货通知及签订补充协议的要求时，积极配合并履行相应的供货义务，确保供货的及时性和质量等符合原合同的要求</w:t>
      </w:r>
      <w:r>
        <w:rPr>
          <w:rFonts w:hint="eastAsia" w:ascii="宋体" w:hAnsi="宋体" w:eastAsia="宋体" w:cs="宋体"/>
          <w:b/>
          <w:bCs/>
          <w:color w:val="auto"/>
          <w:sz w:val="21"/>
          <w:szCs w:val="21"/>
          <w:highlight w:val="none"/>
        </w:rPr>
        <w:t>。</w:t>
      </w:r>
      <w:r>
        <w:rPr>
          <w:rFonts w:hint="eastAsia" w:ascii="宋体" w:hAnsi="宋体" w:eastAsia="宋体" w:cs="宋体"/>
          <w:b/>
          <w:color w:val="auto"/>
          <w:sz w:val="21"/>
          <w:szCs w:val="21"/>
          <w:highlight w:val="none"/>
        </w:rPr>
        <w:t>实际</w:t>
      </w:r>
      <w:r>
        <w:rPr>
          <w:rFonts w:hint="eastAsia" w:ascii="宋体" w:hAnsi="宋体" w:eastAsia="宋体" w:cs="宋体"/>
          <w:b/>
          <w:bCs/>
          <w:color w:val="auto"/>
          <w:kern w:val="2"/>
          <w:sz w:val="21"/>
          <w:szCs w:val="21"/>
          <w:highlight w:val="none"/>
        </w:rPr>
        <w:t>招标人运营项目</w:t>
      </w:r>
      <w:r>
        <w:rPr>
          <w:rFonts w:hint="eastAsia" w:ascii="宋体" w:hAnsi="宋体" w:eastAsia="宋体" w:cs="宋体"/>
          <w:b/>
          <w:color w:val="auto"/>
          <w:sz w:val="21"/>
          <w:szCs w:val="21"/>
          <w:highlight w:val="none"/>
        </w:rPr>
        <w:t>根据项目工艺及性质，结合项目实际使用效果选用，招标人的实际需求数量以招标人运营项目每次的供货通知为准，在供货期内投标人不得因招标人实际采购数量的减少或增加而要求提供任何形式的补偿或赔偿，或要求招标人按暂定采购数量采购相应货物</w:t>
      </w:r>
      <w:r>
        <w:rPr>
          <w:rFonts w:hint="eastAsia" w:ascii="宋体" w:hAnsi="宋体" w:eastAsia="宋体" w:cs="宋体"/>
          <w:b/>
          <w:bCs/>
          <w:color w:val="auto"/>
          <w:kern w:val="2"/>
          <w:sz w:val="21"/>
          <w:szCs w:val="21"/>
          <w:highlight w:val="none"/>
          <w:lang w:val="en-US" w:eastAsia="zh-CN" w:bidi="ar"/>
        </w:rPr>
        <w:t>。</w:t>
      </w:r>
    </w:p>
    <w:p w14:paraId="5C0AFD4C">
      <w:pPr>
        <w:keepNext w:val="0"/>
        <w:keepLines w:val="0"/>
        <w:widowControl w:val="0"/>
        <w:suppressLineNumbers w:val="0"/>
        <w:spacing w:before="0" w:beforeAutospacing="0" w:after="0" w:afterAutospacing="0" w:line="360" w:lineRule="auto"/>
        <w:ind w:left="0" w:right="0" w:firstLine="211" w:firstLineChars="100"/>
        <w:jc w:val="both"/>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★4、主要技术指标。</w:t>
      </w:r>
    </w:p>
    <w:p w14:paraId="43DCB54B">
      <w:pPr>
        <w:keepNext w:val="0"/>
        <w:keepLines w:val="0"/>
        <w:widowControl w:val="0"/>
        <w:suppressLineNumbers w:val="0"/>
        <w:spacing w:before="0" w:beforeAutospacing="0" w:after="0" w:afterAutospacing="0" w:line="360" w:lineRule="auto"/>
        <w:ind w:left="0" w:right="0" w:firstLine="422" w:firstLineChars="200"/>
        <w:jc w:val="both"/>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（1）</w:t>
      </w:r>
      <w:r>
        <w:rPr>
          <w:rFonts w:hint="eastAsia" w:ascii="宋体" w:hAnsi="宋体" w:eastAsia="宋体" w:cs="宋体"/>
          <w:b/>
          <w:bCs/>
          <w:color w:val="auto"/>
          <w:szCs w:val="21"/>
          <w:highlight w:val="none"/>
          <w:lang w:eastAsia="zh-CN"/>
        </w:rPr>
        <w:t>液体柠檬酸</w:t>
      </w:r>
      <w:r>
        <w:rPr>
          <w:rFonts w:hint="eastAsia" w:ascii="宋体" w:hAnsi="宋体" w:eastAsia="宋体" w:cs="宋体"/>
          <w:b/>
          <w:bCs/>
          <w:color w:val="auto"/>
          <w:szCs w:val="21"/>
          <w:highlight w:val="none"/>
        </w:rPr>
        <w:t>产品外观为无色透明液体</w:t>
      </w:r>
      <w:r>
        <w:rPr>
          <w:rFonts w:hint="eastAsia" w:ascii="宋体" w:hAnsi="宋体" w:eastAsia="宋体" w:cs="宋体"/>
          <w:b/>
          <w:bCs/>
          <w:color w:val="auto"/>
          <w:kern w:val="2"/>
          <w:sz w:val="21"/>
          <w:szCs w:val="21"/>
          <w:highlight w:val="none"/>
          <w:lang w:val="en-US" w:eastAsia="zh-CN" w:bidi="ar"/>
        </w:rPr>
        <w:t>。</w:t>
      </w:r>
    </w:p>
    <w:p w14:paraId="14D5DAB3">
      <w:pPr>
        <w:keepNext w:val="0"/>
        <w:keepLines w:val="0"/>
        <w:widowControl w:val="0"/>
        <w:suppressLineNumbers w:val="0"/>
        <w:spacing w:before="0" w:beforeAutospacing="0" w:after="0" w:afterAutospacing="0" w:line="360" w:lineRule="auto"/>
        <w:ind w:left="0" w:right="0" w:firstLine="422" w:firstLineChars="200"/>
        <w:jc w:val="both"/>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（2）</w:t>
      </w:r>
      <w:r>
        <w:rPr>
          <w:rFonts w:hint="eastAsia" w:ascii="宋体" w:hAnsi="宋体" w:eastAsia="宋体" w:cs="宋体"/>
          <w:b/>
          <w:bCs/>
          <w:color w:val="auto"/>
          <w:szCs w:val="21"/>
          <w:highlight w:val="none"/>
          <w:lang w:eastAsia="zh-CN"/>
        </w:rPr>
        <w:t>液体柠檬酸</w:t>
      </w:r>
      <w:r>
        <w:rPr>
          <w:rFonts w:hint="eastAsia" w:ascii="宋体" w:hAnsi="宋体" w:eastAsia="宋体" w:cs="宋体"/>
          <w:b/>
          <w:bCs/>
          <w:color w:val="auto"/>
          <w:szCs w:val="21"/>
          <w:highlight w:val="none"/>
        </w:rPr>
        <w:t>主要技术指标要求如下</w:t>
      </w:r>
      <w:r>
        <w:rPr>
          <w:rFonts w:hint="eastAsia" w:ascii="宋体" w:hAnsi="宋体" w:eastAsia="宋体" w:cs="宋体"/>
          <w:b/>
          <w:bCs/>
          <w:color w:val="auto"/>
          <w:kern w:val="2"/>
          <w:sz w:val="21"/>
          <w:szCs w:val="21"/>
          <w:highlight w:val="none"/>
          <w:lang w:val="en-US" w:eastAsia="zh-CN" w:bidi="ar"/>
        </w:rPr>
        <w:t>：</w:t>
      </w:r>
    </w:p>
    <w:p w14:paraId="4371D46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 xml:space="preserve">表1 </w:t>
      </w:r>
      <w:r>
        <w:rPr>
          <w:rFonts w:hint="eastAsia" w:ascii="宋体" w:hAnsi="宋体" w:eastAsia="宋体" w:cs="宋体"/>
          <w:b/>
          <w:bCs/>
          <w:color w:val="auto"/>
          <w:sz w:val="21"/>
          <w:szCs w:val="21"/>
          <w:highlight w:val="none"/>
          <w:lang w:eastAsia="zh-CN"/>
        </w:rPr>
        <w:t>液体柠檬酸</w:t>
      </w:r>
      <w:r>
        <w:rPr>
          <w:rFonts w:hint="eastAsia" w:ascii="宋体" w:hAnsi="宋体" w:eastAsia="宋体" w:cs="宋体"/>
          <w:b/>
          <w:bCs/>
          <w:color w:val="auto"/>
          <w:sz w:val="21"/>
          <w:szCs w:val="21"/>
          <w:highlight w:val="none"/>
        </w:rPr>
        <w:t>主要技术指标</w:t>
      </w:r>
    </w:p>
    <w:tbl>
      <w:tblPr>
        <w:tblStyle w:val="37"/>
        <w:tblW w:w="990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7"/>
        <w:gridCol w:w="4281"/>
      </w:tblGrid>
      <w:tr w14:paraId="1AD3B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5507" w:type="dxa"/>
            <w:vAlign w:val="center"/>
          </w:tcPr>
          <w:p w14:paraId="21EE12D6">
            <w:pPr>
              <w:keepNext w:val="0"/>
              <w:keepLines w:val="0"/>
              <w:pageBreakBefore w:val="0"/>
              <w:widowControl w:val="0"/>
              <w:suppressLineNumbers w:val="0"/>
              <w:kinsoku/>
              <w:wordWrap/>
              <w:overflowPunct/>
              <w:topLinePunct w:val="0"/>
              <w:autoSpaceDE/>
              <w:autoSpaceDN/>
              <w:bidi w:val="0"/>
              <w:adjustRightInd/>
              <w:snapToGrid/>
              <w:spacing w:before="164" w:beforeLines="50" w:beforeAutospacing="0" w:after="0" w:afterAutospacing="0" w:line="360" w:lineRule="auto"/>
              <w:ind w:left="0" w:right="0" w:firstLine="422" w:firstLineChars="20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指标项目</w:t>
            </w:r>
          </w:p>
        </w:tc>
        <w:tc>
          <w:tcPr>
            <w:tcW w:w="4281" w:type="dxa"/>
            <w:vAlign w:val="center"/>
          </w:tcPr>
          <w:p w14:paraId="36E8BDDB">
            <w:pPr>
              <w:keepNext w:val="0"/>
              <w:keepLines w:val="0"/>
              <w:pageBreakBefore w:val="0"/>
              <w:widowControl w:val="0"/>
              <w:suppressLineNumbers w:val="0"/>
              <w:kinsoku/>
              <w:wordWrap/>
              <w:overflowPunct/>
              <w:topLinePunct w:val="0"/>
              <w:autoSpaceDE/>
              <w:autoSpaceDN/>
              <w:bidi w:val="0"/>
              <w:adjustRightInd/>
              <w:snapToGrid/>
              <w:spacing w:before="164" w:beforeLines="50" w:beforeAutospacing="0" w:after="0" w:afterAutospacing="0" w:line="360" w:lineRule="auto"/>
              <w:ind w:left="0" w:right="0" w:firstLine="276" w:firstLineChars="131"/>
              <w:jc w:val="center"/>
              <w:textAlignment w:val="auto"/>
              <w:rPr>
                <w:rFonts w:hint="default" w:hAnsi="宋体"/>
                <w:b/>
                <w:bCs/>
                <w:color w:val="auto"/>
                <w:sz w:val="21"/>
                <w:szCs w:val="21"/>
                <w:highlight w:val="none"/>
              </w:rPr>
            </w:pPr>
            <w:r>
              <w:rPr>
                <w:rFonts w:hint="eastAsia" w:ascii="宋体" w:hAnsi="宋体" w:eastAsia="宋体" w:cs="宋体"/>
                <w:b/>
                <w:bCs/>
                <w:color w:val="auto"/>
                <w:sz w:val="21"/>
                <w:szCs w:val="21"/>
                <w:highlight w:val="none"/>
              </w:rPr>
              <w:t>指标</w:t>
            </w:r>
          </w:p>
        </w:tc>
      </w:tr>
      <w:tr w14:paraId="01C7B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5507" w:type="dxa"/>
            <w:vAlign w:val="center"/>
          </w:tcPr>
          <w:p w14:paraId="10781139">
            <w:pPr>
              <w:keepNext w:val="0"/>
              <w:keepLines w:val="0"/>
              <w:pageBreakBefore w:val="0"/>
              <w:widowControl w:val="0"/>
              <w:suppressLineNumbers w:val="0"/>
              <w:kinsoku/>
              <w:wordWrap/>
              <w:overflowPunct/>
              <w:topLinePunct w:val="0"/>
              <w:autoSpaceDE/>
              <w:autoSpaceDN/>
              <w:bidi w:val="0"/>
              <w:adjustRightInd/>
              <w:snapToGrid/>
              <w:spacing w:before="164" w:beforeLines="50" w:beforeAutospacing="0" w:after="0" w:afterAutospacing="0" w:line="360" w:lineRule="auto"/>
              <w:ind w:left="0" w:right="0" w:firstLine="422" w:firstLineChars="20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质量分数（C</w:t>
            </w:r>
            <w:r>
              <w:rPr>
                <w:rFonts w:hint="eastAsia" w:ascii="宋体" w:hAnsi="宋体" w:eastAsia="宋体" w:cs="宋体"/>
                <w:b/>
                <w:bCs/>
                <w:color w:val="auto"/>
                <w:sz w:val="21"/>
                <w:szCs w:val="21"/>
                <w:highlight w:val="none"/>
                <w:vertAlign w:val="subscript"/>
              </w:rPr>
              <w:t>6</w:t>
            </w:r>
            <w:r>
              <w:rPr>
                <w:rFonts w:hint="eastAsia" w:ascii="宋体" w:hAnsi="宋体" w:eastAsia="宋体" w:cs="宋体"/>
                <w:b/>
                <w:bCs/>
                <w:color w:val="auto"/>
                <w:sz w:val="21"/>
                <w:szCs w:val="21"/>
                <w:highlight w:val="none"/>
              </w:rPr>
              <w:t>H</w:t>
            </w:r>
            <w:r>
              <w:rPr>
                <w:rFonts w:hint="eastAsia" w:ascii="宋体" w:hAnsi="宋体" w:eastAsia="宋体" w:cs="宋体"/>
                <w:b/>
                <w:bCs/>
                <w:color w:val="auto"/>
                <w:sz w:val="21"/>
                <w:szCs w:val="21"/>
                <w:highlight w:val="none"/>
                <w:vertAlign w:val="subscript"/>
              </w:rPr>
              <w:t>8</w:t>
            </w:r>
            <w:r>
              <w:rPr>
                <w:rFonts w:hint="eastAsia" w:ascii="宋体" w:hAnsi="宋体" w:eastAsia="宋体" w:cs="宋体"/>
                <w:b/>
                <w:bCs/>
                <w:color w:val="auto"/>
                <w:sz w:val="21"/>
                <w:szCs w:val="21"/>
                <w:highlight w:val="none"/>
              </w:rPr>
              <w:t>O</w:t>
            </w:r>
            <w:r>
              <w:rPr>
                <w:rFonts w:hint="eastAsia" w:ascii="宋体" w:hAnsi="宋体" w:eastAsia="宋体" w:cs="宋体"/>
                <w:b/>
                <w:bCs/>
                <w:color w:val="auto"/>
                <w:sz w:val="21"/>
                <w:szCs w:val="21"/>
                <w:highlight w:val="none"/>
                <w:vertAlign w:val="subscript"/>
              </w:rPr>
              <w:t>7</w:t>
            </w:r>
            <w:r>
              <w:rPr>
                <w:rFonts w:hint="eastAsia" w:ascii="宋体" w:hAnsi="宋体" w:eastAsia="宋体" w:cs="宋体"/>
                <w:b/>
                <w:bCs/>
                <w:color w:val="auto"/>
                <w:sz w:val="21"/>
                <w:szCs w:val="21"/>
                <w:highlight w:val="none"/>
              </w:rPr>
              <w:t>），%</w:t>
            </w:r>
          </w:p>
        </w:tc>
        <w:tc>
          <w:tcPr>
            <w:tcW w:w="4281" w:type="dxa"/>
            <w:vAlign w:val="center"/>
          </w:tcPr>
          <w:p w14:paraId="691A7489">
            <w:pPr>
              <w:keepNext w:val="0"/>
              <w:keepLines w:val="0"/>
              <w:pageBreakBefore w:val="0"/>
              <w:widowControl w:val="0"/>
              <w:suppressLineNumbers w:val="0"/>
              <w:kinsoku/>
              <w:wordWrap/>
              <w:overflowPunct/>
              <w:topLinePunct w:val="0"/>
              <w:autoSpaceDE/>
              <w:autoSpaceDN/>
              <w:bidi w:val="0"/>
              <w:adjustRightInd/>
              <w:snapToGrid/>
              <w:spacing w:before="164" w:beforeLines="50" w:beforeAutospacing="0" w:after="0" w:afterAutospacing="0" w:line="360" w:lineRule="auto"/>
              <w:ind w:left="0" w:right="0" w:firstLine="276" w:firstLineChars="131"/>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≥30</w:t>
            </w:r>
          </w:p>
        </w:tc>
      </w:tr>
      <w:tr w14:paraId="54375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7" w:type="dxa"/>
            <w:vAlign w:val="center"/>
          </w:tcPr>
          <w:p w14:paraId="5C3E5112">
            <w:pPr>
              <w:keepNext w:val="0"/>
              <w:keepLines w:val="0"/>
              <w:pageBreakBefore w:val="0"/>
              <w:widowControl w:val="0"/>
              <w:suppressLineNumbers w:val="0"/>
              <w:kinsoku/>
              <w:wordWrap/>
              <w:overflowPunct/>
              <w:topLinePunct w:val="0"/>
              <w:autoSpaceDE/>
              <w:autoSpaceDN/>
              <w:bidi w:val="0"/>
              <w:adjustRightInd/>
              <w:snapToGrid/>
              <w:spacing w:before="164" w:beforeLines="50" w:beforeAutospacing="0" w:after="0" w:afterAutospacing="0" w:line="360" w:lineRule="auto"/>
              <w:ind w:left="0" w:right="0" w:firstLine="422" w:firstLineChars="20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水不溶物，%</w:t>
            </w:r>
          </w:p>
        </w:tc>
        <w:tc>
          <w:tcPr>
            <w:tcW w:w="4281" w:type="dxa"/>
            <w:vAlign w:val="center"/>
          </w:tcPr>
          <w:p w14:paraId="6FB37094">
            <w:pPr>
              <w:keepNext w:val="0"/>
              <w:keepLines w:val="0"/>
              <w:pageBreakBefore w:val="0"/>
              <w:widowControl w:val="0"/>
              <w:suppressLineNumbers w:val="0"/>
              <w:kinsoku/>
              <w:wordWrap/>
              <w:overflowPunct/>
              <w:topLinePunct w:val="0"/>
              <w:autoSpaceDE/>
              <w:autoSpaceDN/>
              <w:bidi w:val="0"/>
              <w:adjustRightInd/>
              <w:snapToGrid/>
              <w:spacing w:before="164" w:beforeLines="50" w:beforeAutospacing="0" w:after="0" w:afterAutospacing="0" w:line="360" w:lineRule="auto"/>
              <w:ind w:left="0" w:right="0" w:firstLine="276" w:firstLineChars="131"/>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≤0.05</w:t>
            </w:r>
          </w:p>
        </w:tc>
      </w:tr>
    </w:tbl>
    <w:p w14:paraId="56E1C600">
      <w:pPr>
        <w:keepNext w:val="0"/>
        <w:keepLines w:val="0"/>
        <w:widowControl w:val="0"/>
        <w:suppressLineNumbers w:val="0"/>
        <w:spacing w:before="0" w:beforeAutospacing="0" w:after="0" w:afterAutospacing="0" w:line="360" w:lineRule="auto"/>
        <w:ind w:left="0" w:right="0" w:firstLine="422" w:firstLineChars="200"/>
        <w:jc w:val="both"/>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（3）供货期间，如有发布最新的行业标准或国家标准，招标人有权根据招标人运营项目实际情况及有关行业标准或国家标准对合同的主要技术指标进行变更调整，投标人应无条件接受。</w:t>
      </w:r>
    </w:p>
    <w:p w14:paraId="0D298848">
      <w:pPr>
        <w:keepNext w:val="0"/>
        <w:keepLines w:val="0"/>
        <w:widowControl w:val="0"/>
        <w:suppressLineNumbers w:val="0"/>
        <w:spacing w:before="0" w:beforeAutospacing="0" w:after="0" w:afterAutospacing="0" w:line="360" w:lineRule="auto"/>
        <w:ind w:left="0" w:right="0" w:firstLine="422" w:firstLineChars="200"/>
        <w:jc w:val="both"/>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（4）</w:t>
      </w:r>
      <w:r>
        <w:rPr>
          <w:rFonts w:hint="eastAsia" w:ascii="宋体" w:hAnsi="宋体" w:eastAsia="宋体" w:cs="宋体"/>
          <w:b/>
          <w:bCs/>
          <w:color w:val="auto"/>
          <w:szCs w:val="21"/>
          <w:highlight w:val="none"/>
        </w:rPr>
        <w:t>供货单位应根据各项目工艺以及性质，提供符合技术指标的药剂，保证供货的药剂用于MBR膜清洗达到良好的膜清洗效果</w:t>
      </w:r>
      <w:r>
        <w:rPr>
          <w:rFonts w:hint="eastAsia" w:ascii="宋体" w:hAnsi="宋体" w:eastAsia="宋体" w:cs="宋体"/>
          <w:b/>
          <w:bCs/>
          <w:color w:val="auto"/>
          <w:kern w:val="2"/>
          <w:sz w:val="21"/>
          <w:szCs w:val="21"/>
          <w:highlight w:val="none"/>
          <w:lang w:val="en-US" w:eastAsia="zh-CN" w:bidi="ar"/>
        </w:rPr>
        <w:t>。</w:t>
      </w:r>
    </w:p>
    <w:p w14:paraId="72A30504">
      <w:pPr>
        <w:keepNext w:val="0"/>
        <w:keepLines w:val="0"/>
        <w:widowControl w:val="0"/>
        <w:suppressLineNumbers w:val="0"/>
        <w:spacing w:before="0" w:beforeAutospacing="0" w:after="0" w:afterAutospacing="0" w:line="360" w:lineRule="auto"/>
        <w:ind w:left="0" w:right="0" w:firstLine="422" w:firstLineChars="200"/>
        <w:jc w:val="both"/>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★5、</w:t>
      </w:r>
      <w:r>
        <w:rPr>
          <w:rFonts w:hint="eastAsia" w:ascii="宋体" w:hAnsi="宋体" w:eastAsia="宋体" w:cs="宋体"/>
          <w:b/>
          <w:bCs/>
          <w:color w:val="auto"/>
          <w:sz w:val="21"/>
          <w:szCs w:val="21"/>
          <w:highlight w:val="none"/>
        </w:rPr>
        <w:t>投标人投标时须提供投标人</w:t>
      </w:r>
      <w:r>
        <w:rPr>
          <w:rFonts w:hint="eastAsia" w:ascii="宋体" w:hAnsi="宋体" w:eastAsia="宋体" w:cs="宋体"/>
          <w:b/>
          <w:bCs/>
          <w:color w:val="auto"/>
          <w:sz w:val="21"/>
          <w:szCs w:val="21"/>
          <w:highlight w:val="none"/>
          <w:lang w:val="en-US" w:eastAsia="zh-CN"/>
        </w:rPr>
        <w:t>或生产厂家</w:t>
      </w:r>
      <w:r>
        <w:rPr>
          <w:rFonts w:hint="eastAsia" w:ascii="宋体" w:hAnsi="宋体" w:eastAsia="宋体" w:cs="宋体"/>
          <w:b/>
          <w:bCs/>
          <w:color w:val="auto"/>
          <w:sz w:val="21"/>
          <w:szCs w:val="21"/>
          <w:highlight w:val="none"/>
        </w:rPr>
        <w:t>委托的反映报价产品性能参数的具有资质的第三方检测机构出具的</w:t>
      </w:r>
      <w:bookmarkStart w:id="410" w:name="OLE_LINK21"/>
      <w:r>
        <w:rPr>
          <w:rFonts w:hint="eastAsia" w:ascii="宋体" w:hAnsi="宋体" w:eastAsia="宋体" w:cs="宋体"/>
          <w:b/>
          <w:bCs/>
          <w:color w:val="auto"/>
          <w:sz w:val="21"/>
          <w:szCs w:val="21"/>
          <w:highlight w:val="none"/>
          <w:lang w:val="en-US" w:eastAsia="zh-CN"/>
        </w:rPr>
        <w:t>符合</w:t>
      </w:r>
      <w:r>
        <w:rPr>
          <w:rFonts w:hint="eastAsia" w:ascii="宋体" w:hAnsi="宋体" w:eastAsia="宋体" w:cs="宋体"/>
          <w:b/>
          <w:color w:val="auto"/>
          <w:sz w:val="21"/>
          <w:szCs w:val="21"/>
          <w:highlight w:val="none"/>
        </w:rPr>
        <w:t>表1《</w:t>
      </w:r>
      <w:r>
        <w:rPr>
          <w:rFonts w:hint="eastAsia" w:ascii="宋体" w:hAnsi="宋体" w:eastAsia="宋体" w:cs="宋体"/>
          <w:b/>
          <w:color w:val="auto"/>
          <w:sz w:val="21"/>
          <w:szCs w:val="21"/>
          <w:highlight w:val="none"/>
          <w:lang w:eastAsia="zh-CN"/>
        </w:rPr>
        <w:t>液体柠檬酸</w:t>
      </w:r>
      <w:r>
        <w:rPr>
          <w:rFonts w:hint="eastAsia" w:ascii="宋体" w:hAnsi="宋体" w:eastAsia="宋体" w:cs="宋体"/>
          <w:b/>
          <w:color w:val="auto"/>
          <w:sz w:val="21"/>
          <w:szCs w:val="21"/>
          <w:highlight w:val="none"/>
        </w:rPr>
        <w:t>主要技术指标》</w:t>
      </w:r>
      <w:r>
        <w:rPr>
          <w:rFonts w:hint="eastAsia" w:ascii="宋体" w:hAnsi="宋体" w:eastAsia="宋体" w:cs="宋体"/>
          <w:b/>
          <w:color w:val="auto"/>
          <w:sz w:val="21"/>
          <w:szCs w:val="21"/>
          <w:highlight w:val="none"/>
          <w:lang w:val="en-US" w:eastAsia="zh-CN"/>
        </w:rPr>
        <w:t>要求的</w:t>
      </w:r>
      <w:bookmarkEnd w:id="410"/>
      <w:r>
        <w:rPr>
          <w:rFonts w:hint="eastAsia" w:ascii="宋体" w:hAnsi="宋体" w:eastAsia="宋体" w:cs="宋体"/>
          <w:b/>
          <w:bCs/>
          <w:color w:val="auto"/>
          <w:sz w:val="21"/>
          <w:szCs w:val="21"/>
          <w:highlight w:val="none"/>
        </w:rPr>
        <w:t>检验报告，报告日期为202</w:t>
      </w: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年</w:t>
      </w:r>
      <w:r>
        <w:rPr>
          <w:rFonts w:hint="eastAsia" w:ascii="宋体" w:hAnsi="宋体" w:eastAsia="宋体" w:cs="宋体"/>
          <w:b/>
          <w:bCs/>
          <w:color w:val="auto"/>
          <w:sz w:val="21"/>
          <w:szCs w:val="21"/>
          <w:highlight w:val="none"/>
          <w:lang w:val="en-US" w:eastAsia="zh-CN"/>
        </w:rPr>
        <w:t>8</w:t>
      </w:r>
      <w:r>
        <w:rPr>
          <w:rFonts w:hint="eastAsia" w:ascii="宋体" w:hAnsi="宋体" w:eastAsia="宋体" w:cs="宋体"/>
          <w:b/>
          <w:bCs/>
          <w:color w:val="auto"/>
          <w:sz w:val="21"/>
          <w:szCs w:val="21"/>
          <w:highlight w:val="none"/>
        </w:rPr>
        <w:t>月1日以后，</w:t>
      </w:r>
      <w:bookmarkStart w:id="411" w:name="OLE_LINK26"/>
      <w:r>
        <w:rPr>
          <w:rFonts w:hint="eastAsia" w:ascii="宋体" w:hAnsi="宋体" w:eastAsia="宋体" w:cs="宋体"/>
          <w:b/>
          <w:bCs/>
          <w:color w:val="auto"/>
          <w:sz w:val="21"/>
          <w:szCs w:val="21"/>
          <w:highlight w:val="none"/>
        </w:rPr>
        <w:t>检验报告中检</w:t>
      </w:r>
      <w:r>
        <w:rPr>
          <w:rFonts w:hint="eastAsia" w:ascii="宋体" w:hAnsi="宋体" w:eastAsia="宋体" w:cs="宋体"/>
          <w:b/>
          <w:bCs/>
          <w:color w:val="auto"/>
          <w:sz w:val="21"/>
          <w:szCs w:val="21"/>
          <w:highlight w:val="none"/>
          <w:lang w:val="en-US" w:eastAsia="zh-CN"/>
        </w:rPr>
        <w:t>验</w:t>
      </w:r>
      <w:r>
        <w:rPr>
          <w:rFonts w:hint="eastAsia" w:ascii="宋体" w:hAnsi="宋体" w:eastAsia="宋体" w:cs="宋体"/>
          <w:b/>
          <w:bCs/>
          <w:color w:val="auto"/>
          <w:sz w:val="21"/>
          <w:szCs w:val="21"/>
          <w:highlight w:val="none"/>
        </w:rPr>
        <w:t>指标</w:t>
      </w:r>
      <w:r>
        <w:rPr>
          <w:rFonts w:hint="eastAsia" w:ascii="宋体" w:hAnsi="宋体" w:eastAsia="宋体" w:cs="宋体"/>
          <w:b/>
          <w:bCs/>
          <w:color w:val="auto"/>
          <w:sz w:val="21"/>
          <w:szCs w:val="21"/>
          <w:highlight w:val="none"/>
          <w:lang w:val="en-US" w:eastAsia="zh-CN"/>
        </w:rPr>
        <w:t>为</w:t>
      </w:r>
      <w:bookmarkEnd w:id="411"/>
      <w:r>
        <w:rPr>
          <w:rFonts w:hint="eastAsia" w:ascii="宋体" w:hAnsi="宋体" w:eastAsia="宋体" w:cs="宋体"/>
          <w:b/>
          <w:bCs/>
          <w:color w:val="auto"/>
          <w:sz w:val="21"/>
          <w:szCs w:val="21"/>
          <w:highlight w:val="none"/>
        </w:rPr>
        <w:t>表1《</w:t>
      </w:r>
      <w:bookmarkStart w:id="412" w:name="OLE_LINK5"/>
      <w:r>
        <w:rPr>
          <w:rFonts w:hint="eastAsia" w:ascii="宋体" w:hAnsi="宋体" w:eastAsia="宋体" w:cs="宋体"/>
          <w:b/>
          <w:bCs/>
          <w:color w:val="auto"/>
          <w:sz w:val="21"/>
          <w:szCs w:val="21"/>
          <w:highlight w:val="none"/>
          <w:lang w:eastAsia="zh-CN"/>
        </w:rPr>
        <w:t>液体柠檬酸</w:t>
      </w:r>
      <w:r>
        <w:rPr>
          <w:rFonts w:hint="eastAsia" w:ascii="宋体" w:hAnsi="宋体" w:eastAsia="宋体" w:cs="宋体"/>
          <w:b/>
          <w:bCs/>
          <w:color w:val="auto"/>
          <w:sz w:val="21"/>
          <w:szCs w:val="21"/>
          <w:highlight w:val="none"/>
        </w:rPr>
        <w:t>主要技术指标</w:t>
      </w:r>
      <w:bookmarkEnd w:id="412"/>
      <w:r>
        <w:rPr>
          <w:rFonts w:hint="eastAsia" w:ascii="宋体" w:hAnsi="宋体" w:eastAsia="宋体" w:cs="宋体"/>
          <w:b/>
          <w:bCs/>
          <w:color w:val="auto"/>
          <w:sz w:val="21"/>
          <w:szCs w:val="21"/>
          <w:highlight w:val="none"/>
        </w:rPr>
        <w:t>》中各指标</w:t>
      </w:r>
      <w:r>
        <w:rPr>
          <w:rFonts w:hint="eastAsia" w:ascii="宋体" w:hAnsi="宋体" w:eastAsia="宋体" w:cs="宋体"/>
          <w:b/>
          <w:bCs/>
          <w:color w:val="auto"/>
          <w:sz w:val="21"/>
          <w:szCs w:val="21"/>
          <w:highlight w:val="none"/>
          <w:lang w:val="en-US" w:eastAsia="zh-CN"/>
        </w:rPr>
        <w:t>项目</w:t>
      </w:r>
      <w:r>
        <w:rPr>
          <w:rFonts w:hint="eastAsia" w:ascii="宋体" w:hAnsi="宋体" w:eastAsia="宋体" w:cs="宋体"/>
          <w:b/>
          <w:bCs/>
          <w:color w:val="auto"/>
          <w:sz w:val="21"/>
          <w:szCs w:val="21"/>
          <w:highlight w:val="none"/>
        </w:rPr>
        <w:t>，检验报告使用的检测方法需符合《柠檬酸》（GB/T 8269-2006）</w:t>
      </w:r>
      <w:r>
        <w:rPr>
          <w:rFonts w:hint="eastAsia" w:ascii="宋体" w:hAnsi="宋体" w:eastAsia="宋体" w:cs="宋体"/>
          <w:b/>
          <w:bCs/>
          <w:color w:val="auto"/>
          <w:sz w:val="21"/>
          <w:szCs w:val="21"/>
          <w:highlight w:val="none"/>
          <w:lang w:val="en-US" w:eastAsia="zh-CN"/>
        </w:rPr>
        <w:t>或《</w:t>
      </w:r>
      <w:r>
        <w:rPr>
          <w:rFonts w:hint="eastAsia" w:ascii="宋体" w:hAnsi="宋体" w:eastAsia="宋体" w:cs="宋体"/>
          <w:b/>
          <w:bCs/>
          <w:color w:val="auto"/>
          <w:szCs w:val="21"/>
          <w:highlight w:val="none"/>
        </w:rPr>
        <w:t>化学试剂一水合柠檬酸（柠檬酸）</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szCs w:val="21"/>
          <w:highlight w:val="none"/>
        </w:rPr>
        <w:t xml:space="preserve">GB∕T 9855-2008 </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kern w:val="2"/>
          <w:sz w:val="21"/>
          <w:szCs w:val="21"/>
          <w:highlight w:val="none"/>
          <w:lang w:val="en-US" w:eastAsia="zh-CN" w:bidi="ar"/>
        </w:rPr>
        <w:t>。</w:t>
      </w:r>
    </w:p>
    <w:p w14:paraId="4880E62E">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 w:val="0"/>
          <w:bCs w:val="0"/>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6、</w:t>
      </w:r>
      <w:r>
        <w:rPr>
          <w:rFonts w:hint="eastAsia" w:ascii="宋体" w:hAnsi="宋体" w:eastAsia="宋体" w:cs="宋体"/>
          <w:b w:val="0"/>
          <w:bCs w:val="0"/>
          <w:color w:val="auto"/>
          <w:sz w:val="21"/>
          <w:szCs w:val="21"/>
          <w:highlight w:val="none"/>
        </w:rPr>
        <w:t>投标人投标时提供的第三方检测机构出具的检验报告需体现委托方</w:t>
      </w:r>
      <w:r>
        <w:rPr>
          <w:rFonts w:hint="eastAsia" w:ascii="宋体" w:hAnsi="宋体" w:eastAsia="宋体" w:cs="宋体"/>
          <w:b w:val="0"/>
          <w:bCs w:val="0"/>
          <w:color w:val="auto"/>
          <w:sz w:val="21"/>
          <w:szCs w:val="21"/>
          <w:highlight w:val="none"/>
          <w:lang w:val="en-US" w:eastAsia="zh-CN"/>
        </w:rPr>
        <w:t>或</w:t>
      </w:r>
      <w:r>
        <w:rPr>
          <w:rFonts w:hint="eastAsia" w:ascii="宋体" w:hAnsi="宋体" w:eastAsia="宋体" w:cs="宋体"/>
          <w:b w:val="0"/>
          <w:bCs w:val="0"/>
          <w:color w:val="auto"/>
          <w:sz w:val="21"/>
          <w:szCs w:val="21"/>
          <w:highlight w:val="none"/>
        </w:rPr>
        <w:t>生产厂家、送检样品的产品名称</w:t>
      </w:r>
      <w:r>
        <w:rPr>
          <w:rFonts w:hint="eastAsia" w:ascii="宋体" w:hAnsi="宋体" w:eastAsia="宋体" w:cs="宋体"/>
          <w:color w:val="auto"/>
          <w:kern w:val="2"/>
          <w:sz w:val="21"/>
          <w:szCs w:val="21"/>
          <w:highlight w:val="none"/>
          <w:lang w:val="en-US" w:eastAsia="zh-CN" w:bidi="ar"/>
        </w:rPr>
        <w:t>。</w:t>
      </w:r>
    </w:p>
    <w:p w14:paraId="27B40154">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763AF0CD">
      <w:pPr>
        <w:keepNext w:val="0"/>
        <w:keepLines w:val="0"/>
        <w:widowControl w:val="0"/>
        <w:suppressLineNumbers w:val="0"/>
        <w:spacing w:before="0" w:beforeAutospacing="0" w:after="0" w:afterAutospacing="0" w:line="360" w:lineRule="auto"/>
        <w:ind w:left="0" w:right="0"/>
        <w:jc w:val="both"/>
        <w:outlineLvl w:val="1"/>
        <w:rPr>
          <w:rFonts w:hint="eastAsia" w:ascii="宋体" w:hAnsi="宋体" w:eastAsia="宋体" w:cs="宋体"/>
          <w:b/>
          <w:bCs/>
          <w:color w:val="auto"/>
          <w:kern w:val="2"/>
          <w:sz w:val="21"/>
          <w:szCs w:val="21"/>
          <w:highlight w:val="none"/>
        </w:rPr>
      </w:pPr>
      <w:bookmarkStart w:id="413" w:name="_Toc501"/>
      <w:r>
        <w:rPr>
          <w:rFonts w:hint="eastAsia" w:ascii="宋体" w:hAnsi="宋体" w:eastAsia="宋体" w:cs="宋体"/>
          <w:b/>
          <w:bCs/>
          <w:color w:val="auto"/>
          <w:kern w:val="2"/>
          <w:sz w:val="21"/>
          <w:szCs w:val="21"/>
          <w:highlight w:val="none"/>
          <w:lang w:val="en-US" w:eastAsia="zh-CN" w:bidi="ar"/>
        </w:rPr>
        <w:t>三、交货要求</w:t>
      </w:r>
      <w:bookmarkEnd w:id="413"/>
    </w:p>
    <w:p w14:paraId="5D8810D7">
      <w:pPr>
        <w:spacing w:line="360" w:lineRule="auto"/>
        <w:ind w:firstLine="420" w:firstLineChars="200"/>
        <w:jc w:val="both"/>
        <w:outlineLvl w:val="9"/>
        <w:rPr>
          <w:rFonts w:hint="eastAsia" w:ascii="宋体" w:hAnsi="宋体" w:eastAsia="宋体" w:cs="宋体"/>
          <w:color w:val="auto"/>
          <w:sz w:val="21"/>
          <w:szCs w:val="21"/>
          <w:highlight w:val="none"/>
        </w:rPr>
      </w:pPr>
      <w:bookmarkStart w:id="414" w:name="_Toc24196"/>
      <w:bookmarkStart w:id="415" w:name="_Toc21273"/>
      <w:r>
        <w:rPr>
          <w:rFonts w:hint="eastAsia" w:ascii="宋体" w:hAnsi="宋体" w:eastAsia="宋体" w:cs="宋体"/>
          <w:color w:val="auto"/>
          <w:sz w:val="21"/>
          <w:szCs w:val="21"/>
          <w:highlight w:val="none"/>
        </w:rPr>
        <w:t>1、交货地点：招标人</w:t>
      </w:r>
      <w:r>
        <w:rPr>
          <w:rFonts w:hint="eastAsia" w:ascii="宋体" w:hAnsi="宋体" w:eastAsia="宋体" w:cs="宋体"/>
          <w:color w:val="auto"/>
          <w:kern w:val="2"/>
          <w:sz w:val="21"/>
          <w:szCs w:val="21"/>
          <w:highlight w:val="none"/>
        </w:rPr>
        <w:t>在东莞市范围内的</w:t>
      </w:r>
      <w:r>
        <w:rPr>
          <w:rFonts w:hint="eastAsia" w:ascii="宋体" w:hAnsi="宋体" w:eastAsia="宋体" w:cs="宋体"/>
          <w:color w:val="auto"/>
          <w:sz w:val="21"/>
          <w:szCs w:val="21"/>
          <w:highlight w:val="none"/>
        </w:rPr>
        <w:t>运营项目。</w:t>
      </w:r>
      <w:bookmarkEnd w:id="414"/>
      <w:bookmarkEnd w:id="415"/>
    </w:p>
    <w:p w14:paraId="383F62F7">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2、交货时间：日常供货（非加急供货</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为接到供货通知24小时内，加急供货为接到供货通知4小时内，具体交货时间以招标人运营项目供货通知为准。招标人无需因加急供货而额外支付任何费用。</w:t>
      </w:r>
    </w:p>
    <w:p w14:paraId="7A450163">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投标人自行负责将生产药剂运送至招标人运营项目指定位置（生产药剂储存罐），未经招标人书面同意，投标人不得私自将本合同项下的货物运输义务委托第三方个人或企业。投标人承担相应的运输、装卸等费用，运输人员应配备足够防护器具。如在运输及装卸过程中，生产药剂发生泄漏，应由投标人负责清理收集，避免造成人员伤害或环境污染。</w:t>
      </w:r>
    </w:p>
    <w:p w14:paraId="02AEA376">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4、每次送货，投标人须提供电子地磅的称重单（含载货时的称重单和卸货后的称重单），相关费用由投标人承担。实际供货数量以招标人运营项目和投标人双方确认的电子地磅的称重单为准。</w:t>
      </w:r>
      <w:r>
        <w:rPr>
          <w:rFonts w:hint="eastAsia" w:ascii="宋体" w:hAnsi="宋体" w:eastAsia="宋体" w:cs="宋体"/>
          <w:color w:val="auto"/>
          <w:kern w:val="2"/>
          <w:sz w:val="21"/>
          <w:szCs w:val="21"/>
          <w:highlight w:val="none"/>
        </w:rPr>
        <w:t>招标人运营项目</w:t>
      </w:r>
      <w:r>
        <w:rPr>
          <w:rFonts w:hint="eastAsia" w:ascii="宋体" w:hAnsi="宋体" w:eastAsia="宋体" w:cs="宋体"/>
          <w:color w:val="auto"/>
          <w:kern w:val="2"/>
          <w:sz w:val="21"/>
          <w:szCs w:val="21"/>
          <w:highlight w:val="none"/>
          <w:lang w:val="en-US" w:eastAsia="zh-CN"/>
        </w:rPr>
        <w:t>有电子地磅的，原则上在招标人运营项目过磅；招标人运营项目无电子地磅或电子地磅因检修等原因不可用的，在</w:t>
      </w:r>
      <w:r>
        <w:rPr>
          <w:rFonts w:hint="eastAsia" w:ascii="宋体" w:hAnsi="宋体" w:eastAsia="宋体" w:cs="宋体"/>
          <w:color w:val="auto"/>
          <w:kern w:val="2"/>
          <w:sz w:val="21"/>
          <w:szCs w:val="21"/>
          <w:highlight w:val="none"/>
        </w:rPr>
        <w:t>交货地点附近的</w:t>
      </w:r>
      <w:r>
        <w:rPr>
          <w:rFonts w:hint="eastAsia" w:ascii="宋体" w:hAnsi="宋体" w:eastAsia="宋体" w:cs="宋体"/>
          <w:color w:val="auto"/>
          <w:kern w:val="2"/>
          <w:sz w:val="21"/>
          <w:szCs w:val="21"/>
          <w:highlight w:val="none"/>
          <w:lang w:val="en-US" w:eastAsia="zh-CN"/>
        </w:rPr>
        <w:t>电子地磅过磅。</w:t>
      </w:r>
      <w:r>
        <w:rPr>
          <w:rFonts w:hint="eastAsia" w:ascii="宋体" w:hAnsi="宋体" w:eastAsia="宋体" w:cs="宋体"/>
          <w:color w:val="auto"/>
          <w:szCs w:val="21"/>
          <w:highlight w:val="none"/>
        </w:rPr>
        <w:t>招标人电子地磅的称重服务不含税单价为1.51元/吨，称重服务相关条款由招标人或招标人权属子公司与中标人签订称重服务合同另行约定。</w:t>
      </w:r>
    </w:p>
    <w:p w14:paraId="1C020C13">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5、</w:t>
      </w:r>
      <w:r>
        <w:rPr>
          <w:rFonts w:hint="eastAsia" w:ascii="宋体" w:hAnsi="宋体" w:eastAsia="宋体" w:cs="宋体"/>
          <w:color w:val="auto"/>
          <w:sz w:val="21"/>
          <w:szCs w:val="21"/>
          <w:highlight w:val="none"/>
        </w:rPr>
        <w:t>每次送货，</w:t>
      </w:r>
      <w:r>
        <w:rPr>
          <w:rFonts w:hint="eastAsia" w:ascii="宋体" w:hAnsi="宋体" w:eastAsia="宋体" w:cs="宋体"/>
          <w:color w:val="auto"/>
          <w:kern w:val="2"/>
          <w:sz w:val="21"/>
          <w:szCs w:val="21"/>
          <w:highlight w:val="none"/>
        </w:rPr>
        <w:t>投标人须随货提供生产厂家出具的具有</w:t>
      </w:r>
      <w:r>
        <w:rPr>
          <w:rFonts w:hint="eastAsia" w:ascii="宋体" w:hAnsi="宋体" w:eastAsia="宋体" w:cs="宋体"/>
          <w:b/>
          <w:bCs/>
          <w:color w:val="auto"/>
          <w:kern w:val="2"/>
          <w:sz w:val="21"/>
          <w:szCs w:val="21"/>
          <w:highlight w:val="none"/>
        </w:rPr>
        <w:t>生产厂家、出厂批号、</w:t>
      </w:r>
      <w:r>
        <w:rPr>
          <w:rFonts w:hint="eastAsia" w:ascii="宋体" w:hAnsi="宋体" w:eastAsia="宋体" w:cs="宋体"/>
          <w:b/>
          <w:bCs/>
          <w:color w:val="auto"/>
          <w:szCs w:val="21"/>
          <w:highlight w:val="none"/>
        </w:rPr>
        <w:t>质量分数</w:t>
      </w:r>
      <w:r>
        <w:rPr>
          <w:rFonts w:hint="eastAsia" w:ascii="宋体" w:hAnsi="宋体" w:eastAsia="宋体" w:cs="宋体"/>
          <w:b/>
          <w:bCs/>
          <w:color w:val="auto"/>
          <w:kern w:val="2"/>
          <w:sz w:val="21"/>
          <w:szCs w:val="21"/>
          <w:highlight w:val="none"/>
        </w:rPr>
        <w:t>等主要信息</w:t>
      </w:r>
      <w:r>
        <w:rPr>
          <w:rFonts w:hint="eastAsia" w:ascii="宋体" w:hAnsi="宋体" w:eastAsia="宋体" w:cs="宋体"/>
          <w:color w:val="auto"/>
          <w:kern w:val="2"/>
          <w:sz w:val="21"/>
          <w:szCs w:val="21"/>
          <w:highlight w:val="none"/>
        </w:rPr>
        <w:t>的产品质量检验报告（如出厂检验报告、质量检验报告等）、供货单据等资料</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如</w:t>
      </w:r>
      <w:r>
        <w:rPr>
          <w:rFonts w:hint="eastAsia" w:ascii="宋体" w:hAnsi="宋体" w:eastAsia="宋体" w:cs="宋体"/>
          <w:color w:val="auto"/>
          <w:kern w:val="2"/>
          <w:sz w:val="21"/>
          <w:szCs w:val="21"/>
          <w:highlight w:val="none"/>
        </w:rPr>
        <w:t>生产厂家出具的产品质量检验报告（如出厂检验报告、质量检验报告等）</w:t>
      </w:r>
      <w:r>
        <w:rPr>
          <w:rFonts w:hint="eastAsia" w:ascii="宋体" w:hAnsi="宋体" w:eastAsia="宋体" w:cs="宋体"/>
          <w:color w:val="auto"/>
          <w:kern w:val="2"/>
          <w:sz w:val="21"/>
          <w:szCs w:val="21"/>
          <w:highlight w:val="none"/>
          <w:lang w:val="en-US" w:eastAsia="zh-CN"/>
        </w:rPr>
        <w:t>无法体现是否符合</w:t>
      </w:r>
      <w:r>
        <w:rPr>
          <w:rFonts w:hint="eastAsia" w:ascii="宋体" w:hAnsi="宋体" w:eastAsia="宋体" w:cs="宋体"/>
          <w:color w:val="auto"/>
          <w:szCs w:val="21"/>
          <w:highlight w:val="none"/>
        </w:rPr>
        <w:t>表1《</w:t>
      </w:r>
      <w:r>
        <w:rPr>
          <w:rFonts w:hint="eastAsia" w:ascii="宋体" w:hAnsi="宋体" w:eastAsia="宋体" w:cs="宋体"/>
          <w:color w:val="auto"/>
          <w:szCs w:val="21"/>
          <w:highlight w:val="none"/>
          <w:lang w:eastAsia="zh-CN"/>
        </w:rPr>
        <w:t>液体柠檬酸</w:t>
      </w:r>
      <w:r>
        <w:rPr>
          <w:rFonts w:hint="eastAsia" w:ascii="宋体" w:hAnsi="宋体" w:eastAsia="宋体" w:cs="宋体"/>
          <w:color w:val="auto"/>
          <w:szCs w:val="21"/>
          <w:highlight w:val="none"/>
        </w:rPr>
        <w:t>主要技术指标》要求</w:t>
      </w:r>
      <w:r>
        <w:rPr>
          <w:rFonts w:hint="eastAsia" w:ascii="宋体" w:hAnsi="宋体" w:eastAsia="宋体" w:cs="宋体"/>
          <w:color w:val="auto"/>
          <w:szCs w:val="21"/>
          <w:highlight w:val="none"/>
          <w:lang w:eastAsia="zh-CN"/>
        </w:rPr>
        <w:t>，</w:t>
      </w:r>
      <w:r>
        <w:rPr>
          <w:rFonts w:hint="eastAsia" w:ascii="宋体" w:hAnsi="宋体" w:eastAsia="宋体" w:cs="宋体"/>
          <w:color w:val="auto"/>
          <w:sz w:val="21"/>
          <w:szCs w:val="21"/>
          <w:highlight w:val="none"/>
          <w:lang w:val="en-US" w:eastAsia="zh-CN"/>
        </w:rPr>
        <w:t>投标人需另行提供投标人出具的所供货物的</w:t>
      </w:r>
      <w:r>
        <w:rPr>
          <w:rFonts w:hint="eastAsia" w:ascii="宋体" w:hAnsi="宋体" w:eastAsia="宋体" w:cs="宋体"/>
          <w:color w:val="auto"/>
          <w:szCs w:val="21"/>
          <w:highlight w:val="none"/>
        </w:rPr>
        <w:t>符合表1《</w:t>
      </w:r>
      <w:r>
        <w:rPr>
          <w:rFonts w:hint="eastAsia" w:ascii="宋体" w:hAnsi="宋体" w:eastAsia="宋体" w:cs="宋体"/>
          <w:color w:val="auto"/>
          <w:szCs w:val="21"/>
          <w:highlight w:val="none"/>
          <w:lang w:eastAsia="zh-CN"/>
        </w:rPr>
        <w:t>液体柠檬酸</w:t>
      </w:r>
      <w:r>
        <w:rPr>
          <w:rFonts w:hint="eastAsia" w:ascii="宋体" w:hAnsi="宋体" w:eastAsia="宋体" w:cs="宋体"/>
          <w:color w:val="auto"/>
          <w:szCs w:val="21"/>
          <w:highlight w:val="none"/>
        </w:rPr>
        <w:t>主要技术指标》要求</w:t>
      </w:r>
      <w:r>
        <w:rPr>
          <w:rFonts w:hint="eastAsia" w:ascii="宋体" w:hAnsi="宋体" w:eastAsia="宋体" w:cs="宋体"/>
          <w:color w:val="auto"/>
          <w:szCs w:val="21"/>
          <w:highlight w:val="none"/>
          <w:lang w:val="en-US" w:eastAsia="zh-CN"/>
        </w:rPr>
        <w:t>的</w:t>
      </w:r>
      <w:r>
        <w:rPr>
          <w:rFonts w:hint="eastAsia" w:ascii="宋体" w:hAnsi="宋体" w:eastAsia="宋体" w:cs="宋体"/>
          <w:color w:val="auto"/>
          <w:kern w:val="2"/>
          <w:sz w:val="21"/>
          <w:szCs w:val="21"/>
          <w:highlight w:val="none"/>
        </w:rPr>
        <w:t>产品质量检验报告</w:t>
      </w:r>
      <w:r>
        <w:rPr>
          <w:rFonts w:hint="eastAsia" w:ascii="宋体" w:hAnsi="宋体" w:eastAsia="宋体" w:cs="宋体"/>
          <w:color w:val="auto"/>
          <w:szCs w:val="21"/>
          <w:highlight w:val="none"/>
          <w:lang w:eastAsia="zh-CN"/>
        </w:rPr>
        <w:t>，</w:t>
      </w:r>
      <w:r>
        <w:rPr>
          <w:rFonts w:hint="eastAsia" w:ascii="宋体" w:hAnsi="宋体" w:eastAsia="宋体" w:cs="宋体"/>
          <w:color w:val="auto"/>
          <w:sz w:val="21"/>
          <w:szCs w:val="21"/>
          <w:highlight w:val="none"/>
        </w:rPr>
        <w:t>投标人提供的检验报告只作为招标人</w:t>
      </w:r>
      <w:r>
        <w:rPr>
          <w:rFonts w:hint="eastAsia" w:ascii="宋体" w:hAnsi="宋体" w:eastAsia="宋体" w:cs="宋体"/>
          <w:color w:val="auto"/>
          <w:kern w:val="2"/>
          <w:sz w:val="21"/>
          <w:szCs w:val="21"/>
          <w:highlight w:val="none"/>
        </w:rPr>
        <w:t>运营项目</w:t>
      </w:r>
      <w:r>
        <w:rPr>
          <w:rFonts w:hint="eastAsia" w:ascii="宋体" w:hAnsi="宋体" w:eastAsia="宋体" w:cs="宋体"/>
          <w:color w:val="auto"/>
          <w:sz w:val="21"/>
          <w:szCs w:val="21"/>
          <w:highlight w:val="none"/>
        </w:rPr>
        <w:t>参考。</w:t>
      </w:r>
    </w:p>
    <w:p w14:paraId="57AD4A8C">
      <w:pPr>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6、供货期间，在收到招标人</w:t>
      </w:r>
      <w:r>
        <w:rPr>
          <w:rFonts w:hint="eastAsia" w:ascii="宋体" w:hAnsi="宋体" w:eastAsia="宋体" w:cs="宋体"/>
          <w:color w:val="auto"/>
          <w:kern w:val="2"/>
          <w:sz w:val="21"/>
          <w:szCs w:val="21"/>
          <w:highlight w:val="none"/>
        </w:rPr>
        <w:t>运营项目供货</w:t>
      </w:r>
      <w:r>
        <w:rPr>
          <w:rFonts w:hint="eastAsia" w:ascii="宋体" w:hAnsi="宋体" w:eastAsia="宋体" w:cs="宋体"/>
          <w:color w:val="auto"/>
          <w:sz w:val="21"/>
          <w:szCs w:val="21"/>
          <w:highlight w:val="none"/>
        </w:rPr>
        <w:t>通知前，投标人无需为合同履行做准备工作。招标人运营项目相关信息见附件，仅供投标人报价参考。</w:t>
      </w:r>
    </w:p>
    <w:p w14:paraId="5AEEBFD5">
      <w:pPr>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7、关于生产药剂的贮存装置、</w:t>
      </w:r>
      <w:bookmarkStart w:id="416" w:name="_Hlk111479904"/>
      <w:r>
        <w:rPr>
          <w:rFonts w:hint="eastAsia" w:ascii="宋体" w:hAnsi="宋体" w:eastAsia="宋体" w:cs="宋体"/>
          <w:color w:val="auto"/>
          <w:sz w:val="21"/>
          <w:szCs w:val="21"/>
          <w:highlight w:val="none"/>
        </w:rPr>
        <w:t>贮存</w:t>
      </w:r>
      <w:bookmarkEnd w:id="416"/>
      <w:r>
        <w:rPr>
          <w:rFonts w:hint="eastAsia" w:ascii="宋体" w:hAnsi="宋体" w:eastAsia="宋体" w:cs="宋体"/>
          <w:color w:val="auto"/>
          <w:sz w:val="21"/>
          <w:szCs w:val="21"/>
          <w:highlight w:val="none"/>
        </w:rPr>
        <w:t>条件等要求，投标人应</w:t>
      </w:r>
      <w:r>
        <w:rPr>
          <w:rFonts w:hint="eastAsia" w:ascii="宋体" w:hAnsi="宋体" w:eastAsia="宋体" w:cs="宋体"/>
          <w:color w:val="auto"/>
          <w:kern w:val="2"/>
          <w:sz w:val="21"/>
          <w:szCs w:val="21"/>
          <w:highlight w:val="none"/>
        </w:rPr>
        <w:t>以书面形式</w:t>
      </w:r>
      <w:r>
        <w:rPr>
          <w:rFonts w:hint="eastAsia" w:ascii="宋体" w:hAnsi="宋体" w:eastAsia="宋体" w:cs="宋体"/>
          <w:color w:val="auto"/>
          <w:sz w:val="21"/>
          <w:szCs w:val="21"/>
          <w:highlight w:val="none"/>
        </w:rPr>
        <w:t>详细告知招标人</w:t>
      </w:r>
      <w:r>
        <w:rPr>
          <w:rFonts w:hint="eastAsia" w:ascii="宋体" w:hAnsi="宋体" w:eastAsia="宋体" w:cs="宋体"/>
          <w:color w:val="auto"/>
          <w:kern w:val="2"/>
          <w:sz w:val="21"/>
          <w:szCs w:val="21"/>
          <w:highlight w:val="none"/>
        </w:rPr>
        <w:t>运营项目</w:t>
      </w:r>
      <w:r>
        <w:rPr>
          <w:rFonts w:hint="eastAsia" w:ascii="宋体" w:hAnsi="宋体" w:eastAsia="宋体" w:cs="宋体"/>
          <w:color w:val="auto"/>
          <w:sz w:val="21"/>
          <w:szCs w:val="21"/>
          <w:highlight w:val="none"/>
        </w:rPr>
        <w:t>。</w:t>
      </w:r>
    </w:p>
    <w:p w14:paraId="76915B28">
      <w:pPr>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8、</w:t>
      </w:r>
      <w:r>
        <w:rPr>
          <w:rFonts w:hint="eastAsia" w:ascii="宋体" w:hAnsi="宋体" w:eastAsia="宋体" w:cs="宋体"/>
          <w:color w:val="auto"/>
          <w:szCs w:val="21"/>
          <w:highlight w:val="none"/>
        </w:rPr>
        <w:t>生产药剂的运送及输送方式应符合国家或行业规范标准。液体药剂采用聚乙烯塑料桶或专用耐酸碱耐腐蚀贮罐等密闭容器装运,运输过程防止药剂泄漏并避免有毒物品的污染，且供货单位或其委托的运输单位应当具备国家及行业规定的运输资质</w:t>
      </w:r>
      <w:r>
        <w:rPr>
          <w:rFonts w:hint="eastAsia" w:ascii="宋体" w:hAnsi="宋体" w:eastAsia="宋体" w:cs="宋体"/>
          <w:color w:val="auto"/>
          <w:kern w:val="2"/>
          <w:sz w:val="21"/>
          <w:szCs w:val="21"/>
          <w:highlight w:val="none"/>
          <w:lang w:val="en-US" w:eastAsia="zh-CN" w:bidi="ar"/>
        </w:rPr>
        <w:t>。</w:t>
      </w:r>
    </w:p>
    <w:p w14:paraId="487866CD">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12252CBB">
      <w:pPr>
        <w:keepNext w:val="0"/>
        <w:keepLines w:val="0"/>
        <w:widowControl w:val="0"/>
        <w:suppressLineNumbers w:val="0"/>
        <w:spacing w:before="0" w:beforeAutospacing="0" w:after="0" w:afterAutospacing="0" w:line="360" w:lineRule="auto"/>
        <w:ind w:left="0" w:right="0"/>
        <w:jc w:val="both"/>
        <w:outlineLvl w:val="1"/>
        <w:rPr>
          <w:rFonts w:hint="eastAsia" w:ascii="宋体" w:hAnsi="宋体" w:eastAsia="宋体" w:cs="宋体"/>
          <w:b/>
          <w:bCs/>
          <w:color w:val="auto"/>
          <w:kern w:val="2"/>
          <w:sz w:val="21"/>
          <w:szCs w:val="21"/>
          <w:highlight w:val="none"/>
        </w:rPr>
      </w:pPr>
      <w:bookmarkStart w:id="417" w:name="_Toc28112"/>
      <w:r>
        <w:rPr>
          <w:rFonts w:hint="eastAsia" w:ascii="宋体" w:hAnsi="宋体" w:eastAsia="宋体" w:cs="宋体"/>
          <w:b/>
          <w:bCs/>
          <w:color w:val="auto"/>
          <w:kern w:val="2"/>
          <w:sz w:val="21"/>
          <w:szCs w:val="21"/>
          <w:highlight w:val="none"/>
          <w:lang w:val="en-US" w:eastAsia="zh-CN" w:bidi="ar"/>
        </w:rPr>
        <w:t>四、验收要求</w:t>
      </w:r>
      <w:bookmarkEnd w:id="417"/>
    </w:p>
    <w:p w14:paraId="27892C42">
      <w:pPr>
        <w:autoSpaceDE/>
        <w:autoSpaceDN/>
        <w:adjustRightInd/>
        <w:spacing w:line="360" w:lineRule="auto"/>
        <w:ind w:firstLine="420" w:firstLineChars="200"/>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1、验收分为货到交货地点的初步验收，和货物检验合格后的最终验收。</w:t>
      </w:r>
    </w:p>
    <w:p w14:paraId="3554635B">
      <w:pPr>
        <w:autoSpaceDE/>
        <w:autoSpaceDN/>
        <w:adjustRightInd/>
        <w:spacing w:line="360" w:lineRule="auto"/>
        <w:ind w:firstLine="422" w:firstLineChars="200"/>
        <w:jc w:val="both"/>
        <w:outlineLvl w:val="9"/>
        <w:rPr>
          <w:rFonts w:hint="eastAsia" w:ascii="宋体" w:hAnsi="宋体" w:eastAsia="宋体" w:cs="宋体"/>
          <w:b/>
          <w:bCs/>
          <w:color w:val="auto"/>
          <w:kern w:val="2"/>
          <w:sz w:val="21"/>
          <w:szCs w:val="21"/>
          <w:highlight w:val="none"/>
        </w:rPr>
      </w:pPr>
      <w:bookmarkStart w:id="418" w:name="_Toc23730"/>
      <w:bookmarkStart w:id="419" w:name="_Toc26056"/>
      <w:r>
        <w:rPr>
          <w:rFonts w:hint="eastAsia" w:ascii="宋体" w:hAnsi="宋体" w:eastAsia="宋体" w:cs="宋体"/>
          <w:b/>
          <w:bCs/>
          <w:color w:val="auto"/>
          <w:kern w:val="2"/>
          <w:sz w:val="21"/>
          <w:szCs w:val="21"/>
          <w:highlight w:val="none"/>
        </w:rPr>
        <w:t>（1）初步验收：</w:t>
      </w:r>
      <w:bookmarkEnd w:id="418"/>
      <w:bookmarkEnd w:id="419"/>
    </w:p>
    <w:p w14:paraId="37883425">
      <w:pPr>
        <w:autoSpaceDE/>
        <w:autoSpaceDN/>
        <w:adjustRightInd/>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1）货物运抵交货地点，招标人运营项目、投标人共同验货。招标人运营项目按照本项目合同及招标文件，对货物的数量、品种、随车产品质量检验报告、供货单据等进行核对。</w:t>
      </w:r>
    </w:p>
    <w:p w14:paraId="33666204">
      <w:pPr>
        <w:autoSpaceDE/>
        <w:autoSpaceDN/>
        <w:adjustRightInd/>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2）初步验收合格后，招标人运营项目、投标人双方进行相关签收手续。</w:t>
      </w:r>
    </w:p>
    <w:p w14:paraId="70ECE855">
      <w:pPr>
        <w:autoSpaceDE/>
        <w:autoSpaceDN/>
        <w:adjustRightInd/>
        <w:spacing w:line="360" w:lineRule="auto"/>
        <w:ind w:firstLine="422" w:firstLineChars="200"/>
        <w:jc w:val="both"/>
        <w:outlineLvl w:val="9"/>
        <w:rPr>
          <w:rFonts w:hint="eastAsia" w:ascii="宋体" w:hAnsi="宋体" w:eastAsia="宋体" w:cs="宋体"/>
          <w:b/>
          <w:bCs/>
          <w:color w:val="auto"/>
          <w:kern w:val="2"/>
          <w:sz w:val="21"/>
          <w:szCs w:val="21"/>
          <w:highlight w:val="none"/>
        </w:rPr>
      </w:pPr>
      <w:bookmarkStart w:id="420" w:name="_Toc24743"/>
      <w:bookmarkStart w:id="421" w:name="_Toc16461"/>
      <w:r>
        <w:rPr>
          <w:rFonts w:hint="eastAsia" w:ascii="宋体" w:hAnsi="宋体" w:eastAsia="宋体" w:cs="宋体"/>
          <w:b/>
          <w:bCs/>
          <w:color w:val="auto"/>
          <w:kern w:val="2"/>
          <w:sz w:val="21"/>
          <w:szCs w:val="21"/>
          <w:highlight w:val="none"/>
        </w:rPr>
        <w:t>（2）最终验收</w:t>
      </w:r>
      <w:bookmarkEnd w:id="420"/>
      <w:bookmarkEnd w:id="421"/>
    </w:p>
    <w:p w14:paraId="34367666">
      <w:pPr>
        <w:autoSpaceDE/>
        <w:autoSpaceDN/>
        <w:adjustRightInd/>
        <w:spacing w:line="360" w:lineRule="auto"/>
        <w:ind w:firstLine="420" w:firstLineChars="200"/>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1）招标人</w:t>
      </w:r>
      <w:r>
        <w:rPr>
          <w:rFonts w:hint="eastAsia" w:ascii="宋体" w:hAnsi="宋体" w:eastAsia="宋体" w:cs="宋体"/>
          <w:color w:val="auto"/>
          <w:kern w:val="2"/>
          <w:sz w:val="21"/>
          <w:szCs w:val="21"/>
          <w:highlight w:val="none"/>
        </w:rPr>
        <w:t>运营项目</w:t>
      </w:r>
      <w:r>
        <w:rPr>
          <w:rFonts w:hint="eastAsia" w:ascii="宋体" w:hAnsi="宋体" w:eastAsia="宋体" w:cs="宋体"/>
          <w:color w:val="auto"/>
          <w:sz w:val="21"/>
          <w:szCs w:val="21"/>
          <w:highlight w:val="none"/>
        </w:rPr>
        <w:t>对每次供货货物检验，检验指标由招标人在表1</w:t>
      </w:r>
      <w:r>
        <w:rPr>
          <w:rFonts w:hint="eastAsia" w:ascii="宋体" w:hAnsi="宋体" w:eastAsia="宋体" w:cs="宋体"/>
          <w:color w:val="auto"/>
          <w:sz w:val="21"/>
          <w:szCs w:val="21"/>
          <w:highlight w:val="none"/>
          <w:lang w:eastAsia="zh-CN"/>
        </w:rPr>
        <w:t>《液体柠檬酸</w:t>
      </w:r>
      <w:r>
        <w:rPr>
          <w:rFonts w:hint="eastAsia" w:ascii="宋体" w:hAnsi="宋体" w:eastAsia="宋体" w:cs="宋体"/>
          <w:color w:val="auto"/>
          <w:sz w:val="21"/>
          <w:szCs w:val="21"/>
          <w:highlight w:val="none"/>
        </w:rPr>
        <w:t>主要技术指标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中选择，其中</w:t>
      </w:r>
      <w:r>
        <w:rPr>
          <w:rFonts w:hint="eastAsia" w:ascii="宋体" w:hAnsi="宋体" w:eastAsia="宋体" w:cs="宋体"/>
          <w:color w:val="auto"/>
          <w:sz w:val="21"/>
          <w:szCs w:val="21"/>
          <w:highlight w:val="none"/>
          <w:lang w:val="en-US" w:eastAsia="zh-CN"/>
        </w:rPr>
        <w:t>质量分数</w:t>
      </w:r>
      <w:r>
        <w:rPr>
          <w:rFonts w:hint="eastAsia" w:ascii="宋体" w:hAnsi="宋体" w:eastAsia="宋体" w:cs="宋体"/>
          <w:color w:val="auto"/>
          <w:sz w:val="21"/>
          <w:szCs w:val="21"/>
          <w:highlight w:val="none"/>
        </w:rPr>
        <w:t>为每次供货货物的批检检验指标，其余指标为招标人根据需要抽检的按需检验指标，货物批检检验指标和按需检验指标由招标人根据招标人</w:t>
      </w:r>
      <w:r>
        <w:rPr>
          <w:rFonts w:hint="eastAsia" w:ascii="宋体" w:hAnsi="宋体" w:eastAsia="宋体" w:cs="宋体"/>
          <w:color w:val="auto"/>
          <w:sz w:val="21"/>
          <w:szCs w:val="21"/>
          <w:highlight w:val="none"/>
          <w:lang w:bidi="ar"/>
        </w:rPr>
        <w:t>关于药剂的管理制度及要求适时调整。</w:t>
      </w:r>
      <w:r>
        <w:rPr>
          <w:rFonts w:hint="eastAsia" w:ascii="宋体" w:hAnsi="宋体" w:eastAsia="宋体" w:cs="宋体"/>
          <w:color w:val="auto"/>
          <w:sz w:val="21"/>
          <w:szCs w:val="21"/>
          <w:highlight w:val="none"/>
        </w:rPr>
        <w:t>每次货到现场时可由双方共同取样，供货货物合格判定以招标人实验室检验结果为准。招标人根据需要可委托具有CMA认证资质的第三方检测机构检测，招标人委托的具有CMA认证资质的第三方检测机构的检验结果与招标人实验室不一致的，该次的供货货物质量判定以招标人委托的具有CMA认证资质的第三方检测机构的检验结果为准。</w:t>
      </w:r>
    </w:p>
    <w:p w14:paraId="6F3B749E">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2）货物检验方法按</w:t>
      </w:r>
      <w:r>
        <w:rPr>
          <w:rFonts w:hint="eastAsia" w:ascii="宋体" w:hAnsi="宋体" w:eastAsia="宋体" w:cs="宋体"/>
          <w:color w:val="auto"/>
          <w:sz w:val="21"/>
          <w:szCs w:val="21"/>
          <w:highlight w:val="none"/>
          <w:lang w:eastAsia="zh-CN"/>
        </w:rPr>
        <w:t>《柠檬酸》（GB/T 8269-2006）</w:t>
      </w:r>
      <w:r>
        <w:rPr>
          <w:rFonts w:hint="eastAsia" w:ascii="宋体" w:hAnsi="宋体" w:eastAsia="宋体" w:cs="宋体"/>
          <w:color w:val="auto"/>
          <w:sz w:val="21"/>
          <w:szCs w:val="21"/>
          <w:highlight w:val="none"/>
        </w:rPr>
        <w:t>中的检测方法进行。供货期间，如有发布最新的行业标准或国家标准，货物检验方法按发布的最新行业标准或国家标准执行。</w:t>
      </w:r>
    </w:p>
    <w:p w14:paraId="1939E6AE">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3）如供货货物符合表1《</w:t>
      </w:r>
      <w:r>
        <w:rPr>
          <w:rFonts w:hint="eastAsia" w:ascii="宋体" w:hAnsi="宋体" w:eastAsia="宋体" w:cs="宋体"/>
          <w:color w:val="auto"/>
          <w:sz w:val="21"/>
          <w:szCs w:val="21"/>
          <w:highlight w:val="none"/>
          <w:lang w:eastAsia="zh-CN"/>
        </w:rPr>
        <w:t>液体柠檬酸</w:t>
      </w:r>
      <w:r>
        <w:rPr>
          <w:rFonts w:hint="eastAsia" w:ascii="宋体" w:hAnsi="宋体" w:eastAsia="宋体" w:cs="宋体"/>
          <w:color w:val="auto"/>
          <w:sz w:val="21"/>
          <w:szCs w:val="21"/>
          <w:highlight w:val="none"/>
        </w:rPr>
        <w:t>主要技术指标》要求则最终验收合格。</w:t>
      </w:r>
    </w:p>
    <w:p w14:paraId="7D3C9EFD">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2、货物按上述程序验收后，招标人运营项目向投标人出具书面的验收报告，投标人需对验收报告盖章确认。验收报告作为对货物供货数量及主要技术指标验收的证明，不代表对货物使用效果的认可。</w:t>
      </w:r>
    </w:p>
    <w:p w14:paraId="78C2F4EA">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3、招标人运营项目根据本条规定对货物所做出的验收，仅作为起算付款及质保期之用，不视为双方对于货物质量的最终认可，投标人仍应在质保期内对产品质量承担保证责任。</w:t>
      </w:r>
    </w:p>
    <w:p w14:paraId="00C09971">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货物在经最终验收合格前，其损耗、毁损、灭失等风险及责任由投标人承担，如因发生前述情形，导致投标人所提供的货物不能通过招标人运营项目验收的，投标人应按招标人运营项目要求无条件予以退换货，给招标人造成损失的投标人须承担全部的赔偿责任。</w:t>
      </w:r>
    </w:p>
    <w:p w14:paraId="522CE982">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1C23BEF4">
      <w:pPr>
        <w:keepNext w:val="0"/>
        <w:keepLines w:val="0"/>
        <w:widowControl w:val="0"/>
        <w:suppressLineNumbers w:val="0"/>
        <w:spacing w:before="0" w:beforeAutospacing="0" w:after="0" w:afterAutospacing="0" w:line="360" w:lineRule="auto"/>
        <w:ind w:left="0" w:right="0"/>
        <w:jc w:val="both"/>
        <w:outlineLvl w:val="1"/>
        <w:rPr>
          <w:rFonts w:hint="eastAsia" w:ascii="宋体" w:hAnsi="宋体" w:eastAsia="宋体" w:cs="宋体"/>
          <w:b/>
          <w:bCs/>
          <w:color w:val="auto"/>
          <w:kern w:val="2"/>
          <w:sz w:val="21"/>
          <w:szCs w:val="21"/>
          <w:highlight w:val="none"/>
        </w:rPr>
      </w:pPr>
      <w:bookmarkStart w:id="422" w:name="_Toc4185"/>
      <w:r>
        <w:rPr>
          <w:rFonts w:hint="eastAsia" w:ascii="宋体" w:hAnsi="宋体" w:eastAsia="宋体" w:cs="宋体"/>
          <w:b/>
          <w:bCs/>
          <w:color w:val="auto"/>
          <w:kern w:val="2"/>
          <w:sz w:val="21"/>
          <w:szCs w:val="21"/>
          <w:highlight w:val="none"/>
          <w:lang w:val="en-US" w:eastAsia="zh-CN" w:bidi="ar"/>
        </w:rPr>
        <w:t>五、资料要求</w:t>
      </w:r>
      <w:bookmarkEnd w:id="422"/>
    </w:p>
    <w:p w14:paraId="21E57C9F">
      <w:pPr>
        <w:snapToGrid w:val="0"/>
        <w:spacing w:line="360" w:lineRule="auto"/>
        <w:ind w:firstLine="420" w:firstLineChars="200"/>
        <w:outlineLvl w:val="9"/>
        <w:rPr>
          <w:rFonts w:hint="eastAsia" w:ascii="宋体" w:hAnsi="宋体" w:eastAsia="宋体" w:cs="宋体"/>
          <w:color w:val="auto"/>
          <w:sz w:val="21"/>
          <w:szCs w:val="21"/>
          <w:highlight w:val="none"/>
        </w:rPr>
      </w:pPr>
      <w:bookmarkStart w:id="423" w:name="_Toc24104"/>
      <w:bookmarkStart w:id="424" w:name="_Toc28578"/>
      <w:r>
        <w:rPr>
          <w:rFonts w:hint="eastAsia" w:ascii="宋体" w:hAnsi="宋体" w:eastAsia="宋体" w:cs="宋体"/>
          <w:color w:val="auto"/>
          <w:sz w:val="21"/>
          <w:szCs w:val="21"/>
          <w:highlight w:val="none"/>
        </w:rPr>
        <w:t>1、投标人需向招标人运营项目提供但不限于下述技术资料：</w:t>
      </w:r>
      <w:bookmarkEnd w:id="423"/>
      <w:bookmarkEnd w:id="424"/>
    </w:p>
    <w:p w14:paraId="0B932F69">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（1）符合第三条交货要求第5点要求的</w:t>
      </w:r>
      <w:r>
        <w:rPr>
          <w:rFonts w:hint="eastAsia" w:ascii="宋体" w:hAnsi="宋体" w:eastAsia="宋体" w:cs="宋体"/>
          <w:color w:val="auto"/>
          <w:kern w:val="2"/>
          <w:sz w:val="21"/>
          <w:szCs w:val="21"/>
          <w:highlight w:val="none"/>
        </w:rPr>
        <w:t>产品质量检验报告（如出厂检验报告、质量检验报告等）</w:t>
      </w:r>
      <w:r>
        <w:rPr>
          <w:rFonts w:hint="eastAsia" w:ascii="宋体" w:hAnsi="宋体" w:eastAsia="宋体" w:cs="宋体"/>
          <w:color w:val="auto"/>
          <w:sz w:val="21"/>
          <w:szCs w:val="21"/>
          <w:highlight w:val="none"/>
        </w:rPr>
        <w:t>、供货单据；</w:t>
      </w:r>
    </w:p>
    <w:p w14:paraId="4030102C">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（2）验收报告；</w:t>
      </w:r>
    </w:p>
    <w:p w14:paraId="6AE68FA3">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（3）与货物使用相关的其他文件；</w:t>
      </w:r>
    </w:p>
    <w:p w14:paraId="7DE00CB4">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（4）招标人运营项目要求提供的其他技术资料。</w:t>
      </w:r>
    </w:p>
    <w:p w14:paraId="7896617E">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2、投标人需将上述资料（若上述资料为复印件的，则须加盖投标人公章）在交货时交给招标人运营项目，有关资料的收集和整理由投标人负责，招标人运营项目予以配合。</w:t>
      </w:r>
    </w:p>
    <w:p w14:paraId="747AB0FA">
      <w:pPr>
        <w:autoSpaceDE/>
        <w:autoSpaceDN/>
        <w:adjustRightInd/>
        <w:snapToGrid w:val="0"/>
        <w:spacing w:line="360" w:lineRule="auto"/>
        <w:ind w:firstLine="420" w:firstLineChars="200"/>
        <w:jc w:val="both"/>
        <w:rPr>
          <w:rFonts w:hint="eastAsia" w:ascii="宋体" w:hAnsi="宋体" w:eastAsia="宋体" w:cs="宋体"/>
          <w:b/>
          <w:bCs/>
          <w:color w:val="auto"/>
          <w:kern w:val="2"/>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kern w:val="2"/>
          <w:sz w:val="21"/>
          <w:szCs w:val="21"/>
          <w:highlight w:val="none"/>
        </w:rPr>
        <w:t>供货期内，投标人需每季度委托具有CMA认证资质的第三方检测机构对供货期间所供货物进行检测，并提供第三方检测机构出具的</w:t>
      </w:r>
      <w:bookmarkStart w:id="425" w:name="OLE_LINK29"/>
      <w:r>
        <w:rPr>
          <w:rFonts w:hint="eastAsia" w:ascii="宋体" w:hAnsi="宋体" w:eastAsia="宋体" w:cs="宋体"/>
          <w:color w:val="auto"/>
          <w:szCs w:val="21"/>
          <w:highlight w:val="none"/>
        </w:rPr>
        <w:t>符合表1《</w:t>
      </w:r>
      <w:r>
        <w:rPr>
          <w:rFonts w:hint="eastAsia" w:ascii="宋体" w:hAnsi="宋体" w:eastAsia="宋体" w:cs="宋体"/>
          <w:color w:val="auto"/>
          <w:szCs w:val="21"/>
          <w:highlight w:val="none"/>
          <w:lang w:eastAsia="zh-CN"/>
        </w:rPr>
        <w:t>液体柠檬酸</w:t>
      </w:r>
      <w:r>
        <w:rPr>
          <w:rFonts w:hint="eastAsia" w:ascii="宋体" w:hAnsi="宋体" w:eastAsia="宋体" w:cs="宋体"/>
          <w:color w:val="auto"/>
          <w:szCs w:val="21"/>
          <w:highlight w:val="none"/>
        </w:rPr>
        <w:t>主要技术指标》要求的</w:t>
      </w:r>
      <w:bookmarkEnd w:id="425"/>
      <w:r>
        <w:rPr>
          <w:rFonts w:hint="eastAsia" w:ascii="宋体" w:hAnsi="宋体" w:eastAsia="宋体" w:cs="宋体"/>
          <w:color w:val="auto"/>
          <w:kern w:val="2"/>
          <w:sz w:val="21"/>
          <w:szCs w:val="21"/>
          <w:highlight w:val="none"/>
        </w:rPr>
        <w:t>检验报告，</w:t>
      </w:r>
      <w:r>
        <w:rPr>
          <w:rFonts w:hint="eastAsia" w:ascii="宋体" w:hAnsi="宋体" w:eastAsia="宋体" w:cs="宋体"/>
          <w:b/>
          <w:bCs/>
          <w:color w:val="auto"/>
          <w:sz w:val="21"/>
          <w:szCs w:val="21"/>
          <w:highlight w:val="none"/>
        </w:rPr>
        <w:t>检验报告需体现委托方、生产厂家、送检样品的产品名称、生产批号或生产日期</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表1</w:t>
      </w:r>
      <w:r>
        <w:rPr>
          <w:rFonts w:hint="eastAsia" w:ascii="宋体" w:hAnsi="宋体" w:eastAsia="宋体" w:cs="宋体"/>
          <w:b/>
          <w:bCs/>
          <w:color w:val="auto"/>
          <w:sz w:val="21"/>
          <w:szCs w:val="21"/>
          <w:highlight w:val="none"/>
          <w:lang w:eastAsia="zh-CN"/>
        </w:rPr>
        <w:t>《液体柠檬酸</w:t>
      </w:r>
      <w:r>
        <w:rPr>
          <w:rFonts w:hint="eastAsia" w:ascii="宋体" w:hAnsi="宋体" w:eastAsia="宋体" w:cs="宋体"/>
          <w:b/>
          <w:bCs/>
          <w:color w:val="auto"/>
          <w:sz w:val="21"/>
          <w:szCs w:val="21"/>
          <w:highlight w:val="none"/>
        </w:rPr>
        <w:t>主要技术指标</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中各指标</w:t>
      </w:r>
      <w:r>
        <w:rPr>
          <w:rFonts w:hint="eastAsia" w:ascii="宋体" w:hAnsi="宋体" w:eastAsia="宋体" w:cs="宋体"/>
          <w:b/>
          <w:bCs/>
          <w:color w:val="auto"/>
          <w:sz w:val="21"/>
          <w:szCs w:val="21"/>
          <w:highlight w:val="none"/>
          <w:lang w:val="en-US" w:eastAsia="zh-CN"/>
        </w:rPr>
        <w:t>项目</w:t>
      </w:r>
      <w:r>
        <w:rPr>
          <w:rFonts w:hint="eastAsia" w:ascii="宋体" w:hAnsi="宋体" w:eastAsia="宋体" w:cs="宋体"/>
          <w:b/>
          <w:bCs/>
          <w:color w:val="auto"/>
          <w:sz w:val="21"/>
          <w:szCs w:val="21"/>
          <w:highlight w:val="none"/>
        </w:rPr>
        <w:t>检测结果，检验报告</w:t>
      </w:r>
      <w:r>
        <w:rPr>
          <w:rFonts w:hint="eastAsia" w:ascii="宋体" w:hAnsi="宋体" w:eastAsia="宋体" w:cs="宋体"/>
          <w:b/>
          <w:bCs/>
          <w:color w:val="auto"/>
          <w:kern w:val="2"/>
          <w:sz w:val="21"/>
          <w:szCs w:val="21"/>
          <w:highlight w:val="none"/>
        </w:rPr>
        <w:t>使用的检测方法需符合</w:t>
      </w:r>
      <w:r>
        <w:rPr>
          <w:rFonts w:hint="eastAsia" w:ascii="宋体" w:hAnsi="宋体" w:eastAsia="宋体" w:cs="宋体"/>
          <w:b/>
          <w:bCs/>
          <w:color w:val="auto"/>
          <w:kern w:val="2"/>
          <w:sz w:val="21"/>
          <w:szCs w:val="21"/>
          <w:highlight w:val="none"/>
          <w:lang w:eastAsia="zh-CN"/>
        </w:rPr>
        <w:t>《柠檬酸》（GB/T 8269-2006）</w:t>
      </w:r>
      <w:r>
        <w:rPr>
          <w:rFonts w:hint="eastAsia" w:ascii="宋体" w:hAnsi="宋体" w:eastAsia="宋体" w:cs="宋体"/>
          <w:b/>
          <w:bCs/>
          <w:color w:val="auto"/>
          <w:sz w:val="21"/>
          <w:szCs w:val="21"/>
          <w:highlight w:val="none"/>
        </w:rPr>
        <w:t>，</w:t>
      </w:r>
      <w:r>
        <w:rPr>
          <w:rFonts w:hint="eastAsia" w:ascii="宋体" w:hAnsi="宋体" w:eastAsia="宋体" w:cs="宋体"/>
          <w:b/>
          <w:bCs/>
          <w:color w:val="auto"/>
          <w:kern w:val="2"/>
          <w:sz w:val="21"/>
          <w:szCs w:val="21"/>
          <w:highlight w:val="none"/>
        </w:rPr>
        <w:t>检验报告中样品送检时间需在供货期内。</w:t>
      </w:r>
      <w:r>
        <w:rPr>
          <w:rFonts w:hint="eastAsia" w:ascii="宋体" w:hAnsi="宋体" w:eastAsia="宋体" w:cs="宋体"/>
          <w:color w:val="auto"/>
          <w:kern w:val="2"/>
          <w:sz w:val="21"/>
          <w:szCs w:val="21"/>
          <w:highlight w:val="none"/>
        </w:rPr>
        <w:t>供货期间，如有发布最新的行业标准或国家标准，货物检验方法按发布的最新行业标准或国家标准执行。</w:t>
      </w:r>
    </w:p>
    <w:p w14:paraId="15DD153F">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4、投标人提交的技术资料在出现遗漏或发现错误时，应及时补充或更正后提交招标人运营项目。</w:t>
      </w:r>
    </w:p>
    <w:p w14:paraId="01D8322A">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6F318EAE">
      <w:pPr>
        <w:keepNext w:val="0"/>
        <w:keepLines w:val="0"/>
        <w:widowControl w:val="0"/>
        <w:suppressLineNumbers w:val="0"/>
        <w:spacing w:before="0" w:beforeAutospacing="0" w:after="0" w:afterAutospacing="0" w:line="360" w:lineRule="auto"/>
        <w:ind w:left="0" w:right="0"/>
        <w:jc w:val="both"/>
        <w:outlineLvl w:val="1"/>
        <w:rPr>
          <w:rFonts w:hint="eastAsia" w:ascii="宋体" w:hAnsi="宋体" w:eastAsia="宋体" w:cs="宋体"/>
          <w:b/>
          <w:bCs/>
          <w:color w:val="auto"/>
          <w:kern w:val="2"/>
          <w:sz w:val="21"/>
          <w:szCs w:val="21"/>
          <w:highlight w:val="none"/>
        </w:rPr>
      </w:pPr>
      <w:bookmarkStart w:id="426" w:name="_Toc18790"/>
      <w:r>
        <w:rPr>
          <w:rFonts w:hint="eastAsia" w:ascii="宋体" w:hAnsi="宋体" w:eastAsia="宋体" w:cs="宋体"/>
          <w:b/>
          <w:bCs/>
          <w:color w:val="auto"/>
          <w:kern w:val="2"/>
          <w:sz w:val="21"/>
          <w:szCs w:val="21"/>
          <w:highlight w:val="none"/>
          <w:lang w:val="en-US" w:eastAsia="zh-CN" w:bidi="ar"/>
        </w:rPr>
        <w:t>六、质量保证及售后要求</w:t>
      </w:r>
      <w:bookmarkEnd w:id="426"/>
    </w:p>
    <w:p w14:paraId="3E944A26">
      <w:pPr>
        <w:spacing w:line="360" w:lineRule="auto"/>
        <w:ind w:firstLine="420" w:firstLineChars="200"/>
        <w:jc w:val="both"/>
        <w:rPr>
          <w:rFonts w:hint="eastAsia" w:ascii="宋体" w:hAnsi="宋体" w:eastAsia="宋体" w:cs="宋体"/>
          <w:color w:val="auto"/>
          <w:sz w:val="21"/>
          <w:szCs w:val="21"/>
          <w:highlight w:val="none"/>
        </w:rPr>
      </w:pPr>
      <w:bookmarkStart w:id="427" w:name="_Hlk142639521"/>
      <w:r>
        <w:rPr>
          <w:rFonts w:hint="eastAsia" w:ascii="宋体" w:hAnsi="宋体" w:eastAsia="宋体" w:cs="宋体"/>
          <w:color w:val="auto"/>
          <w:sz w:val="21"/>
          <w:szCs w:val="21"/>
          <w:highlight w:val="none"/>
        </w:rPr>
        <w:t>1、药剂保质期：</w:t>
      </w:r>
      <w:r>
        <w:rPr>
          <w:rFonts w:hint="eastAsia" w:ascii="宋体" w:hAnsi="宋体" w:eastAsia="宋体" w:cs="宋体"/>
          <w:bCs/>
          <w:color w:val="auto"/>
          <w:szCs w:val="21"/>
          <w:highlight w:val="none"/>
        </w:rPr>
        <w:t>以招标人运营项目</w:t>
      </w:r>
      <w:r>
        <w:rPr>
          <w:rFonts w:hint="eastAsia" w:ascii="宋体" w:hAnsi="宋体" w:eastAsia="宋体" w:cs="宋体"/>
          <w:bCs/>
          <w:color w:val="auto"/>
          <w:szCs w:val="21"/>
          <w:highlight w:val="none"/>
          <w:lang w:val="en-US" w:eastAsia="zh-CN"/>
        </w:rPr>
        <w:t>最终</w:t>
      </w:r>
      <w:r>
        <w:rPr>
          <w:rFonts w:hint="eastAsia" w:ascii="宋体" w:hAnsi="宋体" w:eastAsia="宋体" w:cs="宋体"/>
          <w:bCs/>
          <w:color w:val="auto"/>
          <w:szCs w:val="21"/>
          <w:highlight w:val="none"/>
        </w:rPr>
        <w:t>验收</w:t>
      </w:r>
      <w:r>
        <w:rPr>
          <w:rFonts w:hint="eastAsia" w:ascii="宋体" w:hAnsi="宋体" w:eastAsia="宋体" w:cs="宋体"/>
          <w:bCs/>
          <w:color w:val="auto"/>
          <w:szCs w:val="21"/>
          <w:highlight w:val="none"/>
          <w:lang w:val="en-US" w:eastAsia="zh-CN"/>
        </w:rPr>
        <w:t>合格</w:t>
      </w:r>
      <w:r>
        <w:rPr>
          <w:rFonts w:hint="eastAsia" w:ascii="宋体" w:hAnsi="宋体" w:eastAsia="宋体" w:cs="宋体"/>
          <w:bCs/>
          <w:color w:val="auto"/>
          <w:szCs w:val="21"/>
          <w:highlight w:val="none"/>
        </w:rPr>
        <w:t>之日算起3个月，保质期内产品质量须达到所有技术指标要求</w:t>
      </w:r>
      <w:r>
        <w:rPr>
          <w:rFonts w:hint="eastAsia" w:ascii="宋体" w:hAnsi="宋体" w:eastAsia="宋体" w:cs="宋体"/>
          <w:color w:val="auto"/>
          <w:sz w:val="21"/>
          <w:szCs w:val="21"/>
          <w:highlight w:val="none"/>
        </w:rPr>
        <w:t>。</w:t>
      </w:r>
    </w:p>
    <w:p w14:paraId="17C121DD">
      <w:pPr>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2、投标人应具有相应的技术人员，具备供货及售前售后的服务能力。</w:t>
      </w:r>
    </w:p>
    <w:p w14:paraId="4A684460">
      <w:pPr>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3、投标人在接到质量问题通知后 4 小时内自费派工程师到达现场对问题进行处理。</w:t>
      </w:r>
    </w:p>
    <w:p w14:paraId="6FDCB08A">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4、投标人应根据招标人</w:t>
      </w:r>
      <w:r>
        <w:rPr>
          <w:rFonts w:hint="eastAsia" w:ascii="宋体" w:hAnsi="宋体" w:eastAsia="宋体" w:cs="宋体"/>
          <w:color w:val="auto"/>
          <w:sz w:val="21"/>
          <w:szCs w:val="21"/>
          <w:highlight w:val="none"/>
        </w:rPr>
        <w:t>运营项目</w:t>
      </w:r>
      <w:r>
        <w:rPr>
          <w:rFonts w:hint="eastAsia" w:ascii="宋体" w:hAnsi="宋体" w:eastAsia="宋体" w:cs="宋体"/>
          <w:color w:val="auto"/>
          <w:kern w:val="2"/>
          <w:sz w:val="21"/>
          <w:szCs w:val="21"/>
          <w:highlight w:val="none"/>
        </w:rPr>
        <w:t>需要免费提供培训，相关费用已计入综合单价，招标人无需另行支付任何费用。</w:t>
      </w:r>
    </w:p>
    <w:p w14:paraId="7E2AD854">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5、培训地点、规模及时间由招标人运营项目指定，根据培训内容复杂程度，招标人</w:t>
      </w:r>
      <w:r>
        <w:rPr>
          <w:rFonts w:hint="eastAsia" w:ascii="宋体" w:hAnsi="宋体" w:eastAsia="宋体" w:cs="宋体"/>
          <w:color w:val="auto"/>
          <w:sz w:val="21"/>
          <w:szCs w:val="21"/>
          <w:highlight w:val="none"/>
        </w:rPr>
        <w:t>运营项目</w:t>
      </w:r>
      <w:r>
        <w:rPr>
          <w:rFonts w:hint="eastAsia" w:ascii="宋体" w:hAnsi="宋体" w:eastAsia="宋体" w:cs="宋体"/>
          <w:color w:val="auto"/>
          <w:kern w:val="2"/>
          <w:sz w:val="21"/>
          <w:szCs w:val="21"/>
          <w:highlight w:val="none"/>
        </w:rPr>
        <w:t>有权要求投标人提供完整的书面培训计划和方案，列明提供培训的技术人员名单及资质，以及培训完成后招标人</w:t>
      </w:r>
      <w:r>
        <w:rPr>
          <w:rFonts w:hint="eastAsia" w:ascii="宋体" w:hAnsi="宋体" w:eastAsia="宋体" w:cs="宋体"/>
          <w:color w:val="auto"/>
          <w:sz w:val="21"/>
          <w:szCs w:val="21"/>
          <w:highlight w:val="none"/>
        </w:rPr>
        <w:t>运营项目</w:t>
      </w:r>
      <w:r>
        <w:rPr>
          <w:rFonts w:hint="eastAsia" w:ascii="宋体" w:hAnsi="宋体" w:eastAsia="宋体" w:cs="宋体"/>
          <w:color w:val="auto"/>
          <w:kern w:val="2"/>
          <w:sz w:val="21"/>
          <w:szCs w:val="21"/>
          <w:highlight w:val="none"/>
        </w:rPr>
        <w:t>人员可达到的水平等。</w:t>
      </w:r>
    </w:p>
    <w:p w14:paraId="134C0FFA">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6、在交货或合同履行过程中，若因所交货物（包括但不限于品种、规格、质量）不符合招标人运营项目要求、或货物使用过程中出现质量问题，导致投标人提供的生产药剂如不能通过招标人运营项目验收的，招标人运营项目可拒绝收货或要求投标人承担退换货责任。原则上投标人应该在不影响招标人运营项目正常生产的情况下，自招标人运营项目</w:t>
      </w:r>
      <w:r>
        <w:rPr>
          <w:rFonts w:hint="eastAsia" w:ascii="宋体" w:hAnsi="宋体" w:eastAsia="宋体" w:cs="宋体"/>
          <w:color w:val="auto"/>
          <w:kern w:val="2"/>
          <w:sz w:val="21"/>
          <w:szCs w:val="21"/>
          <w:highlight w:val="none"/>
        </w:rPr>
        <w:t>通知之时起</w:t>
      </w:r>
      <w:r>
        <w:rPr>
          <w:rFonts w:hint="eastAsia" w:ascii="宋体" w:hAnsi="宋体" w:eastAsia="宋体" w:cs="宋体"/>
          <w:color w:val="auto"/>
          <w:sz w:val="21"/>
          <w:szCs w:val="21"/>
          <w:highlight w:val="none"/>
        </w:rPr>
        <w:t>4小时内无条件予以退换货，招标人不承担因验收造成的货物损耗</w:t>
      </w:r>
      <w:r>
        <w:rPr>
          <w:rFonts w:hint="eastAsia" w:ascii="宋体" w:hAnsi="宋体" w:eastAsia="宋体" w:cs="宋体"/>
          <w:color w:val="auto"/>
          <w:kern w:val="2"/>
          <w:sz w:val="21"/>
          <w:szCs w:val="21"/>
          <w:highlight w:val="none"/>
        </w:rPr>
        <w:t>及运输等一切</w:t>
      </w:r>
      <w:r>
        <w:rPr>
          <w:rFonts w:hint="eastAsia" w:ascii="宋体" w:hAnsi="宋体" w:eastAsia="宋体" w:cs="宋体"/>
          <w:color w:val="auto"/>
          <w:sz w:val="21"/>
          <w:szCs w:val="21"/>
          <w:highlight w:val="none"/>
        </w:rPr>
        <w:t>费用且不对货物承担保管责任，因此产生的费用及风险由投标人承担。</w:t>
      </w:r>
    </w:p>
    <w:p w14:paraId="37822D40">
      <w:pPr>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7、自招标人</w:t>
      </w:r>
      <w:r>
        <w:rPr>
          <w:rFonts w:hint="eastAsia" w:ascii="宋体" w:hAnsi="宋体" w:eastAsia="宋体" w:cs="宋体"/>
          <w:color w:val="auto"/>
          <w:kern w:val="2"/>
          <w:sz w:val="21"/>
          <w:szCs w:val="21"/>
          <w:highlight w:val="none"/>
        </w:rPr>
        <w:t>运营项目</w:t>
      </w:r>
      <w:r>
        <w:rPr>
          <w:rFonts w:hint="eastAsia" w:ascii="宋体" w:hAnsi="宋体" w:eastAsia="宋体" w:cs="宋体"/>
          <w:color w:val="auto"/>
          <w:sz w:val="21"/>
          <w:szCs w:val="21"/>
          <w:highlight w:val="none"/>
        </w:rPr>
        <w:t>通知货物检验不合格或货物使用过程中出现质量问题而要求投标人按照前述条款进行退换货之时起4小时之内投标人未将不合格货物运离招标人</w:t>
      </w:r>
      <w:r>
        <w:rPr>
          <w:rFonts w:hint="eastAsia" w:ascii="宋体" w:hAnsi="宋体" w:eastAsia="宋体" w:cs="宋体"/>
          <w:color w:val="auto"/>
          <w:kern w:val="2"/>
          <w:sz w:val="21"/>
          <w:szCs w:val="21"/>
          <w:highlight w:val="none"/>
        </w:rPr>
        <w:t>运营项目</w:t>
      </w:r>
      <w:r>
        <w:rPr>
          <w:rFonts w:hint="eastAsia" w:ascii="宋体" w:hAnsi="宋体" w:eastAsia="宋体" w:cs="宋体"/>
          <w:color w:val="auto"/>
          <w:sz w:val="21"/>
          <w:szCs w:val="21"/>
          <w:highlight w:val="none"/>
        </w:rPr>
        <w:t>仓库，招标人</w:t>
      </w:r>
      <w:r>
        <w:rPr>
          <w:rFonts w:hint="eastAsia" w:ascii="宋体" w:hAnsi="宋体" w:eastAsia="宋体" w:cs="宋体"/>
          <w:color w:val="auto"/>
          <w:kern w:val="2"/>
          <w:sz w:val="21"/>
          <w:szCs w:val="21"/>
          <w:highlight w:val="none"/>
        </w:rPr>
        <w:t>运营项目</w:t>
      </w:r>
      <w:r>
        <w:rPr>
          <w:rFonts w:hint="eastAsia" w:ascii="宋体" w:hAnsi="宋体" w:eastAsia="宋体" w:cs="宋体"/>
          <w:color w:val="auto"/>
          <w:sz w:val="21"/>
          <w:szCs w:val="21"/>
          <w:highlight w:val="none"/>
        </w:rPr>
        <w:t>可自行或委托第三方对不合格货物进行处置，投标人须承担招标人处置该次不合格货物所需的全部费用，以及给招标人造成的一切损失。</w:t>
      </w:r>
    </w:p>
    <w:p w14:paraId="645F4C6F">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8、自招标人</w:t>
      </w:r>
      <w:r>
        <w:rPr>
          <w:rFonts w:hint="eastAsia" w:ascii="宋体" w:hAnsi="宋体" w:eastAsia="宋体" w:cs="宋体"/>
          <w:color w:val="auto"/>
          <w:kern w:val="2"/>
          <w:sz w:val="21"/>
          <w:szCs w:val="21"/>
          <w:highlight w:val="none"/>
        </w:rPr>
        <w:t>运营项目</w:t>
      </w:r>
      <w:r>
        <w:rPr>
          <w:rFonts w:hint="eastAsia" w:ascii="宋体" w:hAnsi="宋体" w:eastAsia="宋体" w:cs="宋体"/>
          <w:color w:val="auto"/>
          <w:sz w:val="21"/>
          <w:szCs w:val="21"/>
          <w:highlight w:val="none"/>
        </w:rPr>
        <w:t>通知投标人货物检验不合格或货物使用过程中出现质量问题之时起，招标人</w:t>
      </w:r>
      <w:r>
        <w:rPr>
          <w:rFonts w:hint="eastAsia" w:ascii="宋体" w:hAnsi="宋体" w:eastAsia="宋体" w:cs="宋体"/>
          <w:color w:val="auto"/>
          <w:kern w:val="2"/>
          <w:sz w:val="21"/>
          <w:szCs w:val="21"/>
          <w:highlight w:val="none"/>
        </w:rPr>
        <w:t>运营项目</w:t>
      </w:r>
      <w:r>
        <w:rPr>
          <w:rFonts w:hint="eastAsia" w:ascii="宋体" w:hAnsi="宋体" w:eastAsia="宋体" w:cs="宋体"/>
          <w:color w:val="auto"/>
          <w:sz w:val="21"/>
          <w:szCs w:val="21"/>
          <w:highlight w:val="none"/>
        </w:rPr>
        <w:t>有权要求投标人按照加急供货的规定，将等量的合格货物送交招标人</w:t>
      </w:r>
      <w:r>
        <w:rPr>
          <w:rFonts w:hint="eastAsia" w:ascii="宋体" w:hAnsi="宋体" w:eastAsia="宋体" w:cs="宋体"/>
          <w:color w:val="auto"/>
          <w:kern w:val="2"/>
          <w:sz w:val="21"/>
          <w:szCs w:val="21"/>
          <w:highlight w:val="none"/>
        </w:rPr>
        <w:t>运营项目</w:t>
      </w:r>
      <w:r>
        <w:rPr>
          <w:rFonts w:hint="eastAsia" w:ascii="宋体" w:hAnsi="宋体" w:eastAsia="宋体" w:cs="宋体"/>
          <w:color w:val="auto"/>
          <w:sz w:val="21"/>
          <w:szCs w:val="21"/>
          <w:highlight w:val="none"/>
        </w:rPr>
        <w:t>，否则按加急供货的违约规定进行处理</w:t>
      </w:r>
      <w:bookmarkEnd w:id="427"/>
      <w:r>
        <w:rPr>
          <w:rFonts w:hint="eastAsia" w:ascii="宋体" w:hAnsi="宋体" w:eastAsia="宋体" w:cs="宋体"/>
          <w:color w:val="auto"/>
          <w:sz w:val="21"/>
          <w:szCs w:val="21"/>
          <w:highlight w:val="none"/>
        </w:rPr>
        <w:t>。</w:t>
      </w:r>
    </w:p>
    <w:p w14:paraId="6670A484">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7554AD61">
      <w:pPr>
        <w:keepNext w:val="0"/>
        <w:keepLines w:val="0"/>
        <w:widowControl w:val="0"/>
        <w:suppressLineNumbers w:val="0"/>
        <w:spacing w:before="0" w:beforeAutospacing="0" w:after="0" w:afterAutospacing="0" w:line="360" w:lineRule="auto"/>
        <w:ind w:left="0" w:right="0"/>
        <w:jc w:val="both"/>
        <w:outlineLvl w:val="1"/>
        <w:rPr>
          <w:rFonts w:hint="eastAsia" w:ascii="宋体" w:hAnsi="宋体" w:eastAsia="宋体" w:cs="宋体"/>
          <w:b/>
          <w:bCs/>
          <w:color w:val="auto"/>
          <w:kern w:val="2"/>
          <w:sz w:val="21"/>
          <w:szCs w:val="21"/>
          <w:highlight w:val="none"/>
        </w:rPr>
      </w:pPr>
      <w:bookmarkStart w:id="428" w:name="_Toc887"/>
      <w:r>
        <w:rPr>
          <w:rFonts w:hint="eastAsia" w:ascii="宋体" w:hAnsi="宋体" w:eastAsia="宋体" w:cs="宋体"/>
          <w:b/>
          <w:bCs/>
          <w:color w:val="auto"/>
          <w:kern w:val="2"/>
          <w:sz w:val="21"/>
          <w:szCs w:val="21"/>
          <w:highlight w:val="none"/>
          <w:lang w:val="en-US" w:eastAsia="zh-CN" w:bidi="ar"/>
        </w:rPr>
        <w:t>七、货物的结算</w:t>
      </w:r>
      <w:bookmarkEnd w:id="428"/>
    </w:p>
    <w:p w14:paraId="36E46F9E">
      <w:pPr>
        <w:pStyle w:val="128"/>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双方一致同意，投标人按规定提供了履约担保后，招标人通过以下方式以人民币支付合同款项给投标人：</w:t>
      </w:r>
    </w:p>
    <w:p w14:paraId="220AAE34">
      <w:pPr>
        <w:pStyle w:val="128"/>
        <w:autoSpaceDE/>
        <w:autoSpaceDN/>
        <w:adjustRightInd/>
        <w:spacing w:line="360" w:lineRule="auto"/>
        <w:rPr>
          <w:rFonts w:hint="eastAsia" w:ascii="宋体" w:hAnsi="宋体" w:eastAsia="宋体" w:cs="宋体"/>
          <w:color w:val="auto"/>
          <w:sz w:val="21"/>
          <w:szCs w:val="21"/>
          <w:highlight w:val="none"/>
        </w:rPr>
      </w:pPr>
      <w:bookmarkStart w:id="429" w:name="_Hlk142640500"/>
      <w:r>
        <w:rPr>
          <w:rFonts w:hint="eastAsia" w:ascii="宋体" w:hAnsi="宋体" w:eastAsia="宋体" w:cs="宋体"/>
          <w:color w:val="auto"/>
          <w:sz w:val="21"/>
          <w:szCs w:val="21"/>
          <w:highlight w:val="none"/>
        </w:rPr>
        <w:t>1、合同的履约过程中，投标人根据本项目合同书约定需向招标人</w:t>
      </w:r>
      <w:bookmarkStart w:id="430" w:name="OLE_LINK27"/>
      <w:r>
        <w:rPr>
          <w:rFonts w:hint="eastAsia" w:ascii="宋体" w:hAnsi="宋体" w:eastAsia="宋体" w:cs="Times New Roman"/>
          <w:b w:val="0"/>
          <w:bCs/>
          <w:color w:val="auto"/>
          <w:szCs w:val="21"/>
          <w:highlight w:val="none"/>
          <w:u w:val="none"/>
          <w:lang w:val="en-US" w:eastAsia="zh-CN"/>
        </w:rPr>
        <w:t>或招标人权属子公司</w:t>
      </w:r>
      <w:bookmarkEnd w:id="430"/>
      <w:r>
        <w:rPr>
          <w:rFonts w:hint="eastAsia" w:ascii="宋体" w:hAnsi="宋体" w:eastAsia="宋体" w:cs="宋体"/>
          <w:color w:val="auto"/>
          <w:sz w:val="21"/>
          <w:szCs w:val="21"/>
          <w:highlight w:val="none"/>
        </w:rPr>
        <w:t>支付违约金、赔偿金、或其他应付费用等款项的，投标人必须向招标人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支付完相关款项后，招标人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才根据合同书约定向投标人支付合同价和税额。若因投标人未能支付前述费用，影响项目实施的，招标人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有权启用履约担保或直接从未付合同款项中直接扣除，且投标人必须按照扣除前述费用前的合同价（销售额）开具增值税专用发票，保证增值税税额符合法律规定。</w:t>
      </w:r>
    </w:p>
    <w:p w14:paraId="6EC8C79F">
      <w:pPr>
        <w:pStyle w:val="128"/>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2、货物供货的款项按招标人运营项目进行支付、结算。货物供货的款项每月按实结算。招标人运营项目收到货物并最终验收合格后，每月中旬办理支付上月实际供货量的款项。</w:t>
      </w:r>
    </w:p>
    <w:p w14:paraId="1A824F0B">
      <w:pPr>
        <w:pStyle w:val="128"/>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3、投标人向招标人运营项目提交请款报告和请款金额等额的合法、有效的增值税专用发票，招标人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在收到前述材料并确认无误后30个工作日内支付结算上月实际供货量的货款和该货款对应的税额给投标人。</w:t>
      </w:r>
    </w:p>
    <w:p w14:paraId="295DC96D">
      <w:pPr>
        <w:pStyle w:val="128"/>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4、支付方式：支付方式为银行转账或银行承兑汇票，汇票期限不超过三个月，每期款项支付方式由</w:t>
      </w:r>
      <w:bookmarkStart w:id="431" w:name="OLE_LINK28"/>
      <w:r>
        <w:rPr>
          <w:rFonts w:hint="eastAsia" w:ascii="宋体" w:hAnsi="宋体" w:eastAsia="宋体" w:cs="宋体"/>
          <w:color w:val="auto"/>
          <w:sz w:val="21"/>
          <w:szCs w:val="21"/>
          <w:highlight w:val="none"/>
          <w:lang w:val="en-US" w:eastAsia="zh-CN"/>
        </w:rPr>
        <w:t>招标人</w:t>
      </w:r>
      <w:r>
        <w:rPr>
          <w:rFonts w:hint="eastAsia" w:ascii="宋体" w:hAnsi="宋体" w:eastAsia="宋体" w:cs="Times New Roman"/>
          <w:b w:val="0"/>
          <w:bCs/>
          <w:color w:val="auto"/>
          <w:szCs w:val="21"/>
          <w:highlight w:val="none"/>
          <w:u w:val="none"/>
          <w:lang w:val="en-US" w:eastAsia="zh-CN"/>
        </w:rPr>
        <w:t>或招标人权属子公司</w:t>
      </w:r>
      <w:bookmarkEnd w:id="431"/>
      <w:r>
        <w:rPr>
          <w:rFonts w:hint="eastAsia" w:ascii="宋体" w:hAnsi="宋体" w:eastAsia="宋体" w:cs="宋体"/>
          <w:color w:val="auto"/>
          <w:sz w:val="21"/>
          <w:szCs w:val="21"/>
          <w:highlight w:val="none"/>
          <w:lang w:val="en-US" w:eastAsia="zh-CN"/>
        </w:rPr>
        <w:t>决定。</w:t>
      </w:r>
    </w:p>
    <w:p w14:paraId="5AF56971">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、投标人迟延提供发票或提供的请款报告、发票不符合要求的，招标人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的付款时间可相应顺延，且招标人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不因此承担任何责任。因支付产生的相关银行手续费用，根据有关银行规定执行，如不能明确的，由双方各承担50%。由于投标人提供的发票不符合税法规定，给招标人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造成的损失由投标人承担全部的赔偿责任</w:t>
      </w:r>
      <w:bookmarkEnd w:id="429"/>
      <w:r>
        <w:rPr>
          <w:rFonts w:hint="eastAsia" w:ascii="宋体" w:hAnsi="宋体" w:eastAsia="宋体" w:cs="宋体"/>
          <w:color w:val="auto"/>
          <w:sz w:val="21"/>
          <w:szCs w:val="21"/>
          <w:highlight w:val="none"/>
        </w:rPr>
        <w:t>。</w:t>
      </w:r>
    </w:p>
    <w:p w14:paraId="63D1DE51">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3C42F410">
      <w:pPr>
        <w:keepNext w:val="0"/>
        <w:keepLines w:val="0"/>
        <w:widowControl w:val="0"/>
        <w:suppressLineNumbers w:val="0"/>
        <w:spacing w:before="0" w:beforeAutospacing="0" w:after="0" w:afterAutospacing="0" w:line="360" w:lineRule="auto"/>
        <w:ind w:left="0" w:right="0"/>
        <w:jc w:val="both"/>
        <w:outlineLvl w:val="1"/>
        <w:rPr>
          <w:rFonts w:hint="eastAsia" w:ascii="宋体" w:hAnsi="宋体" w:eastAsia="宋体" w:cs="宋体"/>
          <w:b/>
          <w:bCs/>
          <w:color w:val="auto"/>
          <w:kern w:val="2"/>
          <w:sz w:val="21"/>
          <w:szCs w:val="21"/>
          <w:highlight w:val="none"/>
        </w:rPr>
      </w:pPr>
      <w:bookmarkStart w:id="432" w:name="_Toc4107"/>
      <w:r>
        <w:rPr>
          <w:rFonts w:hint="eastAsia" w:ascii="宋体" w:hAnsi="宋体" w:eastAsia="宋体" w:cs="宋体"/>
          <w:b/>
          <w:bCs/>
          <w:color w:val="auto"/>
          <w:kern w:val="2"/>
          <w:sz w:val="21"/>
          <w:szCs w:val="21"/>
          <w:highlight w:val="none"/>
          <w:lang w:val="en-US" w:eastAsia="zh-CN" w:bidi="ar"/>
        </w:rPr>
        <w:t>八、其它</w:t>
      </w:r>
      <w:bookmarkEnd w:id="432"/>
    </w:p>
    <w:p w14:paraId="3A40A0CD">
      <w:pPr>
        <w:pStyle w:val="128"/>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bookmarkStart w:id="433" w:name="_Hlk142640606"/>
      <w:r>
        <w:rPr>
          <w:rFonts w:hint="eastAsia" w:ascii="宋体" w:hAnsi="宋体" w:eastAsia="宋体" w:cs="宋体"/>
          <w:color w:val="auto"/>
          <w:sz w:val="21"/>
          <w:szCs w:val="21"/>
          <w:highlight w:val="none"/>
        </w:rPr>
        <w:t>日常供货（非加急供货）时，投标人</w:t>
      </w:r>
      <w:r>
        <w:rPr>
          <w:rFonts w:hint="eastAsia" w:ascii="宋体" w:hAnsi="宋体" w:eastAsia="宋体" w:cs="宋体"/>
          <w:color w:val="auto"/>
          <w:sz w:val="21"/>
          <w:szCs w:val="21"/>
          <w:highlight w:val="none"/>
          <w:lang w:bidi="ar"/>
        </w:rPr>
        <w:t>未在约定的时间内完成交货，或未在规定的时间内承担相应的更换、退货责任的</w:t>
      </w:r>
      <w:r>
        <w:rPr>
          <w:rFonts w:hint="eastAsia" w:ascii="宋体" w:hAnsi="宋体" w:eastAsia="宋体" w:cs="宋体"/>
          <w:color w:val="auto"/>
          <w:sz w:val="21"/>
          <w:szCs w:val="21"/>
          <w:highlight w:val="none"/>
        </w:rPr>
        <w:t>，每逾期2小时，招标人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有权要求投标人按该次货物</w:t>
      </w:r>
      <w:r>
        <w:rPr>
          <w:rFonts w:hint="eastAsia" w:ascii="宋体" w:hAnsi="宋体" w:eastAsia="宋体" w:cs="宋体"/>
          <w:color w:val="auto"/>
          <w:sz w:val="21"/>
          <w:szCs w:val="21"/>
          <w:highlight w:val="none"/>
          <w:lang w:val="en-US" w:eastAsia="zh-CN"/>
        </w:rPr>
        <w:t>含税</w:t>
      </w:r>
      <w:r>
        <w:rPr>
          <w:rFonts w:hint="eastAsia" w:ascii="宋体" w:hAnsi="宋体" w:eastAsia="宋体" w:cs="宋体"/>
          <w:color w:val="auto"/>
          <w:sz w:val="21"/>
          <w:szCs w:val="21"/>
          <w:highlight w:val="none"/>
        </w:rPr>
        <w:t>结算货款的1%向招标人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支付违约金。投标人逾期超过12小时的，招标人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有权单方解除合同，并且没收投标人的部分或全部履约担保，投标人除支付前述逾期违约金外，招标人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有权要求投标人额外按该次货物</w:t>
      </w:r>
      <w:r>
        <w:rPr>
          <w:rFonts w:hint="eastAsia" w:ascii="宋体" w:hAnsi="宋体" w:eastAsia="宋体" w:cs="Times New Roman"/>
          <w:b w:val="0"/>
          <w:bCs/>
          <w:color w:val="auto"/>
          <w:szCs w:val="21"/>
          <w:highlight w:val="none"/>
          <w:u w:val="none"/>
          <w:lang w:val="en-US" w:eastAsia="zh-CN"/>
        </w:rPr>
        <w:t>含税</w:t>
      </w:r>
      <w:r>
        <w:rPr>
          <w:rFonts w:hint="eastAsia" w:ascii="宋体" w:hAnsi="宋体" w:eastAsia="宋体" w:cs="宋体"/>
          <w:color w:val="auto"/>
          <w:sz w:val="21"/>
          <w:szCs w:val="21"/>
          <w:highlight w:val="none"/>
        </w:rPr>
        <w:t>结算货款的5%向招标人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支付违约金，违约金不足以赔偿招标人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损失的，投标人需另行赔偿</w:t>
      </w:r>
      <w:bookmarkEnd w:id="433"/>
      <w:r>
        <w:rPr>
          <w:rFonts w:hint="eastAsia" w:ascii="宋体" w:hAnsi="宋体" w:eastAsia="宋体" w:cs="宋体"/>
          <w:color w:val="auto"/>
          <w:sz w:val="21"/>
          <w:szCs w:val="21"/>
          <w:highlight w:val="none"/>
        </w:rPr>
        <w:t>。</w:t>
      </w:r>
    </w:p>
    <w:p w14:paraId="267280CD">
      <w:pPr>
        <w:pStyle w:val="128"/>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bookmarkStart w:id="434" w:name="_Hlk142640612"/>
      <w:r>
        <w:rPr>
          <w:rFonts w:hint="eastAsia" w:ascii="宋体" w:hAnsi="宋体" w:eastAsia="宋体" w:cs="宋体"/>
          <w:color w:val="auto"/>
          <w:sz w:val="21"/>
          <w:szCs w:val="21"/>
          <w:highlight w:val="none"/>
        </w:rPr>
        <w:t>加急供货时，投标人未在约定的时间内完成交货的，或未在规定的时间内承担相应的更换、退货责任的，每逾期1小时，招标人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有权要求投标人按该次货物</w:t>
      </w:r>
      <w:r>
        <w:rPr>
          <w:rFonts w:hint="eastAsia" w:ascii="宋体" w:hAnsi="宋体" w:eastAsia="宋体" w:cs="宋体"/>
          <w:color w:val="auto"/>
          <w:sz w:val="21"/>
          <w:szCs w:val="21"/>
          <w:highlight w:val="none"/>
          <w:lang w:val="en-US" w:eastAsia="zh-CN"/>
        </w:rPr>
        <w:t>含税</w:t>
      </w:r>
      <w:r>
        <w:rPr>
          <w:rFonts w:hint="eastAsia" w:ascii="宋体" w:hAnsi="宋体" w:eastAsia="宋体" w:cs="宋体"/>
          <w:color w:val="auto"/>
          <w:sz w:val="21"/>
          <w:szCs w:val="21"/>
          <w:highlight w:val="none"/>
        </w:rPr>
        <w:t>结算货款的10%向招标人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支付违约金，投标人逾期超过4小时的，招标人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有权单方解除合同，并且没收投标人的部分或全部履约担保，投标人除前述逾期违约金外，招标人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有权要求投标人额外按该次货物</w:t>
      </w:r>
      <w:r>
        <w:rPr>
          <w:rFonts w:hint="eastAsia" w:ascii="宋体" w:hAnsi="宋体" w:eastAsia="宋体" w:cs="宋体"/>
          <w:color w:val="auto"/>
          <w:sz w:val="21"/>
          <w:szCs w:val="21"/>
          <w:highlight w:val="none"/>
          <w:lang w:val="en-US" w:eastAsia="zh-CN"/>
        </w:rPr>
        <w:t>含税</w:t>
      </w:r>
      <w:r>
        <w:rPr>
          <w:rFonts w:hint="eastAsia" w:ascii="宋体" w:hAnsi="宋体" w:eastAsia="宋体" w:cs="宋体"/>
          <w:color w:val="auto"/>
          <w:sz w:val="21"/>
          <w:szCs w:val="21"/>
          <w:highlight w:val="none"/>
        </w:rPr>
        <w:t>结算货款的20%向招标人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支付违约金，违约金不足以赔偿招标人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损失的，投标人需另行赔偿</w:t>
      </w:r>
      <w:bookmarkEnd w:id="434"/>
      <w:r>
        <w:rPr>
          <w:rFonts w:hint="eastAsia" w:ascii="宋体" w:hAnsi="宋体" w:eastAsia="宋体" w:cs="宋体"/>
          <w:color w:val="auto"/>
          <w:sz w:val="21"/>
          <w:szCs w:val="21"/>
          <w:highlight w:val="none"/>
        </w:rPr>
        <w:t>。</w:t>
      </w:r>
    </w:p>
    <w:p w14:paraId="5B44EF46">
      <w:pPr>
        <w:pStyle w:val="128"/>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bookmarkStart w:id="435" w:name="OLE_LINK6"/>
      <w:bookmarkStart w:id="436" w:name="_Hlk142640625"/>
      <w:r>
        <w:rPr>
          <w:rFonts w:hint="eastAsia" w:ascii="宋体" w:hAnsi="宋体" w:eastAsia="宋体" w:cs="宋体"/>
          <w:color w:val="auto"/>
          <w:sz w:val="21"/>
          <w:szCs w:val="21"/>
          <w:highlight w:val="none"/>
        </w:rPr>
        <w:t>投标人所交货物经招标人实验室或招标人委托的第三方检测机构检验累计出现3次（含）</w:t>
      </w:r>
      <w:bookmarkEnd w:id="435"/>
      <w:r>
        <w:rPr>
          <w:rFonts w:hint="eastAsia" w:ascii="宋体" w:hAnsi="宋体" w:eastAsia="宋体" w:cs="宋体"/>
          <w:color w:val="auto"/>
          <w:sz w:val="21"/>
          <w:szCs w:val="21"/>
          <w:highlight w:val="none"/>
        </w:rPr>
        <w:t>以上不合格的，招标人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有权单方中止或解除合同，暂停或取消投标人的供货资格，并根据对生产造成影响的严重程度，没收投标人的部分或全部履约担保</w:t>
      </w:r>
      <w:bookmarkEnd w:id="436"/>
      <w:r>
        <w:rPr>
          <w:rFonts w:hint="eastAsia" w:ascii="宋体" w:hAnsi="宋体" w:eastAsia="宋体" w:cs="宋体"/>
          <w:color w:val="auto"/>
          <w:sz w:val="21"/>
          <w:szCs w:val="21"/>
          <w:highlight w:val="none"/>
        </w:rPr>
        <w:t>。</w:t>
      </w:r>
    </w:p>
    <w:p w14:paraId="79A397FA">
      <w:pPr>
        <w:pStyle w:val="128"/>
        <w:autoSpaceDE/>
        <w:autoSpaceDN/>
        <w:adjustRightInd/>
        <w:spacing w:line="360" w:lineRule="auto"/>
        <w:rPr>
          <w:rFonts w:hint="eastAsia" w:ascii="宋体" w:hAnsi="宋体" w:eastAsia="宋体" w:cs="宋体"/>
          <w:color w:val="auto"/>
          <w:sz w:val="21"/>
          <w:szCs w:val="21"/>
          <w:highlight w:val="none"/>
        </w:rPr>
      </w:pPr>
      <w:bookmarkStart w:id="437" w:name="_Hlk142640642"/>
      <w:r>
        <w:rPr>
          <w:rFonts w:hint="eastAsia" w:ascii="宋体" w:hAnsi="宋体" w:eastAsia="宋体" w:cs="宋体"/>
          <w:color w:val="auto"/>
          <w:sz w:val="21"/>
          <w:szCs w:val="21"/>
          <w:highlight w:val="none"/>
        </w:rPr>
        <w:t>4、投标人应根据招标人运营项目工艺以及性质，提供符合技术指标的药剂，保证供货的药剂在招标人运营项目良好的使用效果。</w:t>
      </w:r>
    </w:p>
    <w:p w14:paraId="3EAEA90F">
      <w:pPr>
        <w:pStyle w:val="128"/>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如因药剂问题对招标人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生产、成本造成影响，招标人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有权要求投标人按该次货物</w:t>
      </w:r>
      <w:r>
        <w:rPr>
          <w:rFonts w:hint="eastAsia" w:ascii="宋体" w:hAnsi="宋体" w:eastAsia="宋体" w:cs="宋体"/>
          <w:color w:val="auto"/>
          <w:sz w:val="21"/>
          <w:szCs w:val="21"/>
          <w:highlight w:val="none"/>
          <w:lang w:val="en-US" w:eastAsia="zh-CN"/>
        </w:rPr>
        <w:t>含税</w:t>
      </w:r>
      <w:r>
        <w:rPr>
          <w:rFonts w:hint="eastAsia" w:ascii="宋体" w:hAnsi="宋体" w:eastAsia="宋体" w:cs="宋体"/>
          <w:color w:val="auto"/>
          <w:sz w:val="21"/>
          <w:szCs w:val="21"/>
          <w:highlight w:val="none"/>
        </w:rPr>
        <w:t>结算货款的20%向招标人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支付违约金，违约金不足以赔偿招标人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损失的，投标人需另行赔偿，同时根据对招标人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生产、成本造成影响的严重程度，招标人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有权没收投标人的部分或全部履约担保</w:t>
      </w:r>
      <w:bookmarkEnd w:id="437"/>
      <w:r>
        <w:rPr>
          <w:rFonts w:hint="eastAsia" w:ascii="宋体" w:hAnsi="宋体" w:eastAsia="宋体" w:cs="宋体"/>
          <w:color w:val="auto"/>
          <w:sz w:val="21"/>
          <w:szCs w:val="21"/>
          <w:highlight w:val="none"/>
        </w:rPr>
        <w:t>。</w:t>
      </w:r>
    </w:p>
    <w:p w14:paraId="05CE39BF">
      <w:pPr>
        <w:pStyle w:val="128"/>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、如投标人提供的药剂严重影响招标人运营项目生产或造成招标人运营项目出水水质指标超标的情况，招标人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有权追究投标人由此造成的损失，并有权单方面中止或解除合同，取消其供货资格，没收全部履约</w:t>
      </w:r>
      <w:r>
        <w:rPr>
          <w:rFonts w:hint="eastAsia" w:ascii="宋体" w:hAnsi="宋体" w:eastAsia="宋体" w:cs="宋体"/>
          <w:color w:val="auto"/>
          <w:sz w:val="21"/>
          <w:szCs w:val="21"/>
          <w:highlight w:val="none"/>
          <w:lang w:val="en-US" w:eastAsia="zh-CN"/>
        </w:rPr>
        <w:t>担保</w:t>
      </w:r>
      <w:r>
        <w:rPr>
          <w:rFonts w:hint="eastAsia" w:ascii="宋体" w:hAnsi="宋体" w:eastAsia="宋体" w:cs="宋体"/>
          <w:color w:val="auto"/>
          <w:sz w:val="21"/>
          <w:szCs w:val="21"/>
          <w:highlight w:val="none"/>
        </w:rPr>
        <w:t>。</w:t>
      </w:r>
    </w:p>
    <w:p w14:paraId="71CDD017">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bookmarkStart w:id="438" w:name="_Hlk142640720"/>
      <w:r>
        <w:rPr>
          <w:rFonts w:hint="eastAsia" w:ascii="宋体" w:hAnsi="宋体" w:eastAsia="宋体" w:cs="宋体"/>
          <w:color w:val="auto"/>
          <w:kern w:val="2"/>
          <w:sz w:val="21"/>
          <w:szCs w:val="21"/>
          <w:highlight w:val="none"/>
          <w:lang w:val="en-US" w:eastAsia="zh-CN"/>
        </w:rPr>
        <w:t>7</w:t>
      </w:r>
      <w:r>
        <w:rPr>
          <w:rFonts w:hint="eastAsia" w:ascii="宋体" w:hAnsi="宋体" w:eastAsia="宋体" w:cs="宋体"/>
          <w:color w:val="auto"/>
          <w:kern w:val="2"/>
          <w:sz w:val="21"/>
          <w:szCs w:val="21"/>
          <w:highlight w:val="none"/>
        </w:rPr>
        <w:t>、对于货物最终验收不合格且招标人运营项目已经开始使用或者使用完毕无法退换的，货款按照以下方式处理：①若招标人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kern w:val="2"/>
          <w:sz w:val="21"/>
          <w:szCs w:val="21"/>
          <w:highlight w:val="none"/>
        </w:rPr>
        <w:t>已支付货款的，则投标人应向招标人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kern w:val="2"/>
          <w:sz w:val="21"/>
          <w:szCs w:val="21"/>
          <w:highlight w:val="none"/>
        </w:rPr>
        <w:t>退还已支付的货款；②若招标人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kern w:val="2"/>
          <w:sz w:val="21"/>
          <w:szCs w:val="21"/>
          <w:highlight w:val="none"/>
        </w:rPr>
        <w:t>未支付货款的，则招标人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kern w:val="2"/>
          <w:sz w:val="21"/>
          <w:szCs w:val="21"/>
          <w:highlight w:val="none"/>
        </w:rPr>
        <w:t>无需支付货款</w:t>
      </w:r>
      <w:bookmarkEnd w:id="438"/>
      <w:r>
        <w:rPr>
          <w:rFonts w:hint="eastAsia" w:ascii="宋体" w:hAnsi="宋体" w:eastAsia="宋体" w:cs="宋体"/>
          <w:color w:val="auto"/>
          <w:kern w:val="2"/>
          <w:sz w:val="21"/>
          <w:szCs w:val="21"/>
          <w:highlight w:val="none"/>
        </w:rPr>
        <w:t>。</w:t>
      </w:r>
    </w:p>
    <w:p w14:paraId="4F28666E">
      <w:pPr>
        <w:pStyle w:val="128"/>
        <w:autoSpaceDE/>
        <w:autoSpaceDN/>
        <w:adjustRightInd/>
        <w:spacing w:line="360" w:lineRule="auto"/>
        <w:ind w:firstLine="283" w:firstLineChars="135"/>
        <w:rPr>
          <w:rFonts w:hint="eastAsia" w:ascii="宋体" w:hAnsi="宋体" w:eastAsia="宋体" w:cs="宋体"/>
          <w:color w:val="auto"/>
          <w:sz w:val="21"/>
          <w:szCs w:val="21"/>
          <w:highlight w:val="none"/>
        </w:rPr>
      </w:pPr>
      <w:bookmarkStart w:id="439" w:name="_Hlk142640741"/>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、若投标人对招标人</w:t>
      </w:r>
      <w:r>
        <w:rPr>
          <w:rFonts w:hint="eastAsia" w:ascii="宋体" w:hAnsi="宋体" w:eastAsia="宋体" w:cs="宋体"/>
          <w:color w:val="auto"/>
          <w:sz w:val="21"/>
          <w:szCs w:val="21"/>
          <w:highlight w:val="none"/>
          <w:lang w:bidi="ar"/>
        </w:rPr>
        <w:t>运营项目</w:t>
      </w:r>
      <w:r>
        <w:rPr>
          <w:rFonts w:hint="eastAsia" w:ascii="宋体" w:hAnsi="宋体" w:eastAsia="宋体" w:cs="宋体"/>
          <w:color w:val="auto"/>
          <w:sz w:val="21"/>
          <w:szCs w:val="21"/>
          <w:highlight w:val="none"/>
        </w:rPr>
        <w:t>验收结果有异议，投标人应自招标人</w:t>
      </w:r>
      <w:r>
        <w:rPr>
          <w:rFonts w:hint="eastAsia" w:ascii="宋体" w:hAnsi="宋体" w:eastAsia="宋体" w:cs="Times New Roman"/>
          <w:b w:val="0"/>
          <w:bCs/>
          <w:color w:val="auto"/>
          <w:szCs w:val="21"/>
          <w:highlight w:val="none"/>
          <w:u w:val="none"/>
          <w:lang w:val="en-US" w:eastAsia="zh-CN"/>
        </w:rPr>
        <w:t>运营项目</w:t>
      </w:r>
      <w:r>
        <w:rPr>
          <w:rFonts w:hint="eastAsia" w:ascii="宋体" w:hAnsi="宋体" w:eastAsia="宋体" w:cs="宋体"/>
          <w:color w:val="auto"/>
          <w:sz w:val="21"/>
          <w:szCs w:val="21"/>
          <w:highlight w:val="none"/>
        </w:rPr>
        <w:t>书面告知投标人检验结果24小时内，书面要求通过投标人和招标人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双方确认的具有CMA认证资质的第三方单位对留样货物进行检测，最终供货产品质量判定以投标人和招标人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双方确认的具有CMA认证资质的第三方检测机构检验结果为准；因此产生的检测费、运输费等全部费用均由投标人承担</w:t>
      </w:r>
      <w:bookmarkEnd w:id="439"/>
      <w:r>
        <w:rPr>
          <w:rFonts w:hint="eastAsia" w:ascii="宋体" w:hAnsi="宋体" w:eastAsia="宋体" w:cs="宋体"/>
          <w:color w:val="auto"/>
          <w:sz w:val="21"/>
          <w:szCs w:val="21"/>
          <w:highlight w:val="none"/>
        </w:rPr>
        <w:t>。</w:t>
      </w:r>
    </w:p>
    <w:p w14:paraId="14A92AC8">
      <w:pPr>
        <w:pStyle w:val="128"/>
        <w:autoSpaceDE/>
        <w:autoSpaceDN/>
        <w:adjustRightInd/>
        <w:spacing w:line="360" w:lineRule="auto"/>
        <w:rPr>
          <w:rFonts w:hint="eastAsia" w:ascii="宋体" w:hAnsi="宋体" w:eastAsia="宋体" w:cs="宋体"/>
          <w:color w:val="auto"/>
          <w:sz w:val="21"/>
          <w:szCs w:val="21"/>
          <w:highlight w:val="none"/>
        </w:rPr>
      </w:pPr>
      <w:bookmarkStart w:id="440" w:name="_Hlk142640749"/>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、授予合同前或合同履行中，招标人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有权实地核查投标人在投标时提供的分支机构或服务机构的场地、生产/储存/运输设备设施及能力等材料的符合性，若发现虚假将取消中标资格，且招标人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有权终止合同。因此给招标人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造成损失的，全部由投标人承担</w:t>
      </w:r>
      <w:bookmarkEnd w:id="440"/>
      <w:r>
        <w:rPr>
          <w:rFonts w:hint="eastAsia" w:ascii="宋体" w:hAnsi="宋体" w:eastAsia="宋体" w:cs="宋体"/>
          <w:color w:val="auto"/>
          <w:sz w:val="21"/>
          <w:szCs w:val="21"/>
          <w:highlight w:val="none"/>
        </w:rPr>
        <w:t>。</w:t>
      </w:r>
    </w:p>
    <w:p w14:paraId="56BF6456">
      <w:pPr>
        <w:pStyle w:val="128"/>
        <w:autoSpaceDE/>
        <w:autoSpaceDN/>
        <w:adjustRightInd/>
        <w:spacing w:line="360" w:lineRule="auto"/>
        <w:rPr>
          <w:rFonts w:hint="eastAsia" w:ascii="宋体" w:hAnsi="宋体" w:eastAsia="宋体" w:cs="宋体"/>
          <w:color w:val="auto"/>
          <w:sz w:val="21"/>
          <w:szCs w:val="21"/>
          <w:highlight w:val="none"/>
        </w:rPr>
      </w:pPr>
      <w:bookmarkStart w:id="441" w:name="_Hlk142640756"/>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在招标文件</w:t>
      </w:r>
      <w:r>
        <w:rPr>
          <w:rFonts w:hint="eastAsia" w:ascii="宋体" w:hAnsi="宋体" w:eastAsia="宋体" w:cs="宋体"/>
          <w:color w:val="auto"/>
          <w:sz w:val="21"/>
          <w:szCs w:val="21"/>
          <w:highlight w:val="none"/>
          <w:lang w:val="en-US" w:eastAsia="zh-CN"/>
        </w:rPr>
        <w:t>及合同</w:t>
      </w:r>
      <w:r>
        <w:rPr>
          <w:rFonts w:hint="eastAsia" w:ascii="宋体" w:hAnsi="宋体" w:eastAsia="宋体" w:cs="宋体"/>
          <w:color w:val="auto"/>
          <w:sz w:val="21"/>
          <w:szCs w:val="21"/>
          <w:highlight w:val="none"/>
        </w:rPr>
        <w:t>约定的供货期限和采购范围内，招标人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有权根据项目实际情况及有关法律法规、政策的规定进行变更调整。在变更调整后，投标人应遵照执行</w:t>
      </w:r>
      <w:bookmarkEnd w:id="441"/>
      <w:r>
        <w:rPr>
          <w:rFonts w:hint="eastAsia" w:ascii="宋体" w:hAnsi="宋体" w:eastAsia="宋体" w:cs="宋体"/>
          <w:color w:val="auto"/>
          <w:sz w:val="21"/>
          <w:szCs w:val="21"/>
          <w:highlight w:val="none"/>
        </w:rPr>
        <w:t>。</w:t>
      </w:r>
    </w:p>
    <w:p w14:paraId="76B26FEB">
      <w:pPr>
        <w:spacing w:line="360" w:lineRule="auto"/>
        <w:ind w:firstLine="420" w:firstLineChars="200"/>
        <w:jc w:val="both"/>
        <w:rPr>
          <w:rFonts w:hint="eastAsia" w:ascii="宋体" w:hAnsi="宋体" w:eastAsia="宋体" w:cs="宋体"/>
          <w:color w:val="auto"/>
          <w:sz w:val="21"/>
          <w:szCs w:val="21"/>
          <w:highlight w:val="none"/>
        </w:rPr>
      </w:pPr>
      <w:bookmarkStart w:id="442" w:name="_Hlk142640763"/>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投标人应当为其工作人员投保足额的社会保险、商业保险及为货物的运输投保足额的商业保险，如在运输及装卸过程中，相关生产药剂发生泄漏而导致的一切人员伤亡或财产损失事故，因此产生的赔偿责任或相关法律责任均由投标人自行承担。凡由于货物包装不良、运输方式不当或非法运输造成的事故、损失、行政处罚和由此产生的其他全部费用均由投标人全部承担</w:t>
      </w:r>
      <w:bookmarkEnd w:id="442"/>
      <w:r>
        <w:rPr>
          <w:rFonts w:hint="eastAsia" w:ascii="宋体" w:hAnsi="宋体" w:eastAsia="宋体" w:cs="宋体"/>
          <w:color w:val="auto"/>
          <w:sz w:val="21"/>
          <w:szCs w:val="21"/>
          <w:highlight w:val="none"/>
        </w:rPr>
        <w:t>。</w:t>
      </w:r>
    </w:p>
    <w:p w14:paraId="07BF1204">
      <w:pPr>
        <w:pStyle w:val="128"/>
        <w:widowControl/>
        <w:autoSpaceDE/>
        <w:autoSpaceDN/>
        <w:adjustRightInd/>
        <w:spacing w:line="360" w:lineRule="auto"/>
        <w:rPr>
          <w:rFonts w:hint="eastAsia" w:ascii="宋体" w:hAnsi="宋体" w:eastAsia="宋体" w:cs="宋体"/>
          <w:color w:val="auto"/>
          <w:sz w:val="21"/>
          <w:szCs w:val="21"/>
          <w:highlight w:val="none"/>
        </w:rPr>
      </w:pPr>
      <w:bookmarkStart w:id="443" w:name="_Hlk142640785"/>
      <w:r>
        <w:rPr>
          <w:rFonts w:hint="eastAsia" w:ascii="宋体" w:hAnsi="宋体" w:eastAsia="宋体" w:cs="宋体"/>
          <w:color w:val="auto"/>
          <w:sz w:val="21"/>
          <w:szCs w:val="21"/>
          <w:highlight w:val="none"/>
          <w:lang w:val="en-US" w:eastAsia="zh-CN" w:bidi="ar"/>
        </w:rPr>
        <w:t>12</w:t>
      </w:r>
      <w:r>
        <w:rPr>
          <w:rFonts w:hint="eastAsia" w:ascii="宋体" w:hAnsi="宋体" w:eastAsia="宋体" w:cs="宋体"/>
          <w:color w:val="auto"/>
          <w:sz w:val="21"/>
          <w:szCs w:val="21"/>
          <w:highlight w:val="none"/>
          <w:lang w:bidi="ar"/>
        </w:rPr>
        <w:t>、投标人有义务接受招标人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lang w:bidi="ar"/>
        </w:rPr>
        <w:t>的监督、评价及考核，且同意招标人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lang w:bidi="ar"/>
        </w:rPr>
        <w:t xml:space="preserve">关于供货资格供应商的管理规则及要求。 </w:t>
      </w:r>
    </w:p>
    <w:p w14:paraId="61D8CCD0">
      <w:pPr>
        <w:pStyle w:val="128"/>
        <w:widowControl/>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bidi="ar"/>
        </w:rPr>
        <w:t>13</w:t>
      </w:r>
      <w:r>
        <w:rPr>
          <w:rFonts w:hint="eastAsia" w:ascii="宋体" w:hAnsi="宋体" w:eastAsia="宋体" w:cs="宋体"/>
          <w:color w:val="auto"/>
          <w:sz w:val="21"/>
          <w:szCs w:val="21"/>
          <w:highlight w:val="none"/>
          <w:lang w:bidi="ar"/>
        </w:rPr>
        <w:t>、招标人运营项目每月在付款手续前对投标人的履约情况进行评价，填写《</w:t>
      </w:r>
      <w:bookmarkStart w:id="444" w:name="OLE_LINK15"/>
      <w:r>
        <w:rPr>
          <w:rFonts w:hint="eastAsia" w:ascii="宋体" w:hAnsi="宋体" w:eastAsia="宋体" w:cs="宋体"/>
          <w:color w:val="auto"/>
          <w:sz w:val="21"/>
          <w:szCs w:val="21"/>
          <w:highlight w:val="none"/>
          <w:lang w:bidi="ar"/>
        </w:rPr>
        <w:t>供应商履约评价表</w:t>
      </w:r>
      <w:bookmarkEnd w:id="444"/>
      <w:r>
        <w:rPr>
          <w:rFonts w:hint="eastAsia" w:ascii="宋体" w:hAnsi="宋体" w:eastAsia="宋体" w:cs="宋体"/>
          <w:color w:val="auto"/>
          <w:sz w:val="21"/>
          <w:szCs w:val="21"/>
          <w:highlight w:val="none"/>
          <w:lang w:bidi="ar"/>
        </w:rPr>
        <w:t>》</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val="en-US" w:eastAsia="zh-CN" w:bidi="ar"/>
        </w:rPr>
        <w:t>详见第四篇 合同条款格式 附件2</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。考核评分满分为100分，考核评分分数低于80分、达到60分时，投标人应按该</w:t>
      </w:r>
      <w:r>
        <w:rPr>
          <w:rFonts w:hint="eastAsia" w:ascii="宋体" w:hAnsi="宋体" w:eastAsia="宋体" w:cs="宋体"/>
          <w:color w:val="auto"/>
          <w:sz w:val="21"/>
          <w:szCs w:val="21"/>
          <w:highlight w:val="none"/>
          <w:lang w:val="en-US" w:eastAsia="zh-CN" w:bidi="ar"/>
        </w:rPr>
        <w:t>月</w:t>
      </w:r>
      <w:r>
        <w:rPr>
          <w:rFonts w:hint="eastAsia" w:ascii="宋体" w:hAnsi="宋体" w:eastAsia="宋体" w:cs="宋体"/>
          <w:color w:val="auto"/>
          <w:sz w:val="21"/>
          <w:szCs w:val="21"/>
          <w:highlight w:val="none"/>
          <w:lang w:bidi="ar"/>
        </w:rPr>
        <w:t>货物</w:t>
      </w:r>
      <w:bookmarkStart w:id="445" w:name="OLE_LINK30"/>
      <w:r>
        <w:rPr>
          <w:rFonts w:hint="eastAsia" w:ascii="宋体" w:hAnsi="宋体" w:eastAsia="宋体" w:cs="宋体"/>
          <w:color w:val="auto"/>
          <w:sz w:val="21"/>
          <w:szCs w:val="21"/>
          <w:highlight w:val="none"/>
          <w:lang w:val="en-US" w:eastAsia="zh-CN" w:bidi="ar"/>
        </w:rPr>
        <w:t>含税</w:t>
      </w:r>
      <w:bookmarkEnd w:id="445"/>
      <w:r>
        <w:rPr>
          <w:rFonts w:hint="eastAsia" w:ascii="宋体" w:hAnsi="宋体" w:eastAsia="宋体" w:cs="宋体"/>
          <w:color w:val="auto"/>
          <w:sz w:val="21"/>
          <w:szCs w:val="21"/>
          <w:highlight w:val="none"/>
          <w:lang w:bidi="ar"/>
        </w:rPr>
        <w:t>结算货款的20%向</w:t>
      </w:r>
      <w:bookmarkStart w:id="446" w:name="OLE_LINK10"/>
      <w:r>
        <w:rPr>
          <w:rFonts w:hint="eastAsia" w:ascii="宋体" w:hAnsi="宋体" w:eastAsia="宋体" w:cs="宋体"/>
          <w:color w:val="auto"/>
          <w:sz w:val="21"/>
          <w:szCs w:val="21"/>
          <w:highlight w:val="none"/>
          <w:lang w:bidi="ar"/>
        </w:rPr>
        <w:t>招标人</w:t>
      </w:r>
      <w:r>
        <w:rPr>
          <w:rFonts w:hint="eastAsia" w:ascii="宋体" w:hAnsi="宋体" w:eastAsia="宋体" w:cs="Times New Roman"/>
          <w:b w:val="0"/>
          <w:bCs/>
          <w:color w:val="auto"/>
          <w:szCs w:val="21"/>
          <w:highlight w:val="none"/>
          <w:u w:val="none"/>
          <w:lang w:val="en-US" w:eastAsia="zh-CN"/>
        </w:rPr>
        <w:t>或招标人权属子公司</w:t>
      </w:r>
      <w:bookmarkEnd w:id="446"/>
      <w:r>
        <w:rPr>
          <w:rFonts w:hint="eastAsia" w:ascii="宋体" w:hAnsi="宋体" w:eastAsia="宋体" w:cs="宋体"/>
          <w:color w:val="auto"/>
          <w:sz w:val="21"/>
          <w:szCs w:val="21"/>
          <w:highlight w:val="none"/>
          <w:lang w:bidi="ar"/>
        </w:rPr>
        <w:t>支付违约金；考核评分分数低于60分时，投标人应按该</w:t>
      </w:r>
      <w:r>
        <w:rPr>
          <w:rFonts w:hint="eastAsia" w:ascii="宋体" w:hAnsi="宋体" w:eastAsia="宋体" w:cs="宋体"/>
          <w:color w:val="auto"/>
          <w:sz w:val="21"/>
          <w:szCs w:val="21"/>
          <w:highlight w:val="none"/>
          <w:lang w:val="en-US" w:eastAsia="zh-CN" w:bidi="ar"/>
        </w:rPr>
        <w:t>月</w:t>
      </w:r>
      <w:r>
        <w:rPr>
          <w:rFonts w:hint="eastAsia" w:ascii="宋体" w:hAnsi="宋体" w:eastAsia="宋体" w:cs="宋体"/>
          <w:color w:val="auto"/>
          <w:sz w:val="21"/>
          <w:szCs w:val="21"/>
          <w:highlight w:val="none"/>
          <w:lang w:bidi="ar"/>
        </w:rPr>
        <w:t>货物</w:t>
      </w:r>
      <w:r>
        <w:rPr>
          <w:rFonts w:hint="eastAsia" w:ascii="宋体" w:hAnsi="宋体" w:eastAsia="宋体" w:cs="宋体"/>
          <w:color w:val="auto"/>
          <w:sz w:val="21"/>
          <w:szCs w:val="21"/>
          <w:highlight w:val="none"/>
          <w:lang w:val="en-US" w:eastAsia="zh-CN" w:bidi="ar"/>
        </w:rPr>
        <w:t>含税</w:t>
      </w:r>
      <w:r>
        <w:rPr>
          <w:rFonts w:hint="eastAsia" w:ascii="宋体" w:hAnsi="宋体" w:eastAsia="宋体" w:cs="宋体"/>
          <w:color w:val="auto"/>
          <w:sz w:val="21"/>
          <w:szCs w:val="21"/>
          <w:highlight w:val="none"/>
          <w:lang w:bidi="ar"/>
        </w:rPr>
        <w:t>结算货款的30%向招标人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lang w:bidi="ar"/>
        </w:rPr>
        <w:t>支付违约金。若供货期内累计出现3次</w:t>
      </w:r>
      <w:r>
        <w:rPr>
          <w:rFonts w:hint="eastAsia" w:ascii="宋体" w:hAnsi="宋体" w:eastAsia="宋体" w:cs="宋体"/>
          <w:color w:val="auto"/>
          <w:kern w:val="2"/>
          <w:sz w:val="21"/>
          <w:szCs w:val="21"/>
          <w:highlight w:val="none"/>
        </w:rPr>
        <w:t>（含）以上</w:t>
      </w:r>
      <w:r>
        <w:rPr>
          <w:rFonts w:hint="eastAsia" w:ascii="宋体" w:hAnsi="宋体" w:eastAsia="宋体" w:cs="宋体"/>
          <w:color w:val="auto"/>
          <w:sz w:val="21"/>
          <w:szCs w:val="21"/>
          <w:highlight w:val="none"/>
          <w:lang w:bidi="ar"/>
        </w:rPr>
        <w:t>评审结论为不合格的，招标人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lang w:bidi="ar"/>
        </w:rPr>
        <w:t>有权取消投标人的供货资格并单方解除合同、没收投标人部分或全部履约担保</w:t>
      </w:r>
      <w:bookmarkEnd w:id="443"/>
      <w:r>
        <w:rPr>
          <w:rFonts w:hint="eastAsia" w:ascii="宋体" w:hAnsi="宋体" w:eastAsia="宋体" w:cs="宋体"/>
          <w:color w:val="auto"/>
          <w:sz w:val="21"/>
          <w:szCs w:val="21"/>
          <w:highlight w:val="none"/>
          <w:lang w:bidi="ar"/>
        </w:rPr>
        <w:t>。</w:t>
      </w:r>
    </w:p>
    <w:p w14:paraId="2E6F7B61">
      <w:pPr>
        <w:keepNext w:val="0"/>
        <w:keepLines w:val="0"/>
        <w:pageBreakBefore w:val="0"/>
        <w:widowControl w:val="0"/>
        <w:suppressLineNumbers w:val="0"/>
        <w:spacing w:before="0" w:beforeAutospacing="0" w:after="0" w:afterAutospacing="0" w:line="36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
        </w:rPr>
        <w:t xml:space="preserve"> </w:t>
      </w:r>
      <w:r>
        <w:rPr>
          <w:rFonts w:hint="eastAsia" w:ascii="宋体" w:hAnsi="宋体" w:eastAsia="宋体" w:cs="宋体"/>
          <w:b/>
          <w:bCs/>
          <w:color w:val="auto"/>
          <w:kern w:val="2"/>
          <w:sz w:val="21"/>
          <w:szCs w:val="21"/>
          <w:highlight w:val="none"/>
          <w:lang w:val="en-US" w:eastAsia="zh-CN" w:bidi="ar"/>
        </w:rPr>
        <w:t>附件：</w:t>
      </w:r>
      <w:r>
        <w:rPr>
          <w:rFonts w:hint="eastAsia" w:ascii="宋体" w:hAnsi="宋体" w:eastAsia="宋体" w:cs="宋体"/>
          <w:b/>
          <w:color w:val="auto"/>
          <w:kern w:val="2"/>
          <w:sz w:val="21"/>
          <w:szCs w:val="21"/>
          <w:highlight w:val="none"/>
        </w:rPr>
        <w:t>招标人运营项目相关信息</w:t>
      </w:r>
    </w:p>
    <w:tbl>
      <w:tblPr>
        <w:tblStyle w:val="37"/>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53"/>
        <w:gridCol w:w="4199"/>
        <w:gridCol w:w="5416"/>
      </w:tblGrid>
      <w:tr w14:paraId="6F993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63" w:type="pct"/>
            <w:shd w:val="clear" w:color="auto" w:fill="FFFFFF"/>
            <w:vAlign w:val="center"/>
          </w:tcPr>
          <w:p w14:paraId="2E0A72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2025" w:type="pct"/>
            <w:shd w:val="clear" w:color="auto" w:fill="FFFFFF"/>
            <w:vAlign w:val="center"/>
          </w:tcPr>
          <w:p w14:paraId="6DA66D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项目名称</w:t>
            </w:r>
          </w:p>
        </w:tc>
        <w:tc>
          <w:tcPr>
            <w:tcW w:w="2611" w:type="pct"/>
            <w:shd w:val="clear" w:color="auto" w:fill="FFFFFF"/>
            <w:vAlign w:val="center"/>
          </w:tcPr>
          <w:p w14:paraId="6CF830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项目地址</w:t>
            </w:r>
          </w:p>
        </w:tc>
      </w:tr>
      <w:tr w14:paraId="4F9FF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5000" w:type="pct"/>
            <w:gridSpan w:val="3"/>
            <w:shd w:val="clear" w:color="auto" w:fill="FFFFFF"/>
            <w:vAlign w:val="center"/>
          </w:tcPr>
          <w:p w14:paraId="1C510F4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一、污水处理厂项目</w:t>
            </w:r>
          </w:p>
        </w:tc>
      </w:tr>
      <w:tr w14:paraId="691D0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4" w:hRule="atLeast"/>
        </w:trPr>
        <w:tc>
          <w:tcPr>
            <w:tcW w:w="363" w:type="pct"/>
            <w:shd w:val="clear" w:color="auto" w:fill="FFFFFF"/>
            <w:vAlign w:val="center"/>
          </w:tcPr>
          <w:p w14:paraId="75B4A7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025" w:type="pct"/>
            <w:shd w:val="clear" w:color="auto" w:fill="FFFFFF"/>
            <w:vAlign w:val="center"/>
          </w:tcPr>
          <w:p w14:paraId="31DF59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中堂污水处理厂二期</w:t>
            </w:r>
          </w:p>
        </w:tc>
        <w:tc>
          <w:tcPr>
            <w:tcW w:w="2611" w:type="pct"/>
            <w:shd w:val="clear" w:color="auto" w:fill="FFFFFF"/>
            <w:vAlign w:val="center"/>
          </w:tcPr>
          <w:p w14:paraId="140FE5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中堂镇东向村滨河东路68号101室</w:t>
            </w:r>
          </w:p>
        </w:tc>
      </w:tr>
      <w:tr w14:paraId="150AD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63" w:type="pct"/>
            <w:shd w:val="clear" w:color="auto" w:fill="FFFFFF"/>
            <w:vAlign w:val="center"/>
          </w:tcPr>
          <w:p w14:paraId="56C257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2025" w:type="pct"/>
            <w:shd w:val="clear" w:color="auto" w:fill="FFFFFF"/>
            <w:vAlign w:val="center"/>
          </w:tcPr>
          <w:p w14:paraId="2A8377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麻涌污水处理厂二期</w:t>
            </w:r>
          </w:p>
        </w:tc>
        <w:tc>
          <w:tcPr>
            <w:tcW w:w="2611" w:type="pct"/>
            <w:shd w:val="clear" w:color="auto" w:fill="FFFFFF"/>
            <w:vAlign w:val="center"/>
          </w:tcPr>
          <w:p w14:paraId="54E37D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东莞市麻涌镇新沙公园南一路9号</w:t>
            </w:r>
          </w:p>
        </w:tc>
      </w:tr>
      <w:tr w14:paraId="4D4E8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4" w:hRule="atLeast"/>
        </w:trPr>
        <w:tc>
          <w:tcPr>
            <w:tcW w:w="363" w:type="pct"/>
            <w:shd w:val="clear" w:color="auto" w:fill="FFFFFF"/>
            <w:vAlign w:val="center"/>
          </w:tcPr>
          <w:p w14:paraId="7214A2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2025" w:type="pct"/>
            <w:shd w:val="clear" w:color="auto" w:fill="FFFFFF"/>
            <w:vAlign w:val="center"/>
          </w:tcPr>
          <w:p w14:paraId="3835FC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寮步竹园污水处理厂二期</w:t>
            </w:r>
          </w:p>
        </w:tc>
        <w:tc>
          <w:tcPr>
            <w:tcW w:w="2611" w:type="pct"/>
            <w:shd w:val="clear" w:color="auto" w:fill="FFFFFF"/>
            <w:vAlign w:val="center"/>
          </w:tcPr>
          <w:p w14:paraId="0B5402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东莞市寮步镇竹园村横岭工业区18号</w:t>
            </w:r>
          </w:p>
        </w:tc>
      </w:tr>
      <w:tr w14:paraId="4BC45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4" w:hRule="atLeast"/>
        </w:trPr>
        <w:tc>
          <w:tcPr>
            <w:tcW w:w="363" w:type="pct"/>
            <w:shd w:val="clear" w:color="auto" w:fill="FFFFFF"/>
            <w:vAlign w:val="center"/>
          </w:tcPr>
          <w:p w14:paraId="63445D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2025" w:type="pct"/>
            <w:shd w:val="clear" w:color="auto" w:fill="auto"/>
            <w:vAlign w:val="center"/>
          </w:tcPr>
          <w:p w14:paraId="318EA7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大朗松山湖南部污水处理厂二期</w:t>
            </w:r>
          </w:p>
        </w:tc>
        <w:tc>
          <w:tcPr>
            <w:tcW w:w="2611" w:type="pct"/>
            <w:shd w:val="clear" w:color="auto" w:fill="auto"/>
            <w:vAlign w:val="center"/>
          </w:tcPr>
          <w:p w14:paraId="6C5862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东莞市大朗镇沙步村杨沙路153号十三栋101室</w:t>
            </w:r>
          </w:p>
        </w:tc>
      </w:tr>
      <w:tr w14:paraId="7063D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4" w:hRule="atLeast"/>
        </w:trPr>
        <w:tc>
          <w:tcPr>
            <w:tcW w:w="363" w:type="pct"/>
            <w:shd w:val="clear" w:color="auto" w:fill="FFFFFF"/>
            <w:vAlign w:val="center"/>
          </w:tcPr>
          <w:p w14:paraId="0EA6C9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2025" w:type="pct"/>
            <w:shd w:val="clear" w:color="auto" w:fill="FFFFFF"/>
            <w:vAlign w:val="center"/>
          </w:tcPr>
          <w:p w14:paraId="605490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樟木头污水处理厂三期</w:t>
            </w:r>
          </w:p>
        </w:tc>
        <w:tc>
          <w:tcPr>
            <w:tcW w:w="2611" w:type="pct"/>
            <w:shd w:val="clear" w:color="auto" w:fill="FFFFFF"/>
            <w:vAlign w:val="center"/>
          </w:tcPr>
          <w:p w14:paraId="6162A1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樟木头镇柏地社区柏峰路169号</w:t>
            </w:r>
          </w:p>
        </w:tc>
      </w:tr>
      <w:tr w14:paraId="58A51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63" w:type="pct"/>
            <w:shd w:val="clear" w:color="auto" w:fill="FFFFFF"/>
            <w:vAlign w:val="center"/>
          </w:tcPr>
          <w:p w14:paraId="64D409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2025" w:type="pct"/>
            <w:shd w:val="clear" w:color="auto" w:fill="FFFFFF"/>
            <w:vAlign w:val="center"/>
          </w:tcPr>
          <w:p w14:paraId="3CFEB8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塘厦大坪污水处理厂一期</w:t>
            </w:r>
          </w:p>
        </w:tc>
        <w:tc>
          <w:tcPr>
            <w:tcW w:w="2611" w:type="pct"/>
            <w:shd w:val="clear" w:color="auto" w:fill="FFFFFF"/>
            <w:vAlign w:val="center"/>
          </w:tcPr>
          <w:p w14:paraId="0582B6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w:t>
            </w:r>
          </w:p>
        </w:tc>
      </w:tr>
      <w:tr w14:paraId="551ED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5000" w:type="pct"/>
            <w:gridSpan w:val="3"/>
            <w:shd w:val="clear" w:color="auto" w:fill="FFFFFF"/>
            <w:vAlign w:val="center"/>
          </w:tcPr>
          <w:p w14:paraId="0174132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二、提标项目</w:t>
            </w:r>
          </w:p>
        </w:tc>
      </w:tr>
      <w:tr w14:paraId="27E4C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4" w:hRule="atLeast"/>
        </w:trPr>
        <w:tc>
          <w:tcPr>
            <w:tcW w:w="363" w:type="pct"/>
            <w:shd w:val="clear" w:color="auto" w:fill="FFFFFF"/>
            <w:vAlign w:val="center"/>
          </w:tcPr>
          <w:p w14:paraId="04D86C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025" w:type="pct"/>
            <w:shd w:val="clear" w:color="auto" w:fill="FFFFFF"/>
            <w:vAlign w:val="center"/>
          </w:tcPr>
          <w:p w14:paraId="76C30C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虎门宁洲污水处理厂一期提标工程</w:t>
            </w:r>
          </w:p>
        </w:tc>
        <w:tc>
          <w:tcPr>
            <w:tcW w:w="2611" w:type="pct"/>
            <w:shd w:val="clear" w:color="auto" w:fill="FFFFFF"/>
            <w:vAlign w:val="center"/>
          </w:tcPr>
          <w:p w14:paraId="032DA3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东莞市虎门镇南栅第六工业区民昌路十巷5号</w:t>
            </w:r>
          </w:p>
        </w:tc>
      </w:tr>
      <w:tr w14:paraId="701FC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4" w:hRule="atLeast"/>
        </w:trPr>
        <w:tc>
          <w:tcPr>
            <w:tcW w:w="363" w:type="pct"/>
            <w:shd w:val="clear" w:color="auto" w:fill="FFFFFF"/>
            <w:vAlign w:val="center"/>
          </w:tcPr>
          <w:p w14:paraId="416AA2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2025" w:type="pct"/>
            <w:shd w:val="clear" w:color="auto" w:fill="FFFFFF"/>
            <w:vAlign w:val="center"/>
          </w:tcPr>
          <w:p w14:paraId="6CEDFC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凤岗虾公潭污水处理厂提标工程</w:t>
            </w:r>
          </w:p>
        </w:tc>
        <w:tc>
          <w:tcPr>
            <w:tcW w:w="2611" w:type="pct"/>
            <w:shd w:val="clear" w:color="auto" w:fill="FFFFFF"/>
            <w:vAlign w:val="center"/>
          </w:tcPr>
          <w:p w14:paraId="1494C6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东莞市凤岗镇油甘埔村同兴路3号101</w:t>
            </w:r>
          </w:p>
        </w:tc>
      </w:tr>
    </w:tbl>
    <w:p w14:paraId="560A0FD2">
      <w:pPr>
        <w:rPr>
          <w:rFonts w:hint="eastAsia" w:ascii="宋体" w:hAnsi="宋体" w:eastAsia="宋体" w:cs="宋体"/>
          <w:color w:val="auto"/>
          <w:highlight w:val="none"/>
          <w:lang w:val="zh-CN"/>
        </w:rPr>
      </w:pPr>
    </w:p>
    <w:p w14:paraId="43D1B22D">
      <w:pPr>
        <w:rPr>
          <w:rFonts w:ascii="宋体" w:hAnsi="宋体" w:eastAsia="宋体" w:cs="Times New Roman"/>
          <w:b/>
          <w:color w:val="auto"/>
          <w:szCs w:val="21"/>
          <w:highlight w:val="none"/>
        </w:rPr>
      </w:pPr>
      <w:r>
        <w:rPr>
          <w:rFonts w:hint="eastAsia" w:ascii="宋体" w:hAnsi="宋体" w:eastAsia="宋体" w:cs="宋体"/>
          <w:b/>
          <w:color w:val="auto"/>
          <w:kern w:val="2"/>
          <w:sz w:val="21"/>
          <w:szCs w:val="21"/>
          <w:highlight w:val="none"/>
        </w:rPr>
        <w:t>备注：以上运营项目为暂定，具体情况以实际为准，如有疑问可实地考察。</w:t>
      </w:r>
    </w:p>
    <w:p w14:paraId="406EC355">
      <w:pPr>
        <w:pStyle w:val="2"/>
        <w:numPr>
          <w:ilvl w:val="0"/>
          <w:numId w:val="0"/>
        </w:numPr>
        <w:rPr>
          <w:color w:val="auto"/>
          <w:highlight w:val="none"/>
          <w:lang w:val="zh-CN"/>
        </w:rPr>
      </w:pPr>
    </w:p>
    <w:p w14:paraId="1EFE7227">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lang w:val="zh-CN"/>
        </w:rPr>
      </w:pPr>
      <w:bookmarkStart w:id="447" w:name="_Toc11281_WPSOffice_Level1"/>
      <w:bookmarkStart w:id="448" w:name="_Toc15013"/>
      <w:bookmarkStart w:id="449" w:name="_Toc32650"/>
      <w:bookmarkStart w:id="450" w:name="_Toc19477"/>
      <w:bookmarkStart w:id="451" w:name="_Toc450662892"/>
      <w:bookmarkStart w:id="452" w:name="_Toc142508359"/>
      <w:bookmarkStart w:id="453" w:name="_Toc486167707"/>
      <w:r>
        <w:rPr>
          <w:rFonts w:hint="eastAsia" w:ascii="宋体" w:hAnsi="宋体" w:eastAsia="宋体" w:cs="宋体"/>
          <w:b/>
          <w:bCs/>
          <w:color w:val="auto"/>
          <w:kern w:val="44"/>
          <w:sz w:val="32"/>
          <w:szCs w:val="32"/>
          <w:highlight w:val="none"/>
          <w:lang w:val="zh-CN"/>
        </w:rPr>
        <w:t>第四篇</w:t>
      </w:r>
      <w:r>
        <w:rPr>
          <w:rFonts w:ascii="宋体" w:hAnsi="宋体" w:eastAsia="宋体" w:cs="宋体"/>
          <w:b/>
          <w:bCs/>
          <w:color w:val="auto"/>
          <w:kern w:val="44"/>
          <w:sz w:val="32"/>
          <w:szCs w:val="32"/>
          <w:highlight w:val="none"/>
          <w:lang w:val="zh-CN"/>
        </w:rPr>
        <w:t xml:space="preserve"> </w:t>
      </w:r>
      <w:r>
        <w:rPr>
          <w:rFonts w:hint="eastAsia" w:ascii="宋体" w:hAnsi="宋体" w:eastAsia="宋体" w:cs="宋体"/>
          <w:b/>
          <w:bCs/>
          <w:color w:val="auto"/>
          <w:kern w:val="44"/>
          <w:sz w:val="32"/>
          <w:szCs w:val="32"/>
          <w:highlight w:val="none"/>
          <w:lang w:val="zh-CN"/>
        </w:rPr>
        <w:t>合同条款格式</w:t>
      </w:r>
      <w:bookmarkEnd w:id="447"/>
      <w:bookmarkEnd w:id="448"/>
      <w:bookmarkEnd w:id="449"/>
      <w:bookmarkEnd w:id="450"/>
      <w:bookmarkEnd w:id="451"/>
      <w:bookmarkEnd w:id="452"/>
      <w:bookmarkEnd w:id="453"/>
    </w:p>
    <w:p w14:paraId="52DFD964">
      <w:pPr>
        <w:autoSpaceDE w:val="0"/>
        <w:autoSpaceDN w:val="0"/>
        <w:adjustRightInd w:val="0"/>
        <w:snapToGrid w:val="0"/>
        <w:spacing w:line="360" w:lineRule="auto"/>
        <w:jc w:val="center"/>
        <w:rPr>
          <w:rFonts w:ascii="宋体" w:hAnsi="宋体" w:eastAsia="宋体" w:cs="Times New Roman"/>
          <w:color w:val="auto"/>
          <w:kern w:val="0"/>
          <w:sz w:val="24"/>
          <w:szCs w:val="24"/>
          <w:highlight w:val="none"/>
        </w:rPr>
      </w:pPr>
    </w:p>
    <w:p w14:paraId="5F88AB26">
      <w:pPr>
        <w:autoSpaceDE w:val="0"/>
        <w:autoSpaceDN w:val="0"/>
        <w:adjustRightInd w:val="0"/>
        <w:snapToGrid w:val="0"/>
        <w:spacing w:line="360" w:lineRule="auto"/>
        <w:jc w:val="center"/>
        <w:rPr>
          <w:rFonts w:ascii="宋体" w:hAnsi="宋体" w:eastAsia="宋体" w:cs="Times New Roman"/>
          <w:color w:val="auto"/>
          <w:kern w:val="0"/>
          <w:sz w:val="24"/>
          <w:szCs w:val="24"/>
          <w:highlight w:val="none"/>
        </w:rPr>
      </w:pPr>
    </w:p>
    <w:p w14:paraId="2BA6435D">
      <w:pPr>
        <w:autoSpaceDE w:val="0"/>
        <w:autoSpaceDN w:val="0"/>
        <w:adjustRightInd w:val="0"/>
        <w:snapToGrid w:val="0"/>
        <w:spacing w:line="360" w:lineRule="auto"/>
        <w:jc w:val="center"/>
        <w:rPr>
          <w:rFonts w:ascii="宋体" w:hAnsi="宋体" w:eastAsia="宋体" w:cs="Times New Roman"/>
          <w:color w:val="auto"/>
          <w:kern w:val="0"/>
          <w:sz w:val="24"/>
          <w:szCs w:val="24"/>
          <w:highlight w:val="none"/>
        </w:rPr>
      </w:pPr>
    </w:p>
    <w:p w14:paraId="63796034">
      <w:pPr>
        <w:autoSpaceDE w:val="0"/>
        <w:autoSpaceDN w:val="0"/>
        <w:adjustRightInd w:val="0"/>
        <w:spacing w:line="360" w:lineRule="auto"/>
        <w:jc w:val="center"/>
        <w:rPr>
          <w:rFonts w:hint="eastAsia" w:ascii="宋体" w:hAnsi="宋体" w:eastAsia="宋体" w:cs="Times New Roman"/>
          <w:b/>
          <w:color w:val="auto"/>
          <w:kern w:val="0"/>
          <w:sz w:val="52"/>
          <w:szCs w:val="96"/>
          <w:highlight w:val="none"/>
          <w:lang w:eastAsia="zh-CN"/>
        </w:rPr>
      </w:pPr>
      <w:r>
        <w:rPr>
          <w:rFonts w:hint="eastAsia" w:ascii="宋体" w:hAnsi="宋体" w:eastAsia="宋体" w:cs="Times New Roman"/>
          <w:b/>
          <w:color w:val="auto"/>
          <w:kern w:val="0"/>
          <w:sz w:val="52"/>
          <w:szCs w:val="96"/>
          <w:highlight w:val="none"/>
          <w:lang w:eastAsia="zh-CN"/>
        </w:rPr>
        <w:t>东莞市水务集团净水有限公司2025年生产药剂液体柠檬酸采购项目（重新招标）</w:t>
      </w:r>
    </w:p>
    <w:p w14:paraId="5F19E8D5">
      <w:pPr>
        <w:autoSpaceDE w:val="0"/>
        <w:autoSpaceDN w:val="0"/>
        <w:adjustRightInd w:val="0"/>
        <w:spacing w:line="360" w:lineRule="auto"/>
        <w:jc w:val="center"/>
        <w:rPr>
          <w:rFonts w:ascii="宋体" w:hAnsi="宋体" w:eastAsia="宋体" w:cs="Times New Roman"/>
          <w:bCs/>
          <w:color w:val="auto"/>
          <w:kern w:val="0"/>
          <w:sz w:val="52"/>
          <w:szCs w:val="52"/>
          <w:highlight w:val="none"/>
        </w:rPr>
      </w:pPr>
    </w:p>
    <w:p w14:paraId="63089E6F">
      <w:pPr>
        <w:autoSpaceDE w:val="0"/>
        <w:autoSpaceDN w:val="0"/>
        <w:adjustRightInd w:val="0"/>
        <w:spacing w:before="840" w:beforeLines="350" w:after="360" w:afterLines="150" w:line="360" w:lineRule="auto"/>
        <w:jc w:val="center"/>
        <w:rPr>
          <w:rFonts w:ascii="宋体" w:hAnsi="宋体" w:eastAsia="宋体" w:cs="Times New Roman"/>
          <w:b/>
          <w:bCs/>
          <w:color w:val="auto"/>
          <w:spacing w:val="60"/>
          <w:kern w:val="0"/>
          <w:sz w:val="52"/>
          <w:szCs w:val="52"/>
          <w:highlight w:val="none"/>
        </w:rPr>
      </w:pPr>
      <w:r>
        <w:rPr>
          <w:rFonts w:hint="eastAsia" w:ascii="宋体" w:hAnsi="宋体" w:eastAsia="宋体" w:cs="Times New Roman"/>
          <w:b/>
          <w:bCs/>
          <w:color w:val="auto"/>
          <w:spacing w:val="60"/>
          <w:kern w:val="0"/>
          <w:sz w:val="52"/>
          <w:szCs w:val="52"/>
          <w:highlight w:val="none"/>
        </w:rPr>
        <w:t>采购合同</w:t>
      </w:r>
    </w:p>
    <w:p w14:paraId="50C5D863">
      <w:pPr>
        <w:autoSpaceDE w:val="0"/>
        <w:autoSpaceDN w:val="0"/>
        <w:adjustRightInd w:val="0"/>
        <w:spacing w:line="360" w:lineRule="auto"/>
        <w:jc w:val="center"/>
        <w:rPr>
          <w:rFonts w:ascii="宋体" w:hAnsi="宋体" w:eastAsia="宋体" w:cs="Times New Roman"/>
          <w:b/>
          <w:bCs/>
          <w:color w:val="auto"/>
          <w:kern w:val="0"/>
          <w:sz w:val="24"/>
          <w:szCs w:val="21"/>
          <w:highlight w:val="none"/>
        </w:rPr>
      </w:pPr>
      <w:r>
        <w:rPr>
          <w:rFonts w:hint="eastAsia" w:ascii="宋体" w:hAnsi="宋体" w:eastAsia="宋体" w:cs="Times New Roman"/>
          <w:b/>
          <w:bCs/>
          <w:color w:val="auto"/>
          <w:kern w:val="0"/>
          <w:sz w:val="24"/>
          <w:szCs w:val="21"/>
          <w:highlight w:val="none"/>
        </w:rPr>
        <w:t>（合同编号：       ）</w:t>
      </w:r>
    </w:p>
    <w:p w14:paraId="2A686C48">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14:paraId="3DA4AEEC">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14:paraId="096E3704">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14:paraId="2B21AB83">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14:paraId="439F87FC">
      <w:pPr>
        <w:autoSpaceDE w:val="0"/>
        <w:autoSpaceDN w:val="0"/>
        <w:adjustRightInd w:val="0"/>
        <w:spacing w:line="480" w:lineRule="auto"/>
        <w:ind w:firstLine="1102" w:firstLineChars="392"/>
        <w:jc w:val="left"/>
        <w:rPr>
          <w:rFonts w:ascii="宋体" w:hAnsi="宋体" w:eastAsia="宋体" w:cs="Times New Roman"/>
          <w:b/>
          <w:bCs/>
          <w:color w:val="auto"/>
          <w:kern w:val="0"/>
          <w:sz w:val="28"/>
          <w:szCs w:val="28"/>
          <w:highlight w:val="none"/>
        </w:rPr>
      </w:pPr>
      <w:r>
        <w:rPr>
          <w:rFonts w:hint="eastAsia" w:ascii="宋体" w:hAnsi="宋体" w:eastAsia="宋体" w:cs="宋体"/>
          <w:b/>
          <w:bCs/>
          <w:color w:val="auto"/>
          <w:kern w:val="0"/>
          <w:sz w:val="28"/>
          <w:szCs w:val="28"/>
          <w:highlight w:val="none"/>
        </w:rPr>
        <w:t>甲方：</w:t>
      </w:r>
      <w:r>
        <w:rPr>
          <w:rFonts w:hint="eastAsia" w:ascii="宋体" w:hAnsi="宋体" w:eastAsia="宋体" w:cs="Times New Roman"/>
          <w:b/>
          <w:bCs/>
          <w:color w:val="auto"/>
          <w:kern w:val="0"/>
          <w:sz w:val="28"/>
          <w:szCs w:val="28"/>
          <w:highlight w:val="none"/>
          <w:u w:val="single"/>
          <w:lang w:val="en-US" w:eastAsia="zh-CN"/>
        </w:rPr>
        <w:t xml:space="preserve">                         </w:t>
      </w:r>
      <w:r>
        <w:rPr>
          <w:rFonts w:hint="eastAsia" w:ascii="宋体" w:hAnsi="宋体" w:eastAsia="宋体" w:cs="Times New Roman"/>
          <w:b/>
          <w:bCs/>
          <w:color w:val="auto"/>
          <w:kern w:val="0"/>
          <w:sz w:val="28"/>
          <w:szCs w:val="28"/>
          <w:highlight w:val="none"/>
          <w:u w:val="single"/>
        </w:rPr>
        <w:t xml:space="preserve"> </w:t>
      </w:r>
      <w:r>
        <w:rPr>
          <w:rFonts w:ascii="宋体" w:hAnsi="宋体" w:eastAsia="宋体" w:cs="Times New Roman"/>
          <w:b/>
          <w:bCs/>
          <w:color w:val="auto"/>
          <w:kern w:val="0"/>
          <w:sz w:val="28"/>
          <w:szCs w:val="28"/>
          <w:highlight w:val="none"/>
        </w:rPr>
        <w:t xml:space="preserve"> </w:t>
      </w:r>
    </w:p>
    <w:p w14:paraId="34F2FA6C">
      <w:pPr>
        <w:autoSpaceDE w:val="0"/>
        <w:autoSpaceDN w:val="0"/>
        <w:adjustRightInd w:val="0"/>
        <w:spacing w:line="480" w:lineRule="auto"/>
        <w:ind w:firstLine="1102" w:firstLineChars="392"/>
        <w:jc w:val="left"/>
        <w:rPr>
          <w:rFonts w:ascii="宋体" w:hAnsi="宋体" w:eastAsia="宋体" w:cs="Times New Roman"/>
          <w:b/>
          <w:bCs/>
          <w:color w:val="auto"/>
          <w:kern w:val="0"/>
          <w:sz w:val="28"/>
          <w:szCs w:val="28"/>
          <w:highlight w:val="none"/>
          <w:u w:val="single"/>
        </w:rPr>
      </w:pPr>
      <w:r>
        <w:rPr>
          <w:rFonts w:hint="eastAsia" w:ascii="宋体" w:hAnsi="宋体" w:eastAsia="宋体" w:cs="宋体"/>
          <w:b/>
          <w:bCs/>
          <w:color w:val="auto"/>
          <w:kern w:val="0"/>
          <w:sz w:val="28"/>
          <w:szCs w:val="28"/>
          <w:highlight w:val="none"/>
        </w:rPr>
        <w:t>乙方：</w:t>
      </w:r>
      <w:r>
        <w:rPr>
          <w:rFonts w:hint="eastAsia" w:ascii="宋体" w:hAnsi="宋体" w:eastAsia="宋体" w:cs="宋体"/>
          <w:b/>
          <w:bCs/>
          <w:color w:val="auto"/>
          <w:kern w:val="0"/>
          <w:sz w:val="28"/>
          <w:szCs w:val="28"/>
          <w:highlight w:val="none"/>
          <w:u w:val="single"/>
        </w:rPr>
        <w:t xml:space="preserve">                          </w:t>
      </w:r>
    </w:p>
    <w:p w14:paraId="7B8005B7">
      <w:pPr>
        <w:autoSpaceDE w:val="0"/>
        <w:autoSpaceDN w:val="0"/>
        <w:adjustRightInd w:val="0"/>
        <w:spacing w:line="360" w:lineRule="auto"/>
        <w:ind w:firstLine="1102" w:firstLineChars="392"/>
        <w:jc w:val="left"/>
        <w:rPr>
          <w:rFonts w:ascii="宋体" w:hAnsi="宋体" w:eastAsia="宋体" w:cs="宋体"/>
          <w:b/>
          <w:bCs/>
          <w:color w:val="auto"/>
          <w:kern w:val="0"/>
          <w:sz w:val="28"/>
          <w:szCs w:val="28"/>
          <w:highlight w:val="none"/>
        </w:rPr>
      </w:pPr>
    </w:p>
    <w:p w14:paraId="51DACE8B">
      <w:pPr>
        <w:autoSpaceDE w:val="0"/>
        <w:autoSpaceDN w:val="0"/>
        <w:adjustRightInd w:val="0"/>
        <w:spacing w:line="360" w:lineRule="auto"/>
        <w:ind w:firstLine="1102" w:firstLineChars="392"/>
        <w:jc w:val="left"/>
        <w:rPr>
          <w:rFonts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签订日期：   年   月   日</w:t>
      </w:r>
    </w:p>
    <w:p w14:paraId="1A66612D">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lang w:val="en-US" w:eastAsia="zh-CN" w:bidi="ar"/>
        </w:rPr>
      </w:pPr>
    </w:p>
    <w:p w14:paraId="0E68309D">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lang w:val="en-US" w:eastAsia="zh-CN" w:bidi="ar"/>
        </w:rPr>
      </w:pPr>
    </w:p>
    <w:p w14:paraId="6E53E341">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lang w:val="en-US" w:eastAsia="zh-CN" w:bidi="ar"/>
        </w:rPr>
      </w:pPr>
    </w:p>
    <w:p w14:paraId="649B5024">
      <w:pPr>
        <w:keepNext w:val="0"/>
        <w:keepLines w:val="0"/>
        <w:pageBreakBefore/>
        <w:widowControl w:val="0"/>
        <w:suppressLineNumbers w:val="0"/>
        <w:snapToGrid w:val="0"/>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甲方： </w:t>
      </w:r>
      <w:r>
        <w:rPr>
          <w:rFonts w:hint="eastAsia" w:ascii="宋体" w:hAnsi="宋体" w:eastAsia="宋体" w:cs="宋体"/>
          <w:color w:val="auto"/>
          <w:kern w:val="2"/>
          <w:sz w:val="21"/>
          <w:szCs w:val="21"/>
          <w:highlight w:val="none"/>
          <w:u w:val="single"/>
          <w:lang w:val="en-US" w:eastAsia="zh-CN" w:bidi="ar"/>
        </w:rPr>
        <w:t xml:space="preserve">                          </w:t>
      </w:r>
    </w:p>
    <w:p w14:paraId="7F34C598">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乙方：</w:t>
      </w:r>
      <w:r>
        <w:rPr>
          <w:rFonts w:hint="eastAsia" w:ascii="宋体" w:hAnsi="宋体" w:eastAsia="宋体" w:cs="宋体"/>
          <w:color w:val="auto"/>
          <w:kern w:val="2"/>
          <w:sz w:val="21"/>
          <w:szCs w:val="21"/>
          <w:highlight w:val="none"/>
          <w:u w:val="single"/>
          <w:lang w:val="en-US" w:eastAsia="zh-CN" w:bidi="ar"/>
        </w:rPr>
        <w:t xml:space="preserve">                           </w:t>
      </w:r>
    </w:p>
    <w:p w14:paraId="6AA488A3">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3FD74712">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根据《中华人民共和国民法典》及</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年</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月</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日通知的</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项目中标结果（招标编号：</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）和招标文件的要求，经双方协商一致，签订本合同。</w:t>
      </w:r>
    </w:p>
    <w:p w14:paraId="31D83250">
      <w:pPr>
        <w:keepNext w:val="0"/>
        <w:keepLines w:val="0"/>
        <w:widowControl w:val="0"/>
        <w:suppressLineNumbers w:val="0"/>
        <w:snapToGrid w:val="0"/>
        <w:spacing w:before="0" w:beforeAutospacing="0" w:after="0" w:afterAutospacing="0" w:line="360" w:lineRule="auto"/>
        <w:ind w:left="0" w:right="0" w:firstLine="373" w:firstLineChars="177"/>
        <w:jc w:val="both"/>
        <w:outlineLvl w:val="2"/>
        <w:rPr>
          <w:rFonts w:hint="eastAsia" w:ascii="宋体" w:hAnsi="宋体" w:eastAsia="宋体" w:cs="宋体"/>
          <w:b/>
          <w:bCs w:val="0"/>
          <w:color w:val="auto"/>
          <w:kern w:val="2"/>
          <w:sz w:val="21"/>
          <w:szCs w:val="21"/>
          <w:highlight w:val="none"/>
        </w:rPr>
      </w:pPr>
      <w:bookmarkStart w:id="454" w:name="_Toc1987"/>
      <w:r>
        <w:rPr>
          <w:rFonts w:hint="eastAsia" w:ascii="宋体" w:hAnsi="宋体" w:eastAsia="宋体" w:cs="宋体"/>
          <w:b/>
          <w:bCs w:val="0"/>
          <w:color w:val="auto"/>
          <w:kern w:val="2"/>
          <w:sz w:val="21"/>
          <w:szCs w:val="21"/>
          <w:highlight w:val="none"/>
          <w:lang w:val="en-US" w:eastAsia="zh-CN" w:bidi="ar"/>
        </w:rPr>
        <w:t>第一条 合同项目</w:t>
      </w:r>
      <w:bookmarkEnd w:id="454"/>
    </w:p>
    <w:p w14:paraId="147B281F">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bidi="ar"/>
        </w:rPr>
        <w:t>1、合同货物清单：</w:t>
      </w:r>
    </w:p>
    <w:tbl>
      <w:tblPr>
        <w:tblStyle w:val="3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802"/>
        <w:gridCol w:w="1158"/>
        <w:gridCol w:w="1158"/>
        <w:gridCol w:w="1019"/>
        <w:gridCol w:w="1568"/>
        <w:gridCol w:w="2661"/>
      </w:tblGrid>
      <w:tr w14:paraId="0FE8C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1" w:type="pct"/>
            <w:tcBorders>
              <w:top w:val="single" w:color="auto" w:sz="4" w:space="0"/>
              <w:left w:val="single" w:color="auto" w:sz="4" w:space="0"/>
              <w:bottom w:val="single" w:color="auto" w:sz="4" w:space="0"/>
              <w:right w:val="single" w:color="auto" w:sz="4" w:space="0"/>
            </w:tcBorders>
            <w:shd w:val="clear" w:color="auto" w:fill="auto"/>
            <w:vAlign w:val="center"/>
          </w:tcPr>
          <w:p w14:paraId="5D013429">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货物名称</w:t>
            </w:r>
          </w:p>
        </w:tc>
        <w:tc>
          <w:tcPr>
            <w:tcW w:w="558" w:type="pct"/>
            <w:tcBorders>
              <w:top w:val="single" w:color="auto" w:sz="4" w:space="0"/>
              <w:left w:val="nil"/>
              <w:bottom w:val="single" w:color="auto" w:sz="4" w:space="0"/>
              <w:right w:val="single" w:color="auto" w:sz="4" w:space="0"/>
            </w:tcBorders>
            <w:shd w:val="clear" w:color="auto" w:fill="auto"/>
            <w:vAlign w:val="center"/>
          </w:tcPr>
          <w:p w14:paraId="1C14C5AE">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品牌</w:t>
            </w:r>
          </w:p>
        </w:tc>
        <w:tc>
          <w:tcPr>
            <w:tcW w:w="558" w:type="pct"/>
            <w:tcBorders>
              <w:top w:val="single" w:color="auto" w:sz="4" w:space="0"/>
              <w:left w:val="nil"/>
              <w:bottom w:val="single" w:color="auto" w:sz="4" w:space="0"/>
              <w:right w:val="single" w:color="auto" w:sz="4" w:space="0"/>
            </w:tcBorders>
            <w:shd w:val="clear" w:color="auto" w:fill="auto"/>
            <w:vAlign w:val="center"/>
          </w:tcPr>
          <w:p w14:paraId="18E3128B">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产地</w:t>
            </w:r>
          </w:p>
        </w:tc>
        <w:tc>
          <w:tcPr>
            <w:tcW w:w="491" w:type="pct"/>
            <w:tcBorders>
              <w:top w:val="single" w:color="auto" w:sz="4" w:space="0"/>
              <w:left w:val="nil"/>
              <w:bottom w:val="single" w:color="auto" w:sz="4" w:space="0"/>
              <w:right w:val="single" w:color="auto" w:sz="4" w:space="0"/>
            </w:tcBorders>
            <w:shd w:val="clear" w:color="auto" w:fill="auto"/>
            <w:vAlign w:val="center"/>
          </w:tcPr>
          <w:p w14:paraId="2F758ECB">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单位</w:t>
            </w:r>
          </w:p>
        </w:tc>
        <w:tc>
          <w:tcPr>
            <w:tcW w:w="756" w:type="pct"/>
            <w:tcBorders>
              <w:top w:val="single" w:color="auto" w:sz="4" w:space="0"/>
              <w:left w:val="nil"/>
              <w:bottom w:val="single" w:color="auto" w:sz="4" w:space="0"/>
              <w:right w:val="single" w:color="auto" w:sz="4" w:space="0"/>
            </w:tcBorders>
            <w:shd w:val="clear" w:color="auto" w:fill="auto"/>
            <w:vAlign w:val="center"/>
          </w:tcPr>
          <w:p w14:paraId="28C9A475">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暂定数量</w:t>
            </w:r>
          </w:p>
        </w:tc>
        <w:tc>
          <w:tcPr>
            <w:tcW w:w="1283" w:type="pct"/>
            <w:tcBorders>
              <w:top w:val="single" w:color="auto" w:sz="4" w:space="0"/>
              <w:left w:val="nil"/>
              <w:bottom w:val="single" w:color="auto" w:sz="4" w:space="0"/>
              <w:right w:val="single" w:color="auto" w:sz="4" w:space="0"/>
            </w:tcBorders>
            <w:shd w:val="clear" w:color="auto" w:fill="auto"/>
            <w:vAlign w:val="top"/>
          </w:tcPr>
          <w:p w14:paraId="063D3C88">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综合单价（元/吨）（不含销项税）</w:t>
            </w:r>
          </w:p>
        </w:tc>
      </w:tr>
      <w:tr w14:paraId="60D56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51" w:type="pct"/>
            <w:tcBorders>
              <w:top w:val="single" w:color="auto" w:sz="4" w:space="0"/>
              <w:left w:val="single" w:color="auto" w:sz="4" w:space="0"/>
              <w:bottom w:val="single" w:color="auto" w:sz="4" w:space="0"/>
              <w:right w:val="single" w:color="auto" w:sz="4" w:space="0"/>
            </w:tcBorders>
            <w:shd w:val="clear" w:color="auto" w:fill="auto"/>
            <w:vAlign w:val="center"/>
          </w:tcPr>
          <w:p w14:paraId="44D33603">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lang w:eastAsia="zh-CN"/>
              </w:rPr>
              <w:t>液体柠檬酸</w:t>
            </w:r>
          </w:p>
        </w:tc>
        <w:tc>
          <w:tcPr>
            <w:tcW w:w="558" w:type="pct"/>
            <w:tcBorders>
              <w:top w:val="single" w:color="auto" w:sz="4" w:space="0"/>
              <w:left w:val="nil"/>
              <w:bottom w:val="single" w:color="auto" w:sz="4" w:space="0"/>
              <w:right w:val="single" w:color="auto" w:sz="4" w:space="0"/>
            </w:tcBorders>
            <w:shd w:val="clear" w:color="auto" w:fill="auto"/>
            <w:vAlign w:val="center"/>
          </w:tcPr>
          <w:p w14:paraId="2B799889">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558" w:type="pct"/>
            <w:tcBorders>
              <w:top w:val="single" w:color="auto" w:sz="4" w:space="0"/>
              <w:left w:val="nil"/>
              <w:bottom w:val="single" w:color="auto" w:sz="4" w:space="0"/>
              <w:right w:val="single" w:color="auto" w:sz="4" w:space="0"/>
            </w:tcBorders>
            <w:shd w:val="clear" w:color="auto" w:fill="auto"/>
            <w:vAlign w:val="center"/>
          </w:tcPr>
          <w:p w14:paraId="33958E3E">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491" w:type="pct"/>
            <w:tcBorders>
              <w:top w:val="single" w:color="auto" w:sz="4" w:space="0"/>
              <w:left w:val="nil"/>
              <w:bottom w:val="single" w:color="auto" w:sz="4" w:space="0"/>
              <w:right w:val="single" w:color="auto" w:sz="4" w:space="0"/>
            </w:tcBorders>
            <w:shd w:val="clear" w:color="auto" w:fill="auto"/>
            <w:vAlign w:val="center"/>
          </w:tcPr>
          <w:p w14:paraId="026264CE">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吨</w:t>
            </w:r>
          </w:p>
        </w:tc>
        <w:tc>
          <w:tcPr>
            <w:tcW w:w="756" w:type="pct"/>
            <w:tcBorders>
              <w:top w:val="single" w:color="auto" w:sz="4" w:space="0"/>
              <w:left w:val="nil"/>
              <w:bottom w:val="single" w:color="auto" w:sz="4" w:space="0"/>
              <w:right w:val="single" w:color="auto" w:sz="4" w:space="0"/>
            </w:tcBorders>
            <w:shd w:val="clear" w:color="auto" w:fill="auto"/>
            <w:vAlign w:val="center"/>
          </w:tcPr>
          <w:p w14:paraId="3CF75285">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szCs w:val="21"/>
                <w:highlight w:val="none"/>
                <w:lang w:val="en-US" w:eastAsia="zh-CN"/>
              </w:rPr>
              <w:t>485.037</w:t>
            </w:r>
          </w:p>
        </w:tc>
        <w:tc>
          <w:tcPr>
            <w:tcW w:w="1283" w:type="pct"/>
            <w:tcBorders>
              <w:top w:val="single" w:color="auto" w:sz="4" w:space="0"/>
              <w:left w:val="nil"/>
              <w:bottom w:val="single" w:color="auto" w:sz="4" w:space="0"/>
              <w:right w:val="single" w:color="auto" w:sz="4" w:space="0"/>
            </w:tcBorders>
            <w:shd w:val="clear" w:color="auto" w:fill="auto"/>
            <w:vAlign w:val="top"/>
          </w:tcPr>
          <w:p w14:paraId="0B883F09">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r>
    </w:tbl>
    <w:p w14:paraId="064EE8FA">
      <w:pPr>
        <w:keepNext w:val="0"/>
        <w:keepLines w:val="0"/>
        <w:widowControl w:val="0"/>
        <w:suppressLineNumbers w:val="0"/>
        <w:snapToGrid w:val="0"/>
        <w:spacing w:before="0" w:beforeAutospacing="0" w:after="0" w:afterAutospacing="0" w:line="360" w:lineRule="auto"/>
        <w:ind w:left="0" w:right="0" w:firstLine="422" w:firstLineChars="200"/>
        <w:jc w:val="both"/>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备注：上述暂定数量仅为便于计算暂定总合同价使用，不作为甲方最终采购数量的保证</w:t>
      </w:r>
      <w:bookmarkStart w:id="455" w:name="OLE_LINK41"/>
      <w:bookmarkStart w:id="456" w:name="OLE_LINK43"/>
      <w:r>
        <w:rPr>
          <w:rFonts w:hint="eastAsia" w:ascii="宋体" w:hAnsi="宋体" w:eastAsia="宋体" w:cs="宋体"/>
          <w:b/>
          <w:color w:val="auto"/>
          <w:sz w:val="21"/>
          <w:szCs w:val="21"/>
          <w:highlight w:val="none"/>
        </w:rPr>
        <w:t>，甲方保留根据运营项目及新增运营项目实际情况，对采购数量进行灵活调整的权利</w:t>
      </w:r>
      <w:bookmarkEnd w:id="455"/>
      <w:r>
        <w:rPr>
          <w:rFonts w:hint="eastAsia" w:ascii="宋体" w:hAnsi="宋体" w:eastAsia="宋体" w:cs="宋体"/>
          <w:b/>
          <w:color w:val="auto"/>
          <w:sz w:val="21"/>
          <w:szCs w:val="21"/>
          <w:highlight w:val="none"/>
        </w:rPr>
        <w:t>。合同履约过程中，如</w:t>
      </w:r>
      <w:r>
        <w:rPr>
          <w:rFonts w:hint="eastAsia" w:ascii="宋体" w:hAnsi="宋体" w:eastAsia="宋体" w:cs="宋体"/>
          <w:b/>
          <w:color w:val="auto"/>
          <w:sz w:val="21"/>
          <w:szCs w:val="21"/>
          <w:highlight w:val="none"/>
          <w:lang w:val="en-US" w:eastAsia="zh-CN"/>
        </w:rPr>
        <w:t>本项目</w:t>
      </w:r>
      <w:r>
        <w:rPr>
          <w:rFonts w:hint="eastAsia" w:ascii="宋体" w:hAnsi="宋体" w:eastAsia="宋体" w:cs="宋体"/>
          <w:b/>
          <w:color w:val="auto"/>
          <w:sz w:val="21"/>
          <w:szCs w:val="21"/>
          <w:highlight w:val="none"/>
        </w:rPr>
        <w:t>因新增</w:t>
      </w:r>
      <w:r>
        <w:rPr>
          <w:rFonts w:hint="eastAsia" w:ascii="宋体" w:hAnsi="宋体" w:eastAsia="宋体" w:cs="宋体"/>
          <w:b/>
          <w:color w:val="auto"/>
          <w:sz w:val="21"/>
          <w:szCs w:val="21"/>
          <w:highlight w:val="none"/>
          <w:lang w:val="en-US" w:eastAsia="zh-CN"/>
        </w:rPr>
        <w:t>合同主体</w:t>
      </w:r>
      <w:r>
        <w:rPr>
          <w:rFonts w:hint="eastAsia" w:ascii="宋体" w:hAnsi="宋体" w:eastAsia="宋体" w:cs="宋体"/>
          <w:b/>
          <w:color w:val="auto"/>
          <w:sz w:val="21"/>
          <w:szCs w:val="21"/>
          <w:highlight w:val="none"/>
        </w:rPr>
        <w:t>需要额外供货，甲方</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甲方关联公司</w:t>
      </w:r>
      <w:r>
        <w:rPr>
          <w:rFonts w:hint="eastAsia" w:ascii="宋体" w:hAnsi="宋体" w:eastAsia="宋体" w:cs="宋体"/>
          <w:b/>
          <w:color w:val="auto"/>
          <w:sz w:val="21"/>
          <w:szCs w:val="21"/>
          <w:highlight w:val="none"/>
        </w:rPr>
        <w:t>有权依据不含税</w:t>
      </w:r>
      <w:r>
        <w:rPr>
          <w:rFonts w:hint="eastAsia" w:ascii="宋体" w:hAnsi="宋体" w:eastAsia="宋体" w:cs="宋体"/>
          <w:b/>
          <w:color w:val="auto"/>
          <w:sz w:val="21"/>
          <w:szCs w:val="21"/>
          <w:highlight w:val="none"/>
          <w:lang w:val="en-US" w:eastAsia="zh-CN"/>
        </w:rPr>
        <w:t>中标</w:t>
      </w:r>
      <w:r>
        <w:rPr>
          <w:rFonts w:hint="eastAsia" w:ascii="宋体" w:hAnsi="宋体" w:eastAsia="宋体" w:cs="宋体"/>
          <w:b/>
          <w:color w:val="auto"/>
          <w:sz w:val="21"/>
          <w:szCs w:val="21"/>
          <w:highlight w:val="none"/>
        </w:rPr>
        <w:t>综合单价与乙方协商并签订补充协议，并确保其作为原合同的有效补充。乙方应充分理解并接受</w:t>
      </w:r>
      <w:r>
        <w:rPr>
          <w:rFonts w:hint="eastAsia" w:ascii="宋体" w:hAnsi="宋体" w:eastAsia="宋体" w:cs="宋体"/>
          <w:b/>
          <w:color w:val="auto"/>
          <w:sz w:val="21"/>
          <w:szCs w:val="21"/>
          <w:highlight w:val="none"/>
          <w:lang w:val="en-US" w:eastAsia="zh-CN"/>
        </w:rPr>
        <w:t>本项目在</w:t>
      </w:r>
      <w:r>
        <w:rPr>
          <w:rFonts w:hint="eastAsia" w:ascii="宋体" w:hAnsi="宋体" w:eastAsia="宋体" w:cs="宋体"/>
          <w:b/>
          <w:color w:val="auto"/>
          <w:sz w:val="21"/>
          <w:szCs w:val="21"/>
          <w:highlight w:val="none"/>
        </w:rPr>
        <w:t>合同履约期间可能新增合同主体的可能性，并承诺在接到甲方</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甲方关联公司</w:t>
      </w:r>
      <w:r>
        <w:rPr>
          <w:rFonts w:hint="eastAsia" w:ascii="宋体" w:hAnsi="宋体" w:eastAsia="宋体" w:cs="宋体"/>
          <w:b/>
          <w:color w:val="auto"/>
          <w:sz w:val="21"/>
          <w:szCs w:val="21"/>
          <w:highlight w:val="none"/>
        </w:rPr>
        <w:t>关于新增</w:t>
      </w:r>
      <w:r>
        <w:rPr>
          <w:rFonts w:hint="eastAsia" w:ascii="宋体" w:hAnsi="宋体" w:eastAsia="宋体" w:cs="宋体"/>
          <w:b/>
          <w:color w:val="auto"/>
          <w:sz w:val="21"/>
          <w:szCs w:val="21"/>
          <w:highlight w:val="none"/>
          <w:lang w:val="en-US" w:eastAsia="zh-CN"/>
        </w:rPr>
        <w:t>合同主体</w:t>
      </w:r>
      <w:r>
        <w:rPr>
          <w:rFonts w:hint="eastAsia" w:ascii="宋体" w:hAnsi="宋体" w:eastAsia="宋体" w:cs="宋体"/>
          <w:b/>
          <w:color w:val="auto"/>
          <w:sz w:val="21"/>
          <w:szCs w:val="21"/>
          <w:highlight w:val="none"/>
        </w:rPr>
        <w:t>的供货通</w:t>
      </w:r>
      <w:bookmarkEnd w:id="456"/>
      <w:r>
        <w:rPr>
          <w:rFonts w:hint="eastAsia" w:ascii="宋体" w:hAnsi="宋体" w:eastAsia="宋体" w:cs="宋体"/>
          <w:b/>
          <w:color w:val="auto"/>
          <w:sz w:val="21"/>
          <w:szCs w:val="21"/>
          <w:highlight w:val="none"/>
        </w:rPr>
        <w:t>知及签订补充协议的要求时，积极配合并履行相应的供货义务，确保供货的及时性和质量等符合原合同的要求</w:t>
      </w:r>
      <w:r>
        <w:rPr>
          <w:rFonts w:hint="eastAsia" w:ascii="宋体" w:hAnsi="宋体" w:eastAsia="宋体" w:cs="宋体"/>
          <w:b/>
          <w:bCs w:val="0"/>
          <w:color w:val="auto"/>
          <w:kern w:val="2"/>
          <w:sz w:val="21"/>
          <w:szCs w:val="21"/>
          <w:highlight w:val="none"/>
          <w:lang w:val="en-US" w:eastAsia="zh-CN" w:bidi="ar"/>
        </w:rPr>
        <w:t>。实际甲方运营项目根据项目工艺及性质，结合运营项目实际使用后的情况选用，甲方的实际需求数量以甲方运营项目每次的供货通知为准，在供货期内乙方不得因甲方实际采购数量的减少或增加而要求提供任何形式的补偿或赔偿，或要求甲方按暂定数量采购相应货物。</w:t>
      </w:r>
    </w:p>
    <w:p w14:paraId="2F335B9C">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2、本合同的供货期</w:t>
      </w:r>
    </w:p>
    <w:p w14:paraId="3D4E3936">
      <w:pPr>
        <w:pStyle w:val="33"/>
        <w:keepNext w:val="0"/>
        <w:keepLines w:val="0"/>
        <w:widowControl w:val="0"/>
        <w:suppressLineNumbers w:val="0"/>
        <w:spacing w:before="0" w:beforeAutospacing="0" w:after="0" w:afterAutospacing="0" w:line="360" w:lineRule="auto"/>
        <w:ind w:left="0" w:right="0" w:firstLine="371" w:firstLineChars="177"/>
        <w:jc w:val="both"/>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自合同签订之日起至202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年12月31日止</w:t>
      </w:r>
      <w:r>
        <w:rPr>
          <w:rFonts w:hint="eastAsia" w:ascii="宋体" w:hAnsi="宋体" w:eastAsia="宋体" w:cs="宋体"/>
          <w:color w:val="auto"/>
          <w:kern w:val="2"/>
          <w:sz w:val="21"/>
          <w:szCs w:val="21"/>
          <w:highlight w:val="none"/>
          <w:lang w:val="en-US" w:eastAsia="zh-CN" w:bidi="ar"/>
        </w:rPr>
        <w:t>，具体供货起始日期以甲方书面通知为准，乙方收到甲方通知后必须无条件按照甲方的要求开始供货，供货期结束后，按甲方实际生产需要，经双方协商同意后，可签订补充协议延长不超过三个月的供货期。</w:t>
      </w:r>
    </w:p>
    <w:p w14:paraId="6610F285">
      <w:pPr>
        <w:keepNext w:val="0"/>
        <w:keepLines w:val="0"/>
        <w:widowControl w:val="0"/>
        <w:suppressLineNumbers w:val="0"/>
        <w:snapToGrid w:val="0"/>
        <w:spacing w:before="0" w:beforeAutospacing="0" w:after="0" w:afterAutospacing="0" w:line="360" w:lineRule="auto"/>
        <w:ind w:left="0" w:right="0" w:firstLine="422" w:firstLineChars="200"/>
        <w:jc w:val="both"/>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3、合同履行中，甲方在本合同约定的供货期限和采购范围内，甲方有权根据项目实际情况及有关法律法规、政策的规定对合同的相应条款进行变更调整，造成乙方已生产的产品过剩、过质保期等，甲方无需承担任何责任和费用。在变更调整后，乙方应按变更后的约定遵照执行。如有违反，甲方有权按本暂定合同含税总价的20%要求乙方承担违约金。</w:t>
      </w:r>
    </w:p>
    <w:p w14:paraId="2D72E2EB">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4、乙方应承担完成合同义务的全部费用，包括但不限于：</w:t>
      </w:r>
    </w:p>
    <w:p w14:paraId="3B4C74D7">
      <w:pPr>
        <w:keepNext w:val="0"/>
        <w:keepLines w:val="0"/>
        <w:widowControl w:val="0"/>
        <w:suppressLineNumbers w:val="0"/>
        <w:snapToGrid w:val="0"/>
        <w:spacing w:before="0" w:beforeAutospacing="0" w:after="0" w:afterAutospacing="0" w:line="360" w:lineRule="auto"/>
        <w:ind w:left="2" w:right="0" w:firstLine="564" w:firstLineChars="269"/>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（1）合同范围内所有货物的研究、采购、制造、检验、配合试验、包装、储存、运输（退换货运输）、称重、装卸、安全、保险、培训、验收等费用；</w:t>
      </w:r>
    </w:p>
    <w:p w14:paraId="780204A7">
      <w:pPr>
        <w:keepNext w:val="0"/>
        <w:keepLines w:val="0"/>
        <w:widowControl w:val="0"/>
        <w:suppressLineNumbers w:val="0"/>
        <w:snapToGrid w:val="0"/>
        <w:spacing w:before="0" w:beforeAutospacing="0" w:after="0" w:afterAutospacing="0" w:line="360" w:lineRule="auto"/>
        <w:ind w:left="2" w:right="0" w:firstLine="564" w:firstLineChars="269"/>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（2）应急供货费用、为满足项目调试需求导致的小批量、多频次分散供货的成本以及货物运输、货物验收合格前发生的安全事故所产生的一切费用；</w:t>
      </w:r>
    </w:p>
    <w:p w14:paraId="099EF395">
      <w:pPr>
        <w:keepNext w:val="0"/>
        <w:keepLines w:val="0"/>
        <w:widowControl w:val="0"/>
        <w:suppressLineNumbers w:val="0"/>
        <w:snapToGrid w:val="0"/>
        <w:spacing w:before="0" w:beforeAutospacing="0" w:after="0" w:afterAutospacing="0" w:line="360" w:lineRule="auto"/>
        <w:ind w:left="2" w:right="0" w:firstLine="564" w:firstLineChars="269"/>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（3）合同货物及其工艺所有制造方、使用方应支付的对专有技术、商标权、专利权和版权、设计或其他知识产权而需要向其他方支付的版税；</w:t>
      </w:r>
    </w:p>
    <w:p w14:paraId="16C5B4F2">
      <w:pPr>
        <w:keepNext w:val="0"/>
        <w:keepLines w:val="0"/>
        <w:widowControl w:val="0"/>
        <w:suppressLineNumbers w:val="0"/>
        <w:snapToGrid w:val="0"/>
        <w:spacing w:before="0" w:beforeAutospacing="0" w:after="0" w:afterAutospacing="0" w:line="360" w:lineRule="auto"/>
        <w:ind w:left="2" w:right="0" w:firstLine="564" w:firstLineChars="269"/>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（4）日常技术指导，免费的质保服务，包括但不限于免费对具有质量问题的货物进行处理或更换，按甲方要求小试及中试，并以甲方确认的最优化的产品成分配比向甲方供货；</w:t>
      </w:r>
    </w:p>
    <w:p w14:paraId="4D6A0338">
      <w:pPr>
        <w:keepNext w:val="0"/>
        <w:keepLines w:val="0"/>
        <w:widowControl w:val="0"/>
        <w:suppressLineNumbers w:val="0"/>
        <w:snapToGrid w:val="0"/>
        <w:spacing w:before="0" w:beforeAutospacing="0" w:after="0" w:afterAutospacing="0" w:line="360" w:lineRule="auto"/>
        <w:ind w:left="1018" w:leftChars="235" w:right="0" w:hanging="525" w:hangingChars="25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（5）合理利润、乙方销项税额以外的税费等；</w:t>
      </w:r>
    </w:p>
    <w:p w14:paraId="0A229972">
      <w:pPr>
        <w:keepNext w:val="0"/>
        <w:keepLines w:val="0"/>
        <w:widowControl w:val="0"/>
        <w:suppressLineNumbers w:val="0"/>
        <w:snapToGrid w:val="0"/>
        <w:spacing w:before="0" w:beforeAutospacing="0" w:after="0" w:afterAutospacing="0" w:line="360" w:lineRule="auto"/>
        <w:ind w:left="1018" w:leftChars="235" w:right="0" w:hanging="525" w:hangingChars="25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（6）法律法规、商业公认、招标文件规定由乙方承担的其他直接及间接费用。</w:t>
      </w:r>
    </w:p>
    <w:p w14:paraId="62025963">
      <w:pPr>
        <w:keepNext w:val="0"/>
        <w:keepLines w:val="0"/>
        <w:widowControl w:val="0"/>
        <w:suppressLineNumbers w:val="0"/>
        <w:snapToGrid w:val="0"/>
        <w:spacing w:before="0" w:beforeAutospacing="0" w:after="0" w:afterAutospacing="0" w:line="360" w:lineRule="auto"/>
        <w:ind w:left="0" w:right="0" w:firstLine="422" w:firstLineChars="200"/>
        <w:jc w:val="both"/>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5、另外液体柠檬酸的供货须按照甲方运营项目的实际供货需求，将会存在不同项目、不同时间分次供货的情况，乙方应充分考虑上述因素可能导致的增加成本，并且该成本已包含在上述全部费用内。</w:t>
      </w:r>
    </w:p>
    <w:p w14:paraId="1EC70B33">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10464A14">
      <w:pPr>
        <w:keepNext w:val="0"/>
        <w:keepLines w:val="0"/>
        <w:widowControl w:val="0"/>
        <w:suppressLineNumbers w:val="0"/>
        <w:snapToGrid w:val="0"/>
        <w:spacing w:before="0" w:beforeAutospacing="0" w:after="0" w:afterAutospacing="0" w:line="360" w:lineRule="auto"/>
        <w:ind w:left="0" w:right="0" w:firstLine="373" w:firstLineChars="177"/>
        <w:jc w:val="both"/>
        <w:outlineLvl w:val="2"/>
        <w:rPr>
          <w:rFonts w:hint="eastAsia" w:ascii="宋体" w:hAnsi="宋体" w:eastAsia="宋体" w:cs="宋体"/>
          <w:b/>
          <w:bCs w:val="0"/>
          <w:color w:val="auto"/>
          <w:kern w:val="2"/>
          <w:sz w:val="21"/>
          <w:szCs w:val="21"/>
          <w:highlight w:val="none"/>
        </w:rPr>
      </w:pPr>
      <w:bookmarkStart w:id="457" w:name="_Toc16341"/>
      <w:r>
        <w:rPr>
          <w:rFonts w:hint="eastAsia" w:ascii="宋体" w:hAnsi="宋体" w:eastAsia="宋体" w:cs="宋体"/>
          <w:b/>
          <w:bCs w:val="0"/>
          <w:color w:val="auto"/>
          <w:kern w:val="2"/>
          <w:sz w:val="21"/>
          <w:szCs w:val="21"/>
          <w:highlight w:val="none"/>
          <w:lang w:val="en-US" w:eastAsia="zh-CN" w:bidi="ar"/>
        </w:rPr>
        <w:t>第二条 合同价款及销项税价</w:t>
      </w:r>
      <w:bookmarkEnd w:id="457"/>
    </w:p>
    <w:p w14:paraId="463EC872">
      <w:pPr>
        <w:keepNext w:val="0"/>
        <w:keepLines w:val="0"/>
        <w:widowControl w:val="0"/>
        <w:suppressLineNumbers w:val="0"/>
        <w:spacing w:before="0" w:beforeAutospacing="0" w:after="0" w:afterAutospacing="0" w:line="360" w:lineRule="auto"/>
        <w:ind w:left="0" w:right="0" w:firstLine="476" w:firstLineChars="22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1、本合同综合单价（即销售额，不含乙方销项税额）为</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元/吨（大写人民币每吨</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在本合同履行过程中，综合单价（即销售额，不含乙方销项税额）固定不变，不因材料、成分比例调整、劳务成本、运输成本、货物等行业标准或国家标准的变动等其他理由予以变更。未经甲方书面确认，乙方无权增加任何费用。</w:t>
      </w:r>
    </w:p>
    <w:p w14:paraId="73636A88">
      <w:pPr>
        <w:keepNext w:val="0"/>
        <w:keepLines w:val="0"/>
        <w:widowControl w:val="0"/>
        <w:suppressLineNumbers w:val="0"/>
        <w:spacing w:before="0" w:beforeAutospacing="0" w:after="0" w:afterAutospacing="0" w:line="360" w:lineRule="auto"/>
        <w:ind w:left="0" w:right="0" w:firstLine="476" w:firstLineChars="22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2、依法计得并根据本合同约定确定的销项税额由甲方承担。根据《中华人民共和国增值税暂行条例》（国务院令第691号修订版）及当前税务部门的相关规定，本合同项目的增值税税率为</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，对应的销项税额为</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元/吨（大写人民币每吨</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在本合同履行过程中，税收政策变动导致增值税税率调整，依法应调整销项税额的，依法调整；但因乙方未按合同约定供货、未根据合同约定提供合法、完整的请款资料、货物验收不合格导致的返工或退货、货物验收合格前的非正常损耗等原因导致销项税额增加的，相应损失由乙方承担。</w:t>
      </w:r>
    </w:p>
    <w:p w14:paraId="3717CA1E">
      <w:pPr>
        <w:keepNext w:val="0"/>
        <w:keepLines w:val="0"/>
        <w:widowControl w:val="0"/>
        <w:suppressLineNumbers w:val="0"/>
        <w:spacing w:before="0" w:beforeAutospacing="0" w:after="0" w:afterAutospacing="0" w:line="360" w:lineRule="auto"/>
        <w:ind w:left="0" w:right="0" w:firstLine="476" w:firstLineChars="22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因乙方未按法定税率计算税额或未根据本合同约定出具对应税额的增值税专用发票等乙方原因导致甲方多支付税额的，乙方必须退还甲方，给甲方造成损失的，乙方须向甲方赔偿相应损失。</w:t>
      </w:r>
    </w:p>
    <w:p w14:paraId="0CF07F6D">
      <w:pPr>
        <w:keepNext w:val="0"/>
        <w:keepLines w:val="0"/>
        <w:widowControl w:val="0"/>
        <w:suppressLineNumbers w:val="0"/>
        <w:spacing w:before="0" w:beforeAutospacing="0" w:after="0" w:afterAutospacing="0" w:line="360" w:lineRule="auto"/>
        <w:ind w:left="0" w:right="0" w:firstLine="476" w:firstLineChars="22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w:t>
      </w:r>
      <w:r>
        <w:rPr>
          <w:rFonts w:hint="eastAsia" w:ascii="宋体" w:hAnsi="宋体" w:eastAsia="宋体" w:cs="宋体"/>
          <w:color w:val="auto"/>
          <w:szCs w:val="21"/>
          <w:highlight w:val="none"/>
        </w:rPr>
        <w:t>本合同综合单价</w:t>
      </w:r>
      <w:r>
        <w:rPr>
          <w:rFonts w:hint="eastAsia" w:ascii="宋体" w:hAnsi="宋体" w:eastAsia="宋体" w:cs="宋体"/>
          <w:color w:val="auto"/>
          <w:kern w:val="2"/>
          <w:sz w:val="21"/>
          <w:szCs w:val="21"/>
          <w:highlight w:val="none"/>
          <w:lang w:val="en-US" w:eastAsia="zh-CN" w:bidi="ar"/>
        </w:rPr>
        <w:t>价税合计为</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元/吨（大写人民币每吨</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），合同履行期间根据本条第2项规定调整销项税额的，结算合同价税合计对应调整。</w:t>
      </w:r>
    </w:p>
    <w:p w14:paraId="08E3F36E">
      <w:pPr>
        <w:keepNext w:val="0"/>
        <w:keepLines w:val="0"/>
        <w:widowControl w:val="0"/>
        <w:suppressLineNumbers w:val="0"/>
        <w:spacing w:before="0" w:beforeAutospacing="0" w:after="0" w:afterAutospacing="0" w:line="360" w:lineRule="auto"/>
        <w:ind w:left="0" w:right="0" w:firstLine="476" w:firstLineChars="22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4、采购合同下暂定采购数量对应的暂定总合同价为</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（大写人民币</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，不含增值税）</w:t>
      </w:r>
      <w:bookmarkStart w:id="458" w:name="OLE_LINK23"/>
      <w:r>
        <w:rPr>
          <w:rFonts w:hint="eastAsia" w:ascii="宋体" w:hAnsi="宋体" w:eastAsia="宋体" w:cs="宋体"/>
          <w:color w:val="auto"/>
          <w:sz w:val="21"/>
          <w:szCs w:val="21"/>
          <w:highlight w:val="none"/>
          <w:lang w:eastAsia="zh-CN"/>
        </w:rPr>
        <w:t>；</w:t>
      </w:r>
      <w:bookmarkStart w:id="459" w:name="OLE_LINK19"/>
      <w:r>
        <w:rPr>
          <w:rFonts w:hint="eastAsia" w:ascii="宋体" w:hAnsi="宋体" w:eastAsia="宋体" w:cs="宋体"/>
          <w:color w:val="auto"/>
          <w:sz w:val="21"/>
          <w:szCs w:val="21"/>
          <w:highlight w:val="none"/>
        </w:rPr>
        <w:t>暂定采购数量对应的暂定合同含税总价为¥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（大写人民币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w:t>
      </w:r>
      <w:bookmarkEnd w:id="458"/>
      <w:bookmarkEnd w:id="459"/>
      <w:r>
        <w:rPr>
          <w:rFonts w:hint="eastAsia" w:ascii="宋体" w:hAnsi="宋体" w:eastAsia="宋体" w:cs="宋体"/>
          <w:color w:val="auto"/>
          <w:kern w:val="2"/>
          <w:sz w:val="21"/>
          <w:szCs w:val="21"/>
          <w:highlight w:val="none"/>
          <w:lang w:val="en-US" w:eastAsia="zh-CN" w:bidi="ar"/>
        </w:rPr>
        <w:t>。</w:t>
      </w:r>
    </w:p>
    <w:p w14:paraId="26BBBAC8">
      <w:pPr>
        <w:keepNext w:val="0"/>
        <w:keepLines w:val="0"/>
        <w:widowControl w:val="0"/>
        <w:suppressLineNumbers w:val="0"/>
        <w:spacing w:before="0" w:beforeAutospacing="0" w:after="0" w:afterAutospacing="0" w:line="360" w:lineRule="auto"/>
        <w:ind w:left="0" w:right="0" w:firstLine="476" w:firstLineChars="22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5、合同履约过程中，在供货期内按综合单价乘以实际供货数量进行结算。</w:t>
      </w:r>
    </w:p>
    <w:p w14:paraId="3DDDC5B4">
      <w:pPr>
        <w:keepNext w:val="0"/>
        <w:keepLines w:val="0"/>
        <w:widowControl w:val="0"/>
        <w:suppressLineNumbers w:val="0"/>
        <w:spacing w:before="0" w:beforeAutospacing="0" w:after="0" w:afterAutospacing="0" w:line="360" w:lineRule="auto"/>
        <w:ind w:left="0" w:right="0" w:firstLine="476" w:firstLineChars="22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3F3467D4">
      <w:pPr>
        <w:keepNext w:val="0"/>
        <w:keepLines w:val="0"/>
        <w:widowControl w:val="0"/>
        <w:suppressLineNumbers w:val="0"/>
        <w:snapToGrid w:val="0"/>
        <w:spacing w:before="0" w:beforeAutospacing="0" w:after="0" w:afterAutospacing="0" w:line="360" w:lineRule="auto"/>
        <w:ind w:left="0" w:right="0" w:firstLine="373" w:firstLineChars="177"/>
        <w:jc w:val="both"/>
        <w:outlineLvl w:val="2"/>
        <w:rPr>
          <w:rFonts w:hint="eastAsia" w:ascii="宋体" w:hAnsi="宋体" w:eastAsia="宋体" w:cs="宋体"/>
          <w:b/>
          <w:bCs w:val="0"/>
          <w:color w:val="auto"/>
          <w:kern w:val="2"/>
          <w:sz w:val="21"/>
          <w:szCs w:val="21"/>
          <w:highlight w:val="none"/>
        </w:rPr>
      </w:pPr>
      <w:bookmarkStart w:id="460" w:name="_Toc26315"/>
      <w:r>
        <w:rPr>
          <w:rFonts w:hint="eastAsia" w:ascii="宋体" w:hAnsi="宋体" w:eastAsia="宋体" w:cs="宋体"/>
          <w:b/>
          <w:bCs w:val="0"/>
          <w:color w:val="auto"/>
          <w:kern w:val="2"/>
          <w:sz w:val="21"/>
          <w:szCs w:val="21"/>
          <w:highlight w:val="none"/>
          <w:lang w:val="en-US" w:eastAsia="zh-CN" w:bidi="ar"/>
        </w:rPr>
        <w:t>第三条 合同组成</w:t>
      </w:r>
      <w:bookmarkEnd w:id="460"/>
    </w:p>
    <w:p w14:paraId="7EBD0909">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详细价格组成、技术说明及其它有关合同货物的特定信息可由合同附件说明。所有附件及本项目的招标文件、答疑文件、投标文件及相关承诺、协议等均为本合同不可分割之一部分，该等文件与本合同正文约定不一致的，以有利于甲方的约定为准。</w:t>
      </w:r>
    </w:p>
    <w:p w14:paraId="50825F60">
      <w:pPr>
        <w:keepNext w:val="0"/>
        <w:keepLines w:val="0"/>
        <w:widowControl w:val="0"/>
        <w:suppressLineNumbers w:val="0"/>
        <w:snapToGrid w:val="0"/>
        <w:spacing w:before="0" w:beforeAutospacing="0" w:after="0" w:afterAutospacing="0" w:line="360" w:lineRule="auto"/>
        <w:ind w:left="0" w:right="0" w:firstLine="422" w:firstLineChars="200"/>
        <w:jc w:val="both"/>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 xml:space="preserve"> </w:t>
      </w:r>
    </w:p>
    <w:p w14:paraId="48CC682E">
      <w:pPr>
        <w:keepNext w:val="0"/>
        <w:keepLines w:val="0"/>
        <w:widowControl w:val="0"/>
        <w:suppressLineNumbers w:val="0"/>
        <w:snapToGrid w:val="0"/>
        <w:spacing w:before="0" w:beforeAutospacing="0" w:after="0" w:afterAutospacing="0" w:line="360" w:lineRule="auto"/>
        <w:ind w:left="0" w:right="0" w:firstLine="373" w:firstLineChars="177"/>
        <w:jc w:val="both"/>
        <w:outlineLvl w:val="2"/>
        <w:rPr>
          <w:rFonts w:hint="eastAsia" w:ascii="宋体" w:hAnsi="宋体" w:eastAsia="宋体" w:cs="宋体"/>
          <w:b/>
          <w:bCs w:val="0"/>
          <w:color w:val="auto"/>
          <w:kern w:val="2"/>
          <w:sz w:val="21"/>
          <w:szCs w:val="21"/>
          <w:highlight w:val="none"/>
        </w:rPr>
      </w:pPr>
      <w:bookmarkStart w:id="461" w:name="_Toc15387"/>
      <w:r>
        <w:rPr>
          <w:rFonts w:hint="eastAsia" w:ascii="宋体" w:hAnsi="宋体" w:eastAsia="宋体" w:cs="宋体"/>
          <w:b/>
          <w:bCs w:val="0"/>
          <w:color w:val="auto"/>
          <w:kern w:val="2"/>
          <w:sz w:val="21"/>
          <w:szCs w:val="21"/>
          <w:highlight w:val="none"/>
          <w:lang w:val="en-US" w:eastAsia="zh-CN" w:bidi="ar"/>
        </w:rPr>
        <w:t>第四条 技术要求及质量要求</w:t>
      </w:r>
      <w:bookmarkEnd w:id="461"/>
    </w:p>
    <w:p w14:paraId="1097E1B9">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乙方保证所提供货物均为采用合格材料和工艺制成的全新的未使用过的，并完全符合甲方招标文件要求及乙方投标文件承诺的质量、规格标准；同时乙方所提供货物，必须符合国家有关法律法规和环保、主管部门要求及甲方的技术要求，不存在侵犯第三人知识产权或其他权益的情况。</w:t>
      </w:r>
    </w:p>
    <w:p w14:paraId="631D5BC3">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2、液体柠檬酸产品外观为无色透明液体。</w:t>
      </w:r>
    </w:p>
    <w:p w14:paraId="4732F91F">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3、液体柠檬酸主要技术指标要求如下：</w:t>
      </w:r>
    </w:p>
    <w:p w14:paraId="0BFFB263">
      <w:pPr>
        <w:spacing w:line="360" w:lineRule="auto"/>
        <w:ind w:firstLine="276" w:firstLineChars="131"/>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表1  </w:t>
      </w:r>
      <w:r>
        <w:rPr>
          <w:rFonts w:hint="eastAsia" w:ascii="宋体" w:hAnsi="宋体" w:eastAsia="宋体" w:cs="宋体"/>
          <w:b/>
          <w:color w:val="auto"/>
          <w:sz w:val="21"/>
          <w:szCs w:val="21"/>
          <w:highlight w:val="none"/>
          <w:lang w:eastAsia="zh-CN"/>
        </w:rPr>
        <w:t>液体柠檬酸</w:t>
      </w:r>
      <w:r>
        <w:rPr>
          <w:rFonts w:hint="eastAsia" w:ascii="宋体" w:hAnsi="宋体" w:eastAsia="宋体" w:cs="宋体"/>
          <w:b/>
          <w:color w:val="auto"/>
          <w:sz w:val="21"/>
          <w:szCs w:val="21"/>
          <w:highlight w:val="none"/>
        </w:rPr>
        <w:t>主要技术指标</w:t>
      </w:r>
    </w:p>
    <w:tbl>
      <w:tblPr>
        <w:tblStyle w:val="37"/>
        <w:tblW w:w="990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7"/>
        <w:gridCol w:w="4281"/>
      </w:tblGrid>
      <w:tr w14:paraId="4B20B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5507" w:type="dxa"/>
            <w:vAlign w:val="center"/>
          </w:tcPr>
          <w:p w14:paraId="2D2DB1EB">
            <w:pPr>
              <w:keepNext w:val="0"/>
              <w:keepLines w:val="0"/>
              <w:pageBreakBefore w:val="0"/>
              <w:widowControl w:val="0"/>
              <w:suppressLineNumbers w:val="0"/>
              <w:kinsoku/>
              <w:wordWrap/>
              <w:overflowPunct/>
              <w:topLinePunct w:val="0"/>
              <w:autoSpaceDE/>
              <w:autoSpaceDN/>
              <w:bidi w:val="0"/>
              <w:adjustRightInd/>
              <w:snapToGrid/>
              <w:spacing w:before="164" w:beforeLines="50" w:beforeAutospacing="0" w:after="0" w:afterAutospacing="0" w:line="360" w:lineRule="auto"/>
              <w:ind w:left="0" w:right="0" w:firstLine="422" w:firstLineChars="20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指标项目</w:t>
            </w:r>
          </w:p>
        </w:tc>
        <w:tc>
          <w:tcPr>
            <w:tcW w:w="4281" w:type="dxa"/>
            <w:vAlign w:val="center"/>
          </w:tcPr>
          <w:p w14:paraId="09206301">
            <w:pPr>
              <w:keepNext w:val="0"/>
              <w:keepLines w:val="0"/>
              <w:pageBreakBefore w:val="0"/>
              <w:widowControl w:val="0"/>
              <w:suppressLineNumbers w:val="0"/>
              <w:kinsoku/>
              <w:wordWrap/>
              <w:overflowPunct/>
              <w:topLinePunct w:val="0"/>
              <w:autoSpaceDE/>
              <w:autoSpaceDN/>
              <w:bidi w:val="0"/>
              <w:adjustRightInd/>
              <w:snapToGrid/>
              <w:spacing w:before="164" w:beforeLines="50" w:beforeAutospacing="0" w:after="0" w:afterAutospacing="0" w:line="360" w:lineRule="auto"/>
              <w:ind w:left="0" w:right="0" w:firstLine="276" w:firstLineChars="131"/>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指标</w:t>
            </w:r>
          </w:p>
        </w:tc>
      </w:tr>
      <w:tr w14:paraId="22841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5507" w:type="dxa"/>
            <w:vAlign w:val="center"/>
          </w:tcPr>
          <w:p w14:paraId="6B7C0E00">
            <w:pPr>
              <w:keepNext w:val="0"/>
              <w:keepLines w:val="0"/>
              <w:pageBreakBefore w:val="0"/>
              <w:widowControl w:val="0"/>
              <w:suppressLineNumbers w:val="0"/>
              <w:kinsoku/>
              <w:wordWrap/>
              <w:overflowPunct/>
              <w:topLinePunct w:val="0"/>
              <w:autoSpaceDE/>
              <w:autoSpaceDN/>
              <w:bidi w:val="0"/>
              <w:adjustRightInd/>
              <w:snapToGrid/>
              <w:spacing w:before="164" w:beforeLines="50" w:beforeAutospacing="0" w:after="0" w:afterAutospacing="0" w:line="360" w:lineRule="auto"/>
              <w:ind w:left="0" w:right="0" w:firstLine="422" w:firstLineChars="20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质量分数（C</w:t>
            </w:r>
            <w:r>
              <w:rPr>
                <w:rFonts w:hint="eastAsia" w:ascii="宋体" w:hAnsi="宋体" w:eastAsia="宋体" w:cs="宋体"/>
                <w:b/>
                <w:color w:val="auto"/>
                <w:sz w:val="21"/>
                <w:szCs w:val="21"/>
                <w:highlight w:val="none"/>
                <w:vertAlign w:val="subscript"/>
              </w:rPr>
              <w:t>6</w:t>
            </w:r>
            <w:r>
              <w:rPr>
                <w:rFonts w:hint="eastAsia" w:ascii="宋体" w:hAnsi="宋体" w:eastAsia="宋体" w:cs="宋体"/>
                <w:b/>
                <w:color w:val="auto"/>
                <w:sz w:val="21"/>
                <w:szCs w:val="21"/>
                <w:highlight w:val="none"/>
              </w:rPr>
              <w:t>H</w:t>
            </w:r>
            <w:r>
              <w:rPr>
                <w:rFonts w:hint="eastAsia" w:ascii="宋体" w:hAnsi="宋体" w:eastAsia="宋体" w:cs="宋体"/>
                <w:b/>
                <w:color w:val="auto"/>
                <w:sz w:val="21"/>
                <w:szCs w:val="21"/>
                <w:highlight w:val="none"/>
                <w:vertAlign w:val="subscript"/>
              </w:rPr>
              <w:t>8</w:t>
            </w:r>
            <w:r>
              <w:rPr>
                <w:rFonts w:hint="eastAsia" w:ascii="宋体" w:hAnsi="宋体" w:eastAsia="宋体" w:cs="宋体"/>
                <w:b/>
                <w:color w:val="auto"/>
                <w:sz w:val="21"/>
                <w:szCs w:val="21"/>
                <w:highlight w:val="none"/>
              </w:rPr>
              <w:t>O</w:t>
            </w:r>
            <w:r>
              <w:rPr>
                <w:rFonts w:hint="eastAsia" w:ascii="宋体" w:hAnsi="宋体" w:eastAsia="宋体" w:cs="宋体"/>
                <w:b/>
                <w:color w:val="auto"/>
                <w:sz w:val="21"/>
                <w:szCs w:val="21"/>
                <w:highlight w:val="none"/>
                <w:vertAlign w:val="subscript"/>
              </w:rPr>
              <w:t>7</w:t>
            </w:r>
            <w:r>
              <w:rPr>
                <w:rFonts w:hint="eastAsia" w:ascii="宋体" w:hAnsi="宋体" w:eastAsia="宋体" w:cs="宋体"/>
                <w:b/>
                <w:color w:val="auto"/>
                <w:sz w:val="21"/>
                <w:szCs w:val="21"/>
                <w:highlight w:val="none"/>
              </w:rPr>
              <w:t>），%</w:t>
            </w:r>
          </w:p>
        </w:tc>
        <w:tc>
          <w:tcPr>
            <w:tcW w:w="4281" w:type="dxa"/>
            <w:vAlign w:val="center"/>
          </w:tcPr>
          <w:p w14:paraId="3A10C3C5">
            <w:pPr>
              <w:keepNext w:val="0"/>
              <w:keepLines w:val="0"/>
              <w:pageBreakBefore w:val="0"/>
              <w:widowControl w:val="0"/>
              <w:suppressLineNumbers w:val="0"/>
              <w:kinsoku/>
              <w:wordWrap/>
              <w:overflowPunct/>
              <w:topLinePunct w:val="0"/>
              <w:autoSpaceDE/>
              <w:autoSpaceDN/>
              <w:bidi w:val="0"/>
              <w:adjustRightInd/>
              <w:snapToGrid/>
              <w:spacing w:before="164" w:beforeLines="50" w:beforeAutospacing="0" w:after="0" w:afterAutospacing="0" w:line="360" w:lineRule="auto"/>
              <w:ind w:left="0" w:right="0" w:firstLine="276" w:firstLineChars="131"/>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≥30</w:t>
            </w:r>
          </w:p>
        </w:tc>
      </w:tr>
      <w:tr w14:paraId="2D5FC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7" w:type="dxa"/>
            <w:vAlign w:val="center"/>
          </w:tcPr>
          <w:p w14:paraId="7C780BD2">
            <w:pPr>
              <w:keepNext w:val="0"/>
              <w:keepLines w:val="0"/>
              <w:pageBreakBefore w:val="0"/>
              <w:widowControl w:val="0"/>
              <w:suppressLineNumbers w:val="0"/>
              <w:kinsoku/>
              <w:wordWrap/>
              <w:overflowPunct/>
              <w:topLinePunct w:val="0"/>
              <w:autoSpaceDE/>
              <w:autoSpaceDN/>
              <w:bidi w:val="0"/>
              <w:adjustRightInd/>
              <w:snapToGrid/>
              <w:spacing w:before="164" w:beforeLines="50" w:beforeAutospacing="0" w:after="0" w:afterAutospacing="0" w:line="360" w:lineRule="auto"/>
              <w:ind w:left="0" w:right="0" w:firstLine="422" w:firstLineChars="20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水不溶物，%</w:t>
            </w:r>
          </w:p>
        </w:tc>
        <w:tc>
          <w:tcPr>
            <w:tcW w:w="4281" w:type="dxa"/>
            <w:vAlign w:val="center"/>
          </w:tcPr>
          <w:p w14:paraId="58E5C749">
            <w:pPr>
              <w:keepNext w:val="0"/>
              <w:keepLines w:val="0"/>
              <w:pageBreakBefore w:val="0"/>
              <w:widowControl w:val="0"/>
              <w:suppressLineNumbers w:val="0"/>
              <w:kinsoku/>
              <w:wordWrap/>
              <w:overflowPunct/>
              <w:topLinePunct w:val="0"/>
              <w:autoSpaceDE/>
              <w:autoSpaceDN/>
              <w:bidi w:val="0"/>
              <w:adjustRightInd/>
              <w:snapToGrid/>
              <w:spacing w:before="164" w:beforeLines="50" w:beforeAutospacing="0" w:after="0" w:afterAutospacing="0" w:line="360" w:lineRule="auto"/>
              <w:ind w:left="0" w:right="0" w:firstLine="276" w:firstLineChars="131"/>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≤0.05</w:t>
            </w:r>
          </w:p>
        </w:tc>
      </w:tr>
    </w:tbl>
    <w:p w14:paraId="147A4FAC">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4、供货期间，如有发布最新的行业标准或国家标准，甲方有权根据甲方运营项目实际情况及有关行业标准或国家标准对合同的主要技术指标进行变更调整，乙方应无条件接受。</w:t>
      </w:r>
    </w:p>
    <w:p w14:paraId="206F1CF9">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5、乙方应根据各项目工艺以及性质，提供符合技术指标的药剂，保证供货的药剂用于MBR膜清洗达到良好的膜清洗效果。</w:t>
      </w:r>
    </w:p>
    <w:p w14:paraId="6A56C352">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703AC175">
      <w:pPr>
        <w:keepNext w:val="0"/>
        <w:keepLines w:val="0"/>
        <w:widowControl w:val="0"/>
        <w:suppressLineNumbers w:val="0"/>
        <w:snapToGrid w:val="0"/>
        <w:spacing w:before="0" w:beforeAutospacing="0" w:after="0" w:afterAutospacing="0" w:line="360" w:lineRule="auto"/>
        <w:ind w:left="0" w:right="0" w:firstLine="373" w:firstLineChars="177"/>
        <w:jc w:val="both"/>
        <w:outlineLvl w:val="2"/>
        <w:rPr>
          <w:rFonts w:hint="eastAsia" w:ascii="宋体" w:hAnsi="宋体" w:eastAsia="宋体" w:cs="宋体"/>
          <w:b/>
          <w:bCs w:val="0"/>
          <w:color w:val="auto"/>
          <w:kern w:val="2"/>
          <w:sz w:val="21"/>
          <w:szCs w:val="21"/>
          <w:highlight w:val="none"/>
          <w:lang w:val="en-US" w:eastAsia="zh-CN" w:bidi="ar"/>
        </w:rPr>
      </w:pPr>
      <w:bookmarkStart w:id="462" w:name="_Toc30340"/>
      <w:r>
        <w:rPr>
          <w:rFonts w:hint="eastAsia" w:ascii="宋体" w:hAnsi="宋体" w:eastAsia="宋体" w:cs="宋体"/>
          <w:b/>
          <w:bCs w:val="0"/>
          <w:color w:val="auto"/>
          <w:kern w:val="2"/>
          <w:sz w:val="21"/>
          <w:szCs w:val="21"/>
          <w:highlight w:val="none"/>
          <w:lang w:val="en-US" w:eastAsia="zh-CN" w:bidi="ar"/>
        </w:rPr>
        <w:t>第五条 货物的交货要求</w:t>
      </w:r>
      <w:bookmarkEnd w:id="462"/>
    </w:p>
    <w:p w14:paraId="73301E16">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1、交货地点：甲方在东莞市范围内的运营项目。</w:t>
      </w:r>
    </w:p>
    <w:p w14:paraId="268A6C77">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2、交货时间：日常供货</w:t>
      </w:r>
      <w:r>
        <w:rPr>
          <w:rFonts w:hint="eastAsia" w:ascii="宋体" w:hAnsi="宋体" w:eastAsia="宋体" w:cs="宋体"/>
          <w:color w:val="auto"/>
          <w:kern w:val="2"/>
          <w:sz w:val="21"/>
          <w:szCs w:val="21"/>
          <w:highlight w:val="none"/>
        </w:rPr>
        <w:t>（非加急供货</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bidi="ar"/>
        </w:rPr>
        <w:t>为接到供货通知24小时内，加急供货为接到供货通知4小时内，具体交货时间以甲方运营项目供货通知为准。甲方无需因加急供货而额外支付任何费用。</w:t>
      </w:r>
    </w:p>
    <w:p w14:paraId="7439BFE4">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3、乙方自行负责将生产药剂运送至甲方运营项目指定位置（</w:t>
      </w:r>
      <w:r>
        <w:rPr>
          <w:rFonts w:hint="eastAsia" w:ascii="宋体" w:hAnsi="宋体" w:eastAsia="宋体" w:cs="宋体"/>
          <w:color w:val="auto"/>
          <w:kern w:val="2"/>
          <w:sz w:val="21"/>
          <w:szCs w:val="21"/>
          <w:highlight w:val="none"/>
        </w:rPr>
        <w:t>生产药剂储存罐</w:t>
      </w:r>
      <w:r>
        <w:rPr>
          <w:rFonts w:hint="eastAsia" w:ascii="宋体" w:hAnsi="宋体" w:eastAsia="宋体" w:cs="宋体"/>
          <w:color w:val="auto"/>
          <w:kern w:val="2"/>
          <w:sz w:val="21"/>
          <w:szCs w:val="21"/>
          <w:highlight w:val="none"/>
          <w:lang w:val="en-US" w:eastAsia="zh-CN" w:bidi="ar"/>
        </w:rPr>
        <w:t>），未经甲方书面同意，乙方不得私自将本合同项下的货物运输义务委托第三方个人或企业。乙方承担相应的运输、装卸等费用，运输人员应配备足够防护器具。如在运输及装卸过程中，生产药剂发生泄漏，应由乙方负责清理收集，避免造成人员伤害或环境污染。</w:t>
      </w:r>
    </w:p>
    <w:p w14:paraId="05DDDFFB">
      <w:pPr>
        <w:keepNext w:val="0"/>
        <w:keepLines w:val="0"/>
        <w:widowControl w:val="0"/>
        <w:suppressLineNumbers w:val="0"/>
        <w:spacing w:before="0" w:beforeAutospacing="0" w:after="0" w:afterAutospacing="0" w:line="360" w:lineRule="auto"/>
        <w:ind w:left="0" w:right="0" w:firstLine="420" w:firstLineChars="200"/>
        <w:jc w:val="both"/>
        <w:rPr>
          <w:rFonts w:hint="eastAsia" w:ascii="等线" w:hAnsi="等线" w:eastAsia="等线"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w:t>
      </w:r>
      <w:r>
        <w:rPr>
          <w:rFonts w:hint="eastAsia" w:ascii="宋体" w:hAnsi="宋体" w:eastAsia="宋体" w:cs="宋体"/>
          <w:color w:val="auto"/>
          <w:sz w:val="21"/>
          <w:szCs w:val="21"/>
          <w:highlight w:val="none"/>
        </w:rPr>
        <w:t>每次送货，</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须提供电子地磅的称重单（含载货时的称重单和卸货后的称重单），相关费用由</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承担。实际供货数量以</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运营项目和</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双方确认的电子地磅的称重单为准</w:t>
      </w:r>
      <w:r>
        <w:rPr>
          <w:rFonts w:hint="eastAsia" w:ascii="宋体" w:hAnsi="宋体" w:eastAsia="宋体" w:cs="宋体"/>
          <w:color w:val="auto"/>
          <w:kern w:val="2"/>
          <w:sz w:val="21"/>
          <w:szCs w:val="21"/>
          <w:highlight w:val="none"/>
          <w:lang w:val="en-US" w:eastAsia="zh-CN" w:bidi="ar"/>
        </w:rPr>
        <w:t>。甲方运营项目有电子地磅的，原则上在甲方运营项目过磅；甲方运营项目无电子地磅或电子地磅因检修等原因不可用的，在交货地点附近的电子地磅过磅。甲方及甲方关联公司电子地磅的称重服务不含税单价为1.51元/吨，称重服务相关条款由甲方及甲方关联公司与乙方签订称重服务合同另行约定。</w:t>
      </w:r>
    </w:p>
    <w:p w14:paraId="4963AA51">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w:t>
      </w:r>
      <w:r>
        <w:rPr>
          <w:rFonts w:hint="eastAsia" w:ascii="宋体" w:hAnsi="宋体" w:eastAsia="宋体" w:cs="宋体"/>
          <w:color w:val="auto"/>
          <w:sz w:val="21"/>
          <w:szCs w:val="21"/>
          <w:highlight w:val="none"/>
        </w:rPr>
        <w:t>每次送货，</w:t>
      </w:r>
      <w:r>
        <w:rPr>
          <w:rFonts w:hint="eastAsia" w:ascii="宋体" w:hAnsi="宋体" w:eastAsia="宋体" w:cs="宋体"/>
          <w:color w:val="auto"/>
          <w:kern w:val="2"/>
          <w:sz w:val="21"/>
          <w:szCs w:val="21"/>
          <w:highlight w:val="none"/>
          <w:lang w:val="en-US" w:eastAsia="zh-CN"/>
        </w:rPr>
        <w:t>乙方</w:t>
      </w:r>
      <w:r>
        <w:rPr>
          <w:rFonts w:hint="eastAsia" w:ascii="宋体" w:hAnsi="宋体" w:eastAsia="宋体" w:cs="宋体"/>
          <w:color w:val="auto"/>
          <w:kern w:val="2"/>
          <w:sz w:val="21"/>
          <w:szCs w:val="21"/>
          <w:highlight w:val="none"/>
        </w:rPr>
        <w:t>须随货提供生产厂家出具的具有</w:t>
      </w:r>
      <w:r>
        <w:rPr>
          <w:rFonts w:hint="eastAsia" w:ascii="宋体" w:hAnsi="宋体" w:eastAsia="宋体" w:cs="宋体"/>
          <w:b/>
          <w:bCs/>
          <w:color w:val="auto"/>
          <w:kern w:val="2"/>
          <w:sz w:val="21"/>
          <w:szCs w:val="21"/>
          <w:highlight w:val="none"/>
        </w:rPr>
        <w:t>生产厂家、出厂批号、</w:t>
      </w:r>
      <w:r>
        <w:rPr>
          <w:rFonts w:hint="eastAsia" w:ascii="宋体" w:hAnsi="宋体" w:eastAsia="宋体" w:cs="宋体"/>
          <w:b/>
          <w:bCs/>
          <w:color w:val="auto"/>
          <w:szCs w:val="21"/>
          <w:highlight w:val="none"/>
        </w:rPr>
        <w:t>质量分数</w:t>
      </w:r>
      <w:r>
        <w:rPr>
          <w:rFonts w:hint="eastAsia" w:ascii="宋体" w:hAnsi="宋体" w:eastAsia="宋体" w:cs="宋体"/>
          <w:b/>
          <w:bCs/>
          <w:color w:val="auto"/>
          <w:kern w:val="2"/>
          <w:sz w:val="21"/>
          <w:szCs w:val="21"/>
          <w:highlight w:val="none"/>
        </w:rPr>
        <w:t>等主要信息</w:t>
      </w:r>
      <w:r>
        <w:rPr>
          <w:rFonts w:hint="eastAsia" w:ascii="宋体" w:hAnsi="宋体" w:eastAsia="宋体" w:cs="宋体"/>
          <w:color w:val="auto"/>
          <w:kern w:val="2"/>
          <w:sz w:val="21"/>
          <w:szCs w:val="21"/>
          <w:highlight w:val="none"/>
        </w:rPr>
        <w:t>的产品质量检验报告（如出厂检验报告、质量检验报告等）、供货单据等资料</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如</w:t>
      </w:r>
      <w:r>
        <w:rPr>
          <w:rFonts w:hint="eastAsia" w:ascii="宋体" w:hAnsi="宋体" w:eastAsia="宋体" w:cs="宋体"/>
          <w:color w:val="auto"/>
          <w:kern w:val="2"/>
          <w:sz w:val="21"/>
          <w:szCs w:val="21"/>
          <w:highlight w:val="none"/>
        </w:rPr>
        <w:t>生产厂家出具的产品质量检验报告（如出厂检验报告、质量检验报告等）</w:t>
      </w:r>
      <w:r>
        <w:rPr>
          <w:rFonts w:hint="eastAsia" w:ascii="宋体" w:hAnsi="宋体" w:eastAsia="宋体" w:cs="宋体"/>
          <w:color w:val="auto"/>
          <w:kern w:val="2"/>
          <w:sz w:val="21"/>
          <w:szCs w:val="21"/>
          <w:highlight w:val="none"/>
          <w:lang w:val="en-US" w:eastAsia="zh-CN"/>
        </w:rPr>
        <w:t>无法体现是否符合</w:t>
      </w:r>
      <w:r>
        <w:rPr>
          <w:rFonts w:hint="eastAsia" w:ascii="宋体" w:hAnsi="宋体" w:eastAsia="宋体" w:cs="宋体"/>
          <w:color w:val="auto"/>
          <w:szCs w:val="21"/>
          <w:highlight w:val="none"/>
        </w:rPr>
        <w:t>表1《</w:t>
      </w:r>
      <w:r>
        <w:rPr>
          <w:rFonts w:hint="eastAsia" w:ascii="宋体" w:hAnsi="宋体" w:eastAsia="宋体" w:cs="宋体"/>
          <w:color w:val="auto"/>
          <w:szCs w:val="21"/>
          <w:highlight w:val="none"/>
          <w:lang w:eastAsia="zh-CN"/>
        </w:rPr>
        <w:t>液体柠檬酸</w:t>
      </w:r>
      <w:r>
        <w:rPr>
          <w:rFonts w:hint="eastAsia" w:ascii="宋体" w:hAnsi="宋体" w:eastAsia="宋体" w:cs="宋体"/>
          <w:color w:val="auto"/>
          <w:szCs w:val="21"/>
          <w:highlight w:val="none"/>
        </w:rPr>
        <w:t>主要技术指标》要求</w:t>
      </w:r>
      <w:r>
        <w:rPr>
          <w:rFonts w:hint="eastAsia" w:ascii="宋体" w:hAnsi="宋体" w:eastAsia="宋体" w:cs="宋体"/>
          <w:color w:val="auto"/>
          <w:szCs w:val="21"/>
          <w:highlight w:val="none"/>
          <w:lang w:eastAsia="zh-CN"/>
        </w:rPr>
        <w:t>，</w:t>
      </w:r>
      <w:r>
        <w:rPr>
          <w:rFonts w:hint="eastAsia" w:ascii="宋体" w:hAnsi="宋体" w:eastAsia="宋体" w:cs="宋体"/>
          <w:color w:val="auto"/>
          <w:sz w:val="21"/>
          <w:szCs w:val="21"/>
          <w:highlight w:val="none"/>
          <w:lang w:val="en-US" w:eastAsia="zh-CN"/>
        </w:rPr>
        <w:t>乙方需另行提供乙方出具的所供货物的</w:t>
      </w:r>
      <w:r>
        <w:rPr>
          <w:rFonts w:hint="eastAsia" w:ascii="宋体" w:hAnsi="宋体" w:eastAsia="宋体" w:cs="宋体"/>
          <w:color w:val="auto"/>
          <w:szCs w:val="21"/>
          <w:highlight w:val="none"/>
        </w:rPr>
        <w:t>符合表1《</w:t>
      </w:r>
      <w:r>
        <w:rPr>
          <w:rFonts w:hint="eastAsia" w:ascii="宋体" w:hAnsi="宋体" w:eastAsia="宋体" w:cs="宋体"/>
          <w:color w:val="auto"/>
          <w:szCs w:val="21"/>
          <w:highlight w:val="none"/>
          <w:lang w:eastAsia="zh-CN"/>
        </w:rPr>
        <w:t>液体柠檬酸</w:t>
      </w:r>
      <w:r>
        <w:rPr>
          <w:rFonts w:hint="eastAsia" w:ascii="宋体" w:hAnsi="宋体" w:eastAsia="宋体" w:cs="宋体"/>
          <w:color w:val="auto"/>
          <w:szCs w:val="21"/>
          <w:highlight w:val="none"/>
        </w:rPr>
        <w:t>主要技术指标》要求</w:t>
      </w:r>
      <w:r>
        <w:rPr>
          <w:rFonts w:hint="eastAsia" w:ascii="宋体" w:hAnsi="宋体" w:eastAsia="宋体" w:cs="宋体"/>
          <w:color w:val="auto"/>
          <w:szCs w:val="21"/>
          <w:highlight w:val="none"/>
          <w:lang w:val="en-US" w:eastAsia="zh-CN"/>
        </w:rPr>
        <w:t>的</w:t>
      </w:r>
      <w:r>
        <w:rPr>
          <w:rFonts w:hint="eastAsia" w:ascii="宋体" w:hAnsi="宋体" w:eastAsia="宋体" w:cs="宋体"/>
          <w:color w:val="auto"/>
          <w:kern w:val="2"/>
          <w:sz w:val="21"/>
          <w:szCs w:val="21"/>
          <w:highlight w:val="none"/>
        </w:rPr>
        <w:t>产品质量检验报告</w:t>
      </w:r>
      <w:r>
        <w:rPr>
          <w:rFonts w:hint="eastAsia" w:ascii="宋体" w:hAnsi="宋体" w:eastAsia="宋体" w:cs="宋体"/>
          <w:color w:val="auto"/>
          <w:szCs w:val="21"/>
          <w:highlight w:val="none"/>
          <w:lang w:eastAsia="zh-CN"/>
        </w:rPr>
        <w:t>，</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提供的检验报告只作为</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kern w:val="2"/>
          <w:sz w:val="21"/>
          <w:szCs w:val="21"/>
          <w:highlight w:val="none"/>
        </w:rPr>
        <w:t>运营项目</w:t>
      </w:r>
      <w:r>
        <w:rPr>
          <w:rFonts w:hint="eastAsia" w:ascii="宋体" w:hAnsi="宋体" w:eastAsia="宋体" w:cs="宋体"/>
          <w:color w:val="auto"/>
          <w:sz w:val="21"/>
          <w:szCs w:val="21"/>
          <w:highlight w:val="none"/>
        </w:rPr>
        <w:t>参考</w:t>
      </w:r>
      <w:r>
        <w:rPr>
          <w:rFonts w:hint="eastAsia" w:ascii="宋体" w:hAnsi="宋体" w:eastAsia="宋体" w:cs="宋体"/>
          <w:color w:val="auto"/>
          <w:kern w:val="2"/>
          <w:sz w:val="21"/>
          <w:szCs w:val="21"/>
          <w:highlight w:val="none"/>
          <w:lang w:val="en-US" w:eastAsia="zh-CN" w:bidi="ar"/>
        </w:rPr>
        <w:t>。</w:t>
      </w:r>
    </w:p>
    <w:p w14:paraId="7677798B">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6、供货期间，在收到甲方运营项目供货通知前，乙方无需为合同履行做准备工作。甲方运营项目相关信息见附件。</w:t>
      </w:r>
    </w:p>
    <w:p w14:paraId="7F61C563">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7、关于生产药剂的贮存装置、贮存条件等要求，乙方应详细以书面形式告知甲方运营项目。</w:t>
      </w:r>
    </w:p>
    <w:p w14:paraId="21D18FB2">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8、</w:t>
      </w:r>
      <w:r>
        <w:rPr>
          <w:rFonts w:hint="eastAsia" w:ascii="宋体" w:hAnsi="宋体" w:eastAsia="宋体" w:cs="宋体"/>
          <w:color w:val="auto"/>
          <w:szCs w:val="21"/>
          <w:highlight w:val="none"/>
        </w:rPr>
        <w:t>生产药剂的运送及输送方式应符合国家或行业规范标准。液体药剂采用聚乙烯塑料桶或专用耐酸碱耐腐蚀贮罐等密闭容器装运,运输过程防止药剂泄漏并避免有毒物品的污染，且</w:t>
      </w:r>
      <w:r>
        <w:rPr>
          <w:rFonts w:hint="eastAsia" w:ascii="宋体" w:hAnsi="宋体" w:eastAsia="宋体" w:cs="宋体"/>
          <w:color w:val="auto"/>
          <w:szCs w:val="21"/>
          <w:highlight w:val="none"/>
          <w:lang w:val="en-US" w:eastAsia="zh-CN"/>
        </w:rPr>
        <w:t>乙方</w:t>
      </w:r>
      <w:r>
        <w:rPr>
          <w:rFonts w:hint="eastAsia" w:ascii="宋体" w:hAnsi="宋体" w:eastAsia="宋体" w:cs="宋体"/>
          <w:color w:val="auto"/>
          <w:szCs w:val="21"/>
          <w:highlight w:val="none"/>
        </w:rPr>
        <w:t>或其委托的运输单位应当具备国家及行业规定的运输资质</w:t>
      </w:r>
      <w:r>
        <w:rPr>
          <w:rFonts w:hint="eastAsia" w:ascii="宋体" w:hAnsi="宋体" w:eastAsia="宋体" w:cs="宋体"/>
          <w:color w:val="auto"/>
          <w:kern w:val="2"/>
          <w:sz w:val="21"/>
          <w:szCs w:val="21"/>
          <w:highlight w:val="none"/>
          <w:lang w:val="en-US" w:eastAsia="zh-CN" w:bidi="ar"/>
        </w:rPr>
        <w:t>。</w:t>
      </w:r>
    </w:p>
    <w:p w14:paraId="557C5669">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 xml:space="preserve"> </w:t>
      </w:r>
    </w:p>
    <w:p w14:paraId="405754F2">
      <w:pPr>
        <w:keepNext w:val="0"/>
        <w:keepLines w:val="0"/>
        <w:widowControl w:val="0"/>
        <w:suppressLineNumbers w:val="0"/>
        <w:snapToGrid w:val="0"/>
        <w:spacing w:before="0" w:beforeAutospacing="0" w:after="0" w:afterAutospacing="0" w:line="360" w:lineRule="auto"/>
        <w:ind w:left="0" w:right="0" w:firstLine="373" w:firstLineChars="177"/>
        <w:jc w:val="both"/>
        <w:outlineLvl w:val="2"/>
        <w:rPr>
          <w:rFonts w:hint="eastAsia" w:ascii="宋体" w:hAnsi="宋体" w:eastAsia="宋体" w:cs="宋体"/>
          <w:b/>
          <w:bCs w:val="0"/>
          <w:color w:val="auto"/>
          <w:kern w:val="2"/>
          <w:sz w:val="21"/>
          <w:szCs w:val="21"/>
          <w:highlight w:val="none"/>
          <w:lang w:val="en-US" w:eastAsia="zh-CN" w:bidi="ar"/>
        </w:rPr>
      </w:pPr>
      <w:bookmarkStart w:id="463" w:name="_Toc3431"/>
      <w:r>
        <w:rPr>
          <w:rFonts w:hint="eastAsia" w:ascii="宋体" w:hAnsi="宋体" w:eastAsia="宋体" w:cs="宋体"/>
          <w:b/>
          <w:bCs w:val="0"/>
          <w:color w:val="auto"/>
          <w:kern w:val="2"/>
          <w:sz w:val="21"/>
          <w:szCs w:val="21"/>
          <w:highlight w:val="none"/>
          <w:lang w:val="en-US" w:eastAsia="zh-CN" w:bidi="ar"/>
        </w:rPr>
        <w:t>第六条 储存</w:t>
      </w:r>
      <w:bookmarkEnd w:id="463"/>
    </w:p>
    <w:p w14:paraId="62299FF8">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乙方应协助和指导甲方进行货物的储存，对甲方的储存方式、方法、储存数量、仓库的安全设施设备、安全生产规章制度等是否符合国家标准或者国家有关规定提出合理的建议，并进行技术指导。</w:t>
      </w:r>
    </w:p>
    <w:p w14:paraId="318DCB89">
      <w:pPr>
        <w:keepNext w:val="0"/>
        <w:keepLines w:val="0"/>
        <w:widowControl w:val="0"/>
        <w:suppressLineNumbers w:val="0"/>
        <w:snapToGrid w:val="0"/>
        <w:spacing w:before="0" w:beforeAutospacing="0" w:after="0" w:afterAutospacing="0" w:line="360" w:lineRule="auto"/>
        <w:ind w:left="0" w:right="0" w:firstLine="373" w:firstLineChars="177"/>
        <w:jc w:val="both"/>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 xml:space="preserve"> </w:t>
      </w:r>
    </w:p>
    <w:p w14:paraId="217DD10E">
      <w:pPr>
        <w:keepNext w:val="0"/>
        <w:keepLines w:val="0"/>
        <w:widowControl w:val="0"/>
        <w:suppressLineNumbers w:val="0"/>
        <w:snapToGrid w:val="0"/>
        <w:spacing w:before="0" w:beforeAutospacing="0" w:after="0" w:afterAutospacing="0" w:line="360" w:lineRule="auto"/>
        <w:ind w:left="0" w:right="0" w:firstLine="373" w:firstLineChars="177"/>
        <w:jc w:val="both"/>
        <w:outlineLvl w:val="2"/>
        <w:rPr>
          <w:rFonts w:hint="eastAsia" w:ascii="宋体" w:hAnsi="宋体" w:eastAsia="宋体" w:cs="宋体"/>
          <w:b/>
          <w:bCs w:val="0"/>
          <w:color w:val="auto"/>
          <w:kern w:val="2"/>
          <w:sz w:val="21"/>
          <w:szCs w:val="21"/>
          <w:highlight w:val="none"/>
          <w:lang w:val="en-US" w:eastAsia="zh-CN" w:bidi="ar"/>
        </w:rPr>
      </w:pPr>
      <w:bookmarkStart w:id="464" w:name="_Toc22230"/>
      <w:r>
        <w:rPr>
          <w:rFonts w:hint="eastAsia" w:ascii="宋体" w:hAnsi="宋体" w:eastAsia="宋体" w:cs="宋体"/>
          <w:b/>
          <w:bCs w:val="0"/>
          <w:color w:val="auto"/>
          <w:kern w:val="2"/>
          <w:sz w:val="21"/>
          <w:szCs w:val="21"/>
          <w:highlight w:val="none"/>
          <w:lang w:val="en-US" w:eastAsia="zh-CN" w:bidi="ar"/>
        </w:rPr>
        <w:t>第七条 验收要求</w:t>
      </w:r>
      <w:bookmarkEnd w:id="464"/>
    </w:p>
    <w:p w14:paraId="303D414E">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1、验收分为货到交货地点的初步验收，和货物检验合格后的最终验收。</w:t>
      </w:r>
    </w:p>
    <w:p w14:paraId="751A206A">
      <w:pPr>
        <w:keepNext w:val="0"/>
        <w:keepLines w:val="0"/>
        <w:widowControl w:val="0"/>
        <w:suppressLineNumbers w:val="0"/>
        <w:spacing w:before="0" w:beforeAutospacing="0" w:after="0" w:afterAutospacing="0" w:line="360" w:lineRule="auto"/>
        <w:ind w:left="0" w:right="0" w:firstLine="422" w:firstLineChars="200"/>
        <w:jc w:val="both"/>
        <w:rPr>
          <w:rFonts w:hint="eastAsia" w:ascii="宋体" w:hAnsi="宋体" w:eastAsia="宋体" w:cs="宋体"/>
          <w:b/>
          <w:bCs/>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t>（1）初步验收：</w:t>
      </w:r>
    </w:p>
    <w:p w14:paraId="0E734811">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1）货物运抵交货地点，甲方运营项目、乙方共同验货。甲方运营项目按照本合同及招标文件，对货物的数量、品种、随车产品质量检验报告、供货单据等进行核对。</w:t>
      </w:r>
    </w:p>
    <w:p w14:paraId="6919E381">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2）初步验收合格后，甲方运营项目、乙方双方进行相关签收手续。</w:t>
      </w:r>
    </w:p>
    <w:p w14:paraId="006848AD">
      <w:pPr>
        <w:keepNext w:val="0"/>
        <w:keepLines w:val="0"/>
        <w:widowControl w:val="0"/>
        <w:suppressLineNumbers w:val="0"/>
        <w:spacing w:before="0" w:beforeAutospacing="0" w:after="0" w:afterAutospacing="0" w:line="360" w:lineRule="auto"/>
        <w:ind w:left="0" w:right="0" w:firstLine="422" w:firstLineChars="200"/>
        <w:jc w:val="both"/>
        <w:rPr>
          <w:rFonts w:hint="eastAsia" w:ascii="宋体" w:hAnsi="宋体" w:eastAsia="宋体" w:cs="宋体"/>
          <w:b/>
          <w:bCs/>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t>（2）最终验收</w:t>
      </w:r>
    </w:p>
    <w:p w14:paraId="1D69F5A5">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kern w:val="2"/>
          <w:sz w:val="21"/>
          <w:szCs w:val="21"/>
          <w:highlight w:val="none"/>
        </w:rPr>
        <w:t>运营项目</w:t>
      </w:r>
      <w:r>
        <w:rPr>
          <w:rFonts w:hint="eastAsia" w:ascii="宋体" w:hAnsi="宋体" w:eastAsia="宋体" w:cs="宋体"/>
          <w:color w:val="auto"/>
          <w:sz w:val="21"/>
          <w:szCs w:val="21"/>
          <w:highlight w:val="none"/>
        </w:rPr>
        <w:t>对每次供货货物检验，检验指标由</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在表1</w:t>
      </w:r>
      <w:r>
        <w:rPr>
          <w:rFonts w:hint="eastAsia" w:ascii="宋体" w:hAnsi="宋体" w:eastAsia="宋体" w:cs="宋体"/>
          <w:color w:val="auto"/>
          <w:sz w:val="21"/>
          <w:szCs w:val="21"/>
          <w:highlight w:val="none"/>
          <w:lang w:eastAsia="zh-CN"/>
        </w:rPr>
        <w:t>《液体柠檬酸</w:t>
      </w:r>
      <w:r>
        <w:rPr>
          <w:rFonts w:hint="eastAsia" w:ascii="宋体" w:hAnsi="宋体" w:eastAsia="宋体" w:cs="宋体"/>
          <w:color w:val="auto"/>
          <w:sz w:val="21"/>
          <w:szCs w:val="21"/>
          <w:highlight w:val="none"/>
        </w:rPr>
        <w:t>主要技术指标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中选择，其中</w:t>
      </w:r>
      <w:r>
        <w:rPr>
          <w:rFonts w:hint="eastAsia" w:ascii="宋体" w:hAnsi="宋体" w:eastAsia="宋体" w:cs="宋体"/>
          <w:color w:val="auto"/>
          <w:sz w:val="21"/>
          <w:szCs w:val="21"/>
          <w:highlight w:val="none"/>
          <w:lang w:val="en-US" w:eastAsia="zh-CN"/>
        </w:rPr>
        <w:t>质量分数</w:t>
      </w:r>
      <w:r>
        <w:rPr>
          <w:rFonts w:hint="eastAsia" w:ascii="宋体" w:hAnsi="宋体" w:eastAsia="宋体" w:cs="宋体"/>
          <w:color w:val="auto"/>
          <w:sz w:val="21"/>
          <w:szCs w:val="21"/>
          <w:highlight w:val="none"/>
        </w:rPr>
        <w:t>为每次供货货物的批检检验指标，其余指标为</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根据需要抽检的按需检验指标，货物批检检验指标和按需检验指标由</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根据</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lang w:bidi="ar"/>
        </w:rPr>
        <w:t>关于药剂的管理制度及要求适时调整。</w:t>
      </w:r>
      <w:r>
        <w:rPr>
          <w:rFonts w:hint="eastAsia" w:ascii="宋体" w:hAnsi="宋体" w:eastAsia="宋体" w:cs="宋体"/>
          <w:color w:val="auto"/>
          <w:sz w:val="21"/>
          <w:szCs w:val="21"/>
          <w:highlight w:val="none"/>
        </w:rPr>
        <w:t>每次货到现场时可由双方共同取样，供货货物合格判定以</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实验室检验结果为准。</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根据需要可委托具有CMA认证资质的第三方检测机构检测，</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委托的具有CMA认证资质的第三方检测机构的检验结果与</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实验室不一致的，该次的供货货物质量判定以</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委托的具有CMA认证资质的第三方检测机构的检验结果为准</w:t>
      </w:r>
      <w:r>
        <w:rPr>
          <w:rFonts w:hint="eastAsia" w:ascii="宋体" w:hAnsi="宋体" w:eastAsia="宋体" w:cs="宋体"/>
          <w:color w:val="auto"/>
          <w:kern w:val="2"/>
          <w:sz w:val="21"/>
          <w:szCs w:val="21"/>
          <w:highlight w:val="none"/>
          <w:lang w:val="en-US" w:eastAsia="zh-CN" w:bidi="ar"/>
        </w:rPr>
        <w:t>。</w:t>
      </w:r>
    </w:p>
    <w:p w14:paraId="562B130D">
      <w:pPr>
        <w:keepNext w:val="0"/>
        <w:keepLines w:val="0"/>
        <w:widowControl w:val="0"/>
        <w:numPr>
          <w:ilvl w:val="0"/>
          <w:numId w:val="5"/>
        </w:numPr>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货物检验方法按</w:t>
      </w:r>
      <w:r>
        <w:rPr>
          <w:rFonts w:hint="eastAsia" w:ascii="宋体" w:hAnsi="宋体" w:eastAsia="宋体" w:cs="宋体"/>
          <w:color w:val="auto"/>
          <w:sz w:val="21"/>
          <w:szCs w:val="21"/>
          <w:highlight w:val="none"/>
          <w:lang w:eastAsia="zh-CN"/>
        </w:rPr>
        <w:t>《柠檬酸》（GB/T 8269-2006）</w:t>
      </w:r>
      <w:r>
        <w:rPr>
          <w:rFonts w:hint="eastAsia" w:ascii="宋体" w:hAnsi="宋体" w:eastAsia="宋体" w:cs="宋体"/>
          <w:color w:val="auto"/>
          <w:sz w:val="21"/>
          <w:szCs w:val="21"/>
          <w:highlight w:val="none"/>
        </w:rPr>
        <w:t>中的检测方法进行。供货期间，如有发布最新的行业标准或国家标准，货物检验方法按发布的最新行业标准或国家标准执行</w:t>
      </w:r>
      <w:r>
        <w:rPr>
          <w:rFonts w:hint="eastAsia" w:ascii="宋体" w:hAnsi="宋体" w:eastAsia="宋体" w:cs="宋体"/>
          <w:color w:val="auto"/>
          <w:kern w:val="2"/>
          <w:sz w:val="21"/>
          <w:szCs w:val="21"/>
          <w:highlight w:val="none"/>
          <w:lang w:val="en-US" w:eastAsia="zh-CN" w:bidi="ar"/>
        </w:rPr>
        <w:t>。</w:t>
      </w:r>
    </w:p>
    <w:p w14:paraId="33736033">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w:t>
      </w:r>
      <w:r>
        <w:rPr>
          <w:rFonts w:hint="eastAsia" w:ascii="宋体" w:hAnsi="宋体" w:eastAsia="宋体" w:cs="宋体"/>
          <w:color w:val="auto"/>
          <w:sz w:val="21"/>
          <w:szCs w:val="21"/>
          <w:highlight w:val="none"/>
        </w:rPr>
        <w:t>如供货货物符合表1《</w:t>
      </w:r>
      <w:r>
        <w:rPr>
          <w:rFonts w:hint="eastAsia" w:ascii="宋体" w:hAnsi="宋体" w:eastAsia="宋体" w:cs="宋体"/>
          <w:color w:val="auto"/>
          <w:sz w:val="21"/>
          <w:szCs w:val="21"/>
          <w:highlight w:val="none"/>
          <w:lang w:eastAsia="zh-CN"/>
        </w:rPr>
        <w:t>液体柠檬酸</w:t>
      </w:r>
      <w:r>
        <w:rPr>
          <w:rFonts w:hint="eastAsia" w:ascii="宋体" w:hAnsi="宋体" w:eastAsia="宋体" w:cs="宋体"/>
          <w:color w:val="auto"/>
          <w:sz w:val="21"/>
          <w:szCs w:val="21"/>
          <w:highlight w:val="none"/>
        </w:rPr>
        <w:t>主要技术指标》要求则最终验收合格</w:t>
      </w:r>
      <w:r>
        <w:rPr>
          <w:rFonts w:hint="eastAsia" w:ascii="宋体" w:hAnsi="宋体" w:eastAsia="宋体" w:cs="宋体"/>
          <w:color w:val="auto"/>
          <w:kern w:val="2"/>
          <w:sz w:val="21"/>
          <w:szCs w:val="21"/>
          <w:highlight w:val="none"/>
          <w:lang w:val="en-US" w:eastAsia="zh-CN" w:bidi="ar"/>
        </w:rPr>
        <w:t>。</w:t>
      </w:r>
    </w:p>
    <w:p w14:paraId="60026C14">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w:t>
      </w:r>
      <w:r>
        <w:rPr>
          <w:rFonts w:hint="eastAsia" w:ascii="宋体" w:hAnsi="宋体" w:eastAsia="宋体" w:cs="宋体"/>
          <w:color w:val="auto"/>
          <w:kern w:val="2"/>
          <w:sz w:val="21"/>
          <w:szCs w:val="21"/>
          <w:highlight w:val="none"/>
        </w:rPr>
        <w:t>货物按上述程序验收后，</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运营项目向</w:t>
      </w:r>
      <w:r>
        <w:rPr>
          <w:rFonts w:hint="eastAsia" w:ascii="宋体" w:hAnsi="宋体" w:eastAsia="宋体" w:cs="宋体"/>
          <w:color w:val="auto"/>
          <w:kern w:val="2"/>
          <w:sz w:val="21"/>
          <w:szCs w:val="21"/>
          <w:highlight w:val="none"/>
          <w:lang w:eastAsia="zh-CN"/>
        </w:rPr>
        <w:t>乙方</w:t>
      </w:r>
      <w:r>
        <w:rPr>
          <w:rFonts w:hint="eastAsia" w:ascii="宋体" w:hAnsi="宋体" w:eastAsia="宋体" w:cs="宋体"/>
          <w:color w:val="auto"/>
          <w:kern w:val="2"/>
          <w:sz w:val="21"/>
          <w:szCs w:val="21"/>
          <w:highlight w:val="none"/>
        </w:rPr>
        <w:t>出具书面的验收报告，</w:t>
      </w:r>
      <w:r>
        <w:rPr>
          <w:rFonts w:hint="eastAsia" w:ascii="宋体" w:hAnsi="宋体" w:eastAsia="宋体" w:cs="宋体"/>
          <w:color w:val="auto"/>
          <w:kern w:val="2"/>
          <w:sz w:val="21"/>
          <w:szCs w:val="21"/>
          <w:highlight w:val="none"/>
          <w:lang w:eastAsia="zh-CN"/>
        </w:rPr>
        <w:t>乙方</w:t>
      </w:r>
      <w:r>
        <w:rPr>
          <w:rFonts w:hint="eastAsia" w:ascii="宋体" w:hAnsi="宋体" w:eastAsia="宋体" w:cs="宋体"/>
          <w:color w:val="auto"/>
          <w:kern w:val="2"/>
          <w:sz w:val="21"/>
          <w:szCs w:val="21"/>
          <w:highlight w:val="none"/>
        </w:rPr>
        <w:t>需对验收报告盖章确认。验收报告作为对货物供货数量及主要技术指标验收的证明，不代表对货物使用效果的认可</w:t>
      </w:r>
      <w:r>
        <w:rPr>
          <w:rFonts w:hint="eastAsia" w:ascii="宋体" w:hAnsi="宋体" w:eastAsia="宋体" w:cs="宋体"/>
          <w:color w:val="auto"/>
          <w:kern w:val="2"/>
          <w:sz w:val="21"/>
          <w:szCs w:val="21"/>
          <w:highlight w:val="none"/>
          <w:lang w:val="en-US" w:eastAsia="zh-CN" w:bidi="ar"/>
        </w:rPr>
        <w:t>。</w:t>
      </w:r>
    </w:p>
    <w:p w14:paraId="6385E7AF">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运营项目根据本条规定对货物所做出的验收，仅作为起算付款及质保期之用，不视为双方对于货物质量的最终认可，</w:t>
      </w:r>
      <w:r>
        <w:rPr>
          <w:rFonts w:hint="eastAsia" w:ascii="宋体" w:hAnsi="宋体" w:eastAsia="宋体" w:cs="宋体"/>
          <w:color w:val="auto"/>
          <w:kern w:val="2"/>
          <w:sz w:val="21"/>
          <w:szCs w:val="21"/>
          <w:highlight w:val="none"/>
          <w:lang w:eastAsia="zh-CN"/>
        </w:rPr>
        <w:t>乙方</w:t>
      </w:r>
      <w:r>
        <w:rPr>
          <w:rFonts w:hint="eastAsia" w:ascii="宋体" w:hAnsi="宋体" w:eastAsia="宋体" w:cs="宋体"/>
          <w:color w:val="auto"/>
          <w:kern w:val="2"/>
          <w:sz w:val="21"/>
          <w:szCs w:val="21"/>
          <w:highlight w:val="none"/>
        </w:rPr>
        <w:t>仍应在质保期内对产品质量承担保证责任</w:t>
      </w:r>
      <w:r>
        <w:rPr>
          <w:rFonts w:hint="eastAsia" w:ascii="宋体" w:hAnsi="宋体" w:eastAsia="宋体" w:cs="宋体"/>
          <w:color w:val="auto"/>
          <w:kern w:val="2"/>
          <w:sz w:val="21"/>
          <w:szCs w:val="21"/>
          <w:highlight w:val="none"/>
          <w:lang w:val="en-US" w:eastAsia="zh-CN" w:bidi="ar"/>
        </w:rPr>
        <w:t>。</w:t>
      </w:r>
    </w:p>
    <w:p w14:paraId="606E2308">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w:t>
      </w:r>
      <w:r>
        <w:rPr>
          <w:rFonts w:hint="eastAsia" w:ascii="宋体" w:hAnsi="宋体" w:eastAsia="宋体" w:cs="宋体"/>
          <w:color w:val="auto"/>
          <w:kern w:val="2"/>
          <w:sz w:val="21"/>
          <w:szCs w:val="21"/>
          <w:highlight w:val="none"/>
        </w:rPr>
        <w:t>货物在经最终验收合格前，其损耗、毁损、灭失等风险及责任由</w:t>
      </w:r>
      <w:r>
        <w:rPr>
          <w:rFonts w:hint="eastAsia" w:ascii="宋体" w:hAnsi="宋体" w:eastAsia="宋体" w:cs="宋体"/>
          <w:color w:val="auto"/>
          <w:kern w:val="2"/>
          <w:sz w:val="21"/>
          <w:szCs w:val="21"/>
          <w:highlight w:val="none"/>
          <w:lang w:eastAsia="zh-CN"/>
        </w:rPr>
        <w:t>乙方</w:t>
      </w:r>
      <w:r>
        <w:rPr>
          <w:rFonts w:hint="eastAsia" w:ascii="宋体" w:hAnsi="宋体" w:eastAsia="宋体" w:cs="宋体"/>
          <w:color w:val="auto"/>
          <w:kern w:val="2"/>
          <w:sz w:val="21"/>
          <w:szCs w:val="21"/>
          <w:highlight w:val="none"/>
        </w:rPr>
        <w:t>承担，如因发生前述情形，导致</w:t>
      </w:r>
      <w:r>
        <w:rPr>
          <w:rFonts w:hint="eastAsia" w:ascii="宋体" w:hAnsi="宋体" w:eastAsia="宋体" w:cs="宋体"/>
          <w:color w:val="auto"/>
          <w:kern w:val="2"/>
          <w:sz w:val="21"/>
          <w:szCs w:val="21"/>
          <w:highlight w:val="none"/>
          <w:lang w:eastAsia="zh-CN"/>
        </w:rPr>
        <w:t>乙方</w:t>
      </w:r>
      <w:r>
        <w:rPr>
          <w:rFonts w:hint="eastAsia" w:ascii="宋体" w:hAnsi="宋体" w:eastAsia="宋体" w:cs="宋体"/>
          <w:color w:val="auto"/>
          <w:kern w:val="2"/>
          <w:sz w:val="21"/>
          <w:szCs w:val="21"/>
          <w:highlight w:val="none"/>
        </w:rPr>
        <w:t>所提供的货物不能通过</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运营项目验收的，</w:t>
      </w:r>
      <w:r>
        <w:rPr>
          <w:rFonts w:hint="eastAsia" w:ascii="宋体" w:hAnsi="宋体" w:eastAsia="宋体" w:cs="宋体"/>
          <w:color w:val="auto"/>
          <w:kern w:val="2"/>
          <w:sz w:val="21"/>
          <w:szCs w:val="21"/>
          <w:highlight w:val="none"/>
          <w:lang w:eastAsia="zh-CN"/>
        </w:rPr>
        <w:t>乙方</w:t>
      </w:r>
      <w:r>
        <w:rPr>
          <w:rFonts w:hint="eastAsia" w:ascii="宋体" w:hAnsi="宋体" w:eastAsia="宋体" w:cs="宋体"/>
          <w:color w:val="auto"/>
          <w:kern w:val="2"/>
          <w:sz w:val="21"/>
          <w:szCs w:val="21"/>
          <w:highlight w:val="none"/>
        </w:rPr>
        <w:t>应按</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运营项目要求无条件予以退换货，给</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造成损失的</w:t>
      </w:r>
      <w:r>
        <w:rPr>
          <w:rFonts w:hint="eastAsia" w:ascii="宋体" w:hAnsi="宋体" w:eastAsia="宋体" w:cs="宋体"/>
          <w:color w:val="auto"/>
          <w:kern w:val="2"/>
          <w:sz w:val="21"/>
          <w:szCs w:val="21"/>
          <w:highlight w:val="none"/>
          <w:lang w:eastAsia="zh-CN"/>
        </w:rPr>
        <w:t>乙方</w:t>
      </w:r>
      <w:r>
        <w:rPr>
          <w:rFonts w:hint="eastAsia" w:ascii="宋体" w:hAnsi="宋体" w:eastAsia="宋体" w:cs="宋体"/>
          <w:color w:val="auto"/>
          <w:kern w:val="2"/>
          <w:sz w:val="21"/>
          <w:szCs w:val="21"/>
          <w:highlight w:val="none"/>
        </w:rPr>
        <w:t>须承担全部的赔偿责任</w:t>
      </w:r>
      <w:r>
        <w:rPr>
          <w:rFonts w:hint="eastAsia" w:ascii="宋体" w:hAnsi="宋体" w:eastAsia="宋体" w:cs="宋体"/>
          <w:color w:val="auto"/>
          <w:kern w:val="2"/>
          <w:sz w:val="21"/>
          <w:szCs w:val="21"/>
          <w:highlight w:val="none"/>
          <w:lang w:val="en-US" w:eastAsia="zh-CN" w:bidi="ar"/>
        </w:rPr>
        <w:t>。</w:t>
      </w:r>
    </w:p>
    <w:p w14:paraId="1E91FFBB">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6223B37D">
      <w:pPr>
        <w:keepNext w:val="0"/>
        <w:keepLines w:val="0"/>
        <w:widowControl w:val="0"/>
        <w:suppressLineNumbers w:val="0"/>
        <w:snapToGrid w:val="0"/>
        <w:spacing w:before="0" w:beforeAutospacing="0" w:after="0" w:afterAutospacing="0" w:line="360" w:lineRule="auto"/>
        <w:ind w:left="0" w:right="0" w:firstLine="373" w:firstLineChars="177"/>
        <w:jc w:val="both"/>
        <w:outlineLvl w:val="2"/>
        <w:rPr>
          <w:rFonts w:hint="eastAsia" w:ascii="宋体" w:hAnsi="宋体" w:eastAsia="宋体" w:cs="宋体"/>
          <w:b/>
          <w:bCs w:val="0"/>
          <w:color w:val="auto"/>
          <w:kern w:val="2"/>
          <w:sz w:val="21"/>
          <w:szCs w:val="21"/>
          <w:highlight w:val="none"/>
          <w:lang w:val="en-US" w:eastAsia="zh-CN" w:bidi="ar"/>
        </w:rPr>
      </w:pPr>
      <w:bookmarkStart w:id="465" w:name="_Toc28401"/>
      <w:r>
        <w:rPr>
          <w:rFonts w:hint="eastAsia" w:ascii="宋体" w:hAnsi="宋体" w:eastAsia="宋体" w:cs="宋体"/>
          <w:b/>
          <w:bCs w:val="0"/>
          <w:color w:val="auto"/>
          <w:kern w:val="2"/>
          <w:sz w:val="21"/>
          <w:szCs w:val="21"/>
          <w:highlight w:val="none"/>
          <w:lang w:val="en-US" w:eastAsia="zh-CN" w:bidi="ar"/>
        </w:rPr>
        <w:t>第八条 资料要求</w:t>
      </w:r>
      <w:bookmarkEnd w:id="465"/>
    </w:p>
    <w:p w14:paraId="1C8B58A9">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1、乙方需向甲方运营项目提供但不限于下述技术资料：</w:t>
      </w:r>
    </w:p>
    <w:p w14:paraId="6D47A5B4">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（1）符合第五条交货要求第5点要求的产品质量检验报告（如出厂检验报告、质量检验报告等）、供货单据；</w:t>
      </w:r>
    </w:p>
    <w:p w14:paraId="21BAEE3A">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（2）验收报告；</w:t>
      </w:r>
    </w:p>
    <w:p w14:paraId="5F59F884">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（3）与货物使用相关的其他文件；</w:t>
      </w:r>
    </w:p>
    <w:p w14:paraId="093D161A">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（4）甲方运营项目要求提供的其他技术资料。</w:t>
      </w:r>
    </w:p>
    <w:p w14:paraId="6C1E4AF9">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2、乙方需将上述资料（若上述资料为复印件的，则须加盖乙方公章）在交货时交给甲方运营项目，有关资料的收集和整理由乙方负责，甲方运营项目予以配合。</w:t>
      </w:r>
    </w:p>
    <w:p w14:paraId="2F6D31C0">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w:t>
      </w:r>
      <w:r>
        <w:rPr>
          <w:rFonts w:hint="eastAsia" w:ascii="宋体" w:hAnsi="宋体" w:eastAsia="宋体" w:cs="宋体"/>
          <w:color w:val="auto"/>
          <w:kern w:val="2"/>
          <w:sz w:val="21"/>
          <w:szCs w:val="21"/>
          <w:highlight w:val="none"/>
        </w:rPr>
        <w:t>供货期内，</w:t>
      </w:r>
      <w:r>
        <w:rPr>
          <w:rFonts w:hint="eastAsia" w:ascii="宋体" w:hAnsi="宋体" w:eastAsia="宋体" w:cs="宋体"/>
          <w:color w:val="auto"/>
          <w:kern w:val="2"/>
          <w:sz w:val="21"/>
          <w:szCs w:val="21"/>
          <w:highlight w:val="none"/>
          <w:lang w:eastAsia="zh-CN"/>
        </w:rPr>
        <w:t>乙方</w:t>
      </w:r>
      <w:r>
        <w:rPr>
          <w:rFonts w:hint="eastAsia" w:ascii="宋体" w:hAnsi="宋体" w:eastAsia="宋体" w:cs="宋体"/>
          <w:color w:val="auto"/>
          <w:kern w:val="2"/>
          <w:sz w:val="21"/>
          <w:szCs w:val="21"/>
          <w:highlight w:val="none"/>
        </w:rPr>
        <w:t>需每季度委托具有CMA认证资质的第三方检测机构对供货期间所供货物进行检测，并提供第三方检测机构出具的</w:t>
      </w:r>
      <w:r>
        <w:rPr>
          <w:rFonts w:hint="eastAsia" w:ascii="宋体" w:hAnsi="宋体" w:eastAsia="宋体" w:cs="宋体"/>
          <w:color w:val="auto"/>
          <w:szCs w:val="21"/>
          <w:highlight w:val="none"/>
        </w:rPr>
        <w:t>符合表1《</w:t>
      </w:r>
      <w:r>
        <w:rPr>
          <w:rFonts w:hint="eastAsia" w:ascii="宋体" w:hAnsi="宋体" w:eastAsia="宋体" w:cs="宋体"/>
          <w:color w:val="auto"/>
          <w:szCs w:val="21"/>
          <w:highlight w:val="none"/>
          <w:lang w:eastAsia="zh-CN"/>
        </w:rPr>
        <w:t>液体柠檬酸</w:t>
      </w:r>
      <w:r>
        <w:rPr>
          <w:rFonts w:hint="eastAsia" w:ascii="宋体" w:hAnsi="宋体" w:eastAsia="宋体" w:cs="宋体"/>
          <w:color w:val="auto"/>
          <w:szCs w:val="21"/>
          <w:highlight w:val="none"/>
        </w:rPr>
        <w:t>主要技术指标》要求的</w:t>
      </w:r>
      <w:r>
        <w:rPr>
          <w:rFonts w:hint="eastAsia" w:ascii="宋体" w:hAnsi="宋体" w:eastAsia="宋体" w:cs="宋体"/>
          <w:color w:val="auto"/>
          <w:kern w:val="2"/>
          <w:sz w:val="21"/>
          <w:szCs w:val="21"/>
          <w:highlight w:val="none"/>
        </w:rPr>
        <w:t>检验报告，</w:t>
      </w:r>
      <w:r>
        <w:rPr>
          <w:rFonts w:hint="eastAsia" w:ascii="宋体" w:hAnsi="宋体" w:eastAsia="宋体" w:cs="宋体"/>
          <w:b w:val="0"/>
          <w:bCs w:val="0"/>
          <w:color w:val="auto"/>
          <w:sz w:val="21"/>
          <w:szCs w:val="21"/>
          <w:highlight w:val="none"/>
        </w:rPr>
        <w:t>检验报告需体现委托方、生产厂家、送检样品的产品名称、生产批号或生产日期</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表1</w:t>
      </w:r>
      <w:r>
        <w:rPr>
          <w:rFonts w:hint="eastAsia" w:ascii="宋体" w:hAnsi="宋体" w:eastAsia="宋体" w:cs="宋体"/>
          <w:b w:val="0"/>
          <w:bCs w:val="0"/>
          <w:color w:val="auto"/>
          <w:sz w:val="21"/>
          <w:szCs w:val="21"/>
          <w:highlight w:val="none"/>
          <w:lang w:eastAsia="zh-CN"/>
        </w:rPr>
        <w:t>《液体柠檬酸</w:t>
      </w:r>
      <w:r>
        <w:rPr>
          <w:rFonts w:hint="eastAsia" w:ascii="宋体" w:hAnsi="宋体" w:eastAsia="宋体" w:cs="宋体"/>
          <w:b w:val="0"/>
          <w:bCs w:val="0"/>
          <w:color w:val="auto"/>
          <w:sz w:val="21"/>
          <w:szCs w:val="21"/>
          <w:highlight w:val="none"/>
        </w:rPr>
        <w:t>主要技术指标</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中各指标</w:t>
      </w:r>
      <w:r>
        <w:rPr>
          <w:rFonts w:hint="eastAsia" w:ascii="宋体" w:hAnsi="宋体" w:eastAsia="宋体" w:cs="宋体"/>
          <w:b w:val="0"/>
          <w:bCs w:val="0"/>
          <w:color w:val="auto"/>
          <w:sz w:val="21"/>
          <w:szCs w:val="21"/>
          <w:highlight w:val="none"/>
          <w:lang w:val="en-US" w:eastAsia="zh-CN"/>
        </w:rPr>
        <w:t>项目</w:t>
      </w:r>
      <w:r>
        <w:rPr>
          <w:rFonts w:hint="eastAsia" w:ascii="宋体" w:hAnsi="宋体" w:eastAsia="宋体" w:cs="宋体"/>
          <w:b w:val="0"/>
          <w:bCs w:val="0"/>
          <w:color w:val="auto"/>
          <w:sz w:val="21"/>
          <w:szCs w:val="21"/>
          <w:highlight w:val="none"/>
        </w:rPr>
        <w:t>检测结果，检验报告</w:t>
      </w:r>
      <w:r>
        <w:rPr>
          <w:rFonts w:hint="eastAsia" w:ascii="宋体" w:hAnsi="宋体" w:eastAsia="宋体" w:cs="宋体"/>
          <w:b w:val="0"/>
          <w:bCs w:val="0"/>
          <w:color w:val="auto"/>
          <w:kern w:val="2"/>
          <w:sz w:val="21"/>
          <w:szCs w:val="21"/>
          <w:highlight w:val="none"/>
        </w:rPr>
        <w:t>使用的检测方法需符合</w:t>
      </w:r>
      <w:r>
        <w:rPr>
          <w:rFonts w:hint="eastAsia" w:ascii="宋体" w:hAnsi="宋体" w:eastAsia="宋体" w:cs="宋体"/>
          <w:b w:val="0"/>
          <w:bCs w:val="0"/>
          <w:color w:val="auto"/>
          <w:kern w:val="2"/>
          <w:sz w:val="21"/>
          <w:szCs w:val="21"/>
          <w:highlight w:val="none"/>
          <w:lang w:eastAsia="zh-CN"/>
        </w:rPr>
        <w:t>《柠檬酸》（GB/T 8269-2006）</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kern w:val="2"/>
          <w:sz w:val="21"/>
          <w:szCs w:val="21"/>
          <w:highlight w:val="none"/>
        </w:rPr>
        <w:t>检验报告中样品送检时间需在供货期内。</w:t>
      </w:r>
      <w:r>
        <w:rPr>
          <w:rFonts w:hint="eastAsia" w:ascii="宋体" w:hAnsi="宋体" w:eastAsia="宋体" w:cs="宋体"/>
          <w:color w:val="auto"/>
          <w:kern w:val="2"/>
          <w:sz w:val="21"/>
          <w:szCs w:val="21"/>
          <w:highlight w:val="none"/>
        </w:rPr>
        <w:t>供货期间，如有发布最新的行业标准或国家标准，货物检验方法按发布的最新行业标准或国家标准执行</w:t>
      </w:r>
      <w:r>
        <w:rPr>
          <w:rFonts w:hint="eastAsia" w:ascii="宋体" w:hAnsi="宋体" w:eastAsia="宋体" w:cs="宋体"/>
          <w:color w:val="auto"/>
          <w:kern w:val="2"/>
          <w:sz w:val="21"/>
          <w:szCs w:val="21"/>
          <w:highlight w:val="none"/>
          <w:lang w:val="en-US" w:eastAsia="zh-CN" w:bidi="ar"/>
        </w:rPr>
        <w:t>。</w:t>
      </w:r>
    </w:p>
    <w:p w14:paraId="5148A77B">
      <w:pPr>
        <w:keepNext w:val="0"/>
        <w:keepLines w:val="0"/>
        <w:widowControl w:val="0"/>
        <w:suppressLineNumbers w:val="0"/>
        <w:snapToGrid w:val="0"/>
        <w:spacing w:before="0" w:beforeAutospacing="0" w:after="0" w:afterAutospacing="0" w:line="360" w:lineRule="auto"/>
        <w:ind w:left="0" w:right="0" w:firstLine="371" w:firstLineChars="17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4、乙方提交的技术资料在出现遗漏或发现错误时，应及时补充或更正后提交甲方运营项目。</w:t>
      </w:r>
    </w:p>
    <w:p w14:paraId="2266B155">
      <w:pPr>
        <w:keepNext w:val="0"/>
        <w:keepLines w:val="0"/>
        <w:widowControl w:val="0"/>
        <w:suppressLineNumbers w:val="0"/>
        <w:snapToGrid w:val="0"/>
        <w:spacing w:before="0" w:beforeAutospacing="0" w:after="0" w:afterAutospacing="0" w:line="360" w:lineRule="auto"/>
        <w:ind w:left="0" w:right="0" w:firstLine="371" w:firstLineChars="17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61B7896B">
      <w:pPr>
        <w:keepNext w:val="0"/>
        <w:keepLines w:val="0"/>
        <w:widowControl w:val="0"/>
        <w:suppressLineNumbers w:val="0"/>
        <w:snapToGrid w:val="0"/>
        <w:spacing w:before="0" w:beforeAutospacing="0" w:after="0" w:afterAutospacing="0" w:line="360" w:lineRule="auto"/>
        <w:ind w:left="0" w:right="0" w:firstLine="373" w:firstLineChars="177"/>
        <w:jc w:val="both"/>
        <w:outlineLvl w:val="2"/>
        <w:rPr>
          <w:rFonts w:hint="eastAsia" w:ascii="宋体" w:hAnsi="宋体" w:eastAsia="宋体" w:cs="宋体"/>
          <w:b/>
          <w:bCs w:val="0"/>
          <w:color w:val="auto"/>
          <w:kern w:val="2"/>
          <w:sz w:val="21"/>
          <w:szCs w:val="21"/>
          <w:highlight w:val="none"/>
          <w:lang w:val="en-US" w:eastAsia="zh-CN" w:bidi="ar"/>
        </w:rPr>
      </w:pPr>
      <w:bookmarkStart w:id="466" w:name="_Toc11608"/>
      <w:r>
        <w:rPr>
          <w:rFonts w:hint="eastAsia" w:ascii="宋体" w:hAnsi="宋体" w:eastAsia="宋体" w:cs="宋体"/>
          <w:b/>
          <w:bCs w:val="0"/>
          <w:color w:val="auto"/>
          <w:kern w:val="2"/>
          <w:sz w:val="21"/>
          <w:szCs w:val="21"/>
          <w:highlight w:val="none"/>
          <w:lang w:val="en-US" w:eastAsia="zh-CN" w:bidi="ar"/>
        </w:rPr>
        <w:t>第九条 权利保证</w:t>
      </w:r>
      <w:bookmarkEnd w:id="466"/>
    </w:p>
    <w:p w14:paraId="25C3C514">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乙方应保证合同项下提供的货物不侵犯任何第三方的专利、商标、版权以及其它权利，否则，乙方须承担因此产生的全部责任及费用，如因此造成甲方损失的，乙方应予以足额赔偿。如果任何第三方提出侵权指控，乙方须与第三方交涉并承担由此发生的一切责任、费用和经济赔偿。由于乙方提供的货物或货物的任何一部分不符合知识产权规定，由乙方承担因此给甲方造成的全部损失。</w:t>
      </w:r>
    </w:p>
    <w:p w14:paraId="39F1D3F4">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5D1691BC">
      <w:pPr>
        <w:keepNext w:val="0"/>
        <w:keepLines w:val="0"/>
        <w:widowControl w:val="0"/>
        <w:suppressLineNumbers w:val="0"/>
        <w:snapToGrid w:val="0"/>
        <w:spacing w:before="0" w:beforeAutospacing="0" w:after="0" w:afterAutospacing="0" w:line="360" w:lineRule="auto"/>
        <w:ind w:left="0" w:right="0" w:firstLine="373" w:firstLineChars="177"/>
        <w:jc w:val="both"/>
        <w:outlineLvl w:val="2"/>
        <w:rPr>
          <w:rFonts w:hint="eastAsia" w:ascii="宋体" w:hAnsi="宋体" w:eastAsia="宋体" w:cs="宋体"/>
          <w:b/>
          <w:bCs w:val="0"/>
          <w:color w:val="auto"/>
          <w:kern w:val="2"/>
          <w:sz w:val="21"/>
          <w:szCs w:val="21"/>
          <w:highlight w:val="none"/>
          <w:lang w:val="en-US" w:eastAsia="zh-CN" w:bidi="ar"/>
        </w:rPr>
      </w:pPr>
      <w:bookmarkStart w:id="467" w:name="_Toc29229"/>
      <w:r>
        <w:rPr>
          <w:rFonts w:hint="eastAsia" w:ascii="宋体" w:hAnsi="宋体" w:eastAsia="宋体" w:cs="宋体"/>
          <w:b/>
          <w:bCs w:val="0"/>
          <w:color w:val="auto"/>
          <w:kern w:val="2"/>
          <w:sz w:val="21"/>
          <w:szCs w:val="21"/>
          <w:highlight w:val="none"/>
          <w:lang w:val="en-US" w:eastAsia="zh-CN" w:bidi="ar"/>
        </w:rPr>
        <w:t>第十条 质量保证及售后服务</w:t>
      </w:r>
      <w:bookmarkEnd w:id="467"/>
    </w:p>
    <w:p w14:paraId="3E2A392D">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1、药剂保质期：</w:t>
      </w:r>
      <w:r>
        <w:rPr>
          <w:rFonts w:hint="eastAsia" w:ascii="宋体" w:hAnsi="宋体" w:eastAsia="宋体" w:cs="宋体"/>
          <w:bCs/>
          <w:color w:val="auto"/>
          <w:szCs w:val="21"/>
          <w:highlight w:val="none"/>
        </w:rPr>
        <w:t>以</w:t>
      </w:r>
      <w:r>
        <w:rPr>
          <w:rFonts w:hint="eastAsia" w:ascii="宋体" w:hAnsi="宋体" w:eastAsia="宋体" w:cs="宋体"/>
          <w:bCs/>
          <w:color w:val="auto"/>
          <w:szCs w:val="21"/>
          <w:highlight w:val="none"/>
          <w:lang w:val="en-US" w:eastAsia="zh-CN"/>
        </w:rPr>
        <w:t>甲方</w:t>
      </w:r>
      <w:r>
        <w:rPr>
          <w:rFonts w:hint="eastAsia" w:ascii="宋体" w:hAnsi="宋体" w:eastAsia="宋体" w:cs="宋体"/>
          <w:bCs/>
          <w:color w:val="auto"/>
          <w:szCs w:val="21"/>
          <w:highlight w:val="none"/>
        </w:rPr>
        <w:t>运营项目</w:t>
      </w:r>
      <w:r>
        <w:rPr>
          <w:rFonts w:hint="eastAsia" w:ascii="宋体" w:hAnsi="宋体" w:eastAsia="宋体" w:cs="宋体"/>
          <w:bCs/>
          <w:color w:val="auto"/>
          <w:szCs w:val="21"/>
          <w:highlight w:val="none"/>
          <w:lang w:val="en-US" w:eastAsia="zh-CN"/>
        </w:rPr>
        <w:t>最终</w:t>
      </w:r>
      <w:r>
        <w:rPr>
          <w:rFonts w:hint="eastAsia" w:ascii="宋体" w:hAnsi="宋体" w:eastAsia="宋体" w:cs="宋体"/>
          <w:bCs/>
          <w:color w:val="auto"/>
          <w:szCs w:val="21"/>
          <w:highlight w:val="none"/>
        </w:rPr>
        <w:t>验收</w:t>
      </w:r>
      <w:r>
        <w:rPr>
          <w:rFonts w:hint="eastAsia" w:ascii="宋体" w:hAnsi="宋体" w:eastAsia="宋体" w:cs="宋体"/>
          <w:bCs/>
          <w:color w:val="auto"/>
          <w:szCs w:val="21"/>
          <w:highlight w:val="none"/>
          <w:lang w:val="en-US" w:eastAsia="zh-CN"/>
        </w:rPr>
        <w:t>合格</w:t>
      </w:r>
      <w:r>
        <w:rPr>
          <w:rFonts w:hint="eastAsia" w:ascii="宋体" w:hAnsi="宋体" w:eastAsia="宋体" w:cs="宋体"/>
          <w:bCs/>
          <w:color w:val="auto"/>
          <w:szCs w:val="21"/>
          <w:highlight w:val="none"/>
        </w:rPr>
        <w:t>之日算起3个月</w:t>
      </w:r>
      <w:r>
        <w:rPr>
          <w:rFonts w:hint="eastAsia" w:ascii="宋体" w:hAnsi="宋体" w:eastAsia="宋体" w:cs="宋体"/>
          <w:color w:val="auto"/>
          <w:kern w:val="2"/>
          <w:sz w:val="21"/>
          <w:szCs w:val="21"/>
          <w:highlight w:val="none"/>
          <w:lang w:val="en-US" w:eastAsia="zh-CN" w:bidi="ar"/>
        </w:rPr>
        <w:t>，保质期内产品质量须达到本合同所有技术指标要求。</w:t>
      </w:r>
    </w:p>
    <w:p w14:paraId="290C39F4">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2、乙方应具有相应的技术人员，具备供货及售前售后的服务能力。</w:t>
      </w:r>
    </w:p>
    <w:p w14:paraId="368A6CCF">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3、乙方在接到质量问题通知后 4 小时内自费派工程师到达现场对问题进行处理。</w:t>
      </w:r>
    </w:p>
    <w:p w14:paraId="5D7D23FE">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4、乙方应根据甲方运营项目需要免费提供培训，相关费用已计入综合单价，甲方无需另行支付任何费用。</w:t>
      </w:r>
    </w:p>
    <w:p w14:paraId="741A8F57">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培训地点、规模及时间由甲方运营项目指定，根据培训内容复杂程度，甲方运营项目有权要求乙方提供完整的书面培训计划和方案，列明提供培训的技术人员名单及资质，以及培训完成后甲方运营项目人员可达到的水平等。</w:t>
      </w:r>
    </w:p>
    <w:p w14:paraId="18B56020">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6、在交货或合同履行过程中，若因所交货物（包括但不限于品种、规格、质量）不符合甲方运营项目要求、或货物使用过程中出现质量问题，导致乙方提供的生产药剂如不能通过甲方运营项目验收的，甲方运营项目可拒绝收货或要求乙方承担退换货责任。原则上乙方应该在不影响甲方运营项目正常生产的情况下，自甲方运营项目通知之时起4小时内无条件予以退换货，甲方不承担因验收造成的货物损耗及运输等一切费用且不对货物承担保管责任，因此产生的费用及风险由乙方承担。</w:t>
      </w:r>
    </w:p>
    <w:p w14:paraId="0ADD4A8D">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自甲方运营项目通知货物检验不合格或货物使用过程中出现质量问题而要求乙方按照前述条款进行退换货之时起4小时之内乙方未将不合格货物运离甲方运营项目仓库，甲方运营项目可自行或委托第三方对不合格货物进行处置，乙方须承担甲方处置该次不合格货物所需的全部费用，以及给甲方造成的一切损失。</w:t>
      </w:r>
    </w:p>
    <w:p w14:paraId="584AF877">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8、自甲方运营项目通知乙方货物检验不合格或货物使用过程中出现质量问题之时起，甲方运营项目有权要求乙方按照加急供货的规定，将等量的合格货物送交甲方运营项目，否则按加急供货的违约规定进行处理。</w:t>
      </w:r>
    </w:p>
    <w:p w14:paraId="0887B23E">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1A0A38B0">
      <w:pPr>
        <w:keepNext w:val="0"/>
        <w:keepLines w:val="0"/>
        <w:widowControl w:val="0"/>
        <w:suppressLineNumbers w:val="0"/>
        <w:snapToGrid w:val="0"/>
        <w:spacing w:before="0" w:beforeAutospacing="0" w:after="0" w:afterAutospacing="0" w:line="360" w:lineRule="auto"/>
        <w:ind w:left="0" w:right="0" w:firstLine="373" w:firstLineChars="177"/>
        <w:jc w:val="both"/>
        <w:outlineLvl w:val="2"/>
        <w:rPr>
          <w:rFonts w:hint="eastAsia" w:ascii="宋体" w:hAnsi="宋体" w:eastAsia="宋体" w:cs="宋体"/>
          <w:b/>
          <w:bCs w:val="0"/>
          <w:color w:val="auto"/>
          <w:kern w:val="2"/>
          <w:sz w:val="21"/>
          <w:szCs w:val="21"/>
          <w:highlight w:val="none"/>
          <w:lang w:val="en-US" w:eastAsia="zh-CN" w:bidi="ar"/>
        </w:rPr>
      </w:pPr>
      <w:bookmarkStart w:id="468" w:name="_Toc9983"/>
      <w:r>
        <w:rPr>
          <w:rFonts w:hint="eastAsia" w:ascii="宋体" w:hAnsi="宋体" w:eastAsia="宋体" w:cs="宋体"/>
          <w:b/>
          <w:bCs w:val="0"/>
          <w:color w:val="auto"/>
          <w:kern w:val="2"/>
          <w:sz w:val="21"/>
          <w:szCs w:val="21"/>
          <w:highlight w:val="none"/>
          <w:lang w:val="en-US" w:eastAsia="zh-CN" w:bidi="ar"/>
        </w:rPr>
        <w:t>第十一条 履约担保</w:t>
      </w:r>
      <w:bookmarkEnd w:id="468"/>
    </w:p>
    <w:p w14:paraId="38B4C111">
      <w:pPr>
        <w:keepNext w:val="0"/>
        <w:keepLines w:val="0"/>
        <w:widowControl w:val="0"/>
        <w:suppressLineNumbers w:val="0"/>
        <w:snapToGrid w:val="0"/>
        <w:spacing w:before="0" w:beforeAutospacing="0" w:after="0" w:afterAutospacing="0" w:line="360" w:lineRule="auto"/>
        <w:ind w:left="0" w:right="0" w:firstLine="371" w:firstLineChars="17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1、乙方应当根据招标文件的规定在签订本合同前向甲方提供履约担保，履约担保形式及金额由乙方从以下方式中任选一种：</w:t>
      </w:r>
    </w:p>
    <w:p w14:paraId="5C752337">
      <w:pPr>
        <w:keepNext w:val="0"/>
        <w:keepLines w:val="0"/>
        <w:widowControl w:val="0"/>
        <w:suppressLineNumbers w:val="0"/>
        <w:snapToGrid w:val="0"/>
        <w:spacing w:before="0" w:beforeAutospacing="0" w:after="0" w:afterAutospacing="0" w:line="360" w:lineRule="auto"/>
        <w:ind w:left="0" w:right="0" w:firstLine="371" w:firstLineChars="177"/>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u w:val="single"/>
          <w:lang w:val="en-US" w:eastAsia="zh-CN" w:bidi="ar"/>
        </w:rPr>
        <w:t>履约保证金（银行转账形式）金额为¥     元（大写人民币      ）；</w:t>
      </w:r>
    </w:p>
    <w:p w14:paraId="50A90B88">
      <w:pPr>
        <w:keepNext w:val="0"/>
        <w:keepLines w:val="0"/>
        <w:widowControl w:val="0"/>
        <w:suppressLineNumbers w:val="0"/>
        <w:snapToGrid w:val="0"/>
        <w:spacing w:before="0" w:beforeAutospacing="0" w:after="0" w:afterAutospacing="0" w:line="360" w:lineRule="auto"/>
        <w:ind w:left="0" w:right="0" w:firstLine="371" w:firstLineChars="177"/>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u w:val="single"/>
          <w:lang w:val="en-US" w:eastAsia="zh-CN" w:bidi="ar"/>
        </w:rPr>
        <w:t>不可撤销银行履约保函金额为¥     元（大写人民币      ）；</w:t>
      </w:r>
    </w:p>
    <w:p w14:paraId="2B17FAF3">
      <w:pPr>
        <w:keepNext w:val="0"/>
        <w:keepLines w:val="0"/>
        <w:widowControl w:val="0"/>
        <w:suppressLineNumbers w:val="0"/>
        <w:snapToGrid w:val="0"/>
        <w:spacing w:before="0" w:beforeAutospacing="0" w:after="0" w:afterAutospacing="0" w:line="360" w:lineRule="auto"/>
        <w:ind w:left="0" w:right="0" w:firstLine="371" w:firstLineChars="17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u w:val="single"/>
          <w:lang w:val="en-US" w:eastAsia="zh-CN" w:bidi="ar"/>
        </w:rPr>
        <w:t>履约保证保险金额为¥     元（大写人民币      ）；</w:t>
      </w:r>
    </w:p>
    <w:p w14:paraId="36DE25AD">
      <w:pPr>
        <w:keepNext w:val="0"/>
        <w:keepLines w:val="0"/>
        <w:widowControl w:val="0"/>
        <w:suppressLineNumbers w:val="0"/>
        <w:snapToGrid w:val="0"/>
        <w:spacing w:before="0" w:beforeAutospacing="0" w:after="0" w:afterAutospacing="0" w:line="360" w:lineRule="auto"/>
        <w:ind w:left="0" w:right="0" w:firstLine="371" w:firstLineChars="177"/>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u w:val="single"/>
          <w:lang w:val="en-US" w:eastAsia="zh-CN" w:bidi="ar"/>
        </w:rPr>
        <w:t>担保公司履约担保书金额为¥     元（大写人民币      ）。</w:t>
      </w:r>
    </w:p>
    <w:p w14:paraId="7D0D0AD9">
      <w:pPr>
        <w:keepNext w:val="0"/>
        <w:keepLines w:val="0"/>
        <w:widowControl w:val="0"/>
        <w:suppressLineNumbers w:val="0"/>
        <w:snapToGrid w:val="0"/>
        <w:spacing w:before="0" w:beforeAutospacing="0" w:after="0" w:afterAutospacing="0" w:line="360" w:lineRule="auto"/>
        <w:ind w:left="0" w:right="0" w:firstLine="371" w:firstLineChars="17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合同履行过程中，乙方给甲方造成的损失超过履约担保数额的，乙方还应当对超过部分予以赔偿，甲方并依法追究乙方的相应责任。</w:t>
      </w:r>
    </w:p>
    <w:p w14:paraId="6449B2DF">
      <w:pPr>
        <w:keepNext w:val="0"/>
        <w:keepLines w:val="0"/>
        <w:widowControl w:val="0"/>
        <w:suppressLineNumbers w:val="0"/>
        <w:snapToGrid w:val="0"/>
        <w:spacing w:before="0" w:beforeAutospacing="0" w:after="0" w:afterAutospacing="0" w:line="360" w:lineRule="auto"/>
        <w:ind w:left="0" w:right="0" w:firstLine="371" w:firstLineChars="17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2、履约担保用于补偿甲方因乙方不能完全履行其合同义务而蒙受的损失或其他合同约定的事项，如发生下列任一情况时，甲方除有权依合同追究乙方违约责任外，同时有权提取履约担保并进行相应处理：</w:t>
      </w:r>
    </w:p>
    <w:p w14:paraId="38CD96F1">
      <w:pPr>
        <w:keepNext w:val="0"/>
        <w:keepLines w:val="0"/>
        <w:widowControl w:val="0"/>
        <w:suppressLineNumbers w:val="0"/>
        <w:snapToGrid w:val="0"/>
        <w:spacing w:before="0" w:beforeAutospacing="0" w:after="0" w:afterAutospacing="0" w:line="360" w:lineRule="auto"/>
        <w:ind w:left="0" w:right="0" w:firstLine="371" w:firstLineChars="17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（1）乙方将合同项下的权利义务全部转让给第三方，或未经甲方书面同意将部分权利义务转让给第三方的，甲方有权没收其履约担保。</w:t>
      </w:r>
    </w:p>
    <w:p w14:paraId="2B552E37">
      <w:pPr>
        <w:keepNext w:val="0"/>
        <w:keepLines w:val="0"/>
        <w:widowControl w:val="0"/>
        <w:suppressLineNumbers w:val="0"/>
        <w:snapToGrid w:val="0"/>
        <w:spacing w:before="0" w:beforeAutospacing="0" w:after="0" w:afterAutospacing="0" w:line="360" w:lineRule="auto"/>
        <w:ind w:left="0" w:right="0" w:firstLine="371" w:firstLineChars="17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（2）在合同履行期间，乙方怠于履行合同义务，经甲方通知或要求承担暂定合同含税总价20%的违约金后仍拒不改正的，甲方可依法没收或适当扣除其履约担保。</w:t>
      </w:r>
    </w:p>
    <w:p w14:paraId="4DAE4AAF">
      <w:pPr>
        <w:keepNext w:val="0"/>
        <w:keepLines w:val="0"/>
        <w:widowControl w:val="0"/>
        <w:suppressLineNumbers w:val="0"/>
        <w:snapToGrid w:val="0"/>
        <w:spacing w:before="0" w:beforeAutospacing="0" w:after="0" w:afterAutospacing="0" w:line="360" w:lineRule="auto"/>
        <w:ind w:left="0" w:right="0" w:firstLine="371" w:firstLineChars="17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在合同履行期间，因乙方货物、服务质量问题造成损害、侵权损失（包括但不限于甲方经济损失、第三人人身财产损失等）、乙方拖欠原材料供应商货款或与其所雇用员工发生劳资纠纷、上访、闹事或其他影响甲方生产经营等情况而其未及时妥善处理的，甲方有权使用履约担保予以支付或作出相应处理，由此产生的一切法律后果由乙方承担。</w:t>
      </w:r>
    </w:p>
    <w:p w14:paraId="71AE33C2">
      <w:pPr>
        <w:keepNext w:val="0"/>
        <w:keepLines w:val="0"/>
        <w:widowControl w:val="0"/>
        <w:suppressLineNumbers w:val="0"/>
        <w:snapToGrid w:val="0"/>
        <w:spacing w:before="0" w:beforeAutospacing="0" w:after="0" w:afterAutospacing="0" w:line="360" w:lineRule="auto"/>
        <w:ind w:left="0" w:right="0" w:firstLine="371" w:firstLineChars="17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（4）在合同履行期间，乙方违约产生的违约金、赔偿、罚款或其他应付费用等款项，甲方有权直接从未付货款中直接扣除或启用履约担保予以支付。</w:t>
      </w:r>
    </w:p>
    <w:p w14:paraId="72B82B20">
      <w:pPr>
        <w:keepNext w:val="0"/>
        <w:keepLines w:val="0"/>
        <w:widowControl w:val="0"/>
        <w:suppressLineNumbers w:val="0"/>
        <w:snapToGrid w:val="0"/>
        <w:spacing w:before="0" w:beforeAutospacing="0" w:after="0" w:afterAutospacing="0" w:line="360" w:lineRule="auto"/>
        <w:ind w:left="0" w:right="0" w:firstLine="371" w:firstLineChars="17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（5）合同期内，乙方不能及时完成合同某项义务的，甲方有权提取履约担保用于处理该项工作。</w:t>
      </w:r>
    </w:p>
    <w:p w14:paraId="00F96D8A">
      <w:pPr>
        <w:keepNext w:val="0"/>
        <w:keepLines w:val="0"/>
        <w:widowControl w:val="0"/>
        <w:suppressLineNumbers w:val="0"/>
        <w:snapToGrid w:val="0"/>
        <w:spacing w:before="0" w:beforeAutospacing="0" w:after="0" w:afterAutospacing="0" w:line="360" w:lineRule="auto"/>
        <w:ind w:left="0" w:right="0" w:firstLine="371" w:firstLineChars="17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（6）其他根据本合同约定或法律规定，甲方可启用履约担保的情形。</w:t>
      </w:r>
    </w:p>
    <w:p w14:paraId="1971396E">
      <w:pPr>
        <w:keepNext w:val="0"/>
        <w:keepLines w:val="0"/>
        <w:widowControl w:val="0"/>
        <w:suppressLineNumbers w:val="0"/>
        <w:snapToGrid w:val="0"/>
        <w:spacing w:before="0" w:beforeAutospacing="0" w:after="0" w:afterAutospacing="0" w:line="360" w:lineRule="auto"/>
        <w:ind w:left="0" w:right="0" w:firstLine="371" w:firstLineChars="17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乙方以履约保证金（银行转账形式）提供履约担保的，在合同期限届满并全部货物经最终验收合格、甲方向乙方支付全部货款（除质保金）后二十八（28）日后经甲方确认，乙方可向甲方提交退回履约担保的申请。甲方审核无异议后，办理履约担保退还手续，退回时一律以银行转账的形式无息退回到乙方的账户。</w:t>
      </w:r>
    </w:p>
    <w:p w14:paraId="6C2C48E7">
      <w:pPr>
        <w:keepNext w:val="0"/>
        <w:keepLines w:val="0"/>
        <w:widowControl w:val="0"/>
        <w:suppressLineNumbers w:val="0"/>
        <w:snapToGrid w:val="0"/>
        <w:spacing w:before="0" w:beforeAutospacing="0" w:after="0" w:afterAutospacing="0" w:line="360" w:lineRule="auto"/>
        <w:ind w:left="0" w:right="0" w:firstLine="371" w:firstLineChars="17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如乙方提供不可撤销银行履约保函（或履约保证保险或担保公司履约担保书）作为履约担保的，不可撤销银行履约保函（或履约保证保险或担保公司履约担保书）应从合同签订之日起（或签订合同前）至合同期限届满并全部货物经最终验收合格、甲方向乙方支付全部货款（除质保金）后二十八（28）日内保持有效。如不可撤销银行履约保函（或履约保证保险或担保公司履约担保书）在规定有效期届满而货物尚未全部最终验收合格的，乙方必须在不可撤销银行履约保函（或履约保证保险或担保公司履约担保书）到期15日前无条件办理办妥符合甲方要求的延期手续或重新提供不可撤销银行履约保函（或履约保证保险或担保公司履约担保书）；否则视为乙方违约，甲方有权在不可撤销银行履约保函（或履约保证保险或担保公司履约担保书）到期前向出具履约担保的机构提取履约担保金。在不可撤销银行履约保函（或履约保证保险或担保公司履约担保书）到期后乙方未按甲方要求重新提供的，甲方有权要求乙方以履约担保金额为限承担违约金，违约金可直接从未付合同费用中扣除。</w:t>
      </w:r>
    </w:p>
    <w:p w14:paraId="7E8CFBC0">
      <w:pPr>
        <w:keepNext w:val="0"/>
        <w:keepLines w:val="0"/>
        <w:widowControl w:val="0"/>
        <w:suppressLineNumbers w:val="0"/>
        <w:snapToGrid w:val="0"/>
        <w:spacing w:before="0" w:beforeAutospacing="0" w:after="0" w:afterAutospacing="0" w:line="360" w:lineRule="auto"/>
        <w:ind w:left="0" w:right="0" w:firstLine="371" w:firstLineChars="17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在合同履行过程中，不论何种原因导致履约担保数额不符合招标文件要求的，乙方应当在5日内予以补足。逾期不予补足的，甲方有权按需补足的金额要求乙方承担违约金，并要求限期补足。如乙方仍不补足的，甲方有权单方解除合同，违约金可直接从未付合同款或履约担保中扣除。</w:t>
      </w:r>
    </w:p>
    <w:p w14:paraId="3F51108E">
      <w:pPr>
        <w:keepNext w:val="0"/>
        <w:keepLines w:val="0"/>
        <w:widowControl w:val="0"/>
        <w:suppressLineNumbers w:val="0"/>
        <w:snapToGrid w:val="0"/>
        <w:spacing w:before="0" w:beforeAutospacing="0" w:after="0" w:afterAutospacing="0" w:line="360" w:lineRule="auto"/>
        <w:ind w:left="0" w:right="0" w:firstLine="373" w:firstLineChars="177"/>
        <w:jc w:val="both"/>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 xml:space="preserve"> </w:t>
      </w:r>
    </w:p>
    <w:p w14:paraId="78F50306">
      <w:pPr>
        <w:keepNext w:val="0"/>
        <w:keepLines w:val="0"/>
        <w:widowControl w:val="0"/>
        <w:suppressLineNumbers w:val="0"/>
        <w:snapToGrid w:val="0"/>
        <w:spacing w:before="0" w:beforeAutospacing="0" w:after="0" w:afterAutospacing="0" w:line="360" w:lineRule="auto"/>
        <w:ind w:left="0" w:right="0" w:firstLine="373" w:firstLineChars="177"/>
        <w:jc w:val="both"/>
        <w:outlineLvl w:val="2"/>
        <w:rPr>
          <w:rFonts w:hint="eastAsia" w:ascii="宋体" w:hAnsi="宋体" w:eastAsia="宋体" w:cs="宋体"/>
          <w:b/>
          <w:bCs w:val="0"/>
          <w:color w:val="auto"/>
          <w:kern w:val="2"/>
          <w:sz w:val="21"/>
          <w:szCs w:val="21"/>
          <w:highlight w:val="none"/>
          <w:lang w:val="en-US" w:eastAsia="zh-CN" w:bidi="ar"/>
        </w:rPr>
      </w:pPr>
      <w:bookmarkStart w:id="469" w:name="_Toc13382"/>
      <w:r>
        <w:rPr>
          <w:rFonts w:hint="eastAsia" w:ascii="宋体" w:hAnsi="宋体" w:eastAsia="宋体" w:cs="宋体"/>
          <w:b/>
          <w:bCs w:val="0"/>
          <w:color w:val="auto"/>
          <w:kern w:val="2"/>
          <w:sz w:val="21"/>
          <w:szCs w:val="21"/>
          <w:highlight w:val="none"/>
          <w:lang w:val="en-US" w:eastAsia="zh-CN" w:bidi="ar"/>
        </w:rPr>
        <w:t>第十二条 付款方式</w:t>
      </w:r>
      <w:bookmarkEnd w:id="469"/>
    </w:p>
    <w:p w14:paraId="169544EA">
      <w:pPr>
        <w:pStyle w:val="33"/>
        <w:keepNext w:val="0"/>
        <w:keepLines w:val="0"/>
        <w:widowControl w:val="0"/>
        <w:suppressLineNumbers w:val="0"/>
        <w:spacing w:before="0" w:beforeAutospacing="0" w:after="0" w:afterAutospacing="0" w:line="360" w:lineRule="auto"/>
        <w:ind w:left="0" w:right="0" w:firstLine="283" w:firstLineChars="135"/>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双方一致同意，乙方按规定提供了履约担保后，甲方通过以下方式以人民币支付合同款项给乙方：</w:t>
      </w:r>
    </w:p>
    <w:p w14:paraId="34F303D6">
      <w:pPr>
        <w:pStyle w:val="33"/>
        <w:keepNext w:val="0"/>
        <w:keepLines w:val="0"/>
        <w:widowControl w:val="0"/>
        <w:suppressLineNumbers w:val="0"/>
        <w:spacing w:before="0" w:beforeAutospacing="0" w:after="0" w:afterAutospacing="0" w:line="360" w:lineRule="auto"/>
        <w:ind w:left="0" w:right="0" w:firstLine="283" w:firstLineChars="135"/>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合同的履约过程中，乙方根据本合同约定需向甲方支付违约金、赔偿金、或其他应付费用等款项的，乙方必须向甲方支付完相关款项后，甲方才根据本合同向乙方支付合同价和税额。若因乙方未能支付前述费用，影响项目实施的，甲方有权启用履约担保或直接从未付合同款项中直接扣除，且乙方必须按照扣除前述费用前的合同价（销售额）开具增值税专用发票，保证增值税税额符合法律规定。</w:t>
      </w:r>
    </w:p>
    <w:p w14:paraId="382C93E6">
      <w:pPr>
        <w:pStyle w:val="33"/>
        <w:keepNext w:val="0"/>
        <w:keepLines w:val="0"/>
        <w:widowControl w:val="0"/>
        <w:suppressLineNumbers w:val="0"/>
        <w:spacing w:before="0" w:beforeAutospacing="0" w:after="0" w:afterAutospacing="0" w:line="360" w:lineRule="auto"/>
        <w:ind w:left="0" w:right="0" w:firstLine="283" w:firstLineChars="135"/>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2、货物供货的款项按甲方运营项目进行支付、结算。货物供货的款项每月按实结算。甲方运营项目收到货物并最终验收合格后，每月中旬办理支付上月实际供货量的款项。</w:t>
      </w:r>
    </w:p>
    <w:p w14:paraId="1A75D5B4">
      <w:pPr>
        <w:pStyle w:val="33"/>
        <w:keepNext w:val="0"/>
        <w:keepLines w:val="0"/>
        <w:widowControl w:val="0"/>
        <w:suppressLineNumbers w:val="0"/>
        <w:spacing w:before="0" w:beforeAutospacing="0" w:after="0" w:afterAutospacing="0" w:line="360" w:lineRule="auto"/>
        <w:ind w:left="0" w:right="0" w:firstLine="283" w:firstLineChars="135"/>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3、乙方向甲方运营项目提交请款报告和请款金额等额的合法、有效的增值税专用发票，甲方在收到前述材料并确认无误后30个工作日内支付结算上月实际供货量的货款和该货款对应的税额给乙方。</w:t>
      </w:r>
    </w:p>
    <w:p w14:paraId="14B5C269">
      <w:pPr>
        <w:pStyle w:val="33"/>
        <w:keepNext w:val="0"/>
        <w:keepLines w:val="0"/>
        <w:widowControl/>
        <w:suppressLineNumbers w:val="0"/>
        <w:spacing w:before="0" w:beforeAutospacing="0" w:after="0" w:afterAutospacing="0" w:line="360" w:lineRule="auto"/>
        <w:ind w:left="0" w:right="0" w:firstLine="283" w:firstLineChars="135"/>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4、支付方式：支付方式为银行转账或银行承兑汇票，汇票期限不超过三个月，每期款项支付方式由甲方决定。</w:t>
      </w:r>
    </w:p>
    <w:p w14:paraId="0684A22D">
      <w:pPr>
        <w:pStyle w:val="33"/>
        <w:keepNext w:val="0"/>
        <w:keepLines w:val="0"/>
        <w:widowControl/>
        <w:suppressLineNumbers w:val="0"/>
        <w:spacing w:before="0" w:beforeAutospacing="0" w:after="0" w:afterAutospacing="0" w:line="360" w:lineRule="auto"/>
        <w:ind w:left="0" w:right="0" w:firstLine="283" w:firstLineChars="135"/>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乙方迟延提供发票或提供的请款报告、发票不符合要求的，甲方的付款时间可相应顺延，且甲方不因此承担任何责任。因支付产生的相关银行手续费用，根据有关银行规定执行，如不能明确的，由双方各承担50%。由于乙方提供的发票不符合税法规定，给甲方造成的损失由乙方承担全部的赔偿责任。</w:t>
      </w:r>
    </w:p>
    <w:p w14:paraId="151BB2F5">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55085B39">
      <w:pPr>
        <w:keepNext w:val="0"/>
        <w:keepLines w:val="0"/>
        <w:widowControl w:val="0"/>
        <w:suppressLineNumbers w:val="0"/>
        <w:snapToGrid w:val="0"/>
        <w:spacing w:before="0" w:beforeAutospacing="0" w:after="0" w:afterAutospacing="0" w:line="360" w:lineRule="auto"/>
        <w:ind w:left="0" w:right="0" w:firstLine="373" w:firstLineChars="177"/>
        <w:jc w:val="both"/>
        <w:outlineLvl w:val="2"/>
        <w:rPr>
          <w:rFonts w:hint="eastAsia" w:ascii="宋体" w:hAnsi="宋体" w:eastAsia="宋体" w:cs="宋体"/>
          <w:b/>
          <w:bCs w:val="0"/>
          <w:color w:val="auto"/>
          <w:kern w:val="2"/>
          <w:sz w:val="21"/>
          <w:szCs w:val="21"/>
          <w:highlight w:val="none"/>
          <w:lang w:val="en-US" w:eastAsia="zh-CN" w:bidi="ar"/>
        </w:rPr>
      </w:pPr>
      <w:bookmarkStart w:id="470" w:name="_Toc10288"/>
      <w:r>
        <w:rPr>
          <w:rFonts w:hint="eastAsia" w:ascii="宋体" w:hAnsi="宋体" w:eastAsia="宋体" w:cs="宋体"/>
          <w:b/>
          <w:bCs w:val="0"/>
          <w:color w:val="auto"/>
          <w:kern w:val="2"/>
          <w:sz w:val="21"/>
          <w:szCs w:val="21"/>
          <w:highlight w:val="none"/>
          <w:lang w:val="en-US" w:eastAsia="zh-CN" w:bidi="ar"/>
        </w:rPr>
        <w:t>第十三条 不可抗力</w:t>
      </w:r>
      <w:bookmarkEnd w:id="470"/>
    </w:p>
    <w:p w14:paraId="0EF5C6CA">
      <w:pPr>
        <w:keepNext w:val="0"/>
        <w:keepLines w:val="0"/>
        <w:widowControl w:val="0"/>
        <w:suppressLineNumbers w:val="0"/>
        <w:snapToGrid w:val="0"/>
        <w:spacing w:before="0" w:beforeAutospacing="0" w:after="0" w:afterAutospacing="0" w:line="360" w:lineRule="auto"/>
        <w:ind w:left="0" w:right="0" w:firstLine="371" w:firstLineChars="177"/>
        <w:jc w:val="both"/>
        <w:rPr>
          <w:rFonts w:hint="eastAsia" w:ascii="宋体" w:hAnsi="宋体" w:eastAsia="宋体" w:cs="宋体"/>
          <w:color w:val="auto"/>
          <w:kern w:val="2"/>
          <w:sz w:val="21"/>
          <w:szCs w:val="21"/>
          <w:highlight w:val="none"/>
        </w:rPr>
      </w:pPr>
      <w:r>
        <w:rPr>
          <w:rFonts w:hint="eastAsia" w:ascii="宋体" w:hAnsi="宋体" w:eastAsia="宋体" w:cs="宋体"/>
          <w:color w:val="auto"/>
          <w:szCs w:val="21"/>
          <w:highlight w:val="none"/>
          <w:lang w:bidi="ar"/>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十五个工作日内，提供事故详情及合同不能履行、或者部分不能履行、或者需要延期履行的理由的有效证明文件。如因为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决定是否解除合同，或者部分免除履行合同的责任，或者延期履行合同</w:t>
      </w:r>
      <w:r>
        <w:rPr>
          <w:rFonts w:hint="eastAsia" w:ascii="宋体" w:hAnsi="宋体" w:eastAsia="宋体" w:cs="宋体"/>
          <w:color w:val="auto"/>
          <w:kern w:val="2"/>
          <w:sz w:val="21"/>
          <w:szCs w:val="21"/>
          <w:highlight w:val="none"/>
          <w:lang w:val="en-US" w:eastAsia="zh-CN" w:bidi="ar"/>
        </w:rPr>
        <w:t>。</w:t>
      </w:r>
    </w:p>
    <w:p w14:paraId="7BEDC4B8">
      <w:pPr>
        <w:keepNext w:val="0"/>
        <w:keepLines w:val="0"/>
        <w:widowControl w:val="0"/>
        <w:suppressLineNumbers w:val="0"/>
        <w:snapToGrid w:val="0"/>
        <w:spacing w:before="0" w:beforeAutospacing="0" w:after="0" w:afterAutospacing="0" w:line="360" w:lineRule="auto"/>
        <w:ind w:left="0" w:right="0" w:firstLine="371" w:firstLineChars="17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6DDF9306">
      <w:pPr>
        <w:keepNext w:val="0"/>
        <w:keepLines w:val="0"/>
        <w:widowControl w:val="0"/>
        <w:suppressLineNumbers w:val="0"/>
        <w:snapToGrid w:val="0"/>
        <w:spacing w:before="0" w:beforeAutospacing="0" w:after="0" w:afterAutospacing="0" w:line="360" w:lineRule="auto"/>
        <w:ind w:left="0" w:right="0" w:firstLine="373" w:firstLineChars="177"/>
        <w:jc w:val="both"/>
        <w:outlineLvl w:val="2"/>
        <w:rPr>
          <w:rFonts w:hint="eastAsia" w:ascii="宋体" w:hAnsi="宋体" w:eastAsia="宋体" w:cs="宋体"/>
          <w:b/>
          <w:bCs w:val="0"/>
          <w:color w:val="auto"/>
          <w:kern w:val="2"/>
          <w:sz w:val="21"/>
          <w:szCs w:val="21"/>
          <w:highlight w:val="none"/>
          <w:lang w:val="en-US" w:eastAsia="zh-CN" w:bidi="ar"/>
        </w:rPr>
      </w:pPr>
      <w:bookmarkStart w:id="471" w:name="_Toc23652"/>
      <w:r>
        <w:rPr>
          <w:rFonts w:hint="eastAsia" w:ascii="宋体" w:hAnsi="宋体" w:eastAsia="宋体" w:cs="宋体"/>
          <w:b/>
          <w:bCs w:val="0"/>
          <w:color w:val="auto"/>
          <w:kern w:val="2"/>
          <w:sz w:val="21"/>
          <w:szCs w:val="21"/>
          <w:highlight w:val="none"/>
          <w:lang w:val="en-US" w:eastAsia="zh-CN" w:bidi="ar"/>
        </w:rPr>
        <w:t>第十四条 索赔</w:t>
      </w:r>
      <w:bookmarkEnd w:id="471"/>
    </w:p>
    <w:p w14:paraId="4085D742">
      <w:pPr>
        <w:keepNext w:val="0"/>
        <w:keepLines w:val="0"/>
        <w:widowControl w:val="0"/>
        <w:suppressLineNumbers w:val="0"/>
        <w:snapToGrid w:val="0"/>
        <w:spacing w:before="0" w:beforeAutospacing="0" w:after="0" w:afterAutospacing="0" w:line="360" w:lineRule="auto"/>
        <w:ind w:left="0" w:right="0" w:firstLine="371" w:firstLineChars="17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在货物验收、使用过程中，甲方如对货物（包括但不限于其规格、数量、质量等）有异议的，有权向乙方提出索赔，乙方应在甲方发出索赔通知后7日内作出答复，并与甲方现场确认货物的质量问题后进行理赔。乙方根据合同约定应承担退换货责任的，乙方应立即根据本合同的约定承担退换货责任。</w:t>
      </w:r>
    </w:p>
    <w:p w14:paraId="6B6D4250">
      <w:pPr>
        <w:keepNext w:val="0"/>
        <w:keepLines w:val="0"/>
        <w:widowControl w:val="0"/>
        <w:suppressLineNumbers w:val="0"/>
        <w:snapToGrid w:val="0"/>
        <w:spacing w:before="0" w:beforeAutospacing="0" w:after="0" w:afterAutospacing="0" w:line="360" w:lineRule="auto"/>
        <w:ind w:left="0" w:right="0" w:firstLine="371" w:firstLineChars="17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2、如果乙方对甲方提出的异议及索赔负有责任，乙方应按照甲方同意的下列一种或多种方式解决索赔事宜：</w:t>
      </w:r>
    </w:p>
    <w:p w14:paraId="633D39F1">
      <w:pPr>
        <w:keepNext w:val="0"/>
        <w:keepLines w:val="0"/>
        <w:widowControl w:val="0"/>
        <w:suppressLineNumbers w:val="0"/>
        <w:snapToGrid w:val="0"/>
        <w:spacing w:before="0" w:beforeAutospacing="0" w:after="0" w:afterAutospacing="0" w:line="360" w:lineRule="auto"/>
        <w:ind w:left="0" w:right="0" w:firstLine="371" w:firstLineChars="17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（1）根据甲方要求予以更换相应合同货物，乙方在甲方发出换货通知后未在甲方规定的时间内将换货货物运离甲方及更换等量的合格货物给甲方，乙方应承担因此产生的全部费用并赔偿甲方因此遭受的损失。</w:t>
      </w:r>
    </w:p>
    <w:p w14:paraId="19FD6B96">
      <w:pPr>
        <w:keepNext w:val="0"/>
        <w:keepLines w:val="0"/>
        <w:widowControl w:val="0"/>
        <w:suppressLineNumbers w:val="0"/>
        <w:snapToGrid w:val="0"/>
        <w:spacing w:before="0" w:beforeAutospacing="0" w:after="0" w:afterAutospacing="0" w:line="360" w:lineRule="auto"/>
        <w:ind w:left="0" w:right="0" w:firstLine="371" w:firstLineChars="17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（2）根据甲方要求予以退回相应合同货物，并返还甲方已支付的相应货款（含合同价款及税费）。如造成甲方其他损失的，由乙方承担赔偿责任。</w:t>
      </w:r>
    </w:p>
    <w:p w14:paraId="499334C6">
      <w:pPr>
        <w:keepNext w:val="0"/>
        <w:keepLines w:val="0"/>
        <w:widowControl w:val="0"/>
        <w:suppressLineNumbers w:val="0"/>
        <w:snapToGrid w:val="0"/>
        <w:spacing w:before="0" w:beforeAutospacing="0" w:after="0" w:afterAutospacing="0" w:line="360" w:lineRule="auto"/>
        <w:ind w:left="0" w:right="0" w:firstLine="371" w:firstLineChars="17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（3）甲方可根据货物低劣程度、损坏程度以及甲方所遭受损失的数额，要求乙方承担赔偿责任。</w:t>
      </w:r>
    </w:p>
    <w:p w14:paraId="73164050">
      <w:pPr>
        <w:keepNext w:val="0"/>
        <w:keepLines w:val="0"/>
        <w:widowControl w:val="0"/>
        <w:suppressLineNumbers w:val="0"/>
        <w:snapToGrid w:val="0"/>
        <w:spacing w:before="0" w:beforeAutospacing="0" w:after="0" w:afterAutospacing="0" w:line="360" w:lineRule="auto"/>
        <w:ind w:left="0" w:right="0" w:firstLine="371" w:firstLineChars="17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3、如果在甲方发出索赔通知后7日内，乙方未作答复或未配合现场确认的，视为乙方确认相关违约事实及认可甲方索赔要求。</w:t>
      </w:r>
    </w:p>
    <w:p w14:paraId="48337504">
      <w:pPr>
        <w:keepNext w:val="0"/>
        <w:keepLines w:val="0"/>
        <w:widowControl w:val="0"/>
        <w:suppressLineNumbers w:val="0"/>
        <w:snapToGrid w:val="0"/>
        <w:spacing w:before="0" w:beforeAutospacing="0" w:after="0" w:afterAutospacing="0" w:line="360" w:lineRule="auto"/>
        <w:ind w:left="0" w:right="0" w:firstLine="371" w:firstLineChars="17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67A38144">
      <w:pPr>
        <w:keepNext w:val="0"/>
        <w:keepLines w:val="0"/>
        <w:widowControl w:val="0"/>
        <w:suppressLineNumbers w:val="0"/>
        <w:snapToGrid w:val="0"/>
        <w:spacing w:before="0" w:beforeAutospacing="0" w:after="0" w:afterAutospacing="0" w:line="360" w:lineRule="auto"/>
        <w:ind w:left="0" w:right="0" w:firstLine="373" w:firstLineChars="177"/>
        <w:jc w:val="both"/>
        <w:outlineLvl w:val="2"/>
        <w:rPr>
          <w:rFonts w:hint="eastAsia" w:ascii="宋体" w:hAnsi="宋体" w:eastAsia="宋体" w:cs="宋体"/>
          <w:b/>
          <w:bCs w:val="0"/>
          <w:color w:val="auto"/>
          <w:kern w:val="2"/>
          <w:sz w:val="21"/>
          <w:szCs w:val="21"/>
          <w:highlight w:val="none"/>
          <w:lang w:val="en-US" w:eastAsia="zh-CN" w:bidi="ar"/>
        </w:rPr>
      </w:pPr>
      <w:bookmarkStart w:id="472" w:name="_Toc9823"/>
      <w:r>
        <w:rPr>
          <w:rFonts w:hint="eastAsia" w:ascii="宋体" w:hAnsi="宋体" w:eastAsia="宋体" w:cs="宋体"/>
          <w:b/>
          <w:bCs w:val="0"/>
          <w:color w:val="auto"/>
          <w:kern w:val="2"/>
          <w:sz w:val="21"/>
          <w:szCs w:val="21"/>
          <w:highlight w:val="none"/>
          <w:lang w:val="en-US" w:eastAsia="zh-CN" w:bidi="ar"/>
        </w:rPr>
        <w:t>第十五条 违约责任</w:t>
      </w:r>
      <w:bookmarkEnd w:id="472"/>
    </w:p>
    <w:p w14:paraId="2A58E6D8">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1、日常供货（非加急供货）时，乙方未在约定的时间内完成交货，或未在规定的时间内承担相应的更换、退货责任的，每逾期2小时，甲方有权要求乙方按该次货物</w:t>
      </w:r>
      <w:r>
        <w:rPr>
          <w:rFonts w:hint="eastAsia" w:ascii="宋体" w:hAnsi="宋体" w:eastAsia="宋体" w:cs="宋体"/>
          <w:color w:val="auto"/>
          <w:szCs w:val="21"/>
          <w:highlight w:val="none"/>
          <w:lang w:val="en-US" w:eastAsia="zh-CN"/>
        </w:rPr>
        <w:t>含税</w:t>
      </w:r>
      <w:r>
        <w:rPr>
          <w:rFonts w:hint="eastAsia" w:ascii="宋体" w:hAnsi="宋体" w:eastAsia="宋体" w:cs="宋体"/>
          <w:color w:val="auto"/>
          <w:kern w:val="2"/>
          <w:sz w:val="21"/>
          <w:szCs w:val="21"/>
          <w:highlight w:val="none"/>
          <w:lang w:val="en-US" w:eastAsia="zh-CN" w:bidi="ar"/>
        </w:rPr>
        <w:t>结算货款的1%向甲方支付违约金。乙方逾期超过12小时的，甲方有权要求乙方额外按该次货物</w:t>
      </w:r>
      <w:r>
        <w:rPr>
          <w:rFonts w:hint="eastAsia" w:ascii="宋体" w:hAnsi="宋体" w:eastAsia="宋体" w:cs="宋体"/>
          <w:color w:val="auto"/>
          <w:szCs w:val="21"/>
          <w:highlight w:val="none"/>
          <w:lang w:val="en-US" w:eastAsia="zh-CN"/>
        </w:rPr>
        <w:t>含税</w:t>
      </w:r>
      <w:r>
        <w:rPr>
          <w:rFonts w:hint="eastAsia" w:ascii="宋体" w:hAnsi="宋体" w:eastAsia="宋体" w:cs="宋体"/>
          <w:color w:val="auto"/>
          <w:kern w:val="2"/>
          <w:sz w:val="21"/>
          <w:szCs w:val="21"/>
          <w:highlight w:val="none"/>
          <w:lang w:val="en-US" w:eastAsia="zh-CN" w:bidi="ar"/>
        </w:rPr>
        <w:t>结算货款的5%向甲方支付违约金，违约金不足以赔偿甲方损失的，</w:t>
      </w:r>
      <w:r>
        <w:rPr>
          <w:rFonts w:hint="eastAsia" w:ascii="宋体" w:hAnsi="宋体" w:eastAsia="宋体" w:cs="宋体"/>
          <w:color w:val="auto"/>
          <w:szCs w:val="21"/>
          <w:highlight w:val="none"/>
          <w:lang w:bidi="ar"/>
        </w:rPr>
        <w:t>甲方有权没收乙方的部分或全部履约担保，还不足以赔偿甲方损失的，乙方需按损失足额赔偿</w:t>
      </w:r>
      <w:r>
        <w:rPr>
          <w:rFonts w:hint="eastAsia" w:ascii="宋体" w:hAnsi="宋体" w:eastAsia="宋体" w:cs="宋体"/>
          <w:color w:val="auto"/>
          <w:kern w:val="2"/>
          <w:sz w:val="21"/>
          <w:szCs w:val="21"/>
          <w:highlight w:val="none"/>
          <w:lang w:val="en-US" w:eastAsia="zh-CN" w:bidi="ar"/>
        </w:rPr>
        <w:t>。</w:t>
      </w:r>
    </w:p>
    <w:p w14:paraId="3AF14ED9">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2、加急供货时，乙方未在约定的时间内完成交货的，或未在规定的时间内承担相应的更换、退货责任的，每逾期1小时，甲方有权要求乙方按该次货物</w:t>
      </w:r>
      <w:r>
        <w:rPr>
          <w:rFonts w:hint="eastAsia" w:ascii="宋体" w:hAnsi="宋体" w:eastAsia="宋体" w:cs="宋体"/>
          <w:color w:val="auto"/>
          <w:szCs w:val="21"/>
          <w:highlight w:val="none"/>
          <w:lang w:val="en-US" w:eastAsia="zh-CN"/>
        </w:rPr>
        <w:t>含税</w:t>
      </w:r>
      <w:r>
        <w:rPr>
          <w:rFonts w:hint="eastAsia" w:ascii="宋体" w:hAnsi="宋体" w:eastAsia="宋体" w:cs="宋体"/>
          <w:color w:val="auto"/>
          <w:kern w:val="2"/>
          <w:sz w:val="21"/>
          <w:szCs w:val="21"/>
          <w:highlight w:val="none"/>
          <w:lang w:val="en-US" w:eastAsia="zh-CN" w:bidi="ar"/>
        </w:rPr>
        <w:t>结算货款的10%向甲方支付违约金，乙方逾期超过4小时的，甲方有权单方解除合同，并且没收乙方的部分或全部履约担保，乙方除前述逾期违约金外，甲方有权要求乙方额外按该次货物</w:t>
      </w:r>
      <w:r>
        <w:rPr>
          <w:rFonts w:hint="eastAsia" w:ascii="宋体" w:hAnsi="宋体" w:eastAsia="宋体" w:cs="宋体"/>
          <w:color w:val="auto"/>
          <w:szCs w:val="21"/>
          <w:highlight w:val="none"/>
          <w:lang w:val="en-US" w:eastAsia="zh-CN"/>
        </w:rPr>
        <w:t>含税</w:t>
      </w:r>
      <w:r>
        <w:rPr>
          <w:rFonts w:hint="eastAsia" w:ascii="宋体" w:hAnsi="宋体" w:eastAsia="宋体" w:cs="宋体"/>
          <w:color w:val="auto"/>
          <w:kern w:val="2"/>
          <w:sz w:val="21"/>
          <w:szCs w:val="21"/>
          <w:highlight w:val="none"/>
          <w:lang w:val="en-US" w:eastAsia="zh-CN" w:bidi="ar"/>
        </w:rPr>
        <w:t>结算货款的20%向甲方支付违约金，违约金不足以赔偿甲方损失的，</w:t>
      </w:r>
      <w:r>
        <w:rPr>
          <w:rFonts w:hint="eastAsia" w:ascii="宋体" w:hAnsi="宋体" w:eastAsia="宋体" w:cs="宋体"/>
          <w:color w:val="auto"/>
          <w:szCs w:val="21"/>
          <w:highlight w:val="none"/>
          <w:lang w:bidi="ar"/>
        </w:rPr>
        <w:t>乙方需按损失足额赔偿</w:t>
      </w:r>
      <w:r>
        <w:rPr>
          <w:rFonts w:hint="eastAsia" w:ascii="宋体" w:hAnsi="宋体" w:eastAsia="宋体" w:cs="宋体"/>
          <w:color w:val="auto"/>
          <w:kern w:val="2"/>
          <w:sz w:val="21"/>
          <w:szCs w:val="21"/>
          <w:highlight w:val="none"/>
          <w:lang w:val="en-US" w:eastAsia="zh-CN" w:bidi="ar"/>
        </w:rPr>
        <w:t>。</w:t>
      </w:r>
    </w:p>
    <w:p w14:paraId="416D8352">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乙方所交货物经甲方实验室或甲方委托的第三方检测机构检验累计出现3次（含）以上不合格的，甲方有权单方中止或解除合同，暂停或取消乙方的供货资格，并根据对甲方生产造成影响的严重程度，没收乙方的部分或全部履约担保。</w:t>
      </w:r>
    </w:p>
    <w:p w14:paraId="0EF96FF1">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4、乙方应根据甲方运营项目工艺以及性质，提供符合技术指标的药剂，保证供货的药剂在甲方运营项目良好的使用效果。</w:t>
      </w:r>
    </w:p>
    <w:p w14:paraId="7D7179E2">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5、如因药剂问题对甲方生产、成本造成影响，甲方有权要求乙方按该次货物</w:t>
      </w:r>
      <w:r>
        <w:rPr>
          <w:rFonts w:hint="eastAsia" w:ascii="宋体" w:hAnsi="宋体" w:eastAsia="宋体" w:cs="宋体"/>
          <w:color w:val="auto"/>
          <w:szCs w:val="21"/>
          <w:highlight w:val="none"/>
          <w:lang w:val="en-US" w:eastAsia="zh-CN"/>
        </w:rPr>
        <w:t>含税</w:t>
      </w:r>
      <w:r>
        <w:rPr>
          <w:rFonts w:hint="eastAsia" w:ascii="宋体" w:hAnsi="宋体" w:eastAsia="宋体" w:cs="宋体"/>
          <w:color w:val="auto"/>
          <w:kern w:val="2"/>
          <w:sz w:val="21"/>
          <w:szCs w:val="21"/>
          <w:highlight w:val="none"/>
          <w:lang w:val="en-US" w:eastAsia="zh-CN" w:bidi="ar"/>
        </w:rPr>
        <w:t>结算货款的20%向甲方支付违约金，违约金不足以赔偿甲方损失的，乙方需另行赔偿，同时根据对甲方生产、成本造成影响的严重程度，甲方有权没收乙方的部分或全部履约担保。</w:t>
      </w:r>
    </w:p>
    <w:p w14:paraId="161AD2D4">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6、如乙方提供的药剂严重影响甲方运营项目生产或造成甲方运营项目出水水质指标超标的情况，甲方有权追究乙方由此造成的损失，并有权单方面中止或解除合同，取消其供货资格，没收全部履约担保。</w:t>
      </w:r>
    </w:p>
    <w:p w14:paraId="5B9A12C0">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对于货物最终验收不合格且甲方运营项目已经开始使用或者使用完毕无法退换的，货款按照以下方式处理：①若甲方已支付货款的，则乙方应向甲方退还已支付的货款；②若甲方未支付货款的，则甲方无需支付货款。</w:t>
      </w:r>
    </w:p>
    <w:p w14:paraId="78A5C70C">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8、若乙方对甲方运营项目验收结果有异议，乙方应自甲方运营项目书面告知乙方检验结果24小时内，书面要求通过乙方和甲方双方确认的具有CMA认证资质的第三方单位对留样货物进行检测，最终供货产品质量判定以乙方和甲方双方确认的具有CMA认证资质的第三方检测机构检验结果为准；因此产生的检测费、运输费等全部费用均由乙方承担。</w:t>
      </w:r>
    </w:p>
    <w:p w14:paraId="4F561977">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9、授予合同前或合同履行中，甲方有权实地核查乙方在投标时提供的分支机构或服务机构的场地、生产/储存/运输设备设施及能力等材料的符合性，若发现虚假将取消中标资格，且甲方有权终止合同。因此给甲方造成损失的，全部由乙方承担。</w:t>
      </w:r>
    </w:p>
    <w:p w14:paraId="16FE18E0">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10、甲方在招标文件及合同约定的供货期限和采购范围内，甲方有权根据项目实际情况及有关法律法规、政策的规定进行变更调整。在变更调整后，乙方应遵照执行。</w:t>
      </w:r>
    </w:p>
    <w:p w14:paraId="2B87DCDE">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11、乙方应当为其工作人员投保足额的社会保险、商业保险及为货物的运输投保足额的商业保险，如在运输及装卸过程中，相关生产药剂发生泄漏而导致的一切人员伤亡或财产损失事故，因此产生的赔偿责任或相关法律责任均由乙方自行承担。凡由于货物包装不良、运输方式不当或非法运输造成的事故、损失、行政处罚和由此产生的其他全部费用均由乙方全部承担。</w:t>
      </w:r>
    </w:p>
    <w:p w14:paraId="51E245D3">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12、乙方有义务接受甲方的监督、评价及考核，且同意甲方关于供货资格供应商的管理规则及要求。 </w:t>
      </w:r>
    </w:p>
    <w:p w14:paraId="21C593AE">
      <w:pPr>
        <w:keepNext w:val="0"/>
        <w:keepLines w:val="0"/>
        <w:widowControl w:val="0"/>
        <w:suppressLineNumbers w:val="0"/>
        <w:snapToGrid w:val="0"/>
        <w:spacing w:before="0" w:beforeAutospacing="0" w:after="0" w:afterAutospacing="0" w:line="360" w:lineRule="auto"/>
        <w:ind w:left="0" w:right="0" w:firstLine="371" w:firstLineChars="17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13、甲方运营项目每月在付款手续前对乙方的履约情况进行评价，填写《供应商履约评价表》。考核评分满分为100分，考核评分分数低于80分、达到60分时，乙方应按该月货物含税结算货款的20%向甲方支付违约金；考核评分分数低于60分时，乙方应按该月货物含税结算货款的30%向甲方支付违约金。若供货期内累计出现3次（含）以上评审结论为不合格的，甲方有权取消乙方的供货资格并单方解除合同、没收乙方部分或全部履约担保。</w:t>
      </w:r>
    </w:p>
    <w:p w14:paraId="4B8126EF">
      <w:pPr>
        <w:keepNext w:val="0"/>
        <w:keepLines w:val="0"/>
        <w:widowControl w:val="0"/>
        <w:suppressLineNumbers w:val="0"/>
        <w:snapToGrid w:val="0"/>
        <w:spacing w:before="0" w:beforeAutospacing="0" w:after="0" w:afterAutospacing="0" w:line="360" w:lineRule="auto"/>
        <w:ind w:left="0" w:right="0" w:firstLine="371" w:firstLineChars="17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14、从合同生效之日起，若因乙方所提供的产品导致甲方运营项目处理系统生产运行出现异常或故障，妨碍水处理系统正常生产运行，甲方将根据需要通知乙方到指定地点提供技术服务，如乙方接到通知，应在4小时内自费派工程师到达现场，并在甲方要求的限期内排除故障，确保不影响甲方运营项目的生产运营，且乙方须承担由此给甲方造成的一切损失。</w:t>
      </w:r>
    </w:p>
    <w:p w14:paraId="439EEBED">
      <w:pPr>
        <w:keepNext w:val="0"/>
        <w:keepLines w:val="0"/>
        <w:widowControl w:val="0"/>
        <w:suppressLineNumbers w:val="0"/>
        <w:snapToGrid w:val="0"/>
        <w:spacing w:before="0" w:beforeAutospacing="0" w:after="0" w:afterAutospacing="0" w:line="360" w:lineRule="auto"/>
        <w:ind w:left="0" w:right="0" w:firstLine="371" w:firstLineChars="17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15、在本合同履行过程中，乙方不得消极怠工或拒不履行合同义务（包括但不限于按合同要求交货、换货、培训、技术支持、售后等），否则将视为乙方违约，甲方除可按本合同约定追究乙方违约责任外，甲方仍有权就违约事宜提出改正，如乙方在甲方限期内仍未完成整改或整改后仍不合格的，甲方有权单方解除合同，没收乙方的部分或全部履约担保，并有权依法委托有资质的第三方继续履行本合同义务，由此造成的一切损失（包括但不限于再行采购的费用、委托第三人继续履行时超出本合同费用部分等）由乙方全部承担。</w:t>
      </w:r>
    </w:p>
    <w:p w14:paraId="5819A3E2">
      <w:pPr>
        <w:keepNext w:val="0"/>
        <w:keepLines w:val="0"/>
        <w:widowControl w:val="0"/>
        <w:suppressLineNumbers w:val="0"/>
        <w:snapToGrid w:val="0"/>
        <w:spacing w:before="0" w:beforeAutospacing="0" w:after="0" w:afterAutospacing="0" w:line="360" w:lineRule="auto"/>
        <w:ind w:left="0" w:right="0" w:firstLine="371" w:firstLineChars="17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16、无论是否在质保期内，因货物质量问题发生安全事故或引起其他损失、造成不良后果的，乙方应承担全部责任及损失赔偿，同时甲方有权单方解除本合同及没收履约担保且要求乙方一次性支付</w:t>
      </w:r>
      <w:r>
        <w:rPr>
          <w:rFonts w:hint="eastAsia" w:ascii="宋体" w:hAnsi="宋体" w:eastAsia="宋体" w:cs="宋体"/>
          <w:color w:val="auto"/>
          <w:kern w:val="2"/>
          <w:sz w:val="21"/>
          <w:szCs w:val="21"/>
          <w:highlight w:val="none"/>
          <w:u w:val="single"/>
          <w:lang w:val="en-US" w:eastAsia="zh-CN" w:bidi="ar"/>
        </w:rPr>
        <w:t>¥100000元（大写人民币拾万元整）</w:t>
      </w:r>
      <w:r>
        <w:rPr>
          <w:rFonts w:hint="eastAsia" w:ascii="宋体" w:hAnsi="宋体" w:eastAsia="宋体" w:cs="宋体"/>
          <w:color w:val="auto"/>
          <w:kern w:val="2"/>
          <w:sz w:val="21"/>
          <w:szCs w:val="21"/>
          <w:highlight w:val="none"/>
          <w:lang w:val="en-US" w:eastAsia="zh-CN" w:bidi="ar"/>
        </w:rPr>
        <w:t>的违约金。</w:t>
      </w:r>
    </w:p>
    <w:p w14:paraId="2CF57AC4">
      <w:pPr>
        <w:keepNext w:val="0"/>
        <w:keepLines w:val="0"/>
        <w:widowControl w:val="0"/>
        <w:suppressLineNumbers w:val="0"/>
        <w:snapToGrid w:val="0"/>
        <w:spacing w:before="0" w:beforeAutospacing="0" w:after="0" w:afterAutospacing="0" w:line="360" w:lineRule="auto"/>
        <w:ind w:left="0" w:right="0" w:firstLine="371" w:firstLineChars="17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17、乙方应保证合同项下提供的货物不侵犯任何第三方的专利、商标、版权以及其它权利，否则，乙方须承担因此产生的全部责任及费用，如因此造成甲方损失的，乙方应予以足额赔偿。如果任何第三方提出侵权指控，乙方须与第三方交涉并承担由此发生的一切责任、费用和经济赔偿。由于乙方提供的货物或货物的任何一部分不符合知识产权规定，由乙方承担因此给甲方造成的全部损失。</w:t>
      </w:r>
    </w:p>
    <w:p w14:paraId="272D5A91">
      <w:pPr>
        <w:keepNext w:val="0"/>
        <w:keepLines w:val="0"/>
        <w:widowControl w:val="0"/>
        <w:suppressLineNumbers w:val="0"/>
        <w:snapToGrid w:val="0"/>
        <w:spacing w:before="0" w:beforeAutospacing="0" w:after="0" w:afterAutospacing="0" w:line="360" w:lineRule="auto"/>
        <w:ind w:left="0" w:right="0" w:firstLine="371" w:firstLineChars="177"/>
        <w:jc w:val="both"/>
        <w:rPr>
          <w:rFonts w:hint="eastAsia" w:ascii="宋体" w:hAnsi="宋体" w:eastAsia="宋体" w:cs="宋体"/>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18、乙方保证对其在讨论、签订、履行本合同过程中所获悉的属于甲方的且无法从公开渠道获得的文件资料及项目信息予以严格保密并应采取相应的保密措施，保证其自身及工作人员不私自使用或向任何第三方泄漏，否则，视为乙方违约，甲方有权要求乙方一次性支付</w:t>
      </w:r>
      <w:r>
        <w:rPr>
          <w:rFonts w:hint="eastAsia" w:ascii="宋体" w:hAnsi="宋体" w:eastAsia="宋体" w:cs="宋体"/>
          <w:color w:val="auto"/>
          <w:kern w:val="2"/>
          <w:sz w:val="21"/>
          <w:szCs w:val="21"/>
          <w:highlight w:val="none"/>
          <w:u w:val="single"/>
          <w:lang w:val="en-US" w:eastAsia="zh-CN" w:bidi="ar"/>
        </w:rPr>
        <w:t>¥10000元（大写人民币壹万元整）</w:t>
      </w:r>
      <w:r>
        <w:rPr>
          <w:rFonts w:hint="eastAsia" w:ascii="宋体" w:hAnsi="宋体" w:eastAsia="宋体" w:cs="宋体"/>
          <w:color w:val="auto"/>
          <w:kern w:val="2"/>
          <w:sz w:val="21"/>
          <w:szCs w:val="21"/>
          <w:highlight w:val="none"/>
          <w:lang w:val="en-US" w:eastAsia="zh-CN" w:bidi="ar"/>
        </w:rPr>
        <w:t>的违约金</w:t>
      </w:r>
      <w:r>
        <w:rPr>
          <w:rFonts w:hint="eastAsia" w:ascii="宋体" w:hAnsi="宋体" w:eastAsia="宋体" w:cs="宋体"/>
          <w:bCs/>
          <w:color w:val="auto"/>
          <w:kern w:val="2"/>
          <w:sz w:val="21"/>
          <w:szCs w:val="21"/>
          <w:highlight w:val="none"/>
          <w:lang w:val="en-US" w:eastAsia="zh-CN" w:bidi="ar"/>
        </w:rPr>
        <w:t>，且乙方须承担由此给甲方造成的一切损失。乙方及其工作人员的保密义务不因本合同的终止而终止，直至相关保密信息被合法公开时止。</w:t>
      </w:r>
    </w:p>
    <w:p w14:paraId="660FB2DE">
      <w:pPr>
        <w:keepNext w:val="0"/>
        <w:keepLines w:val="0"/>
        <w:widowControl w:val="0"/>
        <w:suppressLineNumbers w:val="0"/>
        <w:snapToGrid w:val="0"/>
        <w:spacing w:before="0" w:beforeAutospacing="0" w:after="0" w:afterAutospacing="0" w:line="360" w:lineRule="auto"/>
        <w:ind w:left="0" w:right="0" w:firstLine="371" w:firstLineChars="17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19、乙方无条件配合甲方接受安监局等政府管理部门的相关检查工作，提供各类资质证明材料，并对材料的真实性负责，协助甲方办理政府相关部门所要求各类手续、材料事宜。如乙方不配合或提供的资料不符合政府管理部门要求影响甲方业务正常开展的，乙方应向甲方一次性支付</w:t>
      </w:r>
      <w:r>
        <w:rPr>
          <w:rFonts w:hint="eastAsia" w:ascii="宋体" w:hAnsi="宋体" w:eastAsia="宋体" w:cs="宋体"/>
          <w:color w:val="auto"/>
          <w:kern w:val="2"/>
          <w:sz w:val="21"/>
          <w:szCs w:val="21"/>
          <w:highlight w:val="none"/>
          <w:u w:val="single"/>
          <w:lang w:val="en-US" w:eastAsia="zh-CN" w:bidi="ar"/>
        </w:rPr>
        <w:t>¥ 10000元（大写人民币壹万元整）</w:t>
      </w:r>
      <w:r>
        <w:rPr>
          <w:rFonts w:hint="eastAsia" w:ascii="宋体" w:hAnsi="宋体" w:eastAsia="宋体" w:cs="宋体"/>
          <w:color w:val="auto"/>
          <w:kern w:val="2"/>
          <w:sz w:val="21"/>
          <w:szCs w:val="21"/>
          <w:highlight w:val="none"/>
          <w:lang w:val="en-US" w:eastAsia="zh-CN" w:bidi="ar"/>
        </w:rPr>
        <w:t>的违约金，违约金不够赔偿甲方损失的，乙方需继续赔偿，且甲方有权单方解除合同，并没收乙方部分或全部履约担保。</w:t>
      </w:r>
    </w:p>
    <w:p w14:paraId="5376D301">
      <w:pPr>
        <w:keepNext w:val="0"/>
        <w:keepLines w:val="0"/>
        <w:widowControl w:val="0"/>
        <w:suppressLineNumbers w:val="0"/>
        <w:snapToGrid w:val="0"/>
        <w:spacing w:before="0" w:beforeAutospacing="0" w:after="0" w:afterAutospacing="0" w:line="360" w:lineRule="auto"/>
        <w:ind w:left="0" w:right="0" w:firstLine="371" w:firstLineChars="17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20、</w:t>
      </w:r>
      <w:r>
        <w:rPr>
          <w:rFonts w:hint="eastAsia" w:ascii="宋体" w:hAnsi="宋体" w:eastAsia="宋体" w:cs="宋体"/>
          <w:bCs/>
          <w:color w:val="auto"/>
          <w:kern w:val="2"/>
          <w:sz w:val="21"/>
          <w:szCs w:val="21"/>
          <w:highlight w:val="none"/>
          <w:lang w:val="en-US" w:eastAsia="zh-CN" w:bidi="ar"/>
        </w:rPr>
        <w:t>在合同的履行期间，乙方应当保持相应资质的有效性</w:t>
      </w:r>
      <w:r>
        <w:rPr>
          <w:rFonts w:hint="eastAsia" w:ascii="宋体" w:hAnsi="宋体" w:eastAsia="宋体" w:cs="宋体"/>
          <w:color w:val="auto"/>
          <w:kern w:val="2"/>
          <w:sz w:val="21"/>
          <w:szCs w:val="21"/>
          <w:highlight w:val="none"/>
          <w:lang w:val="en-US" w:eastAsia="zh-CN" w:bidi="ar"/>
        </w:rPr>
        <w:t>，并符合国家的相关规定。若乙方在合同期内有关资质不符合招标要求及国家规定的，甲方有权单方解除合同，没收乙方部分或全部履约担保，并有权依法委托有资质的第三方继续履行本合同义务，由此造成的一切损失（包括但不限于重新采购的差价、委托第三方的费用）由乙方全部承担。</w:t>
      </w:r>
    </w:p>
    <w:p w14:paraId="0350B862">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21、乙方车辆在甲方运营项目行驶时，必须严格遵守厂区道路限行，限速和限重要求，如因乙方未遵守前述要求，对厂区/甲方（含其人员）、乙方人员、第三方造成损失的，乙方须承担赔偿责任。</w:t>
      </w:r>
    </w:p>
    <w:p w14:paraId="4B25AAD7">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22、乙方人员在甲方运营项目的安全由乙方自行负责。在进行卸货等工作时，必须严格遵守相关劳动安全规定，并按要求佩戴相关安全劳动防护用具。乙方须做好安全防护措施，合同履行过程中出现的安全事故由乙方自行承担。乙方人员在甲方场所必须遵守甲方的一切规章制度和安全条例，服从甲方的监督。乙方在提供本合同项下所有服务的过程中，如因违反甲方相关规章制度、安全条例，或因不服从甲方监督而发生安全事故的，其结果与责任均由乙方负责，甲方无须承担任何结果与责任。</w:t>
      </w:r>
    </w:p>
    <w:p w14:paraId="4718BD55">
      <w:pPr>
        <w:keepNext w:val="0"/>
        <w:keepLines w:val="0"/>
        <w:widowControl w:val="0"/>
        <w:suppressLineNumbers w:val="0"/>
        <w:snapToGrid w:val="0"/>
        <w:spacing w:before="0" w:beforeAutospacing="0" w:after="0" w:afterAutospacing="0" w:line="360" w:lineRule="auto"/>
        <w:ind w:left="0" w:right="0" w:firstLine="371" w:firstLineChars="17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23、在本合同履行期限内，乙方未经甲方书面同意即将本合同约定项下的全部项目或部分项目转包给第三方的，甲方有权单方解除本合同，没收乙方部分或全部履约担保。</w:t>
      </w:r>
    </w:p>
    <w:p w14:paraId="02F1966A">
      <w:pPr>
        <w:keepNext w:val="0"/>
        <w:keepLines w:val="0"/>
        <w:widowControl w:val="0"/>
        <w:suppressLineNumbers w:val="0"/>
        <w:snapToGrid w:val="0"/>
        <w:spacing w:before="0" w:beforeAutospacing="0" w:after="0" w:afterAutospacing="0" w:line="360" w:lineRule="auto"/>
        <w:ind w:left="0" w:right="0" w:firstLine="371" w:firstLineChars="17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24、因乙方违反本合同约定导致甲方权益受损的，甲方为维护自身权益所支付的所有费用均由乙方承担，包括但不限于甲方为此支付的诉讼费、律师费、鉴定费、公证费、交通住宿费等全部费用。</w:t>
      </w:r>
    </w:p>
    <w:p w14:paraId="5A1FCFD5">
      <w:pPr>
        <w:keepNext w:val="0"/>
        <w:keepLines w:val="0"/>
        <w:widowControl w:val="0"/>
        <w:suppressLineNumbers w:val="0"/>
        <w:snapToGrid w:val="0"/>
        <w:spacing w:before="0" w:beforeAutospacing="0" w:after="0" w:afterAutospacing="0" w:line="360" w:lineRule="auto"/>
        <w:ind w:left="0" w:right="0" w:firstLine="371" w:firstLineChars="17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25、本合同中因乙方违约产生的违约金、赔偿损失等的费用，甲方有权从未付货款中先予扣除。</w:t>
      </w:r>
    </w:p>
    <w:p w14:paraId="7A4CD9CD">
      <w:pPr>
        <w:keepNext w:val="0"/>
        <w:keepLines w:val="0"/>
        <w:widowControl w:val="0"/>
        <w:suppressLineNumbers w:val="0"/>
        <w:snapToGrid w:val="0"/>
        <w:spacing w:before="0" w:beforeAutospacing="0" w:after="0" w:afterAutospacing="0" w:line="360" w:lineRule="auto"/>
        <w:ind w:left="0" w:right="0" w:firstLine="371" w:firstLineChars="17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32EB542C">
      <w:pPr>
        <w:keepNext w:val="0"/>
        <w:keepLines w:val="0"/>
        <w:widowControl w:val="0"/>
        <w:suppressLineNumbers w:val="0"/>
        <w:snapToGrid w:val="0"/>
        <w:spacing w:before="0" w:beforeAutospacing="0" w:after="0" w:afterAutospacing="0" w:line="360" w:lineRule="auto"/>
        <w:ind w:left="0" w:right="0" w:firstLine="373" w:firstLineChars="177"/>
        <w:jc w:val="both"/>
        <w:outlineLvl w:val="2"/>
        <w:rPr>
          <w:rFonts w:hint="eastAsia" w:ascii="宋体" w:hAnsi="宋体" w:eastAsia="宋体" w:cs="宋体"/>
          <w:b/>
          <w:bCs w:val="0"/>
          <w:color w:val="auto"/>
          <w:kern w:val="2"/>
          <w:sz w:val="21"/>
          <w:szCs w:val="21"/>
          <w:highlight w:val="none"/>
          <w:lang w:val="en-US" w:eastAsia="zh-CN" w:bidi="ar"/>
        </w:rPr>
      </w:pPr>
      <w:bookmarkStart w:id="473" w:name="_Toc4439"/>
      <w:r>
        <w:rPr>
          <w:rFonts w:hint="eastAsia" w:ascii="宋体" w:hAnsi="宋体" w:eastAsia="宋体" w:cs="宋体"/>
          <w:b/>
          <w:bCs w:val="0"/>
          <w:color w:val="auto"/>
          <w:kern w:val="2"/>
          <w:sz w:val="21"/>
          <w:szCs w:val="21"/>
          <w:highlight w:val="none"/>
          <w:lang w:val="en-US" w:eastAsia="zh-CN" w:bidi="ar"/>
        </w:rPr>
        <w:t>第十六条 争议解决</w:t>
      </w:r>
      <w:bookmarkEnd w:id="473"/>
    </w:p>
    <w:p w14:paraId="51F4C799">
      <w:pPr>
        <w:keepNext w:val="0"/>
        <w:keepLines w:val="0"/>
        <w:widowControl w:val="0"/>
        <w:suppressLineNumbers w:val="0"/>
        <w:snapToGrid w:val="0"/>
        <w:spacing w:before="0" w:beforeAutospacing="0" w:after="0" w:afterAutospacing="0" w:line="360" w:lineRule="auto"/>
        <w:ind w:left="0" w:right="0" w:firstLine="371" w:firstLineChars="17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双方在履约中发生争执和分歧，双方应通过友好协商解决，如不能通过友好协商解决的，任何一方均可向甲方住所地有管辖权的人民法院提起诉讼解决。</w:t>
      </w:r>
    </w:p>
    <w:p w14:paraId="35C89937">
      <w:pPr>
        <w:keepNext w:val="0"/>
        <w:keepLines w:val="0"/>
        <w:widowControl w:val="0"/>
        <w:suppressLineNumbers w:val="0"/>
        <w:snapToGrid w:val="0"/>
        <w:spacing w:before="0" w:beforeAutospacing="0" w:after="0" w:afterAutospacing="0" w:line="360" w:lineRule="auto"/>
        <w:ind w:left="0" w:right="0" w:firstLine="371" w:firstLineChars="17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69A1F08C">
      <w:pPr>
        <w:keepNext w:val="0"/>
        <w:keepLines w:val="0"/>
        <w:widowControl w:val="0"/>
        <w:suppressLineNumbers w:val="0"/>
        <w:snapToGrid w:val="0"/>
        <w:spacing w:before="0" w:beforeAutospacing="0" w:after="0" w:afterAutospacing="0" w:line="360" w:lineRule="auto"/>
        <w:ind w:left="0" w:right="0" w:firstLine="373" w:firstLineChars="177"/>
        <w:jc w:val="both"/>
        <w:outlineLvl w:val="2"/>
        <w:rPr>
          <w:rFonts w:hint="eastAsia" w:ascii="宋体" w:hAnsi="宋体" w:eastAsia="宋体" w:cs="宋体"/>
          <w:b/>
          <w:bCs w:val="0"/>
          <w:color w:val="auto"/>
          <w:kern w:val="2"/>
          <w:sz w:val="21"/>
          <w:szCs w:val="21"/>
          <w:highlight w:val="none"/>
          <w:lang w:val="en-US" w:eastAsia="zh-CN" w:bidi="ar"/>
        </w:rPr>
      </w:pPr>
      <w:bookmarkStart w:id="474" w:name="_Toc16291"/>
      <w:r>
        <w:rPr>
          <w:rFonts w:hint="eastAsia" w:ascii="宋体" w:hAnsi="宋体" w:eastAsia="宋体" w:cs="宋体"/>
          <w:b/>
          <w:bCs w:val="0"/>
          <w:color w:val="auto"/>
          <w:kern w:val="2"/>
          <w:sz w:val="21"/>
          <w:szCs w:val="21"/>
          <w:highlight w:val="none"/>
          <w:lang w:val="en-US" w:eastAsia="zh-CN" w:bidi="ar"/>
        </w:rPr>
        <w:t>第十七条 其他</w:t>
      </w:r>
      <w:bookmarkEnd w:id="474"/>
    </w:p>
    <w:p w14:paraId="1FCD7D96">
      <w:pPr>
        <w:keepNext w:val="0"/>
        <w:keepLines w:val="0"/>
        <w:widowControl w:val="0"/>
        <w:suppressLineNumbers w:val="0"/>
        <w:snapToGrid w:val="0"/>
        <w:spacing w:before="0" w:beforeAutospacing="0" w:after="0" w:afterAutospacing="0" w:line="360" w:lineRule="auto"/>
        <w:ind w:left="0" w:right="0" w:firstLine="371" w:firstLineChars="177"/>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1、乙方必须清楚理解：</w:t>
      </w:r>
      <w:r>
        <w:rPr>
          <w:rFonts w:hint="eastAsia" w:ascii="宋体" w:hAnsi="宋体" w:eastAsia="宋体" w:cs="宋体"/>
          <w:color w:val="auto"/>
          <w:kern w:val="2"/>
          <w:sz w:val="21"/>
          <w:szCs w:val="21"/>
          <w:highlight w:val="none"/>
          <w:lang w:val="en-US" w:eastAsia="zh-CN" w:bidi="ar"/>
        </w:rPr>
        <w:t>本合同不具排他性，甲方对本合同范围内的具体项目享有自主选择的权利。</w:t>
      </w:r>
      <w:r>
        <w:rPr>
          <w:rFonts w:hint="eastAsia" w:ascii="宋体" w:hAnsi="宋体" w:eastAsia="宋体" w:cs="宋体"/>
          <w:bCs/>
          <w:color w:val="auto"/>
          <w:kern w:val="2"/>
          <w:sz w:val="21"/>
          <w:szCs w:val="21"/>
          <w:highlight w:val="none"/>
          <w:lang w:val="en-US" w:eastAsia="zh-CN" w:bidi="ar"/>
        </w:rPr>
        <w:t>本合同仅作为乙方在本合同期限内取得向甲方或</w:t>
      </w:r>
      <w:r>
        <w:rPr>
          <w:rFonts w:hint="eastAsia" w:ascii="宋体" w:hAnsi="宋体" w:eastAsia="宋体" w:cs="宋体"/>
          <w:color w:val="auto"/>
          <w:kern w:val="2"/>
          <w:sz w:val="21"/>
          <w:szCs w:val="21"/>
          <w:highlight w:val="none"/>
          <w:lang w:val="en-US" w:eastAsia="zh-CN" w:bidi="ar"/>
        </w:rPr>
        <w:t>甲方的运营项目主体</w:t>
      </w:r>
      <w:r>
        <w:rPr>
          <w:rFonts w:hint="eastAsia" w:ascii="宋体" w:hAnsi="宋体" w:eastAsia="宋体" w:cs="宋体"/>
          <w:bCs/>
          <w:color w:val="auto"/>
          <w:kern w:val="2"/>
          <w:sz w:val="21"/>
          <w:szCs w:val="21"/>
          <w:highlight w:val="none"/>
          <w:lang w:val="en-US" w:eastAsia="zh-CN" w:bidi="ar"/>
        </w:rPr>
        <w:t>就具体运营项目供应液体柠檬酸的资格，但并不代表乙方必然取得具体运营项目供货的权利。甲方根据乙方资质条件、履约能力和实际履约情况、甲方根据具体运营项目实际需求仍有权另行采购其他第三方进行本合同范围内的货物供货服务。</w:t>
      </w:r>
    </w:p>
    <w:p w14:paraId="4A132461">
      <w:pPr>
        <w:keepNext w:val="0"/>
        <w:keepLines w:val="0"/>
        <w:widowControl w:val="0"/>
        <w:suppressLineNumbers w:val="0"/>
        <w:snapToGrid w:val="0"/>
        <w:spacing w:before="0" w:beforeAutospacing="0" w:after="0" w:afterAutospacing="0" w:line="360" w:lineRule="auto"/>
        <w:ind w:left="0" w:right="0" w:firstLine="371" w:firstLineChars="17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在合同期内，乙方在进入甲方场地前应签订《安全生产管理协议》。乙方须做好安全防护措施，合同履行过程中出现的安全事故由乙方自行承担。乙方人员在甲方场所必须遵守甲方的一切规章制度和安全条例，服从甲方的监督。乙方在提供本合同项下所有服务的过程中，如因违反甲方相关规章制度、安全条例，或因不服从甲方监督而发生安全事故的，其结果与责任均由乙方负责，甲方无须承担任何结果与责任。</w:t>
      </w:r>
    </w:p>
    <w:p w14:paraId="6018B06A">
      <w:pPr>
        <w:keepNext w:val="0"/>
        <w:keepLines w:val="0"/>
        <w:widowControl w:val="0"/>
        <w:suppressLineNumbers w:val="0"/>
        <w:snapToGrid w:val="0"/>
        <w:spacing w:before="0" w:beforeAutospacing="0" w:after="0" w:afterAutospacing="0" w:line="360" w:lineRule="auto"/>
        <w:ind w:left="0" w:right="0" w:firstLine="371" w:firstLineChars="177"/>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乙方有义务配合甲方运营项目进行货物的小试及中试，以确定货物的适用性选型，或者货物的最优化成分配比，并在适用性的前提下按最优化的成分配比进行供货，以实现低药耗、高效率的运营目标，同时合同综合单价固定不变。如果乙方提供的货物无法满足单个项目低耗、高效的要求，或者乙方提供的货物无法达到甲方另行选择的货物的投加综合效益，甲方有权另行选择供应商。</w:t>
      </w:r>
    </w:p>
    <w:p w14:paraId="02222EF7">
      <w:pPr>
        <w:keepNext w:val="0"/>
        <w:keepLines w:val="0"/>
        <w:widowControl w:val="0"/>
        <w:suppressLineNumbers w:val="0"/>
        <w:snapToGrid w:val="0"/>
        <w:spacing w:before="0" w:beforeAutospacing="0" w:after="0" w:afterAutospacing="0" w:line="360" w:lineRule="auto"/>
        <w:ind w:left="0" w:right="0" w:firstLine="371" w:firstLineChars="177"/>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4、乙方配合甲方</w:t>
      </w:r>
      <w:r>
        <w:rPr>
          <w:rFonts w:hint="eastAsia" w:ascii="宋体" w:hAnsi="宋体" w:eastAsia="宋体" w:cs="宋体"/>
          <w:color w:val="auto"/>
          <w:kern w:val="2"/>
          <w:sz w:val="21"/>
          <w:szCs w:val="21"/>
          <w:highlight w:val="none"/>
          <w:lang w:val="en-US" w:eastAsia="zh-CN" w:bidi="ar"/>
        </w:rPr>
        <w:t>运营项目</w:t>
      </w:r>
      <w:r>
        <w:rPr>
          <w:rFonts w:hint="eastAsia" w:ascii="宋体" w:hAnsi="宋体" w:eastAsia="宋体" w:cs="宋体"/>
          <w:bCs/>
          <w:color w:val="auto"/>
          <w:kern w:val="2"/>
          <w:sz w:val="21"/>
          <w:szCs w:val="21"/>
          <w:highlight w:val="none"/>
          <w:lang w:val="en-US" w:eastAsia="zh-CN" w:bidi="ar"/>
        </w:rPr>
        <w:t>进行小试、中试，提供小试、中试生产药剂，做好</w:t>
      </w:r>
      <w:r>
        <w:rPr>
          <w:rFonts w:hint="eastAsia" w:ascii="宋体" w:hAnsi="宋体" w:eastAsia="宋体" w:cs="宋体"/>
          <w:color w:val="auto"/>
          <w:kern w:val="2"/>
          <w:sz w:val="21"/>
          <w:szCs w:val="21"/>
          <w:highlight w:val="none"/>
          <w:lang w:val="en-US" w:eastAsia="zh-CN" w:bidi="ar"/>
        </w:rPr>
        <w:t>货物</w:t>
      </w:r>
      <w:r>
        <w:rPr>
          <w:rFonts w:hint="eastAsia" w:ascii="宋体" w:hAnsi="宋体" w:eastAsia="宋体" w:cs="宋体"/>
          <w:bCs/>
          <w:color w:val="auto"/>
          <w:kern w:val="2"/>
          <w:sz w:val="21"/>
          <w:szCs w:val="21"/>
          <w:highlight w:val="none"/>
          <w:lang w:val="en-US" w:eastAsia="zh-CN" w:bidi="ar"/>
        </w:rPr>
        <w:t>的成分配比等服务，乙方完成本项义务的相关费用已包含在已供货的</w:t>
      </w:r>
      <w:r>
        <w:rPr>
          <w:rFonts w:hint="eastAsia" w:ascii="宋体" w:hAnsi="宋体" w:eastAsia="宋体" w:cs="宋体"/>
          <w:color w:val="auto"/>
          <w:kern w:val="2"/>
          <w:sz w:val="21"/>
          <w:szCs w:val="21"/>
          <w:highlight w:val="none"/>
          <w:lang w:val="en-US" w:eastAsia="zh-CN" w:bidi="ar"/>
        </w:rPr>
        <w:t>货物</w:t>
      </w:r>
      <w:r>
        <w:rPr>
          <w:rFonts w:hint="eastAsia" w:ascii="宋体" w:hAnsi="宋体" w:eastAsia="宋体" w:cs="宋体"/>
          <w:bCs/>
          <w:color w:val="auto"/>
          <w:kern w:val="2"/>
          <w:sz w:val="21"/>
          <w:szCs w:val="21"/>
          <w:highlight w:val="none"/>
          <w:lang w:val="en-US" w:eastAsia="zh-CN" w:bidi="ar"/>
        </w:rPr>
        <w:t>的综合单价内，甲方无需另行支付其他费用。</w:t>
      </w:r>
    </w:p>
    <w:p w14:paraId="44ECE20C">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5、甲方按本合同约定单方解除合同的，乙方应在收到甲方单方解除合同书面通知之日起30日内与甲方共同确认已完成的供货量及金额，未经甲乙双方共同确认的供货量不得再要求结算。</w:t>
      </w:r>
    </w:p>
    <w:p w14:paraId="5F96EEF3">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6、基于乙方的专业特长，甲方代表（合同签字者）对关于产品质量指标的确认、变更等，仅是程序性行为，并非就是对乙方产品质量责任的免除，乙方仍要对所供的产品承担全部责任。</w:t>
      </w:r>
    </w:p>
    <w:p w14:paraId="56E31F46">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7、合同履约过程中，若发现同一种货物或服务存在有选择性的报价或不是固定的报价的，或存在多种理解方式的情况发生时，按最有利甲方的方式解释。</w:t>
      </w:r>
    </w:p>
    <w:p w14:paraId="72F37A63">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8、合同所有附件及本项目的招标文件、答疑文件、投标文件、补充通知及相关承诺、协议等均为本合同有效组成部分，与本合同同具法律效力，该等文件与本合同正文约定不一致的，以有利于甲方的约定为准。</w:t>
      </w:r>
    </w:p>
    <w:p w14:paraId="56C0A88E">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9、本合同壹式</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份，甲方执</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份，乙方执</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份，招标代理机构执</w:t>
      </w:r>
      <w:r>
        <w:rPr>
          <w:rFonts w:hint="eastAsia" w:ascii="宋体" w:hAnsi="宋体" w:eastAsia="宋体" w:cs="宋体"/>
          <w:color w:val="auto"/>
          <w:kern w:val="2"/>
          <w:sz w:val="21"/>
          <w:szCs w:val="21"/>
          <w:highlight w:val="none"/>
          <w:u w:val="single"/>
          <w:lang w:val="en-US" w:eastAsia="zh-CN" w:bidi="ar"/>
        </w:rPr>
        <w:t xml:space="preserve"> 壹 </w:t>
      </w:r>
      <w:r>
        <w:rPr>
          <w:rFonts w:hint="eastAsia" w:ascii="宋体" w:hAnsi="宋体" w:eastAsia="宋体" w:cs="宋体"/>
          <w:color w:val="auto"/>
          <w:kern w:val="2"/>
          <w:sz w:val="21"/>
          <w:szCs w:val="21"/>
          <w:highlight w:val="none"/>
          <w:lang w:val="en-US" w:eastAsia="zh-CN" w:bidi="ar"/>
        </w:rPr>
        <w:t>份，均具有同等法律效力。</w:t>
      </w:r>
    </w:p>
    <w:p w14:paraId="57055587">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10、本合同自甲乙双方法定代表人或负责人签字并盖章之日起生效,有效期至全部合同义务履行完毕时终止。</w:t>
      </w:r>
    </w:p>
    <w:p w14:paraId="2D772331">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11、本合同未尽事宜，由双方协商处理。</w:t>
      </w:r>
    </w:p>
    <w:p w14:paraId="5CB59747">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12、合同附件：1、用户需求书； 2、供应商履约评价表； 3、廉洁协议书；4、安全生产管理协议。</w:t>
      </w:r>
    </w:p>
    <w:p w14:paraId="7600D3CA">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2490EDD8">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以下无正文。</w:t>
      </w:r>
    </w:p>
    <w:p w14:paraId="30EED84C">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1F64ADC1">
      <w:pPr>
        <w:keepNext w:val="0"/>
        <w:keepLines w:val="0"/>
        <w:widowControl w:val="0"/>
        <w:suppressLineNumbers w:val="0"/>
        <w:snapToGrid w:val="0"/>
        <w:spacing w:before="0" w:beforeAutospacing="0" w:after="0" w:afterAutospacing="0" w:line="360" w:lineRule="auto"/>
        <w:ind w:left="0" w:right="0" w:firstLine="316" w:firstLineChars="150"/>
        <w:jc w:val="both"/>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 xml:space="preserve"> </w:t>
      </w:r>
    </w:p>
    <w:p w14:paraId="31A83CE3">
      <w:pPr>
        <w:keepNext w:val="0"/>
        <w:keepLines w:val="0"/>
        <w:widowControl w:val="0"/>
        <w:suppressLineNumbers w:val="0"/>
        <w:snapToGrid w:val="0"/>
        <w:spacing w:before="0" w:beforeAutospacing="0" w:after="0" w:afterAutospacing="0" w:line="360" w:lineRule="auto"/>
        <w:ind w:left="0" w:right="0" w:firstLine="316" w:firstLineChars="150"/>
        <w:jc w:val="both"/>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 xml:space="preserve"> </w:t>
      </w:r>
    </w:p>
    <w:p w14:paraId="45169E5C">
      <w:pPr>
        <w:keepNext w:val="0"/>
        <w:keepLines w:val="0"/>
        <w:widowControl w:val="0"/>
        <w:suppressLineNumbers w:val="0"/>
        <w:snapToGrid w:val="0"/>
        <w:spacing w:before="0" w:beforeAutospacing="0" w:after="0" w:afterAutospacing="0" w:line="360" w:lineRule="auto"/>
        <w:ind w:left="0" w:right="0" w:firstLine="316" w:firstLineChars="150"/>
        <w:jc w:val="both"/>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 xml:space="preserve"> </w:t>
      </w:r>
    </w:p>
    <w:p w14:paraId="33AE595C">
      <w:pPr>
        <w:keepNext w:val="0"/>
        <w:keepLines w:val="0"/>
        <w:widowControl w:val="0"/>
        <w:suppressLineNumbers w:val="0"/>
        <w:snapToGrid w:val="0"/>
        <w:spacing w:before="0" w:beforeAutospacing="0" w:after="0" w:afterAutospacing="0" w:line="360" w:lineRule="auto"/>
        <w:ind w:left="0" w:right="0" w:firstLine="316" w:firstLineChars="150"/>
        <w:jc w:val="both"/>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甲方：                                  乙方：</w:t>
      </w:r>
    </w:p>
    <w:p w14:paraId="13D6B2CD">
      <w:pPr>
        <w:keepNext w:val="0"/>
        <w:keepLines w:val="0"/>
        <w:widowControl w:val="0"/>
        <w:suppressLineNumbers w:val="0"/>
        <w:snapToGrid w:val="0"/>
        <w:spacing w:before="0" w:beforeAutospacing="0" w:after="0" w:afterAutospacing="0" w:line="360" w:lineRule="auto"/>
        <w:ind w:left="0" w:right="0" w:firstLine="315" w:firstLineChars="15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法定代表人或负责人：                    法定代表人或负责人：                           </w:t>
      </w:r>
    </w:p>
    <w:p w14:paraId="51B932C3">
      <w:pPr>
        <w:keepNext w:val="0"/>
        <w:keepLines w:val="0"/>
        <w:widowControl w:val="0"/>
        <w:suppressLineNumbers w:val="0"/>
        <w:snapToGrid w:val="0"/>
        <w:spacing w:before="0" w:beforeAutospacing="0" w:after="0" w:afterAutospacing="0" w:line="360" w:lineRule="auto"/>
        <w:ind w:left="0" w:right="0" w:firstLine="315" w:firstLineChars="15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2F9A4D99">
      <w:pPr>
        <w:keepNext w:val="0"/>
        <w:keepLines w:val="0"/>
        <w:widowControl w:val="0"/>
        <w:suppressLineNumbers w:val="0"/>
        <w:snapToGrid w:val="0"/>
        <w:spacing w:before="0" w:beforeAutospacing="0" w:after="0" w:afterAutospacing="0" w:line="360" w:lineRule="auto"/>
        <w:ind w:left="0" w:right="0" w:firstLine="315" w:firstLineChars="15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地址：                                  地址：</w:t>
      </w:r>
    </w:p>
    <w:p w14:paraId="4DEEB577">
      <w:pPr>
        <w:keepNext w:val="0"/>
        <w:keepLines w:val="0"/>
        <w:widowControl w:val="0"/>
        <w:suppressLineNumbers w:val="0"/>
        <w:snapToGrid w:val="0"/>
        <w:spacing w:before="0" w:beforeAutospacing="0" w:after="0" w:afterAutospacing="0" w:line="360" w:lineRule="auto"/>
        <w:ind w:left="0" w:right="0" w:firstLine="315" w:firstLineChars="15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电话：                                  电话：</w:t>
      </w:r>
    </w:p>
    <w:p w14:paraId="3367EB28">
      <w:pPr>
        <w:keepNext w:val="0"/>
        <w:keepLines w:val="0"/>
        <w:widowControl w:val="0"/>
        <w:suppressLineNumbers w:val="0"/>
        <w:snapToGrid w:val="0"/>
        <w:spacing w:before="0" w:beforeAutospacing="0" w:after="0" w:afterAutospacing="0" w:line="360" w:lineRule="auto"/>
        <w:ind w:left="0" w:right="0" w:firstLine="315" w:firstLineChars="15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传真：                                  传真：</w:t>
      </w:r>
    </w:p>
    <w:p w14:paraId="66B15E8E">
      <w:pPr>
        <w:keepNext w:val="0"/>
        <w:keepLines w:val="0"/>
        <w:widowControl w:val="0"/>
        <w:suppressLineNumbers w:val="0"/>
        <w:snapToGrid w:val="0"/>
        <w:spacing w:before="0" w:beforeAutospacing="0" w:after="0" w:afterAutospacing="0" w:line="360" w:lineRule="auto"/>
        <w:ind w:left="0" w:right="0" w:firstLine="315" w:firstLineChars="15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签约日期：                             </w:t>
      </w:r>
    </w:p>
    <w:p w14:paraId="2C8B1D85">
      <w:pPr>
        <w:keepNext w:val="0"/>
        <w:keepLines w:val="0"/>
        <w:widowControl w:val="0"/>
        <w:suppressLineNumbers w:val="0"/>
        <w:snapToGrid w:val="0"/>
        <w:spacing w:before="0" w:beforeAutospacing="0" w:after="0" w:afterAutospacing="0" w:line="360" w:lineRule="auto"/>
        <w:ind w:left="0" w:right="0" w:firstLine="315" w:firstLineChars="15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签约地点： </w:t>
      </w:r>
    </w:p>
    <w:p w14:paraId="42F94D3C">
      <w:pPr>
        <w:keepNext w:val="0"/>
        <w:keepLines w:val="0"/>
        <w:widowControl w:val="0"/>
        <w:suppressLineNumbers w:val="0"/>
        <w:snapToGrid w:val="0"/>
        <w:spacing w:before="0" w:beforeAutospacing="0" w:after="0" w:afterAutospacing="0" w:line="360" w:lineRule="auto"/>
        <w:ind w:left="0" w:right="0" w:firstLine="315" w:firstLineChars="15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开户银行：                              开户银行：</w:t>
      </w:r>
    </w:p>
    <w:p w14:paraId="53C6C7D1">
      <w:pPr>
        <w:keepNext w:val="0"/>
        <w:keepLines w:val="0"/>
        <w:widowControl w:val="0"/>
        <w:suppressLineNumbers w:val="0"/>
        <w:snapToGrid w:val="0"/>
        <w:spacing w:before="0" w:beforeAutospacing="0" w:after="0" w:afterAutospacing="0" w:line="360" w:lineRule="auto"/>
        <w:ind w:left="0" w:right="0" w:firstLine="315" w:firstLineChars="15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银行账户：                              银行账户：</w:t>
      </w:r>
    </w:p>
    <w:p w14:paraId="38EA68CE">
      <w:pPr>
        <w:keepNext w:val="0"/>
        <w:keepLines w:val="0"/>
        <w:widowControl w:val="0"/>
        <w:suppressLineNumbers w:val="0"/>
        <w:snapToGrid w:val="0"/>
        <w:spacing w:before="0" w:beforeAutospacing="0" w:after="0" w:afterAutospacing="0" w:line="360" w:lineRule="auto"/>
        <w:ind w:left="0" w:right="0" w:firstLine="315" w:firstLineChars="15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银行账号：                              银行账号：</w:t>
      </w:r>
    </w:p>
    <w:p w14:paraId="0854B4C8">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55FBFA7D">
      <w:pPr>
        <w:keepNext w:val="0"/>
        <w:keepLines w:val="0"/>
        <w:pageBreakBefore/>
        <w:widowControl w:val="0"/>
        <w:suppressLineNumbers w:val="0"/>
        <w:spacing w:before="0" w:beforeAutospacing="0" w:after="0" w:afterAutospacing="0" w:line="360" w:lineRule="auto"/>
        <w:ind w:left="0" w:right="0"/>
        <w:jc w:val="both"/>
        <w:outlineLvl w:val="1"/>
        <w:rPr>
          <w:rFonts w:hint="eastAsia" w:ascii="宋体" w:hAnsi="宋体" w:eastAsia="宋体" w:cs="宋体"/>
          <w:b/>
          <w:bCs w:val="0"/>
          <w:color w:val="auto"/>
          <w:kern w:val="2"/>
          <w:sz w:val="21"/>
          <w:szCs w:val="21"/>
          <w:highlight w:val="none"/>
        </w:rPr>
      </w:pPr>
      <w:bookmarkStart w:id="475" w:name="_Toc18775"/>
      <w:r>
        <w:rPr>
          <w:rFonts w:hint="eastAsia" w:ascii="宋体" w:hAnsi="宋体" w:eastAsia="宋体" w:cs="宋体"/>
          <w:b/>
          <w:bCs w:val="0"/>
          <w:color w:val="auto"/>
          <w:kern w:val="2"/>
          <w:sz w:val="21"/>
          <w:szCs w:val="21"/>
          <w:highlight w:val="none"/>
          <w:lang w:val="en-US" w:eastAsia="zh-CN" w:bidi="ar"/>
        </w:rPr>
        <w:t>附件2：供应商履约评价表</w:t>
      </w:r>
      <w:bookmarkEnd w:id="475"/>
    </w:p>
    <w:p w14:paraId="2E220DFF">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auto"/>
          <w:kern w:val="2"/>
          <w:sz w:val="32"/>
          <w:szCs w:val="32"/>
          <w:highlight w:val="none"/>
        </w:rPr>
      </w:pPr>
      <w:r>
        <w:rPr>
          <w:rFonts w:hint="eastAsia" w:ascii="宋体" w:hAnsi="宋体" w:eastAsia="宋体" w:cs="宋体"/>
          <w:b/>
          <w:bCs w:val="0"/>
          <w:color w:val="auto"/>
          <w:kern w:val="2"/>
          <w:sz w:val="32"/>
          <w:szCs w:val="32"/>
          <w:highlight w:val="none"/>
          <w:lang w:val="en-US" w:eastAsia="zh-CN" w:bidi="ar"/>
        </w:rPr>
        <w:t>供应商履约评价表</w:t>
      </w:r>
    </w:p>
    <w:tbl>
      <w:tblPr>
        <w:tblStyle w:val="37"/>
        <w:tblW w:w="99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15"/>
        <w:gridCol w:w="1564"/>
        <w:gridCol w:w="3557"/>
        <w:gridCol w:w="2110"/>
        <w:gridCol w:w="716"/>
        <w:gridCol w:w="689"/>
        <w:gridCol w:w="932"/>
      </w:tblGrid>
      <w:tr w14:paraId="00419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9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4616DDE">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合同名称</w:t>
            </w:r>
          </w:p>
        </w:tc>
        <w:tc>
          <w:tcPr>
            <w:tcW w:w="8004"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37E9D735">
            <w:pPr>
              <w:keepNext w:val="0"/>
              <w:keepLines w:val="0"/>
              <w:widowControl/>
              <w:suppressLineNumbers w:val="0"/>
              <w:autoSpaceDE w:val="0"/>
              <w:autoSpaceDN w:val="0"/>
              <w:adjustRightInd w:val="0"/>
              <w:spacing w:before="0" w:beforeAutospacing="0" w:after="0" w:afterAutospacing="0"/>
              <w:ind w:left="0" w:right="0"/>
              <w:jc w:val="left"/>
              <w:rPr>
                <w:rFonts w:hint="eastAsia" w:ascii="宋体" w:hAnsi="宋体" w:eastAsia="宋体" w:cs="宋体"/>
                <w:color w:val="auto"/>
                <w:kern w:val="2"/>
                <w:sz w:val="21"/>
                <w:szCs w:val="21"/>
                <w:highlight w:val="none"/>
              </w:rPr>
            </w:pPr>
          </w:p>
        </w:tc>
      </w:tr>
      <w:tr w14:paraId="5BA79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A0A70B5">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合同编号</w:t>
            </w:r>
          </w:p>
        </w:tc>
        <w:tc>
          <w:tcPr>
            <w:tcW w:w="8004"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073B4B15">
            <w:pPr>
              <w:keepNext w:val="0"/>
              <w:keepLines w:val="0"/>
              <w:widowControl/>
              <w:suppressLineNumbers w:val="0"/>
              <w:autoSpaceDE w:val="0"/>
              <w:autoSpaceDN w:val="0"/>
              <w:adjustRightInd w:val="0"/>
              <w:spacing w:before="0" w:beforeAutospacing="0" w:after="0" w:afterAutospacing="0"/>
              <w:ind w:left="0" w:right="0"/>
              <w:jc w:val="left"/>
              <w:rPr>
                <w:rFonts w:hint="eastAsia" w:ascii="宋体" w:hAnsi="宋体" w:eastAsia="宋体" w:cs="宋体"/>
                <w:color w:val="auto"/>
                <w:kern w:val="2"/>
                <w:sz w:val="21"/>
                <w:szCs w:val="21"/>
                <w:highlight w:val="none"/>
              </w:rPr>
            </w:pPr>
          </w:p>
        </w:tc>
      </w:tr>
      <w:tr w14:paraId="70A3D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31307A4">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甲方名称</w:t>
            </w:r>
          </w:p>
        </w:tc>
        <w:tc>
          <w:tcPr>
            <w:tcW w:w="8004"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2C2525B7">
            <w:pPr>
              <w:keepNext w:val="0"/>
              <w:keepLines w:val="0"/>
              <w:widowControl/>
              <w:suppressLineNumbers w:val="0"/>
              <w:autoSpaceDE w:val="0"/>
              <w:autoSpaceDN w:val="0"/>
              <w:adjustRightInd w:val="0"/>
              <w:spacing w:before="0" w:beforeAutospacing="0" w:after="0" w:afterAutospacing="0"/>
              <w:ind w:left="0" w:right="0"/>
              <w:jc w:val="left"/>
              <w:rPr>
                <w:rFonts w:hint="eastAsia" w:ascii="宋体" w:hAnsi="宋体" w:eastAsia="宋体" w:cs="宋体"/>
                <w:color w:val="auto"/>
                <w:kern w:val="2"/>
                <w:sz w:val="21"/>
                <w:szCs w:val="21"/>
                <w:highlight w:val="none"/>
              </w:rPr>
            </w:pPr>
          </w:p>
        </w:tc>
      </w:tr>
      <w:tr w14:paraId="3E7C2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DDDA857">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供应商</w:t>
            </w:r>
            <w:r>
              <w:rPr>
                <w:rFonts w:hint="eastAsia" w:ascii="宋体" w:hAnsi="宋体" w:eastAsia="宋体" w:cs="宋体"/>
                <w:color w:val="auto"/>
                <w:kern w:val="2"/>
                <w:sz w:val="21"/>
                <w:szCs w:val="21"/>
                <w:highlight w:val="none"/>
                <w:lang w:val="en-US" w:eastAsia="zh-CN" w:bidi="ar"/>
              </w:rPr>
              <w:t>名称</w:t>
            </w:r>
          </w:p>
        </w:tc>
        <w:tc>
          <w:tcPr>
            <w:tcW w:w="8004"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4F02E879">
            <w:pPr>
              <w:keepNext w:val="0"/>
              <w:keepLines w:val="0"/>
              <w:widowControl/>
              <w:suppressLineNumbers w:val="0"/>
              <w:autoSpaceDE w:val="0"/>
              <w:autoSpaceDN w:val="0"/>
              <w:adjustRightInd w:val="0"/>
              <w:spacing w:before="0" w:beforeAutospacing="0" w:after="0" w:afterAutospacing="0"/>
              <w:ind w:left="0" w:right="0"/>
              <w:jc w:val="left"/>
              <w:rPr>
                <w:rFonts w:hint="eastAsia" w:ascii="宋体" w:hAnsi="宋体" w:eastAsia="宋体" w:cs="宋体"/>
                <w:color w:val="auto"/>
                <w:kern w:val="2"/>
                <w:sz w:val="21"/>
                <w:szCs w:val="21"/>
                <w:highlight w:val="none"/>
              </w:rPr>
            </w:pPr>
          </w:p>
        </w:tc>
      </w:tr>
      <w:tr w14:paraId="445F3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52FAE08">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供应货物名称</w:t>
            </w:r>
          </w:p>
        </w:tc>
        <w:tc>
          <w:tcPr>
            <w:tcW w:w="8004"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56FE4834">
            <w:pPr>
              <w:keepNext w:val="0"/>
              <w:keepLines w:val="0"/>
              <w:widowControl/>
              <w:suppressLineNumbers w:val="0"/>
              <w:autoSpaceDE w:val="0"/>
              <w:autoSpaceDN w:val="0"/>
              <w:adjustRightInd w:val="0"/>
              <w:spacing w:before="0" w:beforeAutospacing="0" w:after="0" w:afterAutospacing="0"/>
              <w:ind w:left="0" w:right="0"/>
              <w:jc w:val="left"/>
              <w:rPr>
                <w:rFonts w:hint="eastAsia" w:ascii="宋体" w:hAnsi="宋体" w:eastAsia="宋体" w:cs="宋体"/>
                <w:bCs/>
                <w:color w:val="auto"/>
                <w:kern w:val="2"/>
                <w:sz w:val="21"/>
                <w:szCs w:val="21"/>
                <w:highlight w:val="none"/>
              </w:rPr>
            </w:pPr>
          </w:p>
        </w:tc>
      </w:tr>
      <w:tr w14:paraId="63CB6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5" w:type="dxa"/>
            <w:tcBorders>
              <w:top w:val="single" w:color="auto" w:sz="4" w:space="0"/>
              <w:left w:val="single" w:color="auto" w:sz="4" w:space="0"/>
              <w:bottom w:val="single" w:color="auto" w:sz="4" w:space="0"/>
              <w:right w:val="single" w:color="auto" w:sz="4" w:space="0"/>
            </w:tcBorders>
            <w:shd w:val="clear" w:color="auto" w:fill="auto"/>
            <w:vAlign w:val="center"/>
          </w:tcPr>
          <w:p w14:paraId="36949235">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序号</w:t>
            </w:r>
          </w:p>
        </w:tc>
        <w:tc>
          <w:tcPr>
            <w:tcW w:w="1564" w:type="dxa"/>
            <w:tcBorders>
              <w:top w:val="single" w:color="auto" w:sz="4" w:space="0"/>
              <w:left w:val="single" w:color="auto" w:sz="4" w:space="0"/>
              <w:bottom w:val="single" w:color="auto" w:sz="4" w:space="0"/>
              <w:right w:val="single" w:color="auto" w:sz="4" w:space="0"/>
            </w:tcBorders>
            <w:shd w:val="clear" w:color="auto" w:fill="auto"/>
            <w:vAlign w:val="center"/>
          </w:tcPr>
          <w:p w14:paraId="6364C769">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履约评价项目</w:t>
            </w:r>
          </w:p>
        </w:tc>
        <w:tc>
          <w:tcPr>
            <w:tcW w:w="3557" w:type="dxa"/>
            <w:tcBorders>
              <w:top w:val="single" w:color="auto" w:sz="4" w:space="0"/>
              <w:left w:val="single" w:color="auto" w:sz="4" w:space="0"/>
              <w:bottom w:val="single" w:color="auto" w:sz="4" w:space="0"/>
              <w:right w:val="single" w:color="auto" w:sz="4" w:space="0"/>
            </w:tcBorders>
            <w:shd w:val="clear" w:color="auto" w:fill="auto"/>
            <w:vAlign w:val="center"/>
          </w:tcPr>
          <w:p w14:paraId="493846B1">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评价标准</w:t>
            </w:r>
          </w:p>
        </w:tc>
        <w:tc>
          <w:tcPr>
            <w:tcW w:w="2110" w:type="dxa"/>
            <w:tcBorders>
              <w:top w:val="single" w:color="auto" w:sz="4" w:space="0"/>
              <w:left w:val="single" w:color="auto" w:sz="4" w:space="0"/>
              <w:bottom w:val="single" w:color="auto" w:sz="4" w:space="0"/>
              <w:right w:val="single" w:color="auto" w:sz="4" w:space="0"/>
            </w:tcBorders>
            <w:shd w:val="clear" w:color="auto" w:fill="auto"/>
            <w:vAlign w:val="center"/>
          </w:tcPr>
          <w:p w14:paraId="5FC9B9E2">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评分说明</w:t>
            </w:r>
          </w:p>
        </w:tc>
        <w:tc>
          <w:tcPr>
            <w:tcW w:w="716" w:type="dxa"/>
            <w:tcBorders>
              <w:top w:val="single" w:color="auto" w:sz="4" w:space="0"/>
              <w:left w:val="single" w:color="auto" w:sz="4" w:space="0"/>
              <w:bottom w:val="single" w:color="auto" w:sz="4" w:space="0"/>
              <w:right w:val="single" w:color="auto" w:sz="4" w:space="0"/>
            </w:tcBorders>
            <w:shd w:val="clear" w:color="auto" w:fill="auto"/>
            <w:vAlign w:val="center"/>
          </w:tcPr>
          <w:p w14:paraId="7A04DC7E">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分值</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64DB902F">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实得分</w:t>
            </w:r>
          </w:p>
        </w:tc>
        <w:tc>
          <w:tcPr>
            <w:tcW w:w="932" w:type="dxa"/>
            <w:tcBorders>
              <w:top w:val="single" w:color="auto" w:sz="4" w:space="0"/>
              <w:left w:val="single" w:color="auto" w:sz="4" w:space="0"/>
              <w:bottom w:val="single" w:color="auto" w:sz="4" w:space="0"/>
              <w:right w:val="single" w:color="auto" w:sz="4" w:space="0"/>
            </w:tcBorders>
            <w:shd w:val="clear" w:color="auto" w:fill="auto"/>
            <w:vAlign w:val="center"/>
          </w:tcPr>
          <w:p w14:paraId="651416BF">
            <w:pPr>
              <w:keepNext w:val="0"/>
              <w:keepLines w:val="0"/>
              <w:widowControl/>
              <w:suppressLineNumbers w:val="0"/>
              <w:autoSpaceDE w:val="0"/>
              <w:autoSpaceDN w:val="0"/>
              <w:adjustRightInd w:val="0"/>
              <w:spacing w:before="0" w:beforeAutospacing="0" w:after="0" w:afterAutospacing="0"/>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扣分情况说明</w:t>
            </w:r>
          </w:p>
        </w:tc>
      </w:tr>
      <w:tr w14:paraId="7603E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5" w:type="dxa"/>
            <w:tcBorders>
              <w:top w:val="single" w:color="auto" w:sz="4" w:space="0"/>
              <w:left w:val="single" w:color="auto" w:sz="4" w:space="0"/>
              <w:bottom w:val="single" w:color="auto" w:sz="4" w:space="0"/>
              <w:right w:val="single" w:color="auto" w:sz="4" w:space="0"/>
            </w:tcBorders>
            <w:shd w:val="clear" w:color="auto" w:fill="auto"/>
            <w:vAlign w:val="center"/>
          </w:tcPr>
          <w:p w14:paraId="38D4C45D">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w:t>
            </w:r>
          </w:p>
        </w:tc>
        <w:tc>
          <w:tcPr>
            <w:tcW w:w="1564" w:type="dxa"/>
            <w:tcBorders>
              <w:top w:val="single" w:color="auto" w:sz="4" w:space="0"/>
              <w:left w:val="single" w:color="auto" w:sz="4" w:space="0"/>
              <w:bottom w:val="single" w:color="auto" w:sz="4" w:space="0"/>
              <w:right w:val="single" w:color="auto" w:sz="4" w:space="0"/>
            </w:tcBorders>
            <w:shd w:val="clear" w:color="auto" w:fill="auto"/>
            <w:vAlign w:val="center"/>
          </w:tcPr>
          <w:p w14:paraId="3EA7AED9">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质量</w:t>
            </w:r>
          </w:p>
        </w:tc>
        <w:tc>
          <w:tcPr>
            <w:tcW w:w="3557" w:type="dxa"/>
            <w:tcBorders>
              <w:top w:val="single" w:color="auto" w:sz="4" w:space="0"/>
              <w:left w:val="single" w:color="auto" w:sz="4" w:space="0"/>
              <w:bottom w:val="single" w:color="auto" w:sz="4" w:space="0"/>
              <w:right w:val="single" w:color="auto" w:sz="4" w:space="0"/>
            </w:tcBorders>
            <w:shd w:val="clear" w:color="auto" w:fill="auto"/>
            <w:vAlign w:val="center"/>
          </w:tcPr>
          <w:p w14:paraId="73B60933">
            <w:pPr>
              <w:keepNext w:val="0"/>
              <w:keepLines w:val="0"/>
              <w:widowControl/>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（1）货物未出现全部拒收或换货等质量问题；</w:t>
            </w:r>
          </w:p>
          <w:p w14:paraId="557F128F">
            <w:pPr>
              <w:keepNext w:val="0"/>
              <w:keepLines w:val="0"/>
              <w:widowControl/>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（2）货物主要技术指标符合合同规定；</w:t>
            </w:r>
          </w:p>
          <w:p w14:paraId="05FD8599">
            <w:pPr>
              <w:keepNext w:val="0"/>
              <w:keepLines w:val="0"/>
              <w:widowControl/>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（3）每次货物质量稳定，投加效果良好，未出现由于每次货物质量参差不齐导致厂区药剂投加量增加或产生出水水质风险等情况。</w:t>
            </w:r>
          </w:p>
        </w:tc>
        <w:tc>
          <w:tcPr>
            <w:tcW w:w="2110" w:type="dxa"/>
            <w:tcBorders>
              <w:top w:val="single" w:color="auto" w:sz="4" w:space="0"/>
              <w:left w:val="single" w:color="auto" w:sz="4" w:space="0"/>
              <w:bottom w:val="single" w:color="auto" w:sz="4" w:space="0"/>
              <w:right w:val="single" w:color="auto" w:sz="4" w:space="0"/>
            </w:tcBorders>
            <w:shd w:val="clear" w:color="auto" w:fill="auto"/>
            <w:vAlign w:val="center"/>
          </w:tcPr>
          <w:p w14:paraId="2CF897AA">
            <w:pPr>
              <w:keepNext w:val="0"/>
              <w:keepLines w:val="0"/>
              <w:widowControl/>
              <w:suppressLineNumbers w:val="0"/>
              <w:autoSpaceDE w:val="0"/>
              <w:autoSpaceDN w:val="0"/>
              <w:adjustRightInd w:val="0"/>
              <w:spacing w:before="0" w:beforeAutospacing="0" w:after="0" w:afterAutospacing="0"/>
              <w:ind w:left="0" w:right="0"/>
              <w:jc w:val="left"/>
              <w:rPr>
                <w:rFonts w:hint="eastAsia" w:ascii="宋体" w:hAnsi="宋体" w:eastAsia="宋体" w:cs="宋体"/>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达到标准的得满分，每月每次货物有一项未达到标准的扣4分，每次货物最多扣4分。</w:t>
            </w:r>
          </w:p>
        </w:tc>
        <w:tc>
          <w:tcPr>
            <w:tcW w:w="716" w:type="dxa"/>
            <w:tcBorders>
              <w:top w:val="single" w:color="auto" w:sz="4" w:space="0"/>
              <w:left w:val="single" w:color="auto" w:sz="4" w:space="0"/>
              <w:bottom w:val="single" w:color="auto" w:sz="4" w:space="0"/>
              <w:right w:val="single" w:color="auto" w:sz="4" w:space="0"/>
            </w:tcBorders>
            <w:shd w:val="clear" w:color="auto" w:fill="auto"/>
            <w:vAlign w:val="center"/>
          </w:tcPr>
          <w:p w14:paraId="1901B86D">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20</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5A3FBB2C">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bCs/>
                <w:color w:val="auto"/>
                <w:kern w:val="2"/>
                <w:sz w:val="21"/>
                <w:szCs w:val="21"/>
                <w:highlight w:val="none"/>
              </w:rPr>
            </w:pPr>
          </w:p>
        </w:tc>
        <w:tc>
          <w:tcPr>
            <w:tcW w:w="932" w:type="dxa"/>
            <w:tcBorders>
              <w:top w:val="single" w:color="auto" w:sz="4" w:space="0"/>
              <w:left w:val="single" w:color="auto" w:sz="4" w:space="0"/>
              <w:bottom w:val="single" w:color="auto" w:sz="4" w:space="0"/>
              <w:right w:val="single" w:color="auto" w:sz="4" w:space="0"/>
            </w:tcBorders>
            <w:shd w:val="clear" w:color="auto" w:fill="auto"/>
            <w:vAlign w:val="center"/>
          </w:tcPr>
          <w:p w14:paraId="69F9F65E">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bCs/>
                <w:color w:val="auto"/>
                <w:kern w:val="2"/>
                <w:sz w:val="21"/>
                <w:szCs w:val="21"/>
                <w:highlight w:val="none"/>
              </w:rPr>
            </w:pPr>
          </w:p>
        </w:tc>
      </w:tr>
      <w:tr w14:paraId="103C1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5" w:type="dxa"/>
            <w:tcBorders>
              <w:top w:val="single" w:color="auto" w:sz="4" w:space="0"/>
              <w:left w:val="single" w:color="auto" w:sz="4" w:space="0"/>
              <w:bottom w:val="single" w:color="auto" w:sz="4" w:space="0"/>
              <w:right w:val="single" w:color="auto" w:sz="4" w:space="0"/>
            </w:tcBorders>
            <w:shd w:val="clear" w:color="auto" w:fill="auto"/>
            <w:vAlign w:val="center"/>
          </w:tcPr>
          <w:p w14:paraId="44E7A4BB">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w:t>
            </w:r>
          </w:p>
        </w:tc>
        <w:tc>
          <w:tcPr>
            <w:tcW w:w="1564" w:type="dxa"/>
            <w:tcBorders>
              <w:top w:val="single" w:color="auto" w:sz="4" w:space="0"/>
              <w:left w:val="single" w:color="auto" w:sz="4" w:space="0"/>
              <w:bottom w:val="single" w:color="auto" w:sz="4" w:space="0"/>
              <w:right w:val="single" w:color="auto" w:sz="4" w:space="0"/>
            </w:tcBorders>
            <w:shd w:val="clear" w:color="auto" w:fill="auto"/>
            <w:vAlign w:val="center"/>
          </w:tcPr>
          <w:p w14:paraId="0E03526E">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包装、运输</w:t>
            </w:r>
          </w:p>
        </w:tc>
        <w:tc>
          <w:tcPr>
            <w:tcW w:w="3557" w:type="dxa"/>
            <w:tcBorders>
              <w:top w:val="single" w:color="auto" w:sz="4" w:space="0"/>
              <w:left w:val="single" w:color="auto" w:sz="4" w:space="0"/>
              <w:bottom w:val="single" w:color="auto" w:sz="4" w:space="0"/>
              <w:right w:val="single" w:color="auto" w:sz="4" w:space="0"/>
            </w:tcBorders>
            <w:shd w:val="clear" w:color="auto" w:fill="auto"/>
            <w:vAlign w:val="center"/>
          </w:tcPr>
          <w:p w14:paraId="4CF187F7">
            <w:pPr>
              <w:keepNext w:val="0"/>
              <w:keepLines w:val="0"/>
              <w:widowControl/>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货物的包装、运输符合合同规定及国家、行业有关标准规范；未出现由于包装、运输方式不当造成以下不良后果：</w:t>
            </w:r>
          </w:p>
          <w:p w14:paraId="48ACA886">
            <w:pPr>
              <w:keepNext w:val="0"/>
              <w:keepLines w:val="0"/>
              <w:widowControl/>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（1）影响货物输送或储存质量；</w:t>
            </w:r>
          </w:p>
          <w:p w14:paraId="29774CC8">
            <w:pPr>
              <w:keepNext w:val="0"/>
              <w:keepLines w:val="0"/>
              <w:widowControl/>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（2）货物质量下降；</w:t>
            </w:r>
          </w:p>
          <w:p w14:paraId="17402359">
            <w:pPr>
              <w:keepNext w:val="0"/>
              <w:keepLines w:val="0"/>
              <w:widowControl/>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（3）货物泄漏导致供货量不足；</w:t>
            </w:r>
          </w:p>
          <w:p w14:paraId="5A3B3C51">
            <w:pPr>
              <w:keepNext w:val="0"/>
              <w:keepLines w:val="0"/>
              <w:widowControl/>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（4）造成环境污染。</w:t>
            </w:r>
          </w:p>
        </w:tc>
        <w:tc>
          <w:tcPr>
            <w:tcW w:w="2110" w:type="dxa"/>
            <w:tcBorders>
              <w:top w:val="single" w:color="auto" w:sz="4" w:space="0"/>
              <w:left w:val="single" w:color="auto" w:sz="4" w:space="0"/>
              <w:bottom w:val="single" w:color="auto" w:sz="4" w:space="0"/>
              <w:right w:val="single" w:color="auto" w:sz="4" w:space="0"/>
            </w:tcBorders>
            <w:shd w:val="clear" w:color="auto" w:fill="auto"/>
            <w:vAlign w:val="center"/>
          </w:tcPr>
          <w:p w14:paraId="4D0B4D35">
            <w:pPr>
              <w:keepNext w:val="0"/>
              <w:keepLines w:val="0"/>
              <w:widowControl/>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达到标准的得满分，每月每次货物有一项未达到标准的扣3分，每次货物最多扣3分。</w:t>
            </w:r>
          </w:p>
        </w:tc>
        <w:tc>
          <w:tcPr>
            <w:tcW w:w="716" w:type="dxa"/>
            <w:tcBorders>
              <w:top w:val="single" w:color="auto" w:sz="4" w:space="0"/>
              <w:left w:val="single" w:color="auto" w:sz="4" w:space="0"/>
              <w:bottom w:val="single" w:color="auto" w:sz="4" w:space="0"/>
              <w:right w:val="single" w:color="auto" w:sz="4" w:space="0"/>
            </w:tcBorders>
            <w:shd w:val="clear" w:color="auto" w:fill="auto"/>
            <w:vAlign w:val="center"/>
          </w:tcPr>
          <w:p w14:paraId="31ECF1AC">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15</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25C42097">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bCs/>
                <w:color w:val="auto"/>
                <w:kern w:val="2"/>
                <w:sz w:val="21"/>
                <w:szCs w:val="21"/>
                <w:highlight w:val="none"/>
              </w:rPr>
            </w:pPr>
          </w:p>
        </w:tc>
        <w:tc>
          <w:tcPr>
            <w:tcW w:w="932" w:type="dxa"/>
            <w:tcBorders>
              <w:top w:val="single" w:color="auto" w:sz="4" w:space="0"/>
              <w:left w:val="single" w:color="auto" w:sz="4" w:space="0"/>
              <w:bottom w:val="single" w:color="auto" w:sz="4" w:space="0"/>
              <w:right w:val="single" w:color="auto" w:sz="4" w:space="0"/>
            </w:tcBorders>
            <w:shd w:val="clear" w:color="auto" w:fill="auto"/>
            <w:vAlign w:val="center"/>
          </w:tcPr>
          <w:p w14:paraId="3F6D3D87">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bCs/>
                <w:color w:val="auto"/>
                <w:kern w:val="2"/>
                <w:sz w:val="21"/>
                <w:szCs w:val="21"/>
                <w:highlight w:val="none"/>
              </w:rPr>
            </w:pPr>
          </w:p>
        </w:tc>
      </w:tr>
      <w:tr w14:paraId="0DDBF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5" w:type="dxa"/>
            <w:tcBorders>
              <w:top w:val="single" w:color="auto" w:sz="4" w:space="0"/>
              <w:left w:val="single" w:color="auto" w:sz="4" w:space="0"/>
              <w:bottom w:val="single" w:color="auto" w:sz="4" w:space="0"/>
              <w:right w:val="single" w:color="auto" w:sz="4" w:space="0"/>
            </w:tcBorders>
            <w:shd w:val="clear" w:color="auto" w:fill="auto"/>
            <w:vAlign w:val="center"/>
          </w:tcPr>
          <w:p w14:paraId="765906AD">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3</w:t>
            </w:r>
          </w:p>
        </w:tc>
        <w:tc>
          <w:tcPr>
            <w:tcW w:w="1564" w:type="dxa"/>
            <w:tcBorders>
              <w:top w:val="single" w:color="auto" w:sz="4" w:space="0"/>
              <w:left w:val="single" w:color="auto" w:sz="4" w:space="0"/>
              <w:bottom w:val="single" w:color="auto" w:sz="4" w:space="0"/>
              <w:right w:val="single" w:color="auto" w:sz="4" w:space="0"/>
            </w:tcBorders>
            <w:shd w:val="clear" w:color="auto" w:fill="auto"/>
            <w:vAlign w:val="center"/>
          </w:tcPr>
          <w:p w14:paraId="21ADC706">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货物交付</w:t>
            </w:r>
          </w:p>
        </w:tc>
        <w:tc>
          <w:tcPr>
            <w:tcW w:w="3557" w:type="dxa"/>
            <w:tcBorders>
              <w:top w:val="single" w:color="auto" w:sz="4" w:space="0"/>
              <w:left w:val="single" w:color="auto" w:sz="4" w:space="0"/>
              <w:bottom w:val="single" w:color="auto" w:sz="4" w:space="0"/>
              <w:right w:val="single" w:color="auto" w:sz="4" w:space="0"/>
            </w:tcBorders>
            <w:shd w:val="clear" w:color="auto" w:fill="auto"/>
            <w:vAlign w:val="center"/>
          </w:tcPr>
          <w:p w14:paraId="6B7F9C5B">
            <w:pPr>
              <w:keepNext w:val="0"/>
              <w:keepLines w:val="0"/>
              <w:widowControl/>
              <w:suppressLineNumbers w:val="0"/>
              <w:autoSpaceDE w:val="0"/>
              <w:autoSpaceDN w:val="0"/>
              <w:adjustRightInd w:val="0"/>
              <w:spacing w:before="0" w:beforeAutospacing="0" w:after="0" w:afterAutospacing="0"/>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（1）按合同要求的期限供货（包括加急供货）；</w:t>
            </w:r>
          </w:p>
          <w:p w14:paraId="178F28CC">
            <w:pPr>
              <w:keepNext w:val="0"/>
              <w:keepLines w:val="0"/>
              <w:widowControl/>
              <w:suppressLineNumbers w:val="0"/>
              <w:autoSpaceDE w:val="0"/>
              <w:autoSpaceDN w:val="0"/>
              <w:adjustRightInd w:val="0"/>
              <w:spacing w:before="0" w:beforeAutospacing="0" w:after="0" w:afterAutospacing="0"/>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（2）每次供货配合提供电子地磅称重单；</w:t>
            </w:r>
          </w:p>
          <w:p w14:paraId="3070E2A3">
            <w:pPr>
              <w:keepNext w:val="0"/>
              <w:keepLines w:val="0"/>
              <w:widowControl w:val="0"/>
              <w:suppressLineNumbers w:val="0"/>
              <w:autoSpaceDE w:val="0"/>
              <w:autoSpaceDN w:val="0"/>
              <w:adjustRightInd w:val="0"/>
              <w:spacing w:before="0" w:beforeAutospacing="0" w:after="0" w:afterAutospacing="0"/>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（3）每次供货配合提供出厂检验报告或质量合格证等技术资料；</w:t>
            </w:r>
          </w:p>
          <w:p w14:paraId="10127C06">
            <w:pPr>
              <w:keepNext w:val="0"/>
              <w:keepLines w:val="0"/>
              <w:widowControl/>
              <w:suppressLineNumbers w:val="0"/>
              <w:autoSpaceDE w:val="0"/>
              <w:autoSpaceDN w:val="0"/>
              <w:adjustRightInd w:val="0"/>
              <w:spacing w:before="0" w:beforeAutospacing="0" w:after="0" w:afterAutospacing="0"/>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（4）交付人员专业性强，工作效率高，熟悉交付操作流程；</w:t>
            </w:r>
          </w:p>
          <w:p w14:paraId="2DCDBBBF">
            <w:pPr>
              <w:keepNext w:val="0"/>
              <w:keepLines w:val="0"/>
              <w:widowControl/>
              <w:suppressLineNumbers w:val="0"/>
              <w:autoSpaceDE w:val="0"/>
              <w:autoSpaceDN w:val="0"/>
              <w:adjustRightInd w:val="0"/>
              <w:spacing w:before="0" w:beforeAutospacing="0" w:after="0" w:afterAutospacing="0"/>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（5）未出现因库存、运力不足等原因影响供货量的情况。</w:t>
            </w:r>
          </w:p>
        </w:tc>
        <w:tc>
          <w:tcPr>
            <w:tcW w:w="2110" w:type="dxa"/>
            <w:tcBorders>
              <w:top w:val="single" w:color="auto" w:sz="4" w:space="0"/>
              <w:left w:val="single" w:color="auto" w:sz="4" w:space="0"/>
              <w:bottom w:val="single" w:color="auto" w:sz="4" w:space="0"/>
              <w:right w:val="single" w:color="auto" w:sz="4" w:space="0"/>
            </w:tcBorders>
            <w:shd w:val="clear" w:color="auto" w:fill="auto"/>
            <w:vAlign w:val="center"/>
          </w:tcPr>
          <w:p w14:paraId="2BADA58D">
            <w:pPr>
              <w:keepNext w:val="0"/>
              <w:keepLines w:val="0"/>
              <w:widowControl/>
              <w:suppressLineNumbers w:val="0"/>
              <w:autoSpaceDE w:val="0"/>
              <w:autoSpaceDN w:val="0"/>
              <w:adjustRightInd w:val="0"/>
              <w:spacing w:before="0" w:beforeAutospacing="0" w:after="0" w:afterAutospacing="0"/>
              <w:ind w:left="0" w:right="0"/>
              <w:jc w:val="both"/>
              <w:rPr>
                <w:rFonts w:hint="eastAsia" w:ascii="宋体" w:hAnsi="宋体" w:eastAsia="宋体" w:cs="宋体"/>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达到标准的得满分，每月每次货物有一项未达到标准的扣3分，每次货物最多扣3分。</w:t>
            </w:r>
          </w:p>
        </w:tc>
        <w:tc>
          <w:tcPr>
            <w:tcW w:w="716" w:type="dxa"/>
            <w:tcBorders>
              <w:top w:val="single" w:color="auto" w:sz="4" w:space="0"/>
              <w:left w:val="single" w:color="auto" w:sz="4" w:space="0"/>
              <w:bottom w:val="single" w:color="auto" w:sz="4" w:space="0"/>
              <w:right w:val="single" w:color="auto" w:sz="4" w:space="0"/>
            </w:tcBorders>
            <w:shd w:val="clear" w:color="auto" w:fill="auto"/>
            <w:vAlign w:val="center"/>
          </w:tcPr>
          <w:p w14:paraId="35369BB5">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20</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7688BB7C">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bCs/>
                <w:color w:val="auto"/>
                <w:kern w:val="2"/>
                <w:sz w:val="21"/>
                <w:szCs w:val="21"/>
                <w:highlight w:val="none"/>
              </w:rPr>
            </w:pPr>
          </w:p>
        </w:tc>
        <w:tc>
          <w:tcPr>
            <w:tcW w:w="932" w:type="dxa"/>
            <w:tcBorders>
              <w:top w:val="single" w:color="auto" w:sz="4" w:space="0"/>
              <w:left w:val="single" w:color="auto" w:sz="4" w:space="0"/>
              <w:bottom w:val="single" w:color="auto" w:sz="4" w:space="0"/>
              <w:right w:val="single" w:color="auto" w:sz="4" w:space="0"/>
            </w:tcBorders>
            <w:shd w:val="clear" w:color="auto" w:fill="auto"/>
            <w:vAlign w:val="center"/>
          </w:tcPr>
          <w:p w14:paraId="10CD8C48">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bCs/>
                <w:color w:val="auto"/>
                <w:kern w:val="2"/>
                <w:sz w:val="21"/>
                <w:szCs w:val="21"/>
                <w:highlight w:val="none"/>
              </w:rPr>
            </w:pPr>
          </w:p>
        </w:tc>
      </w:tr>
      <w:tr w14:paraId="763BE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5" w:type="dxa"/>
            <w:tcBorders>
              <w:top w:val="single" w:color="auto" w:sz="4" w:space="0"/>
              <w:left w:val="single" w:color="auto" w:sz="4" w:space="0"/>
              <w:bottom w:val="single" w:color="auto" w:sz="4" w:space="0"/>
              <w:right w:val="single" w:color="auto" w:sz="4" w:space="0"/>
            </w:tcBorders>
            <w:shd w:val="clear" w:color="auto" w:fill="auto"/>
            <w:vAlign w:val="center"/>
          </w:tcPr>
          <w:p w14:paraId="175579E2">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4</w:t>
            </w:r>
          </w:p>
        </w:tc>
        <w:tc>
          <w:tcPr>
            <w:tcW w:w="1564" w:type="dxa"/>
            <w:tcBorders>
              <w:top w:val="single" w:color="auto" w:sz="4" w:space="0"/>
              <w:left w:val="single" w:color="auto" w:sz="4" w:space="0"/>
              <w:bottom w:val="single" w:color="auto" w:sz="4" w:space="0"/>
              <w:right w:val="single" w:color="auto" w:sz="4" w:space="0"/>
            </w:tcBorders>
            <w:shd w:val="clear" w:color="auto" w:fill="auto"/>
            <w:vAlign w:val="center"/>
          </w:tcPr>
          <w:p w14:paraId="51473C50">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验收</w:t>
            </w:r>
          </w:p>
        </w:tc>
        <w:tc>
          <w:tcPr>
            <w:tcW w:w="3557" w:type="dxa"/>
            <w:tcBorders>
              <w:top w:val="single" w:color="auto" w:sz="4" w:space="0"/>
              <w:left w:val="single" w:color="auto" w:sz="4" w:space="0"/>
              <w:bottom w:val="single" w:color="auto" w:sz="4" w:space="0"/>
              <w:right w:val="single" w:color="auto" w:sz="4" w:space="0"/>
            </w:tcBorders>
            <w:shd w:val="clear" w:color="auto" w:fill="auto"/>
            <w:vAlign w:val="center"/>
          </w:tcPr>
          <w:p w14:paraId="058D8397">
            <w:pPr>
              <w:keepNext w:val="0"/>
              <w:keepLines w:val="0"/>
              <w:widowControl/>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（1）及时提供货物的各项技术资料，技术资料齐全、规范；</w:t>
            </w:r>
          </w:p>
          <w:p w14:paraId="1A261F95">
            <w:pPr>
              <w:keepNext w:val="0"/>
              <w:keepLines w:val="0"/>
              <w:widowControl/>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（2）未出现因对检测结果存在异议而影响供货的情况；</w:t>
            </w:r>
          </w:p>
          <w:p w14:paraId="41980BAC">
            <w:pPr>
              <w:keepNext w:val="0"/>
              <w:keepLines w:val="0"/>
              <w:widowControl/>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（3）未出现因货物检验不合格，或因货物不合格影响厂区生产效果的情况。</w:t>
            </w:r>
          </w:p>
        </w:tc>
        <w:tc>
          <w:tcPr>
            <w:tcW w:w="2110" w:type="dxa"/>
            <w:tcBorders>
              <w:top w:val="single" w:color="auto" w:sz="4" w:space="0"/>
              <w:left w:val="single" w:color="auto" w:sz="4" w:space="0"/>
              <w:bottom w:val="single" w:color="auto" w:sz="4" w:space="0"/>
              <w:right w:val="single" w:color="auto" w:sz="4" w:space="0"/>
            </w:tcBorders>
            <w:shd w:val="clear" w:color="auto" w:fill="auto"/>
            <w:vAlign w:val="center"/>
          </w:tcPr>
          <w:p w14:paraId="0FB61150">
            <w:pPr>
              <w:keepNext w:val="0"/>
              <w:keepLines w:val="0"/>
              <w:widowControl/>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达到标准的得满分，每月每次货物有一项未达到标准的扣4分，每次货物最多扣4分。</w:t>
            </w:r>
          </w:p>
        </w:tc>
        <w:tc>
          <w:tcPr>
            <w:tcW w:w="716" w:type="dxa"/>
            <w:tcBorders>
              <w:top w:val="single" w:color="auto" w:sz="4" w:space="0"/>
              <w:left w:val="single" w:color="auto" w:sz="4" w:space="0"/>
              <w:bottom w:val="single" w:color="auto" w:sz="4" w:space="0"/>
              <w:right w:val="single" w:color="auto" w:sz="4" w:space="0"/>
            </w:tcBorders>
            <w:shd w:val="clear" w:color="auto" w:fill="auto"/>
            <w:vAlign w:val="center"/>
          </w:tcPr>
          <w:p w14:paraId="6B0B024A">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20</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04E962DF">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bCs/>
                <w:color w:val="auto"/>
                <w:kern w:val="2"/>
                <w:sz w:val="21"/>
                <w:szCs w:val="21"/>
                <w:highlight w:val="none"/>
              </w:rPr>
            </w:pPr>
          </w:p>
        </w:tc>
        <w:tc>
          <w:tcPr>
            <w:tcW w:w="932" w:type="dxa"/>
            <w:tcBorders>
              <w:top w:val="single" w:color="auto" w:sz="4" w:space="0"/>
              <w:left w:val="single" w:color="auto" w:sz="4" w:space="0"/>
              <w:bottom w:val="single" w:color="auto" w:sz="4" w:space="0"/>
              <w:right w:val="single" w:color="auto" w:sz="4" w:space="0"/>
            </w:tcBorders>
            <w:shd w:val="clear" w:color="auto" w:fill="auto"/>
            <w:vAlign w:val="center"/>
          </w:tcPr>
          <w:p w14:paraId="13A8DA00">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bCs/>
                <w:color w:val="auto"/>
                <w:kern w:val="2"/>
                <w:sz w:val="21"/>
                <w:szCs w:val="21"/>
                <w:highlight w:val="none"/>
              </w:rPr>
            </w:pPr>
          </w:p>
        </w:tc>
      </w:tr>
      <w:tr w14:paraId="32B79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5" w:type="dxa"/>
            <w:tcBorders>
              <w:top w:val="single" w:color="auto" w:sz="4" w:space="0"/>
              <w:left w:val="single" w:color="auto" w:sz="4" w:space="0"/>
              <w:bottom w:val="single" w:color="auto" w:sz="4" w:space="0"/>
              <w:right w:val="single" w:color="auto" w:sz="4" w:space="0"/>
            </w:tcBorders>
            <w:shd w:val="clear" w:color="auto" w:fill="auto"/>
            <w:vAlign w:val="center"/>
          </w:tcPr>
          <w:p w14:paraId="17C8D3CA">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5</w:t>
            </w:r>
          </w:p>
        </w:tc>
        <w:tc>
          <w:tcPr>
            <w:tcW w:w="1564" w:type="dxa"/>
            <w:tcBorders>
              <w:top w:val="single" w:color="auto" w:sz="4" w:space="0"/>
              <w:left w:val="single" w:color="auto" w:sz="4" w:space="0"/>
              <w:bottom w:val="single" w:color="auto" w:sz="4" w:space="0"/>
              <w:right w:val="single" w:color="auto" w:sz="4" w:space="0"/>
            </w:tcBorders>
            <w:shd w:val="clear" w:color="auto" w:fill="auto"/>
            <w:vAlign w:val="center"/>
          </w:tcPr>
          <w:p w14:paraId="03252D2C">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安全</w:t>
            </w:r>
          </w:p>
        </w:tc>
        <w:tc>
          <w:tcPr>
            <w:tcW w:w="3557" w:type="dxa"/>
            <w:tcBorders>
              <w:top w:val="single" w:color="auto" w:sz="4" w:space="0"/>
              <w:left w:val="single" w:color="auto" w:sz="4" w:space="0"/>
              <w:bottom w:val="single" w:color="auto" w:sz="4" w:space="0"/>
              <w:right w:val="single" w:color="auto" w:sz="4" w:space="0"/>
            </w:tcBorders>
            <w:shd w:val="clear" w:color="auto" w:fill="auto"/>
            <w:vAlign w:val="center"/>
          </w:tcPr>
          <w:p w14:paraId="0D438D83">
            <w:pPr>
              <w:keepNext w:val="0"/>
              <w:keepLines w:val="0"/>
              <w:widowControl/>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（1）运输服务商资质、运输人员、运输车辆符合合同规定及国家相关法律法规要求；</w:t>
            </w:r>
          </w:p>
          <w:p w14:paraId="77F64232">
            <w:pPr>
              <w:keepNext w:val="0"/>
              <w:keepLines w:val="0"/>
              <w:widowControl/>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（2）未出现超载或非法运输等情况；</w:t>
            </w:r>
          </w:p>
          <w:p w14:paraId="39B43249">
            <w:pPr>
              <w:keepNext w:val="0"/>
              <w:keepLines w:val="0"/>
              <w:widowControl/>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（3）未出现由于运输服务商资质不符、超载或非法运输、未按厂区指示行驶及停放造成第三方或厂区事故、损失的情况；</w:t>
            </w:r>
          </w:p>
          <w:p w14:paraId="2D9BEAB5">
            <w:pPr>
              <w:keepNext w:val="0"/>
              <w:keepLines w:val="0"/>
              <w:widowControl w:val="0"/>
              <w:suppressLineNumbers w:val="0"/>
              <w:autoSpaceDE w:val="0"/>
              <w:autoSpaceDN w:val="0"/>
              <w:adjustRightInd w:val="0"/>
              <w:spacing w:before="0" w:beforeAutospacing="0" w:after="0" w:afterAutospacing="0"/>
              <w:ind w:left="0" w:right="0"/>
              <w:jc w:val="left"/>
              <w:outlineLvl w:val="2"/>
              <w:rPr>
                <w:rFonts w:hint="eastAsia" w:ascii="宋体" w:hAnsi="宋体" w:eastAsia="宋体" w:cs="宋体"/>
                <w:color w:val="auto"/>
                <w:kern w:val="2"/>
                <w:sz w:val="21"/>
                <w:szCs w:val="21"/>
                <w:highlight w:val="none"/>
              </w:rPr>
            </w:pPr>
            <w:bookmarkStart w:id="476" w:name="_Toc2019"/>
            <w:bookmarkStart w:id="477" w:name="_Toc23283"/>
            <w:r>
              <w:rPr>
                <w:rFonts w:hint="eastAsia" w:ascii="宋体" w:hAnsi="宋体" w:eastAsia="宋体" w:cs="宋体"/>
                <w:bCs/>
                <w:color w:val="auto"/>
                <w:kern w:val="2"/>
                <w:sz w:val="21"/>
                <w:szCs w:val="21"/>
                <w:highlight w:val="none"/>
                <w:lang w:val="en-US" w:eastAsia="zh-CN" w:bidi="ar"/>
              </w:rPr>
              <w:t>（4）未出现卸货安全事故。</w:t>
            </w:r>
            <w:bookmarkEnd w:id="476"/>
            <w:bookmarkEnd w:id="477"/>
          </w:p>
        </w:tc>
        <w:tc>
          <w:tcPr>
            <w:tcW w:w="2110" w:type="dxa"/>
            <w:tcBorders>
              <w:top w:val="single" w:color="auto" w:sz="4" w:space="0"/>
              <w:left w:val="single" w:color="auto" w:sz="4" w:space="0"/>
              <w:bottom w:val="single" w:color="auto" w:sz="4" w:space="0"/>
              <w:right w:val="single" w:color="auto" w:sz="4" w:space="0"/>
            </w:tcBorders>
            <w:shd w:val="clear" w:color="auto" w:fill="auto"/>
            <w:vAlign w:val="center"/>
          </w:tcPr>
          <w:p w14:paraId="1CD37B86">
            <w:pPr>
              <w:keepNext w:val="0"/>
              <w:keepLines w:val="0"/>
              <w:widowControl/>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达到标准的得满分，每月每次货物有一项未达到标准的扣3分，每次货物最多扣3分。</w:t>
            </w:r>
          </w:p>
        </w:tc>
        <w:tc>
          <w:tcPr>
            <w:tcW w:w="716" w:type="dxa"/>
            <w:tcBorders>
              <w:top w:val="single" w:color="auto" w:sz="4" w:space="0"/>
              <w:left w:val="single" w:color="auto" w:sz="4" w:space="0"/>
              <w:bottom w:val="single" w:color="auto" w:sz="4" w:space="0"/>
              <w:right w:val="single" w:color="auto" w:sz="4" w:space="0"/>
            </w:tcBorders>
            <w:shd w:val="clear" w:color="auto" w:fill="auto"/>
            <w:vAlign w:val="center"/>
          </w:tcPr>
          <w:p w14:paraId="4380A39B">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15</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3317FAD1">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bCs/>
                <w:color w:val="auto"/>
                <w:kern w:val="2"/>
                <w:sz w:val="21"/>
                <w:szCs w:val="21"/>
                <w:highlight w:val="none"/>
              </w:rPr>
            </w:pPr>
          </w:p>
        </w:tc>
        <w:tc>
          <w:tcPr>
            <w:tcW w:w="932" w:type="dxa"/>
            <w:tcBorders>
              <w:top w:val="single" w:color="auto" w:sz="4" w:space="0"/>
              <w:left w:val="single" w:color="auto" w:sz="4" w:space="0"/>
              <w:bottom w:val="single" w:color="auto" w:sz="4" w:space="0"/>
              <w:right w:val="single" w:color="auto" w:sz="4" w:space="0"/>
            </w:tcBorders>
            <w:shd w:val="clear" w:color="auto" w:fill="auto"/>
            <w:vAlign w:val="center"/>
          </w:tcPr>
          <w:p w14:paraId="29BF3DDD">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bCs/>
                <w:color w:val="auto"/>
                <w:kern w:val="2"/>
                <w:sz w:val="21"/>
                <w:szCs w:val="21"/>
                <w:highlight w:val="none"/>
              </w:rPr>
            </w:pPr>
          </w:p>
        </w:tc>
      </w:tr>
      <w:tr w14:paraId="5928E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415" w:type="dxa"/>
            <w:tcBorders>
              <w:top w:val="single" w:color="auto" w:sz="4" w:space="0"/>
              <w:left w:val="single" w:color="auto" w:sz="4" w:space="0"/>
              <w:bottom w:val="single" w:color="auto" w:sz="4" w:space="0"/>
              <w:right w:val="single" w:color="auto" w:sz="4" w:space="0"/>
            </w:tcBorders>
            <w:shd w:val="clear" w:color="auto" w:fill="auto"/>
            <w:vAlign w:val="center"/>
          </w:tcPr>
          <w:p w14:paraId="0C7AE108">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6</w:t>
            </w:r>
          </w:p>
        </w:tc>
        <w:tc>
          <w:tcPr>
            <w:tcW w:w="1564" w:type="dxa"/>
            <w:tcBorders>
              <w:top w:val="single" w:color="auto" w:sz="4" w:space="0"/>
              <w:left w:val="single" w:color="auto" w:sz="4" w:space="0"/>
              <w:bottom w:val="single" w:color="auto" w:sz="4" w:space="0"/>
              <w:right w:val="single" w:color="auto" w:sz="4" w:space="0"/>
            </w:tcBorders>
            <w:shd w:val="clear" w:color="auto" w:fill="auto"/>
            <w:vAlign w:val="center"/>
          </w:tcPr>
          <w:p w14:paraId="0409D547">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售后服务</w:t>
            </w:r>
          </w:p>
        </w:tc>
        <w:tc>
          <w:tcPr>
            <w:tcW w:w="3557" w:type="dxa"/>
            <w:tcBorders>
              <w:top w:val="single" w:color="auto" w:sz="4" w:space="0"/>
              <w:left w:val="single" w:color="auto" w:sz="4" w:space="0"/>
              <w:bottom w:val="single" w:color="auto" w:sz="4" w:space="0"/>
              <w:right w:val="single" w:color="auto" w:sz="4" w:space="0"/>
            </w:tcBorders>
            <w:shd w:val="clear" w:color="auto" w:fill="auto"/>
            <w:vAlign w:val="center"/>
          </w:tcPr>
          <w:p w14:paraId="6DC8B96C">
            <w:pPr>
              <w:keepNext w:val="0"/>
              <w:keepLines w:val="0"/>
              <w:widowControl/>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（1）人员：</w:t>
            </w:r>
          </w:p>
          <w:p w14:paraId="119C4C9B">
            <w:pPr>
              <w:keepNext w:val="0"/>
              <w:keepLines w:val="0"/>
              <w:widowControl/>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①管理、技术及服务人员均符合申请文件的承诺，服务队伍稳定，人员充足、专业性强，充分配合甲方供货需求；</w:t>
            </w:r>
          </w:p>
          <w:p w14:paraId="087381D3">
            <w:pPr>
              <w:keepNext w:val="0"/>
              <w:keepLines w:val="0"/>
              <w:widowControl/>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②对接人员与甲方沟通良好、理解到位、执行力强，能及时发现、解决问题，并未雨绸缪地因应各厂区实际情况提供合理化的供配货建议；</w:t>
            </w:r>
          </w:p>
          <w:p w14:paraId="47CA3803">
            <w:pPr>
              <w:keepNext w:val="0"/>
              <w:keepLines w:val="0"/>
              <w:widowControl/>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③未出现推诿，借故不肯签署合同规定的文件或者敷衍了事、置之不理等情况。</w:t>
            </w:r>
          </w:p>
          <w:p w14:paraId="1DBD004A">
            <w:pPr>
              <w:keepNext w:val="0"/>
              <w:keepLines w:val="0"/>
              <w:widowControl/>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（2）配合：</w:t>
            </w:r>
          </w:p>
          <w:p w14:paraId="3107C9A1">
            <w:pPr>
              <w:keepNext w:val="0"/>
              <w:keepLines w:val="0"/>
              <w:widowControl/>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①售后服务流程完善，跟踪到位，响应速度快；</w:t>
            </w:r>
          </w:p>
          <w:p w14:paraId="6006E41F">
            <w:pPr>
              <w:keepNext w:val="0"/>
              <w:keepLines w:val="0"/>
              <w:widowControl/>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②就货物储存保质方式、方法提出合理化建议并能提供专业技术指导；</w:t>
            </w:r>
          </w:p>
          <w:p w14:paraId="1AB16FAF">
            <w:pPr>
              <w:keepNext w:val="0"/>
              <w:keepLines w:val="0"/>
              <w:widowControl/>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③积极配合甲方进行试验、积极协助甲方接受政府管理部门的检查工作及提供各类资质证明材料；</w:t>
            </w:r>
          </w:p>
          <w:p w14:paraId="23DD37BF">
            <w:pPr>
              <w:keepNext w:val="0"/>
              <w:keepLines w:val="0"/>
              <w:widowControl/>
              <w:suppressLineNumbers w:val="0"/>
              <w:autoSpaceDE w:val="0"/>
              <w:autoSpaceDN w:val="0"/>
              <w:adjustRightInd w:val="0"/>
              <w:spacing w:before="0" w:beforeAutospacing="0" w:after="0" w:afterAutospacing="0"/>
              <w:ind w:left="0" w:right="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④能根据甲方要求提供专业培训。</w:t>
            </w:r>
          </w:p>
          <w:p w14:paraId="530C3364">
            <w:pPr>
              <w:keepNext w:val="0"/>
              <w:keepLines w:val="0"/>
              <w:widowControl w:val="0"/>
              <w:suppressLineNumbers w:val="0"/>
              <w:autoSpaceDE w:val="0"/>
              <w:autoSpaceDN w:val="0"/>
              <w:adjustRightInd w:val="0"/>
              <w:spacing w:before="0" w:beforeAutospacing="0" w:after="0" w:afterAutospacing="0"/>
              <w:ind w:left="0" w:right="0"/>
              <w:jc w:val="left"/>
              <w:outlineLvl w:val="2"/>
              <w:rPr>
                <w:rFonts w:hint="eastAsia" w:ascii="宋体" w:hAnsi="宋体" w:eastAsia="宋体" w:cs="宋体"/>
                <w:color w:val="auto"/>
                <w:kern w:val="2"/>
                <w:sz w:val="21"/>
                <w:szCs w:val="21"/>
                <w:highlight w:val="none"/>
              </w:rPr>
            </w:pPr>
            <w:bookmarkStart w:id="478" w:name="_Toc10103"/>
            <w:bookmarkStart w:id="479" w:name="_Toc11509"/>
            <w:r>
              <w:rPr>
                <w:rFonts w:hint="eastAsia" w:ascii="宋体" w:hAnsi="宋体" w:eastAsia="宋体" w:cs="宋体"/>
                <w:bCs/>
                <w:color w:val="auto"/>
                <w:kern w:val="2"/>
                <w:sz w:val="21"/>
                <w:szCs w:val="21"/>
                <w:highlight w:val="none"/>
                <w:lang w:val="en-US" w:eastAsia="zh-CN" w:bidi="ar"/>
              </w:rPr>
              <w:t>⑤高效处理退换货工作、态度良好。</w:t>
            </w:r>
            <w:bookmarkEnd w:id="478"/>
            <w:bookmarkEnd w:id="479"/>
          </w:p>
        </w:tc>
        <w:tc>
          <w:tcPr>
            <w:tcW w:w="2110" w:type="dxa"/>
            <w:tcBorders>
              <w:top w:val="single" w:color="auto" w:sz="4" w:space="0"/>
              <w:left w:val="single" w:color="auto" w:sz="4" w:space="0"/>
              <w:bottom w:val="single" w:color="auto" w:sz="4" w:space="0"/>
              <w:right w:val="single" w:color="auto" w:sz="4" w:space="0"/>
            </w:tcBorders>
            <w:shd w:val="clear" w:color="auto" w:fill="auto"/>
            <w:vAlign w:val="center"/>
          </w:tcPr>
          <w:p w14:paraId="7C931749">
            <w:pPr>
              <w:keepNext w:val="0"/>
              <w:keepLines w:val="0"/>
              <w:widowControl/>
              <w:suppressLineNumbers w:val="0"/>
              <w:autoSpaceDE w:val="0"/>
              <w:autoSpaceDN w:val="0"/>
              <w:adjustRightInd w:val="0"/>
              <w:spacing w:before="0" w:beforeAutospacing="0" w:after="0" w:afterAutospacing="0"/>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达到标准的得满分，每月每次货物有一项未达到标准的扣2分，每次货物最多扣2分。</w:t>
            </w:r>
          </w:p>
        </w:tc>
        <w:tc>
          <w:tcPr>
            <w:tcW w:w="716" w:type="dxa"/>
            <w:tcBorders>
              <w:top w:val="single" w:color="auto" w:sz="4" w:space="0"/>
              <w:left w:val="single" w:color="auto" w:sz="4" w:space="0"/>
              <w:bottom w:val="single" w:color="auto" w:sz="4" w:space="0"/>
              <w:right w:val="single" w:color="auto" w:sz="4" w:space="0"/>
            </w:tcBorders>
            <w:shd w:val="clear" w:color="auto" w:fill="auto"/>
            <w:vAlign w:val="center"/>
          </w:tcPr>
          <w:p w14:paraId="07DA8BD0">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10</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451D9531">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bCs/>
                <w:color w:val="auto"/>
                <w:kern w:val="2"/>
                <w:sz w:val="21"/>
                <w:szCs w:val="21"/>
                <w:highlight w:val="none"/>
              </w:rPr>
            </w:pPr>
          </w:p>
        </w:tc>
        <w:tc>
          <w:tcPr>
            <w:tcW w:w="932" w:type="dxa"/>
            <w:tcBorders>
              <w:top w:val="single" w:color="auto" w:sz="4" w:space="0"/>
              <w:left w:val="single" w:color="auto" w:sz="4" w:space="0"/>
              <w:bottom w:val="single" w:color="auto" w:sz="4" w:space="0"/>
              <w:right w:val="single" w:color="auto" w:sz="4" w:space="0"/>
            </w:tcBorders>
            <w:shd w:val="clear" w:color="auto" w:fill="auto"/>
            <w:vAlign w:val="center"/>
          </w:tcPr>
          <w:p w14:paraId="0A51079F">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bCs/>
                <w:color w:val="auto"/>
                <w:kern w:val="2"/>
                <w:sz w:val="21"/>
                <w:szCs w:val="21"/>
                <w:highlight w:val="none"/>
              </w:rPr>
            </w:pPr>
          </w:p>
        </w:tc>
      </w:tr>
      <w:tr w14:paraId="33113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64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B3A792B">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合计</w:t>
            </w:r>
          </w:p>
        </w:tc>
        <w:tc>
          <w:tcPr>
            <w:tcW w:w="716" w:type="dxa"/>
            <w:tcBorders>
              <w:top w:val="single" w:color="auto" w:sz="4" w:space="0"/>
              <w:left w:val="single" w:color="auto" w:sz="4" w:space="0"/>
              <w:bottom w:val="single" w:color="auto" w:sz="4" w:space="0"/>
              <w:right w:val="single" w:color="auto" w:sz="4" w:space="0"/>
            </w:tcBorders>
            <w:shd w:val="clear" w:color="auto" w:fill="auto"/>
            <w:vAlign w:val="center"/>
          </w:tcPr>
          <w:p w14:paraId="11D69BA9">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100</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785F8F5F">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bCs/>
                <w:color w:val="auto"/>
                <w:kern w:val="2"/>
                <w:sz w:val="21"/>
                <w:szCs w:val="21"/>
                <w:highlight w:val="none"/>
              </w:rPr>
            </w:pPr>
          </w:p>
        </w:tc>
        <w:tc>
          <w:tcPr>
            <w:tcW w:w="932" w:type="dxa"/>
            <w:tcBorders>
              <w:top w:val="single" w:color="auto" w:sz="4" w:space="0"/>
              <w:left w:val="single" w:color="auto" w:sz="4" w:space="0"/>
              <w:bottom w:val="single" w:color="auto" w:sz="4" w:space="0"/>
              <w:right w:val="single" w:color="auto" w:sz="4" w:space="0"/>
            </w:tcBorders>
            <w:shd w:val="clear" w:color="auto" w:fill="auto"/>
            <w:vAlign w:val="center"/>
          </w:tcPr>
          <w:p w14:paraId="0D454A9F">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bCs/>
                <w:color w:val="auto"/>
                <w:kern w:val="2"/>
                <w:sz w:val="21"/>
                <w:szCs w:val="21"/>
                <w:highlight w:val="none"/>
              </w:rPr>
            </w:pPr>
          </w:p>
        </w:tc>
      </w:tr>
      <w:tr w14:paraId="6807D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9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87237A5">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评审结论</w:t>
            </w:r>
          </w:p>
        </w:tc>
        <w:tc>
          <w:tcPr>
            <w:tcW w:w="8004" w:type="dxa"/>
            <w:gridSpan w:val="5"/>
            <w:tcBorders>
              <w:top w:val="single" w:color="auto" w:sz="4" w:space="0"/>
              <w:left w:val="single" w:color="auto" w:sz="4" w:space="0"/>
              <w:bottom w:val="single" w:color="auto" w:sz="4" w:space="0"/>
              <w:right w:val="single" w:color="auto" w:sz="4" w:space="0"/>
            </w:tcBorders>
            <w:shd w:val="clear" w:color="auto" w:fill="auto"/>
            <w:vAlign w:val="top"/>
          </w:tcPr>
          <w:p w14:paraId="6BEE2717">
            <w:pPr>
              <w:keepNext w:val="0"/>
              <w:keepLines w:val="0"/>
              <w:widowControl/>
              <w:suppressLineNumbers w:val="0"/>
              <w:autoSpaceDE w:val="0"/>
              <w:autoSpaceDN w:val="0"/>
              <w:adjustRightInd w:val="0"/>
              <w:spacing w:before="0" w:beforeAutospacing="0" w:after="0" w:afterAutospacing="0"/>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w:t>
            </w:r>
            <w:r>
              <w:rPr>
                <w:rFonts w:hint="eastAsia" w:ascii="宋体" w:hAnsi="宋体" w:eastAsia="宋体" w:cs="宋体"/>
                <w:bCs/>
                <w:color w:val="auto"/>
                <w:szCs w:val="21"/>
                <w:highlight w:val="none"/>
                <w:lang w:bidi="ar"/>
              </w:rPr>
              <w:t>合计分值不低于</w:t>
            </w:r>
            <w:r>
              <w:rPr>
                <w:rFonts w:hint="eastAsia" w:ascii="宋体" w:hAnsi="宋体" w:eastAsia="宋体" w:cs="宋体"/>
                <w:bCs/>
                <w:color w:val="auto"/>
                <w:kern w:val="2"/>
                <w:sz w:val="21"/>
                <w:szCs w:val="21"/>
                <w:highlight w:val="none"/>
                <w:lang w:val="en-US" w:eastAsia="zh-CN" w:bidi="ar"/>
              </w:rPr>
              <w:t>80的，评审结论合格</w:t>
            </w:r>
          </w:p>
          <w:p w14:paraId="57669373">
            <w:pPr>
              <w:keepNext w:val="0"/>
              <w:keepLines w:val="0"/>
              <w:widowControl/>
              <w:suppressLineNumbers w:val="0"/>
              <w:autoSpaceDE w:val="0"/>
              <w:autoSpaceDN w:val="0"/>
              <w:adjustRightInd w:val="0"/>
              <w:spacing w:before="0" w:beforeAutospacing="0" w:after="0" w:afterAutospacing="0"/>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□评审结论不合格，说明：</w:t>
            </w:r>
            <w:r>
              <w:rPr>
                <w:rFonts w:hint="eastAsia" w:ascii="宋体" w:hAnsi="宋体" w:eastAsia="宋体" w:cs="宋体"/>
                <w:bCs/>
                <w:color w:val="auto"/>
                <w:kern w:val="2"/>
                <w:sz w:val="21"/>
                <w:szCs w:val="21"/>
                <w:highlight w:val="none"/>
                <w:u w:val="single"/>
                <w:lang w:val="en-US" w:eastAsia="zh-CN" w:bidi="ar"/>
              </w:rPr>
              <w:t xml:space="preserve">              </w:t>
            </w:r>
          </w:p>
        </w:tc>
      </w:tr>
      <w:tr w14:paraId="5FB06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1979"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787C6AEA">
            <w:pPr>
              <w:keepNext w:val="0"/>
              <w:keepLines w:val="0"/>
              <w:widowControl/>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履约评审运营项目</w:t>
            </w:r>
            <w:r>
              <w:rPr>
                <w:rFonts w:hint="eastAsia" w:ascii="宋体" w:hAnsi="宋体" w:eastAsia="宋体" w:cs="宋体"/>
                <w:color w:val="auto"/>
                <w:kern w:val="2"/>
                <w:sz w:val="21"/>
                <w:szCs w:val="21"/>
                <w:highlight w:val="none"/>
                <w:lang w:val="en-US" w:eastAsia="zh-CN" w:bidi="ar"/>
              </w:rPr>
              <w:t>其他</w:t>
            </w:r>
            <w:r>
              <w:rPr>
                <w:rFonts w:hint="eastAsia" w:ascii="宋体" w:hAnsi="宋体" w:eastAsia="宋体" w:cs="宋体"/>
                <w:bCs/>
                <w:color w:val="auto"/>
                <w:kern w:val="2"/>
                <w:sz w:val="21"/>
                <w:szCs w:val="21"/>
                <w:highlight w:val="none"/>
                <w:lang w:val="en-US" w:eastAsia="zh-CN" w:bidi="ar"/>
              </w:rPr>
              <w:t>意见及签署</w:t>
            </w:r>
          </w:p>
        </w:tc>
        <w:tc>
          <w:tcPr>
            <w:tcW w:w="3557" w:type="dxa"/>
            <w:tcBorders>
              <w:top w:val="single" w:color="auto" w:sz="4" w:space="0"/>
              <w:left w:val="single" w:color="auto" w:sz="4" w:space="0"/>
              <w:bottom w:val="single" w:color="auto" w:sz="4" w:space="0"/>
              <w:right w:val="single" w:color="auto" w:sz="4" w:space="0"/>
            </w:tcBorders>
            <w:shd w:val="clear" w:color="auto" w:fill="auto"/>
            <w:vAlign w:val="center"/>
          </w:tcPr>
          <w:p w14:paraId="273A0649">
            <w:pPr>
              <w:keepNext w:val="0"/>
              <w:keepLines w:val="0"/>
              <w:widowControl/>
              <w:suppressLineNumbers w:val="0"/>
              <w:autoSpaceDE w:val="0"/>
              <w:autoSpaceDN w:val="0"/>
              <w:adjustRightInd w:val="0"/>
              <w:spacing w:before="0" w:beforeAutospacing="0" w:after="0" w:afterAutospacing="0"/>
              <w:ind w:left="0" w:right="0"/>
              <w:jc w:val="left"/>
              <w:rPr>
                <w:rFonts w:hint="eastAsia" w:ascii="宋体" w:hAnsi="宋体" w:eastAsia="宋体" w:cs="宋体"/>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经办人</w:t>
            </w:r>
          </w:p>
        </w:tc>
        <w:tc>
          <w:tcPr>
            <w:tcW w:w="444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1140266">
            <w:pPr>
              <w:keepNext w:val="0"/>
              <w:keepLines w:val="0"/>
              <w:widowControl/>
              <w:suppressLineNumbers w:val="0"/>
              <w:autoSpaceDE w:val="0"/>
              <w:autoSpaceDN w:val="0"/>
              <w:adjustRightInd w:val="0"/>
              <w:spacing w:before="0" w:beforeAutospacing="0" w:after="0" w:afterAutospacing="0"/>
              <w:ind w:left="0" w:right="0"/>
              <w:jc w:val="left"/>
              <w:rPr>
                <w:rFonts w:hint="eastAsia" w:ascii="宋体" w:hAnsi="宋体" w:eastAsia="宋体" w:cs="宋体"/>
                <w:bCs/>
                <w:color w:val="auto"/>
                <w:kern w:val="2"/>
                <w:sz w:val="21"/>
                <w:szCs w:val="21"/>
                <w:highlight w:val="none"/>
              </w:rPr>
            </w:pPr>
          </w:p>
        </w:tc>
      </w:tr>
      <w:tr w14:paraId="053A8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05" w:hRule="atLeast"/>
          <w:jc w:val="center"/>
        </w:trPr>
        <w:tc>
          <w:tcPr>
            <w:tcW w:w="1979"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7BABCCC3">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3557" w:type="dxa"/>
            <w:tcBorders>
              <w:top w:val="single" w:color="auto" w:sz="4" w:space="0"/>
              <w:left w:val="single" w:color="auto" w:sz="4" w:space="0"/>
              <w:bottom w:val="single" w:color="auto" w:sz="4" w:space="0"/>
              <w:right w:val="single" w:color="auto" w:sz="4" w:space="0"/>
            </w:tcBorders>
            <w:shd w:val="clear" w:color="auto" w:fill="auto"/>
            <w:vAlign w:val="center"/>
          </w:tcPr>
          <w:p w14:paraId="5E8FCAA4">
            <w:pPr>
              <w:keepNext w:val="0"/>
              <w:keepLines w:val="0"/>
              <w:widowControl/>
              <w:suppressLineNumbers w:val="0"/>
              <w:autoSpaceDE w:val="0"/>
              <w:autoSpaceDN w:val="0"/>
              <w:adjustRightInd w:val="0"/>
              <w:spacing w:before="0" w:beforeAutospacing="0" w:after="0" w:afterAutospacing="0"/>
              <w:ind w:left="0" w:right="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运营项目负责人</w:t>
            </w:r>
          </w:p>
        </w:tc>
        <w:tc>
          <w:tcPr>
            <w:tcW w:w="444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39331F2">
            <w:pPr>
              <w:keepNext w:val="0"/>
              <w:keepLines w:val="0"/>
              <w:widowControl/>
              <w:suppressLineNumbers w:val="0"/>
              <w:autoSpaceDE w:val="0"/>
              <w:autoSpaceDN w:val="0"/>
              <w:adjustRightInd w:val="0"/>
              <w:spacing w:before="0" w:beforeAutospacing="0" w:after="0" w:afterAutospacing="0"/>
              <w:ind w:left="0" w:right="0"/>
              <w:jc w:val="left"/>
              <w:rPr>
                <w:rFonts w:hint="eastAsia" w:ascii="宋体" w:hAnsi="宋体" w:eastAsia="宋体" w:cs="宋体"/>
                <w:bCs/>
                <w:color w:val="auto"/>
                <w:kern w:val="2"/>
                <w:sz w:val="21"/>
                <w:szCs w:val="21"/>
                <w:highlight w:val="none"/>
              </w:rPr>
            </w:pPr>
          </w:p>
        </w:tc>
      </w:tr>
    </w:tbl>
    <w:p w14:paraId="68E24E8D">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7A623C37">
      <w:pPr>
        <w:keepNext w:val="0"/>
        <w:keepLines w:val="0"/>
        <w:pageBreakBefore/>
        <w:widowControl w:val="0"/>
        <w:suppressLineNumbers w:val="0"/>
        <w:spacing w:before="0" w:beforeAutospacing="0" w:after="0" w:afterAutospacing="0" w:line="360" w:lineRule="auto"/>
        <w:ind w:left="0" w:right="0"/>
        <w:jc w:val="both"/>
        <w:outlineLvl w:val="1"/>
        <w:rPr>
          <w:rFonts w:hint="eastAsia" w:ascii="宋体" w:hAnsi="宋体" w:eastAsia="宋体" w:cs="宋体"/>
          <w:b/>
          <w:bCs w:val="0"/>
          <w:color w:val="auto"/>
          <w:kern w:val="2"/>
          <w:sz w:val="21"/>
          <w:szCs w:val="21"/>
          <w:highlight w:val="none"/>
          <w:lang w:val="en-US" w:eastAsia="zh-CN" w:bidi="ar"/>
        </w:rPr>
      </w:pPr>
      <w:bookmarkStart w:id="480" w:name="_Toc144"/>
      <w:r>
        <w:rPr>
          <w:rFonts w:hint="eastAsia" w:ascii="宋体" w:hAnsi="宋体" w:eastAsia="宋体" w:cs="宋体"/>
          <w:b/>
          <w:bCs w:val="0"/>
          <w:color w:val="auto"/>
          <w:kern w:val="2"/>
          <w:sz w:val="21"/>
          <w:szCs w:val="21"/>
          <w:highlight w:val="none"/>
          <w:lang w:val="en-US" w:eastAsia="zh-CN" w:bidi="ar"/>
        </w:rPr>
        <w:t>附件3：廉洁协议书</w:t>
      </w:r>
      <w:bookmarkEnd w:id="480"/>
    </w:p>
    <w:p w14:paraId="6A81DD15">
      <w:pPr>
        <w:spacing w:line="360" w:lineRule="auto"/>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廉洁协议书</w:t>
      </w:r>
    </w:p>
    <w:p w14:paraId="0BE360E0">
      <w:pPr>
        <w:spacing w:line="560" w:lineRule="exact"/>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项目名称：</w:t>
      </w:r>
      <w:r>
        <w:rPr>
          <w:rFonts w:hint="eastAsia" w:ascii="宋体" w:hAnsi="宋体" w:eastAsia="宋体" w:cs="宋体"/>
          <w:color w:val="auto"/>
          <w:sz w:val="21"/>
          <w:szCs w:val="21"/>
          <w:highlight w:val="none"/>
        </w:rPr>
        <w:t xml:space="preserve">                 （招标编号：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646B012">
      <w:pPr>
        <w:spacing w:line="56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甲方（业主单位）：</w:t>
      </w:r>
    </w:p>
    <w:p w14:paraId="15F6203B">
      <w:pPr>
        <w:spacing w:line="56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乙方：</w:t>
      </w:r>
    </w:p>
    <w:p w14:paraId="541F3B66">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14:paraId="6DAAE066">
      <w:pPr>
        <w:spacing w:line="560" w:lineRule="exact"/>
        <w:ind w:firstLine="422" w:firstLineChars="200"/>
        <w:rPr>
          <w:rFonts w:hint="eastAsia" w:ascii="宋体" w:hAnsi="宋体" w:eastAsia="宋体" w:cs="宋体"/>
          <w:b/>
          <w:bCs/>
          <w:color w:val="auto"/>
          <w:sz w:val="21"/>
          <w:szCs w:val="21"/>
          <w:highlight w:val="none"/>
        </w:rPr>
      </w:pPr>
      <w:bookmarkStart w:id="481" w:name="_Toc27598"/>
      <w:r>
        <w:rPr>
          <w:rFonts w:hint="eastAsia" w:ascii="宋体" w:hAnsi="宋体" w:eastAsia="宋体" w:cs="宋体"/>
          <w:b/>
          <w:bCs/>
          <w:color w:val="auto"/>
          <w:sz w:val="21"/>
          <w:szCs w:val="21"/>
          <w:highlight w:val="none"/>
        </w:rPr>
        <w:t>第一条  甲乙双方的权利和义务</w:t>
      </w:r>
      <w:bookmarkEnd w:id="481"/>
    </w:p>
    <w:p w14:paraId="37040F70">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（一）严格遵守党和国家有关法律法规等有关廉洁从业规定。</w:t>
      </w:r>
    </w:p>
    <w:p w14:paraId="5251CE98">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（二）严格执行本项目的合同文件，自觉按合同办事。</w:t>
      </w:r>
    </w:p>
    <w:p w14:paraId="09442FB1">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（三）双方的业务活动坚持公开、公正、诚信、透明的原则（除法律认定的商业秘密和合同文件另有规定之外）不得损害国家和集体利益，违反工程建设管理及其他法律法规规章制度。</w:t>
      </w:r>
    </w:p>
    <w:p w14:paraId="6D3C7953">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（四）建立健全廉洁制度，开展廉洁教育，设立廉洁监督公示牌，公布举报电话，监督并认真查处违法违纪行为。</w:t>
      </w:r>
    </w:p>
    <w:p w14:paraId="650E1AC2">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（五）发现对方在业务活动中有违反廉洁规定的行为，有及时提醒对方纠正的权利和义务。</w:t>
      </w:r>
    </w:p>
    <w:p w14:paraId="3E5EBA08">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（六）发现对方严重违反本协议义务条款的行为，有向其上级有关部门举报、建议给予处理并要求告知处理结果的权利。</w:t>
      </w:r>
    </w:p>
    <w:p w14:paraId="58FB193B">
      <w:pPr>
        <w:spacing w:line="560" w:lineRule="exact"/>
        <w:ind w:firstLine="422" w:firstLineChars="200"/>
        <w:rPr>
          <w:rFonts w:hint="eastAsia" w:ascii="宋体" w:hAnsi="宋体" w:eastAsia="宋体" w:cs="宋体"/>
          <w:b/>
          <w:bCs/>
          <w:color w:val="auto"/>
          <w:sz w:val="21"/>
          <w:szCs w:val="21"/>
          <w:highlight w:val="none"/>
        </w:rPr>
      </w:pPr>
      <w:bookmarkStart w:id="482" w:name="_Toc23249"/>
      <w:r>
        <w:rPr>
          <w:rFonts w:hint="eastAsia" w:ascii="宋体" w:hAnsi="宋体" w:eastAsia="宋体" w:cs="宋体"/>
          <w:b/>
          <w:bCs/>
          <w:color w:val="auto"/>
          <w:sz w:val="21"/>
          <w:szCs w:val="21"/>
          <w:highlight w:val="none"/>
        </w:rPr>
        <w:t>第二条  甲方的义务</w:t>
      </w:r>
      <w:bookmarkEnd w:id="482"/>
    </w:p>
    <w:p w14:paraId="5D59DCC5">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（一）甲方及其工作人员不得索要或接受乙方的礼金、有价证券和贵重物品，不得在乙方报销任何应由甲方或个人支付的费用。</w:t>
      </w:r>
    </w:p>
    <w:p w14:paraId="0AE7BE32">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（二）甲方工作人员不得参加乙方安排的高消费宴请和娱乐活动；不得接受乙方提供的通讯工具、交通工具和高档办公用品。</w:t>
      </w:r>
    </w:p>
    <w:p w14:paraId="62EA759E">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（三）甲方及其工作人员不得要求或者接受乙方为其住房装修、婚丧嫁娶活动、家属或亲友的工作安排以及出国出境、旅游等提供方便。</w:t>
      </w:r>
    </w:p>
    <w:p w14:paraId="455835FF">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（四）甲方工作人员不得向乙方介绍其家属或者亲友（包括家属或亲友开办的公司企业）从事于本项目涉及的经济业务活动。</w:t>
      </w:r>
    </w:p>
    <w:p w14:paraId="00877485">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（五）甲方及其工作人员不得以任何理由向乙方推荐分包单位，不得要求乙方购买合同规定外的材料和设备。</w:t>
      </w:r>
    </w:p>
    <w:p w14:paraId="24CD2B6F">
      <w:pPr>
        <w:spacing w:line="560" w:lineRule="exact"/>
        <w:ind w:firstLine="420" w:firstLineChars="200"/>
        <w:rPr>
          <w:rFonts w:hint="eastAsia" w:ascii="宋体" w:hAnsi="宋体" w:eastAsia="宋体" w:cs="宋体"/>
          <w:color w:val="auto"/>
          <w:sz w:val="21"/>
          <w:szCs w:val="21"/>
          <w:highlight w:val="none"/>
        </w:rPr>
      </w:pPr>
      <w:bookmarkStart w:id="483" w:name="_Toc27809"/>
      <w:r>
        <w:rPr>
          <w:rFonts w:hint="eastAsia" w:ascii="宋体" w:hAnsi="宋体" w:eastAsia="宋体" w:cs="宋体"/>
          <w:color w:val="auto"/>
          <w:sz w:val="21"/>
          <w:szCs w:val="21"/>
          <w:highlight w:val="none"/>
        </w:rPr>
        <w:t>（六）甲方及其工作人员不得进行违反廉洁规定的其他活动。</w:t>
      </w:r>
      <w:bookmarkEnd w:id="483"/>
    </w:p>
    <w:p w14:paraId="708FB8A7">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（七）甲方应对甲方工作人员进行廉洁监督管理，如甲方工作人员违反本协议第一、第二条，甲方应依据有关法律法规、党纪规定对其进行处理；涉嫌犯罪的，甲方应将其移交司法机关追究刑事责任。</w:t>
      </w:r>
    </w:p>
    <w:p w14:paraId="259EAFF9">
      <w:pPr>
        <w:spacing w:line="560" w:lineRule="exact"/>
        <w:ind w:firstLine="422" w:firstLineChars="200"/>
        <w:rPr>
          <w:rFonts w:hint="eastAsia" w:ascii="宋体" w:hAnsi="宋体" w:eastAsia="宋体" w:cs="宋体"/>
          <w:b/>
          <w:bCs/>
          <w:color w:val="auto"/>
          <w:sz w:val="21"/>
          <w:szCs w:val="21"/>
          <w:highlight w:val="none"/>
        </w:rPr>
      </w:pPr>
      <w:bookmarkStart w:id="484" w:name="_Toc8666"/>
      <w:r>
        <w:rPr>
          <w:rFonts w:hint="eastAsia" w:ascii="宋体" w:hAnsi="宋体" w:eastAsia="宋体" w:cs="宋体"/>
          <w:b/>
          <w:bCs/>
          <w:color w:val="auto"/>
          <w:sz w:val="21"/>
          <w:szCs w:val="21"/>
          <w:highlight w:val="none"/>
        </w:rPr>
        <w:t>第三条  乙方义务</w:t>
      </w:r>
      <w:bookmarkEnd w:id="484"/>
    </w:p>
    <w:p w14:paraId="16D489EE">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（一）乙方不得以任何理由向甲方及其工作人员馈赠礼金、有价证券、贵重礼品，或报销应由甲方单位或个人支付的任何费用。</w:t>
      </w:r>
    </w:p>
    <w:p w14:paraId="4F5740AA">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（二）乙方及其工作人员不得以考察、参观、洽谈业务、签订合同等的借口邀请甲方及其工作人员参加高消费的宴请、娱乐和健身等活动。</w:t>
      </w:r>
    </w:p>
    <w:p w14:paraId="4927FF19">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（三）乙方不得为甲方单位和个人购置或提供通讯工具、交通工具和高档办公用品等。</w:t>
      </w:r>
    </w:p>
    <w:p w14:paraId="7A3D0DD7">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（四）乙方及其工作人员不得为甲方工作人员购买、装修、维修私人住房、汽车等。</w:t>
      </w:r>
    </w:p>
    <w:p w14:paraId="0E961EDB">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（五）乙方及其工作人员不得为甲方工作人员的婚丧嫁娶、家属或亲友的工作安排，及出国出境提供方便以及报销任何私人消费的费用。</w:t>
      </w:r>
    </w:p>
    <w:p w14:paraId="2D02E4DE">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（六）乙方及其工作人员不得进行影响甲方及其工作人员公正执行合同和履行职务的其他活动。</w:t>
      </w:r>
    </w:p>
    <w:p w14:paraId="004DB946">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乙方应对乙方工作人员进行廉洁监督管理，如乙方工作人员违反本协议第一、第三条，乙方应依据有关法律法规、党纪规定对其进行处理；乙方工作人员涉嫌犯罪的，乙方应将其移交司法机关追究刑事责任。</w:t>
      </w:r>
    </w:p>
    <w:p w14:paraId="315881C3">
      <w:pPr>
        <w:spacing w:line="560" w:lineRule="exact"/>
        <w:ind w:firstLine="422" w:firstLineChars="200"/>
        <w:rPr>
          <w:rFonts w:hint="eastAsia" w:ascii="宋体" w:hAnsi="宋体" w:eastAsia="宋体" w:cs="宋体"/>
          <w:b/>
          <w:bCs/>
          <w:color w:val="auto"/>
          <w:sz w:val="21"/>
          <w:szCs w:val="21"/>
          <w:highlight w:val="none"/>
        </w:rPr>
      </w:pPr>
      <w:bookmarkStart w:id="485" w:name="_Toc27814"/>
      <w:r>
        <w:rPr>
          <w:rFonts w:hint="eastAsia" w:ascii="宋体" w:hAnsi="宋体" w:eastAsia="宋体" w:cs="宋体"/>
          <w:b/>
          <w:bCs/>
          <w:color w:val="auto"/>
          <w:sz w:val="21"/>
          <w:szCs w:val="21"/>
          <w:highlight w:val="none"/>
        </w:rPr>
        <w:t>第四条  违约责任</w:t>
      </w:r>
      <w:bookmarkEnd w:id="485"/>
    </w:p>
    <w:p w14:paraId="206EB981">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（一）甲方违反本协议第一、第二条给乙方单位造成经济损失的，应予以赔偿。</w:t>
      </w:r>
    </w:p>
    <w:p w14:paraId="576E1FA6">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（二）乙方违反本协议第一、第三条给甲方单位造成经济损失的，应予以赔偿。</w:t>
      </w:r>
    </w:p>
    <w:p w14:paraId="0663EC59">
      <w:pPr>
        <w:spacing w:line="560" w:lineRule="exact"/>
        <w:ind w:firstLine="422" w:firstLineChars="200"/>
        <w:rPr>
          <w:rFonts w:hint="eastAsia" w:ascii="宋体" w:hAnsi="宋体" w:eastAsia="宋体" w:cs="宋体"/>
          <w:b/>
          <w:bCs/>
          <w:color w:val="auto"/>
          <w:sz w:val="21"/>
          <w:szCs w:val="21"/>
          <w:highlight w:val="none"/>
        </w:rPr>
      </w:pPr>
      <w:bookmarkStart w:id="486" w:name="_Toc3465"/>
      <w:r>
        <w:rPr>
          <w:rFonts w:hint="eastAsia" w:ascii="宋体" w:hAnsi="宋体" w:eastAsia="宋体" w:cs="宋体"/>
          <w:b/>
          <w:bCs/>
          <w:color w:val="auto"/>
          <w:sz w:val="21"/>
          <w:szCs w:val="21"/>
          <w:highlight w:val="none"/>
        </w:rPr>
        <w:t>第五条  监督检查</w:t>
      </w:r>
      <w:bookmarkEnd w:id="486"/>
    </w:p>
    <w:p w14:paraId="1ABDBA8D">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甲乙双方的廉洁从业行为由双方或双方上级单位的纪检、监察部门负责监督，对本协议履行情况进行检查。</w:t>
      </w:r>
    </w:p>
    <w:p w14:paraId="6F39DB1F">
      <w:pPr>
        <w:spacing w:line="560" w:lineRule="exact"/>
        <w:ind w:firstLine="422" w:firstLineChars="200"/>
        <w:rPr>
          <w:rFonts w:hint="eastAsia" w:ascii="宋体" w:hAnsi="宋体" w:eastAsia="宋体" w:cs="宋体"/>
          <w:b/>
          <w:bCs/>
          <w:color w:val="auto"/>
          <w:sz w:val="21"/>
          <w:szCs w:val="21"/>
          <w:highlight w:val="none"/>
        </w:rPr>
      </w:pPr>
      <w:bookmarkStart w:id="487" w:name="_Toc9467"/>
      <w:r>
        <w:rPr>
          <w:rFonts w:hint="eastAsia" w:ascii="宋体" w:hAnsi="宋体" w:eastAsia="宋体" w:cs="宋体"/>
          <w:b/>
          <w:bCs/>
          <w:color w:val="auto"/>
          <w:sz w:val="21"/>
          <w:szCs w:val="21"/>
          <w:highlight w:val="none"/>
        </w:rPr>
        <w:t>第六条 举报信访受理</w:t>
      </w:r>
      <w:bookmarkEnd w:id="487"/>
    </w:p>
    <w:p w14:paraId="29DF99BA">
      <w:pPr>
        <w:spacing w:line="560" w:lineRule="exact"/>
        <w:ind w:firstLine="5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（一）举报受理部门：东莞市水务集团有限公司纪检监察部。</w:t>
      </w:r>
    </w:p>
    <w:p w14:paraId="3C40E871">
      <w:pPr>
        <w:spacing w:line="560" w:lineRule="exact"/>
        <w:ind w:firstLine="5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（二）举报电话：（0769）23076092。</w:t>
      </w:r>
    </w:p>
    <w:p w14:paraId="7ED25FD7">
      <w:pPr>
        <w:spacing w:line="560" w:lineRule="exact"/>
        <w:ind w:firstLine="5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（三）举报邮箱：jcsj@dgswjt.cn。</w:t>
      </w:r>
    </w:p>
    <w:p w14:paraId="3A208F1C">
      <w:pPr>
        <w:spacing w:line="560" w:lineRule="exact"/>
        <w:ind w:firstLine="5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（四）信访地址：广东省东莞市东城街道育华路1号。</w:t>
      </w:r>
    </w:p>
    <w:p w14:paraId="65BB100D">
      <w:pPr>
        <w:spacing w:line="560" w:lineRule="exact"/>
        <w:ind w:firstLine="422" w:firstLineChars="200"/>
        <w:rPr>
          <w:rFonts w:hint="eastAsia" w:ascii="宋体" w:hAnsi="宋体" w:eastAsia="宋体" w:cs="宋体"/>
          <w:b/>
          <w:bCs/>
          <w:color w:val="auto"/>
          <w:sz w:val="21"/>
          <w:szCs w:val="21"/>
          <w:highlight w:val="none"/>
        </w:rPr>
      </w:pPr>
      <w:bookmarkStart w:id="488" w:name="_Toc13954"/>
      <w:r>
        <w:rPr>
          <w:rFonts w:hint="eastAsia" w:ascii="宋体" w:hAnsi="宋体" w:eastAsia="宋体" w:cs="宋体"/>
          <w:b/>
          <w:bCs/>
          <w:color w:val="auto"/>
          <w:sz w:val="21"/>
          <w:szCs w:val="21"/>
          <w:highlight w:val="none"/>
        </w:rPr>
        <w:t>第七条 其他</w:t>
      </w:r>
      <w:bookmarkEnd w:id="488"/>
    </w:p>
    <w:p w14:paraId="643EFAD8">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本协议有效期为甲乙双方法定代表人或负责人签字并加盖章之日起至该工程/采购项目竣工验收完毕，质保期/服务期满后止。本协议一式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份，甲、乙双方各执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份，甲、乙双方上级主管部门各执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w:t>
      </w:r>
    </w:p>
    <w:p w14:paraId="152B8026">
      <w:pPr>
        <w:spacing w:line="560" w:lineRule="exact"/>
        <w:ind w:firstLine="420" w:firstLineChars="200"/>
        <w:rPr>
          <w:rFonts w:hint="eastAsia" w:ascii="宋体" w:hAnsi="宋体" w:eastAsia="宋体" w:cs="宋体"/>
          <w:color w:val="auto"/>
          <w:sz w:val="21"/>
          <w:szCs w:val="21"/>
          <w:highlight w:val="none"/>
        </w:rPr>
      </w:pPr>
    </w:p>
    <w:p w14:paraId="4EAE50F9">
      <w:pPr>
        <w:spacing w:line="560" w:lineRule="exact"/>
        <w:rPr>
          <w:rFonts w:hint="eastAsia" w:ascii="宋体" w:hAnsi="宋体" w:eastAsia="宋体" w:cs="宋体"/>
          <w:color w:val="auto"/>
          <w:sz w:val="21"/>
          <w:szCs w:val="21"/>
          <w:highlight w:val="none"/>
        </w:rPr>
      </w:pPr>
    </w:p>
    <w:p w14:paraId="75D27D9E">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甲方（盖章）：                乙方（盖章）： </w:t>
      </w:r>
    </w:p>
    <w:p w14:paraId="514849B6">
      <w:pPr>
        <w:spacing w:line="560" w:lineRule="exact"/>
        <w:ind w:firstLine="420" w:firstLineChars="200"/>
        <w:rPr>
          <w:rFonts w:hint="eastAsia" w:ascii="宋体" w:hAnsi="宋体" w:eastAsia="宋体" w:cs="宋体"/>
          <w:color w:val="auto"/>
          <w:sz w:val="21"/>
          <w:szCs w:val="21"/>
          <w:highlight w:val="none"/>
        </w:rPr>
      </w:pPr>
    </w:p>
    <w:p w14:paraId="61C75298">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法定代表（或负责）人：           法定代表（或负责）人：</w:t>
      </w:r>
    </w:p>
    <w:p w14:paraId="23B80EDA">
      <w:pPr>
        <w:spacing w:line="560" w:lineRule="exact"/>
        <w:rPr>
          <w:rFonts w:hint="eastAsia" w:ascii="宋体" w:hAnsi="宋体" w:eastAsia="宋体" w:cs="宋体"/>
          <w:color w:val="auto"/>
          <w:sz w:val="21"/>
          <w:szCs w:val="21"/>
          <w:highlight w:val="none"/>
        </w:rPr>
      </w:pPr>
    </w:p>
    <w:p w14:paraId="5C583D50">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签订日期：    年  月  日         年  月  日</w:t>
      </w:r>
    </w:p>
    <w:p w14:paraId="281AE9B9">
      <w:pPr>
        <w:rPr>
          <w:rFonts w:hint="eastAsia" w:ascii="宋体" w:hAnsi="宋体" w:eastAsia="宋体" w:cs="宋体"/>
          <w:color w:val="auto"/>
          <w:sz w:val="21"/>
          <w:szCs w:val="21"/>
          <w:highlight w:val="none"/>
        </w:rPr>
      </w:pPr>
    </w:p>
    <w:p w14:paraId="110520A8">
      <w:pPr>
        <w:keepNext w:val="0"/>
        <w:keepLines w:val="0"/>
        <w:pageBreakBefore/>
        <w:widowControl w:val="0"/>
        <w:suppressLineNumbers w:val="0"/>
        <w:spacing w:before="0" w:beforeAutospacing="0" w:after="0" w:afterAutospacing="0" w:line="360" w:lineRule="auto"/>
        <w:ind w:left="0" w:right="0"/>
        <w:jc w:val="both"/>
        <w:outlineLvl w:val="1"/>
        <w:rPr>
          <w:rFonts w:hint="eastAsia" w:ascii="宋体" w:hAnsi="宋体" w:eastAsia="宋体" w:cs="宋体"/>
          <w:b/>
          <w:bCs w:val="0"/>
          <w:color w:val="auto"/>
          <w:kern w:val="2"/>
          <w:sz w:val="21"/>
          <w:szCs w:val="21"/>
          <w:highlight w:val="none"/>
          <w:lang w:val="en-US" w:eastAsia="zh-CN" w:bidi="ar"/>
        </w:rPr>
      </w:pPr>
      <w:bookmarkStart w:id="489" w:name="_Toc20088"/>
      <w:bookmarkStart w:id="490" w:name="_Toc26566"/>
      <w:r>
        <w:rPr>
          <w:rFonts w:hint="eastAsia" w:ascii="宋体" w:hAnsi="宋体" w:eastAsia="宋体" w:cs="宋体"/>
          <w:b/>
          <w:bCs w:val="0"/>
          <w:color w:val="auto"/>
          <w:kern w:val="2"/>
          <w:sz w:val="21"/>
          <w:szCs w:val="21"/>
          <w:highlight w:val="none"/>
          <w:lang w:val="en-US" w:eastAsia="zh-CN" w:bidi="ar"/>
        </w:rPr>
        <w:t>附件4：安全生产管理协议</w:t>
      </w:r>
      <w:bookmarkEnd w:id="489"/>
      <w:bookmarkEnd w:id="490"/>
    </w:p>
    <w:p w14:paraId="5B62166D">
      <w:pPr>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安全生产管理协议</w:t>
      </w:r>
    </w:p>
    <w:p w14:paraId="2910510D">
      <w:pPr>
        <w:jc w:val="center"/>
        <w:rPr>
          <w:rFonts w:hint="eastAsia" w:ascii="宋体" w:hAnsi="宋体" w:eastAsia="宋体" w:cs="宋体"/>
          <w:bCs/>
          <w:color w:val="auto"/>
          <w:sz w:val="28"/>
          <w:szCs w:val="28"/>
          <w:highlight w:val="none"/>
        </w:rPr>
      </w:pPr>
      <w:r>
        <w:rPr>
          <w:rFonts w:hint="eastAsia" w:ascii="宋体" w:hAnsi="宋体" w:eastAsia="宋体" w:cs="宋体"/>
          <w:b/>
          <w:bCs/>
          <w:color w:val="auto"/>
          <w:sz w:val="28"/>
          <w:szCs w:val="28"/>
          <w:highlight w:val="none"/>
        </w:rPr>
        <w:t xml:space="preserve">         </w:t>
      </w:r>
      <w:r>
        <w:rPr>
          <w:rFonts w:hint="eastAsia" w:ascii="宋体" w:hAnsi="宋体" w:eastAsia="宋体" w:cs="宋体"/>
          <w:bCs/>
          <w:color w:val="auto"/>
          <w:sz w:val="28"/>
          <w:szCs w:val="28"/>
          <w:highlight w:val="none"/>
        </w:rPr>
        <w:t xml:space="preserve">                                         </w:t>
      </w:r>
    </w:p>
    <w:p w14:paraId="0F2C8F5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w:t>
      </w:r>
    </w:p>
    <w:p w14:paraId="41054EEA">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p>
    <w:p w14:paraId="3B7E10F8">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电话:                </w:t>
      </w:r>
    </w:p>
    <w:p w14:paraId="2D1846C8">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p>
    <w:p w14:paraId="3406D391">
      <w:pPr>
        <w:spacing w:line="360" w:lineRule="auto"/>
        <w:rPr>
          <w:rFonts w:hint="eastAsia" w:ascii="宋体" w:hAnsi="宋体" w:eastAsia="宋体" w:cs="宋体"/>
          <w:color w:val="auto"/>
          <w:sz w:val="21"/>
          <w:szCs w:val="21"/>
          <w:highlight w:val="none"/>
        </w:rPr>
      </w:pPr>
    </w:p>
    <w:p w14:paraId="398CB343">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w:t>
      </w:r>
    </w:p>
    <w:p w14:paraId="268DAC9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p>
    <w:p w14:paraId="5B146274">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p w14:paraId="6D0A295A">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p>
    <w:p w14:paraId="29D4D44C">
      <w:pPr>
        <w:spacing w:line="360" w:lineRule="auto"/>
        <w:rPr>
          <w:rFonts w:hint="eastAsia" w:ascii="宋体" w:hAnsi="宋体" w:eastAsia="宋体" w:cs="宋体"/>
          <w:color w:val="auto"/>
          <w:sz w:val="21"/>
          <w:szCs w:val="21"/>
          <w:highlight w:val="none"/>
        </w:rPr>
      </w:pPr>
    </w:p>
    <w:p w14:paraId="67992EBB">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安全生产法》和《建设工程安全生产管理条例》的要求，为加强施工现场的安全管理，落实各自的安全生产职责，进一步加强施工单位和施工（维修）人员的安全管理，杜绝施工单位和施工（维修）人员因安全管理不善而引发的各类安全事故，保证甲、乙双方的财产和员工的人身安全不受侵害，经甲乙双方协商一致，签订协议如下：</w:t>
      </w:r>
    </w:p>
    <w:p w14:paraId="5C2317F2">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进场前乙方应将本企业的营业执照、企业资质等级证书、安全生产许可证、进场人员花名册、进场人员身体检查表、携带进场的机具一览表、特种作业人员及特种作业操作证的复印件报甲方。进场职工必须办好施工所在地所需办理的各种证件，不得使用未成年工、童工、超龄工和安排女工从事禁忌劳动，进场前，乙方必须严格遵守甲方及项目所在地的相关防疫要求。</w:t>
      </w:r>
    </w:p>
    <w:p w14:paraId="04911703">
      <w:pPr>
        <w:spacing w:line="360" w:lineRule="auto"/>
        <w:ind w:firstLine="424" w:firstLineChars="202"/>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乙方应设置专职或兼职安全员，对施工进行安全管理，并在施工作业前对所属员工进行安全教育培训，并且进行经常性的安全教育，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p w14:paraId="2AB62E6F">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3、乙方使用被派遣劳动者的，应当将被派遣劳动者纳入本单位从业人员统一管理，对被派遣劳动者进行岗位安全操作规程和安全操作技能的教育和培训。</w:t>
      </w:r>
    </w:p>
    <w:p w14:paraId="57D62DEC">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应当在有较大危险因素的施工场所和有关设施、设备上，设置明显的安全警示标志。乙方应当对安全设备进行经常性维护、保养，并定期检测，保证正常运转。维护、保养、检测应当做好记录，并由乙方安全员或代表签字。</w:t>
      </w:r>
    </w:p>
    <w:p w14:paraId="5BE0B8A6">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5、乙方应当教育和督促从业人员严格执行本单位的安全生产规章制度和安全操作规程；并向从业人员如实告知作业场所和工作岗位存在的危险因素、防范措施以及事故应急措施。</w:t>
      </w:r>
    </w:p>
    <w:p w14:paraId="4CED356E">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6、乙方应严格遵守国家、地方政府有关安全生产及劳动保护的法律法规、标准、规定，贯彻执行甲方的各项安全管理规章制度。</w:t>
      </w:r>
    </w:p>
    <w:p w14:paraId="25643400">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7、乙方依法参加工伤保险，为从业人员缴纳保险费，并应当为从事危险作业的人员办理意外伤害保险。</w:t>
      </w:r>
    </w:p>
    <w:p w14:paraId="7DBDE805">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乙方应当服从甲方的安全管理，保证施工区域的现场文明安全管理达标，现场临时用电、机器设备、安全防护齐全、完好。接受和配合甲方的安全监督检查，乙方现场的所有安全装置、防护设施必须依据经甲方审批后的安全技术施工方案进行搭设、安装，乙方必须无条件保证安全防护设施使用的搭设材料的质量，在用于安全防护的物资进场前将有关物资的材质证明报甲方，经甲方确认后方可使用。</w:t>
      </w:r>
    </w:p>
    <w:p w14:paraId="28BED36C">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乙方携带进场的机器设备、机具必须是合格产品，乙方须对携带进场的机器设备、机具安全负责管理、维护及检查，对甲方和自查发现的安全隐患落实整改措施。对由于乙方使用不合格机器设备、机具造成事故的，由乙方自行承担责任。</w:t>
      </w:r>
    </w:p>
    <w:p w14:paraId="47B33F59">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甲方有权对整个施工现场的安全管理工作进行协调和监督管理。指导、监督、检查乙方的执业健康安全管理工作，对乙方施工中的违章指挥、违章作业和安全隐患提出整改意见，督促、检查乙方的隐患整改落实情况。</w:t>
      </w:r>
    </w:p>
    <w:p w14:paraId="0320EDF4">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乙方在施工过程中违反有关安全管理规定、有违章现象发生、安全问题整改不到位或拒不接受甲方的正常安全管理的，依据有关法律法规规定进行处理。乙方施工中存在重大隐患或险情时，甲方有权要求乙方立即整改直至隐患消除，若乙方整改后仍达不到甲方要求的，甲方有权要求与乙方单方解除合同，并要求乙方清退出场。</w:t>
      </w:r>
    </w:p>
    <w:p w14:paraId="617A40A7">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乙方施工人员未经许可不得随意到施工区域以外的其它工作场所活动，乙方施工人员擅自到施工区域以外的其它工作场所活动，出现人身损伤或伤亡的，由乙方自行负责一切责任。乙方施工人员需动用或施工涉及到甲方所属设备、电器、管线及其他设施等，必须事先征得甲方代表的同意，并采取安全防护措施。</w:t>
      </w:r>
    </w:p>
    <w:p w14:paraId="285C4FC2">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13、在施工过程中，需要进行动土、动火、登高、吊装、断路、进入限制性空间等危险性较高的作业时，乙方的施工负责人、专职或兼职安全员必须现场确认，确保安全后，方可开始施工。</w:t>
      </w:r>
    </w:p>
    <w:p w14:paraId="0818CF42">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14、因乙方原因，造成乙方损失，由乙方自负，给甲方造成财产损失和人员伤害，乙方要负全部责任，并全额赔偿甲方。</w:t>
      </w:r>
    </w:p>
    <w:p w14:paraId="6F08E7AE">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15、非因甲方原因，造成乙方损失的，甲方不承担任何责任，由乙方自行承担全部责任。</w:t>
      </w:r>
    </w:p>
    <w:p w14:paraId="248B8B65">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16、乙方应严格遵守法律法规以及甲方的安全管理要求，并接受甲方的安全生产工作协调和监督，积极消除安全隐患。安全管理的基本要求包括但不限于以下条款：</w:t>
      </w:r>
    </w:p>
    <w:p w14:paraId="55925E0B">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①禁火区内严禁吸烟、动火。有火灾危险的作业区域，乙方必须配置足够的灭火设施。</w:t>
      </w:r>
    </w:p>
    <w:p w14:paraId="579D988B">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②焊接、气割作业时两瓶距离必须达到5M及以上，气瓶距可能产生火花的电器、设备和其它火源的间距必须达到10M及以上。</w:t>
      </w:r>
    </w:p>
    <w:p w14:paraId="365315F0">
      <w:pPr>
        <w:spacing w:line="360" w:lineRule="auto"/>
        <w:ind w:firstLine="424" w:firstLineChars="202"/>
        <w:rPr>
          <w:rFonts w:hint="eastAsia" w:ascii="宋体" w:hAnsi="宋体" w:eastAsia="宋体" w:cs="宋体"/>
          <w:color w:val="auto"/>
          <w:sz w:val="21"/>
          <w:szCs w:val="21"/>
          <w:highlight w:val="none"/>
        </w:rPr>
      </w:pPr>
      <w:bookmarkStart w:id="491" w:name="_Toc2469"/>
      <w:r>
        <w:rPr>
          <w:rFonts w:hint="eastAsia" w:ascii="宋体" w:hAnsi="宋体" w:eastAsia="宋体" w:cs="宋体"/>
          <w:color w:val="auto"/>
          <w:sz w:val="21"/>
          <w:szCs w:val="21"/>
          <w:highlight w:val="none"/>
        </w:rPr>
        <w:t>③严禁在厂内道路、消防通道内搭建临时建筑或堆放物资。</w:t>
      </w:r>
      <w:bookmarkEnd w:id="491"/>
    </w:p>
    <w:p w14:paraId="2794210C">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④施工场所的电动工具、电焊机等须有漏电保护器和相应的安全防护装置。</w:t>
      </w:r>
    </w:p>
    <w:p w14:paraId="46AAAE34">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⑤施工现场及居住室、办公室内的用电设施必须符合要求，严禁电线乱接、乱拉，刀闸和开关无盖，在电器设施上堆放物品。</w:t>
      </w:r>
    </w:p>
    <w:p w14:paraId="7013015F">
      <w:pPr>
        <w:spacing w:line="360" w:lineRule="auto"/>
        <w:ind w:firstLine="424" w:firstLineChars="202"/>
        <w:rPr>
          <w:rFonts w:hint="eastAsia" w:ascii="宋体" w:hAnsi="宋体" w:eastAsia="宋体" w:cs="宋体"/>
          <w:color w:val="auto"/>
          <w:sz w:val="21"/>
          <w:szCs w:val="21"/>
          <w:highlight w:val="none"/>
        </w:rPr>
      </w:pPr>
      <w:bookmarkStart w:id="492" w:name="_Toc23704"/>
      <w:r>
        <w:rPr>
          <w:rFonts w:hint="eastAsia" w:ascii="宋体" w:hAnsi="宋体" w:eastAsia="宋体" w:cs="宋体"/>
          <w:color w:val="auto"/>
          <w:sz w:val="21"/>
          <w:szCs w:val="21"/>
          <w:highlight w:val="none"/>
        </w:rPr>
        <w:t>⑥防雷、防静电设施及用电设施要有良好接地。</w:t>
      </w:r>
      <w:bookmarkEnd w:id="492"/>
    </w:p>
    <w:p w14:paraId="7BAF8A29">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⑦施工现场的危险区域，如临边、深坑、土方堆填区等，必须设置围栏和危险标志，夜间要设信号灯。</w:t>
      </w:r>
    </w:p>
    <w:p w14:paraId="27057C5B">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⑧乙方应当为从业人员提供符合国家标准或者行业标准的劳动防护用品，并监督、教育从业人员按照使用规则佩戴、使用，防止工伤事故的发生。乙方发生各类工伤事故，严禁隐瞒不报。发生重伤及重伤以上事故，应及时组织抢救、保护好现场，并立即报告甲方主管领导。</w:t>
      </w:r>
    </w:p>
    <w:p w14:paraId="6F5CCEC5">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⑨登高架子、安全防护设施、脚手架搭设完毕必须经乙方安全员或代表验收合格后方可使用，对从甲方接手及自行搭设的安全防护设施、脚手架做好日常维护与管理。安全防护设施、脚手架的拆除必须在接到专业工程师的施工指令后方可拆除，不得私自拆改任何安全防护设施，若因施工必须拆改，须向甲方主管领导报告，经批准后方可拆改，并做好临时防护设施和警戒，在施工完成后须立即恢复该处的安全防护设施。进行受限空间作业前，必须检测氧气、有毒有害气体，确保符合作业条件，做好个人防护和专人监护后，方可进入。</w:t>
      </w:r>
    </w:p>
    <w:p w14:paraId="080E89F1">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⑩乙方采用新工艺、新技术、新材料或者使用新设备，必须了解、掌握其安全技术特性，采取有效的安全防护措施，并对从业人员进行专门的安全生产教育和培训。乙方的电工、焊工、起重工、高处作业等特种作业人员必须按照国家有关规定经专门的安全作业培训，取得相应资格，方可上岗作业。</w:t>
      </w:r>
    </w:p>
    <w:p w14:paraId="26582D4A">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17、乙方必须接受甲方的检查与监督，并应主动配合，做好安全工作，凡有违反上述协议的即视为乙方违约，甲方有权视情况从工程结算款/服务价款中扣除（1000-2000）元/次作为违约金。</w:t>
      </w:r>
    </w:p>
    <w:p w14:paraId="3EFF0261">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18、如乙方因违反本条款规定，造成甲方损失或被第三方追偿的，甲方有权向乙方追偿，甲方可直接从应付款项中扣除。同时，乙方应按照</w:t>
      </w:r>
      <w:r>
        <w:rPr>
          <w:rFonts w:hint="eastAsia" w:ascii="宋体" w:hAnsi="宋体" w:eastAsia="宋体" w:cs="宋体"/>
          <w:color w:val="auto"/>
          <w:sz w:val="21"/>
          <w:szCs w:val="21"/>
          <w:highlight w:val="none"/>
          <w:lang w:val="en-US" w:eastAsia="zh-CN"/>
        </w:rPr>
        <w:t>暂定</w:t>
      </w:r>
      <w:r>
        <w:rPr>
          <w:rFonts w:hint="eastAsia" w:ascii="宋体" w:hAnsi="宋体" w:eastAsia="宋体" w:cs="宋体"/>
          <w:color w:val="auto"/>
          <w:sz w:val="21"/>
          <w:szCs w:val="21"/>
          <w:highlight w:val="none"/>
        </w:rPr>
        <w:t>合同</w:t>
      </w:r>
      <w:r>
        <w:rPr>
          <w:rFonts w:hint="eastAsia" w:ascii="宋体" w:hAnsi="宋体" w:eastAsia="宋体" w:cs="宋体"/>
          <w:color w:val="auto"/>
          <w:sz w:val="21"/>
          <w:szCs w:val="21"/>
          <w:highlight w:val="none"/>
          <w:lang w:val="en-US" w:eastAsia="zh-CN"/>
        </w:rPr>
        <w:t>含税总</w:t>
      </w:r>
      <w:r>
        <w:rPr>
          <w:rFonts w:hint="eastAsia" w:ascii="宋体" w:hAnsi="宋体" w:eastAsia="宋体" w:cs="宋体"/>
          <w:color w:val="auto"/>
          <w:sz w:val="21"/>
          <w:szCs w:val="21"/>
          <w:highlight w:val="none"/>
        </w:rPr>
        <w:t>价的30%向甲方支付违约金，如违约金不足以弥补损失的，甲方可要求乙方继续赔偿损失，并承担由此引起的一切法律责任和费用，包括但不限于甲方为处理纠纷所产生的诉讼仲裁费、鉴定费、担保费、赔偿金、律师费、行政部门的罚款等。乙方仍必须继续履行或采取补救措施，并不得因承担了违约责任，而减少改进及免除继续承担责任的义务。</w:t>
      </w:r>
    </w:p>
    <w:p w14:paraId="123AD413">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none"/>
        </w:rPr>
        <w:t>19、</w:t>
      </w:r>
      <w:r>
        <w:rPr>
          <w:rFonts w:hint="eastAsia" w:ascii="宋体" w:hAnsi="宋体" w:eastAsia="宋体" w:cs="宋体"/>
          <w:color w:val="auto"/>
          <w:sz w:val="21"/>
          <w:szCs w:val="21"/>
          <w:highlight w:val="none"/>
        </w:rPr>
        <w:t>乙方对施工过程中潜在的安全风险不明确的，不可盲目施工，否则，造成的不良后果由乙方独自承担。</w:t>
      </w:r>
    </w:p>
    <w:p w14:paraId="4E785662">
      <w:pPr>
        <w:spacing w:line="360" w:lineRule="auto"/>
        <w:ind w:firstLine="424" w:firstLineChars="202"/>
        <w:rPr>
          <w:rFonts w:hint="eastAsia" w:ascii="宋体" w:hAnsi="宋体" w:eastAsia="宋体" w:cs="宋体"/>
          <w:color w:val="auto"/>
          <w:sz w:val="21"/>
          <w:szCs w:val="21"/>
          <w:highlight w:val="none"/>
        </w:rPr>
      </w:pPr>
      <w:bookmarkStart w:id="493" w:name="_Toc8072"/>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本协议自双方法定代表人或负责人签字并盖章后生效。</w:t>
      </w:r>
      <w:bookmarkEnd w:id="493"/>
    </w:p>
    <w:p w14:paraId="1FF3739C">
      <w:pPr>
        <w:spacing w:line="360" w:lineRule="auto"/>
        <w:rPr>
          <w:rFonts w:hint="eastAsia" w:ascii="宋体" w:hAnsi="宋体" w:eastAsia="宋体" w:cs="宋体"/>
          <w:color w:val="auto"/>
          <w:sz w:val="21"/>
          <w:szCs w:val="21"/>
          <w:highlight w:val="none"/>
        </w:rPr>
      </w:pPr>
    </w:p>
    <w:p w14:paraId="6970B357">
      <w:pPr>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乙方声明：</w:t>
      </w:r>
    </w:p>
    <w:p w14:paraId="4E9A7890">
      <w:pPr>
        <w:spacing w:line="360" w:lineRule="auto"/>
        <w:ind w:left="0" w:leftChars="0" w:firstLine="481" w:firstLineChars="228"/>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乙方已认真阅读协议内容，对协议条款、</w:t>
      </w:r>
      <w:r>
        <w:rPr>
          <w:rFonts w:hint="eastAsia" w:ascii="宋体" w:hAnsi="宋体" w:eastAsia="宋体" w:cs="宋体"/>
          <w:b/>
          <w:bCs/>
          <w:color w:val="auto"/>
          <w:sz w:val="21"/>
          <w:szCs w:val="21"/>
          <w:highlight w:val="none"/>
          <w:u w:val="single"/>
          <w:lang w:val="en-US" w:eastAsia="zh-CN"/>
        </w:rPr>
        <w:t xml:space="preserve">                      </w:t>
      </w:r>
      <w:r>
        <w:rPr>
          <w:rFonts w:hint="eastAsia" w:ascii="宋体" w:hAnsi="宋体" w:eastAsia="宋体" w:cs="宋体"/>
          <w:b/>
          <w:bCs/>
          <w:color w:val="auto"/>
          <w:sz w:val="21"/>
          <w:szCs w:val="21"/>
          <w:highlight w:val="none"/>
          <w:u w:val="single"/>
        </w:rPr>
        <w:t>采购项目</w:t>
      </w:r>
      <w:r>
        <w:rPr>
          <w:rFonts w:hint="eastAsia" w:ascii="宋体" w:hAnsi="宋体" w:eastAsia="宋体" w:cs="宋体"/>
          <w:b/>
          <w:bCs/>
          <w:color w:val="auto"/>
          <w:sz w:val="21"/>
          <w:szCs w:val="21"/>
          <w:highlight w:val="none"/>
        </w:rPr>
        <w:t>的安全管理要求、安全风险充分理解，并自愿承担因违约造成的一切后果。</w:t>
      </w:r>
    </w:p>
    <w:p w14:paraId="0A1ADB6C">
      <w:pPr>
        <w:spacing w:line="360" w:lineRule="auto"/>
        <w:ind w:left="0" w:leftChars="0"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甲方（盖章）：                      乙方（盖章）： </w:t>
      </w:r>
    </w:p>
    <w:p w14:paraId="6ACB2F73">
      <w:pPr>
        <w:spacing w:line="360" w:lineRule="auto"/>
        <w:ind w:left="0" w:leftChars="0"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法定代表人或负责人：               法定代表人或负责人：</w:t>
      </w:r>
    </w:p>
    <w:p w14:paraId="019045E5">
      <w:pPr>
        <w:spacing w:line="360" w:lineRule="auto"/>
        <w:ind w:left="0" w:leftChars="0" w:firstLine="478" w:firstLineChars="228"/>
        <w:rPr>
          <w:rFonts w:hint="eastAsia" w:ascii="宋体" w:hAnsi="宋体" w:eastAsia="宋体" w:cs="宋体"/>
          <w:color w:val="auto"/>
          <w:sz w:val="21"/>
          <w:szCs w:val="21"/>
          <w:highlight w:val="none"/>
        </w:rPr>
      </w:pPr>
    </w:p>
    <w:p w14:paraId="2A714743">
      <w:pPr>
        <w:spacing w:line="360" w:lineRule="auto"/>
        <w:ind w:left="0" w:leftChars="0"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签订日期：</w:t>
      </w:r>
    </w:p>
    <w:p w14:paraId="3ED1A3BC">
      <w:pPr>
        <w:spacing w:line="360" w:lineRule="auto"/>
        <w:ind w:left="0" w:leftChars="0" w:firstLine="478" w:firstLineChars="228"/>
        <w:rPr>
          <w:rFonts w:hint="eastAsia" w:ascii="宋体" w:hAnsi="宋体" w:eastAsia="宋体" w:cs="宋体"/>
          <w:color w:val="auto"/>
          <w:highlight w:val="none"/>
        </w:rPr>
      </w:pPr>
      <w:r>
        <w:rPr>
          <w:rFonts w:hint="eastAsia" w:ascii="宋体" w:hAnsi="宋体" w:eastAsia="宋体" w:cs="宋体"/>
          <w:color w:val="auto"/>
          <w:sz w:val="21"/>
          <w:szCs w:val="21"/>
          <w:highlight w:val="none"/>
        </w:rPr>
        <w:t>签订地点：广东省东莞市</w:t>
      </w:r>
    </w:p>
    <w:p w14:paraId="626CDCA3">
      <w:pPr>
        <w:autoSpaceDE w:val="0"/>
        <w:autoSpaceDN w:val="0"/>
        <w:adjustRightInd w:val="0"/>
        <w:jc w:val="left"/>
        <w:rPr>
          <w:rFonts w:ascii="宋体" w:hAnsi="宋体" w:eastAsia="宋体" w:cs="宋体"/>
          <w:b/>
          <w:bCs/>
          <w:color w:val="auto"/>
          <w:kern w:val="0"/>
          <w:sz w:val="28"/>
          <w:szCs w:val="28"/>
          <w:highlight w:val="none"/>
        </w:rPr>
      </w:pPr>
    </w:p>
    <w:p w14:paraId="673BDB78">
      <w:pPr>
        <w:keepNext w:val="0"/>
        <w:keepLines w:val="0"/>
        <w:pageBreakBefore w:val="0"/>
        <w:widowControl/>
        <w:suppressLineNumbers w:val="0"/>
        <w:spacing w:before="0" w:beforeAutospacing="0" w:after="0" w:afterAutospacing="0"/>
        <w:ind w:left="0" w:right="0" w:firstLine="7140" w:firstLineChars="3400"/>
        <w:jc w:val="both"/>
        <w:rPr>
          <w:rFonts w:hint="eastAsia" w:ascii="宋体" w:hAnsi="宋体" w:eastAsia="宋体" w:cs="宋体"/>
          <w:color w:val="auto"/>
          <w:kern w:val="2"/>
          <w:sz w:val="21"/>
          <w:szCs w:val="21"/>
          <w:highlight w:val="none"/>
          <w:lang w:val="en-US" w:eastAsia="zh-CN" w:bidi="ar"/>
        </w:rPr>
        <w:sectPr>
          <w:footerReference r:id="rId4" w:type="first"/>
          <w:footerReference r:id="rId3" w:type="default"/>
          <w:pgSz w:w="12240" w:h="15840"/>
          <w:pgMar w:top="1191" w:right="1043" w:bottom="1191" w:left="1043" w:header="720" w:footer="720" w:gutter="0"/>
          <w:cols w:space="720" w:num="1"/>
          <w:titlePg/>
          <w:docGrid w:linePitch="326" w:charSpace="0"/>
        </w:sectPr>
      </w:pPr>
    </w:p>
    <w:p w14:paraId="394C95A9">
      <w:pPr>
        <w:keepNext w:val="0"/>
        <w:keepLines w:val="0"/>
        <w:pageBreakBefore w:val="0"/>
        <w:widowControl/>
        <w:suppressLineNumbers w:val="0"/>
        <w:spacing w:before="0" w:beforeAutospacing="0" w:after="0" w:afterAutospacing="0"/>
        <w:ind w:left="0" w:right="0" w:firstLine="7140" w:firstLineChars="34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合同编号：</w:t>
      </w:r>
      <w:r>
        <w:rPr>
          <w:rFonts w:hint="eastAsia" w:ascii="宋体" w:hAnsi="宋体" w:eastAsia="宋体" w:cs="宋体"/>
          <w:color w:val="auto"/>
          <w:kern w:val="2"/>
          <w:sz w:val="21"/>
          <w:szCs w:val="21"/>
          <w:highlight w:val="none"/>
          <w:u w:val="single"/>
          <w:lang w:val="en-US" w:eastAsia="zh-CN" w:bidi="ar"/>
        </w:rPr>
        <w:t xml:space="preserve">                     </w:t>
      </w:r>
    </w:p>
    <w:p w14:paraId="170D87F7">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 xml:space="preserve"> </w:t>
      </w:r>
    </w:p>
    <w:p w14:paraId="23F3826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《东莞市水务集团净水有限公司2025年生产药剂液体柠檬酸采购项目（重新招标）采购合同》</w:t>
      </w:r>
    </w:p>
    <w:p w14:paraId="02568319">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补充协议（    ）</w:t>
      </w:r>
    </w:p>
    <w:p w14:paraId="45C322BA">
      <w:pPr>
        <w:keepNext w:val="0"/>
        <w:keepLines w:val="0"/>
        <w:widowControl w:val="0"/>
        <w:suppressLineNumbers w:val="0"/>
        <w:spacing w:before="0" w:beforeAutospacing="0" w:after="0" w:afterAutospacing="0"/>
        <w:ind w:left="0" w:right="0" w:firstLine="422" w:firstLineChars="200"/>
        <w:jc w:val="both"/>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 xml:space="preserve"> </w:t>
      </w:r>
    </w:p>
    <w:p w14:paraId="14E58FB9">
      <w:pPr>
        <w:keepNext w:val="0"/>
        <w:keepLines w:val="0"/>
        <w:widowControl w:val="0"/>
        <w:suppressLineNumbers w:val="0"/>
        <w:autoSpaceDE w:val="0"/>
        <w:autoSpaceDN/>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甲方：</w:t>
      </w:r>
    </w:p>
    <w:p w14:paraId="059090B0">
      <w:pPr>
        <w:keepNext w:val="0"/>
        <w:keepLines w:val="0"/>
        <w:widowControl w:val="0"/>
        <w:suppressLineNumbers w:val="0"/>
        <w:autoSpaceDE w:val="0"/>
        <w:autoSpaceDN/>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地址：</w:t>
      </w:r>
    </w:p>
    <w:p w14:paraId="45D79B70">
      <w:pPr>
        <w:keepNext w:val="0"/>
        <w:keepLines w:val="0"/>
        <w:widowControl w:val="0"/>
        <w:suppressLineNumbers w:val="0"/>
        <w:autoSpaceDE w:val="0"/>
        <w:autoSpaceDN/>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乙方： </w:t>
      </w:r>
    </w:p>
    <w:p w14:paraId="356079AA">
      <w:pPr>
        <w:keepNext w:val="0"/>
        <w:keepLines w:val="0"/>
        <w:widowControl w:val="0"/>
        <w:suppressLineNumbers w:val="0"/>
        <w:autoSpaceDE w:val="0"/>
        <w:autoSpaceDN/>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地址： </w:t>
      </w:r>
    </w:p>
    <w:p w14:paraId="1A7A7475">
      <w:pPr>
        <w:keepNext w:val="0"/>
        <w:keepLines w:val="0"/>
        <w:widowControl w:val="0"/>
        <w:suppressLineNumbers w:val="0"/>
        <w:autoSpaceDE w:val="0"/>
        <w:autoSpaceDN/>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丙方：</w:t>
      </w:r>
    </w:p>
    <w:p w14:paraId="62FDED57">
      <w:pPr>
        <w:keepNext w:val="0"/>
        <w:keepLines w:val="0"/>
        <w:widowControl w:val="0"/>
        <w:suppressLineNumbers w:val="0"/>
        <w:autoSpaceDE w:val="0"/>
        <w:autoSpaceDN/>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地址：   </w:t>
      </w:r>
    </w:p>
    <w:p w14:paraId="6CAA9751">
      <w:pPr>
        <w:keepNext w:val="0"/>
        <w:keepLines w:val="0"/>
        <w:widowControl w:val="0"/>
        <w:suppressLineNumbers w:val="0"/>
        <w:autoSpaceDE w:val="0"/>
        <w:autoSpaceDN/>
        <w:spacing w:before="0" w:beforeAutospacing="0" w:after="0" w:afterAutospacing="0" w:line="560" w:lineRule="exact"/>
        <w:ind w:left="477" w:leftChars="227" w:right="0" w:firstLine="73" w:firstLineChars="35"/>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4BF54459">
      <w:pPr>
        <w:keepNext w:val="0"/>
        <w:keepLines w:val="0"/>
        <w:widowControl w:val="0"/>
        <w:suppressLineNumbers w:val="0"/>
        <w:autoSpaceDE w:val="0"/>
        <w:autoSpaceDN/>
        <w:spacing w:before="0" w:beforeAutospacing="0" w:after="0" w:afterAutospacing="0" w:line="560" w:lineRule="exact"/>
        <w:ind w:left="0" w:leftChars="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甲乙双方于</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年</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月</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日签订了《</w:t>
      </w:r>
      <w:r>
        <w:rPr>
          <w:rFonts w:hint="eastAsia" w:ascii="宋体" w:hAnsi="宋体" w:eastAsia="宋体" w:cs="宋体"/>
          <w:color w:val="auto"/>
          <w:kern w:val="2"/>
          <w:sz w:val="21"/>
          <w:szCs w:val="21"/>
          <w:highlight w:val="none"/>
          <w:u w:val="single"/>
          <w:lang w:val="en-US" w:eastAsia="zh-CN" w:bidi="ar"/>
        </w:rPr>
        <w:t>东莞市水务集团净水有限公司2025年生产药剂液体柠檬酸采购项目（重新招标）采购合同</w:t>
      </w:r>
      <w:r>
        <w:rPr>
          <w:rFonts w:hint="eastAsia" w:ascii="宋体" w:hAnsi="宋体" w:eastAsia="宋体" w:cs="宋体"/>
          <w:color w:val="auto"/>
          <w:kern w:val="2"/>
          <w:sz w:val="21"/>
          <w:szCs w:val="21"/>
          <w:highlight w:val="none"/>
          <w:lang w:val="en-US" w:eastAsia="zh-CN" w:bidi="ar"/>
        </w:rPr>
        <w:t>》（合同编号：</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下称“《原合同》”），现根据本项目的实际情况，本着平等互利的原则，经甲乙丙三方协商一致，同意《原合同》项下新增丙方作为合同主体之一，享有与承担甲方在《原合同》中约定的相应权利与义务，就甲乙丙各方权利义务事宜，三方达成如下补充内容：</w:t>
      </w:r>
    </w:p>
    <w:p w14:paraId="2F9E8B3E">
      <w:pPr>
        <w:keepNext w:val="0"/>
        <w:keepLines w:val="0"/>
        <w:widowControl w:val="0"/>
        <w:suppressLineNumbers w:val="0"/>
        <w:autoSpaceDE w:val="0"/>
        <w:autoSpaceDN/>
        <w:spacing w:before="0" w:beforeAutospacing="0" w:after="0" w:afterAutospacing="0" w:line="560" w:lineRule="exact"/>
        <w:ind w:left="0" w:leftChars="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一、各方同意新增丙方为《原合同》主体之一，享有与承担的权利与义务同甲方在《原合同》中的权利与义务。</w:t>
      </w:r>
    </w:p>
    <w:p w14:paraId="1D9C362A">
      <w:pPr>
        <w:keepNext w:val="0"/>
        <w:keepLines w:val="0"/>
        <w:widowControl w:val="0"/>
        <w:suppressLineNumbers w:val="0"/>
        <w:autoSpaceDE w:val="0"/>
        <w:autoSpaceDN/>
        <w:spacing w:before="0" w:beforeAutospacing="0" w:after="0" w:afterAutospacing="0" w:line="560" w:lineRule="exact"/>
        <w:ind w:left="0" w:leftChars="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二、《原合同》交货地点增加丙方各运营项目。</w:t>
      </w:r>
    </w:p>
    <w:p w14:paraId="4E714BA0">
      <w:pPr>
        <w:keepNext w:val="0"/>
        <w:keepLines w:val="0"/>
        <w:widowControl w:val="0"/>
        <w:suppressLineNumbers w:val="0"/>
        <w:autoSpaceDE w:val="0"/>
        <w:autoSpaceDN/>
        <w:spacing w:before="0" w:beforeAutospacing="0" w:after="0" w:afterAutospacing="0" w:line="560" w:lineRule="exact"/>
        <w:ind w:left="0" w:leftChars="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三、乙方应根据丙方各运营项目实际情况，按丙方要求开具发票（发票抬头为丙方），由丙方按照《原合同》约定支付相应款项给乙方。</w:t>
      </w:r>
    </w:p>
    <w:p w14:paraId="3221C094">
      <w:pPr>
        <w:keepNext w:val="0"/>
        <w:keepLines w:val="0"/>
        <w:widowControl w:val="0"/>
        <w:suppressLineNumbers w:val="0"/>
        <w:autoSpaceDE w:val="0"/>
        <w:autoSpaceDN/>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四、本补充协议为《原合同》不可分割的组成部分，除本补充协议明确约定外，《原合同》的其他约定继续有效。《原合同》解除或终止的，本补充协议自动解除或终止。</w:t>
      </w:r>
    </w:p>
    <w:p w14:paraId="17B2894C">
      <w:pPr>
        <w:keepNext w:val="0"/>
        <w:keepLines w:val="0"/>
        <w:widowControl w:val="0"/>
        <w:suppressLineNumbers w:val="0"/>
        <w:autoSpaceDE w:val="0"/>
        <w:autoSpaceDN/>
        <w:spacing w:before="0" w:beforeAutospacing="0" w:after="0" w:afterAutospacing="0" w:line="560" w:lineRule="exact"/>
        <w:ind w:left="0" w:right="0" w:firstLine="495" w:firstLineChars="236"/>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五、本补充协议自甲乙丙三方法定代表人或负责人签字并盖章后生效。</w:t>
      </w:r>
    </w:p>
    <w:p w14:paraId="4EEAC7A7">
      <w:pPr>
        <w:keepNext w:val="0"/>
        <w:keepLines w:val="0"/>
        <w:widowControl w:val="0"/>
        <w:suppressLineNumbers w:val="0"/>
        <w:autoSpaceDE w:val="0"/>
        <w:autoSpaceDN/>
        <w:spacing w:before="0" w:beforeAutospacing="0" w:after="0" w:afterAutospacing="0" w:line="560" w:lineRule="exact"/>
        <w:ind w:left="0" w:right="0" w:firstLine="495" w:firstLineChars="236"/>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六、本补充协议一式</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份，甲方执</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份，乙方执</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份，丙方执</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份，各份均具同等法律效力。</w:t>
      </w:r>
    </w:p>
    <w:p w14:paraId="7000F0C2">
      <w:pPr>
        <w:keepNext w:val="0"/>
        <w:keepLines w:val="0"/>
        <w:widowControl w:val="0"/>
        <w:suppressLineNumbers w:val="0"/>
        <w:autoSpaceDE w:val="0"/>
        <w:autoSpaceDN/>
        <w:spacing w:before="157" w:beforeLines="5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（以下无正文，为签署页）</w:t>
      </w:r>
    </w:p>
    <w:p w14:paraId="20CD69E0">
      <w:pPr>
        <w:keepNext w:val="0"/>
        <w:keepLines w:val="0"/>
        <w:widowControl w:val="0"/>
        <w:suppressLineNumbers w:val="0"/>
        <w:autoSpaceDE w:val="0"/>
        <w:autoSpaceDN/>
        <w:spacing w:before="157" w:beforeLines="50" w:beforeAutospacing="0" w:after="157" w:afterLines="50" w:afterAutospacing="0" w:line="560" w:lineRule="exact"/>
        <w:ind w:left="0" w:right="0" w:firstLine="420" w:firstLineChars="200"/>
        <w:jc w:val="both"/>
        <w:rPr>
          <w:rFonts w:hint="eastAsia" w:ascii="宋体" w:hAnsi="宋体" w:eastAsia="宋体" w:cs="宋体"/>
          <w:color w:val="auto"/>
          <w:kern w:val="2"/>
          <w:sz w:val="21"/>
          <w:szCs w:val="21"/>
          <w:highlight w:val="none"/>
          <w:lang w:val="en-US" w:eastAsia="zh-CN" w:bidi="ar"/>
        </w:rPr>
      </w:pPr>
    </w:p>
    <w:p w14:paraId="63F87FC6">
      <w:pPr>
        <w:keepNext w:val="0"/>
        <w:keepLines w:val="0"/>
        <w:widowControl w:val="0"/>
        <w:suppressLineNumbers w:val="0"/>
        <w:autoSpaceDE w:val="0"/>
        <w:autoSpaceDN/>
        <w:spacing w:before="157" w:beforeLines="50" w:beforeAutospacing="0" w:after="157" w:afterLines="50" w:afterAutospacing="0" w:line="56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甲方：                      乙方：</w:t>
      </w:r>
    </w:p>
    <w:p w14:paraId="51F8712F">
      <w:pPr>
        <w:keepNext w:val="0"/>
        <w:keepLines w:val="0"/>
        <w:widowControl w:val="0"/>
        <w:suppressLineNumbers w:val="0"/>
        <w:autoSpaceDE w:val="0"/>
        <w:autoSpaceDN/>
        <w:spacing w:before="157" w:beforeLines="50" w:beforeAutospacing="0" w:after="157" w:afterLines="50" w:afterAutospacing="0" w:line="56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法定代表（或负责）人：      法定代表（或负责）人：</w:t>
      </w:r>
    </w:p>
    <w:p w14:paraId="78EF7CB7">
      <w:pPr>
        <w:keepNext w:val="0"/>
        <w:keepLines w:val="0"/>
        <w:widowControl w:val="0"/>
        <w:suppressLineNumbers w:val="0"/>
        <w:autoSpaceDE w:val="0"/>
        <w:autoSpaceDN/>
        <w:spacing w:before="0" w:beforeAutospacing="0" w:after="0" w:afterAutospacing="0" w:line="560" w:lineRule="exact"/>
        <w:ind w:left="477" w:leftChars="227" w:right="0" w:firstLine="73" w:firstLineChars="35"/>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4D1E1629">
      <w:pPr>
        <w:keepNext w:val="0"/>
        <w:keepLines w:val="0"/>
        <w:widowControl w:val="0"/>
        <w:suppressLineNumbers w:val="0"/>
        <w:autoSpaceDE w:val="0"/>
        <w:autoSpaceDN/>
        <w:spacing w:before="157" w:beforeLines="50" w:beforeAutospacing="0" w:after="157" w:afterLines="50" w:afterAutospacing="0" w:line="56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丙方：                                </w:t>
      </w:r>
    </w:p>
    <w:p w14:paraId="1192554F">
      <w:pPr>
        <w:keepNext w:val="0"/>
        <w:keepLines w:val="0"/>
        <w:widowControl w:val="0"/>
        <w:suppressLineNumbers w:val="0"/>
        <w:autoSpaceDE w:val="0"/>
        <w:autoSpaceDN/>
        <w:spacing w:before="157" w:beforeLines="50" w:beforeAutospacing="0" w:after="157" w:afterLines="50" w:afterAutospacing="0" w:line="56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法定代表（或负责）人：</w:t>
      </w:r>
    </w:p>
    <w:p w14:paraId="049F36E6">
      <w:pPr>
        <w:keepNext w:val="0"/>
        <w:keepLines w:val="0"/>
        <w:widowControl w:val="0"/>
        <w:suppressLineNumbers w:val="0"/>
        <w:autoSpaceDE w:val="0"/>
        <w:autoSpaceDN/>
        <w:spacing w:before="0" w:beforeAutospacing="0" w:after="0" w:afterAutospacing="0" w:line="56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7948CB1C">
      <w:pPr>
        <w:keepNext w:val="0"/>
        <w:keepLines w:val="0"/>
        <w:widowControl w:val="0"/>
        <w:suppressLineNumbers w:val="0"/>
        <w:autoSpaceDE w:val="0"/>
        <w:autoSpaceDN/>
        <w:spacing w:before="0" w:beforeAutospacing="0" w:after="0" w:afterAutospacing="0" w:line="560" w:lineRule="exact"/>
        <w:ind w:left="0" w:right="0" w:firstLine="420" w:firstLineChars="200"/>
        <w:jc w:val="left"/>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签订日期：    年    月     日</w:t>
      </w:r>
    </w:p>
    <w:p w14:paraId="69753FB1">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p w14:paraId="7B632333">
      <w:pPr>
        <w:autoSpaceDE w:val="0"/>
        <w:autoSpaceDN w:val="0"/>
        <w:adjustRightInd w:val="0"/>
        <w:jc w:val="left"/>
        <w:rPr>
          <w:rFonts w:ascii="宋体" w:hAnsi="宋体" w:eastAsia="宋体" w:cs="宋体"/>
          <w:b/>
          <w:bCs/>
          <w:color w:val="auto"/>
          <w:kern w:val="0"/>
          <w:sz w:val="28"/>
          <w:szCs w:val="28"/>
          <w:highlight w:val="none"/>
        </w:rPr>
      </w:pPr>
    </w:p>
    <w:p w14:paraId="50825D58">
      <w:pPr>
        <w:pageBreakBefore/>
        <w:spacing w:before="120" w:beforeLines="50" w:after="120" w:afterLines="50" w:line="360" w:lineRule="auto"/>
        <w:jc w:val="center"/>
        <w:outlineLvl w:val="1"/>
        <w:rPr>
          <w:rFonts w:ascii="宋体" w:hAnsi="宋体" w:eastAsia="宋体" w:cs="Times New Roman"/>
          <w:b/>
          <w:bCs/>
          <w:color w:val="auto"/>
          <w:sz w:val="32"/>
          <w:szCs w:val="32"/>
          <w:highlight w:val="none"/>
          <w:lang w:val="zh-CN"/>
        </w:rPr>
      </w:pPr>
      <w:bookmarkStart w:id="494" w:name="_Toc447044603"/>
      <w:bookmarkStart w:id="495" w:name="_Toc24427_WPSOffice_Level1"/>
      <w:bookmarkStart w:id="496" w:name="_Toc5895"/>
      <w:bookmarkStart w:id="497" w:name="_Toc512353083"/>
      <w:bookmarkStart w:id="498" w:name="_Toc142508360"/>
      <w:bookmarkStart w:id="499" w:name="_Toc528"/>
      <w:bookmarkStart w:id="500" w:name="_Toc22246"/>
      <w:bookmarkStart w:id="501" w:name="_Toc447045090"/>
      <w:bookmarkStart w:id="502" w:name="_Toc447044479"/>
      <w:r>
        <w:rPr>
          <w:rFonts w:hint="eastAsia" w:ascii="宋体" w:hAnsi="宋体" w:eastAsia="宋体" w:cs="Times New Roman"/>
          <w:b/>
          <w:bCs/>
          <w:color w:val="auto"/>
          <w:sz w:val="32"/>
          <w:szCs w:val="32"/>
          <w:highlight w:val="none"/>
          <w:lang w:val="zh-CN"/>
        </w:rPr>
        <w:t>第五篇</w:t>
      </w:r>
      <w:r>
        <w:rPr>
          <w:rFonts w:ascii="宋体" w:hAnsi="宋体" w:eastAsia="宋体" w:cs="Times New Roman"/>
          <w:b/>
          <w:bCs/>
          <w:color w:val="auto"/>
          <w:sz w:val="32"/>
          <w:szCs w:val="32"/>
          <w:highlight w:val="none"/>
          <w:lang w:val="zh-CN"/>
        </w:rPr>
        <w:t xml:space="preserve"> </w:t>
      </w:r>
      <w:r>
        <w:rPr>
          <w:rFonts w:hint="eastAsia" w:ascii="宋体" w:hAnsi="宋体" w:eastAsia="宋体" w:cs="Times New Roman"/>
          <w:b/>
          <w:bCs/>
          <w:color w:val="auto"/>
          <w:sz w:val="32"/>
          <w:szCs w:val="32"/>
          <w:highlight w:val="none"/>
          <w:lang w:val="zh-CN"/>
        </w:rPr>
        <w:t>相关保函格式</w:t>
      </w:r>
      <w:bookmarkEnd w:id="494"/>
      <w:bookmarkEnd w:id="495"/>
      <w:bookmarkEnd w:id="496"/>
      <w:bookmarkEnd w:id="497"/>
      <w:bookmarkEnd w:id="498"/>
      <w:bookmarkEnd w:id="499"/>
      <w:bookmarkEnd w:id="500"/>
      <w:bookmarkEnd w:id="501"/>
      <w:bookmarkEnd w:id="502"/>
      <w:bookmarkStart w:id="503" w:name="_Toc447045091"/>
      <w:bookmarkStart w:id="504" w:name="_Toc447044604"/>
      <w:bookmarkStart w:id="505" w:name="_Toc447044480"/>
    </w:p>
    <w:p w14:paraId="30BBCDC1">
      <w:pPr>
        <w:autoSpaceDE w:val="0"/>
        <w:autoSpaceDN w:val="0"/>
        <w:adjustRightInd w:val="0"/>
        <w:spacing w:after="120" w:afterLines="50" w:line="360" w:lineRule="auto"/>
        <w:jc w:val="left"/>
        <w:outlineLvl w:val="1"/>
        <w:rPr>
          <w:rFonts w:ascii="宋体" w:hAnsi="宋体" w:eastAsia="宋体" w:cs="Times New Roman"/>
          <w:b/>
          <w:color w:val="auto"/>
          <w:kern w:val="0"/>
          <w:sz w:val="28"/>
          <w:szCs w:val="28"/>
          <w:highlight w:val="none"/>
        </w:rPr>
      </w:pPr>
      <w:bookmarkStart w:id="506" w:name="_Toc16695"/>
      <w:bookmarkStart w:id="507" w:name="_Toc31840"/>
      <w:bookmarkStart w:id="508" w:name="_Toc26521_WPSOffice_Level2"/>
      <w:r>
        <w:rPr>
          <w:rFonts w:hint="eastAsia" w:ascii="宋体" w:hAnsi="宋体" w:eastAsia="宋体" w:cs="Times New Roman"/>
          <w:b/>
          <w:color w:val="auto"/>
          <w:kern w:val="0"/>
          <w:sz w:val="28"/>
          <w:szCs w:val="28"/>
          <w:highlight w:val="none"/>
        </w:rPr>
        <w:t>一、不可撤销银行履约保函格式</w:t>
      </w:r>
      <w:bookmarkEnd w:id="503"/>
      <w:bookmarkEnd w:id="504"/>
      <w:bookmarkEnd w:id="505"/>
      <w:bookmarkEnd w:id="506"/>
      <w:bookmarkEnd w:id="507"/>
      <w:bookmarkEnd w:id="508"/>
    </w:p>
    <w:p w14:paraId="0D611978">
      <w:pPr>
        <w:autoSpaceDE w:val="0"/>
        <w:autoSpaceDN w:val="0"/>
        <w:adjustRightInd w:val="0"/>
        <w:jc w:val="center"/>
        <w:rPr>
          <w:rFonts w:hint="eastAsia" w:ascii="宋体" w:hAnsi="宋体" w:eastAsia="宋体" w:cs="Times New Roman"/>
          <w:b/>
          <w:color w:val="auto"/>
          <w:kern w:val="0"/>
          <w:sz w:val="30"/>
          <w:szCs w:val="30"/>
          <w:highlight w:val="none"/>
        </w:rPr>
      </w:pPr>
      <w:bookmarkStart w:id="509" w:name="_Toc31722"/>
      <w:r>
        <w:rPr>
          <w:rFonts w:hint="eastAsia" w:ascii="宋体" w:hAnsi="宋体" w:eastAsia="宋体" w:cs="Times New Roman"/>
          <w:b/>
          <w:color w:val="auto"/>
          <w:kern w:val="0"/>
          <w:sz w:val="30"/>
          <w:szCs w:val="30"/>
          <w:highlight w:val="none"/>
        </w:rPr>
        <w:t>不可撤销银行履约保函</w:t>
      </w:r>
      <w:bookmarkEnd w:id="509"/>
    </w:p>
    <w:p w14:paraId="3EABB450">
      <w:pPr>
        <w:widowControl/>
        <w:autoSpaceDE w:val="0"/>
        <w:autoSpaceDN w:val="0"/>
        <w:adjustRightInd w:val="0"/>
        <w:spacing w:line="360" w:lineRule="auto"/>
        <w:jc w:val="left"/>
        <w:rPr>
          <w:rFonts w:ascii="宋体" w:hAnsi="宋体" w:eastAsia="宋体" w:cs="宋体"/>
          <w:color w:val="auto"/>
          <w:kern w:val="0"/>
          <w:szCs w:val="21"/>
          <w:highlight w:val="none"/>
        </w:rPr>
      </w:pPr>
    </w:p>
    <w:p w14:paraId="02E5ED4E">
      <w:pPr>
        <w:autoSpaceDE w:val="0"/>
        <w:autoSpaceDN w:val="0"/>
        <w:adjustRightInd w:val="0"/>
        <w:spacing w:line="360" w:lineRule="auto"/>
        <w:ind w:firstLine="6300"/>
        <w:jc w:val="left"/>
        <w:rPr>
          <w:rFonts w:ascii="宋体" w:hAnsi="宋体" w:eastAsia="宋体" w:cs="Times New Roman"/>
          <w:color w:val="auto"/>
          <w:kern w:val="0"/>
          <w:szCs w:val="21"/>
          <w:highlight w:val="none"/>
          <w:u w:val="single"/>
        </w:rPr>
      </w:pPr>
      <w:r>
        <w:rPr>
          <w:rFonts w:ascii="宋体" w:hAnsi="宋体" w:eastAsia="宋体" w:cs="Times New Roman"/>
          <w:color w:val="auto"/>
          <w:kern w:val="0"/>
          <w:szCs w:val="21"/>
          <w:highlight w:val="none"/>
        </w:rPr>
        <w:t>银行编号：</w:t>
      </w:r>
    </w:p>
    <w:p w14:paraId="3BEC1D75">
      <w:pPr>
        <w:widowControl/>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01FF6388">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申请人</w:t>
      </w:r>
      <w:r>
        <w:rPr>
          <w:rFonts w:ascii="宋体" w:hAnsi="宋体" w:eastAsia="宋体" w:cs="宋体"/>
          <w:color w:val="auto"/>
          <w:kern w:val="0"/>
          <w:szCs w:val="21"/>
          <w:highlight w:val="none"/>
          <w:u w:val="single"/>
        </w:rPr>
        <w:t xml:space="preserve">的名称与地址）  </w:t>
      </w:r>
      <w:r>
        <w:rPr>
          <w:rFonts w:hint="eastAsia" w:ascii="宋体" w:hAnsi="宋体" w:eastAsia="宋体" w:cs="宋体"/>
          <w:color w:val="auto"/>
          <w:kern w:val="0"/>
          <w:szCs w:val="21"/>
          <w:highlight w:val="none"/>
        </w:rPr>
        <w:t>（下称“申请人”），已保证按拟签订的</w:t>
      </w:r>
      <w:r>
        <w:rPr>
          <w:rFonts w:ascii="宋体" w:hAnsi="宋体" w:eastAsia="宋体" w:cs="宋体"/>
          <w:color w:val="auto"/>
          <w:kern w:val="0"/>
          <w:szCs w:val="21"/>
          <w:highlight w:val="none"/>
          <w:u w:val="single"/>
        </w:rPr>
        <w:t xml:space="preserve"> 项目名称       （招标编号：         ）</w:t>
      </w:r>
      <w:r>
        <w:rPr>
          <w:rFonts w:hint="eastAsia" w:ascii="宋体" w:hAnsi="宋体" w:eastAsia="宋体" w:cs="宋体"/>
          <w:color w:val="auto"/>
          <w:kern w:val="0"/>
          <w:szCs w:val="21"/>
          <w:highlight w:val="none"/>
        </w:rPr>
        <w:t>合同（招标文件）中规定的义务履行合同。</w:t>
      </w:r>
    </w:p>
    <w:p w14:paraId="2C6F7377">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根据上述合同（招标文件）规定，申请人应向受益人提供一份金额为人民币（大写）</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RMB</w:t>
      </w:r>
      <w:r>
        <w:rPr>
          <w:rFonts w:ascii="宋体" w:hAnsi="宋体" w:eastAsia="宋体" w:cs="宋体"/>
          <w:color w:val="auto"/>
          <w:kern w:val="0"/>
          <w:szCs w:val="21"/>
          <w:highlight w:val="none"/>
          <w:u w:val="single"/>
        </w:rPr>
        <w:t>元）</w:t>
      </w:r>
      <w:r>
        <w:rPr>
          <w:rFonts w:hint="eastAsia" w:ascii="宋体" w:hAnsi="宋体" w:eastAsia="宋体" w:cs="宋体"/>
          <w:color w:val="auto"/>
          <w:kern w:val="0"/>
          <w:szCs w:val="21"/>
          <w:highlight w:val="none"/>
        </w:rPr>
        <w:t>的无条件、不可撤销银行履约保函，作为申请人履行上述合同的担保。</w:t>
      </w:r>
    </w:p>
    <w:p w14:paraId="5B6178C2">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ascii="宋体" w:hAnsi="宋体" w:eastAsia="宋体" w:cs="宋体"/>
          <w:color w:val="auto"/>
          <w:kern w:val="0"/>
          <w:szCs w:val="21"/>
          <w:highlight w:val="none"/>
          <w:u w:val="single"/>
        </w:rPr>
        <w:t xml:space="preserve">     （银行名称）</w:t>
      </w:r>
      <w:r>
        <w:rPr>
          <w:rFonts w:hint="eastAsia" w:ascii="宋体" w:hAnsi="宋体" w:eastAsia="宋体" w:cs="宋体"/>
          <w:color w:val="auto"/>
          <w:kern w:val="0"/>
          <w:szCs w:val="21"/>
          <w:highlight w:val="none"/>
        </w:rPr>
        <w:t>，受申请人的委托，无条件和不可撤销地在受益人出具本保函原件且提出因申请人没有履行上述合同规定，而要求我方承担保证责任</w:t>
      </w:r>
      <w:r>
        <w:rPr>
          <w:rFonts w:hint="eastAsia" w:ascii="宋体" w:hAnsi="宋体" w:eastAsia="宋体" w:cs="宋体"/>
          <w:color w:val="auto"/>
          <w:kern w:val="0"/>
          <w:szCs w:val="21"/>
          <w:highlight w:val="none"/>
          <w:lang w:val="en-US" w:eastAsia="zh-CN"/>
        </w:rPr>
        <w:t>后，</w:t>
      </w:r>
      <w:r>
        <w:rPr>
          <w:rFonts w:hint="eastAsia" w:ascii="宋体" w:hAnsi="宋体" w:eastAsia="宋体" w:cs="宋体"/>
          <w:color w:val="auto"/>
          <w:kern w:val="0"/>
          <w:szCs w:val="21"/>
          <w:highlight w:val="none"/>
        </w:rPr>
        <w:t>在保函限额内向受益人支付不超过人民币（大写）_________（¥_______元）的款项。</w:t>
      </w:r>
    </w:p>
    <w:p w14:paraId="1422803F">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在向我行提出要求前，我行将不坚持要求受益人首先向申请人提出上述款项的索赔。</w:t>
      </w:r>
    </w:p>
    <w:p w14:paraId="769A3E6A">
      <w:pPr>
        <w:widowControl/>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我方还同意，任何受益人与申请人之间可能对合同条款的修改、规范或其他合同文件的变动补充，都不能免除我方按本保函所承担的责任。因此，有关上述变动、补充和修改无须通知或征得我方同意。</w:t>
      </w:r>
    </w:p>
    <w:p w14:paraId="5124922A">
      <w:pPr>
        <w:widowControl/>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本保函</w:t>
      </w:r>
      <w:r>
        <w:rPr>
          <w:rFonts w:hint="eastAsia" w:ascii="宋体" w:hAnsi="宋体" w:eastAsia="宋体" w:cs="宋体"/>
          <w:color w:val="auto"/>
          <w:sz w:val="21"/>
          <w:szCs w:val="21"/>
          <w:highlight w:val="none"/>
        </w:rPr>
        <w:t>应</w:t>
      </w:r>
      <w:r>
        <w:rPr>
          <w:rFonts w:hint="eastAsia" w:ascii="宋体" w:hAnsi="宋体" w:eastAsia="宋体" w:cs="宋体"/>
          <w:color w:val="auto"/>
          <w:sz w:val="21"/>
          <w:szCs w:val="21"/>
          <w:highlight w:val="none"/>
          <w:lang w:val="en-US" w:eastAsia="zh-CN"/>
        </w:rPr>
        <w:t>自合同签订之日起（或签订合同前）至合同期限届满并全部货物经最终验收合格、受益人向申请人支付全部货款（除质保金）后二十八（28）日</w:t>
      </w:r>
      <w:r>
        <w:rPr>
          <w:rFonts w:hint="eastAsia" w:ascii="宋体" w:hAnsi="宋体" w:eastAsia="宋体" w:cs="宋体"/>
          <w:color w:val="auto"/>
          <w:sz w:val="21"/>
          <w:szCs w:val="21"/>
          <w:highlight w:val="none"/>
        </w:rPr>
        <w:t>内保持有效</w:t>
      </w:r>
      <w:r>
        <w:rPr>
          <w:rFonts w:hint="eastAsia" w:ascii="宋体" w:hAnsi="宋体" w:eastAsia="宋体" w:cs="Times New Roman"/>
          <w:color w:val="auto"/>
          <w:kern w:val="0"/>
          <w:szCs w:val="21"/>
          <w:highlight w:val="none"/>
        </w:rPr>
        <w:t>。</w:t>
      </w:r>
    </w:p>
    <w:p w14:paraId="0A120B01">
      <w:pPr>
        <w:widowControl/>
        <w:autoSpaceDE w:val="0"/>
        <w:autoSpaceDN w:val="0"/>
        <w:adjustRightInd w:val="0"/>
        <w:spacing w:line="360" w:lineRule="auto"/>
        <w:ind w:firstLine="437"/>
        <w:jc w:val="left"/>
        <w:rPr>
          <w:rFonts w:ascii="宋体" w:hAnsi="宋体" w:eastAsia="宋体" w:cs="宋体"/>
          <w:color w:val="auto"/>
          <w:kern w:val="0"/>
          <w:szCs w:val="21"/>
          <w:highlight w:val="none"/>
        </w:rPr>
      </w:pPr>
    </w:p>
    <w:p w14:paraId="589B5605">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担</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保</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银</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行：</w:t>
      </w:r>
      <w:r>
        <w:rPr>
          <w:rFonts w:ascii="宋体" w:hAnsi="宋体" w:eastAsia="宋体" w:cs="宋体"/>
          <w:color w:val="auto"/>
          <w:kern w:val="0"/>
          <w:szCs w:val="21"/>
          <w:highlight w:val="none"/>
          <w:u w:val="single"/>
        </w:rPr>
        <w:t xml:space="preserve">          银行全称          (盖章)   </w:t>
      </w:r>
    </w:p>
    <w:p w14:paraId="16DB4D21">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法定代表人或其授权的代表人：</w:t>
      </w:r>
      <w:r>
        <w:rPr>
          <w:rFonts w:ascii="宋体" w:hAnsi="宋体" w:eastAsia="宋体" w:cs="宋体"/>
          <w:color w:val="auto"/>
          <w:kern w:val="0"/>
          <w:szCs w:val="21"/>
          <w:highlight w:val="none"/>
          <w:u w:val="single"/>
        </w:rPr>
        <w:t xml:space="preserve">       (职务)         </w:t>
      </w:r>
    </w:p>
    <w:p w14:paraId="50707116">
      <w:pPr>
        <w:widowControl/>
        <w:autoSpaceDE w:val="0"/>
        <w:autoSpaceDN w:val="0"/>
        <w:adjustRightInd w:val="0"/>
        <w:spacing w:line="360" w:lineRule="auto"/>
        <w:ind w:firstLine="5502" w:firstLineChars="2620"/>
        <w:jc w:val="left"/>
        <w:rPr>
          <w:rFonts w:ascii="宋体" w:hAnsi="宋体" w:eastAsia="宋体" w:cs="宋体"/>
          <w:color w:val="auto"/>
          <w:kern w:val="0"/>
          <w:szCs w:val="21"/>
          <w:highlight w:val="none"/>
          <w:u w:val="single"/>
        </w:rPr>
      </w:pPr>
      <w:r>
        <w:rPr>
          <w:rFonts w:ascii="宋体" w:hAnsi="宋体" w:eastAsia="宋体" w:cs="宋体"/>
          <w:color w:val="auto"/>
          <w:kern w:val="0"/>
          <w:szCs w:val="21"/>
          <w:highlight w:val="none"/>
          <w:u w:val="single"/>
        </w:rPr>
        <w:t xml:space="preserve">       (姓名)         </w:t>
      </w:r>
    </w:p>
    <w:p w14:paraId="766AFF0C">
      <w:pPr>
        <w:widowControl/>
        <w:autoSpaceDE w:val="0"/>
        <w:autoSpaceDN w:val="0"/>
        <w:adjustRightInd w:val="0"/>
        <w:spacing w:line="360" w:lineRule="auto"/>
        <w:ind w:firstLine="5502" w:firstLineChars="2620"/>
        <w:jc w:val="left"/>
        <w:rPr>
          <w:rFonts w:ascii="宋体" w:hAnsi="宋体" w:eastAsia="宋体" w:cs="宋体"/>
          <w:color w:val="auto"/>
          <w:kern w:val="0"/>
          <w:szCs w:val="21"/>
          <w:highlight w:val="none"/>
          <w:u w:val="single"/>
        </w:rPr>
      </w:pPr>
      <w:r>
        <w:rPr>
          <w:rFonts w:ascii="宋体" w:hAnsi="宋体" w:eastAsia="宋体" w:cs="宋体"/>
          <w:color w:val="auto"/>
          <w:kern w:val="0"/>
          <w:szCs w:val="21"/>
          <w:highlight w:val="none"/>
          <w:u w:val="single"/>
        </w:rPr>
        <w:t xml:space="preserve">       (签章)         </w:t>
      </w:r>
    </w:p>
    <w:p w14:paraId="418F7BED">
      <w:pPr>
        <w:autoSpaceDE w:val="0"/>
        <w:autoSpaceDN w:val="0"/>
        <w:adjustRightInd w:val="0"/>
        <w:spacing w:line="360" w:lineRule="auto"/>
        <w:ind w:left="840" w:firstLine="420" w:firstLineChars="200"/>
        <w:jc w:val="left"/>
        <w:rPr>
          <w:rFonts w:ascii="宋体" w:hAnsi="宋体" w:eastAsia="宋体" w:cs="宋体"/>
          <w:color w:val="auto"/>
          <w:kern w:val="0"/>
          <w:szCs w:val="21"/>
          <w:highlight w:val="none"/>
        </w:rPr>
      </w:pPr>
      <w:r>
        <w:rPr>
          <w:rFonts w:ascii="宋体" w:hAnsi="宋体" w:eastAsia="宋体" w:cs="宋体"/>
          <w:color w:val="auto"/>
          <w:kern w:val="0"/>
          <w:szCs w:val="21"/>
          <w:highlight w:val="none"/>
        </w:rPr>
        <w:t xml:space="preserve">                                        </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14:paraId="554B378D">
      <w:pPr>
        <w:widowControl/>
        <w:autoSpaceDE w:val="0"/>
        <w:autoSpaceDN w:val="0"/>
        <w:adjustRightInd w:val="0"/>
        <w:spacing w:line="360" w:lineRule="auto"/>
        <w:jc w:val="left"/>
        <w:rPr>
          <w:rFonts w:ascii="宋体" w:hAnsi="宋体" w:eastAsia="宋体" w:cs="宋体"/>
          <w:color w:val="auto"/>
          <w:kern w:val="0"/>
          <w:szCs w:val="21"/>
          <w:highlight w:val="none"/>
        </w:rPr>
      </w:pPr>
    </w:p>
    <w:p w14:paraId="1AAA40FF">
      <w:pPr>
        <w:widowControl/>
        <w:autoSpaceDE w:val="0"/>
        <w:autoSpaceDN w:val="0"/>
        <w:adjustRightInd w:val="0"/>
        <w:spacing w:line="360" w:lineRule="auto"/>
        <w:jc w:val="left"/>
        <w:rPr>
          <w:rFonts w:ascii="宋体" w:hAnsi="宋体" w:eastAsia="宋体" w:cs="宋体"/>
          <w:color w:val="auto"/>
          <w:kern w:val="0"/>
          <w:szCs w:val="21"/>
          <w:highlight w:val="none"/>
        </w:rPr>
      </w:pPr>
    </w:p>
    <w:p w14:paraId="3941C472">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sectPr>
          <w:footerReference r:id="rId6" w:type="first"/>
          <w:footerReference r:id="rId5" w:type="default"/>
          <w:pgSz w:w="12240" w:h="15840"/>
          <w:pgMar w:top="1191" w:right="1043" w:bottom="1191" w:left="1043" w:header="720" w:footer="720" w:gutter="0"/>
          <w:cols w:space="720" w:num="1"/>
          <w:titlePg/>
          <w:docGrid w:linePitch="326" w:charSpace="0"/>
        </w:sectPr>
      </w:pPr>
    </w:p>
    <w:p w14:paraId="10C902AE">
      <w:pPr>
        <w:numPr>
          <w:ilvl w:val="0"/>
          <w:numId w:val="0"/>
        </w:numPr>
        <w:outlineLvl w:val="1"/>
        <w:rPr>
          <w:rFonts w:hint="eastAsia" w:ascii="宋体" w:hAnsi="宋体" w:eastAsia="宋体" w:cs="Times New Roman"/>
          <w:b/>
          <w:color w:val="auto"/>
          <w:kern w:val="0"/>
          <w:sz w:val="28"/>
          <w:szCs w:val="28"/>
          <w:highlight w:val="none"/>
          <w:lang w:val="en-US" w:eastAsia="zh-CN"/>
        </w:rPr>
      </w:pPr>
      <w:bookmarkStart w:id="510" w:name="_Toc9989"/>
      <w:bookmarkStart w:id="511" w:name="_Toc30028"/>
      <w:r>
        <w:rPr>
          <w:rFonts w:hint="eastAsia" w:ascii="宋体" w:hAnsi="宋体" w:eastAsia="宋体" w:cs="Times New Roman"/>
          <w:b/>
          <w:color w:val="auto"/>
          <w:kern w:val="0"/>
          <w:sz w:val="28"/>
          <w:szCs w:val="28"/>
          <w:highlight w:val="none"/>
          <w:lang w:val="en-US" w:eastAsia="zh-CN" w:bidi="ar-SA"/>
        </w:rPr>
        <w:t>二、</w:t>
      </w:r>
      <w:r>
        <w:rPr>
          <w:rFonts w:hint="eastAsia" w:ascii="宋体" w:hAnsi="宋体" w:eastAsia="宋体" w:cs="Times New Roman"/>
          <w:b/>
          <w:color w:val="auto"/>
          <w:kern w:val="0"/>
          <w:sz w:val="28"/>
          <w:szCs w:val="28"/>
          <w:highlight w:val="none"/>
          <w:lang w:val="en-US" w:eastAsia="zh-CN"/>
        </w:rPr>
        <w:t>履约保证保险凭证格式</w:t>
      </w:r>
      <w:bookmarkEnd w:id="510"/>
      <w:bookmarkEnd w:id="511"/>
    </w:p>
    <w:p w14:paraId="412187AE">
      <w:pPr>
        <w:autoSpaceDE w:val="0"/>
        <w:autoSpaceDN w:val="0"/>
        <w:adjustRightInd w:val="0"/>
        <w:jc w:val="center"/>
        <w:rPr>
          <w:rFonts w:hint="eastAsia" w:ascii="宋体" w:hAnsi="宋体" w:eastAsia="宋体" w:cs="Times New Roman"/>
          <w:b/>
          <w:color w:val="auto"/>
          <w:kern w:val="0"/>
          <w:sz w:val="30"/>
          <w:szCs w:val="30"/>
          <w:highlight w:val="none"/>
          <w:lang w:val="en-US" w:eastAsia="zh-CN"/>
        </w:rPr>
      </w:pPr>
    </w:p>
    <w:p w14:paraId="29E6B994">
      <w:pPr>
        <w:autoSpaceDE w:val="0"/>
        <w:autoSpaceDN w:val="0"/>
        <w:adjustRightInd w:val="0"/>
        <w:jc w:val="center"/>
        <w:rPr>
          <w:rFonts w:hint="eastAsia" w:ascii="宋体" w:hAnsi="宋体" w:eastAsia="宋体" w:cs="Times New Roman"/>
          <w:b/>
          <w:color w:val="auto"/>
          <w:kern w:val="0"/>
          <w:sz w:val="30"/>
          <w:szCs w:val="30"/>
          <w:highlight w:val="none"/>
          <w:lang w:val="en-US" w:eastAsia="zh-CN"/>
        </w:rPr>
      </w:pPr>
      <w:bookmarkStart w:id="512" w:name="_Toc5843"/>
      <w:r>
        <w:rPr>
          <w:rFonts w:hint="eastAsia" w:ascii="宋体" w:hAnsi="宋体" w:eastAsia="宋体" w:cs="Times New Roman"/>
          <w:b/>
          <w:color w:val="auto"/>
          <w:kern w:val="0"/>
          <w:sz w:val="30"/>
          <w:szCs w:val="30"/>
          <w:highlight w:val="none"/>
          <w:lang w:val="en-US" w:eastAsia="zh-CN"/>
        </w:rPr>
        <w:t>履约保证保险凭证</w:t>
      </w:r>
      <w:bookmarkEnd w:id="512"/>
    </w:p>
    <w:p w14:paraId="4C72B33C">
      <w:pPr>
        <w:autoSpaceDE w:val="0"/>
        <w:autoSpaceDN w:val="0"/>
        <w:adjustRightInd w:val="0"/>
        <w:spacing w:line="360" w:lineRule="auto"/>
        <w:ind w:firstLine="437"/>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14:paraId="0A557123">
      <w:pPr>
        <w:autoSpaceDE w:val="0"/>
        <w:autoSpaceDN w:val="0"/>
        <w:adjustRightInd w:val="0"/>
        <w:spacing w:line="360" w:lineRule="auto"/>
        <w:ind w:firstLine="437"/>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编号：</w:t>
      </w:r>
    </w:p>
    <w:p w14:paraId="67A01F22">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 xml:space="preserve">（下称“受益人”）： </w:t>
      </w:r>
    </w:p>
    <w:p w14:paraId="2E9D9297">
      <w:pPr>
        <w:autoSpaceDE w:val="0"/>
        <w:autoSpaceDN w:val="0"/>
        <w:adjustRightInd w:val="0"/>
        <w:spacing w:line="360" w:lineRule="auto"/>
        <w:ind w:firstLine="437"/>
        <w:jc w:val="left"/>
        <w:rPr>
          <w:rFonts w:hint="eastAsia" w:ascii="宋体" w:hAnsi="宋体" w:eastAsia="宋体" w:cs="宋体"/>
          <w:color w:val="auto"/>
          <w:kern w:val="0"/>
          <w:szCs w:val="21"/>
          <w:highlight w:val="none"/>
          <w:lang w:val="en-US" w:eastAsia="zh-CN"/>
        </w:rPr>
      </w:pPr>
    </w:p>
    <w:p w14:paraId="5E33FEC3">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鉴于</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（下称“申请人”）已与贵方签订了</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lang w:val="en-US" w:eastAsia="zh-CN"/>
        </w:rPr>
        <w:t>。我方已接受申请人的请求，并出具《履约保证保险》保险单。</w:t>
      </w:r>
      <w:r>
        <w:rPr>
          <w:rFonts w:hint="default" w:ascii="宋体" w:hAnsi="宋体" w:eastAsia="宋体" w:cs="宋体"/>
          <w:color w:val="auto"/>
          <w:kern w:val="0"/>
          <w:szCs w:val="21"/>
          <w:highlight w:val="none"/>
          <w:lang w:val="en-US" w:eastAsia="zh-CN"/>
        </w:rPr>
        <w:t xml:space="preserve"> </w:t>
      </w:r>
    </w:p>
    <w:p w14:paraId="0484FF34">
      <w:pPr>
        <w:autoSpaceDE w:val="0"/>
        <w:autoSpaceDN w:val="0"/>
        <w:adjustRightInd w:val="0"/>
        <w:spacing w:line="360" w:lineRule="auto"/>
        <w:ind w:firstLine="437"/>
        <w:jc w:val="left"/>
        <w:rPr>
          <w:rFonts w:hint="eastAsia" w:ascii="宋体" w:hAnsi="宋体" w:eastAsia="宋体" w:cs="宋体"/>
          <w:color w:val="auto"/>
          <w:kern w:val="0"/>
          <w:szCs w:val="21"/>
          <w:highlight w:val="none"/>
          <w:lang w:val="en-US" w:eastAsia="zh-CN"/>
        </w:rPr>
      </w:pPr>
      <w:bookmarkStart w:id="513" w:name="_Toc26667"/>
      <w:r>
        <w:rPr>
          <w:rFonts w:hint="eastAsia" w:ascii="宋体" w:hAnsi="宋体" w:eastAsia="宋体" w:cs="宋体"/>
          <w:color w:val="auto"/>
          <w:kern w:val="0"/>
          <w:szCs w:val="21"/>
          <w:highlight w:val="none"/>
          <w:lang w:val="en-US" w:eastAsia="zh-CN"/>
        </w:rPr>
        <w:t>一、保证保险金额</w:t>
      </w:r>
      <w:bookmarkEnd w:id="513"/>
      <w:r>
        <w:rPr>
          <w:rFonts w:hint="eastAsia" w:ascii="宋体" w:hAnsi="宋体" w:eastAsia="宋体" w:cs="宋体"/>
          <w:color w:val="auto"/>
          <w:kern w:val="0"/>
          <w:szCs w:val="21"/>
          <w:highlight w:val="none"/>
          <w:lang w:val="en-US" w:eastAsia="zh-CN"/>
        </w:rPr>
        <w:t xml:space="preserve"> </w:t>
      </w:r>
    </w:p>
    <w:p w14:paraId="4ADC908D">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我方承担的履约保证保险的保险金额（最高限额）为人民币（大写）</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元 （</w:t>
      </w:r>
      <w:r>
        <w:rPr>
          <w:rFonts w:hint="default" w:ascii="宋体" w:hAnsi="宋体" w:eastAsia="宋体" w:cs="宋体"/>
          <w:color w:val="auto"/>
          <w:kern w:val="0"/>
          <w:szCs w:val="21"/>
          <w:highlight w:val="none"/>
          <w:lang w:val="en-US" w:eastAsia="zh-CN"/>
        </w:rPr>
        <w:t>¥</w:t>
      </w:r>
      <w:r>
        <w:rPr>
          <w:rFonts w:hint="eastAsia" w:ascii="宋体" w:hAnsi="宋体" w:eastAsia="宋体" w:cs="宋体"/>
          <w:b/>
          <w:color w:val="auto"/>
          <w:kern w:val="0"/>
          <w:szCs w:val="21"/>
          <w:highlight w:val="none"/>
          <w:u w:val="single"/>
        </w:rPr>
        <w:t xml:space="preserve">               </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 xml:space="preserve">）。 </w:t>
      </w:r>
    </w:p>
    <w:p w14:paraId="564C821D">
      <w:pPr>
        <w:autoSpaceDE w:val="0"/>
        <w:autoSpaceDN w:val="0"/>
        <w:adjustRightInd w:val="0"/>
        <w:spacing w:line="360" w:lineRule="auto"/>
        <w:ind w:firstLine="437"/>
        <w:jc w:val="left"/>
        <w:rPr>
          <w:rFonts w:hint="eastAsia" w:ascii="宋体" w:hAnsi="宋体" w:eastAsia="宋体" w:cs="宋体"/>
          <w:color w:val="auto"/>
          <w:kern w:val="0"/>
          <w:szCs w:val="21"/>
          <w:highlight w:val="none"/>
          <w:lang w:val="en-US" w:eastAsia="zh-CN"/>
        </w:rPr>
      </w:pPr>
      <w:bookmarkStart w:id="514" w:name="_Toc30086"/>
      <w:r>
        <w:rPr>
          <w:rFonts w:hint="eastAsia" w:ascii="宋体" w:hAnsi="宋体" w:eastAsia="宋体" w:cs="宋体"/>
          <w:color w:val="auto"/>
          <w:kern w:val="0"/>
          <w:szCs w:val="21"/>
          <w:highlight w:val="none"/>
          <w:lang w:val="en-US" w:eastAsia="zh-CN"/>
        </w:rPr>
        <w:t>二、保证保险的责任范围</w:t>
      </w:r>
      <w:bookmarkEnd w:id="514"/>
      <w:r>
        <w:rPr>
          <w:rFonts w:hint="eastAsia" w:ascii="宋体" w:hAnsi="宋体" w:eastAsia="宋体" w:cs="宋体"/>
          <w:color w:val="auto"/>
          <w:kern w:val="0"/>
          <w:szCs w:val="21"/>
          <w:highlight w:val="none"/>
          <w:lang w:val="en-US" w:eastAsia="zh-CN"/>
        </w:rPr>
        <w:t xml:space="preserve"> </w:t>
      </w:r>
    </w:p>
    <w:p w14:paraId="04992A95">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在保险期间内，申请人因自身原因未按照与贵方签订的</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lang w:val="en-US" w:eastAsia="zh-CN"/>
        </w:rPr>
        <w:t xml:space="preserve">履行相关义务，给贵方造成损失的，贵方可向我方提出索赔，我方按照保险合同的约定承担损失赔偿责任。 </w:t>
      </w:r>
    </w:p>
    <w:p w14:paraId="7053131A">
      <w:pPr>
        <w:autoSpaceDE w:val="0"/>
        <w:autoSpaceDN w:val="0"/>
        <w:adjustRightInd w:val="0"/>
        <w:spacing w:line="360" w:lineRule="auto"/>
        <w:ind w:firstLine="437"/>
        <w:jc w:val="left"/>
        <w:rPr>
          <w:rFonts w:hint="eastAsia" w:ascii="宋体" w:hAnsi="宋体" w:eastAsia="宋体" w:cs="宋体"/>
          <w:color w:val="auto"/>
          <w:kern w:val="0"/>
          <w:szCs w:val="21"/>
          <w:highlight w:val="none"/>
          <w:lang w:val="en-US" w:eastAsia="zh-CN"/>
        </w:rPr>
      </w:pPr>
      <w:bookmarkStart w:id="515" w:name="_Toc8124"/>
      <w:r>
        <w:rPr>
          <w:rFonts w:hint="eastAsia" w:ascii="宋体" w:hAnsi="宋体" w:eastAsia="宋体" w:cs="宋体"/>
          <w:color w:val="auto"/>
          <w:kern w:val="0"/>
          <w:szCs w:val="21"/>
          <w:highlight w:val="none"/>
          <w:lang w:val="en-US" w:eastAsia="zh-CN"/>
        </w:rPr>
        <w:t>三、代偿的安排</w:t>
      </w:r>
      <w:bookmarkEnd w:id="515"/>
      <w:r>
        <w:rPr>
          <w:rFonts w:hint="eastAsia" w:ascii="宋体" w:hAnsi="宋体" w:eastAsia="宋体" w:cs="宋体"/>
          <w:color w:val="auto"/>
          <w:kern w:val="0"/>
          <w:szCs w:val="21"/>
          <w:highlight w:val="none"/>
          <w:lang w:val="en-US" w:eastAsia="zh-CN"/>
        </w:rPr>
        <w:t xml:space="preserve"> </w:t>
      </w:r>
    </w:p>
    <w:p w14:paraId="7BBED271">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14:paraId="470BCE72">
      <w:pPr>
        <w:autoSpaceDE w:val="0"/>
        <w:autoSpaceDN w:val="0"/>
        <w:adjustRightInd w:val="0"/>
        <w:spacing w:line="360" w:lineRule="auto"/>
        <w:ind w:firstLine="437"/>
        <w:jc w:val="left"/>
        <w:rPr>
          <w:rFonts w:hint="eastAsia" w:ascii="宋体" w:hAnsi="宋体" w:eastAsia="宋体" w:cs="宋体"/>
          <w:color w:val="auto"/>
          <w:kern w:val="0"/>
          <w:szCs w:val="21"/>
          <w:highlight w:val="none"/>
          <w:lang w:val="en-US" w:eastAsia="zh-CN"/>
        </w:rPr>
      </w:pPr>
      <w:bookmarkStart w:id="516" w:name="_Toc26356"/>
      <w:r>
        <w:rPr>
          <w:rFonts w:hint="eastAsia" w:ascii="宋体" w:hAnsi="宋体" w:eastAsia="宋体" w:cs="宋体"/>
          <w:color w:val="auto"/>
          <w:kern w:val="0"/>
          <w:szCs w:val="21"/>
          <w:highlight w:val="none"/>
          <w:lang w:val="en-US" w:eastAsia="zh-CN"/>
        </w:rPr>
        <w:t>四、生效时间</w:t>
      </w:r>
      <w:bookmarkEnd w:id="516"/>
      <w:r>
        <w:rPr>
          <w:rFonts w:hint="eastAsia" w:ascii="宋体" w:hAnsi="宋体" w:eastAsia="宋体" w:cs="宋体"/>
          <w:color w:val="auto"/>
          <w:kern w:val="0"/>
          <w:szCs w:val="21"/>
          <w:highlight w:val="none"/>
          <w:lang w:val="en-US" w:eastAsia="zh-CN"/>
        </w:rPr>
        <w:t xml:space="preserve"> </w:t>
      </w:r>
    </w:p>
    <w:p w14:paraId="24C593BD">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本保险凭证自我方法定代表人（或其授权代理人）签字并加盖保险承保章之日起生效。 </w:t>
      </w:r>
    </w:p>
    <w:p w14:paraId="1B81977B">
      <w:pPr>
        <w:autoSpaceDE w:val="0"/>
        <w:autoSpaceDN w:val="0"/>
        <w:adjustRightInd w:val="0"/>
        <w:spacing w:line="360" w:lineRule="auto"/>
        <w:ind w:firstLine="437"/>
        <w:jc w:val="left"/>
        <w:rPr>
          <w:rFonts w:hint="eastAsia" w:ascii="宋体" w:hAnsi="宋体" w:eastAsia="宋体" w:cs="宋体"/>
          <w:color w:val="auto"/>
          <w:kern w:val="0"/>
          <w:szCs w:val="21"/>
          <w:highlight w:val="none"/>
          <w:lang w:val="en-US" w:eastAsia="zh-CN"/>
        </w:rPr>
      </w:pPr>
      <w:bookmarkStart w:id="517" w:name="_Toc18862"/>
      <w:r>
        <w:rPr>
          <w:rFonts w:hint="eastAsia" w:ascii="宋体" w:hAnsi="宋体" w:eastAsia="宋体" w:cs="宋体"/>
          <w:color w:val="auto"/>
          <w:kern w:val="0"/>
          <w:szCs w:val="21"/>
          <w:highlight w:val="none"/>
          <w:lang w:val="en-US" w:eastAsia="zh-CN"/>
        </w:rPr>
        <w:t>五、其他</w:t>
      </w:r>
      <w:bookmarkEnd w:id="517"/>
    </w:p>
    <w:p w14:paraId="2465B5B3">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w:t>
      </w:r>
      <w:r>
        <w:rPr>
          <w:rFonts w:hint="eastAsia" w:ascii="宋体" w:hAnsi="宋体" w:eastAsia="宋体" w:cs="宋体"/>
          <w:color w:val="auto"/>
          <w:kern w:val="0"/>
          <w:szCs w:val="21"/>
          <w:highlight w:val="none"/>
          <w:lang w:val="en-US" w:eastAsia="zh-CN"/>
        </w:rPr>
        <w:t>履约保证保险</w:t>
      </w:r>
      <w:r>
        <w:rPr>
          <w:rFonts w:hint="eastAsia" w:ascii="宋体" w:hAnsi="宋体" w:eastAsia="宋体" w:cs="宋体"/>
          <w:color w:val="auto"/>
          <w:sz w:val="21"/>
          <w:szCs w:val="21"/>
          <w:highlight w:val="none"/>
        </w:rPr>
        <w:t>应</w:t>
      </w:r>
      <w:r>
        <w:rPr>
          <w:rFonts w:hint="eastAsia" w:ascii="宋体" w:hAnsi="宋体" w:eastAsia="宋体" w:cs="宋体"/>
          <w:color w:val="auto"/>
          <w:sz w:val="21"/>
          <w:szCs w:val="21"/>
          <w:highlight w:val="none"/>
          <w:lang w:val="en-US" w:eastAsia="zh-CN"/>
        </w:rPr>
        <w:t>自合同签订之日起（或签订合同前）至合同期限届满并全部货物经最终验收合格、受益人向申请人支付全部货款（除质保金）后二十八（28）日</w:t>
      </w:r>
      <w:r>
        <w:rPr>
          <w:rFonts w:hint="eastAsia" w:ascii="宋体" w:hAnsi="宋体" w:eastAsia="宋体" w:cs="宋体"/>
          <w:color w:val="auto"/>
          <w:sz w:val="21"/>
          <w:szCs w:val="21"/>
          <w:highlight w:val="none"/>
        </w:rPr>
        <w:t>内保持有效</w:t>
      </w:r>
      <w:r>
        <w:rPr>
          <w:rFonts w:hint="eastAsia" w:ascii="宋体" w:hAnsi="宋体" w:eastAsia="宋体" w:cs="Times New Roman"/>
          <w:color w:val="auto"/>
          <w:kern w:val="0"/>
          <w:szCs w:val="21"/>
          <w:highlight w:val="none"/>
        </w:rPr>
        <w:t>。</w:t>
      </w:r>
    </w:p>
    <w:p w14:paraId="40FB21D5">
      <w:pPr>
        <w:pStyle w:val="5"/>
        <w:numPr>
          <w:ilvl w:val="0"/>
          <w:numId w:val="0"/>
        </w:numPr>
        <w:outlineLvl w:val="9"/>
        <w:rPr>
          <w:rFonts w:hint="default"/>
          <w:color w:val="auto"/>
          <w:highlight w:val="none"/>
          <w:lang w:val="en-US" w:eastAsia="zh-CN"/>
        </w:rPr>
      </w:pPr>
    </w:p>
    <w:p w14:paraId="06530FCA">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附：《</w:t>
      </w:r>
      <w:r>
        <w:rPr>
          <w:rFonts w:hint="default" w:ascii="宋体" w:hAnsi="宋体" w:eastAsia="宋体" w:cs="宋体"/>
          <w:color w:val="auto"/>
          <w:kern w:val="0"/>
          <w:szCs w:val="21"/>
          <w:highlight w:val="none"/>
          <w:lang w:val="en-US" w:eastAsia="zh-CN"/>
        </w:rPr>
        <w:t xml:space="preserve">XXX </w:t>
      </w:r>
      <w:r>
        <w:rPr>
          <w:rFonts w:hint="eastAsia" w:ascii="宋体" w:hAnsi="宋体" w:eastAsia="宋体" w:cs="宋体"/>
          <w:color w:val="auto"/>
          <w:kern w:val="0"/>
          <w:szCs w:val="21"/>
          <w:highlight w:val="none"/>
          <w:lang w:val="en-US" w:eastAsia="zh-CN"/>
        </w:rPr>
        <w:t>保险有限公司履约保证保险（</w:t>
      </w:r>
      <w:r>
        <w:rPr>
          <w:rFonts w:hint="default" w:ascii="宋体" w:hAnsi="宋体" w:eastAsia="宋体" w:cs="宋体"/>
          <w:color w:val="auto"/>
          <w:kern w:val="0"/>
          <w:szCs w:val="21"/>
          <w:highlight w:val="none"/>
          <w:lang w:val="en-US" w:eastAsia="zh-CN"/>
        </w:rPr>
        <w:t xml:space="preserve">X </w:t>
      </w:r>
      <w:r>
        <w:rPr>
          <w:rFonts w:hint="eastAsia" w:ascii="宋体" w:hAnsi="宋体" w:eastAsia="宋体" w:cs="宋体"/>
          <w:color w:val="auto"/>
          <w:kern w:val="0"/>
          <w:szCs w:val="21"/>
          <w:highlight w:val="none"/>
          <w:lang w:val="en-US" w:eastAsia="zh-CN"/>
        </w:rPr>
        <w:t xml:space="preserve">款）条款》及保单 </w:t>
      </w:r>
    </w:p>
    <w:p w14:paraId="3633D00F">
      <w:pPr>
        <w:autoSpaceDE w:val="0"/>
        <w:autoSpaceDN w:val="0"/>
        <w:adjustRightInd w:val="0"/>
        <w:spacing w:line="360" w:lineRule="auto"/>
        <w:ind w:firstLine="437"/>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14:paraId="2244B5B4">
      <w:pPr>
        <w:autoSpaceDE w:val="0"/>
        <w:autoSpaceDN w:val="0"/>
        <w:adjustRightInd w:val="0"/>
        <w:spacing w:line="360" w:lineRule="auto"/>
        <w:ind w:firstLine="437"/>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保险人：（盖章）</w:t>
      </w:r>
    </w:p>
    <w:p w14:paraId="03F83439">
      <w:pPr>
        <w:autoSpaceDE w:val="0"/>
        <w:autoSpaceDN w:val="0"/>
        <w:adjustRightInd w:val="0"/>
        <w:spacing w:line="360" w:lineRule="auto"/>
        <w:ind w:firstLine="437"/>
        <w:jc w:val="righ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法定代表人或授权代理人：</w:t>
      </w:r>
      <w:r>
        <w:rPr>
          <w:rFonts w:hint="default" w:ascii="宋体" w:hAnsi="宋体" w:eastAsia="宋体" w:cs="宋体"/>
          <w:color w:val="auto"/>
          <w:kern w:val="0"/>
          <w:szCs w:val="21"/>
          <w:highlight w:val="none"/>
          <w:lang w:val="en-US" w:eastAsia="zh-CN"/>
        </w:rPr>
        <w:t xml:space="preserve">________ </w:t>
      </w:r>
    </w:p>
    <w:p w14:paraId="7845487D">
      <w:pPr>
        <w:jc w:val="right"/>
        <w:rPr>
          <w:rFonts w:hint="eastAsia" w:ascii="宋体" w:hAnsi="宋体" w:eastAsia="宋体" w:cs="Times New Roman"/>
          <w:b/>
          <w:color w:val="auto"/>
          <w:kern w:val="0"/>
          <w:sz w:val="28"/>
          <w:szCs w:val="28"/>
          <w:highlight w:val="none"/>
        </w:rPr>
      </w:pPr>
      <w:r>
        <w:rPr>
          <w:rFonts w:hint="eastAsia" w:ascii="宋体" w:hAnsi="宋体" w:eastAsia="宋体" w:cs="宋体"/>
          <w:color w:val="auto"/>
          <w:kern w:val="0"/>
          <w:szCs w:val="21"/>
          <w:highlight w:val="none"/>
          <w:lang w:val="en-US" w:eastAsia="zh-CN"/>
        </w:rPr>
        <w:t>年</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月</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日</w:t>
      </w:r>
      <w:r>
        <w:rPr>
          <w:rFonts w:hint="eastAsia" w:ascii="宋体" w:hAnsi="宋体" w:eastAsia="宋体" w:cs="Times New Roman"/>
          <w:b/>
          <w:color w:val="auto"/>
          <w:kern w:val="0"/>
          <w:sz w:val="28"/>
          <w:szCs w:val="28"/>
          <w:highlight w:val="none"/>
        </w:rPr>
        <w:br w:type="page"/>
      </w:r>
    </w:p>
    <w:p w14:paraId="322EEDE2">
      <w:pPr>
        <w:autoSpaceDE w:val="0"/>
        <w:autoSpaceDN w:val="0"/>
        <w:adjustRightInd w:val="0"/>
        <w:spacing w:after="120" w:afterLines="50" w:line="360" w:lineRule="auto"/>
        <w:jc w:val="left"/>
        <w:outlineLvl w:val="1"/>
        <w:rPr>
          <w:rFonts w:ascii="宋体" w:hAnsi="宋体" w:eastAsia="宋体" w:cs="Times New Roman"/>
          <w:b/>
          <w:color w:val="auto"/>
          <w:kern w:val="0"/>
          <w:sz w:val="28"/>
          <w:szCs w:val="28"/>
          <w:highlight w:val="none"/>
        </w:rPr>
      </w:pPr>
      <w:bookmarkStart w:id="518" w:name="_Toc6792"/>
      <w:bookmarkStart w:id="519" w:name="_Toc14511"/>
      <w:r>
        <w:rPr>
          <w:rFonts w:hint="eastAsia" w:ascii="宋体" w:hAnsi="宋体" w:eastAsia="宋体" w:cs="Times New Roman"/>
          <w:b/>
          <w:color w:val="auto"/>
          <w:kern w:val="0"/>
          <w:sz w:val="28"/>
          <w:szCs w:val="28"/>
          <w:highlight w:val="none"/>
          <w:lang w:val="en-US" w:eastAsia="zh-CN"/>
        </w:rPr>
        <w:t>三</w:t>
      </w:r>
      <w:r>
        <w:rPr>
          <w:rFonts w:hint="eastAsia" w:ascii="宋体" w:hAnsi="宋体" w:eastAsia="宋体" w:cs="Times New Roman"/>
          <w:b/>
          <w:color w:val="auto"/>
          <w:kern w:val="0"/>
          <w:sz w:val="28"/>
          <w:szCs w:val="28"/>
          <w:highlight w:val="none"/>
        </w:rPr>
        <w:t>、担保公司履约担保书格式</w:t>
      </w:r>
      <w:bookmarkEnd w:id="518"/>
      <w:bookmarkEnd w:id="519"/>
    </w:p>
    <w:p w14:paraId="4F6AA3D6">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担保公司履约担保书</w:t>
      </w:r>
    </w:p>
    <w:p w14:paraId="17DF6BD2">
      <w:pPr>
        <w:widowControl/>
        <w:autoSpaceDE w:val="0"/>
        <w:autoSpaceDN w:val="0"/>
        <w:adjustRightInd w:val="0"/>
        <w:spacing w:before="100" w:beforeAutospacing="1" w:after="100" w:afterAutospacing="1"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5D01D143">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鉴于</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申请人</w:t>
      </w:r>
      <w:r>
        <w:rPr>
          <w:rFonts w:ascii="宋体" w:hAnsi="宋体" w:eastAsia="宋体" w:cs="Times New Roman"/>
          <w:color w:val="auto"/>
          <w:kern w:val="0"/>
          <w:szCs w:val="21"/>
          <w:highlight w:val="none"/>
          <w:u w:val="single"/>
        </w:rPr>
        <w:t xml:space="preserve">的名称与地址）  </w:t>
      </w:r>
      <w:r>
        <w:rPr>
          <w:rFonts w:ascii="宋体" w:hAnsi="宋体" w:eastAsia="宋体" w:cs="Times New Roman"/>
          <w:color w:val="auto"/>
          <w:kern w:val="0"/>
          <w:szCs w:val="21"/>
          <w:highlight w:val="none"/>
        </w:rPr>
        <w:t>（下称“</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”），已保证按</w:t>
      </w:r>
      <w:r>
        <w:rPr>
          <w:rFonts w:hint="eastAsia" w:ascii="宋体" w:hAnsi="宋体" w:eastAsia="宋体" w:cs="宋体"/>
          <w:color w:val="auto"/>
          <w:kern w:val="0"/>
          <w:szCs w:val="21"/>
          <w:highlight w:val="none"/>
        </w:rPr>
        <w:t>拟签订的</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合同（招标文件）</w:t>
      </w:r>
      <w:r>
        <w:rPr>
          <w:rFonts w:ascii="宋体" w:hAnsi="宋体" w:eastAsia="宋体" w:cs="Times New Roman"/>
          <w:color w:val="auto"/>
          <w:kern w:val="0"/>
          <w:szCs w:val="21"/>
          <w:highlight w:val="none"/>
        </w:rPr>
        <w:t>中规定的义务履行合同。</w:t>
      </w:r>
    </w:p>
    <w:p w14:paraId="0F71C4D4">
      <w:pPr>
        <w:widowControl/>
        <w:autoSpaceDE w:val="0"/>
        <w:autoSpaceDN w:val="0"/>
        <w:adjustRightInd w:val="0"/>
        <w:spacing w:line="360" w:lineRule="auto"/>
        <w:ind w:firstLine="567" w:firstLineChars="270"/>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根据上述合同（招标文件）规定，</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应向受益人提供一份金额为人民币</w:t>
      </w:r>
      <w:r>
        <w:rPr>
          <w:rFonts w:hint="eastAsia" w:ascii="宋体" w:hAnsi="宋体" w:eastAsia="宋体" w:cs="宋体"/>
          <w:color w:val="auto"/>
          <w:kern w:val="0"/>
          <w:szCs w:val="21"/>
          <w:highlight w:val="none"/>
        </w:rPr>
        <w:t>（大写）</w:t>
      </w:r>
      <w:r>
        <w:rPr>
          <w:rFonts w:ascii="宋体" w:hAnsi="宋体" w:eastAsia="宋体" w:cs="Times New Roman"/>
          <w:color w:val="auto"/>
          <w:kern w:val="0"/>
          <w:szCs w:val="21"/>
          <w:highlight w:val="none"/>
          <w:u w:val="single"/>
        </w:rPr>
        <w:t xml:space="preserve">     （RMB元）</w:t>
      </w:r>
      <w:r>
        <w:rPr>
          <w:rFonts w:ascii="宋体" w:hAnsi="宋体" w:eastAsia="宋体" w:cs="Times New Roman"/>
          <w:color w:val="auto"/>
          <w:kern w:val="0"/>
          <w:szCs w:val="21"/>
          <w:highlight w:val="none"/>
        </w:rPr>
        <w:t>的</w:t>
      </w:r>
      <w:r>
        <w:rPr>
          <w:rFonts w:hint="eastAsia" w:ascii="宋体" w:hAnsi="宋体" w:eastAsia="宋体" w:cs="Times New Roman"/>
          <w:color w:val="auto"/>
          <w:kern w:val="0"/>
          <w:szCs w:val="21"/>
          <w:highlight w:val="none"/>
        </w:rPr>
        <w:t>无条件、</w:t>
      </w:r>
      <w:r>
        <w:rPr>
          <w:rFonts w:ascii="宋体" w:hAnsi="宋体" w:eastAsia="宋体" w:cs="Times New Roman"/>
          <w:bCs/>
          <w:color w:val="auto"/>
          <w:kern w:val="0"/>
          <w:szCs w:val="21"/>
          <w:highlight w:val="none"/>
        </w:rPr>
        <w:t>不可撤销</w:t>
      </w:r>
      <w:r>
        <w:rPr>
          <w:rFonts w:ascii="宋体" w:hAnsi="宋体" w:eastAsia="宋体" w:cs="Times New Roman"/>
          <w:color w:val="auto"/>
          <w:kern w:val="0"/>
          <w:szCs w:val="21"/>
          <w:highlight w:val="none"/>
        </w:rPr>
        <w:t>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，作为</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履行上述合同的担保</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Hans"/>
        </w:rPr>
        <w:t>我方</w:t>
      </w:r>
      <w:r>
        <w:rPr>
          <w:rFonts w:ascii="宋体" w:hAnsi="宋体" w:eastAsia="宋体" w:cs="宋体"/>
          <w:color w:val="auto"/>
          <w:kern w:val="0"/>
          <w:szCs w:val="21"/>
          <w:highlight w:val="none"/>
          <w:u w:val="single"/>
        </w:rPr>
        <w:t xml:space="preserve">  </w:t>
      </w:r>
      <w:r>
        <w:rPr>
          <w:rFonts w:ascii="宋体" w:hAnsi="宋体" w:eastAsia="宋体" w:cs="Times New Roman"/>
          <w:color w:val="auto"/>
          <w:kern w:val="0"/>
          <w:szCs w:val="21"/>
          <w:highlight w:val="none"/>
          <w:u w:val="single"/>
        </w:rPr>
        <w:t>（</w:t>
      </w:r>
      <w:r>
        <w:rPr>
          <w:rFonts w:hint="eastAsia" w:ascii="宋体" w:hAnsi="宋体" w:eastAsia="宋体" w:cs="Times New Roman"/>
          <w:color w:val="auto"/>
          <w:kern w:val="0"/>
          <w:szCs w:val="21"/>
          <w:highlight w:val="none"/>
          <w:u w:val="single"/>
        </w:rPr>
        <w:t>担保公司</w:t>
      </w:r>
      <w:r>
        <w:rPr>
          <w:rFonts w:ascii="宋体" w:hAnsi="宋体" w:eastAsia="宋体" w:cs="Times New Roman"/>
          <w:color w:val="auto"/>
          <w:kern w:val="0"/>
          <w:szCs w:val="21"/>
          <w:highlight w:val="none"/>
          <w:u w:val="single"/>
        </w:rPr>
        <w:t>名称）</w:t>
      </w:r>
      <w:r>
        <w:rPr>
          <w:rFonts w:hint="eastAsia" w:ascii="宋体" w:hAnsi="宋体" w:eastAsia="宋体" w:cs="Times New Roman"/>
          <w:color w:val="auto"/>
          <w:kern w:val="0"/>
          <w:szCs w:val="21"/>
          <w:highlight w:val="none"/>
          <w:u w:val="single"/>
        </w:rPr>
        <w:t xml:space="preserve">  </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eastAsia="zh-Hans"/>
        </w:rPr>
        <w:t>本合同项下的保证责任为连带责任保证</w:t>
      </w:r>
      <w:r>
        <w:rPr>
          <w:rFonts w:hint="eastAsia" w:ascii="宋体" w:hAnsi="宋体" w:eastAsia="宋体" w:cs="宋体"/>
          <w:color w:val="auto"/>
          <w:kern w:val="0"/>
          <w:szCs w:val="21"/>
          <w:highlight w:val="none"/>
        </w:rPr>
        <w:t>。</w:t>
      </w:r>
    </w:p>
    <w:p w14:paraId="0C081A54">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ascii="宋体" w:hAnsi="宋体" w:eastAsia="宋体" w:cs="Times New Roman"/>
          <w:color w:val="auto"/>
          <w:kern w:val="0"/>
          <w:szCs w:val="21"/>
          <w:highlight w:val="none"/>
        </w:rPr>
        <w:t>我方</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担保公司</w:t>
      </w:r>
      <w:r>
        <w:rPr>
          <w:rFonts w:ascii="宋体" w:hAnsi="宋体" w:eastAsia="宋体" w:cs="Times New Roman"/>
          <w:color w:val="auto"/>
          <w:kern w:val="0"/>
          <w:szCs w:val="21"/>
          <w:highlight w:val="none"/>
          <w:u w:val="single"/>
        </w:rPr>
        <w:t xml:space="preserve">名称）  </w:t>
      </w:r>
      <w:r>
        <w:rPr>
          <w:rFonts w:ascii="宋体" w:hAnsi="宋体" w:eastAsia="宋体" w:cs="Times New Roman"/>
          <w:color w:val="auto"/>
          <w:kern w:val="0"/>
          <w:szCs w:val="21"/>
          <w:highlight w:val="none"/>
        </w:rPr>
        <w:t>，受</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的委托，</w:t>
      </w:r>
      <w:r>
        <w:rPr>
          <w:rFonts w:hint="eastAsia" w:ascii="宋体" w:hAnsi="宋体" w:eastAsia="宋体" w:cs="宋体"/>
          <w:color w:val="auto"/>
          <w:kern w:val="0"/>
          <w:szCs w:val="21"/>
          <w:highlight w:val="none"/>
        </w:rPr>
        <w:t>无条件和不可撤销地在受益人出具本担保书原件且提出因申请人没有履行上述合同规定，在担保书限额内向受益人支付不超过人民币（大写）_________（¥</w:t>
      </w:r>
      <w:r>
        <w:rPr>
          <w:rFonts w:ascii="宋体" w:hAnsi="宋体" w:eastAsia="宋体" w:cs="宋体"/>
          <w:color w:val="auto"/>
          <w:kern w:val="0"/>
          <w:szCs w:val="21"/>
          <w:highlight w:val="none"/>
        </w:rPr>
        <w:t>_______元）</w:t>
      </w:r>
      <w:r>
        <w:rPr>
          <w:rFonts w:hint="eastAsia" w:ascii="宋体" w:hAnsi="宋体" w:eastAsia="宋体" w:cs="宋体"/>
          <w:color w:val="auto"/>
          <w:kern w:val="0"/>
          <w:szCs w:val="21"/>
          <w:highlight w:val="none"/>
        </w:rPr>
        <w:t>的款项。</w:t>
      </w:r>
    </w:p>
    <w:p w14:paraId="66059755">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我方还同意，任何受益人与</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之间可能对合同条款的修改、规范或其他合同文件的变动补充，都不能免除我方按本</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函所承担的责任。因此，有关上述变动、补充和修改无须通知</w:t>
      </w:r>
      <w:r>
        <w:rPr>
          <w:rFonts w:hint="eastAsia" w:ascii="宋体" w:hAnsi="宋体" w:eastAsia="宋体" w:cs="Times New Roman"/>
          <w:color w:val="auto"/>
          <w:kern w:val="0"/>
          <w:szCs w:val="21"/>
          <w:highlight w:val="none"/>
        </w:rPr>
        <w:t>或征得</w:t>
      </w:r>
      <w:r>
        <w:rPr>
          <w:rFonts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rPr>
        <w:t>同意</w:t>
      </w:r>
      <w:r>
        <w:rPr>
          <w:rFonts w:ascii="宋体" w:hAnsi="宋体" w:eastAsia="宋体" w:cs="Times New Roman"/>
          <w:color w:val="auto"/>
          <w:kern w:val="0"/>
          <w:szCs w:val="21"/>
          <w:highlight w:val="none"/>
        </w:rPr>
        <w:t>。</w:t>
      </w:r>
    </w:p>
    <w:p w14:paraId="1D53BD4A">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本保函</w:t>
      </w:r>
      <w:r>
        <w:rPr>
          <w:rFonts w:hint="eastAsia" w:ascii="宋体" w:hAnsi="宋体" w:eastAsia="宋体" w:cs="宋体"/>
          <w:color w:val="auto"/>
          <w:sz w:val="21"/>
          <w:szCs w:val="21"/>
          <w:highlight w:val="none"/>
        </w:rPr>
        <w:t>应</w:t>
      </w:r>
      <w:r>
        <w:rPr>
          <w:rFonts w:hint="eastAsia" w:ascii="宋体" w:hAnsi="宋体" w:eastAsia="宋体" w:cs="宋体"/>
          <w:color w:val="auto"/>
          <w:sz w:val="21"/>
          <w:szCs w:val="21"/>
          <w:highlight w:val="none"/>
          <w:lang w:val="en-US" w:eastAsia="zh-CN"/>
        </w:rPr>
        <w:t>自合同签订之日起（或签订合同前）至合同期限届满并全部货物经最终验收合格、受益人向申请人支付全部货款（除质保金）后二十八（28）日</w:t>
      </w:r>
      <w:r>
        <w:rPr>
          <w:rFonts w:hint="eastAsia" w:ascii="宋体" w:hAnsi="宋体" w:eastAsia="宋体" w:cs="宋体"/>
          <w:color w:val="auto"/>
          <w:sz w:val="21"/>
          <w:szCs w:val="21"/>
          <w:highlight w:val="none"/>
        </w:rPr>
        <w:t>内保持有效</w:t>
      </w:r>
      <w:r>
        <w:rPr>
          <w:rFonts w:hint="eastAsia" w:ascii="宋体" w:hAnsi="宋体" w:eastAsia="宋体" w:cs="Times New Roman"/>
          <w:color w:val="auto"/>
          <w:kern w:val="0"/>
          <w:szCs w:val="21"/>
          <w:highlight w:val="none"/>
        </w:rPr>
        <w:t>。</w:t>
      </w:r>
    </w:p>
    <w:p w14:paraId="00F60E2D">
      <w:pPr>
        <w:autoSpaceDE w:val="0"/>
        <w:autoSpaceDN w:val="0"/>
        <w:adjustRightInd w:val="0"/>
        <w:spacing w:line="360" w:lineRule="auto"/>
        <w:jc w:val="left"/>
        <w:rPr>
          <w:rFonts w:ascii="宋体" w:hAnsi="宋体" w:eastAsia="宋体" w:cs="Times New Roman"/>
          <w:color w:val="auto"/>
          <w:kern w:val="0"/>
          <w:szCs w:val="21"/>
          <w:highlight w:val="none"/>
        </w:rPr>
      </w:pPr>
    </w:p>
    <w:p w14:paraId="17A8231F">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法定代表人或其授权的代理人：（签字或盖私章）</w:t>
      </w:r>
    </w:p>
    <w:p w14:paraId="120A31CE">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担保公司盖章：</w:t>
      </w:r>
    </w:p>
    <w:p w14:paraId="4DE2BCB6">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联系电话：</w:t>
      </w:r>
    </w:p>
    <w:p w14:paraId="1B71D1D0">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地址：</w:t>
      </w:r>
    </w:p>
    <w:p w14:paraId="02F9A376">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日期：    年   月   日</w:t>
      </w:r>
    </w:p>
    <w:p w14:paraId="50BFC741">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pPr>
    </w:p>
    <w:p w14:paraId="2834F70D">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pPr>
    </w:p>
    <w:p w14:paraId="0DBD4D99">
      <w:pPr>
        <w:autoSpaceDE w:val="0"/>
        <w:autoSpaceDN w:val="0"/>
        <w:adjustRightInd w:val="0"/>
        <w:spacing w:line="360" w:lineRule="auto"/>
        <w:jc w:val="left"/>
        <w:rPr>
          <w:rFonts w:ascii="宋体" w:hAnsi="宋体" w:eastAsia="宋体" w:cs="Times New Roman"/>
          <w:color w:val="auto"/>
          <w:kern w:val="0"/>
          <w:szCs w:val="21"/>
          <w:highlight w:val="none"/>
        </w:rPr>
      </w:pPr>
    </w:p>
    <w:p w14:paraId="6DC99706">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60987B44">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44E46B5F">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32D179AF">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48FDF0FC">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6ABE31AB">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70BBB9DD">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28A0591D">
      <w:pPr>
        <w:pageBreakBefore/>
        <w:spacing w:before="120" w:beforeLines="50" w:after="120" w:afterLines="50" w:line="360" w:lineRule="auto"/>
        <w:jc w:val="center"/>
        <w:outlineLvl w:val="1"/>
        <w:rPr>
          <w:rFonts w:hint="eastAsia" w:ascii="宋体" w:hAnsi="宋体" w:eastAsia="宋体" w:cs="Times New Roman"/>
          <w:b/>
          <w:bCs/>
          <w:color w:val="auto"/>
          <w:sz w:val="32"/>
          <w:szCs w:val="32"/>
          <w:highlight w:val="none"/>
          <w:lang w:val="zh-CN"/>
        </w:rPr>
      </w:pPr>
      <w:bookmarkStart w:id="520" w:name="_Toc5717"/>
      <w:bookmarkStart w:id="521" w:name="_Toc450662895"/>
      <w:bookmarkStart w:id="522" w:name="_Toc142508361"/>
      <w:bookmarkStart w:id="523" w:name="_Toc10720"/>
      <w:bookmarkStart w:id="524" w:name="_Toc32761_WPSOffice_Level1"/>
      <w:bookmarkStart w:id="525" w:name="_Toc486167708"/>
      <w:bookmarkStart w:id="526" w:name="_Toc12794"/>
      <w:r>
        <w:rPr>
          <w:rFonts w:hint="eastAsia" w:ascii="宋体" w:hAnsi="宋体" w:eastAsia="宋体" w:cs="Times New Roman"/>
          <w:b/>
          <w:bCs/>
          <w:color w:val="auto"/>
          <w:sz w:val="32"/>
          <w:szCs w:val="32"/>
          <w:highlight w:val="none"/>
          <w:lang w:val="zh-CN"/>
        </w:rPr>
        <w:t>第六篇 投标文件格式</w:t>
      </w:r>
      <w:bookmarkEnd w:id="520"/>
      <w:bookmarkEnd w:id="521"/>
      <w:bookmarkEnd w:id="522"/>
      <w:bookmarkEnd w:id="523"/>
      <w:bookmarkEnd w:id="524"/>
      <w:bookmarkEnd w:id="525"/>
      <w:bookmarkEnd w:id="526"/>
    </w:p>
    <w:p w14:paraId="2A98B2A8">
      <w:pPr>
        <w:pStyle w:val="19"/>
        <w:spacing w:line="360" w:lineRule="auto"/>
        <w:jc w:val="center"/>
        <w:rPr>
          <w:rFonts w:hint="eastAsia" w:ascii="宋体" w:hAnsi="宋体" w:eastAsia="宋体" w:cs="宋体"/>
          <w:b/>
          <w:color w:val="auto"/>
          <w:kern w:val="0"/>
          <w:sz w:val="32"/>
          <w:szCs w:val="32"/>
          <w:highlight w:val="none"/>
        </w:rPr>
      </w:pPr>
      <w:bookmarkStart w:id="527" w:name="_Toc142508362"/>
      <w:bookmarkStart w:id="528" w:name="_Toc486167709"/>
      <w:bookmarkStart w:id="529" w:name="_Toc102860411"/>
      <w:bookmarkStart w:id="530" w:name="_Toc533708121"/>
      <w:bookmarkStart w:id="531" w:name="_Toc104991868"/>
      <w:bookmarkStart w:id="532" w:name="_Toc94107202"/>
      <w:bookmarkStart w:id="533" w:name="_Toc21133_WPSOffice_Level2"/>
      <w:bookmarkStart w:id="534" w:name="_Toc140596921"/>
      <w:bookmarkStart w:id="535" w:name="_Toc1977721"/>
      <w:bookmarkStart w:id="536" w:name="_Toc102860067"/>
      <w:r>
        <w:rPr>
          <w:rFonts w:hint="eastAsia" w:ascii="宋体" w:hAnsi="宋体" w:eastAsia="宋体" w:cs="宋体"/>
          <w:b/>
          <w:color w:val="auto"/>
          <w:kern w:val="0"/>
          <w:sz w:val="32"/>
          <w:szCs w:val="32"/>
          <w:highlight w:val="none"/>
        </w:rPr>
        <w:br w:type="page"/>
      </w:r>
    </w:p>
    <w:p w14:paraId="35C778F4">
      <w:pPr>
        <w:pStyle w:val="19"/>
        <w:spacing w:line="360" w:lineRule="auto"/>
        <w:jc w:val="center"/>
        <w:rPr>
          <w:rFonts w:hint="eastAsia" w:ascii="宋体" w:hAnsi="宋体" w:eastAsia="宋体" w:cs="宋体"/>
          <w:b/>
          <w:color w:val="auto"/>
          <w:kern w:val="0"/>
          <w:sz w:val="32"/>
          <w:szCs w:val="32"/>
          <w:highlight w:val="none"/>
        </w:rPr>
      </w:pPr>
    </w:p>
    <w:p w14:paraId="1A0D48B2">
      <w:pPr>
        <w:pStyle w:val="19"/>
        <w:spacing w:line="360" w:lineRule="auto"/>
        <w:jc w:val="center"/>
        <w:rPr>
          <w:rFonts w:hint="eastAsia" w:ascii="宋体" w:hAnsi="宋体" w:eastAsia="宋体" w:cs="宋体"/>
          <w:b/>
          <w:color w:val="auto"/>
          <w:kern w:val="0"/>
          <w:sz w:val="32"/>
          <w:szCs w:val="32"/>
          <w:highlight w:val="none"/>
        </w:rPr>
      </w:pPr>
    </w:p>
    <w:p w14:paraId="4DC3A3DC">
      <w:pPr>
        <w:pStyle w:val="19"/>
        <w:spacing w:line="360" w:lineRule="auto"/>
        <w:jc w:val="center"/>
        <w:rPr>
          <w:rFonts w:hint="eastAsia" w:ascii="宋体" w:hAnsi="宋体" w:eastAsia="宋体" w:cs="宋体"/>
          <w:b/>
          <w:color w:val="auto"/>
          <w:kern w:val="0"/>
          <w:sz w:val="32"/>
          <w:szCs w:val="32"/>
          <w:highlight w:val="none"/>
        </w:rPr>
      </w:pPr>
    </w:p>
    <w:p w14:paraId="4A1740EE">
      <w:pPr>
        <w:pStyle w:val="19"/>
        <w:spacing w:line="360" w:lineRule="auto"/>
        <w:jc w:val="center"/>
        <w:rPr>
          <w:rFonts w:hint="eastAsia" w:ascii="宋体" w:hAnsi="宋体" w:eastAsia="宋体" w:cs="宋体"/>
          <w:color w:val="auto"/>
          <w:sz w:val="84"/>
          <w:highlight w:val="none"/>
        </w:rPr>
      </w:pPr>
    </w:p>
    <w:p w14:paraId="0850C9A3">
      <w:pPr>
        <w:pStyle w:val="19"/>
        <w:spacing w:line="360" w:lineRule="auto"/>
        <w:jc w:val="center"/>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14:paraId="20F1A163">
      <w:pPr>
        <w:pStyle w:val="19"/>
        <w:spacing w:line="360" w:lineRule="auto"/>
        <w:rPr>
          <w:rFonts w:hint="eastAsia" w:ascii="宋体" w:hAnsi="宋体" w:eastAsia="宋体" w:cs="宋体"/>
          <w:color w:val="auto"/>
          <w:highlight w:val="none"/>
        </w:rPr>
      </w:pPr>
    </w:p>
    <w:p w14:paraId="19ABA2EA">
      <w:pPr>
        <w:pStyle w:val="19"/>
        <w:spacing w:line="360" w:lineRule="auto"/>
        <w:rPr>
          <w:rFonts w:hint="eastAsia" w:ascii="宋体" w:hAnsi="宋体" w:eastAsia="宋体" w:cs="宋体"/>
          <w:color w:val="auto"/>
          <w:highlight w:val="none"/>
        </w:rPr>
      </w:pPr>
    </w:p>
    <w:p w14:paraId="53FECE05">
      <w:pPr>
        <w:pStyle w:val="19"/>
        <w:spacing w:line="360" w:lineRule="auto"/>
        <w:rPr>
          <w:rFonts w:hint="eastAsia" w:ascii="宋体" w:hAnsi="宋体" w:eastAsia="宋体" w:cs="宋体"/>
          <w:color w:val="auto"/>
          <w:highlight w:val="none"/>
        </w:rPr>
      </w:pPr>
    </w:p>
    <w:p w14:paraId="17617EB2">
      <w:pPr>
        <w:pStyle w:val="19"/>
        <w:spacing w:line="360" w:lineRule="auto"/>
        <w:rPr>
          <w:rFonts w:hint="eastAsia" w:ascii="宋体" w:hAnsi="宋体" w:eastAsia="宋体" w:cs="宋体"/>
          <w:color w:val="auto"/>
          <w:highlight w:val="none"/>
        </w:rPr>
      </w:pPr>
    </w:p>
    <w:p w14:paraId="40A99985">
      <w:pPr>
        <w:pStyle w:val="19"/>
        <w:spacing w:line="360" w:lineRule="auto"/>
        <w:rPr>
          <w:rFonts w:hint="eastAsia" w:ascii="宋体" w:hAnsi="宋体" w:eastAsia="宋体" w:cs="宋体"/>
          <w:color w:val="auto"/>
          <w:highlight w:val="none"/>
        </w:rPr>
      </w:pPr>
    </w:p>
    <w:p w14:paraId="7B5B8FC6">
      <w:pPr>
        <w:pStyle w:val="19"/>
        <w:spacing w:line="360" w:lineRule="auto"/>
        <w:rPr>
          <w:rFonts w:hint="eastAsia" w:ascii="宋体" w:hAnsi="宋体" w:eastAsia="宋体" w:cs="宋体"/>
          <w:color w:val="auto"/>
          <w:highlight w:val="none"/>
        </w:rPr>
      </w:pPr>
    </w:p>
    <w:p w14:paraId="20155F62">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 xml:space="preserve">                      </w:t>
      </w:r>
    </w:p>
    <w:p w14:paraId="68586614">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14:paraId="276B478F">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投标文件商务部分 </w:t>
      </w:r>
    </w:p>
    <w:p w14:paraId="22B15AAC">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14:paraId="7FE3C53D">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w:t>
      </w:r>
    </w:p>
    <w:p w14:paraId="67790674">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14:paraId="5865C969">
      <w:pPr>
        <w:pStyle w:val="19"/>
        <w:spacing w:line="360" w:lineRule="auto"/>
        <w:rPr>
          <w:rFonts w:hint="eastAsia" w:ascii="宋体" w:hAnsi="宋体" w:eastAsia="宋体" w:cs="宋体"/>
          <w:color w:val="auto"/>
          <w:highlight w:val="none"/>
        </w:rPr>
      </w:pPr>
    </w:p>
    <w:p w14:paraId="0FC455A3">
      <w:pPr>
        <w:pStyle w:val="1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79A3F09">
      <w:pPr>
        <w:pStyle w:val="19"/>
        <w:spacing w:line="360" w:lineRule="auto"/>
        <w:rPr>
          <w:rFonts w:hint="eastAsia" w:ascii="宋体" w:hAnsi="宋体" w:eastAsia="宋体" w:cs="宋体"/>
          <w:color w:val="auto"/>
          <w:highlight w:val="none"/>
        </w:rPr>
      </w:pPr>
    </w:p>
    <w:p w14:paraId="6D76C6C7">
      <w:pPr>
        <w:pBdr>
          <w:top w:val="none" w:color="auto" w:sz="0" w:space="0"/>
          <w:left w:val="none" w:color="auto" w:sz="0" w:space="0"/>
          <w:bottom w:val="none" w:color="auto" w:sz="0" w:space="0"/>
          <w:right w:val="none" w:color="auto" w:sz="0" w:space="0"/>
          <w:between w:val="none" w:color="auto" w:sz="0" w:space="0"/>
        </w:pBdr>
        <w:spacing w:line="480" w:lineRule="auto"/>
        <w:ind w:firstLine="675" w:firstLineChars="224"/>
        <w:jc w:val="center"/>
        <w:rPr>
          <w:rFonts w:hint="eastAsia" w:ascii="宋体" w:hAnsi="宋体" w:eastAsia="宋体" w:cs="宋体"/>
          <w:b/>
          <w:bCs/>
          <w:color w:val="auto"/>
          <w:sz w:val="30"/>
          <w:szCs w:val="30"/>
          <w:highlight w:val="none"/>
          <w:u w:val="none"/>
        </w:rPr>
      </w:pPr>
      <w:r>
        <w:rPr>
          <w:rFonts w:hint="eastAsia" w:ascii="宋体" w:hAnsi="宋体" w:eastAsia="宋体" w:cs="宋体"/>
          <w:b/>
          <w:bCs/>
          <w:color w:val="auto"/>
          <w:sz w:val="30"/>
          <w:szCs w:val="30"/>
          <w:highlight w:val="none"/>
          <w:u w:val="none"/>
        </w:rPr>
        <w:t>投标文件商务评审部分索引表</w:t>
      </w:r>
    </w:p>
    <w:tbl>
      <w:tblPr>
        <w:tblStyle w:val="37"/>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1786"/>
        <w:gridCol w:w="4430"/>
      </w:tblGrid>
      <w:tr w14:paraId="452132D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7D6670E8">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337" w:type="pct"/>
            <w:vAlign w:val="center"/>
          </w:tcPr>
          <w:p w14:paraId="165CF50D">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861" w:type="pct"/>
            <w:vAlign w:val="center"/>
          </w:tcPr>
          <w:p w14:paraId="71F077BA">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招标文件上的满分值</w:t>
            </w:r>
          </w:p>
        </w:tc>
        <w:tc>
          <w:tcPr>
            <w:tcW w:w="2136" w:type="pct"/>
            <w:tcBorders>
              <w:left w:val="single" w:color="auto" w:sz="4" w:space="0"/>
            </w:tcBorders>
            <w:vAlign w:val="center"/>
          </w:tcPr>
          <w:p w14:paraId="45E3FCA1">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7494D8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5A313398">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1337" w:type="pct"/>
            <w:vAlign w:val="center"/>
          </w:tcPr>
          <w:p w14:paraId="1DAEE385">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861" w:type="pct"/>
            <w:vAlign w:val="center"/>
          </w:tcPr>
          <w:p w14:paraId="59796E33">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7BDF61AF">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bCs/>
                <w:color w:val="auto"/>
                <w:szCs w:val="21"/>
                <w:highlight w:val="none"/>
              </w:rPr>
            </w:pPr>
          </w:p>
        </w:tc>
      </w:tr>
      <w:tr w14:paraId="53ED69E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6342C576">
            <w:pPr>
              <w:keepNext w:val="0"/>
              <w:keepLines w:val="0"/>
              <w:suppressLineNumbers w:val="0"/>
              <w:spacing w:before="0" w:beforeAutospacing="0" w:after="0" w:afterAutospacing="0"/>
              <w:ind w:left="0" w:right="0"/>
              <w:rPr>
                <w:rFonts w:hint="eastAsia" w:ascii="宋体" w:hAnsi="宋体" w:eastAsia="宋体" w:cs="宋体"/>
                <w:bCs/>
                <w:color w:val="auto"/>
                <w:szCs w:val="21"/>
                <w:highlight w:val="none"/>
              </w:rPr>
            </w:pPr>
          </w:p>
        </w:tc>
        <w:tc>
          <w:tcPr>
            <w:tcW w:w="1337" w:type="pct"/>
            <w:vAlign w:val="center"/>
          </w:tcPr>
          <w:p w14:paraId="719CC800">
            <w:pPr>
              <w:keepNext w:val="0"/>
              <w:keepLines w:val="0"/>
              <w:suppressLineNumbers w:val="0"/>
              <w:spacing w:before="0" w:beforeAutospacing="0" w:after="0" w:afterAutospacing="0"/>
              <w:ind w:left="0" w:right="0"/>
              <w:rPr>
                <w:rFonts w:hint="eastAsia" w:ascii="宋体" w:hAnsi="宋体" w:eastAsia="宋体" w:cs="宋体"/>
                <w:bCs/>
                <w:color w:val="auto"/>
                <w:szCs w:val="21"/>
                <w:highlight w:val="none"/>
              </w:rPr>
            </w:pPr>
          </w:p>
        </w:tc>
        <w:tc>
          <w:tcPr>
            <w:tcW w:w="861" w:type="pct"/>
            <w:vAlign w:val="center"/>
          </w:tcPr>
          <w:p w14:paraId="6E5E132C">
            <w:pPr>
              <w:keepNext w:val="0"/>
              <w:keepLines w:val="0"/>
              <w:suppressLineNumbers w:val="0"/>
              <w:spacing w:before="0" w:beforeAutospacing="0" w:after="0" w:afterAutospacing="0"/>
              <w:ind w:left="0" w:right="0"/>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2508AB9F">
            <w:pPr>
              <w:keepNext w:val="0"/>
              <w:keepLines w:val="0"/>
              <w:suppressLineNumbers w:val="0"/>
              <w:adjustRightInd w:val="0"/>
              <w:snapToGrid w:val="0"/>
              <w:spacing w:before="0" w:beforeAutospacing="0" w:after="0" w:afterAutospacing="0" w:line="360" w:lineRule="auto"/>
              <w:ind w:left="0" w:right="0" w:firstLine="105" w:firstLineChars="50"/>
              <w:rPr>
                <w:rFonts w:hint="eastAsia" w:ascii="宋体" w:hAnsi="宋体" w:eastAsia="宋体" w:cs="宋体"/>
                <w:bCs/>
                <w:color w:val="auto"/>
                <w:szCs w:val="21"/>
                <w:highlight w:val="none"/>
              </w:rPr>
            </w:pPr>
          </w:p>
        </w:tc>
      </w:tr>
      <w:tr w14:paraId="41339EB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68DD900F">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1337" w:type="pct"/>
            <w:vAlign w:val="center"/>
          </w:tcPr>
          <w:p w14:paraId="03CF749F">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bCs/>
                <w:color w:val="auto"/>
                <w:szCs w:val="21"/>
                <w:highlight w:val="none"/>
              </w:rPr>
            </w:pPr>
          </w:p>
        </w:tc>
        <w:tc>
          <w:tcPr>
            <w:tcW w:w="861" w:type="pct"/>
            <w:vAlign w:val="center"/>
          </w:tcPr>
          <w:p w14:paraId="47D06127">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3463247D">
            <w:pPr>
              <w:keepNext w:val="0"/>
              <w:keepLines w:val="0"/>
              <w:suppressLineNumbers w:val="0"/>
              <w:spacing w:before="0" w:beforeAutospacing="0" w:after="0" w:afterAutospacing="0" w:line="360" w:lineRule="auto"/>
              <w:ind w:left="0" w:right="0" w:firstLine="8" w:firstLineChars="4"/>
              <w:rPr>
                <w:rFonts w:hint="eastAsia" w:ascii="宋体" w:hAnsi="宋体" w:eastAsia="宋体" w:cs="宋体"/>
                <w:bCs/>
                <w:color w:val="auto"/>
                <w:szCs w:val="21"/>
                <w:highlight w:val="none"/>
              </w:rPr>
            </w:pPr>
          </w:p>
        </w:tc>
      </w:tr>
      <w:tr w14:paraId="52D1706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03F00D53">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1337" w:type="pct"/>
            <w:tcBorders>
              <w:top w:val="single" w:color="auto" w:sz="6" w:space="0"/>
              <w:left w:val="single" w:color="auto" w:sz="6" w:space="0"/>
              <w:bottom w:val="outset" w:color="808080" w:sz="6" w:space="0"/>
              <w:right w:val="single" w:color="auto" w:sz="6" w:space="0"/>
            </w:tcBorders>
            <w:vAlign w:val="center"/>
          </w:tcPr>
          <w:p w14:paraId="2DA6A86D">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bCs/>
                <w:color w:val="auto"/>
                <w:szCs w:val="21"/>
                <w:highlight w:val="none"/>
              </w:rPr>
            </w:pPr>
          </w:p>
        </w:tc>
        <w:tc>
          <w:tcPr>
            <w:tcW w:w="861" w:type="pct"/>
            <w:tcBorders>
              <w:top w:val="single" w:color="auto" w:sz="6" w:space="0"/>
              <w:left w:val="single" w:color="auto" w:sz="6" w:space="0"/>
              <w:bottom w:val="outset" w:color="808080" w:sz="6" w:space="0"/>
              <w:right w:val="single" w:color="auto" w:sz="6" w:space="0"/>
            </w:tcBorders>
            <w:vAlign w:val="center"/>
          </w:tcPr>
          <w:p w14:paraId="06AADD0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2136" w:type="pct"/>
            <w:tcBorders>
              <w:top w:val="single" w:color="auto" w:sz="6" w:space="0"/>
              <w:left w:val="single" w:color="auto" w:sz="4" w:space="0"/>
              <w:bottom w:val="outset" w:color="808080" w:sz="6" w:space="0"/>
              <w:right w:val="single" w:color="auto" w:sz="6" w:space="0"/>
            </w:tcBorders>
            <w:vAlign w:val="center"/>
          </w:tcPr>
          <w:p w14:paraId="699A0AEC">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bCs/>
                <w:color w:val="auto"/>
                <w:szCs w:val="21"/>
                <w:highlight w:val="none"/>
              </w:rPr>
            </w:pPr>
          </w:p>
        </w:tc>
      </w:tr>
      <w:tr w14:paraId="11506F7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33B3356E">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861" w:type="pct"/>
            <w:tcBorders>
              <w:bottom w:val="single" w:color="auto" w:sz="4" w:space="0"/>
            </w:tcBorders>
            <w:vAlign w:val="center"/>
          </w:tcPr>
          <w:p w14:paraId="6AD900FE">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2136" w:type="pct"/>
            <w:tcBorders>
              <w:left w:val="single" w:color="auto" w:sz="4" w:space="0"/>
              <w:bottom w:val="single" w:color="auto" w:sz="4" w:space="0"/>
            </w:tcBorders>
            <w:vAlign w:val="center"/>
          </w:tcPr>
          <w:p w14:paraId="3F994960">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r>
    </w:tbl>
    <w:p w14:paraId="79BB3AB3">
      <w:pPr>
        <w:pStyle w:val="19"/>
        <w:spacing w:line="360" w:lineRule="auto"/>
        <w:rPr>
          <w:rFonts w:hint="eastAsia" w:ascii="宋体" w:hAnsi="宋体" w:eastAsia="宋体" w:cs="宋体"/>
          <w:color w:val="auto"/>
          <w:highlight w:val="none"/>
        </w:rPr>
      </w:pPr>
    </w:p>
    <w:p w14:paraId="4E2AB04F">
      <w:pPr>
        <w:pStyle w:val="19"/>
        <w:spacing w:line="360" w:lineRule="auto"/>
        <w:rPr>
          <w:rFonts w:hint="eastAsia" w:ascii="宋体" w:hAnsi="宋体" w:eastAsia="宋体" w:cs="宋体"/>
          <w:color w:val="auto"/>
          <w:highlight w:val="none"/>
        </w:rPr>
      </w:pPr>
    </w:p>
    <w:p w14:paraId="6D31DEF7">
      <w:pPr>
        <w:widowControl/>
        <w:jc w:val="left"/>
        <w:rPr>
          <w:rFonts w:hint="eastAsia" w:ascii="宋体" w:hAnsi="宋体" w:eastAsia="宋体" w:cs="宋体"/>
          <w:b/>
          <w:color w:val="auto"/>
          <w:kern w:val="0"/>
          <w:sz w:val="32"/>
          <w:szCs w:val="32"/>
          <w:highlight w:val="none"/>
        </w:rPr>
      </w:pPr>
      <w:r>
        <w:rPr>
          <w:rFonts w:hint="eastAsia" w:ascii="宋体" w:hAnsi="宋体" w:eastAsia="宋体" w:cs="宋体"/>
          <w:color w:val="auto"/>
          <w:highlight w:val="none"/>
        </w:rPr>
        <w:br w:type="page"/>
      </w:r>
    </w:p>
    <w:p w14:paraId="146BC249">
      <w:pPr>
        <w:tabs>
          <w:tab w:val="left" w:pos="567"/>
        </w:tabs>
        <w:autoSpaceDE w:val="0"/>
        <w:autoSpaceDN w:val="0"/>
        <w:adjustRightInd w:val="0"/>
        <w:spacing w:line="360" w:lineRule="auto"/>
        <w:ind w:left="357" w:leftChars="-100" w:hanging="567"/>
        <w:jc w:val="left"/>
        <w:outlineLvl w:val="1"/>
        <w:rPr>
          <w:rFonts w:ascii="宋体" w:hAnsi="宋体" w:eastAsia="宋体" w:cs="宋体"/>
          <w:b/>
          <w:color w:val="auto"/>
          <w:kern w:val="0"/>
          <w:sz w:val="32"/>
          <w:szCs w:val="32"/>
          <w:highlight w:val="none"/>
        </w:rPr>
      </w:pPr>
      <w:bookmarkStart w:id="537" w:name="_Toc21868"/>
      <w:bookmarkStart w:id="538" w:name="_Toc2963"/>
      <w:bookmarkStart w:id="539" w:name="_Toc18706"/>
      <w:bookmarkStart w:id="540" w:name="_Toc13331"/>
      <w:r>
        <w:rPr>
          <w:rFonts w:hint="eastAsia" w:ascii="宋体" w:hAnsi="宋体" w:eastAsia="宋体" w:cs="宋体"/>
          <w:b/>
          <w:color w:val="auto"/>
          <w:kern w:val="0"/>
          <w:sz w:val="32"/>
          <w:szCs w:val="32"/>
          <w:highlight w:val="none"/>
        </w:rPr>
        <w:t>一、投标函格式</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p>
    <w:p w14:paraId="5FDB8E95">
      <w:pPr>
        <w:autoSpaceDE w:val="0"/>
        <w:autoSpaceDN w:val="0"/>
        <w:adjustRightInd w:val="0"/>
        <w:spacing w:line="360" w:lineRule="auto"/>
        <w:jc w:val="center"/>
        <w:rPr>
          <w:rFonts w:ascii="宋体" w:hAnsi="宋体" w:eastAsia="宋体" w:cs="宋体"/>
          <w:b/>
          <w:bCs/>
          <w:color w:val="auto"/>
          <w:sz w:val="30"/>
          <w:szCs w:val="30"/>
          <w:highlight w:val="none"/>
        </w:rPr>
      </w:pPr>
      <w:bookmarkStart w:id="541" w:name="_Toc16695_WPSOffice_Level3"/>
      <w:r>
        <w:rPr>
          <w:rFonts w:hint="eastAsia" w:ascii="宋体" w:hAnsi="宋体" w:eastAsia="宋体" w:cs="宋体"/>
          <w:b/>
          <w:bCs/>
          <w:color w:val="auto"/>
          <w:sz w:val="30"/>
          <w:szCs w:val="30"/>
          <w:highlight w:val="none"/>
          <w:lang w:val="zh-CN"/>
        </w:rPr>
        <w:t>投 标 函</w:t>
      </w:r>
      <w:bookmarkEnd w:id="541"/>
    </w:p>
    <w:p w14:paraId="6D80C581">
      <w:pPr>
        <w:autoSpaceDE w:val="0"/>
        <w:autoSpaceDN w:val="0"/>
        <w:adjustRightInd w:val="0"/>
        <w:spacing w:line="360" w:lineRule="auto"/>
        <w:rPr>
          <w:rFonts w:ascii="宋体" w:hAnsi="宋体" w:eastAsia="宋体" w:cs="宋体"/>
          <w:color w:val="auto"/>
          <w:szCs w:val="21"/>
          <w:highlight w:val="none"/>
          <w:lang w:val="zh-CN"/>
        </w:rPr>
      </w:pPr>
    </w:p>
    <w:p w14:paraId="5AAFE1EE">
      <w:pPr>
        <w:autoSpaceDE w:val="0"/>
        <w:autoSpaceDN w:val="0"/>
        <w:adjustRightInd w:val="0"/>
        <w:spacing w:line="360" w:lineRule="auto"/>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rPr>
        <w:t>致：</w:t>
      </w:r>
      <w:r>
        <w:rPr>
          <w:rFonts w:hint="eastAsia" w:ascii="宋体" w:hAnsi="宋体" w:eastAsia="宋体" w:cs="宋体"/>
          <w:color w:val="auto"/>
          <w:kern w:val="0"/>
          <w:szCs w:val="21"/>
          <w:highlight w:val="none"/>
          <w:u w:val="single"/>
          <w:lang w:eastAsia="zh-CN"/>
        </w:rPr>
        <w:t>东莞市水务集团净水有限公司</w:t>
      </w:r>
    </w:p>
    <w:p w14:paraId="54473DC8">
      <w:pPr>
        <w:autoSpaceDE w:val="0"/>
        <w:autoSpaceDN w:val="0"/>
        <w:adjustRightInd w:val="0"/>
        <w:spacing w:line="360" w:lineRule="auto"/>
        <w:rPr>
          <w:rFonts w:ascii="宋体" w:hAnsi="宋体" w:eastAsia="宋体" w:cs="宋体"/>
          <w:color w:val="auto"/>
          <w:szCs w:val="21"/>
          <w:highlight w:val="none"/>
        </w:rPr>
      </w:pPr>
    </w:p>
    <w:p w14:paraId="180A22E1">
      <w:pPr>
        <w:wordWrap w:val="0"/>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根据贵方为</w:t>
      </w:r>
      <w:r>
        <w:rPr>
          <w:rFonts w:hint="eastAsia" w:ascii="宋体" w:hAnsi="宋体" w:eastAsia="宋体" w:cs="宋体"/>
          <w:color w:val="auto"/>
          <w:kern w:val="0"/>
          <w:szCs w:val="21"/>
          <w:highlight w:val="none"/>
          <w:u w:val="single"/>
          <w:lang w:eastAsia="zh-CN"/>
        </w:rPr>
        <w:t>东莞市水务集团净水有限公司2025年生产药剂液体柠檬酸采购项目（重新招标）</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YDZB24DGQY0194-1</w:t>
      </w:r>
      <w:r>
        <w:rPr>
          <w:rFonts w:hint="eastAsia" w:ascii="宋体" w:hAnsi="宋体" w:eastAsia="宋体" w:cs="宋体"/>
          <w:color w:val="auto"/>
          <w:szCs w:val="21"/>
          <w:highlight w:val="none"/>
          <w:lang w:val="zh-CN"/>
        </w:rPr>
        <w:t>)的投标邀请，我方（投标人名称）作为投标人正式授权</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授权代表全名，职务）代表我方进行有关本次投标的一切事宜。</w:t>
      </w:r>
    </w:p>
    <w:p w14:paraId="02E5867B">
      <w:pPr>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在此提交的投标文件，包括如下等内容，并已单独密封封装：</w:t>
      </w:r>
    </w:p>
    <w:p w14:paraId="2F746A90">
      <w:pPr>
        <w:autoSpaceDE w:val="0"/>
        <w:autoSpaceDN w:val="0"/>
        <w:adjustRightInd w:val="0"/>
        <w:spacing w:line="360" w:lineRule="auto"/>
        <w:ind w:firstLine="315" w:firstLineChars="15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）唱标信封【</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份】（含投标文件电子文件）；</w:t>
      </w:r>
    </w:p>
    <w:p w14:paraId="1DDF4289">
      <w:pPr>
        <w:autoSpaceDE w:val="0"/>
        <w:autoSpaceDN w:val="0"/>
        <w:adjustRightInd w:val="0"/>
        <w:spacing w:line="360" w:lineRule="auto"/>
        <w:ind w:firstLine="315" w:firstLineChars="15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（二）投标文件【正本</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份，副本</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w:t>
      </w:r>
    </w:p>
    <w:p w14:paraId="7858FD1F">
      <w:pPr>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我方已完全明白招标文件的所有条款要求，并重申以下几点：</w:t>
      </w:r>
    </w:p>
    <w:p w14:paraId="5F7068FC">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w:t>
      </w:r>
      <w:r>
        <w:rPr>
          <w:rFonts w:hint="eastAsia" w:ascii="宋体" w:hAnsi="宋体" w:eastAsia="宋体" w:cs="Times New Roman"/>
          <w:color w:val="auto"/>
          <w:szCs w:val="21"/>
          <w:highlight w:val="none"/>
          <w:lang w:val="zh-CN"/>
        </w:rPr>
        <w:t>决定</w:t>
      </w:r>
      <w:r>
        <w:rPr>
          <w:rFonts w:hint="eastAsia" w:ascii="宋体" w:hAnsi="宋体" w:eastAsia="宋体" w:cs="宋体"/>
          <w:color w:val="auto"/>
          <w:szCs w:val="21"/>
          <w:highlight w:val="none"/>
          <w:lang w:val="zh-CN"/>
        </w:rPr>
        <w:t>参加招标编号为</w:t>
      </w:r>
      <w:r>
        <w:rPr>
          <w:rFonts w:hint="eastAsia" w:ascii="宋体" w:hAnsi="宋体" w:eastAsia="宋体" w:cs="宋体"/>
          <w:color w:val="auto"/>
          <w:szCs w:val="21"/>
          <w:highlight w:val="none"/>
          <w:u w:val="single"/>
          <w:lang w:val="zh-CN"/>
        </w:rPr>
        <w:t>YDZB24DGQY0194-1</w:t>
      </w:r>
      <w:r>
        <w:rPr>
          <w:rFonts w:hint="eastAsia" w:ascii="宋体" w:hAnsi="宋体" w:eastAsia="宋体" w:cs="宋体"/>
          <w:color w:val="auto"/>
          <w:szCs w:val="21"/>
          <w:highlight w:val="none"/>
          <w:lang w:val="zh-CN"/>
        </w:rPr>
        <w:t>的投标；</w:t>
      </w:r>
    </w:p>
    <w:p w14:paraId="774E24F3">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（二）本投标文件的有效期自递交投标文件截止时间届满后90日有效，如中标，有效期将延至合同终止日为止；</w:t>
      </w:r>
    </w:p>
    <w:p w14:paraId="7109FB3A">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（三）我方已详细研究了招标文件的所有内容包括修正文（如有）和所有已提供的参考资料以及有关附件并完全明白，我方放弃在此方面提出含糊意见或误解的一切权力；</w:t>
      </w:r>
    </w:p>
    <w:p w14:paraId="4F35F94B">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（四）我方明白并愿意在规定的递交投标文件截止时间和日期之后，投标有效期之内撤回投标，则不予退还我方投标保证金；</w:t>
      </w:r>
    </w:p>
    <w:p w14:paraId="7F22D0A3">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（五）我方同意按照贵方可能提出的要求而提供与投标有关的任何其它数据或信息；</w:t>
      </w:r>
    </w:p>
    <w:p w14:paraId="01E3F1EA">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（六）我方理解贵方不一定接受最低报价或任何贵方可能收到的报价；</w:t>
      </w:r>
    </w:p>
    <w:p w14:paraId="1A23273A">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（七）我方如果中标，将保证履行招标文件以及招标文件修改书（如有）中的全部责任和义务，按质、按量、按期完成《合同书》中的全部任务；</w:t>
      </w:r>
    </w:p>
    <w:p w14:paraId="35DB6E71">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（八）保证投标文件中所有资料均真实有效，否则按无效投标处理或可取消中标资格，并愿意接受按弄虚作假骗取中标的有关规定进行处理，并不予退还我方投标保证金；</w:t>
      </w:r>
    </w:p>
    <w:p w14:paraId="10C70FD5">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（九）若我方中标后，我方一定按照招标文件的要求和投标文件的承诺签订和履行合同，否则贵方可取消我方中标资格，并依法不予退还我方投标保证金或履约担保，我方愿意接受违约处罚；</w:t>
      </w:r>
    </w:p>
    <w:p w14:paraId="5EAA5510">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（十）若我方中标后，核查出投标文件内容前后不一致，我方愿按最高标准的承诺履约义务；</w:t>
      </w:r>
    </w:p>
    <w:p w14:paraId="54328AF8">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bookmarkStart w:id="542" w:name="_Toc5849"/>
      <w:r>
        <w:rPr>
          <w:rFonts w:hint="eastAsia" w:ascii="宋体" w:hAnsi="宋体" w:eastAsia="宋体" w:cs="宋体"/>
          <w:color w:val="auto"/>
          <w:szCs w:val="21"/>
          <w:highlight w:val="none"/>
          <w:lang w:val="zh-CN"/>
        </w:rPr>
        <w:t>（十一）所有与本投标有关的函件请发往下列地址：</w:t>
      </w:r>
      <w:bookmarkEnd w:id="542"/>
    </w:p>
    <w:p w14:paraId="406ACB3E">
      <w:pPr>
        <w:autoSpaceDE w:val="0"/>
        <w:autoSpaceDN w:val="0"/>
        <w:adjustRightInd w:val="0"/>
        <w:spacing w:line="360" w:lineRule="auto"/>
        <w:ind w:left="395" w:leftChars="-12" w:hanging="420" w:hangingChars="200"/>
        <w:rPr>
          <w:rFonts w:ascii="宋体" w:hAnsi="宋体" w:eastAsia="宋体" w:cs="宋体"/>
          <w:color w:val="auto"/>
          <w:szCs w:val="21"/>
          <w:highlight w:val="none"/>
          <w:u w:val="single"/>
          <w:lang w:val="zh-CN"/>
        </w:rPr>
      </w:pPr>
    </w:p>
    <w:p w14:paraId="42931340">
      <w:pPr>
        <w:autoSpaceDE w:val="0"/>
        <w:autoSpaceDN w:val="0"/>
        <w:adjustRightInd w:val="0"/>
        <w:spacing w:line="360" w:lineRule="auto"/>
        <w:ind w:firstLine="420" w:firstLineChars="200"/>
        <w:rPr>
          <w:rFonts w:ascii="宋体" w:hAnsi="宋体" w:eastAsia="宋体" w:cs="宋体"/>
          <w:color w:val="auto"/>
          <w:szCs w:val="21"/>
          <w:highlight w:val="none"/>
          <w:u w:val="single"/>
          <w:lang w:val="zh-CN"/>
        </w:rPr>
      </w:pPr>
      <w:r>
        <w:rPr>
          <w:rFonts w:hint="eastAsia" w:ascii="宋体" w:hAnsi="宋体" w:eastAsia="宋体" w:cs="宋体"/>
          <w:color w:val="auto"/>
          <w:szCs w:val="21"/>
          <w:highlight w:val="none"/>
          <w:lang w:val="zh-CN"/>
        </w:rPr>
        <w:t>地  　址：</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邮政编码：</w:t>
      </w:r>
      <w:r>
        <w:rPr>
          <w:rFonts w:hint="eastAsia" w:ascii="宋体" w:hAnsi="宋体" w:eastAsia="宋体" w:cs="宋体"/>
          <w:color w:val="auto"/>
          <w:szCs w:val="21"/>
          <w:highlight w:val="none"/>
          <w:u w:val="single"/>
          <w:lang w:val="zh-CN"/>
        </w:rPr>
        <w:t xml:space="preserve">　　　　　　　　　　 </w:t>
      </w:r>
    </w:p>
    <w:p w14:paraId="0658FFA6">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电　　话：</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代表姓名：</w:t>
      </w:r>
      <w:r>
        <w:rPr>
          <w:rFonts w:hint="eastAsia" w:ascii="宋体" w:hAnsi="宋体" w:eastAsia="宋体" w:cs="宋体"/>
          <w:color w:val="auto"/>
          <w:szCs w:val="21"/>
          <w:highlight w:val="none"/>
          <w:u w:val="single"/>
          <w:lang w:val="zh-CN"/>
        </w:rPr>
        <w:t>　　　　　　　　　　　</w:t>
      </w:r>
    </w:p>
    <w:p w14:paraId="0B7753B7">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传　　真：</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 xml:space="preserve">        职　　务：</w:t>
      </w:r>
      <w:r>
        <w:rPr>
          <w:rFonts w:hint="eastAsia" w:ascii="宋体" w:hAnsi="宋体" w:eastAsia="宋体" w:cs="宋体"/>
          <w:color w:val="auto"/>
          <w:szCs w:val="21"/>
          <w:highlight w:val="none"/>
          <w:u w:val="single"/>
          <w:lang w:val="zh-CN"/>
        </w:rPr>
        <w:t xml:space="preserve">　　　　　　　　　　 </w:t>
      </w:r>
    </w:p>
    <w:p w14:paraId="53D757EE">
      <w:pPr>
        <w:autoSpaceDE w:val="0"/>
        <w:autoSpaceDN w:val="0"/>
        <w:adjustRightInd w:val="0"/>
        <w:spacing w:line="360" w:lineRule="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en-US" w:eastAsia="zh-CN"/>
        </w:rPr>
        <w:t>电子邮箱：</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p>
    <w:p w14:paraId="14C97B84">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14:paraId="6AEFB1C3">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14:paraId="310353BC">
      <w:pPr>
        <w:autoSpaceDE w:val="0"/>
        <w:autoSpaceDN w:val="0"/>
        <w:adjustRightInd w:val="0"/>
        <w:spacing w:line="360" w:lineRule="auto"/>
        <w:ind w:firstLine="4960" w:firstLineChars="2362"/>
        <w:rPr>
          <w:rFonts w:ascii="宋体" w:hAnsi="宋体" w:eastAsia="宋体" w:cs="Times New Roman"/>
          <w:color w:val="auto"/>
          <w:sz w:val="24"/>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506A7008">
      <w:pPr>
        <w:tabs>
          <w:tab w:val="left" w:pos="567"/>
        </w:tabs>
        <w:autoSpaceDE w:val="0"/>
        <w:autoSpaceDN w:val="0"/>
        <w:adjustRightInd w:val="0"/>
        <w:spacing w:line="360" w:lineRule="auto"/>
        <w:ind w:left="357" w:leftChars="-100" w:hanging="567"/>
        <w:jc w:val="left"/>
        <w:outlineLvl w:val="1"/>
        <w:rPr>
          <w:rFonts w:ascii="宋体" w:hAnsi="宋体" w:eastAsia="宋体" w:cs="宋体"/>
          <w:b/>
          <w:color w:val="auto"/>
          <w:kern w:val="0"/>
          <w:sz w:val="32"/>
          <w:szCs w:val="32"/>
          <w:highlight w:val="none"/>
        </w:rPr>
      </w:pPr>
      <w:r>
        <w:rPr>
          <w:rFonts w:hint="eastAsia" w:ascii="宋体" w:hAnsi="宋体" w:eastAsia="宋体" w:cs="宋体"/>
          <w:color w:val="auto"/>
          <w:kern w:val="0"/>
          <w:sz w:val="24"/>
          <w:szCs w:val="24"/>
          <w:highlight w:val="none"/>
        </w:rPr>
        <w:br w:type="page"/>
      </w:r>
      <w:bookmarkStart w:id="543" w:name="_Toc26795"/>
      <w:bookmarkStart w:id="544" w:name="_Toc142508363"/>
      <w:bookmarkStart w:id="545" w:name="_Toc1328"/>
      <w:bookmarkStart w:id="546" w:name="_Toc486167710"/>
      <w:bookmarkStart w:id="547" w:name="_Toc1977722"/>
      <w:bookmarkStart w:id="548" w:name="_Toc533708122"/>
      <w:bookmarkStart w:id="549" w:name="_Toc102860068"/>
      <w:bookmarkStart w:id="550" w:name="_Toc16479"/>
      <w:bookmarkStart w:id="551" w:name="_Toc102860412"/>
      <w:bookmarkStart w:id="552" w:name="_Toc28613_WPSOffice_Level2"/>
      <w:bookmarkStart w:id="553" w:name="_Toc94107203"/>
      <w:bookmarkStart w:id="554" w:name="_Toc104991869"/>
      <w:bookmarkStart w:id="555" w:name="_Toc8696"/>
      <w:bookmarkStart w:id="556" w:name="_Toc140596922"/>
      <w:r>
        <w:rPr>
          <w:rFonts w:hint="eastAsia" w:ascii="宋体" w:hAnsi="宋体" w:eastAsia="宋体" w:cs="宋体"/>
          <w:b/>
          <w:color w:val="auto"/>
          <w:kern w:val="0"/>
          <w:sz w:val="32"/>
          <w:szCs w:val="32"/>
          <w:highlight w:val="none"/>
        </w:rPr>
        <w:t>二、投标承诺书格式</w:t>
      </w:r>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p>
    <w:p w14:paraId="4674861B">
      <w:pPr>
        <w:autoSpaceDE w:val="0"/>
        <w:autoSpaceDN w:val="0"/>
        <w:adjustRightInd w:val="0"/>
        <w:spacing w:line="360" w:lineRule="auto"/>
        <w:jc w:val="center"/>
        <w:rPr>
          <w:rFonts w:hint="eastAsia" w:ascii="宋体" w:hAnsi="宋体" w:eastAsia="宋体" w:cs="宋体"/>
          <w:b/>
          <w:bCs/>
          <w:color w:val="auto"/>
          <w:sz w:val="30"/>
          <w:szCs w:val="30"/>
          <w:highlight w:val="none"/>
          <w:lang w:val="zh-CN"/>
        </w:rPr>
      </w:pPr>
      <w:bookmarkStart w:id="557" w:name="_Toc22051"/>
      <w:r>
        <w:rPr>
          <w:rFonts w:hint="eastAsia" w:ascii="宋体" w:hAnsi="宋体" w:eastAsia="宋体" w:cs="宋体"/>
          <w:b/>
          <w:bCs/>
          <w:color w:val="auto"/>
          <w:sz w:val="30"/>
          <w:szCs w:val="30"/>
          <w:highlight w:val="none"/>
          <w:lang w:val="zh-CN"/>
        </w:rPr>
        <w:t>投标承诺书</w:t>
      </w:r>
      <w:bookmarkEnd w:id="557"/>
    </w:p>
    <w:p w14:paraId="647FF6F2">
      <w:pPr>
        <w:widowControl/>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126DE84E">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rPr>
        <w:t>（投标人名称）已完整阅读了</w:t>
      </w:r>
      <w:r>
        <w:rPr>
          <w:rFonts w:hint="eastAsia" w:ascii="宋体" w:hAnsi="宋体" w:eastAsia="宋体" w:cs="Times New Roman"/>
          <w:color w:val="auto"/>
          <w:kern w:val="0"/>
          <w:szCs w:val="21"/>
          <w:highlight w:val="none"/>
          <w:u w:val="single"/>
          <w:lang w:eastAsia="zh-CN"/>
        </w:rPr>
        <w:t>东莞市水务集团净水有限公司2025年生产药剂液体柠檬酸采购项目（重新招标）</w:t>
      </w:r>
      <w:r>
        <w:rPr>
          <w:rFonts w:hint="eastAsia" w:ascii="宋体" w:hAnsi="宋体" w:eastAsia="宋体" w:cs="Times New Roman"/>
          <w:color w:val="auto"/>
          <w:kern w:val="0"/>
          <w:szCs w:val="21"/>
          <w:highlight w:val="none"/>
        </w:rPr>
        <w:t>（招标编号：</w:t>
      </w:r>
      <w:r>
        <w:rPr>
          <w:rFonts w:hint="eastAsia" w:ascii="宋体" w:hAnsi="宋体" w:eastAsia="宋体" w:cs="Times New Roman"/>
          <w:color w:val="auto"/>
          <w:kern w:val="0"/>
          <w:szCs w:val="21"/>
          <w:highlight w:val="none"/>
          <w:lang w:eastAsia="zh-CN"/>
        </w:rPr>
        <w:t>YDZB24DGQY0194-1</w:t>
      </w:r>
      <w:r>
        <w:rPr>
          <w:rFonts w:hint="eastAsia" w:ascii="宋体" w:hAnsi="宋体" w:eastAsia="宋体" w:cs="Times New Roman"/>
          <w:color w:val="auto"/>
          <w:kern w:val="0"/>
          <w:szCs w:val="21"/>
          <w:highlight w:val="none"/>
        </w:rPr>
        <w:t>）招标文件的所有内容（包括澄清，以及所有已提供的参考资料和有关附件），并完全理解上述文件所表达的意思，该项目递交投标文件时间截止后，我方承诺不再对上述文件内容进行询问或</w:t>
      </w:r>
      <w:r>
        <w:rPr>
          <w:rFonts w:hint="eastAsia" w:ascii="宋体" w:hAnsi="宋体" w:eastAsia="宋体" w:cs="Times New Roman"/>
          <w:color w:val="auto"/>
          <w:kern w:val="0"/>
          <w:szCs w:val="21"/>
          <w:highlight w:val="none"/>
          <w:lang w:eastAsia="zh-CN"/>
        </w:rPr>
        <w:t>异议</w:t>
      </w: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cr/>
      </w:r>
      <w:r>
        <w:rPr>
          <w:rFonts w:ascii="宋体" w:hAnsi="宋体" w:eastAsia="宋体" w:cs="Times New Roman"/>
          <w:color w:val="auto"/>
          <w:kern w:val="0"/>
          <w:szCs w:val="21"/>
          <w:highlight w:val="none"/>
        </w:rPr>
        <w:t xml:space="preserve">    </w:t>
      </w:r>
      <w:r>
        <w:rPr>
          <w:rFonts w:hint="eastAsia" w:ascii="宋体" w:hAnsi="宋体" w:eastAsia="宋体" w:cs="Times New Roman"/>
          <w:color w:val="auto"/>
          <w:kern w:val="0"/>
          <w:szCs w:val="21"/>
          <w:highlight w:val="none"/>
        </w:rPr>
        <w:t>我方</w:t>
      </w:r>
      <w:r>
        <w:rPr>
          <w:rFonts w:hint="eastAsia" w:ascii="宋体" w:hAnsi="宋体" w:eastAsia="宋体" w:cs="宋体"/>
          <w:color w:val="auto"/>
          <w:kern w:val="0"/>
          <w:szCs w:val="21"/>
          <w:highlight w:val="none"/>
        </w:rPr>
        <w:t>承诺，若我方存在通过弄虚作假、虚假响应招标文件要求等手段骗取中标的，招标人有权或协助主管部门认定我方严重失信的不良行为，纳入相关</w:t>
      </w:r>
      <w:r>
        <w:rPr>
          <w:rFonts w:ascii="宋体" w:hAnsi="宋体" w:eastAsia="宋体" w:cs="宋体"/>
          <w:color w:val="auto"/>
          <w:kern w:val="0"/>
          <w:szCs w:val="21"/>
          <w:highlight w:val="none"/>
        </w:rPr>
        <w:t>企业信用“黑名单”</w:t>
      </w:r>
      <w:r>
        <w:rPr>
          <w:rFonts w:hint="eastAsia" w:ascii="宋体" w:hAnsi="宋体" w:eastAsia="宋体" w:cs="宋体"/>
          <w:color w:val="auto"/>
          <w:kern w:val="0"/>
          <w:szCs w:val="21"/>
          <w:highlight w:val="none"/>
        </w:rPr>
        <w:t>，限制我方参与依法必须招标项目的投标，并</w:t>
      </w:r>
      <w:r>
        <w:rPr>
          <w:rFonts w:ascii="宋体" w:hAnsi="宋体" w:eastAsia="宋体" w:cs="宋体"/>
          <w:color w:val="auto"/>
          <w:kern w:val="0"/>
          <w:szCs w:val="21"/>
          <w:highlight w:val="none"/>
        </w:rPr>
        <w:t>向</w:t>
      </w:r>
      <w:r>
        <w:rPr>
          <w:rFonts w:hint="eastAsia" w:ascii="宋体" w:hAnsi="宋体" w:eastAsia="宋体" w:cs="宋体"/>
          <w:color w:val="auto"/>
          <w:kern w:val="0"/>
          <w:szCs w:val="21"/>
          <w:highlight w:val="none"/>
        </w:rPr>
        <w:t>行政主管部门报送</w:t>
      </w:r>
      <w:r>
        <w:rPr>
          <w:rFonts w:ascii="宋体" w:hAnsi="宋体" w:eastAsia="宋体" w:cs="宋体"/>
          <w:color w:val="auto"/>
          <w:kern w:val="0"/>
          <w:szCs w:val="21"/>
          <w:highlight w:val="none"/>
        </w:rPr>
        <w:t>结果。</w:t>
      </w:r>
      <w:r>
        <w:rPr>
          <w:rFonts w:hint="eastAsia" w:ascii="宋体" w:hAnsi="宋体" w:eastAsia="宋体" w:cs="宋体"/>
          <w:color w:val="auto"/>
          <w:kern w:val="0"/>
          <w:szCs w:val="21"/>
          <w:highlight w:val="none"/>
        </w:rPr>
        <w:t>同时，招标人有权根据《关于对环境保护领域失信生产经营单位及其有关人员开展联合惩戒的合作备忘录》等规定，通过“信用中国”网站向社会公示我方的失信行为，实现“一处失信、处处受限”。</w:t>
      </w:r>
    </w:p>
    <w:p w14:paraId="2C1FFB22">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若我方在投标或履行本合同过程中存在提供虚假材料、虚假响应招标文件要求等弄虚作假行为，或未能根据招标文件投标人须知第2</w:t>
      </w:r>
      <w:r>
        <w:rPr>
          <w:rFonts w:ascii="宋体" w:hAnsi="宋体" w:eastAsia="宋体" w:cs="宋体"/>
          <w:color w:val="auto"/>
          <w:kern w:val="0"/>
          <w:szCs w:val="21"/>
          <w:highlight w:val="none"/>
        </w:rPr>
        <w:t>9.2</w:t>
      </w:r>
      <w:r>
        <w:rPr>
          <w:rFonts w:hint="eastAsia" w:ascii="宋体" w:hAnsi="宋体" w:eastAsia="宋体" w:cs="宋体"/>
          <w:color w:val="auto"/>
          <w:kern w:val="0"/>
          <w:szCs w:val="21"/>
          <w:highlight w:val="none"/>
        </w:rPr>
        <w:t>款约定按时提供原件核查的，因此导致我方无法参与东莞市水务集团有限公司相关招标采购活动的，由我方自行承担全部后果。</w:t>
      </w:r>
    </w:p>
    <w:p w14:paraId="4F5E5DB6">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059D1954">
      <w:pPr>
        <w:autoSpaceDE w:val="0"/>
        <w:autoSpaceDN w:val="0"/>
        <w:adjustRightInd w:val="0"/>
        <w:spacing w:line="360" w:lineRule="auto"/>
        <w:jc w:val="left"/>
        <w:rPr>
          <w:rFonts w:ascii="宋体" w:hAnsi="宋体" w:eastAsia="宋体" w:cs="Times New Roman"/>
          <w:color w:val="auto"/>
          <w:kern w:val="0"/>
          <w:sz w:val="24"/>
          <w:szCs w:val="24"/>
          <w:highlight w:val="none"/>
        </w:rPr>
      </w:pPr>
    </w:p>
    <w:p w14:paraId="43014466">
      <w:pPr>
        <w:autoSpaceDE w:val="0"/>
        <w:autoSpaceDN w:val="0"/>
        <w:adjustRightInd w:val="0"/>
        <w:spacing w:line="360" w:lineRule="auto"/>
        <w:jc w:val="left"/>
        <w:rPr>
          <w:rFonts w:ascii="宋体" w:hAnsi="宋体" w:eastAsia="宋体" w:cs="Times New Roman"/>
          <w:color w:val="auto"/>
          <w:kern w:val="0"/>
          <w:sz w:val="24"/>
          <w:szCs w:val="24"/>
          <w:highlight w:val="none"/>
        </w:rPr>
      </w:pPr>
    </w:p>
    <w:p w14:paraId="592025B9">
      <w:pPr>
        <w:autoSpaceDE w:val="0"/>
        <w:autoSpaceDN w:val="0"/>
        <w:adjustRightInd w:val="0"/>
        <w:spacing w:line="360" w:lineRule="auto"/>
        <w:ind w:firstLine="5040"/>
        <w:rPr>
          <w:rFonts w:ascii="宋体" w:hAnsi="宋体" w:eastAsia="宋体" w:cs="Times New Roman"/>
          <w:color w:val="auto"/>
          <w:szCs w:val="24"/>
          <w:highlight w:val="none"/>
        </w:rPr>
      </w:pPr>
      <w:r>
        <w:rPr>
          <w:rFonts w:hint="eastAsia" w:ascii="宋体" w:hAnsi="宋体" w:eastAsia="宋体" w:cs="Times New Roman"/>
          <w:color w:val="auto"/>
          <w:szCs w:val="24"/>
          <w:highlight w:val="none"/>
          <w:lang w:val="zh-CN"/>
        </w:rPr>
        <w:t>投标人：（加盖投标人法人公章）</w:t>
      </w:r>
    </w:p>
    <w:p w14:paraId="459DC3CA">
      <w:pPr>
        <w:autoSpaceDE w:val="0"/>
        <w:autoSpaceDN w:val="0"/>
        <w:adjustRightInd w:val="0"/>
        <w:spacing w:line="360" w:lineRule="auto"/>
        <w:ind w:firstLine="504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法定代表人或其授权代表签名（或盖私章）：</w:t>
      </w:r>
    </w:p>
    <w:p w14:paraId="22CCAF4B">
      <w:pPr>
        <w:autoSpaceDE w:val="0"/>
        <w:autoSpaceDN w:val="0"/>
        <w:adjustRightInd w:val="0"/>
        <w:spacing w:line="360" w:lineRule="auto"/>
        <w:ind w:firstLine="5040"/>
        <w:rPr>
          <w:rFonts w:ascii="宋体" w:hAnsi="宋体" w:eastAsia="宋体" w:cs="Times New Roman"/>
          <w:color w:val="auto"/>
          <w:sz w:val="24"/>
          <w:szCs w:val="24"/>
          <w:highlight w:val="none"/>
          <w:lang w:val="zh-CN"/>
        </w:rPr>
      </w:pPr>
      <w:r>
        <w:rPr>
          <w:rFonts w:hint="eastAsia" w:ascii="宋体" w:hAnsi="宋体" w:eastAsia="宋体" w:cs="Times New Roman"/>
          <w:color w:val="auto"/>
          <w:szCs w:val="24"/>
          <w:highlight w:val="none"/>
          <w:lang w:val="zh-CN"/>
        </w:rPr>
        <w:t>日期：   年   月   日</w:t>
      </w:r>
    </w:p>
    <w:p w14:paraId="3E8A652A">
      <w:pPr>
        <w:autoSpaceDE w:val="0"/>
        <w:autoSpaceDN w:val="0"/>
        <w:adjustRightInd w:val="0"/>
        <w:spacing w:line="360" w:lineRule="auto"/>
        <w:ind w:firstLine="480" w:firstLineChars="200"/>
        <w:jc w:val="left"/>
        <w:rPr>
          <w:rFonts w:ascii="宋体" w:hAnsi="宋体" w:eastAsia="宋体" w:cs="宋体"/>
          <w:color w:val="auto"/>
          <w:kern w:val="0"/>
          <w:sz w:val="24"/>
          <w:szCs w:val="24"/>
          <w:highlight w:val="none"/>
        </w:rPr>
      </w:pPr>
    </w:p>
    <w:p w14:paraId="0662D121">
      <w:pPr>
        <w:autoSpaceDE w:val="0"/>
        <w:autoSpaceDN w:val="0"/>
        <w:adjustRightInd w:val="0"/>
        <w:spacing w:line="360" w:lineRule="auto"/>
        <w:jc w:val="left"/>
        <w:rPr>
          <w:rFonts w:ascii="宋体" w:hAnsi="宋体" w:eastAsia="宋体" w:cs="宋体"/>
          <w:color w:val="auto"/>
          <w:kern w:val="0"/>
          <w:sz w:val="24"/>
          <w:szCs w:val="24"/>
          <w:highlight w:val="none"/>
        </w:rPr>
      </w:pPr>
    </w:p>
    <w:p w14:paraId="356C4D4A">
      <w:pPr>
        <w:autoSpaceDE w:val="0"/>
        <w:autoSpaceDN w:val="0"/>
        <w:adjustRightInd w:val="0"/>
        <w:spacing w:line="360" w:lineRule="auto"/>
        <w:jc w:val="left"/>
        <w:rPr>
          <w:rFonts w:ascii="宋体" w:hAnsi="宋体" w:eastAsia="宋体" w:cs="宋体"/>
          <w:color w:val="auto"/>
          <w:kern w:val="0"/>
          <w:sz w:val="24"/>
          <w:szCs w:val="24"/>
          <w:highlight w:val="none"/>
        </w:rPr>
      </w:pPr>
      <w:bookmarkStart w:id="558" w:name="_Toc311032584"/>
      <w:bookmarkStart w:id="559" w:name="_Toc316896755"/>
      <w:bookmarkStart w:id="560" w:name="_Toc326768876"/>
    </w:p>
    <w:p w14:paraId="62932F6B">
      <w:pPr>
        <w:pageBreakBefore/>
        <w:autoSpaceDE w:val="0"/>
        <w:autoSpaceDN w:val="0"/>
        <w:adjustRightInd w:val="0"/>
        <w:spacing w:line="360" w:lineRule="auto"/>
        <w:jc w:val="left"/>
        <w:outlineLvl w:val="1"/>
        <w:rPr>
          <w:rFonts w:ascii="宋体" w:hAnsi="宋体" w:eastAsia="宋体" w:cs="宋体"/>
          <w:b/>
          <w:color w:val="auto"/>
          <w:kern w:val="44"/>
          <w:sz w:val="32"/>
          <w:szCs w:val="32"/>
          <w:highlight w:val="none"/>
        </w:rPr>
      </w:pPr>
      <w:bookmarkStart w:id="561" w:name="_Toc13810"/>
      <w:bookmarkStart w:id="562" w:name="_Toc9778"/>
      <w:bookmarkStart w:id="563" w:name="_Toc94107204"/>
      <w:bookmarkStart w:id="564" w:name="_Toc142508364"/>
      <w:bookmarkStart w:id="565" w:name="_Toc12590"/>
      <w:bookmarkStart w:id="566" w:name="_Toc27159"/>
      <w:bookmarkStart w:id="567" w:name="_Toc104991870"/>
      <w:bookmarkStart w:id="568" w:name="_Toc82182546"/>
      <w:bookmarkStart w:id="569" w:name="_Toc102860069"/>
      <w:bookmarkStart w:id="570" w:name="_Toc140596923"/>
      <w:bookmarkStart w:id="571" w:name="_Toc86764083"/>
      <w:bookmarkStart w:id="572" w:name="_Toc102860413"/>
      <w:bookmarkStart w:id="573" w:name="_Toc1977723"/>
      <w:bookmarkStart w:id="574" w:name="_Toc533708123"/>
      <w:bookmarkStart w:id="575" w:name="_Toc7024_WPSOffice_Level2"/>
      <w:bookmarkStart w:id="576" w:name="_Toc486167711"/>
      <w:r>
        <w:rPr>
          <w:rFonts w:hint="eastAsia" w:ascii="宋体" w:hAnsi="宋体" w:eastAsia="宋体" w:cs="宋体"/>
          <w:b/>
          <w:color w:val="auto"/>
          <w:kern w:val="44"/>
          <w:sz w:val="32"/>
          <w:szCs w:val="32"/>
          <w:highlight w:val="none"/>
        </w:rPr>
        <w:t>三、供货及/或提供服务过程承诺函格式</w:t>
      </w:r>
      <w:bookmarkEnd w:id="561"/>
      <w:bookmarkEnd w:id="562"/>
      <w:bookmarkEnd w:id="563"/>
      <w:bookmarkEnd w:id="564"/>
      <w:bookmarkEnd w:id="565"/>
      <w:bookmarkEnd w:id="566"/>
      <w:bookmarkEnd w:id="567"/>
      <w:bookmarkEnd w:id="568"/>
      <w:bookmarkEnd w:id="569"/>
      <w:bookmarkEnd w:id="570"/>
      <w:bookmarkEnd w:id="571"/>
      <w:bookmarkEnd w:id="572"/>
    </w:p>
    <w:p w14:paraId="33B72A05">
      <w:pPr>
        <w:autoSpaceDE w:val="0"/>
        <w:autoSpaceDN w:val="0"/>
        <w:adjustRightInd w:val="0"/>
        <w:spacing w:line="360" w:lineRule="auto"/>
        <w:jc w:val="center"/>
        <w:rPr>
          <w:rFonts w:hint="eastAsia" w:ascii="宋体" w:hAnsi="宋体" w:eastAsia="宋体" w:cs="宋体"/>
          <w:b/>
          <w:bCs/>
          <w:color w:val="auto"/>
          <w:sz w:val="30"/>
          <w:szCs w:val="30"/>
          <w:highlight w:val="none"/>
          <w:lang w:val="zh-CN"/>
        </w:rPr>
      </w:pPr>
      <w:bookmarkStart w:id="577" w:name="_Toc18889"/>
      <w:r>
        <w:rPr>
          <w:rFonts w:hint="eastAsia" w:ascii="宋体" w:hAnsi="宋体" w:eastAsia="宋体" w:cs="宋体"/>
          <w:b/>
          <w:bCs/>
          <w:color w:val="auto"/>
          <w:sz w:val="30"/>
          <w:szCs w:val="30"/>
          <w:highlight w:val="none"/>
          <w:lang w:val="zh-CN"/>
        </w:rPr>
        <w:t>供货及/或提供服务过程承诺函</w:t>
      </w:r>
      <w:bookmarkEnd w:id="577"/>
    </w:p>
    <w:p w14:paraId="72C94976">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lang w:eastAsia="zh-CN"/>
        </w:rPr>
        <w:t>东莞市水务集团净水有限公司</w:t>
      </w:r>
      <w:r>
        <w:rPr>
          <w:rFonts w:hint="eastAsia" w:ascii="宋体" w:hAnsi="宋体" w:eastAsia="宋体" w:cs="宋体"/>
          <w:color w:val="auto"/>
          <w:kern w:val="0"/>
          <w:szCs w:val="21"/>
          <w:highlight w:val="none"/>
        </w:rPr>
        <w:t>：</w:t>
      </w:r>
    </w:p>
    <w:p w14:paraId="4713538C">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（投标人名称）为招标人公开招标的</w:t>
      </w:r>
      <w:r>
        <w:rPr>
          <w:rFonts w:hint="eastAsia" w:ascii="宋体" w:hAnsi="宋体" w:eastAsia="宋体" w:cs="Times New Roman"/>
          <w:color w:val="auto"/>
          <w:kern w:val="0"/>
          <w:szCs w:val="21"/>
          <w:highlight w:val="none"/>
          <w:lang w:eastAsia="zh-CN"/>
        </w:rPr>
        <w:t>东莞市水务集团净水有限公司2025年生产药剂液体柠檬酸采购项目（重新招标）</w:t>
      </w:r>
      <w:r>
        <w:rPr>
          <w:rFonts w:hint="eastAsia" w:ascii="宋体" w:hAnsi="宋体" w:eastAsia="宋体" w:cs="宋体"/>
          <w:color w:val="auto"/>
          <w:kern w:val="0"/>
          <w:szCs w:val="21"/>
          <w:highlight w:val="none"/>
        </w:rPr>
        <w:t>(招标编号：</w:t>
      </w:r>
      <w:r>
        <w:rPr>
          <w:rFonts w:hint="eastAsia" w:ascii="宋体" w:hAnsi="宋体" w:eastAsia="宋体" w:cs="Times New Roman"/>
          <w:color w:val="auto"/>
          <w:szCs w:val="21"/>
          <w:highlight w:val="none"/>
          <w:lang w:val="zh-CN"/>
        </w:rPr>
        <w:t>YDZB24DGQY0194-1</w:t>
      </w:r>
      <w:r>
        <w:rPr>
          <w:rFonts w:hint="eastAsia" w:ascii="宋体" w:hAnsi="宋体" w:eastAsia="宋体" w:cs="宋体"/>
          <w:color w:val="auto"/>
          <w:kern w:val="0"/>
          <w:szCs w:val="21"/>
          <w:highlight w:val="none"/>
        </w:rPr>
        <w:t>)的投标单位，为确保供货及/或提供服务过程中的人身、财产安全，我方承诺，如我方获得中标资格，将严格按照下列要求开展工作。</w:t>
      </w:r>
    </w:p>
    <w:p w14:paraId="25C9BE57">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1、我方承诺将严格遵守国家、地方政府有关安全生产及劳动保护的法律法规、标准、规定，贯彻执行招标人的各项安全管理规章制度。</w:t>
      </w:r>
    </w:p>
    <w:p w14:paraId="4285F767">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2、我方承诺将依法参加工伤保险，为安排至招标人从事本项目的工作人员缴纳保险费，并为从事危险作业的人员办理意外伤害保险。</w:t>
      </w:r>
    </w:p>
    <w:p w14:paraId="62E84053">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14:paraId="3521039C">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14:paraId="6C011F5A">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14:paraId="165F93E8">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14:paraId="2B49ECD0">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7、我方承诺协助和指导招标人进行货物的储存，对招标人的储存方式、方法、储存数量、仓库的安全设施设备、安全生产规章制度等是否符合国家标准或者国家有关规定提出合理的建议，并进行技术指导。</w:t>
      </w:r>
    </w:p>
    <w:p w14:paraId="124AF5BF">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8、我方车辆在招标人场所行驶时，将严格遵守厂区道路限行，限速和限重要求，如因我方未遵守前述要求，对厂区/招标人（含其人员）、我方人员、第三方造成损失的，由我方承担赔偿责任。</w:t>
      </w:r>
    </w:p>
    <w:p w14:paraId="675B6992">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14:paraId="23529D8C">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10、因我方原因，造成我方损失，由我方自负，给招标人造成财产损失和人员伤害，我方承担全部责任，并全额赔偿招标人。</w:t>
      </w:r>
    </w:p>
    <w:p w14:paraId="04C63DA2">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11、非因招标人原因，造成我方损失的，招标人无需承担任何责任，由我方自行承担全部责任。</w:t>
      </w:r>
    </w:p>
    <w:p w14:paraId="6E1BC39C">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12、我方承诺严格遵守法律法规以及招标人的安全管理要求，并接受招标人的安全生产工作协调和监督，积极消除安全隐患。安全管理的基本要求包括但不限于以下条款：</w:t>
      </w:r>
    </w:p>
    <w:p w14:paraId="7F3F407F">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①禁火区内严禁吸烟、动火。有火灾危险的作业区域，我方承诺配置足够的灭火设施。</w:t>
      </w:r>
    </w:p>
    <w:p w14:paraId="3670FABE">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②我方承诺焊接、气割作业时两瓶距离必须达到5M及以上，气瓶距可能产生火花的电器、设备和其它火源的间距必须达到10M及以上。</w:t>
      </w:r>
    </w:p>
    <w:p w14:paraId="2F51747D">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bookmarkStart w:id="578" w:name="_Toc2104"/>
      <w:r>
        <w:rPr>
          <w:rFonts w:hint="eastAsia" w:ascii="宋体" w:hAnsi="宋体" w:eastAsia="宋体" w:cs="宋体"/>
          <w:color w:val="auto"/>
          <w:kern w:val="0"/>
          <w:szCs w:val="21"/>
          <w:highlight w:val="none"/>
        </w:rPr>
        <w:t>③我方承诺不在厂内道路、消防通道内搭建临时建筑或堆放物资。</w:t>
      </w:r>
      <w:bookmarkEnd w:id="578"/>
    </w:p>
    <w:p w14:paraId="4190F493">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④我方承诺电动工具、电焊机等均具有漏电保护器和相应的安全防护装置。</w:t>
      </w:r>
    </w:p>
    <w:p w14:paraId="72BF7C28">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⑤我方承诺用电设施符合要求，杜绝电线乱接、乱拉，刀闸和开关无盖，在电器设施上堆放物品等行为。</w:t>
      </w:r>
    </w:p>
    <w:p w14:paraId="39BD5976">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bookmarkStart w:id="579" w:name="_Toc25547"/>
      <w:r>
        <w:rPr>
          <w:rFonts w:hint="eastAsia" w:ascii="宋体" w:hAnsi="宋体" w:eastAsia="宋体" w:cs="宋体"/>
          <w:color w:val="auto"/>
          <w:kern w:val="0"/>
          <w:szCs w:val="21"/>
          <w:highlight w:val="none"/>
        </w:rPr>
        <w:t>⑥我方承诺防雷、防静电设施及用电设施有良好接地。</w:t>
      </w:r>
      <w:bookmarkEnd w:id="579"/>
    </w:p>
    <w:p w14:paraId="318113F8">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14:paraId="4597E1B6">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13、我方承诺接受招标人的检查与监督，并主动配合，做好安全工作，凡有违反上述条款的即视为我方违约，招标人有权视情况从货物/服务价款中扣除（1000-2000）元/次作为违约金。</w:t>
      </w:r>
    </w:p>
    <w:p w14:paraId="684A0902">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如因我方违反上述条款造成安全生产事故的，我方将承担由此引发的一切责任与后果，如造成招标人损失的，我方将予以足额赔偿，同时，招标人有权没收我方提交的履约担保。</w:t>
      </w:r>
    </w:p>
    <w:p w14:paraId="262823E9">
      <w:pPr>
        <w:autoSpaceDE w:val="0"/>
        <w:autoSpaceDN w:val="0"/>
        <w:adjustRightInd w:val="0"/>
        <w:spacing w:line="360" w:lineRule="auto"/>
        <w:ind w:firstLine="504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14:paraId="284A0679">
      <w:pPr>
        <w:autoSpaceDE w:val="0"/>
        <w:autoSpaceDN w:val="0"/>
        <w:adjustRightInd w:val="0"/>
        <w:spacing w:line="360" w:lineRule="auto"/>
        <w:ind w:firstLine="5040"/>
        <w:rPr>
          <w:rFonts w:ascii="宋体" w:hAnsi="宋体" w:eastAsia="宋体" w:cs="宋体"/>
          <w:color w:val="auto"/>
          <w:szCs w:val="24"/>
          <w:highlight w:val="none"/>
        </w:rPr>
      </w:pPr>
      <w:r>
        <w:rPr>
          <w:rFonts w:hint="eastAsia" w:ascii="宋体" w:hAnsi="宋体" w:eastAsia="宋体" w:cs="宋体"/>
          <w:color w:val="auto"/>
          <w:szCs w:val="24"/>
          <w:highlight w:val="none"/>
          <w:lang w:val="zh-CN"/>
        </w:rPr>
        <w:t>投标人：（加盖投标人法人公章）</w:t>
      </w:r>
    </w:p>
    <w:p w14:paraId="1C4E351B">
      <w:pPr>
        <w:autoSpaceDE w:val="0"/>
        <w:autoSpaceDN w:val="0"/>
        <w:adjustRightInd w:val="0"/>
        <w:spacing w:line="360" w:lineRule="auto"/>
        <w:ind w:firstLine="504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法定代表人或其授权代表签名（或盖私章）：</w:t>
      </w:r>
    </w:p>
    <w:p w14:paraId="044E649A">
      <w:pPr>
        <w:autoSpaceDE w:val="0"/>
        <w:autoSpaceDN w:val="0"/>
        <w:adjustRightInd w:val="0"/>
        <w:spacing w:line="360" w:lineRule="auto"/>
        <w:ind w:right="420" w:firstLine="5040" w:firstLineChars="2400"/>
        <w:jc w:val="left"/>
        <w:rPr>
          <w:rFonts w:ascii="宋体" w:hAnsi="宋体" w:eastAsia="宋体" w:cs="宋体"/>
          <w:color w:val="auto"/>
          <w:kern w:val="0"/>
          <w:sz w:val="24"/>
          <w:szCs w:val="24"/>
          <w:highlight w:val="none"/>
        </w:rPr>
      </w:pPr>
      <w:r>
        <w:rPr>
          <w:rFonts w:hint="eastAsia" w:ascii="宋体" w:hAnsi="宋体" w:eastAsia="宋体" w:cs="宋体"/>
          <w:color w:val="auto"/>
          <w:szCs w:val="24"/>
          <w:highlight w:val="none"/>
          <w:lang w:val="zh-CN"/>
        </w:rPr>
        <w:t>日期：   年   月   日</w:t>
      </w:r>
    </w:p>
    <w:p w14:paraId="66471F53">
      <w:pPr>
        <w:pageBreakBefore/>
        <w:autoSpaceDE w:val="0"/>
        <w:autoSpaceDN w:val="0"/>
        <w:adjustRightInd w:val="0"/>
        <w:spacing w:line="360" w:lineRule="auto"/>
        <w:jc w:val="left"/>
        <w:outlineLvl w:val="2"/>
        <w:rPr>
          <w:rFonts w:ascii="宋体" w:hAnsi="宋体" w:eastAsia="宋体" w:cs="宋体"/>
          <w:b/>
          <w:color w:val="auto"/>
          <w:kern w:val="44"/>
          <w:sz w:val="32"/>
          <w:szCs w:val="32"/>
          <w:highlight w:val="none"/>
        </w:rPr>
      </w:pPr>
      <w:bookmarkStart w:id="580" w:name="_Toc94107205"/>
      <w:bookmarkStart w:id="581" w:name="_Toc102860070"/>
      <w:bookmarkStart w:id="582" w:name="_Toc8941"/>
      <w:bookmarkStart w:id="583" w:name="_Toc140596924"/>
      <w:bookmarkStart w:id="584" w:name="_Toc82182547"/>
      <w:bookmarkStart w:id="585" w:name="_Toc102860414"/>
      <w:bookmarkStart w:id="586" w:name="_Toc142508365"/>
      <w:bookmarkStart w:id="587" w:name="_Toc31509"/>
      <w:bookmarkStart w:id="588" w:name="_Toc104991871"/>
      <w:bookmarkStart w:id="589" w:name="_Toc86764084"/>
      <w:bookmarkStart w:id="590" w:name="_Toc15903"/>
      <w:bookmarkStart w:id="591" w:name="_Toc29792"/>
      <w:bookmarkStart w:id="592" w:name="_Toc142508366"/>
      <w:bookmarkStart w:id="593" w:name="_Toc94107206"/>
      <w:bookmarkStart w:id="594" w:name="_Toc140596925"/>
      <w:bookmarkStart w:id="595" w:name="_Toc102860071"/>
      <w:bookmarkStart w:id="596" w:name="_Toc102860415"/>
      <w:bookmarkStart w:id="597" w:name="_Toc104991872"/>
      <w:bookmarkStart w:id="598" w:name="_Toc3993"/>
      <w:bookmarkStart w:id="599" w:name="_Toc6287"/>
      <w:r>
        <w:rPr>
          <w:rFonts w:hint="eastAsia" w:ascii="宋体" w:hAnsi="宋体" w:eastAsia="宋体" w:cs="宋体"/>
          <w:b/>
          <w:color w:val="auto"/>
          <w:kern w:val="44"/>
          <w:sz w:val="32"/>
          <w:szCs w:val="32"/>
          <w:highlight w:val="none"/>
        </w:rPr>
        <w:t>四、现场转换采购方式同意书格式</w:t>
      </w:r>
      <w:bookmarkEnd w:id="580"/>
      <w:bookmarkEnd w:id="581"/>
      <w:bookmarkEnd w:id="582"/>
      <w:bookmarkEnd w:id="583"/>
      <w:bookmarkEnd w:id="584"/>
      <w:bookmarkEnd w:id="585"/>
      <w:bookmarkEnd w:id="586"/>
      <w:bookmarkEnd w:id="587"/>
      <w:bookmarkEnd w:id="588"/>
      <w:bookmarkEnd w:id="589"/>
    </w:p>
    <w:p w14:paraId="7E76D5E1">
      <w:pPr>
        <w:autoSpaceDE w:val="0"/>
        <w:autoSpaceDN w:val="0"/>
        <w:adjustRightInd w:val="0"/>
        <w:spacing w:line="360" w:lineRule="auto"/>
        <w:jc w:val="center"/>
        <w:rPr>
          <w:rFonts w:ascii="宋体" w:hAnsi="宋体" w:eastAsia="宋体" w:cs="宋体"/>
          <w:b/>
          <w:color w:val="auto"/>
          <w:kern w:val="44"/>
          <w:sz w:val="32"/>
          <w:szCs w:val="32"/>
          <w:highlight w:val="none"/>
        </w:rPr>
      </w:pPr>
      <w:r>
        <w:rPr>
          <w:rFonts w:hint="eastAsia" w:ascii="宋体" w:hAnsi="宋体" w:eastAsia="宋体" w:cs="宋体"/>
          <w:b/>
          <w:color w:val="auto"/>
          <w:kern w:val="44"/>
          <w:sz w:val="32"/>
          <w:szCs w:val="32"/>
          <w:highlight w:val="none"/>
        </w:rPr>
        <w:t>现场转换采购方式同意书</w:t>
      </w:r>
    </w:p>
    <w:p w14:paraId="5AE6C37D">
      <w:pPr>
        <w:autoSpaceDE w:val="0"/>
        <w:autoSpaceDN w:val="0"/>
        <w:adjustRightInd w:val="0"/>
        <w:spacing w:line="360" w:lineRule="auto"/>
        <w:jc w:val="left"/>
        <w:rPr>
          <w:rFonts w:ascii="宋体" w:hAnsi="宋体" w:eastAsia="宋体" w:cs="宋体"/>
          <w:color w:val="auto"/>
          <w:kern w:val="0"/>
          <w:szCs w:val="21"/>
          <w:highlight w:val="none"/>
        </w:rPr>
      </w:pPr>
    </w:p>
    <w:p w14:paraId="0E751CA6">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致东莞市水务集团净水有限公司：</w:t>
      </w:r>
    </w:p>
    <w:p w14:paraId="04975280">
      <w:pPr>
        <w:autoSpaceDE w:val="0"/>
        <w:autoSpaceDN w:val="0"/>
        <w:adjustRightInd w:val="0"/>
        <w:spacing w:line="360" w:lineRule="auto"/>
        <w:ind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我方</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（投标人名称）为东莞市水务集团净水有限公司2025年生产药剂液体柠檬酸采购项目（重新招标）</w:t>
      </w:r>
      <w:r>
        <w:rPr>
          <w:rFonts w:hint="eastAsia" w:ascii="宋体" w:hAnsi="宋体" w:eastAsia="宋体" w:cs="宋体"/>
          <w:color w:val="auto"/>
          <w:kern w:val="0"/>
          <w:szCs w:val="21"/>
          <w:highlight w:val="none"/>
        </w:rPr>
        <w:t>(招标编号：</w:t>
      </w:r>
      <w:r>
        <w:rPr>
          <w:rFonts w:hint="eastAsia" w:ascii="宋体" w:hAnsi="宋体" w:eastAsia="宋体" w:cs="宋体"/>
          <w:color w:val="auto"/>
          <w:kern w:val="0"/>
          <w:szCs w:val="21"/>
          <w:highlight w:val="none"/>
          <w:lang w:val="zh-CN"/>
        </w:rPr>
        <w:t>YDZB24DGQY0194-1</w:t>
      </w:r>
      <w:r>
        <w:rPr>
          <w:rFonts w:hint="eastAsia" w:ascii="宋体" w:hAnsi="宋体" w:eastAsia="宋体" w:cs="宋体"/>
          <w:color w:val="auto"/>
          <w:kern w:val="0"/>
          <w:szCs w:val="21"/>
          <w:highlight w:val="none"/>
        </w:rPr>
        <w:t>)</w:t>
      </w:r>
      <w:r>
        <w:rPr>
          <w:rFonts w:hint="eastAsia" w:ascii="宋体" w:hAnsi="宋体" w:eastAsia="宋体" w:cs="宋体"/>
          <w:color w:val="auto"/>
          <w:szCs w:val="24"/>
          <w:highlight w:val="none"/>
          <w:lang w:val="zh-CN"/>
        </w:rPr>
        <w:t>的投标单位，本次招标采购过程中我方同意按下列方式继续参与采购。</w:t>
      </w:r>
    </w:p>
    <w:p w14:paraId="3F6C5A7C">
      <w:pPr>
        <w:autoSpaceDE w:val="0"/>
        <w:autoSpaceDN w:val="0"/>
        <w:adjustRightInd w:val="0"/>
        <w:spacing w:line="360" w:lineRule="auto"/>
        <w:ind w:firstLine="420" w:firstLineChars="200"/>
        <w:rPr>
          <w:rFonts w:ascii="宋体" w:hAnsi="宋体" w:eastAsia="宋体" w:cs="宋体"/>
          <w:color w:val="auto"/>
          <w:kern w:val="0"/>
          <w:szCs w:val="21"/>
          <w:highlight w:val="none"/>
          <w:lang w:val="zh-CN"/>
        </w:rPr>
      </w:pPr>
      <w:r>
        <w:rPr>
          <w:rFonts w:hint="eastAsia" w:ascii="宋体" w:hAnsi="宋体" w:eastAsia="宋体" w:cs="宋体"/>
          <w:color w:val="auto"/>
          <w:szCs w:val="24"/>
          <w:highlight w:val="none"/>
          <w:lang w:val="zh-CN"/>
        </w:rPr>
        <w:t>（1）若有效投标人只有2个时，我方同意本项目现场转为竞争性谈判方式继续实施采购，接受原公开招标文件的要求即为竞争性谈判采购文件的要求，接受原公开招标投标文件即为竞争性谈判响应文件。</w:t>
      </w:r>
    </w:p>
    <w:p w14:paraId="5D080D97">
      <w:pPr>
        <w:autoSpaceDE w:val="0"/>
        <w:autoSpaceDN w:val="0"/>
        <w:adjustRightInd w:val="0"/>
        <w:spacing w:line="360" w:lineRule="auto"/>
        <w:ind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（2）若有效投标人只有1个时，我方同意本项目现场转</w:t>
      </w:r>
      <w:r>
        <w:rPr>
          <w:rFonts w:hint="eastAsia" w:ascii="宋体" w:hAnsi="宋体" w:eastAsia="宋体" w:cs="宋体"/>
          <w:color w:val="auto"/>
          <w:szCs w:val="24"/>
          <w:highlight w:val="none"/>
        </w:rPr>
        <w:t>为</w:t>
      </w:r>
      <w:r>
        <w:rPr>
          <w:rFonts w:hint="eastAsia" w:ascii="宋体" w:hAnsi="宋体" w:eastAsia="宋体" w:cs="宋体"/>
          <w:color w:val="auto"/>
          <w:szCs w:val="24"/>
          <w:highlight w:val="none"/>
          <w:lang w:val="zh-CN"/>
        </w:rPr>
        <w:t>单一来源的方式继续实施采购。接受原公开招标文件的要求即为单一来源采购文件的要求，接受原公开招标投标文件即为单一来源响应文件。</w:t>
      </w:r>
    </w:p>
    <w:p w14:paraId="197A9C58">
      <w:pPr>
        <w:autoSpaceDE w:val="0"/>
        <w:autoSpaceDN w:val="0"/>
        <w:adjustRightInd w:val="0"/>
        <w:spacing w:line="360" w:lineRule="auto"/>
        <w:ind w:firstLine="5040"/>
        <w:rPr>
          <w:rFonts w:ascii="宋体" w:hAnsi="宋体" w:eastAsia="宋体" w:cs="宋体"/>
          <w:color w:val="auto"/>
          <w:szCs w:val="24"/>
          <w:highlight w:val="none"/>
          <w:lang w:val="zh-CN"/>
        </w:rPr>
      </w:pPr>
    </w:p>
    <w:p w14:paraId="7107AA28">
      <w:pPr>
        <w:autoSpaceDE w:val="0"/>
        <w:autoSpaceDN w:val="0"/>
        <w:adjustRightInd w:val="0"/>
        <w:spacing w:line="360" w:lineRule="auto"/>
        <w:ind w:firstLine="5040"/>
        <w:rPr>
          <w:rFonts w:ascii="宋体" w:hAnsi="宋体" w:eastAsia="宋体" w:cs="宋体"/>
          <w:color w:val="auto"/>
          <w:szCs w:val="24"/>
          <w:highlight w:val="none"/>
          <w:lang w:val="zh-CN"/>
        </w:rPr>
      </w:pPr>
    </w:p>
    <w:p w14:paraId="2C2BA0B7">
      <w:pPr>
        <w:autoSpaceDE w:val="0"/>
        <w:autoSpaceDN w:val="0"/>
        <w:adjustRightInd w:val="0"/>
        <w:spacing w:line="360" w:lineRule="auto"/>
        <w:ind w:firstLine="5040"/>
        <w:rPr>
          <w:rFonts w:ascii="宋体" w:hAnsi="宋体" w:eastAsia="宋体" w:cs="宋体"/>
          <w:color w:val="auto"/>
          <w:szCs w:val="24"/>
          <w:highlight w:val="none"/>
        </w:rPr>
      </w:pPr>
      <w:r>
        <w:rPr>
          <w:rFonts w:hint="eastAsia" w:ascii="宋体" w:hAnsi="宋体" w:eastAsia="宋体" w:cs="宋体"/>
          <w:color w:val="auto"/>
          <w:szCs w:val="24"/>
          <w:highlight w:val="none"/>
          <w:lang w:val="zh-CN"/>
        </w:rPr>
        <w:t>投标人：（加盖投标人法人公章）</w:t>
      </w:r>
    </w:p>
    <w:p w14:paraId="3437DCAC">
      <w:pPr>
        <w:autoSpaceDE w:val="0"/>
        <w:autoSpaceDN w:val="0"/>
        <w:adjustRightInd w:val="0"/>
        <w:spacing w:line="360" w:lineRule="auto"/>
        <w:ind w:firstLine="504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法定代表人或其授权代表签名（或盖私章）：</w:t>
      </w:r>
    </w:p>
    <w:p w14:paraId="02C4DD7A">
      <w:pPr>
        <w:autoSpaceDE w:val="0"/>
        <w:autoSpaceDN w:val="0"/>
        <w:adjustRightInd w:val="0"/>
        <w:spacing w:line="360" w:lineRule="auto"/>
        <w:ind w:right="420" w:firstLine="5040" w:firstLineChars="2400"/>
        <w:jc w:val="left"/>
        <w:rPr>
          <w:rFonts w:ascii="宋体" w:hAnsi="宋体" w:eastAsia="宋体" w:cs="宋体"/>
          <w:color w:val="auto"/>
          <w:kern w:val="0"/>
          <w:sz w:val="24"/>
          <w:szCs w:val="24"/>
          <w:highlight w:val="none"/>
        </w:rPr>
      </w:pPr>
      <w:r>
        <w:rPr>
          <w:rFonts w:hint="eastAsia" w:ascii="宋体" w:hAnsi="宋体" w:eastAsia="宋体" w:cs="宋体"/>
          <w:color w:val="auto"/>
          <w:szCs w:val="24"/>
          <w:highlight w:val="none"/>
          <w:lang w:val="zh-CN"/>
        </w:rPr>
        <w:t>日期：   年   月   日</w:t>
      </w:r>
    </w:p>
    <w:p w14:paraId="679D50FB">
      <w:pPr>
        <w:pageBreakBefore/>
        <w:autoSpaceDE w:val="0"/>
        <w:autoSpaceDN w:val="0"/>
        <w:adjustRightInd w:val="0"/>
        <w:spacing w:line="360" w:lineRule="auto"/>
        <w:jc w:val="left"/>
        <w:outlineLvl w:val="1"/>
        <w:rPr>
          <w:rFonts w:ascii="宋体" w:hAnsi="宋体" w:eastAsia="宋体" w:cs="宋体"/>
          <w:b/>
          <w:color w:val="auto"/>
          <w:kern w:val="0"/>
          <w:sz w:val="32"/>
          <w:szCs w:val="32"/>
          <w:highlight w:val="none"/>
        </w:rPr>
      </w:pPr>
      <w:r>
        <w:rPr>
          <w:rFonts w:hint="eastAsia" w:ascii="宋体" w:hAnsi="宋体" w:eastAsia="宋体" w:cs="宋体"/>
          <w:b/>
          <w:color w:val="auto"/>
          <w:kern w:val="44"/>
          <w:sz w:val="32"/>
          <w:szCs w:val="32"/>
          <w:highlight w:val="none"/>
          <w:lang w:val="en-US" w:eastAsia="zh-CN"/>
        </w:rPr>
        <w:t>五</w:t>
      </w:r>
      <w:r>
        <w:rPr>
          <w:rFonts w:hint="eastAsia" w:ascii="宋体" w:hAnsi="宋体" w:eastAsia="宋体" w:cs="宋体"/>
          <w:b/>
          <w:color w:val="auto"/>
          <w:kern w:val="0"/>
          <w:sz w:val="32"/>
          <w:szCs w:val="32"/>
          <w:highlight w:val="none"/>
        </w:rPr>
        <w:t>、投标报价表格式</w:t>
      </w:r>
      <w:bookmarkEnd w:id="573"/>
      <w:bookmarkEnd w:id="574"/>
      <w:bookmarkEnd w:id="575"/>
      <w:bookmarkEnd w:id="576"/>
      <w:bookmarkEnd w:id="590"/>
      <w:bookmarkEnd w:id="591"/>
      <w:bookmarkEnd w:id="592"/>
      <w:bookmarkEnd w:id="593"/>
      <w:bookmarkEnd w:id="594"/>
      <w:bookmarkEnd w:id="595"/>
      <w:bookmarkEnd w:id="596"/>
      <w:bookmarkEnd w:id="597"/>
      <w:bookmarkEnd w:id="598"/>
      <w:bookmarkEnd w:id="599"/>
    </w:p>
    <w:p w14:paraId="09B0018A">
      <w:pPr>
        <w:tabs>
          <w:tab w:val="left" w:pos="567"/>
        </w:tabs>
        <w:autoSpaceDE w:val="0"/>
        <w:autoSpaceDN w:val="0"/>
        <w:adjustRightInd w:val="0"/>
        <w:spacing w:line="360" w:lineRule="auto"/>
        <w:ind w:left="711" w:hanging="711" w:hangingChars="236"/>
        <w:jc w:val="left"/>
        <w:outlineLvl w:val="2"/>
        <w:rPr>
          <w:rFonts w:ascii="宋体" w:hAnsi="宋体" w:eastAsia="宋体" w:cs="宋体"/>
          <w:b/>
          <w:color w:val="auto"/>
          <w:kern w:val="0"/>
          <w:sz w:val="30"/>
          <w:szCs w:val="30"/>
          <w:highlight w:val="none"/>
        </w:rPr>
      </w:pPr>
      <w:bookmarkStart w:id="600" w:name="_Toc142508367"/>
      <w:bookmarkStart w:id="601" w:name="_Toc94107207"/>
      <w:bookmarkStart w:id="602" w:name="_Toc1105"/>
      <w:bookmarkStart w:id="603" w:name="_Toc140596926"/>
      <w:bookmarkStart w:id="604" w:name="_Toc4843"/>
      <w:bookmarkStart w:id="605" w:name="_Toc2395_WPSOffice_Level3"/>
      <w:bookmarkStart w:id="606" w:name="_Toc104991873"/>
      <w:bookmarkStart w:id="607" w:name="_Toc102860416"/>
      <w:bookmarkStart w:id="608" w:name="_Toc18589"/>
      <w:bookmarkStart w:id="609" w:name="_Toc102860072"/>
      <w:bookmarkStart w:id="610" w:name="_Toc21587"/>
      <w:r>
        <w:rPr>
          <w:rFonts w:hint="eastAsia" w:ascii="宋体" w:hAnsi="宋体" w:eastAsia="宋体" w:cs="宋体"/>
          <w:b/>
          <w:color w:val="auto"/>
          <w:kern w:val="0"/>
          <w:sz w:val="30"/>
          <w:szCs w:val="30"/>
          <w:highlight w:val="none"/>
          <w:lang w:val="en-US" w:eastAsia="zh-CN"/>
        </w:rPr>
        <w:t>5</w:t>
      </w:r>
      <w:r>
        <w:rPr>
          <w:rFonts w:ascii="宋体" w:hAnsi="宋体" w:eastAsia="宋体" w:cs="宋体"/>
          <w:b/>
          <w:color w:val="auto"/>
          <w:kern w:val="0"/>
          <w:sz w:val="30"/>
          <w:szCs w:val="30"/>
          <w:highlight w:val="none"/>
        </w:rPr>
        <w:t xml:space="preserve">.1 </w:t>
      </w:r>
      <w:r>
        <w:rPr>
          <w:rFonts w:hint="eastAsia" w:ascii="宋体" w:hAnsi="宋体" w:eastAsia="宋体" w:cs="宋体"/>
          <w:b/>
          <w:color w:val="auto"/>
          <w:kern w:val="0"/>
          <w:sz w:val="30"/>
          <w:szCs w:val="30"/>
          <w:highlight w:val="none"/>
        </w:rPr>
        <w:t>投标报价表</w:t>
      </w:r>
      <w:bookmarkEnd w:id="600"/>
      <w:bookmarkEnd w:id="601"/>
      <w:bookmarkEnd w:id="602"/>
      <w:bookmarkEnd w:id="603"/>
      <w:bookmarkEnd w:id="604"/>
      <w:bookmarkEnd w:id="605"/>
      <w:bookmarkEnd w:id="606"/>
      <w:bookmarkEnd w:id="607"/>
      <w:bookmarkEnd w:id="608"/>
      <w:bookmarkEnd w:id="609"/>
      <w:bookmarkEnd w:id="610"/>
    </w:p>
    <w:p w14:paraId="67304C6F">
      <w:pPr>
        <w:autoSpaceDE w:val="0"/>
        <w:autoSpaceDN w:val="0"/>
        <w:adjustRightInd w:val="0"/>
        <w:spacing w:line="360" w:lineRule="auto"/>
        <w:jc w:val="center"/>
        <w:rPr>
          <w:rFonts w:hint="eastAsia"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t>投标报价表</w:t>
      </w:r>
    </w:p>
    <w:p w14:paraId="76389A21">
      <w:pPr>
        <w:spacing w:line="360" w:lineRule="auto"/>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项目名称：</w:t>
      </w:r>
      <w:r>
        <w:rPr>
          <w:rFonts w:hint="eastAsia" w:ascii="宋体" w:hAnsi="宋体" w:eastAsia="宋体" w:cs="宋体"/>
          <w:color w:val="auto"/>
          <w:kern w:val="0"/>
          <w:szCs w:val="21"/>
          <w:highlight w:val="none"/>
          <w:u w:val="single"/>
          <w:lang w:eastAsia="zh-CN"/>
        </w:rPr>
        <w:t>东莞市水务集团净水有限公司2025年生产药剂液体柠檬酸采购项目（重新招标）</w:t>
      </w:r>
    </w:p>
    <w:p w14:paraId="1130A63D">
      <w:pPr>
        <w:spacing w:line="360" w:lineRule="auto"/>
        <w:rPr>
          <w:rFonts w:hint="eastAsia" w:ascii="宋体" w:hAnsi="宋体" w:eastAsia="宋体" w:cs="宋体"/>
          <w:color w:val="auto"/>
          <w:kern w:val="0"/>
          <w:szCs w:val="21"/>
          <w:highlight w:val="none"/>
          <w:u w:val="single"/>
          <w:lang w:eastAsia="zh-CN"/>
        </w:rPr>
      </w:pPr>
      <w:r>
        <w:rPr>
          <w:rFonts w:hint="eastAsia" w:ascii="宋体" w:hAnsi="宋体" w:eastAsia="宋体" w:cs="宋体"/>
          <w:b/>
          <w:color w:val="auto"/>
          <w:kern w:val="0"/>
          <w:szCs w:val="21"/>
          <w:highlight w:val="none"/>
        </w:rPr>
        <w:t>招标编号：</w:t>
      </w:r>
      <w:r>
        <w:rPr>
          <w:rFonts w:hint="eastAsia" w:ascii="宋体" w:hAnsi="宋体" w:eastAsia="宋体" w:cs="宋体"/>
          <w:color w:val="auto"/>
          <w:kern w:val="0"/>
          <w:szCs w:val="21"/>
          <w:highlight w:val="none"/>
          <w:u w:val="single"/>
          <w:lang w:eastAsia="zh-CN"/>
        </w:rPr>
        <w:t>YDZB24DGQY0194-1</w:t>
      </w:r>
    </w:p>
    <w:p w14:paraId="241A43ED">
      <w:pPr>
        <w:pStyle w:val="5"/>
        <w:outlineLvl w:val="9"/>
        <w:rPr>
          <w:color w:val="auto"/>
          <w:highlight w:val="none"/>
        </w:rPr>
      </w:pPr>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3" w:type="dxa"/>
          <w:bottom w:w="0" w:type="dxa"/>
          <w:right w:w="23" w:type="dxa"/>
        </w:tblCellMar>
      </w:tblPr>
      <w:tblGrid>
        <w:gridCol w:w="1569"/>
        <w:gridCol w:w="930"/>
        <w:gridCol w:w="1135"/>
        <w:gridCol w:w="846"/>
        <w:gridCol w:w="1332"/>
        <w:gridCol w:w="2253"/>
        <w:gridCol w:w="2135"/>
      </w:tblGrid>
      <w:tr w14:paraId="37D3B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8" w:hRule="atLeast"/>
          <w:jc w:val="center"/>
        </w:trPr>
        <w:tc>
          <w:tcPr>
            <w:tcW w:w="675" w:type="pct"/>
            <w:tcBorders>
              <w:top w:val="single" w:color="auto" w:sz="4" w:space="0"/>
              <w:left w:val="single" w:color="auto" w:sz="4" w:space="0"/>
              <w:bottom w:val="single" w:color="auto" w:sz="4" w:space="0"/>
              <w:right w:val="single" w:color="auto" w:sz="4" w:space="0"/>
            </w:tcBorders>
            <w:noWrap w:val="0"/>
            <w:vAlign w:val="center"/>
          </w:tcPr>
          <w:p w14:paraId="337AA497">
            <w:pPr>
              <w:pStyle w:val="21"/>
              <w:keepNext w:val="0"/>
              <w:keepLines w:val="0"/>
              <w:suppressLineNumbers w:val="0"/>
              <w:snapToGrid w:val="0"/>
              <w:spacing w:before="0" w:beforeAutospacing="0" w:after="0" w:afterAutospacing="0" w:line="400" w:lineRule="exact"/>
              <w:ind w:left="0" w:right="0"/>
              <w:jc w:val="center"/>
              <w:rPr>
                <w:rFonts w:hint="default"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货物名称</w:t>
            </w:r>
          </w:p>
        </w:tc>
        <w:tc>
          <w:tcPr>
            <w:tcW w:w="400" w:type="pct"/>
            <w:tcBorders>
              <w:top w:val="single" w:color="auto" w:sz="4" w:space="0"/>
              <w:left w:val="single" w:color="auto" w:sz="4" w:space="0"/>
              <w:bottom w:val="single" w:color="auto" w:sz="4" w:space="0"/>
              <w:right w:val="single" w:color="auto" w:sz="4" w:space="0"/>
            </w:tcBorders>
            <w:noWrap w:val="0"/>
            <w:vAlign w:val="center"/>
          </w:tcPr>
          <w:p w14:paraId="203A7028">
            <w:pPr>
              <w:pStyle w:val="21"/>
              <w:keepNext w:val="0"/>
              <w:keepLines w:val="0"/>
              <w:suppressLineNumbers w:val="0"/>
              <w:snapToGrid w:val="0"/>
              <w:spacing w:before="0" w:beforeAutospacing="0" w:after="0" w:afterAutospacing="0" w:line="400" w:lineRule="exact"/>
              <w:ind w:left="0" w:right="0"/>
              <w:jc w:val="center"/>
              <w:rPr>
                <w:rFonts w:hint="default"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品牌</w:t>
            </w:r>
          </w:p>
        </w:tc>
        <w:tc>
          <w:tcPr>
            <w:tcW w:w="488" w:type="pct"/>
            <w:tcBorders>
              <w:top w:val="single" w:color="auto" w:sz="4" w:space="0"/>
              <w:left w:val="single" w:color="auto" w:sz="4" w:space="0"/>
              <w:bottom w:val="single" w:color="auto" w:sz="4" w:space="0"/>
              <w:right w:val="single" w:color="auto" w:sz="4" w:space="0"/>
            </w:tcBorders>
            <w:noWrap w:val="0"/>
            <w:vAlign w:val="center"/>
          </w:tcPr>
          <w:p w14:paraId="16D09122">
            <w:pPr>
              <w:pStyle w:val="21"/>
              <w:keepNext w:val="0"/>
              <w:keepLines w:val="0"/>
              <w:suppressLineNumbers w:val="0"/>
              <w:snapToGrid w:val="0"/>
              <w:spacing w:before="0" w:beforeAutospacing="0" w:after="0" w:afterAutospacing="0" w:line="400" w:lineRule="exact"/>
              <w:ind w:left="0" w:right="0"/>
              <w:jc w:val="center"/>
              <w:rPr>
                <w:rFonts w:hint="default"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产地</w:t>
            </w:r>
          </w:p>
        </w:tc>
        <w:tc>
          <w:tcPr>
            <w:tcW w:w="364" w:type="pct"/>
            <w:tcBorders>
              <w:top w:val="single" w:color="auto" w:sz="4" w:space="0"/>
              <w:left w:val="single" w:color="auto" w:sz="4" w:space="0"/>
              <w:bottom w:val="single" w:color="auto" w:sz="4" w:space="0"/>
              <w:right w:val="single" w:color="auto" w:sz="4" w:space="0"/>
            </w:tcBorders>
            <w:noWrap w:val="0"/>
            <w:vAlign w:val="center"/>
          </w:tcPr>
          <w:p w14:paraId="7E14026F">
            <w:pPr>
              <w:pStyle w:val="21"/>
              <w:keepNext w:val="0"/>
              <w:keepLines w:val="0"/>
              <w:suppressLineNumbers w:val="0"/>
              <w:snapToGrid w:val="0"/>
              <w:spacing w:before="0" w:beforeAutospacing="0" w:after="0" w:afterAutospacing="0" w:line="400" w:lineRule="exact"/>
              <w:ind w:left="0" w:right="0"/>
              <w:jc w:val="center"/>
              <w:rPr>
                <w:rFonts w:hint="default"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单位</w:t>
            </w:r>
          </w:p>
        </w:tc>
        <w:tc>
          <w:tcPr>
            <w:tcW w:w="573" w:type="pct"/>
            <w:tcBorders>
              <w:top w:val="single" w:color="auto" w:sz="4" w:space="0"/>
              <w:left w:val="single" w:color="auto" w:sz="4" w:space="0"/>
              <w:bottom w:val="single" w:color="auto" w:sz="4" w:space="0"/>
              <w:right w:val="single" w:color="auto" w:sz="4" w:space="0"/>
            </w:tcBorders>
            <w:noWrap w:val="0"/>
            <w:vAlign w:val="center"/>
          </w:tcPr>
          <w:p w14:paraId="55AD9C6C">
            <w:pPr>
              <w:pStyle w:val="21"/>
              <w:keepNext w:val="0"/>
              <w:keepLines w:val="0"/>
              <w:suppressLineNumbers w:val="0"/>
              <w:snapToGrid w:val="0"/>
              <w:spacing w:before="0" w:beforeAutospacing="0" w:after="0" w:afterAutospacing="0" w:line="400" w:lineRule="exact"/>
              <w:ind w:left="0" w:right="0"/>
              <w:jc w:val="center"/>
              <w:rPr>
                <w:rFonts w:hint="default"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暂定采购数量</w:t>
            </w:r>
          </w:p>
        </w:tc>
        <w:tc>
          <w:tcPr>
            <w:tcW w:w="969" w:type="pct"/>
            <w:tcBorders>
              <w:top w:val="single" w:color="auto" w:sz="4" w:space="0"/>
              <w:left w:val="single" w:color="auto" w:sz="4" w:space="0"/>
              <w:bottom w:val="single" w:color="auto" w:sz="4" w:space="0"/>
              <w:right w:val="single" w:color="auto" w:sz="4" w:space="0"/>
            </w:tcBorders>
            <w:noWrap w:val="0"/>
            <w:vAlign w:val="center"/>
          </w:tcPr>
          <w:p w14:paraId="6E4D6C3C">
            <w:pPr>
              <w:pStyle w:val="21"/>
              <w:keepNext w:val="0"/>
              <w:keepLines w:val="0"/>
              <w:suppressLineNumbers w:val="0"/>
              <w:snapToGrid w:val="0"/>
              <w:spacing w:before="0" w:beforeAutospacing="0" w:after="0" w:afterAutospacing="0" w:line="400" w:lineRule="exact"/>
              <w:ind w:left="0" w:right="0"/>
              <w:jc w:val="center"/>
              <w:rPr>
                <w:rFonts w:hint="default"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综合单价（元/吨）</w:t>
            </w:r>
          </w:p>
          <w:p w14:paraId="2A5AB381">
            <w:pPr>
              <w:pStyle w:val="21"/>
              <w:keepNext w:val="0"/>
              <w:keepLines w:val="0"/>
              <w:suppressLineNumbers w:val="0"/>
              <w:snapToGrid w:val="0"/>
              <w:spacing w:before="0" w:beforeAutospacing="0" w:after="0" w:afterAutospacing="0" w:line="400" w:lineRule="exact"/>
              <w:ind w:left="0" w:right="0"/>
              <w:jc w:val="center"/>
              <w:rPr>
                <w:rFonts w:hint="default"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 xml:space="preserve">（不含销项税） </w:t>
            </w:r>
          </w:p>
        </w:tc>
        <w:tc>
          <w:tcPr>
            <w:tcW w:w="918" w:type="pct"/>
            <w:tcBorders>
              <w:top w:val="single" w:color="auto" w:sz="4" w:space="0"/>
              <w:left w:val="single" w:color="auto" w:sz="4" w:space="0"/>
              <w:bottom w:val="single" w:color="auto" w:sz="4" w:space="0"/>
              <w:right w:val="single" w:color="auto" w:sz="4" w:space="0"/>
            </w:tcBorders>
            <w:noWrap w:val="0"/>
            <w:vAlign w:val="center"/>
          </w:tcPr>
          <w:p w14:paraId="37D84070">
            <w:pPr>
              <w:pStyle w:val="21"/>
              <w:keepNext w:val="0"/>
              <w:keepLines w:val="0"/>
              <w:suppressLineNumbers w:val="0"/>
              <w:snapToGrid w:val="0"/>
              <w:spacing w:before="0" w:beforeAutospacing="0" w:after="0" w:afterAutospacing="0" w:line="400" w:lineRule="exact"/>
              <w:ind w:left="0" w:right="0"/>
              <w:jc w:val="center"/>
              <w:rPr>
                <w:rFonts w:hint="default"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投标报价（元，总价）</w:t>
            </w:r>
          </w:p>
          <w:p w14:paraId="7F5953E9">
            <w:pPr>
              <w:pStyle w:val="21"/>
              <w:keepNext w:val="0"/>
              <w:keepLines w:val="0"/>
              <w:suppressLineNumbers w:val="0"/>
              <w:snapToGrid w:val="0"/>
              <w:spacing w:before="0" w:beforeAutospacing="0" w:after="0" w:afterAutospacing="0" w:line="400" w:lineRule="exact"/>
              <w:ind w:left="0" w:right="0"/>
              <w:jc w:val="center"/>
              <w:rPr>
                <w:rFonts w:hint="default"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（不含销项税）</w:t>
            </w:r>
          </w:p>
        </w:tc>
      </w:tr>
      <w:tr w14:paraId="45414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29" w:hRule="atLeast"/>
          <w:jc w:val="center"/>
        </w:trPr>
        <w:tc>
          <w:tcPr>
            <w:tcW w:w="675" w:type="pct"/>
            <w:tcBorders>
              <w:top w:val="single" w:color="auto" w:sz="4" w:space="0"/>
              <w:left w:val="single" w:color="auto" w:sz="4" w:space="0"/>
              <w:bottom w:val="single" w:color="auto" w:sz="4" w:space="0"/>
              <w:right w:val="single" w:color="auto" w:sz="4" w:space="0"/>
            </w:tcBorders>
            <w:noWrap w:val="0"/>
            <w:vAlign w:val="center"/>
          </w:tcPr>
          <w:p w14:paraId="609E0812">
            <w:pPr>
              <w:pStyle w:val="21"/>
              <w:keepNext w:val="0"/>
              <w:keepLines w:val="0"/>
              <w:suppressLineNumbers w:val="0"/>
              <w:snapToGrid w:val="0"/>
              <w:spacing w:before="0" w:beforeAutospacing="0" w:after="0" w:afterAutospacing="0" w:line="400" w:lineRule="exact"/>
              <w:ind w:left="0" w:right="0"/>
              <w:jc w:val="center"/>
              <w:rPr>
                <w:rFonts w:hint="default" w:ascii="宋体" w:hAnsi="宋体" w:eastAsia="宋体" w:cs="宋体"/>
                <w:color w:val="auto"/>
                <w:kern w:val="2"/>
                <w:sz w:val="21"/>
                <w:szCs w:val="21"/>
                <w:highlight w:val="none"/>
              </w:rPr>
            </w:pPr>
            <w:r>
              <w:rPr>
                <w:rFonts w:hint="eastAsia" w:ascii="宋体" w:hAnsi="宋体" w:eastAsia="宋体" w:cs="宋体"/>
                <w:color w:val="auto"/>
                <w:sz w:val="21"/>
                <w:szCs w:val="21"/>
                <w:highlight w:val="none"/>
                <w:lang w:eastAsia="zh-CN"/>
              </w:rPr>
              <w:t>液体柠檬酸</w:t>
            </w:r>
          </w:p>
        </w:tc>
        <w:tc>
          <w:tcPr>
            <w:tcW w:w="400" w:type="pct"/>
            <w:tcBorders>
              <w:top w:val="single" w:color="auto" w:sz="4" w:space="0"/>
              <w:left w:val="single" w:color="auto" w:sz="4" w:space="0"/>
              <w:right w:val="single" w:color="auto" w:sz="4" w:space="0"/>
            </w:tcBorders>
            <w:noWrap w:val="0"/>
            <w:vAlign w:val="center"/>
          </w:tcPr>
          <w:p w14:paraId="686F1034">
            <w:pPr>
              <w:pStyle w:val="21"/>
              <w:keepNext w:val="0"/>
              <w:keepLines w:val="0"/>
              <w:suppressLineNumbers w:val="0"/>
              <w:snapToGrid w:val="0"/>
              <w:spacing w:before="0" w:beforeAutospacing="0" w:after="0" w:afterAutospacing="0" w:line="400" w:lineRule="exact"/>
              <w:ind w:left="0" w:right="0"/>
              <w:jc w:val="center"/>
              <w:rPr>
                <w:rFonts w:hint="default" w:ascii="宋体" w:hAnsi="宋体" w:eastAsia="宋体" w:cs="宋体"/>
                <w:color w:val="auto"/>
                <w:kern w:val="2"/>
                <w:sz w:val="21"/>
                <w:szCs w:val="21"/>
                <w:highlight w:val="none"/>
              </w:rPr>
            </w:pPr>
          </w:p>
        </w:tc>
        <w:tc>
          <w:tcPr>
            <w:tcW w:w="488" w:type="pct"/>
            <w:tcBorders>
              <w:top w:val="single" w:color="auto" w:sz="4" w:space="0"/>
              <w:left w:val="single" w:color="auto" w:sz="4" w:space="0"/>
              <w:right w:val="single" w:color="auto" w:sz="4" w:space="0"/>
            </w:tcBorders>
            <w:noWrap w:val="0"/>
            <w:vAlign w:val="center"/>
          </w:tcPr>
          <w:p w14:paraId="51FAEA97">
            <w:pPr>
              <w:pStyle w:val="21"/>
              <w:keepNext w:val="0"/>
              <w:keepLines w:val="0"/>
              <w:suppressLineNumbers w:val="0"/>
              <w:snapToGrid w:val="0"/>
              <w:spacing w:before="0" w:beforeAutospacing="0" w:after="0" w:afterAutospacing="0" w:line="400" w:lineRule="exact"/>
              <w:ind w:left="0" w:right="0"/>
              <w:jc w:val="center"/>
              <w:rPr>
                <w:rFonts w:hint="default" w:ascii="宋体" w:hAnsi="宋体" w:eastAsia="宋体" w:cs="宋体"/>
                <w:color w:val="auto"/>
                <w:kern w:val="2"/>
                <w:sz w:val="21"/>
                <w:szCs w:val="21"/>
                <w:highlight w:val="none"/>
              </w:rPr>
            </w:pPr>
          </w:p>
        </w:tc>
        <w:tc>
          <w:tcPr>
            <w:tcW w:w="364" w:type="pct"/>
            <w:tcBorders>
              <w:top w:val="single" w:color="auto" w:sz="4" w:space="0"/>
              <w:left w:val="single" w:color="auto" w:sz="4" w:space="0"/>
              <w:right w:val="single" w:color="auto" w:sz="4" w:space="0"/>
            </w:tcBorders>
            <w:noWrap w:val="0"/>
            <w:vAlign w:val="center"/>
          </w:tcPr>
          <w:p w14:paraId="26862DFA">
            <w:pPr>
              <w:pStyle w:val="21"/>
              <w:keepNext w:val="0"/>
              <w:keepLines w:val="0"/>
              <w:suppressLineNumbers w:val="0"/>
              <w:snapToGrid w:val="0"/>
              <w:spacing w:before="0" w:beforeAutospacing="0" w:after="0" w:afterAutospacing="0" w:line="400" w:lineRule="exact"/>
              <w:ind w:left="0" w:right="0"/>
              <w:jc w:val="center"/>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吨</w:t>
            </w:r>
          </w:p>
        </w:tc>
        <w:tc>
          <w:tcPr>
            <w:tcW w:w="573" w:type="pct"/>
            <w:tcBorders>
              <w:top w:val="single" w:color="auto" w:sz="4" w:space="0"/>
              <w:left w:val="single" w:color="auto" w:sz="4" w:space="0"/>
              <w:bottom w:val="single" w:color="auto" w:sz="4" w:space="0"/>
              <w:right w:val="single" w:color="auto" w:sz="4" w:space="0"/>
            </w:tcBorders>
            <w:noWrap w:val="0"/>
            <w:vAlign w:val="center"/>
          </w:tcPr>
          <w:p w14:paraId="28E1A691">
            <w:pPr>
              <w:pStyle w:val="21"/>
              <w:keepNext w:val="0"/>
              <w:keepLines w:val="0"/>
              <w:suppressLineNumbers w:val="0"/>
              <w:snapToGrid w:val="0"/>
              <w:spacing w:before="0" w:beforeAutospacing="0" w:after="0" w:afterAutospacing="0" w:line="400" w:lineRule="exact"/>
              <w:ind w:left="0" w:right="0"/>
              <w:jc w:val="center"/>
              <w:rPr>
                <w:rFonts w:hint="default" w:ascii="宋体" w:hAnsi="宋体" w:eastAsia="宋体" w:cs="宋体"/>
                <w:color w:val="auto"/>
                <w:kern w:val="2"/>
                <w:sz w:val="21"/>
                <w:szCs w:val="21"/>
                <w:highlight w:val="none"/>
                <w:lang w:eastAsia="zh-CN"/>
              </w:rPr>
            </w:pPr>
            <w:r>
              <w:rPr>
                <w:rFonts w:hint="eastAsia" w:ascii="宋体" w:hAnsi="宋体" w:eastAsia="宋体" w:cs="宋体"/>
                <w:color w:val="auto"/>
                <w:szCs w:val="21"/>
                <w:highlight w:val="none"/>
                <w:lang w:val="en-US" w:eastAsia="zh-CN"/>
              </w:rPr>
              <w:t>485.037</w:t>
            </w:r>
          </w:p>
        </w:tc>
        <w:tc>
          <w:tcPr>
            <w:tcW w:w="969" w:type="pct"/>
            <w:tcBorders>
              <w:top w:val="single" w:color="auto" w:sz="4" w:space="0"/>
              <w:left w:val="single" w:color="auto" w:sz="4" w:space="0"/>
              <w:right w:val="single" w:color="auto" w:sz="4" w:space="0"/>
            </w:tcBorders>
            <w:noWrap w:val="0"/>
            <w:vAlign w:val="center"/>
          </w:tcPr>
          <w:p w14:paraId="076550E9">
            <w:pPr>
              <w:pStyle w:val="21"/>
              <w:keepNext w:val="0"/>
              <w:keepLines w:val="0"/>
              <w:suppressLineNumbers w:val="0"/>
              <w:snapToGrid w:val="0"/>
              <w:spacing w:before="0" w:beforeAutospacing="0" w:after="0" w:afterAutospacing="0" w:line="400" w:lineRule="exact"/>
              <w:ind w:left="0" w:right="0"/>
              <w:jc w:val="center"/>
              <w:rPr>
                <w:rFonts w:hint="default" w:ascii="宋体" w:hAnsi="宋体" w:eastAsia="宋体" w:cs="宋体"/>
                <w:color w:val="auto"/>
                <w:kern w:val="2"/>
                <w:sz w:val="21"/>
                <w:szCs w:val="21"/>
                <w:highlight w:val="none"/>
              </w:rPr>
            </w:pPr>
          </w:p>
        </w:tc>
        <w:tc>
          <w:tcPr>
            <w:tcW w:w="918" w:type="pct"/>
            <w:tcBorders>
              <w:top w:val="single" w:color="auto" w:sz="4" w:space="0"/>
              <w:left w:val="single" w:color="auto" w:sz="4" w:space="0"/>
              <w:bottom w:val="single" w:color="auto" w:sz="4" w:space="0"/>
              <w:right w:val="single" w:color="auto" w:sz="4" w:space="0"/>
            </w:tcBorders>
            <w:noWrap w:val="0"/>
            <w:vAlign w:val="center"/>
          </w:tcPr>
          <w:p w14:paraId="0B6C2EE9">
            <w:pPr>
              <w:pStyle w:val="21"/>
              <w:keepNext w:val="0"/>
              <w:keepLines w:val="0"/>
              <w:suppressLineNumbers w:val="0"/>
              <w:snapToGrid w:val="0"/>
              <w:spacing w:before="0" w:beforeAutospacing="0" w:after="0" w:afterAutospacing="0" w:line="400" w:lineRule="exact"/>
              <w:ind w:left="0" w:right="0"/>
              <w:jc w:val="center"/>
              <w:rPr>
                <w:rFonts w:hint="default" w:ascii="宋体" w:hAnsi="宋体" w:eastAsia="宋体" w:cs="宋体"/>
                <w:color w:val="auto"/>
                <w:kern w:val="2"/>
                <w:sz w:val="21"/>
                <w:szCs w:val="21"/>
                <w:highlight w:val="none"/>
              </w:rPr>
            </w:pPr>
          </w:p>
        </w:tc>
      </w:tr>
    </w:tbl>
    <w:p w14:paraId="5A70082E">
      <w:pPr>
        <w:rPr>
          <w:rFonts w:ascii="宋体" w:hAnsi="宋体" w:eastAsia="宋体" w:cs="宋体"/>
          <w:color w:val="auto"/>
          <w:kern w:val="0"/>
          <w:sz w:val="20"/>
          <w:szCs w:val="21"/>
          <w:highlight w:val="none"/>
        </w:rPr>
      </w:pPr>
    </w:p>
    <w:p w14:paraId="54F9DEB9">
      <w:pPr>
        <w:autoSpaceDE w:val="0"/>
        <w:autoSpaceDN w:val="0"/>
        <w:adjustRightIn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p w14:paraId="45E2B711">
      <w:pPr>
        <w:autoSpaceDE w:val="0"/>
        <w:autoSpaceDN w:val="0"/>
        <w:adjustRightInd w:val="0"/>
        <w:snapToGrid w:val="0"/>
        <w:spacing w:line="360" w:lineRule="auto"/>
        <w:ind w:left="605" w:leftChars="18"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r>
        <w:rPr>
          <w:rFonts w:hint="eastAsia" w:ascii="宋体" w:hAnsi="宋体" w:eastAsia="宋体" w:cs="Times New Roman"/>
          <w:b/>
          <w:color w:val="auto"/>
          <w:kern w:val="0"/>
          <w:szCs w:val="21"/>
          <w:highlight w:val="none"/>
          <w:u w:val="single"/>
        </w:rPr>
        <w:t>本项目投标报价为不含税价，即为《中华人民共和国增值税暂行条例》（国务院令第6</w:t>
      </w:r>
      <w:r>
        <w:rPr>
          <w:rFonts w:ascii="宋体" w:hAnsi="宋体" w:eastAsia="宋体" w:cs="Times New Roman"/>
          <w:b/>
          <w:color w:val="auto"/>
          <w:kern w:val="0"/>
          <w:szCs w:val="21"/>
          <w:highlight w:val="none"/>
          <w:u w:val="single"/>
        </w:rPr>
        <w:t>91</w:t>
      </w:r>
      <w:r>
        <w:rPr>
          <w:rFonts w:hint="eastAsia" w:ascii="宋体" w:hAnsi="宋体" w:eastAsia="宋体" w:cs="Times New Roman"/>
          <w:b/>
          <w:color w:val="auto"/>
          <w:kern w:val="0"/>
          <w:szCs w:val="21"/>
          <w:highlight w:val="none"/>
          <w:u w:val="single"/>
        </w:rPr>
        <w:t>号修订版）规定的销售额</w:t>
      </w:r>
      <w:r>
        <w:rPr>
          <w:rFonts w:hint="eastAsia" w:ascii="宋体" w:hAnsi="宋体" w:eastAsia="宋体" w:cs="Times New Roman"/>
          <w:color w:val="auto"/>
          <w:kern w:val="0"/>
          <w:szCs w:val="21"/>
          <w:highlight w:val="none"/>
        </w:rPr>
        <w:t>。本招标文件所称的不含税价是指不含本采购项目的投标人销项税额，包含了投标人完成合同义务（含投标人代缴代扣、分包及委外服务、</w:t>
      </w:r>
      <w:r>
        <w:rPr>
          <w:rFonts w:hint="eastAsia" w:ascii="宋体" w:hAnsi="宋体" w:eastAsia="宋体" w:cs="Times New Roman"/>
          <w:color w:val="auto"/>
          <w:kern w:val="0"/>
          <w:szCs w:val="21"/>
          <w:highlight w:val="none"/>
          <w:lang w:val="en-US" w:eastAsia="zh-CN"/>
        </w:rPr>
        <w:t>安装</w:t>
      </w:r>
      <w:r>
        <w:rPr>
          <w:rFonts w:hint="eastAsia" w:ascii="宋体" w:hAnsi="宋体" w:eastAsia="宋体" w:cs="Times New Roman"/>
          <w:color w:val="auto"/>
          <w:kern w:val="0"/>
          <w:szCs w:val="21"/>
          <w:highlight w:val="none"/>
        </w:rPr>
        <w:t>、采购货物等所产生的价税）的其他全部费用。</w:t>
      </w:r>
      <w:r>
        <w:rPr>
          <w:rFonts w:hint="eastAsia" w:ascii="宋体" w:hAnsi="宋体" w:eastAsia="宋体" w:cs="Times New Roman"/>
          <w:color w:val="auto"/>
          <w:szCs w:val="21"/>
          <w:highlight w:val="none"/>
          <w:lang w:val="zh-CN"/>
        </w:rPr>
        <w:t>本采购项目的销项税额由招标人承担</w:t>
      </w:r>
      <w:r>
        <w:rPr>
          <w:rFonts w:hint="eastAsia" w:ascii="宋体" w:hAnsi="宋体" w:eastAsia="宋体" w:cs="Times New Roman"/>
          <w:color w:val="auto"/>
          <w:kern w:val="0"/>
          <w:szCs w:val="21"/>
          <w:highlight w:val="none"/>
        </w:rPr>
        <w:t>，不计入投标报价。</w:t>
      </w:r>
    </w:p>
    <w:p w14:paraId="1EAE3DF9">
      <w:pPr>
        <w:autoSpaceDE w:val="0"/>
        <w:autoSpaceDN w:val="0"/>
        <w:adjustRightInd w:val="0"/>
        <w:snapToGrid w:val="0"/>
        <w:spacing w:line="360" w:lineRule="auto"/>
        <w:ind w:left="607" w:leftChars="18" w:hanging="569" w:hangingChars="270"/>
        <w:jc w:val="left"/>
        <w:rPr>
          <w:rFonts w:ascii="宋体" w:hAnsi="宋体" w:eastAsia="宋体" w:cs="Times New Roman"/>
          <w:b/>
          <w:bCs/>
          <w:color w:val="auto"/>
          <w:kern w:val="0"/>
          <w:szCs w:val="21"/>
          <w:highlight w:val="none"/>
        </w:rPr>
      </w:pPr>
      <w:r>
        <w:rPr>
          <w:rFonts w:hint="eastAsia" w:ascii="宋体" w:hAnsi="宋体" w:eastAsia="宋体" w:cs="Times New Roman"/>
          <w:b/>
          <w:bCs/>
          <w:color w:val="auto"/>
          <w:kern w:val="0"/>
          <w:szCs w:val="21"/>
          <w:highlight w:val="none"/>
        </w:rPr>
        <w:t>（</w:t>
      </w:r>
      <w:r>
        <w:rPr>
          <w:rFonts w:ascii="宋体" w:hAnsi="宋体" w:eastAsia="宋体" w:cs="Times New Roman"/>
          <w:b/>
          <w:bCs/>
          <w:color w:val="auto"/>
          <w:kern w:val="0"/>
          <w:szCs w:val="21"/>
          <w:highlight w:val="none"/>
        </w:rPr>
        <w:t>2</w:t>
      </w:r>
      <w:r>
        <w:rPr>
          <w:rFonts w:hint="eastAsia" w:ascii="宋体" w:hAnsi="宋体" w:eastAsia="宋体" w:cs="Times New Roman"/>
          <w:b/>
          <w:bCs/>
          <w:color w:val="auto"/>
          <w:kern w:val="0"/>
          <w:szCs w:val="21"/>
          <w:highlight w:val="none"/>
        </w:rPr>
        <w:t>）</w:t>
      </w:r>
      <w:r>
        <w:rPr>
          <w:rFonts w:hint="eastAsia" w:ascii="宋体" w:hAnsi="宋体" w:eastAsia="宋体" w:cs="宋体"/>
          <w:b/>
          <w:color w:val="auto"/>
          <w:kern w:val="2"/>
          <w:sz w:val="21"/>
          <w:szCs w:val="21"/>
          <w:highlight w:val="none"/>
          <w:u w:val="single"/>
          <w:lang w:val="zh-CN"/>
        </w:rPr>
        <w:t>投</w:t>
      </w:r>
      <w:r>
        <w:rPr>
          <w:rFonts w:hint="eastAsia" w:ascii="宋体" w:hAnsi="宋体" w:eastAsia="宋体" w:cs="宋体"/>
          <w:b/>
          <w:bCs/>
          <w:color w:val="auto"/>
          <w:sz w:val="21"/>
          <w:highlight w:val="none"/>
          <w:u w:val="single"/>
        </w:rPr>
        <w:t>标人的投标报价或综合单价高于</w:t>
      </w:r>
      <w:r>
        <w:rPr>
          <w:rFonts w:hint="eastAsia" w:ascii="宋体" w:hAnsi="宋体" w:eastAsia="宋体" w:cs="宋体"/>
          <w:b/>
          <w:bCs/>
          <w:color w:val="auto"/>
          <w:highlight w:val="none"/>
          <w:u w:val="single"/>
        </w:rPr>
        <w:t>不含税</w:t>
      </w:r>
      <w:r>
        <w:rPr>
          <w:rFonts w:hint="eastAsia" w:ascii="宋体" w:hAnsi="宋体" w:eastAsia="宋体" w:cs="宋体"/>
          <w:b/>
          <w:bCs/>
          <w:color w:val="auto"/>
          <w:sz w:val="21"/>
          <w:highlight w:val="none"/>
          <w:u w:val="single"/>
        </w:rPr>
        <w:t>最高投标限价或</w:t>
      </w:r>
      <w:r>
        <w:rPr>
          <w:rFonts w:hint="eastAsia" w:ascii="宋体" w:hAnsi="宋体" w:eastAsia="宋体" w:cs="宋体"/>
          <w:b/>
          <w:bCs/>
          <w:color w:val="auto"/>
          <w:highlight w:val="none"/>
          <w:u w:val="single"/>
        </w:rPr>
        <w:t>不含税</w:t>
      </w:r>
      <w:r>
        <w:rPr>
          <w:rFonts w:hint="eastAsia" w:ascii="宋体" w:hAnsi="宋体" w:eastAsia="宋体" w:cs="宋体"/>
          <w:b/>
          <w:bCs/>
          <w:color w:val="auto"/>
          <w:sz w:val="21"/>
          <w:highlight w:val="none"/>
          <w:u w:val="single"/>
        </w:rPr>
        <w:t>预算综合单价的，该投标人的投标文件将被视为无效投标</w:t>
      </w:r>
      <w:r>
        <w:rPr>
          <w:rFonts w:hint="eastAsia" w:ascii="宋体" w:hAnsi="宋体" w:eastAsia="宋体" w:cs="Times New Roman"/>
          <w:b/>
          <w:bCs/>
          <w:color w:val="auto"/>
          <w:kern w:val="0"/>
          <w:szCs w:val="21"/>
          <w:highlight w:val="none"/>
        </w:rPr>
        <w:t>。</w:t>
      </w:r>
    </w:p>
    <w:p w14:paraId="3C8F4474">
      <w:pPr>
        <w:autoSpaceDE w:val="0"/>
        <w:autoSpaceDN w:val="0"/>
        <w:adjustRightInd w:val="0"/>
        <w:snapToGrid w:val="0"/>
        <w:spacing w:line="360" w:lineRule="auto"/>
        <w:ind w:left="605" w:leftChars="18" w:hanging="567" w:hangingChars="27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w:t>
      </w:r>
      <w:r>
        <w:rPr>
          <w:rFonts w:hint="eastAsia" w:ascii="宋体" w:hAnsi="宋体" w:eastAsia="宋体" w:cs="宋体"/>
          <w:b/>
          <w:color w:val="auto"/>
          <w:sz w:val="21"/>
          <w:szCs w:val="21"/>
          <w:highlight w:val="none"/>
          <w:u w:val="single"/>
        </w:rPr>
        <w:t>本表的投标报价为不含税综合单价乘以采购货物暂定数量的总价</w:t>
      </w:r>
      <w:r>
        <w:rPr>
          <w:rFonts w:hint="eastAsia" w:ascii="宋体" w:hAnsi="宋体" w:eastAsia="宋体" w:cs="宋体"/>
          <w:b/>
          <w:color w:val="auto"/>
          <w:sz w:val="21"/>
          <w:szCs w:val="21"/>
          <w:highlight w:val="none"/>
          <w:u w:val="single"/>
          <w:lang w:eastAsia="zh-CN"/>
        </w:rPr>
        <w:t>。</w:t>
      </w:r>
      <w:r>
        <w:rPr>
          <w:rFonts w:hint="eastAsia" w:ascii="宋体" w:hAnsi="宋体" w:eastAsia="宋体" w:cs="Times New Roman"/>
          <w:color w:val="auto"/>
          <w:kern w:val="0"/>
          <w:szCs w:val="21"/>
          <w:highlight w:val="none"/>
        </w:rPr>
        <w:t>本投标报价表内投标报价金额与按综合单价计算的总金额不一致的，以综合单价计算结果为准，综合单价金额小数点有明显错位的，应以总价为准，并修正综合单价；对不同文字文本投标文件的解释发生异议的，以中文文本为准。</w:t>
      </w:r>
    </w:p>
    <w:p w14:paraId="5992DE67">
      <w:pPr>
        <w:autoSpaceDE w:val="0"/>
        <w:autoSpaceDN w:val="0"/>
        <w:adjustRightInd w:val="0"/>
        <w:snapToGrid w:val="0"/>
        <w:spacing w:line="360" w:lineRule="auto"/>
        <w:ind w:left="605" w:leftChars="18" w:hanging="567" w:hangingChars="270"/>
        <w:jc w:val="left"/>
        <w:rPr>
          <w:rFonts w:hint="eastAsia" w:ascii="宋体" w:hAnsi="宋体" w:eastAsia="宋体" w:cs="宋体"/>
          <w:color w:val="auto"/>
          <w:kern w:val="2"/>
          <w:sz w:val="21"/>
          <w:highlight w:val="none"/>
          <w:lang w:val="zh-CN"/>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4</w:t>
      </w:r>
      <w:r>
        <w:rPr>
          <w:rFonts w:hint="eastAsia" w:ascii="宋体" w:hAnsi="宋体" w:eastAsia="宋体" w:cs="Times New Roman"/>
          <w:color w:val="auto"/>
          <w:kern w:val="0"/>
          <w:szCs w:val="21"/>
          <w:highlight w:val="none"/>
        </w:rPr>
        <w:t>）</w:t>
      </w:r>
      <w:r>
        <w:rPr>
          <w:rFonts w:hint="eastAsia" w:ascii="宋体" w:hAnsi="宋体" w:eastAsia="宋体" w:cs="宋体"/>
          <w:color w:val="auto"/>
          <w:kern w:val="2"/>
          <w:sz w:val="21"/>
          <w:highlight w:val="none"/>
          <w:lang w:val="zh-CN"/>
        </w:rPr>
        <w:t>上述暂定采购数量仅为方便合计投标报价使用，不作为招标人最终购买数量的保证，我方承诺不因实际采购数量的减少或增加而要求招标人提供任何形式的补偿或赔偿。</w:t>
      </w:r>
    </w:p>
    <w:p w14:paraId="4A9E3977">
      <w:pPr>
        <w:autoSpaceDE w:val="0"/>
        <w:autoSpaceDN w:val="0"/>
        <w:adjustRightInd w:val="0"/>
        <w:snapToGrid w:val="0"/>
        <w:spacing w:line="360" w:lineRule="auto"/>
        <w:ind w:left="605" w:leftChars="18" w:hanging="567" w:hangingChars="270"/>
        <w:jc w:val="left"/>
        <w:rPr>
          <w:rFonts w:hint="eastAsia" w:ascii="宋体" w:hAnsi="宋体" w:eastAsia="宋体" w:cs="宋体"/>
          <w:b w:val="0"/>
          <w:bCs w:val="0"/>
          <w:color w:val="auto"/>
          <w:kern w:val="2"/>
          <w:szCs w:val="22"/>
          <w:highlight w:val="none"/>
          <w:u w:val="none"/>
          <w:lang w:val="zh-CN"/>
        </w:rPr>
      </w:pPr>
      <w:r>
        <w:rPr>
          <w:rFonts w:hint="eastAsia" w:ascii="宋体" w:hAnsi="宋体" w:eastAsia="宋体" w:cs="宋体"/>
          <w:b w:val="0"/>
          <w:bCs w:val="0"/>
          <w:color w:val="auto"/>
          <w:kern w:val="2"/>
          <w:szCs w:val="22"/>
          <w:highlight w:val="none"/>
          <w:u w:val="none"/>
          <w:lang w:val="zh-CN"/>
        </w:rPr>
        <w:t>（</w:t>
      </w:r>
      <w:r>
        <w:rPr>
          <w:rFonts w:hint="eastAsia" w:ascii="宋体" w:hAnsi="宋体" w:eastAsia="宋体" w:cs="宋体"/>
          <w:b w:val="0"/>
          <w:bCs w:val="0"/>
          <w:color w:val="auto"/>
          <w:kern w:val="2"/>
          <w:szCs w:val="22"/>
          <w:highlight w:val="none"/>
          <w:u w:val="none"/>
          <w:lang w:val="zh-CN" w:eastAsia="zh-CN"/>
        </w:rPr>
        <w:t>5</w:t>
      </w:r>
      <w:r>
        <w:rPr>
          <w:rFonts w:hint="eastAsia" w:ascii="宋体" w:hAnsi="宋体" w:eastAsia="宋体" w:cs="宋体"/>
          <w:b w:val="0"/>
          <w:bCs w:val="0"/>
          <w:color w:val="auto"/>
          <w:kern w:val="2"/>
          <w:szCs w:val="22"/>
          <w:highlight w:val="none"/>
          <w:u w:val="none"/>
          <w:lang w:val="zh-CN"/>
        </w:rPr>
        <w:t>）</w:t>
      </w:r>
      <w:r>
        <w:rPr>
          <w:rFonts w:hint="eastAsia" w:ascii="宋体" w:hAnsi="宋体" w:eastAsia="宋体" w:cs="宋体"/>
          <w:color w:val="auto"/>
          <w:kern w:val="2"/>
          <w:highlight w:val="none"/>
          <w:lang w:val="zh-CN"/>
        </w:rPr>
        <w:t>综合单价、投标报价(总价)</w:t>
      </w:r>
      <w:r>
        <w:rPr>
          <w:rFonts w:hint="eastAsia" w:ascii="宋体" w:hAnsi="宋体" w:eastAsia="宋体" w:cs="宋体"/>
          <w:color w:val="auto"/>
          <w:kern w:val="2"/>
          <w:highlight w:val="none"/>
          <w:lang w:val="en-US" w:eastAsia="zh-CN"/>
        </w:rPr>
        <w:t>需</w:t>
      </w:r>
      <w:r>
        <w:rPr>
          <w:rFonts w:hint="eastAsia" w:ascii="宋体" w:hAnsi="宋体" w:eastAsia="宋体" w:cs="宋体"/>
          <w:color w:val="auto"/>
          <w:kern w:val="2"/>
          <w:highlight w:val="none"/>
          <w:lang w:val="zh-CN"/>
        </w:rPr>
        <w:t>保留小数点后两位，</w:t>
      </w:r>
      <w:r>
        <w:rPr>
          <w:rFonts w:hint="eastAsia" w:ascii="宋体" w:hAnsi="宋体" w:eastAsia="宋体" w:cs="宋体"/>
          <w:color w:val="auto"/>
          <w:kern w:val="2"/>
          <w:highlight w:val="none"/>
          <w:lang w:val="en-US" w:eastAsia="zh-CN"/>
        </w:rPr>
        <w:t>否则</w:t>
      </w:r>
      <w:r>
        <w:rPr>
          <w:rFonts w:hint="eastAsia" w:ascii="宋体" w:hAnsi="宋体" w:eastAsia="宋体" w:cs="宋体"/>
          <w:color w:val="auto"/>
          <w:kern w:val="2"/>
          <w:highlight w:val="none"/>
          <w:lang w:val="zh-CN"/>
        </w:rPr>
        <w:t>评标委员会按去“尾”或补“零”的方式进行修正为保留小数点后两位，投标人须接受被修正后的报价（例：如投标报价为0.789，则被修正为0.78；如投标报价为0.7，则被修正为0.70）。</w:t>
      </w:r>
    </w:p>
    <w:p w14:paraId="178E40F8">
      <w:pPr>
        <w:autoSpaceDE w:val="0"/>
        <w:autoSpaceDN w:val="0"/>
        <w:adjustRightInd w:val="0"/>
        <w:snapToGrid w:val="0"/>
        <w:spacing w:line="360" w:lineRule="auto"/>
        <w:ind w:left="0" w:leftChars="0" w:firstLine="0" w:firstLineChars="0"/>
        <w:jc w:val="left"/>
        <w:rPr>
          <w:rFonts w:ascii="宋体" w:hAnsi="宋体" w:eastAsia="宋体" w:cs="Times New Roman"/>
          <w:b/>
          <w:bCs/>
          <w:color w:val="auto"/>
          <w:kern w:val="0"/>
          <w:szCs w:val="21"/>
          <w:highlight w:val="none"/>
          <w:lang w:val="zh-CN"/>
        </w:rPr>
      </w:pPr>
      <w:r>
        <w:rPr>
          <w:rFonts w:hint="eastAsia" w:ascii="宋体" w:hAnsi="宋体" w:eastAsia="宋体" w:cs="Times New Roman"/>
          <w:bCs/>
          <w:color w:val="auto"/>
          <w:kern w:val="0"/>
          <w:szCs w:val="21"/>
          <w:highlight w:val="none"/>
          <w:lang w:val="zh-CN"/>
        </w:rPr>
        <w:t>（</w:t>
      </w:r>
      <w:r>
        <w:rPr>
          <w:rFonts w:hint="eastAsia" w:ascii="宋体" w:hAnsi="宋体" w:eastAsia="宋体" w:cs="Times New Roman"/>
          <w:bCs/>
          <w:color w:val="auto"/>
          <w:kern w:val="0"/>
          <w:szCs w:val="21"/>
          <w:highlight w:val="none"/>
          <w:lang w:val="en-US" w:eastAsia="zh-CN"/>
        </w:rPr>
        <w:t>6</w:t>
      </w:r>
      <w:r>
        <w:rPr>
          <w:rFonts w:hint="eastAsia" w:ascii="宋体" w:hAnsi="宋体" w:eastAsia="宋体" w:cs="Times New Roman"/>
          <w:bCs/>
          <w:color w:val="auto"/>
          <w:kern w:val="0"/>
          <w:szCs w:val="21"/>
          <w:highlight w:val="none"/>
          <w:lang w:val="zh-CN"/>
        </w:rPr>
        <w:t>）</w:t>
      </w:r>
      <w:r>
        <w:rPr>
          <w:rFonts w:hint="eastAsia" w:ascii="宋体" w:hAnsi="宋体" w:eastAsia="宋体" w:cs="Times New Roman"/>
          <w:b/>
          <w:bCs/>
          <w:color w:val="auto"/>
          <w:kern w:val="0"/>
          <w:szCs w:val="21"/>
          <w:highlight w:val="none"/>
          <w:u w:val="single"/>
          <w:lang w:val="zh-CN"/>
        </w:rPr>
        <w:t>本表一式二份，一份随唱标信封一起提交，一份编入投标文件商务文件</w:t>
      </w:r>
      <w:r>
        <w:rPr>
          <w:rFonts w:hint="eastAsia" w:ascii="宋体" w:hAnsi="宋体" w:eastAsia="宋体" w:cs="Times New Roman"/>
          <w:b/>
          <w:bCs/>
          <w:color w:val="auto"/>
          <w:kern w:val="0"/>
          <w:szCs w:val="21"/>
          <w:highlight w:val="none"/>
          <w:lang w:val="zh-CN"/>
        </w:rPr>
        <w:t>。</w:t>
      </w:r>
    </w:p>
    <w:p w14:paraId="1EBDA501">
      <w:pPr>
        <w:autoSpaceDE w:val="0"/>
        <w:autoSpaceDN w:val="0"/>
        <w:adjustRightInd w:val="0"/>
        <w:snapToGrid w:val="0"/>
        <w:spacing w:line="360" w:lineRule="auto"/>
        <w:ind w:left="605" w:leftChars="18" w:hanging="567" w:hangingChars="270"/>
        <w:jc w:val="left"/>
        <w:rPr>
          <w:rFonts w:ascii="宋体" w:hAnsi="宋体" w:eastAsia="宋体" w:cs="Times New Roman"/>
          <w:bCs/>
          <w:color w:val="auto"/>
          <w:kern w:val="0"/>
          <w:szCs w:val="21"/>
          <w:highlight w:val="none"/>
          <w:lang w:val="zh-CN"/>
        </w:rPr>
      </w:pPr>
    </w:p>
    <w:p w14:paraId="00F2A175">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14:paraId="653D635B">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14:paraId="6A08489C">
      <w:pPr>
        <w:autoSpaceDE w:val="0"/>
        <w:autoSpaceDN w:val="0"/>
        <w:adjustRightInd w:val="0"/>
        <w:spacing w:line="360" w:lineRule="auto"/>
        <w:ind w:left="0" w:firstLine="4960" w:firstLineChars="2362"/>
        <w:jc w:val="left"/>
        <w:outlineLvl w:val="9"/>
        <w:rPr>
          <w:rFonts w:hint="eastAsia"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164F23C8">
      <w:pPr>
        <w:autoSpaceDE w:val="0"/>
        <w:autoSpaceDN w:val="0"/>
        <w:adjustRightInd w:val="0"/>
        <w:spacing w:line="360" w:lineRule="auto"/>
        <w:ind w:firstLine="0" w:firstLineChars="0"/>
        <w:jc w:val="left"/>
        <w:outlineLvl w:val="1"/>
        <w:rPr>
          <w:rFonts w:ascii="宋体" w:hAnsi="宋体" w:eastAsia="宋体" w:cs="宋体"/>
          <w:b/>
          <w:color w:val="auto"/>
          <w:kern w:val="0"/>
          <w:sz w:val="32"/>
          <w:szCs w:val="32"/>
          <w:highlight w:val="none"/>
        </w:rPr>
      </w:pPr>
      <w:r>
        <w:rPr>
          <w:rFonts w:ascii="宋体" w:hAnsi="宋体" w:eastAsia="宋体" w:cs="Times New Roman"/>
          <w:color w:val="auto"/>
          <w:szCs w:val="24"/>
          <w:highlight w:val="none"/>
          <w:lang w:val="zh-CN"/>
        </w:rPr>
        <w:br w:type="page"/>
      </w:r>
      <w:bookmarkStart w:id="611" w:name="_Toc10340"/>
      <w:bookmarkStart w:id="612" w:name="_Toc94107209"/>
      <w:bookmarkStart w:id="613" w:name="_Toc104991875"/>
      <w:bookmarkStart w:id="614" w:name="_Toc24015"/>
      <w:bookmarkStart w:id="615" w:name="_Toc102860418"/>
      <w:bookmarkStart w:id="616" w:name="_Toc18828"/>
      <w:bookmarkStart w:id="617" w:name="_Toc1977725"/>
      <w:bookmarkStart w:id="618" w:name="_Toc142508369"/>
      <w:bookmarkStart w:id="619" w:name="_Toc140596928"/>
      <w:bookmarkStart w:id="620" w:name="_Toc14515"/>
      <w:bookmarkStart w:id="621" w:name="_Toc102860074"/>
      <w:bookmarkStart w:id="622" w:name="_Toc533708124"/>
      <w:bookmarkStart w:id="623" w:name="_Toc486167712"/>
      <w:bookmarkStart w:id="624" w:name="_Toc20759_WPSOffice_Level2"/>
      <w:r>
        <w:rPr>
          <w:rFonts w:hint="eastAsia" w:ascii="宋体" w:hAnsi="宋体" w:eastAsia="宋体" w:cs="宋体"/>
          <w:b/>
          <w:bCs/>
          <w:color w:val="auto"/>
          <w:sz w:val="30"/>
          <w:szCs w:val="30"/>
          <w:highlight w:val="none"/>
          <w:lang w:val="en-US" w:eastAsia="zh-CN"/>
        </w:rPr>
        <w:t>六</w:t>
      </w:r>
      <w:r>
        <w:rPr>
          <w:rFonts w:hint="eastAsia" w:ascii="宋体" w:hAnsi="宋体" w:eastAsia="宋体" w:cs="宋体"/>
          <w:b/>
          <w:color w:val="auto"/>
          <w:kern w:val="0"/>
          <w:sz w:val="32"/>
          <w:szCs w:val="32"/>
          <w:highlight w:val="none"/>
        </w:rPr>
        <w:t>、投标人资格证明文件</w:t>
      </w:r>
      <w:bookmarkEnd w:id="611"/>
      <w:bookmarkEnd w:id="612"/>
      <w:bookmarkEnd w:id="613"/>
      <w:bookmarkEnd w:id="614"/>
      <w:bookmarkEnd w:id="615"/>
      <w:bookmarkEnd w:id="616"/>
      <w:bookmarkEnd w:id="617"/>
      <w:bookmarkEnd w:id="618"/>
      <w:bookmarkEnd w:id="619"/>
      <w:bookmarkEnd w:id="620"/>
      <w:bookmarkEnd w:id="621"/>
    </w:p>
    <w:p w14:paraId="0846150E">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625" w:name="_Toc31420"/>
      <w:bookmarkStart w:id="626" w:name="_Toc102860075"/>
      <w:bookmarkStart w:id="627" w:name="_Toc140596929"/>
      <w:bookmarkStart w:id="628" w:name="_Toc142508370"/>
      <w:bookmarkStart w:id="629" w:name="_Toc94107210"/>
      <w:bookmarkStart w:id="630" w:name="_Toc104991876"/>
      <w:bookmarkStart w:id="631" w:name="_Toc28382"/>
      <w:bookmarkStart w:id="632" w:name="_Toc11983"/>
      <w:bookmarkStart w:id="633" w:name="_Toc15638"/>
      <w:bookmarkStart w:id="634" w:name="_Toc102860419"/>
      <w:bookmarkStart w:id="635" w:name="_Toc1977726"/>
      <w:r>
        <w:rPr>
          <w:rFonts w:hint="eastAsia" w:ascii="宋体" w:hAnsi="宋体" w:eastAsia="宋体" w:cs="宋体"/>
          <w:b/>
          <w:color w:val="auto"/>
          <w:kern w:val="0"/>
          <w:sz w:val="30"/>
          <w:szCs w:val="30"/>
          <w:highlight w:val="none"/>
          <w:lang w:val="en-US" w:eastAsia="zh-CN"/>
        </w:rPr>
        <w:t>6</w:t>
      </w:r>
      <w:r>
        <w:rPr>
          <w:rFonts w:hint="eastAsia" w:ascii="宋体" w:hAnsi="宋体" w:eastAsia="宋体" w:cs="宋体"/>
          <w:b/>
          <w:color w:val="auto"/>
          <w:kern w:val="0"/>
          <w:sz w:val="30"/>
          <w:szCs w:val="30"/>
          <w:highlight w:val="none"/>
        </w:rPr>
        <w:t>.1 多证合一营业执照（或事业单位法人证书）复印件</w:t>
      </w:r>
      <w:bookmarkEnd w:id="625"/>
      <w:bookmarkEnd w:id="626"/>
      <w:bookmarkEnd w:id="627"/>
      <w:bookmarkEnd w:id="628"/>
      <w:bookmarkEnd w:id="629"/>
      <w:bookmarkEnd w:id="630"/>
      <w:bookmarkEnd w:id="631"/>
      <w:bookmarkEnd w:id="632"/>
      <w:bookmarkEnd w:id="633"/>
      <w:bookmarkEnd w:id="634"/>
    </w:p>
    <w:p w14:paraId="65937595">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1053F3D9">
      <w:pPr>
        <w:tabs>
          <w:tab w:val="left" w:pos="567"/>
        </w:tabs>
        <w:autoSpaceDE w:val="0"/>
        <w:autoSpaceDN w:val="0"/>
        <w:adjustRightInd w:val="0"/>
        <w:spacing w:line="360" w:lineRule="auto"/>
        <w:ind w:firstLine="316" w:firstLineChars="150"/>
        <w:jc w:val="left"/>
        <w:outlineLvl w:val="9"/>
        <w:rPr>
          <w:rFonts w:ascii="宋体" w:hAnsi="宋体" w:eastAsia="宋体" w:cs="宋体"/>
          <w:b/>
          <w:color w:val="auto"/>
          <w:kern w:val="0"/>
          <w:szCs w:val="21"/>
          <w:highlight w:val="none"/>
        </w:rPr>
        <w:sectPr>
          <w:pgSz w:w="12240" w:h="15840"/>
          <w:pgMar w:top="1191" w:right="1043" w:bottom="1191" w:left="1043" w:header="720" w:footer="720" w:gutter="0"/>
          <w:cols w:space="720" w:num="1"/>
          <w:titlePg/>
          <w:docGrid w:linePitch="326" w:charSpace="0"/>
        </w:sectPr>
      </w:pPr>
    </w:p>
    <w:p w14:paraId="59090971">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636" w:name="_Toc104991877"/>
      <w:bookmarkStart w:id="637" w:name="_Toc32698"/>
      <w:bookmarkStart w:id="638" w:name="_Toc102860420"/>
      <w:bookmarkStart w:id="639" w:name="_Toc94107211"/>
      <w:bookmarkStart w:id="640" w:name="_Toc26345"/>
      <w:bookmarkStart w:id="641" w:name="_Toc8406"/>
      <w:bookmarkStart w:id="642" w:name="_Toc140596930"/>
      <w:bookmarkStart w:id="643" w:name="_Toc102860076"/>
      <w:bookmarkStart w:id="644" w:name="_Toc9489"/>
      <w:bookmarkStart w:id="645" w:name="_Toc142508371"/>
      <w:r>
        <w:rPr>
          <w:rFonts w:hint="eastAsia" w:ascii="宋体" w:hAnsi="宋体" w:eastAsia="宋体" w:cs="宋体"/>
          <w:b/>
          <w:color w:val="auto"/>
          <w:kern w:val="0"/>
          <w:sz w:val="30"/>
          <w:szCs w:val="30"/>
          <w:highlight w:val="none"/>
          <w:lang w:val="en-US" w:eastAsia="zh-CN"/>
        </w:rPr>
        <w:t>6</w:t>
      </w:r>
      <w:r>
        <w:rPr>
          <w:rFonts w:hint="eastAsia" w:ascii="宋体" w:hAnsi="宋体" w:eastAsia="宋体" w:cs="宋体"/>
          <w:b/>
          <w:color w:val="auto"/>
          <w:kern w:val="0"/>
          <w:sz w:val="30"/>
          <w:szCs w:val="30"/>
          <w:highlight w:val="none"/>
        </w:rPr>
        <w:t>.2 开户许可证（基本存款账户）复印件，如投标人企业银行账户开户所在地区已取消企业银行账户许可，投标人应提供基本存款账户开户名称、开户银行、账号、编号等信息及相关备案证明（如有）或其他能证明其为基本存款账户的资料复印件</w:t>
      </w:r>
      <w:bookmarkEnd w:id="636"/>
      <w:bookmarkEnd w:id="637"/>
      <w:bookmarkEnd w:id="638"/>
      <w:bookmarkEnd w:id="639"/>
      <w:bookmarkEnd w:id="640"/>
      <w:bookmarkEnd w:id="641"/>
      <w:bookmarkEnd w:id="642"/>
      <w:bookmarkEnd w:id="643"/>
      <w:bookmarkEnd w:id="644"/>
      <w:bookmarkEnd w:id="645"/>
    </w:p>
    <w:p w14:paraId="67F80550">
      <w:pPr>
        <w:tabs>
          <w:tab w:val="left" w:pos="567"/>
        </w:tabs>
        <w:autoSpaceDE w:val="0"/>
        <w:autoSpaceDN w:val="0"/>
        <w:adjustRightInd w:val="0"/>
        <w:spacing w:line="360" w:lineRule="auto"/>
        <w:jc w:val="left"/>
        <w:outlineLvl w:val="2"/>
        <w:rPr>
          <w:rFonts w:ascii="宋体" w:hAnsi="宋体" w:eastAsia="宋体" w:cs="宋体"/>
          <w:b/>
          <w:color w:val="auto"/>
          <w:kern w:val="0"/>
          <w:szCs w:val="21"/>
          <w:highlight w:val="none"/>
        </w:rPr>
      </w:pPr>
      <w:r>
        <w:rPr>
          <w:rFonts w:ascii="宋体" w:hAnsi="宋体" w:eastAsia="宋体" w:cs="宋体"/>
          <w:b/>
          <w:color w:val="auto"/>
          <w:kern w:val="0"/>
          <w:sz w:val="30"/>
          <w:szCs w:val="30"/>
          <w:highlight w:val="none"/>
        </w:rPr>
        <w:br w:type="page"/>
      </w:r>
      <w:bookmarkStart w:id="646" w:name="_Toc644"/>
      <w:bookmarkStart w:id="647" w:name="_Toc21657"/>
      <w:bookmarkStart w:id="648" w:name="_Toc102860077"/>
      <w:bookmarkStart w:id="649" w:name="_Toc140596931"/>
      <w:bookmarkStart w:id="650" w:name="_Toc104991878"/>
      <w:bookmarkStart w:id="651" w:name="_Toc21135"/>
      <w:bookmarkStart w:id="652" w:name="_Toc94107212"/>
      <w:bookmarkStart w:id="653" w:name="_Toc30307"/>
      <w:bookmarkStart w:id="654" w:name="_Toc102860421"/>
      <w:bookmarkStart w:id="655" w:name="_Toc142508372"/>
      <w:r>
        <w:rPr>
          <w:rFonts w:hint="eastAsia" w:ascii="宋体" w:hAnsi="宋体" w:eastAsia="宋体" w:cs="宋体"/>
          <w:b/>
          <w:color w:val="auto"/>
          <w:kern w:val="0"/>
          <w:sz w:val="30"/>
          <w:szCs w:val="30"/>
          <w:highlight w:val="none"/>
          <w:lang w:val="en-US" w:eastAsia="zh-CN"/>
        </w:rPr>
        <w:t>6.3 法定代表人身份证明书原件、法定代表人授权书原件格式（法定代表人投</w:t>
      </w:r>
      <w:r>
        <w:rPr>
          <w:rFonts w:hint="eastAsia" w:ascii="宋体" w:hAnsi="宋体" w:eastAsia="宋体" w:cs="宋体"/>
          <w:b/>
          <w:color w:val="auto"/>
          <w:kern w:val="0"/>
          <w:sz w:val="30"/>
          <w:szCs w:val="30"/>
          <w:highlight w:val="none"/>
        </w:rPr>
        <w:t>标时只需提供法定代表人身份证明书，委托他人为投标代表或签署投标文件时需同时提供法定代表人授权书）</w:t>
      </w:r>
      <w:bookmarkEnd w:id="646"/>
      <w:bookmarkEnd w:id="647"/>
      <w:bookmarkEnd w:id="648"/>
      <w:bookmarkEnd w:id="649"/>
      <w:bookmarkEnd w:id="650"/>
      <w:bookmarkEnd w:id="651"/>
      <w:bookmarkEnd w:id="652"/>
      <w:bookmarkEnd w:id="653"/>
      <w:bookmarkEnd w:id="654"/>
      <w:bookmarkEnd w:id="655"/>
    </w:p>
    <w:p w14:paraId="6F283538">
      <w:pPr>
        <w:spacing w:before="120" w:after="120" w:line="360" w:lineRule="auto"/>
        <w:ind w:firstLine="426" w:firstLineChars="202"/>
        <w:rPr>
          <w:rFonts w:ascii="宋体" w:hAnsi="宋体" w:eastAsia="宋体" w:cs="宋体"/>
          <w:b/>
          <w:color w:val="auto"/>
          <w:szCs w:val="24"/>
          <w:highlight w:val="none"/>
        </w:rPr>
      </w:pPr>
      <w:r>
        <w:rPr>
          <w:rFonts w:hint="eastAsia" w:ascii="宋体" w:hAnsi="宋体" w:eastAsia="宋体" w:cs="宋体"/>
          <w:b/>
          <w:color w:val="auto"/>
          <w:szCs w:val="24"/>
          <w:highlight w:val="none"/>
        </w:rPr>
        <w:t>（1）法定代表人身份证明书格式</w:t>
      </w:r>
      <w:bookmarkEnd w:id="622"/>
      <w:bookmarkEnd w:id="623"/>
      <w:bookmarkEnd w:id="624"/>
      <w:bookmarkEnd w:id="635"/>
    </w:p>
    <w:p w14:paraId="4069E72A">
      <w:pPr>
        <w:spacing w:before="120" w:after="120" w:line="360" w:lineRule="auto"/>
        <w:ind w:firstLine="608" w:firstLineChars="202"/>
        <w:jc w:val="center"/>
        <w:rPr>
          <w:rFonts w:ascii="宋体" w:hAnsi="宋体" w:eastAsia="宋体" w:cs="宋体"/>
          <w:b/>
          <w:color w:val="auto"/>
          <w:sz w:val="30"/>
          <w:szCs w:val="30"/>
          <w:highlight w:val="none"/>
        </w:rPr>
      </w:pPr>
    </w:p>
    <w:p w14:paraId="197264D3">
      <w:pPr>
        <w:spacing w:before="120" w:after="120" w:line="360" w:lineRule="auto"/>
        <w:ind w:firstLine="608" w:firstLineChars="202"/>
        <w:jc w:val="center"/>
        <w:rPr>
          <w:rFonts w:ascii="宋体" w:hAnsi="宋体" w:eastAsia="宋体" w:cs="宋体"/>
          <w:b/>
          <w:bCs/>
          <w:color w:val="auto"/>
          <w:sz w:val="30"/>
          <w:szCs w:val="30"/>
          <w:highlight w:val="none"/>
        </w:rPr>
      </w:pPr>
      <w:bookmarkStart w:id="656" w:name="_Toc11033_WPSOffice_Level3"/>
      <w:r>
        <w:rPr>
          <w:rFonts w:hint="eastAsia" w:ascii="宋体" w:hAnsi="宋体" w:eastAsia="宋体" w:cs="宋体"/>
          <w:b/>
          <w:color w:val="auto"/>
          <w:sz w:val="30"/>
          <w:szCs w:val="30"/>
          <w:highlight w:val="none"/>
        </w:rPr>
        <w:t>法定代</w:t>
      </w:r>
      <w:bookmarkStart w:id="657" w:name="_Toc45995270"/>
      <w:bookmarkStart w:id="658" w:name="_Toc36971359"/>
      <w:r>
        <w:rPr>
          <w:rFonts w:hint="eastAsia" w:ascii="宋体" w:hAnsi="宋体" w:eastAsia="宋体" w:cs="宋体"/>
          <w:b/>
          <w:color w:val="auto"/>
          <w:sz w:val="30"/>
          <w:szCs w:val="30"/>
          <w:highlight w:val="none"/>
        </w:rPr>
        <w:t>表人身份证明书</w:t>
      </w:r>
      <w:bookmarkEnd w:id="656"/>
    </w:p>
    <w:bookmarkEnd w:id="657"/>
    <w:bookmarkEnd w:id="658"/>
    <w:p w14:paraId="2804B159">
      <w:pPr>
        <w:spacing w:before="120" w:after="120"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先生／女士：现任我单位</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职务，为法定代表人，特此证明。</w:t>
      </w:r>
    </w:p>
    <w:p w14:paraId="03A9A0DA">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有效日期：</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签发日期：</w:t>
      </w:r>
      <w:r>
        <w:rPr>
          <w:rFonts w:hint="eastAsia" w:ascii="宋体" w:hAnsi="宋体" w:eastAsia="宋体" w:cs="宋体"/>
          <w:color w:val="auto"/>
          <w:szCs w:val="24"/>
          <w:highlight w:val="none"/>
          <w:u w:val="single"/>
        </w:rPr>
        <w:t xml:space="preserve">           </w:t>
      </w:r>
    </w:p>
    <w:p w14:paraId="5C828A87">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附：代表人性别：</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 年龄：</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身份证号码：</w:t>
      </w:r>
      <w:r>
        <w:rPr>
          <w:rFonts w:hint="eastAsia" w:ascii="宋体" w:hAnsi="宋体" w:eastAsia="宋体" w:cs="宋体"/>
          <w:color w:val="auto"/>
          <w:szCs w:val="24"/>
          <w:highlight w:val="none"/>
          <w:u w:val="single"/>
        </w:rPr>
        <w:t xml:space="preserve">            </w:t>
      </w:r>
    </w:p>
    <w:p w14:paraId="24FE2D5C">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营业执照号码：</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经济性质： </w:t>
      </w:r>
    </w:p>
    <w:p w14:paraId="73C6CD23">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主营（产）：</w:t>
      </w:r>
    </w:p>
    <w:p w14:paraId="50AF82BA">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兼营（产）：</w:t>
      </w:r>
    </w:p>
    <w:p w14:paraId="5A66E32C">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附 法定代表人身份证复印件 </w:t>
      </w:r>
    </w:p>
    <w:p w14:paraId="6B0A894D">
      <w:pPr>
        <w:spacing w:before="120" w:after="120" w:line="360" w:lineRule="auto"/>
        <w:ind w:left="340" w:leftChars="162" w:firstLine="4740"/>
        <w:rPr>
          <w:rFonts w:ascii="宋体" w:hAnsi="宋体" w:eastAsia="宋体" w:cs="宋体"/>
          <w:color w:val="auto"/>
          <w:szCs w:val="21"/>
          <w:highlight w:val="none"/>
        </w:rPr>
      </w:pPr>
      <w:r>
        <w:rPr>
          <w:rFonts w:hint="eastAsia" w:ascii="宋体" w:hAnsi="宋体" w:eastAsia="宋体" w:cs="宋体"/>
          <w:color w:val="auto"/>
          <w:szCs w:val="21"/>
          <w:highlight w:val="none"/>
          <w:lang w:val="zh-CN"/>
        </w:rPr>
        <w:t>投标人：（加盖投标人法人公章）</w:t>
      </w:r>
    </w:p>
    <w:p w14:paraId="67B8F0AF">
      <w:pPr>
        <w:autoSpaceDE w:val="0"/>
        <w:autoSpaceDN w:val="0"/>
        <w:adjustRightInd w:val="0"/>
        <w:spacing w:line="360" w:lineRule="auto"/>
        <w:ind w:right="1010" w:rightChars="481" w:firstLine="6090" w:firstLineChars="29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14:paraId="54E478CA">
      <w:pPr>
        <w:autoSpaceDE w:val="0"/>
        <w:autoSpaceDN w:val="0"/>
        <w:adjustRightInd w:val="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5E9F50D8"/>
                          <w:p w14:paraId="1C63C1A8"/>
                          <w:p w14:paraId="119DC073"/>
                          <w:p w14:paraId="6D89A341"/>
                          <w:p w14:paraId="690CC2EE">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1312;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j1YWXYAAAACAEAAA8AAAAAAAAAAQAgAAAAIgAA&#10;AGRycy9kb3ducmV2LnhtbFBLAQIUABQAAAAIAIdO4kD5BGLAQQIAAIgEAAAOAAAAAAAAAAEAIAAA&#10;ACcBAABkcnMvZTJvRG9jLnhtbFBLBQYAAAAABgAGAFkBAADaBQAAAAA=&#10;">
                <v:fill on="t" focussize="0,0"/>
                <v:stroke color="#000000" miterlimit="8" joinstyle="miter"/>
                <v:imagedata o:title=""/>
                <o:lock v:ext="edit" aspectratio="f"/>
                <v:textbox>
                  <w:txbxContent>
                    <w:p w14:paraId="5E9F50D8"/>
                    <w:p w14:paraId="1C63C1A8"/>
                    <w:p w14:paraId="119DC073"/>
                    <w:p w14:paraId="6D89A341"/>
                    <w:p w14:paraId="690CC2EE">
                      <w:pPr>
                        <w:jc w:val="center"/>
                        <w:rPr>
                          <w:szCs w:val="21"/>
                        </w:rPr>
                      </w:pPr>
                      <w:r>
                        <w:rPr>
                          <w:rFonts w:hint="eastAsia"/>
                          <w:szCs w:val="21"/>
                        </w:rPr>
                        <w:t>法定代表人身份证正面</w:t>
                      </w:r>
                    </w:p>
                  </w:txbxContent>
                </v:textbox>
              </v:shape>
            </w:pict>
          </mc:Fallback>
        </mc:AlternateContent>
      </w:r>
      <w:r>
        <w:rPr>
          <w:rFonts w:ascii="宋体" w:hAnsi="宋体" w:eastAsia="宋体" w:cs="宋体"/>
          <w:color w:val="auto"/>
          <w:kern w:val="0"/>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3128645</wp:posOffset>
                </wp:positionH>
                <wp:positionV relativeFrom="paragraph">
                  <wp:posOffset>109220</wp:posOffset>
                </wp:positionV>
                <wp:extent cx="2790825" cy="1962150"/>
                <wp:effectExtent l="9525" t="6985" r="9525" b="1206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0AC145CC"/>
                          <w:p w14:paraId="5361DA46"/>
                          <w:p w14:paraId="29435E3C"/>
                          <w:p w14:paraId="6071205E"/>
                          <w:p w14:paraId="3805BFE5">
                            <w:pPr>
                              <w:jc w:val="center"/>
                              <w:rPr>
                                <w:szCs w:val="21"/>
                              </w:rPr>
                            </w:pPr>
                            <w:r>
                              <w:rPr>
                                <w:rFonts w:hint="eastAsia"/>
                                <w:szCs w:val="21"/>
                              </w:rPr>
                              <w:t>法定代表人身份证反面</w:t>
                            </w:r>
                          </w:p>
                          <w:p w14:paraId="21509BE0">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0288;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UEWTR2QAAAAoBAAAPAAAAAAAAAAEAIAAAACIA&#10;AABkcnMvZG93bnJldi54bWxQSwECFAAUAAAACACHTuJADlLddUECAACIBAAADgAAAAAAAAABACAA&#10;AAAoAQAAZHJzL2Uyb0RvYy54bWxQSwUGAAAAAAYABgBZAQAA2wUAAAAA&#10;">
                <v:fill on="t" focussize="0,0"/>
                <v:stroke color="#000000" miterlimit="8" joinstyle="miter"/>
                <v:imagedata o:title=""/>
                <o:lock v:ext="edit" aspectratio="f"/>
                <v:textbox>
                  <w:txbxContent>
                    <w:p w14:paraId="0AC145CC"/>
                    <w:p w14:paraId="5361DA46"/>
                    <w:p w14:paraId="29435E3C"/>
                    <w:p w14:paraId="6071205E"/>
                    <w:p w14:paraId="3805BFE5">
                      <w:pPr>
                        <w:jc w:val="center"/>
                        <w:rPr>
                          <w:szCs w:val="21"/>
                        </w:rPr>
                      </w:pPr>
                      <w:r>
                        <w:rPr>
                          <w:rFonts w:hint="eastAsia"/>
                          <w:szCs w:val="21"/>
                        </w:rPr>
                        <w:t>法定代表人身份证反面</w:t>
                      </w:r>
                    </w:p>
                    <w:p w14:paraId="21509BE0">
                      <w:pPr>
                        <w:jc w:val="center"/>
                        <w:rPr>
                          <w:szCs w:val="21"/>
                        </w:rPr>
                      </w:pPr>
                    </w:p>
                  </w:txbxContent>
                </v:textbox>
              </v:shape>
            </w:pict>
          </mc:Fallback>
        </mc:AlternateContent>
      </w:r>
      <w:r>
        <w:rPr>
          <w:rFonts w:ascii="宋体" w:hAnsi="宋体" w:eastAsia="宋体" w:cs="宋体"/>
          <w:color w:val="auto"/>
          <w:kern w:val="0"/>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3DAD1A45"/>
                          <w:p w14:paraId="5C7366A1"/>
                          <w:p w14:paraId="17E53971"/>
                          <w:p w14:paraId="17F0C570"/>
                          <w:p w14:paraId="426152F8">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59264;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FavbXBAAgAAiAQAAA4AAAAAAAAAAQAgAAAA&#10;JwEAAGRycy9lMm9Eb2MueG1sUEsFBgAAAAAGAAYAWQEAANkFAAAAAA==&#10;">
                <v:fill on="t" focussize="0,0"/>
                <v:stroke color="#000000" miterlimit="8" joinstyle="miter"/>
                <v:imagedata o:title=""/>
                <o:lock v:ext="edit" aspectratio="f"/>
                <v:textbox>
                  <w:txbxContent>
                    <w:p w14:paraId="3DAD1A45"/>
                    <w:p w14:paraId="5C7366A1"/>
                    <w:p w14:paraId="17E53971"/>
                    <w:p w14:paraId="17F0C570"/>
                    <w:p w14:paraId="426152F8">
                      <w:pPr>
                        <w:jc w:val="center"/>
                      </w:pPr>
                      <w:r>
                        <w:rPr>
                          <w:rFonts w:hint="eastAsia"/>
                        </w:rPr>
                        <w:t>身份证正面</w:t>
                      </w:r>
                    </w:p>
                  </w:txbxContent>
                </v:textbox>
              </v:shape>
            </w:pict>
          </mc:Fallback>
        </mc:AlternateContent>
      </w:r>
    </w:p>
    <w:p w14:paraId="331E82AD">
      <w:pPr>
        <w:autoSpaceDE w:val="0"/>
        <w:autoSpaceDN w:val="0"/>
        <w:adjustRightInd w:val="0"/>
        <w:jc w:val="left"/>
        <w:rPr>
          <w:rFonts w:ascii="宋体" w:hAnsi="宋体" w:eastAsia="宋体" w:cs="宋体"/>
          <w:color w:val="auto"/>
          <w:kern w:val="0"/>
          <w:sz w:val="24"/>
          <w:szCs w:val="24"/>
          <w:highlight w:val="none"/>
        </w:rPr>
      </w:pPr>
    </w:p>
    <w:p w14:paraId="10613847">
      <w:pPr>
        <w:autoSpaceDE w:val="0"/>
        <w:autoSpaceDN w:val="0"/>
        <w:adjustRightInd w:val="0"/>
        <w:jc w:val="left"/>
        <w:rPr>
          <w:rFonts w:ascii="宋体" w:hAnsi="宋体" w:eastAsia="宋体" w:cs="宋体"/>
          <w:color w:val="auto"/>
          <w:kern w:val="0"/>
          <w:sz w:val="24"/>
          <w:szCs w:val="24"/>
          <w:highlight w:val="none"/>
        </w:rPr>
      </w:pPr>
    </w:p>
    <w:p w14:paraId="373CE0C4">
      <w:pPr>
        <w:autoSpaceDE w:val="0"/>
        <w:autoSpaceDN w:val="0"/>
        <w:adjustRightInd w:val="0"/>
        <w:jc w:val="left"/>
        <w:rPr>
          <w:rFonts w:ascii="宋体" w:hAnsi="宋体" w:eastAsia="宋体" w:cs="宋体"/>
          <w:color w:val="auto"/>
          <w:kern w:val="0"/>
          <w:sz w:val="24"/>
          <w:szCs w:val="24"/>
          <w:highlight w:val="none"/>
        </w:rPr>
      </w:pPr>
    </w:p>
    <w:p w14:paraId="5B551EEB">
      <w:pPr>
        <w:autoSpaceDE w:val="0"/>
        <w:autoSpaceDN w:val="0"/>
        <w:adjustRightInd w:val="0"/>
        <w:jc w:val="left"/>
        <w:rPr>
          <w:rFonts w:ascii="宋体" w:hAnsi="宋体" w:eastAsia="宋体" w:cs="宋体"/>
          <w:color w:val="auto"/>
          <w:kern w:val="0"/>
          <w:sz w:val="24"/>
          <w:szCs w:val="24"/>
          <w:highlight w:val="none"/>
        </w:rPr>
      </w:pPr>
    </w:p>
    <w:p w14:paraId="72B47CBA">
      <w:pPr>
        <w:autoSpaceDE w:val="0"/>
        <w:autoSpaceDN w:val="0"/>
        <w:adjustRightInd w:val="0"/>
        <w:jc w:val="left"/>
        <w:rPr>
          <w:rFonts w:ascii="宋体" w:hAnsi="宋体" w:eastAsia="宋体" w:cs="宋体"/>
          <w:color w:val="auto"/>
          <w:kern w:val="0"/>
          <w:sz w:val="24"/>
          <w:szCs w:val="24"/>
          <w:highlight w:val="none"/>
        </w:rPr>
      </w:pPr>
    </w:p>
    <w:p w14:paraId="28F6146C">
      <w:pPr>
        <w:autoSpaceDE w:val="0"/>
        <w:autoSpaceDN w:val="0"/>
        <w:adjustRightInd w:val="0"/>
        <w:jc w:val="left"/>
        <w:rPr>
          <w:rFonts w:ascii="宋体" w:hAnsi="宋体" w:eastAsia="宋体" w:cs="宋体"/>
          <w:color w:val="auto"/>
          <w:kern w:val="0"/>
          <w:sz w:val="24"/>
          <w:szCs w:val="24"/>
          <w:highlight w:val="none"/>
        </w:rPr>
      </w:pPr>
    </w:p>
    <w:p w14:paraId="34835508">
      <w:pPr>
        <w:autoSpaceDE w:val="0"/>
        <w:autoSpaceDN w:val="0"/>
        <w:adjustRightInd w:val="0"/>
        <w:jc w:val="left"/>
        <w:rPr>
          <w:rFonts w:ascii="宋体" w:hAnsi="宋体" w:eastAsia="宋体" w:cs="宋体"/>
          <w:color w:val="auto"/>
          <w:kern w:val="0"/>
          <w:sz w:val="24"/>
          <w:szCs w:val="24"/>
          <w:highlight w:val="none"/>
        </w:rPr>
      </w:pPr>
    </w:p>
    <w:p w14:paraId="5C707212">
      <w:pPr>
        <w:autoSpaceDE w:val="0"/>
        <w:autoSpaceDN w:val="0"/>
        <w:adjustRightInd w:val="0"/>
        <w:jc w:val="left"/>
        <w:rPr>
          <w:rFonts w:ascii="宋体" w:hAnsi="宋体" w:eastAsia="宋体" w:cs="宋体"/>
          <w:color w:val="auto"/>
          <w:kern w:val="0"/>
          <w:sz w:val="24"/>
          <w:szCs w:val="24"/>
          <w:highlight w:val="none"/>
        </w:rPr>
      </w:pPr>
    </w:p>
    <w:p w14:paraId="3803BA87">
      <w:pPr>
        <w:autoSpaceDE w:val="0"/>
        <w:autoSpaceDN w:val="0"/>
        <w:adjustRightInd w:val="0"/>
        <w:jc w:val="left"/>
        <w:rPr>
          <w:rFonts w:ascii="宋体" w:hAnsi="宋体" w:eastAsia="宋体" w:cs="宋体"/>
          <w:color w:val="auto"/>
          <w:kern w:val="0"/>
          <w:sz w:val="24"/>
          <w:szCs w:val="24"/>
          <w:highlight w:val="none"/>
        </w:rPr>
      </w:pPr>
    </w:p>
    <w:p w14:paraId="058CBE00">
      <w:pPr>
        <w:autoSpaceDE w:val="0"/>
        <w:autoSpaceDN w:val="0"/>
        <w:adjustRightInd w:val="0"/>
        <w:jc w:val="left"/>
        <w:rPr>
          <w:rFonts w:ascii="宋体" w:hAnsi="宋体" w:eastAsia="宋体" w:cs="宋体"/>
          <w:b/>
          <w:color w:val="auto"/>
          <w:kern w:val="0"/>
          <w:szCs w:val="21"/>
          <w:highlight w:val="none"/>
        </w:rPr>
      </w:pPr>
    </w:p>
    <w:p w14:paraId="0D519548">
      <w:pPr>
        <w:autoSpaceDE w:val="0"/>
        <w:autoSpaceDN w:val="0"/>
        <w:adjustRightInd w:val="0"/>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注：法定代表人身份证须在有效期限内。</w:t>
      </w:r>
    </w:p>
    <w:p w14:paraId="7FF2661F">
      <w:pPr>
        <w:autoSpaceDE w:val="0"/>
        <w:autoSpaceDN w:val="0"/>
        <w:adjustRightInd w:val="0"/>
        <w:jc w:val="left"/>
        <w:rPr>
          <w:rFonts w:ascii="宋体" w:hAnsi="宋体" w:eastAsia="宋体" w:cs="宋体"/>
          <w:color w:val="auto"/>
          <w:kern w:val="0"/>
          <w:szCs w:val="21"/>
          <w:highlight w:val="none"/>
        </w:rPr>
      </w:pPr>
    </w:p>
    <w:p w14:paraId="46DB0469">
      <w:pPr>
        <w:spacing w:before="120" w:after="120" w:line="360" w:lineRule="auto"/>
        <w:ind w:firstLine="424" w:firstLineChars="202"/>
        <w:rPr>
          <w:rFonts w:ascii="宋体" w:hAnsi="宋体" w:eastAsia="宋体" w:cs="宋体"/>
          <w:b/>
          <w:color w:val="auto"/>
          <w:kern w:val="0"/>
          <w:szCs w:val="21"/>
          <w:highlight w:val="none"/>
        </w:rPr>
      </w:pPr>
      <w:r>
        <w:rPr>
          <w:rFonts w:hint="eastAsia" w:ascii="宋体" w:hAnsi="宋体" w:eastAsia="宋体" w:cs="宋体"/>
          <w:color w:val="auto"/>
          <w:szCs w:val="24"/>
          <w:highlight w:val="none"/>
          <w:lang w:val="zh-CN"/>
        </w:rPr>
        <w:br w:type="page"/>
      </w:r>
      <w:bookmarkEnd w:id="558"/>
      <w:bookmarkEnd w:id="559"/>
      <w:bookmarkEnd w:id="560"/>
      <w:bookmarkStart w:id="659" w:name="_Toc1977727"/>
      <w:bookmarkStart w:id="660" w:name="_Toc486167713"/>
      <w:bookmarkStart w:id="661" w:name="_Toc533708125"/>
      <w:bookmarkStart w:id="662" w:name="_Toc6240_WPSOffice_Level2"/>
      <w:r>
        <w:rPr>
          <w:rFonts w:hint="eastAsia" w:ascii="宋体" w:hAnsi="宋体" w:eastAsia="宋体" w:cs="宋体"/>
          <w:b/>
          <w:color w:val="auto"/>
          <w:szCs w:val="24"/>
          <w:highlight w:val="none"/>
        </w:rPr>
        <w:t>（2）法定代表人授权书格式</w:t>
      </w:r>
      <w:bookmarkEnd w:id="659"/>
      <w:bookmarkEnd w:id="660"/>
      <w:bookmarkEnd w:id="661"/>
      <w:bookmarkEnd w:id="662"/>
    </w:p>
    <w:p w14:paraId="101EAD50">
      <w:pPr>
        <w:autoSpaceDE w:val="0"/>
        <w:autoSpaceDN w:val="0"/>
        <w:adjustRightInd w:val="0"/>
        <w:spacing w:line="360" w:lineRule="auto"/>
        <w:jc w:val="center"/>
        <w:rPr>
          <w:rFonts w:ascii="宋体" w:hAnsi="宋体" w:eastAsia="宋体" w:cs="宋体"/>
          <w:b/>
          <w:bCs/>
          <w:color w:val="auto"/>
          <w:sz w:val="30"/>
          <w:szCs w:val="30"/>
          <w:highlight w:val="none"/>
          <w:lang w:val="zh-CN"/>
        </w:rPr>
      </w:pPr>
    </w:p>
    <w:p w14:paraId="68E488F4">
      <w:pPr>
        <w:autoSpaceDE w:val="0"/>
        <w:autoSpaceDN w:val="0"/>
        <w:adjustRightInd w:val="0"/>
        <w:spacing w:line="360" w:lineRule="auto"/>
        <w:jc w:val="center"/>
        <w:rPr>
          <w:rFonts w:hint="eastAsia" w:ascii="宋体" w:hAnsi="宋体" w:eastAsia="宋体" w:cs="宋体"/>
          <w:b/>
          <w:bCs/>
          <w:color w:val="auto"/>
          <w:sz w:val="30"/>
          <w:szCs w:val="30"/>
          <w:highlight w:val="none"/>
          <w:lang w:val="zh-CN"/>
        </w:rPr>
      </w:pPr>
      <w:bookmarkStart w:id="663" w:name="_Toc29146_WPSOffice_Level3"/>
      <w:bookmarkStart w:id="664" w:name="_Toc21594"/>
      <w:r>
        <w:rPr>
          <w:rFonts w:hint="eastAsia" w:ascii="宋体" w:hAnsi="宋体" w:eastAsia="宋体" w:cs="宋体"/>
          <w:b/>
          <w:bCs/>
          <w:color w:val="auto"/>
          <w:sz w:val="30"/>
          <w:szCs w:val="30"/>
          <w:highlight w:val="none"/>
          <w:lang w:val="zh-CN"/>
        </w:rPr>
        <w:t>法定代表人授权书</w:t>
      </w:r>
      <w:bookmarkEnd w:id="663"/>
      <w:bookmarkEnd w:id="664"/>
    </w:p>
    <w:p w14:paraId="31E1F048">
      <w:pPr>
        <w:autoSpaceDE w:val="0"/>
        <w:autoSpaceDN w:val="0"/>
        <w:adjustRightInd w:val="0"/>
        <w:spacing w:line="360" w:lineRule="auto"/>
        <w:jc w:val="center"/>
        <w:rPr>
          <w:rFonts w:ascii="宋体" w:hAnsi="宋体" w:eastAsia="宋体" w:cs="宋体"/>
          <w:color w:val="auto"/>
          <w:szCs w:val="28"/>
          <w:highlight w:val="none"/>
          <w:lang w:val="zh-CN"/>
        </w:rPr>
      </w:pPr>
    </w:p>
    <w:p w14:paraId="1578757D">
      <w:pPr>
        <w:spacing w:before="120" w:after="120" w:line="360" w:lineRule="auto"/>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致：东莞市水务集团净水有限公司</w:t>
      </w:r>
    </w:p>
    <w:p w14:paraId="11C8EC56">
      <w:pPr>
        <w:spacing w:before="120" w:after="120" w:line="360" w:lineRule="auto"/>
        <w:ind w:firstLine="630" w:firstLineChars="300"/>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本授权书声明：注册于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（投标人地址）的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（投标人名称）在下面签字或盖私章的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（法定代表人姓名、职务、身份证号码）代表本公司授权在下面签字或盖私章的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（被授权人的姓名、职务、身份证号码）为本公司的合法代表人，签署</w:t>
      </w:r>
      <w:r>
        <w:rPr>
          <w:rFonts w:hint="eastAsia" w:ascii="宋体" w:hAnsi="宋体" w:eastAsia="宋体" w:cs="宋体"/>
          <w:color w:val="auto"/>
          <w:szCs w:val="21"/>
          <w:highlight w:val="none"/>
          <w:u w:val="single"/>
          <w:lang w:eastAsia="zh-CN"/>
        </w:rPr>
        <w:t>东莞市水务集团净水有限公司2025年生产药剂液体柠檬酸采购项目（重新招标）</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YDZB24DGQY0194-1</w:t>
      </w:r>
      <w:r>
        <w:rPr>
          <w:rFonts w:hint="eastAsia" w:ascii="宋体" w:hAnsi="宋体" w:eastAsia="宋体" w:cs="宋体"/>
          <w:color w:val="auto"/>
          <w:szCs w:val="21"/>
          <w:highlight w:val="none"/>
          <w:lang w:val="zh-CN"/>
        </w:rPr>
        <w:t>）的投标文件，</w:t>
      </w:r>
      <w:r>
        <w:rPr>
          <w:rFonts w:hint="eastAsia" w:ascii="宋体" w:hAnsi="宋体" w:eastAsia="宋体" w:cs="宋体"/>
          <w:color w:val="auto"/>
          <w:szCs w:val="21"/>
          <w:highlight w:val="none"/>
        </w:rPr>
        <w:t>代表我公司</w:t>
      </w:r>
      <w:r>
        <w:rPr>
          <w:rFonts w:hint="eastAsia" w:ascii="宋体" w:hAnsi="宋体" w:eastAsia="宋体" w:cs="宋体"/>
          <w:color w:val="auto"/>
          <w:szCs w:val="24"/>
          <w:highlight w:val="none"/>
          <w:lang w:val="zh-CN"/>
        </w:rPr>
        <w:t>递交投标文件、参与开标会、代表我公司应评标委员会的要求对投标文件进行澄清、进行合同谈判和签署合同，以我公司的名义处理一切与之有关的事宜，</w:t>
      </w:r>
      <w:r>
        <w:rPr>
          <w:rFonts w:hint="eastAsia" w:ascii="宋体" w:hAnsi="宋体" w:eastAsia="宋体" w:cs="宋体"/>
          <w:color w:val="auto"/>
          <w:szCs w:val="21"/>
          <w:highlight w:val="none"/>
        </w:rPr>
        <w:t>我承认代理人全权代表我所签署的本项目投标文件的内容及</w:t>
      </w:r>
      <w:r>
        <w:rPr>
          <w:rFonts w:hint="eastAsia" w:ascii="宋体" w:hAnsi="宋体" w:eastAsia="宋体" w:cs="宋体"/>
          <w:color w:val="auto"/>
          <w:szCs w:val="24"/>
          <w:highlight w:val="none"/>
          <w:lang w:val="zh-CN"/>
        </w:rPr>
        <w:t>所进行的上述活动。</w:t>
      </w:r>
    </w:p>
    <w:p w14:paraId="683935A1">
      <w:pPr>
        <w:spacing w:before="120" w:after="120"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日签字生效，有效期至投标文件失效期止，</w:t>
      </w:r>
      <w:r>
        <w:rPr>
          <w:rFonts w:hint="eastAsia" w:ascii="宋体" w:hAnsi="宋体" w:eastAsia="宋体" w:cs="宋体"/>
          <w:color w:val="auto"/>
          <w:szCs w:val="21"/>
          <w:highlight w:val="none"/>
        </w:rPr>
        <w:t>代理人无转委托权，</w:t>
      </w:r>
      <w:r>
        <w:rPr>
          <w:rFonts w:hint="eastAsia" w:ascii="宋体" w:hAnsi="宋体" w:eastAsia="宋体" w:cs="宋体"/>
          <w:color w:val="auto"/>
          <w:szCs w:val="24"/>
          <w:highlight w:val="none"/>
          <w:lang w:val="zh-CN"/>
        </w:rPr>
        <w:t>特此声明。</w:t>
      </w:r>
    </w:p>
    <w:p w14:paraId="040707FF">
      <w:pPr>
        <w:spacing w:before="120" w:after="120" w:line="360" w:lineRule="auto"/>
        <w:ind w:left="348" w:leftChars="136" w:hanging="62"/>
        <w:rPr>
          <w:rFonts w:ascii="宋体" w:hAnsi="宋体" w:eastAsia="宋体" w:cs="宋体"/>
          <w:color w:val="auto"/>
          <w:szCs w:val="24"/>
          <w:highlight w:val="none"/>
        </w:rPr>
      </w:pPr>
    </w:p>
    <w:p w14:paraId="4574B8A7">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  标  人：（加盖投标人法人公章）</w:t>
      </w:r>
    </w:p>
    <w:p w14:paraId="5D85176E">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投标人地址：</w:t>
      </w:r>
    </w:p>
    <w:p w14:paraId="24F68C97">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法定代表人（签名或盖私章）：</w:t>
      </w:r>
    </w:p>
    <w:p w14:paraId="1826F63B">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4C98DA17">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被授权人（签名或盖私章）：</w:t>
      </w:r>
    </w:p>
    <w:p w14:paraId="1C15E0D5">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77398363">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被授权人联系手机：</w:t>
      </w:r>
    </w:p>
    <w:p w14:paraId="2BD95766">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电 子 邮 箱：</w:t>
      </w:r>
    </w:p>
    <w:p w14:paraId="2D9F96E6">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hint="eastAsia" w:ascii="宋体" w:hAnsi="宋体" w:eastAsia="宋体" w:cs="宋体"/>
          <w:color w:val="auto"/>
          <w:szCs w:val="24"/>
          <w:highlight w:val="none"/>
          <w:lang w:val="zh-CN"/>
        </w:rPr>
        <w:br w:type="page"/>
      </w:r>
      <w:r>
        <w:rPr>
          <w:rFonts w:hint="eastAsia" w:ascii="宋体" w:hAnsi="宋体" w:eastAsia="宋体" w:cs="宋体"/>
          <w:color w:val="auto"/>
          <w:szCs w:val="24"/>
          <w:highlight w:val="none"/>
        </w:rPr>
        <w:t>附 法定代表人、被授权人身份证复印件</w:t>
      </w:r>
    </w:p>
    <w:p w14:paraId="54FE5212">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114300" distR="114300" simplePos="0" relativeHeight="251664384" behindDoc="0" locked="0" layoutInCell="1" allowOverlap="1">
                <wp:simplePos x="0" y="0"/>
                <wp:positionH relativeFrom="column">
                  <wp:posOffset>3366770</wp:posOffset>
                </wp:positionH>
                <wp:positionV relativeFrom="paragraph">
                  <wp:posOffset>69850</wp:posOffset>
                </wp:positionV>
                <wp:extent cx="2790825" cy="1762125"/>
                <wp:effectExtent l="9525" t="9525" r="9525" b="952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3B6D38D5"/>
                          <w:p w14:paraId="4D3B741D"/>
                          <w:p w14:paraId="2225D9E0"/>
                          <w:p w14:paraId="1E03F9D3"/>
                          <w:p w14:paraId="57A95E3F">
                            <w:pPr>
                              <w:jc w:val="center"/>
                              <w:rPr>
                                <w:rFonts w:hAnsi="宋体"/>
                              </w:rPr>
                            </w:pPr>
                            <w:r>
                              <w:rPr>
                                <w:rFonts w:hint="eastAsia" w:hAnsi="宋体"/>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5.5pt;height:138.75pt;width:219.75pt;z-index:251664384;mso-width-relative:page;mso-height-relative:page;" fillcolor="#FFFFFF" filled="t" stroked="t" coordsize="21600,21600" o:gfxdata="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aEQPedkAAAAKAQAADwAAAAAAAAABACAAAAAiAAAA&#10;ZHJzL2Rvd25yZXYueG1sUEsBAhQAFAAAAAgAh07iQA997Fg/AgAAiAQAAA4AAAAAAAAAAQAgAAAA&#10;KAEAAGRycy9lMm9Eb2MueG1sUEsFBgAAAAAGAAYAWQEAANkFAAAAAA==&#10;">
                <v:fill on="t" focussize="0,0"/>
                <v:stroke color="#000000" miterlimit="8" joinstyle="miter"/>
                <v:imagedata o:title=""/>
                <o:lock v:ext="edit" aspectratio="f"/>
                <v:textbox>
                  <w:txbxContent>
                    <w:p w14:paraId="3B6D38D5"/>
                    <w:p w14:paraId="4D3B741D"/>
                    <w:p w14:paraId="2225D9E0"/>
                    <w:p w14:paraId="1E03F9D3"/>
                    <w:p w14:paraId="57A95E3F">
                      <w:pPr>
                        <w:jc w:val="center"/>
                        <w:rPr>
                          <w:rFonts w:hAnsi="宋体"/>
                        </w:rPr>
                      </w:pPr>
                      <w:r>
                        <w:rPr>
                          <w:rFonts w:hint="eastAsia" w:hAnsi="宋体"/>
                        </w:rPr>
                        <w:t>法定代表人身份证反面</w:t>
                      </w:r>
                    </w:p>
                  </w:txbxContent>
                </v:textbox>
              </v:shape>
            </w:pict>
          </mc:Fallback>
        </mc:AlternateContent>
      </w:r>
      <w:r>
        <w:rPr>
          <w:rFonts w:ascii="宋体" w:hAnsi="宋体" w:eastAsia="宋体" w:cs="宋体"/>
          <w:color w:val="auto"/>
          <w:szCs w:val="21"/>
          <w:highlight w:val="none"/>
        </w:rPr>
        <mc:AlternateContent>
          <mc:Choice Requires="wps">
            <w:drawing>
              <wp:anchor distT="0" distB="0" distL="114300" distR="114300" simplePos="0" relativeHeight="251662336" behindDoc="0" locked="0" layoutInCell="1" allowOverlap="1">
                <wp:simplePos x="0" y="0"/>
                <wp:positionH relativeFrom="column">
                  <wp:posOffset>309245</wp:posOffset>
                </wp:positionH>
                <wp:positionV relativeFrom="paragraph">
                  <wp:posOffset>69850</wp:posOffset>
                </wp:positionV>
                <wp:extent cx="2790825" cy="1762125"/>
                <wp:effectExtent l="9525" t="9525" r="9525" b="952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040104E8"/>
                          <w:p w14:paraId="26183F45"/>
                          <w:p w14:paraId="0860923A"/>
                          <w:p w14:paraId="7820CF58"/>
                          <w:p w14:paraId="34DB4ECD">
                            <w:pPr>
                              <w:jc w:val="center"/>
                              <w:rPr>
                                <w:rFonts w:hAnsi="宋体"/>
                              </w:rPr>
                            </w:pPr>
                            <w:r>
                              <w:rPr>
                                <w:rFonts w:hint="eastAsia" w:hAnsi="宋体"/>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5.5pt;height:138.75pt;width:219.75pt;z-index:251662336;mso-width-relative:page;mso-height-relative:page;" fillcolor="#FFFFFF" filled="t" stroked="t" coordsize="21600,21600" o:gfxdata="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iu+XY2AAAAAkBAAAPAAAAAAAAAAEAIAAAACIAAABk&#10;cnMvZG93bnJldi54bWxQSwECFAAUAAAACACHTuJASNEy5j8CAACIBAAADgAAAAAAAAABACAAAAAn&#10;AQAAZHJzL2Uyb0RvYy54bWxQSwUGAAAAAAYABgBZAQAA2AUAAAAA&#10;">
                <v:fill on="t" focussize="0,0"/>
                <v:stroke color="#000000" miterlimit="8" joinstyle="miter"/>
                <v:imagedata o:title=""/>
                <o:lock v:ext="edit" aspectratio="f"/>
                <v:textbox>
                  <w:txbxContent>
                    <w:p w14:paraId="040104E8"/>
                    <w:p w14:paraId="26183F45"/>
                    <w:p w14:paraId="0860923A"/>
                    <w:p w14:paraId="7820CF58"/>
                    <w:p w14:paraId="34DB4ECD">
                      <w:pPr>
                        <w:jc w:val="center"/>
                        <w:rPr>
                          <w:rFonts w:hAnsi="宋体"/>
                        </w:rPr>
                      </w:pPr>
                      <w:r>
                        <w:rPr>
                          <w:rFonts w:hint="eastAsia" w:hAnsi="宋体"/>
                        </w:rPr>
                        <w:t>法定代表人身份证正面</w:t>
                      </w:r>
                    </w:p>
                  </w:txbxContent>
                </v:textbox>
              </v:shape>
            </w:pict>
          </mc:Fallback>
        </mc:AlternateContent>
      </w:r>
    </w:p>
    <w:p w14:paraId="1A086825">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7DC06242">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09F7DEA3">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565DF0B3">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54D334D7">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03A7CC27">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3FA670C5">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2FB78048">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137136C0">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114300" distR="114300" simplePos="0" relativeHeight="251665408" behindDoc="0" locked="0" layoutInCell="1" allowOverlap="1">
                <wp:simplePos x="0" y="0"/>
                <wp:positionH relativeFrom="column">
                  <wp:posOffset>3366770</wp:posOffset>
                </wp:positionH>
                <wp:positionV relativeFrom="paragraph">
                  <wp:posOffset>102235</wp:posOffset>
                </wp:positionV>
                <wp:extent cx="2743200" cy="1771650"/>
                <wp:effectExtent l="9525" t="13970" r="9525" b="508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369D9426"/>
                          <w:p w14:paraId="28437EAA">
                            <w:pPr>
                              <w:jc w:val="center"/>
                              <w:rPr>
                                <w:rFonts w:hAnsi="宋体"/>
                                <w:color w:val="FF0000"/>
                              </w:rPr>
                            </w:pPr>
                          </w:p>
                          <w:p w14:paraId="2CD7EFEA">
                            <w:pPr>
                              <w:jc w:val="center"/>
                              <w:rPr>
                                <w:rFonts w:hAnsi="宋体"/>
                                <w:color w:val="FF0000"/>
                              </w:rPr>
                            </w:pPr>
                          </w:p>
                          <w:p w14:paraId="2920E4D8">
                            <w:pPr>
                              <w:jc w:val="center"/>
                              <w:rPr>
                                <w:rFonts w:hAnsi="宋体"/>
                                <w:color w:val="FF0000"/>
                              </w:rPr>
                            </w:pPr>
                          </w:p>
                          <w:p w14:paraId="5373999C">
                            <w:pPr>
                              <w:jc w:val="center"/>
                            </w:pPr>
                            <w:r>
                              <w:rPr>
                                <w:rFonts w:hint="eastAsia" w:hAnsi="宋体"/>
                              </w:rPr>
                              <w:t>被授权人身份证反面</w:t>
                            </w:r>
                          </w:p>
                          <w:p w14:paraId="0B7A5FE9"/>
                          <w:p w14:paraId="5A0151D4"/>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8.05pt;height:139.5pt;width:216pt;z-index:251665408;mso-width-relative:page;mso-height-relative:page;" fillcolor="#FFFFFF" filled="t" stroked="t" coordsize="21600,21600" o:gfxdata="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LYHyI9kAAAAKAQAADwAAAAAAAAABACAAAAAi&#10;AAAAZHJzL2Rvd25yZXYueG1sUEsBAhQAFAAAAAgAh07iQDsUtmVCAgAAiAQAAA4AAAAAAAAAAQAg&#10;AAAAKAEAAGRycy9lMm9Eb2MueG1sUEsFBgAAAAAGAAYAWQEAANwFAAAAAA==&#10;">
                <v:fill on="t" focussize="0,0"/>
                <v:stroke color="#000000" miterlimit="8" joinstyle="miter"/>
                <v:imagedata o:title=""/>
                <o:lock v:ext="edit" aspectratio="f"/>
                <v:textbox>
                  <w:txbxContent>
                    <w:p w14:paraId="369D9426"/>
                    <w:p w14:paraId="28437EAA">
                      <w:pPr>
                        <w:jc w:val="center"/>
                        <w:rPr>
                          <w:rFonts w:hAnsi="宋体"/>
                          <w:color w:val="FF0000"/>
                        </w:rPr>
                      </w:pPr>
                    </w:p>
                    <w:p w14:paraId="2CD7EFEA">
                      <w:pPr>
                        <w:jc w:val="center"/>
                        <w:rPr>
                          <w:rFonts w:hAnsi="宋体"/>
                          <w:color w:val="FF0000"/>
                        </w:rPr>
                      </w:pPr>
                    </w:p>
                    <w:p w14:paraId="2920E4D8">
                      <w:pPr>
                        <w:jc w:val="center"/>
                        <w:rPr>
                          <w:rFonts w:hAnsi="宋体"/>
                          <w:color w:val="FF0000"/>
                        </w:rPr>
                      </w:pPr>
                    </w:p>
                    <w:p w14:paraId="5373999C">
                      <w:pPr>
                        <w:jc w:val="center"/>
                      </w:pPr>
                      <w:r>
                        <w:rPr>
                          <w:rFonts w:hint="eastAsia" w:hAnsi="宋体"/>
                        </w:rPr>
                        <w:t>被授权人身份证反面</w:t>
                      </w:r>
                    </w:p>
                    <w:p w14:paraId="0B7A5FE9"/>
                    <w:p w14:paraId="5A0151D4"/>
                  </w:txbxContent>
                </v:textbox>
              </v:shape>
            </w:pict>
          </mc:Fallback>
        </mc:AlternateContent>
      </w:r>
      <w:r>
        <w:rPr>
          <w:rFonts w:ascii="宋体" w:hAnsi="宋体" w:eastAsia="宋体" w:cs="宋体"/>
          <w:color w:val="auto"/>
          <w:szCs w:val="21"/>
          <w:highlight w:val="none"/>
        </w:rPr>
        <mc:AlternateContent>
          <mc:Choice Requires="wps">
            <w:drawing>
              <wp:anchor distT="0" distB="0" distL="114300" distR="114300" simplePos="0" relativeHeight="251663360" behindDoc="0" locked="0" layoutInCell="1" allowOverlap="1">
                <wp:simplePos x="0" y="0"/>
                <wp:positionH relativeFrom="column">
                  <wp:posOffset>309245</wp:posOffset>
                </wp:positionH>
                <wp:positionV relativeFrom="paragraph">
                  <wp:posOffset>102235</wp:posOffset>
                </wp:positionV>
                <wp:extent cx="2743200" cy="1771650"/>
                <wp:effectExtent l="9525" t="13970" r="952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6F0A7C07"/>
                          <w:p w14:paraId="53A3F3AF">
                            <w:pPr>
                              <w:jc w:val="center"/>
                              <w:rPr>
                                <w:rFonts w:hAnsi="宋体"/>
                                <w:color w:val="FF0000"/>
                              </w:rPr>
                            </w:pPr>
                          </w:p>
                          <w:p w14:paraId="6603F299">
                            <w:pPr>
                              <w:jc w:val="center"/>
                              <w:rPr>
                                <w:rFonts w:hAnsi="宋体"/>
                                <w:color w:val="FF0000"/>
                              </w:rPr>
                            </w:pPr>
                          </w:p>
                          <w:p w14:paraId="7DF92CC6">
                            <w:pPr>
                              <w:jc w:val="center"/>
                              <w:rPr>
                                <w:rFonts w:hAnsi="宋体"/>
                                <w:color w:val="FF0000"/>
                              </w:rPr>
                            </w:pPr>
                          </w:p>
                          <w:p w14:paraId="6A27C6CD">
                            <w:pPr>
                              <w:jc w:val="center"/>
                            </w:pPr>
                            <w:r>
                              <w:rPr>
                                <w:rFonts w:hint="eastAsia" w:hAnsi="宋体"/>
                              </w:rPr>
                              <w:t>被授权人身份证正面</w:t>
                            </w:r>
                          </w:p>
                          <w:p w14:paraId="4AE310D6"/>
                          <w:p w14:paraId="6B4B1537"/>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8.05pt;height:139.5pt;width:216pt;z-index:251663360;mso-width-relative:page;mso-height-relative:page;" fillcolor="#FFFFFF" filled="t" stroked="t" coordsize="21600,21600" o:gfxdata="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LFRAn2AAAAAkBAAAPAAAAAAAAAAEAIAAA&#10;ACIAAABkcnMvZG93bnJldi54bWxQSwECFAAUAAAACACHTuJAY+kGYEUCAACIBAAADgAAAAAAAAAB&#10;ACAAAAAnAQAAZHJzL2Uyb0RvYy54bWxQSwUGAAAAAAYABgBZAQAA3gUAAAAA&#10;">
                <v:fill on="t" focussize="0,0"/>
                <v:stroke color="#000000" miterlimit="8" joinstyle="miter"/>
                <v:imagedata o:title=""/>
                <o:lock v:ext="edit" aspectratio="f"/>
                <v:textbox>
                  <w:txbxContent>
                    <w:p w14:paraId="6F0A7C07"/>
                    <w:p w14:paraId="53A3F3AF">
                      <w:pPr>
                        <w:jc w:val="center"/>
                        <w:rPr>
                          <w:rFonts w:hAnsi="宋体"/>
                          <w:color w:val="FF0000"/>
                        </w:rPr>
                      </w:pPr>
                    </w:p>
                    <w:p w14:paraId="6603F299">
                      <w:pPr>
                        <w:jc w:val="center"/>
                        <w:rPr>
                          <w:rFonts w:hAnsi="宋体"/>
                          <w:color w:val="FF0000"/>
                        </w:rPr>
                      </w:pPr>
                    </w:p>
                    <w:p w14:paraId="7DF92CC6">
                      <w:pPr>
                        <w:jc w:val="center"/>
                        <w:rPr>
                          <w:rFonts w:hAnsi="宋体"/>
                          <w:color w:val="FF0000"/>
                        </w:rPr>
                      </w:pPr>
                    </w:p>
                    <w:p w14:paraId="6A27C6CD">
                      <w:pPr>
                        <w:jc w:val="center"/>
                      </w:pPr>
                      <w:r>
                        <w:rPr>
                          <w:rFonts w:hint="eastAsia" w:hAnsi="宋体"/>
                        </w:rPr>
                        <w:t>被授权人身份证正面</w:t>
                      </w:r>
                    </w:p>
                    <w:p w14:paraId="4AE310D6"/>
                    <w:p w14:paraId="6B4B1537"/>
                  </w:txbxContent>
                </v:textbox>
              </v:shape>
            </w:pict>
          </mc:Fallback>
        </mc:AlternateContent>
      </w:r>
    </w:p>
    <w:p w14:paraId="0CD055C9">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014AF34D">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1A358E02">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293F342F">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301D64F4">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5710A97B">
      <w:pPr>
        <w:widowControl/>
        <w:autoSpaceDE w:val="0"/>
        <w:autoSpaceDN w:val="0"/>
        <w:spacing w:before="120" w:after="120" w:line="360" w:lineRule="auto"/>
        <w:ind w:right="781" w:rightChars="372" w:firstLine="422" w:firstLineChars="200"/>
        <w:textAlignment w:val="bottom"/>
        <w:rPr>
          <w:rFonts w:ascii="宋体" w:hAnsi="宋体" w:eastAsia="宋体" w:cs="宋体"/>
          <w:b/>
          <w:color w:val="auto"/>
          <w:szCs w:val="24"/>
          <w:highlight w:val="none"/>
        </w:rPr>
        <w:sectPr>
          <w:footerReference r:id="rId8" w:type="first"/>
          <w:footerReference r:id="rId7" w:type="default"/>
          <w:pgSz w:w="12240" w:h="15840"/>
          <w:pgMar w:top="1191" w:right="1043" w:bottom="1191" w:left="1043" w:header="720" w:footer="720" w:gutter="0"/>
          <w:cols w:space="720" w:num="1"/>
          <w:titlePg/>
          <w:docGrid w:linePitch="326" w:charSpace="0"/>
        </w:sectPr>
      </w:pPr>
      <w:r>
        <w:rPr>
          <w:rFonts w:hint="eastAsia" w:ascii="宋体" w:hAnsi="宋体" w:eastAsia="宋体" w:cs="宋体"/>
          <w:b/>
          <w:color w:val="auto"/>
          <w:szCs w:val="24"/>
          <w:highlight w:val="none"/>
        </w:rPr>
        <w:t>注：上述所附身份证应在有效期限内。</w:t>
      </w:r>
    </w:p>
    <w:p w14:paraId="41C16F56">
      <w:pPr>
        <w:pStyle w:val="5"/>
        <w:pageBreakBefore/>
        <w:spacing w:line="360" w:lineRule="auto"/>
        <w:rPr>
          <w:rFonts w:hint="eastAsia" w:ascii="宋体" w:hAnsi="宋体" w:eastAsia="宋体" w:cs="宋体"/>
          <w:b/>
          <w:bCs/>
          <w:color w:val="auto"/>
          <w:kern w:val="2"/>
          <w:sz w:val="32"/>
          <w:szCs w:val="32"/>
          <w:highlight w:val="none"/>
          <w:lang w:val="zh-CN"/>
        </w:rPr>
      </w:pPr>
      <w:bookmarkStart w:id="665" w:name="_Toc14862"/>
      <w:bookmarkStart w:id="666" w:name="_Toc22381"/>
      <w:bookmarkStart w:id="667" w:name="_Toc30070"/>
      <w:bookmarkStart w:id="668" w:name="_Toc8338"/>
      <w:bookmarkStart w:id="669" w:name="_Toc142508373"/>
      <w:bookmarkStart w:id="670" w:name="_Toc94107214"/>
      <w:bookmarkStart w:id="671" w:name="_Toc104991880"/>
      <w:bookmarkStart w:id="672" w:name="_Toc140596933"/>
      <w:bookmarkStart w:id="673" w:name="_Toc1977730"/>
      <w:r>
        <w:rPr>
          <w:rFonts w:hint="eastAsia" w:hAnsi="宋体" w:cs="宋体"/>
          <w:b/>
          <w:color w:val="auto"/>
          <w:kern w:val="0"/>
          <w:sz w:val="30"/>
          <w:szCs w:val="30"/>
          <w:highlight w:val="none"/>
          <w:lang w:val="en-US" w:eastAsia="zh-CN"/>
        </w:rPr>
        <w:t>6</w:t>
      </w:r>
      <w:r>
        <w:rPr>
          <w:rFonts w:hint="eastAsia" w:ascii="宋体" w:hAnsi="宋体" w:eastAsia="宋体" w:cs="宋体"/>
          <w:b/>
          <w:color w:val="auto"/>
          <w:kern w:val="0"/>
          <w:sz w:val="30"/>
          <w:szCs w:val="30"/>
          <w:highlight w:val="none"/>
        </w:rPr>
        <w:t>.4</w:t>
      </w:r>
      <w:r>
        <w:rPr>
          <w:rFonts w:ascii="宋体" w:hAnsi="宋体" w:eastAsia="宋体" w:cs="宋体"/>
          <w:b/>
          <w:color w:val="auto"/>
          <w:kern w:val="0"/>
          <w:sz w:val="30"/>
          <w:szCs w:val="30"/>
          <w:highlight w:val="none"/>
        </w:rPr>
        <w:t xml:space="preserve"> </w:t>
      </w:r>
      <w:r>
        <w:rPr>
          <w:rFonts w:hint="eastAsia" w:ascii="宋体" w:hAnsi="宋体" w:eastAsia="宋体" w:cs="宋体"/>
          <w:b/>
          <w:bCs/>
          <w:color w:val="auto"/>
          <w:kern w:val="2"/>
          <w:sz w:val="32"/>
          <w:szCs w:val="32"/>
          <w:highlight w:val="none"/>
          <w:lang w:val="zh-CN"/>
        </w:rPr>
        <w:t>制造商资格声明和独家授权销售及售后服务承诺函（若投标人为制造商，必须提供制造商资格声明；若投标人为经销商，必须提供制造商资格声明和投标产品制造商出具的《独家授权销售及售后服务承诺函》）</w:t>
      </w:r>
      <w:bookmarkEnd w:id="665"/>
      <w:bookmarkEnd w:id="666"/>
    </w:p>
    <w:p w14:paraId="7D638A69">
      <w:pPr>
        <w:spacing w:line="360" w:lineRule="auto"/>
        <w:jc w:val="center"/>
        <w:rPr>
          <w:rFonts w:hint="eastAsia" w:ascii="宋体" w:hAnsi="宋体" w:eastAsia="宋体" w:cs="宋体"/>
          <w:b/>
          <w:bCs/>
          <w:color w:val="auto"/>
          <w:kern w:val="2"/>
          <w:sz w:val="30"/>
          <w:szCs w:val="30"/>
          <w:highlight w:val="none"/>
          <w:lang w:val="zh-CN"/>
        </w:rPr>
      </w:pPr>
      <w:r>
        <w:rPr>
          <w:rFonts w:hint="eastAsia" w:ascii="宋体" w:hAnsi="宋体" w:eastAsia="宋体" w:cs="宋体"/>
          <w:b/>
          <w:bCs/>
          <w:color w:val="auto"/>
          <w:kern w:val="2"/>
          <w:sz w:val="30"/>
          <w:szCs w:val="30"/>
          <w:highlight w:val="none"/>
          <w:lang w:val="zh-CN"/>
        </w:rPr>
        <w:t>制造商资格声明</w:t>
      </w:r>
    </w:p>
    <w:p w14:paraId="70CD6CD6">
      <w:pPr>
        <w:snapToGrid w:val="0"/>
        <w:spacing w:line="360" w:lineRule="auto"/>
        <w:rPr>
          <w:rFonts w:hint="eastAsia" w:ascii="宋体" w:hAnsi="宋体" w:eastAsia="宋体" w:cs="宋体"/>
          <w:color w:val="auto"/>
          <w:sz w:val="21"/>
          <w:szCs w:val="21"/>
          <w:highlight w:val="none"/>
        </w:rPr>
      </w:pPr>
      <w:bookmarkStart w:id="674" w:name="_Toc31194"/>
      <w:r>
        <w:rPr>
          <w:rFonts w:hint="eastAsia" w:ascii="宋体" w:hAnsi="宋体" w:eastAsia="宋体" w:cs="宋体"/>
          <w:color w:val="auto"/>
          <w:sz w:val="21"/>
          <w:szCs w:val="21"/>
          <w:highlight w:val="none"/>
        </w:rPr>
        <w:t>1、名称及概况：</w:t>
      </w:r>
      <w:bookmarkEnd w:id="674"/>
    </w:p>
    <w:p w14:paraId="7C09340E">
      <w:pPr>
        <w:autoSpaceDE/>
        <w:autoSpaceDN/>
        <w:snapToGrid w:val="0"/>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（1）制造商名称：</w:t>
      </w:r>
      <w:r>
        <w:rPr>
          <w:rFonts w:hint="eastAsia" w:ascii="宋体" w:hAnsi="宋体" w:eastAsia="宋体" w:cs="宋体"/>
          <w:color w:val="auto"/>
          <w:sz w:val="21"/>
          <w:szCs w:val="21"/>
          <w:highlight w:val="none"/>
          <w:u w:val="single"/>
        </w:rPr>
        <w:t xml:space="preserve">                                            </w:t>
      </w:r>
    </w:p>
    <w:p w14:paraId="351BD09F">
      <w:pPr>
        <w:autoSpaceDE/>
        <w:autoSpaceDN/>
        <w:snapToGrid w:val="0"/>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（2）总部地址：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邮政编码：</w:t>
      </w:r>
      <w:r>
        <w:rPr>
          <w:rFonts w:hint="eastAsia" w:ascii="宋体" w:hAnsi="宋体" w:eastAsia="宋体" w:cs="宋体"/>
          <w:color w:val="auto"/>
          <w:sz w:val="21"/>
          <w:szCs w:val="21"/>
          <w:highlight w:val="none"/>
          <w:u w:val="single"/>
        </w:rPr>
        <w:t xml:space="preserve">                    </w:t>
      </w:r>
    </w:p>
    <w:p w14:paraId="67EC9335">
      <w:pPr>
        <w:autoSpaceDE/>
        <w:autoSpaceDN/>
        <w:snapToGrid w:val="0"/>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（3）电话号码：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传真：</w:t>
      </w:r>
      <w:r>
        <w:rPr>
          <w:rFonts w:hint="eastAsia" w:ascii="宋体" w:hAnsi="宋体" w:eastAsia="宋体" w:cs="宋体"/>
          <w:color w:val="auto"/>
          <w:sz w:val="21"/>
          <w:szCs w:val="21"/>
          <w:highlight w:val="none"/>
          <w:u w:val="single"/>
        </w:rPr>
        <w:t xml:space="preserve">                        </w:t>
      </w:r>
    </w:p>
    <w:p w14:paraId="105FFD3F">
      <w:pPr>
        <w:autoSpaceDE/>
        <w:autoSpaceDN/>
        <w:snapToGrid w:val="0"/>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（4）成立和/或注册日期：</w:t>
      </w:r>
      <w:r>
        <w:rPr>
          <w:rFonts w:hint="eastAsia" w:ascii="宋体" w:hAnsi="宋体" w:eastAsia="宋体" w:cs="宋体"/>
          <w:color w:val="auto"/>
          <w:sz w:val="21"/>
          <w:szCs w:val="21"/>
          <w:highlight w:val="none"/>
          <w:u w:val="single"/>
        </w:rPr>
        <w:t xml:space="preserve">                                     </w:t>
      </w:r>
    </w:p>
    <w:p w14:paraId="627936BB">
      <w:pPr>
        <w:autoSpaceDE/>
        <w:autoSpaceDN/>
        <w:snapToGrid w:val="0"/>
        <w:spacing w:line="360" w:lineRule="auto"/>
        <w:ind w:firstLine="210" w:firstLineChars="1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（5）实收资本：</w:t>
      </w:r>
      <w:r>
        <w:rPr>
          <w:rFonts w:hint="eastAsia" w:ascii="宋体" w:hAnsi="宋体" w:eastAsia="宋体" w:cs="宋体"/>
          <w:color w:val="auto"/>
          <w:sz w:val="21"/>
          <w:szCs w:val="21"/>
          <w:highlight w:val="none"/>
          <w:u w:val="single"/>
        </w:rPr>
        <w:t xml:space="preserve">                                              </w:t>
      </w:r>
    </w:p>
    <w:p w14:paraId="7E9D6A8A">
      <w:pPr>
        <w:autoSpaceDE/>
        <w:autoSpaceDN/>
        <w:snapToGrid w:val="0"/>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（6）法定代表人姓名：</w:t>
      </w:r>
      <w:r>
        <w:rPr>
          <w:rFonts w:hint="eastAsia" w:ascii="宋体" w:hAnsi="宋体" w:eastAsia="宋体" w:cs="宋体"/>
          <w:color w:val="auto"/>
          <w:sz w:val="21"/>
          <w:szCs w:val="21"/>
          <w:highlight w:val="none"/>
          <w:u w:val="single"/>
        </w:rPr>
        <w:t xml:space="preserve">                                        </w:t>
      </w:r>
    </w:p>
    <w:p w14:paraId="2CB67780">
      <w:pPr>
        <w:autoSpaceDE/>
        <w:autoSpaceDN/>
        <w:snapToGrid w:val="0"/>
        <w:spacing w:line="360" w:lineRule="auto"/>
        <w:ind w:firstLine="210" w:firstLineChars="1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（7）制造商代表姓名、联系电话和地址：</w:t>
      </w:r>
      <w:r>
        <w:rPr>
          <w:rFonts w:hint="eastAsia" w:ascii="宋体" w:hAnsi="宋体" w:eastAsia="宋体" w:cs="宋体"/>
          <w:color w:val="auto"/>
          <w:sz w:val="21"/>
          <w:szCs w:val="21"/>
          <w:highlight w:val="none"/>
          <w:u w:val="single"/>
        </w:rPr>
        <w:t xml:space="preserve">                        </w:t>
      </w:r>
    </w:p>
    <w:p w14:paraId="2CC355B1">
      <w:pPr>
        <w:autoSpaceDE/>
        <w:autoSpaceDN/>
        <w:snapToGrid w:val="0"/>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（8）投标产品名称及品牌：</w:t>
      </w:r>
      <w:r>
        <w:rPr>
          <w:rFonts w:hint="eastAsia" w:ascii="宋体" w:hAnsi="宋体" w:eastAsia="宋体" w:cs="宋体"/>
          <w:color w:val="auto"/>
          <w:sz w:val="21"/>
          <w:szCs w:val="21"/>
          <w:highlight w:val="none"/>
          <w:u w:val="single"/>
        </w:rPr>
        <w:t xml:space="preserve">                                    </w:t>
      </w:r>
    </w:p>
    <w:p w14:paraId="6DF5696E">
      <w:pPr>
        <w:snapToGrid w:val="0"/>
        <w:spacing w:line="360" w:lineRule="auto"/>
        <w:rPr>
          <w:rFonts w:hint="eastAsia" w:ascii="宋体" w:hAnsi="宋体" w:eastAsia="宋体" w:cs="宋体"/>
          <w:color w:val="auto"/>
          <w:sz w:val="21"/>
          <w:szCs w:val="21"/>
          <w:highlight w:val="none"/>
        </w:rPr>
      </w:pPr>
      <w:bookmarkStart w:id="675" w:name="_Toc22703"/>
      <w:r>
        <w:rPr>
          <w:rFonts w:hint="eastAsia" w:ascii="宋体" w:hAnsi="宋体" w:eastAsia="宋体" w:cs="宋体"/>
          <w:color w:val="auto"/>
          <w:sz w:val="21"/>
          <w:szCs w:val="21"/>
          <w:highlight w:val="none"/>
        </w:rPr>
        <w:t>2、制造投标货物的主要设备、设施及有关情况：</w:t>
      </w:r>
      <w:bookmarkEnd w:id="675"/>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3"/>
        <w:gridCol w:w="1763"/>
        <w:gridCol w:w="2191"/>
        <w:gridCol w:w="1323"/>
        <w:gridCol w:w="1323"/>
        <w:gridCol w:w="1138"/>
      </w:tblGrid>
      <w:tr w14:paraId="20F6C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23" w:type="dxa"/>
            <w:noWrap w:val="0"/>
            <w:vAlign w:val="center"/>
          </w:tcPr>
          <w:p w14:paraId="2DD7EA0A">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制造投标货物的工厂名称</w:t>
            </w:r>
          </w:p>
        </w:tc>
        <w:tc>
          <w:tcPr>
            <w:tcW w:w="1763" w:type="dxa"/>
            <w:noWrap w:val="0"/>
            <w:vAlign w:val="center"/>
          </w:tcPr>
          <w:p w14:paraId="2C68E2D0">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制造投标货物的工厂地址</w:t>
            </w:r>
          </w:p>
        </w:tc>
        <w:tc>
          <w:tcPr>
            <w:tcW w:w="2191" w:type="dxa"/>
            <w:noWrap w:val="0"/>
            <w:vAlign w:val="center"/>
          </w:tcPr>
          <w:p w14:paraId="790EDD0F">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主要生产（存储、运输）设备设施名称及数量</w:t>
            </w:r>
          </w:p>
        </w:tc>
        <w:tc>
          <w:tcPr>
            <w:tcW w:w="1323" w:type="dxa"/>
            <w:noWrap w:val="0"/>
            <w:vAlign w:val="center"/>
          </w:tcPr>
          <w:p w14:paraId="3887B5BD">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购买年份</w:t>
            </w:r>
          </w:p>
        </w:tc>
        <w:tc>
          <w:tcPr>
            <w:tcW w:w="1323" w:type="dxa"/>
            <w:noWrap w:val="0"/>
            <w:vAlign w:val="center"/>
          </w:tcPr>
          <w:p w14:paraId="5C6DB75A">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年生产能力</w:t>
            </w:r>
          </w:p>
        </w:tc>
        <w:tc>
          <w:tcPr>
            <w:tcW w:w="1138" w:type="dxa"/>
            <w:noWrap w:val="0"/>
            <w:vAlign w:val="center"/>
          </w:tcPr>
          <w:p w14:paraId="5B9194CF">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职工人数</w:t>
            </w:r>
          </w:p>
        </w:tc>
      </w:tr>
      <w:tr w14:paraId="304CA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23" w:type="dxa"/>
            <w:noWrap w:val="0"/>
            <w:vAlign w:val="center"/>
          </w:tcPr>
          <w:p w14:paraId="0A764660">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763" w:type="dxa"/>
            <w:noWrap w:val="0"/>
            <w:vAlign w:val="center"/>
          </w:tcPr>
          <w:p w14:paraId="078E4893">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2191" w:type="dxa"/>
            <w:noWrap w:val="0"/>
            <w:vAlign w:val="center"/>
          </w:tcPr>
          <w:p w14:paraId="775EA908">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323" w:type="dxa"/>
            <w:noWrap w:val="0"/>
            <w:vAlign w:val="center"/>
          </w:tcPr>
          <w:p w14:paraId="42D12CB4">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323" w:type="dxa"/>
            <w:noWrap w:val="0"/>
            <w:vAlign w:val="center"/>
          </w:tcPr>
          <w:p w14:paraId="6443D4FC">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138" w:type="dxa"/>
            <w:noWrap w:val="0"/>
            <w:vAlign w:val="center"/>
          </w:tcPr>
          <w:p w14:paraId="39556599">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r>
      <w:tr w14:paraId="74FA2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323" w:type="dxa"/>
            <w:noWrap w:val="0"/>
            <w:vAlign w:val="center"/>
          </w:tcPr>
          <w:p w14:paraId="7CCC7B78">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w:t>
            </w:r>
          </w:p>
        </w:tc>
        <w:tc>
          <w:tcPr>
            <w:tcW w:w="1763" w:type="dxa"/>
            <w:noWrap w:val="0"/>
            <w:vAlign w:val="center"/>
          </w:tcPr>
          <w:p w14:paraId="15CBE33A">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2191" w:type="dxa"/>
            <w:noWrap w:val="0"/>
            <w:vAlign w:val="center"/>
          </w:tcPr>
          <w:p w14:paraId="3EEDD0E1">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323" w:type="dxa"/>
            <w:noWrap w:val="0"/>
            <w:vAlign w:val="center"/>
          </w:tcPr>
          <w:p w14:paraId="5AAFD4DF">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323" w:type="dxa"/>
            <w:noWrap w:val="0"/>
            <w:vAlign w:val="center"/>
          </w:tcPr>
          <w:p w14:paraId="2C6F2734">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138" w:type="dxa"/>
            <w:noWrap w:val="0"/>
            <w:vAlign w:val="center"/>
          </w:tcPr>
          <w:p w14:paraId="0F528F06">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r>
    </w:tbl>
    <w:p w14:paraId="056BA561">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3、投标货物中本制造商不生产，而需从其它制造商购买的主要材料：</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3"/>
        <w:gridCol w:w="3421"/>
        <w:gridCol w:w="2827"/>
      </w:tblGrid>
      <w:tr w14:paraId="48F3E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4" w:hRule="atLeast"/>
          <w:jc w:val="center"/>
        </w:trPr>
        <w:tc>
          <w:tcPr>
            <w:tcW w:w="2813" w:type="dxa"/>
            <w:noWrap w:val="0"/>
            <w:vAlign w:val="center"/>
          </w:tcPr>
          <w:p w14:paraId="7EFEC9D4">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主要材料名称</w:t>
            </w:r>
          </w:p>
        </w:tc>
        <w:tc>
          <w:tcPr>
            <w:tcW w:w="3421" w:type="dxa"/>
            <w:noWrap w:val="0"/>
            <w:vAlign w:val="center"/>
          </w:tcPr>
          <w:p w14:paraId="2703B180">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制造厂名称</w:t>
            </w:r>
          </w:p>
        </w:tc>
        <w:tc>
          <w:tcPr>
            <w:tcW w:w="2827" w:type="dxa"/>
            <w:noWrap w:val="0"/>
            <w:vAlign w:val="center"/>
          </w:tcPr>
          <w:p w14:paraId="2FB7E50C">
            <w:pPr>
              <w:keepNext w:val="0"/>
              <w:keepLines w:val="0"/>
              <w:suppressLineNumbers w:val="0"/>
              <w:snapToGrid w:val="0"/>
              <w:spacing w:before="0" w:beforeAutospacing="0" w:after="0" w:afterAutospacing="0" w:line="360" w:lineRule="auto"/>
              <w:ind w:left="0" w:right="0" w:firstLine="1050" w:firstLineChars="5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产地</w:t>
            </w:r>
          </w:p>
        </w:tc>
      </w:tr>
      <w:tr w14:paraId="3DD39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813" w:type="dxa"/>
            <w:noWrap w:val="0"/>
            <w:vAlign w:val="center"/>
          </w:tcPr>
          <w:p w14:paraId="5B3D04FE">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3421" w:type="dxa"/>
            <w:noWrap w:val="0"/>
            <w:vAlign w:val="center"/>
          </w:tcPr>
          <w:p w14:paraId="428ABB25">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2827" w:type="dxa"/>
            <w:noWrap w:val="0"/>
            <w:vAlign w:val="center"/>
          </w:tcPr>
          <w:p w14:paraId="378529CC">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r>
      <w:tr w14:paraId="4A331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813" w:type="dxa"/>
            <w:noWrap w:val="0"/>
            <w:vAlign w:val="center"/>
          </w:tcPr>
          <w:p w14:paraId="63F43EA5">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w:t>
            </w:r>
          </w:p>
        </w:tc>
        <w:tc>
          <w:tcPr>
            <w:tcW w:w="3421" w:type="dxa"/>
            <w:noWrap w:val="0"/>
            <w:vAlign w:val="center"/>
          </w:tcPr>
          <w:p w14:paraId="694319F8">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2827" w:type="dxa"/>
            <w:noWrap w:val="0"/>
            <w:vAlign w:val="center"/>
          </w:tcPr>
          <w:p w14:paraId="3390BB2F">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r>
    </w:tbl>
    <w:p w14:paraId="1DF08E3E">
      <w:pPr>
        <w:snapToGrid w:val="0"/>
        <w:spacing w:line="360" w:lineRule="auto"/>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4、近三年该货物主要销售给国内、外主要客户的名称地址：</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9"/>
        <w:gridCol w:w="3324"/>
        <w:gridCol w:w="2718"/>
      </w:tblGrid>
      <w:tr w14:paraId="1A8F3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019" w:type="dxa"/>
            <w:noWrap w:val="0"/>
            <w:vAlign w:val="center"/>
          </w:tcPr>
          <w:p w14:paraId="7C0013C2">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客户名称</w:t>
            </w:r>
          </w:p>
        </w:tc>
        <w:tc>
          <w:tcPr>
            <w:tcW w:w="3324" w:type="dxa"/>
            <w:noWrap w:val="0"/>
            <w:vAlign w:val="center"/>
          </w:tcPr>
          <w:p w14:paraId="38B08B93">
            <w:pPr>
              <w:keepNext w:val="0"/>
              <w:keepLines w:val="0"/>
              <w:suppressLineNumbers w:val="0"/>
              <w:snapToGrid w:val="0"/>
              <w:spacing w:before="0" w:beforeAutospacing="0" w:after="0" w:afterAutospacing="0" w:line="360" w:lineRule="auto"/>
              <w:ind w:left="342"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销售货物</w:t>
            </w:r>
          </w:p>
        </w:tc>
        <w:tc>
          <w:tcPr>
            <w:tcW w:w="2718" w:type="dxa"/>
            <w:noWrap w:val="0"/>
            <w:vAlign w:val="center"/>
          </w:tcPr>
          <w:p w14:paraId="39D493A7">
            <w:pPr>
              <w:keepNext w:val="0"/>
              <w:keepLines w:val="0"/>
              <w:suppressLineNumbers w:val="0"/>
              <w:snapToGrid w:val="0"/>
              <w:spacing w:before="0" w:beforeAutospacing="0" w:after="0" w:afterAutospacing="0" w:line="360" w:lineRule="auto"/>
              <w:ind w:left="342"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数量</w:t>
            </w:r>
          </w:p>
        </w:tc>
      </w:tr>
      <w:tr w14:paraId="14D8C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019" w:type="dxa"/>
            <w:noWrap w:val="0"/>
            <w:vAlign w:val="center"/>
          </w:tcPr>
          <w:p w14:paraId="263A385B">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3324" w:type="dxa"/>
            <w:noWrap w:val="0"/>
            <w:vAlign w:val="center"/>
          </w:tcPr>
          <w:p w14:paraId="76A7E6D8">
            <w:pPr>
              <w:keepNext w:val="0"/>
              <w:keepLines w:val="0"/>
              <w:suppressLineNumbers w:val="0"/>
              <w:snapToGrid w:val="0"/>
              <w:spacing w:before="0" w:beforeAutospacing="0" w:after="0" w:afterAutospacing="0" w:line="360" w:lineRule="auto"/>
              <w:ind w:left="342" w:right="0"/>
              <w:jc w:val="center"/>
              <w:rPr>
                <w:rFonts w:hint="eastAsia" w:ascii="宋体" w:hAnsi="宋体" w:eastAsia="宋体" w:cs="宋体"/>
                <w:snapToGrid w:val="0"/>
                <w:color w:val="auto"/>
                <w:kern w:val="2"/>
                <w:sz w:val="21"/>
                <w:szCs w:val="21"/>
                <w:highlight w:val="none"/>
              </w:rPr>
            </w:pPr>
          </w:p>
        </w:tc>
        <w:tc>
          <w:tcPr>
            <w:tcW w:w="2718" w:type="dxa"/>
            <w:noWrap w:val="0"/>
            <w:vAlign w:val="center"/>
          </w:tcPr>
          <w:p w14:paraId="57D11BDB">
            <w:pPr>
              <w:keepNext w:val="0"/>
              <w:keepLines w:val="0"/>
              <w:suppressLineNumbers w:val="0"/>
              <w:snapToGrid w:val="0"/>
              <w:spacing w:before="0" w:beforeAutospacing="0" w:after="0" w:afterAutospacing="0" w:line="360" w:lineRule="auto"/>
              <w:ind w:left="342" w:right="0"/>
              <w:jc w:val="center"/>
              <w:rPr>
                <w:rFonts w:hint="eastAsia" w:ascii="宋体" w:hAnsi="宋体" w:eastAsia="宋体" w:cs="宋体"/>
                <w:snapToGrid w:val="0"/>
                <w:color w:val="auto"/>
                <w:kern w:val="2"/>
                <w:sz w:val="21"/>
                <w:szCs w:val="21"/>
                <w:highlight w:val="none"/>
              </w:rPr>
            </w:pPr>
          </w:p>
        </w:tc>
      </w:tr>
      <w:tr w14:paraId="2AE42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19" w:type="dxa"/>
            <w:noWrap w:val="0"/>
            <w:vAlign w:val="center"/>
          </w:tcPr>
          <w:p w14:paraId="05DA2E4C">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snapToGrid w:val="0"/>
                <w:color w:val="auto"/>
                <w:kern w:val="2"/>
                <w:sz w:val="21"/>
                <w:szCs w:val="21"/>
                <w:highlight w:val="none"/>
              </w:rPr>
            </w:pPr>
            <w:r>
              <w:rPr>
                <w:rFonts w:hint="eastAsia" w:ascii="宋体" w:hAnsi="宋体" w:eastAsia="宋体" w:cs="宋体"/>
                <w:color w:val="auto"/>
                <w:kern w:val="2"/>
                <w:sz w:val="21"/>
                <w:szCs w:val="21"/>
                <w:highlight w:val="none"/>
              </w:rPr>
              <w:t>……</w:t>
            </w:r>
          </w:p>
        </w:tc>
        <w:tc>
          <w:tcPr>
            <w:tcW w:w="3324" w:type="dxa"/>
            <w:noWrap w:val="0"/>
            <w:vAlign w:val="center"/>
          </w:tcPr>
          <w:p w14:paraId="002764F0">
            <w:pPr>
              <w:keepNext w:val="0"/>
              <w:keepLines w:val="0"/>
              <w:suppressLineNumbers w:val="0"/>
              <w:snapToGrid w:val="0"/>
              <w:spacing w:before="0" w:beforeAutospacing="0" w:after="0" w:afterAutospacing="0" w:line="360" w:lineRule="auto"/>
              <w:ind w:left="357" w:right="0"/>
              <w:jc w:val="center"/>
              <w:rPr>
                <w:rFonts w:hint="eastAsia" w:ascii="宋体" w:hAnsi="宋体" w:eastAsia="宋体" w:cs="宋体"/>
                <w:snapToGrid w:val="0"/>
                <w:color w:val="auto"/>
                <w:kern w:val="2"/>
                <w:sz w:val="21"/>
                <w:szCs w:val="21"/>
                <w:highlight w:val="none"/>
              </w:rPr>
            </w:pPr>
          </w:p>
        </w:tc>
        <w:tc>
          <w:tcPr>
            <w:tcW w:w="2718" w:type="dxa"/>
            <w:noWrap w:val="0"/>
            <w:vAlign w:val="center"/>
          </w:tcPr>
          <w:p w14:paraId="484F5908">
            <w:pPr>
              <w:keepNext w:val="0"/>
              <w:keepLines w:val="0"/>
              <w:suppressLineNumbers w:val="0"/>
              <w:snapToGrid w:val="0"/>
              <w:spacing w:before="0" w:beforeAutospacing="0" w:after="0" w:afterAutospacing="0" w:line="360" w:lineRule="auto"/>
              <w:ind w:left="357" w:right="0"/>
              <w:jc w:val="center"/>
              <w:rPr>
                <w:rFonts w:hint="eastAsia" w:ascii="宋体" w:hAnsi="宋体" w:eastAsia="宋体" w:cs="宋体"/>
                <w:snapToGrid w:val="0"/>
                <w:color w:val="auto"/>
                <w:kern w:val="2"/>
                <w:sz w:val="21"/>
                <w:szCs w:val="21"/>
                <w:highlight w:val="none"/>
              </w:rPr>
            </w:pPr>
          </w:p>
        </w:tc>
      </w:tr>
    </w:tbl>
    <w:p w14:paraId="10A47A03">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5、生产及管理人员</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196"/>
        <w:gridCol w:w="692"/>
        <w:gridCol w:w="692"/>
        <w:gridCol w:w="692"/>
        <w:gridCol w:w="1165"/>
        <w:gridCol w:w="1165"/>
        <w:gridCol w:w="719"/>
        <w:gridCol w:w="1104"/>
        <w:gridCol w:w="970"/>
      </w:tblGrid>
      <w:tr w14:paraId="0FF33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66" w:type="dxa"/>
            <w:noWrap w:val="0"/>
            <w:vAlign w:val="center"/>
          </w:tcPr>
          <w:p w14:paraId="64D312A6">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序号</w:t>
            </w:r>
          </w:p>
        </w:tc>
        <w:tc>
          <w:tcPr>
            <w:tcW w:w="1196" w:type="dxa"/>
            <w:noWrap w:val="0"/>
            <w:vAlign w:val="center"/>
          </w:tcPr>
          <w:p w14:paraId="7D02627D">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姓名</w:t>
            </w:r>
          </w:p>
        </w:tc>
        <w:tc>
          <w:tcPr>
            <w:tcW w:w="692" w:type="dxa"/>
            <w:noWrap w:val="0"/>
            <w:vAlign w:val="center"/>
          </w:tcPr>
          <w:p w14:paraId="6286B73E">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性别</w:t>
            </w:r>
          </w:p>
        </w:tc>
        <w:tc>
          <w:tcPr>
            <w:tcW w:w="692" w:type="dxa"/>
            <w:noWrap w:val="0"/>
            <w:vAlign w:val="center"/>
          </w:tcPr>
          <w:p w14:paraId="5A4E9C34">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年龄</w:t>
            </w:r>
          </w:p>
        </w:tc>
        <w:tc>
          <w:tcPr>
            <w:tcW w:w="692" w:type="dxa"/>
            <w:noWrap w:val="0"/>
            <w:vAlign w:val="center"/>
          </w:tcPr>
          <w:p w14:paraId="2A6BC4E7">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学历</w:t>
            </w:r>
          </w:p>
        </w:tc>
        <w:tc>
          <w:tcPr>
            <w:tcW w:w="1165" w:type="dxa"/>
            <w:noWrap w:val="0"/>
            <w:vAlign w:val="center"/>
          </w:tcPr>
          <w:p w14:paraId="30934872">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所学专业</w:t>
            </w:r>
          </w:p>
        </w:tc>
        <w:tc>
          <w:tcPr>
            <w:tcW w:w="1165" w:type="dxa"/>
            <w:noWrap w:val="0"/>
            <w:vAlign w:val="center"/>
          </w:tcPr>
          <w:p w14:paraId="01C66873">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资格/职称证书</w:t>
            </w:r>
          </w:p>
        </w:tc>
        <w:tc>
          <w:tcPr>
            <w:tcW w:w="719" w:type="dxa"/>
            <w:noWrap w:val="0"/>
            <w:vAlign w:val="center"/>
          </w:tcPr>
          <w:p w14:paraId="528E950D">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职务</w:t>
            </w:r>
          </w:p>
        </w:tc>
        <w:tc>
          <w:tcPr>
            <w:tcW w:w="1104" w:type="dxa"/>
            <w:noWrap w:val="0"/>
            <w:vAlign w:val="center"/>
          </w:tcPr>
          <w:p w14:paraId="10575D39">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从事本行业年限</w:t>
            </w:r>
          </w:p>
        </w:tc>
        <w:tc>
          <w:tcPr>
            <w:tcW w:w="970" w:type="dxa"/>
            <w:noWrap w:val="0"/>
            <w:vAlign w:val="center"/>
          </w:tcPr>
          <w:p w14:paraId="40EEDC68">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  备注</w:t>
            </w:r>
          </w:p>
        </w:tc>
      </w:tr>
      <w:tr w14:paraId="61C4B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66" w:type="dxa"/>
            <w:noWrap w:val="0"/>
            <w:vAlign w:val="center"/>
          </w:tcPr>
          <w:p w14:paraId="1A81AFA1">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196" w:type="dxa"/>
            <w:noWrap w:val="0"/>
            <w:vAlign w:val="center"/>
          </w:tcPr>
          <w:p w14:paraId="5ACDF09C">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692" w:type="dxa"/>
            <w:noWrap w:val="0"/>
            <w:vAlign w:val="center"/>
          </w:tcPr>
          <w:p w14:paraId="749F63FB">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692" w:type="dxa"/>
            <w:noWrap w:val="0"/>
            <w:vAlign w:val="center"/>
          </w:tcPr>
          <w:p w14:paraId="6E5EFCE0">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692" w:type="dxa"/>
            <w:noWrap w:val="0"/>
            <w:vAlign w:val="center"/>
          </w:tcPr>
          <w:p w14:paraId="06457F8F">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165" w:type="dxa"/>
            <w:noWrap w:val="0"/>
            <w:vAlign w:val="center"/>
          </w:tcPr>
          <w:p w14:paraId="50FCAABC">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165" w:type="dxa"/>
            <w:noWrap w:val="0"/>
            <w:vAlign w:val="center"/>
          </w:tcPr>
          <w:p w14:paraId="4EB47954">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719" w:type="dxa"/>
            <w:noWrap w:val="0"/>
            <w:vAlign w:val="center"/>
          </w:tcPr>
          <w:p w14:paraId="23E97734">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104" w:type="dxa"/>
            <w:noWrap w:val="0"/>
            <w:vAlign w:val="center"/>
          </w:tcPr>
          <w:p w14:paraId="1738544C">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970" w:type="dxa"/>
            <w:noWrap w:val="0"/>
            <w:vAlign w:val="center"/>
          </w:tcPr>
          <w:p w14:paraId="6B7F13A1">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r>
      <w:tr w14:paraId="365E5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66" w:type="dxa"/>
            <w:noWrap w:val="0"/>
            <w:vAlign w:val="center"/>
          </w:tcPr>
          <w:p w14:paraId="143E39ED">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w:t>
            </w:r>
          </w:p>
        </w:tc>
        <w:tc>
          <w:tcPr>
            <w:tcW w:w="1196" w:type="dxa"/>
            <w:noWrap w:val="0"/>
            <w:vAlign w:val="center"/>
          </w:tcPr>
          <w:p w14:paraId="05EA8450">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692" w:type="dxa"/>
            <w:noWrap w:val="0"/>
            <w:vAlign w:val="center"/>
          </w:tcPr>
          <w:p w14:paraId="37D7EF9E">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692" w:type="dxa"/>
            <w:noWrap w:val="0"/>
            <w:vAlign w:val="center"/>
          </w:tcPr>
          <w:p w14:paraId="7D95AB91">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692" w:type="dxa"/>
            <w:noWrap w:val="0"/>
            <w:vAlign w:val="center"/>
          </w:tcPr>
          <w:p w14:paraId="4DB3FBC6">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165" w:type="dxa"/>
            <w:noWrap w:val="0"/>
            <w:vAlign w:val="center"/>
          </w:tcPr>
          <w:p w14:paraId="36765CCB">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165" w:type="dxa"/>
            <w:noWrap w:val="0"/>
            <w:vAlign w:val="center"/>
          </w:tcPr>
          <w:p w14:paraId="438D4654">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719" w:type="dxa"/>
            <w:noWrap w:val="0"/>
            <w:vAlign w:val="center"/>
          </w:tcPr>
          <w:p w14:paraId="2BBFBFCB">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104" w:type="dxa"/>
            <w:noWrap w:val="0"/>
            <w:vAlign w:val="center"/>
          </w:tcPr>
          <w:p w14:paraId="3420FCF3">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970" w:type="dxa"/>
            <w:noWrap w:val="0"/>
            <w:vAlign w:val="center"/>
          </w:tcPr>
          <w:p w14:paraId="40A35FE4">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r>
    </w:tbl>
    <w:p w14:paraId="2A27521C">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6、其他情况：(公司简介、技术力量、本制造商生产投标货物的经验等)</w:t>
      </w:r>
    </w:p>
    <w:p w14:paraId="639A0626">
      <w:pPr>
        <w:pStyle w:val="19"/>
        <w:snapToGrid w:val="0"/>
        <w:spacing w:line="360" w:lineRule="auto"/>
        <w:ind w:left="0" w:leftChars="0"/>
        <w:rPr>
          <w:rFonts w:hint="eastAsia" w:ascii="宋体" w:hAnsi="宋体" w:eastAsia="宋体" w:cs="宋体"/>
          <w:color w:val="auto"/>
          <w:sz w:val="21"/>
          <w:szCs w:val="21"/>
          <w:highlight w:val="none"/>
        </w:rPr>
      </w:pPr>
    </w:p>
    <w:p w14:paraId="21261C08">
      <w:pPr>
        <w:pStyle w:val="19"/>
        <w:snapToGrid w:val="0"/>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兹证明上述声明是真实的、正确的，并提供了全部能提供的资料和数据，我们同意遵照贵方要求出示有关证明文件。</w:t>
      </w:r>
    </w:p>
    <w:p w14:paraId="61E48739">
      <w:pPr>
        <w:pStyle w:val="19"/>
        <w:snapToGrid w:val="0"/>
        <w:spacing w:line="360" w:lineRule="auto"/>
        <w:ind w:left="0" w:leftChars="0"/>
        <w:rPr>
          <w:rFonts w:hint="eastAsia" w:ascii="宋体" w:hAnsi="宋体" w:eastAsia="宋体" w:cs="宋体"/>
          <w:color w:val="auto"/>
          <w:sz w:val="21"/>
          <w:szCs w:val="21"/>
          <w:highlight w:val="none"/>
        </w:rPr>
      </w:pPr>
    </w:p>
    <w:p w14:paraId="3CD48E90">
      <w:pPr>
        <w:pStyle w:val="19"/>
        <w:snapToGrid w:val="0"/>
        <w:spacing w:line="360" w:lineRule="auto"/>
        <w:ind w:left="0" w:leftChars="0" w:firstLine="525" w:firstLineChars="2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制造商名称：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（同时加盖制造商法人公章）</w:t>
      </w:r>
    </w:p>
    <w:p w14:paraId="64014833">
      <w:pPr>
        <w:snapToGrid w:val="0"/>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zh-CN"/>
        </w:rPr>
        <w:t>制造商</w:t>
      </w:r>
      <w:r>
        <w:rPr>
          <w:rFonts w:hint="eastAsia" w:ascii="宋体" w:hAnsi="宋体" w:eastAsia="宋体" w:cs="宋体"/>
          <w:color w:val="auto"/>
          <w:sz w:val="21"/>
          <w:szCs w:val="21"/>
          <w:highlight w:val="none"/>
        </w:rPr>
        <w:t>法定代表人或被授权人：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（打印名字，并签名或盖私章）</w:t>
      </w:r>
    </w:p>
    <w:p w14:paraId="151AD93C">
      <w:pPr>
        <w:pStyle w:val="19"/>
        <w:snapToGrid w:val="0"/>
        <w:spacing w:line="360" w:lineRule="auto"/>
        <w:ind w:left="0" w:leftChars="0" w:firstLine="525" w:firstLineChars="2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签署人职务：</w:t>
      </w:r>
      <w:r>
        <w:rPr>
          <w:rFonts w:hint="eastAsia" w:ascii="宋体" w:hAnsi="宋体" w:eastAsia="宋体" w:cs="宋体"/>
          <w:color w:val="auto"/>
          <w:sz w:val="21"/>
          <w:szCs w:val="21"/>
          <w:highlight w:val="none"/>
          <w:u w:val="single"/>
        </w:rPr>
        <w:t xml:space="preserve">                                     </w:t>
      </w:r>
    </w:p>
    <w:p w14:paraId="1BD25951">
      <w:pPr>
        <w:pStyle w:val="19"/>
        <w:snapToGrid w:val="0"/>
        <w:spacing w:line="360" w:lineRule="auto"/>
        <w:ind w:left="0" w:leftChars="0"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r>
        <w:rPr>
          <w:rFonts w:hint="eastAsia" w:ascii="宋体" w:hAnsi="宋体" w:eastAsia="宋体" w:cs="宋体"/>
          <w:color w:val="auto"/>
          <w:sz w:val="21"/>
          <w:szCs w:val="21"/>
          <w:highlight w:val="none"/>
          <w:u w:val="single"/>
        </w:rPr>
        <w:t xml:space="preserve">                                           </w:t>
      </w:r>
    </w:p>
    <w:p w14:paraId="6D8E8F58">
      <w:pPr>
        <w:pStyle w:val="19"/>
        <w:snapToGrid w:val="0"/>
        <w:spacing w:line="360" w:lineRule="auto"/>
        <w:ind w:left="0" w:leftChars="0" w:firstLine="525" w:firstLineChars="2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single"/>
        </w:rPr>
        <w:t xml:space="preserve">                                           </w:t>
      </w:r>
    </w:p>
    <w:p w14:paraId="6B74FCC9">
      <w:pPr>
        <w:pStyle w:val="19"/>
        <w:snapToGrid w:val="0"/>
        <w:spacing w:line="360" w:lineRule="auto"/>
        <w:ind w:left="0" w:leftChars="0" w:firstLine="525" w:firstLineChars="2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网址：</w:t>
      </w:r>
      <w:r>
        <w:rPr>
          <w:rFonts w:hint="eastAsia" w:ascii="宋体" w:hAnsi="宋体" w:eastAsia="宋体" w:cs="宋体"/>
          <w:color w:val="auto"/>
          <w:sz w:val="21"/>
          <w:szCs w:val="21"/>
          <w:highlight w:val="none"/>
          <w:u w:val="single"/>
        </w:rPr>
        <w:t xml:space="preserve">                                           </w:t>
      </w:r>
    </w:p>
    <w:p w14:paraId="1AE22FF4">
      <w:pPr>
        <w:pStyle w:val="19"/>
        <w:snapToGrid w:val="0"/>
        <w:spacing w:line="360" w:lineRule="auto"/>
        <w:ind w:left="0" w:leftChars="0" w:firstLine="525" w:firstLineChars="2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电子邮箱：</w:t>
      </w:r>
      <w:r>
        <w:rPr>
          <w:rFonts w:hint="eastAsia" w:ascii="宋体" w:hAnsi="宋体" w:eastAsia="宋体" w:cs="宋体"/>
          <w:color w:val="auto"/>
          <w:sz w:val="21"/>
          <w:szCs w:val="21"/>
          <w:highlight w:val="none"/>
          <w:u w:val="single"/>
        </w:rPr>
        <w:t xml:space="preserve">                                       </w:t>
      </w:r>
    </w:p>
    <w:p w14:paraId="0A0CA68F">
      <w:pPr>
        <w:pStyle w:val="19"/>
        <w:snapToGrid w:val="0"/>
        <w:spacing w:line="360" w:lineRule="auto"/>
        <w:ind w:left="0" w:leftChars="0" w:firstLine="525" w:firstLineChars="2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联系地址：</w:t>
      </w:r>
      <w:r>
        <w:rPr>
          <w:rFonts w:hint="eastAsia" w:ascii="宋体" w:hAnsi="宋体" w:eastAsia="宋体" w:cs="宋体"/>
          <w:color w:val="auto"/>
          <w:sz w:val="21"/>
          <w:szCs w:val="21"/>
          <w:highlight w:val="none"/>
          <w:u w:val="single"/>
        </w:rPr>
        <w:t xml:space="preserve">                                       </w:t>
      </w:r>
    </w:p>
    <w:p w14:paraId="59A42896">
      <w:pPr>
        <w:pStyle w:val="19"/>
        <w:snapToGrid w:val="0"/>
        <w:spacing w:line="360" w:lineRule="auto"/>
        <w:ind w:left="0" w:leftChars="0" w:firstLine="525" w:firstLineChars="2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p>
    <w:p w14:paraId="023A08BB">
      <w:pPr>
        <w:widowControl/>
        <w:autoSpaceDE/>
        <w:autoSpaceDN/>
        <w:adjustRightInd/>
        <w:spacing w:line="360" w:lineRule="auto"/>
        <w:jc w:val="left"/>
        <w:rPr>
          <w:rFonts w:hint="eastAsia" w:ascii="宋体" w:hAnsi="宋体" w:eastAsia="宋体"/>
          <w:b/>
          <w:color w:val="auto"/>
          <w:szCs w:val="21"/>
          <w:highlight w:val="none"/>
        </w:rPr>
      </w:pPr>
    </w:p>
    <w:p w14:paraId="2D51F56B">
      <w:pPr>
        <w:spacing w:line="360" w:lineRule="auto"/>
        <w:jc w:val="center"/>
        <w:rPr>
          <w:rFonts w:hint="eastAsia" w:ascii="宋体" w:hAnsi="宋体" w:eastAsia="宋体" w:cs="宋体"/>
          <w:b/>
          <w:bCs/>
          <w:color w:val="auto"/>
          <w:kern w:val="2"/>
          <w:sz w:val="30"/>
          <w:szCs w:val="30"/>
          <w:highlight w:val="none"/>
          <w:lang w:val="zh-CN"/>
        </w:rPr>
      </w:pPr>
      <w:r>
        <w:rPr>
          <w:rFonts w:hint="eastAsia" w:ascii="宋体" w:hAnsi="宋体" w:eastAsia="宋体" w:cs="宋体"/>
          <w:b/>
          <w:bCs/>
          <w:color w:val="auto"/>
          <w:kern w:val="2"/>
          <w:sz w:val="30"/>
          <w:szCs w:val="30"/>
          <w:highlight w:val="none"/>
          <w:lang w:val="zh-CN"/>
        </w:rPr>
        <w:br w:type="page"/>
      </w:r>
      <w:bookmarkStart w:id="676" w:name="_Toc20148"/>
      <w:r>
        <w:rPr>
          <w:rFonts w:hint="eastAsia" w:ascii="宋体" w:hAnsi="宋体" w:eastAsia="宋体" w:cs="宋体"/>
          <w:b/>
          <w:bCs/>
          <w:color w:val="auto"/>
          <w:kern w:val="2"/>
          <w:sz w:val="30"/>
          <w:szCs w:val="30"/>
          <w:highlight w:val="none"/>
          <w:lang w:val="zh-CN"/>
        </w:rPr>
        <w:t>独家授权销售及售后服务承诺函</w:t>
      </w:r>
      <w:bookmarkEnd w:id="676"/>
    </w:p>
    <w:p w14:paraId="6D7CE055">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（备注说明：</w:t>
      </w:r>
      <w:r>
        <w:rPr>
          <w:rFonts w:hint="eastAsia" w:ascii="宋体" w:hAnsi="宋体" w:eastAsia="宋体" w:cs="宋体"/>
          <w:b/>
          <w:color w:val="auto"/>
          <w:sz w:val="21"/>
          <w:szCs w:val="21"/>
          <w:highlight w:val="none"/>
          <w:u w:val="single"/>
        </w:rPr>
        <w:t>投标人为经销商时提供本独家授权销售及售后服务承诺函</w:t>
      </w:r>
      <w:r>
        <w:rPr>
          <w:rFonts w:hint="eastAsia" w:ascii="宋体" w:hAnsi="宋体" w:eastAsia="宋体" w:cs="宋体"/>
          <w:b/>
          <w:color w:val="auto"/>
          <w:sz w:val="21"/>
          <w:szCs w:val="21"/>
          <w:highlight w:val="none"/>
        </w:rPr>
        <w:t>）</w:t>
      </w:r>
    </w:p>
    <w:p w14:paraId="7ED96FB6">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致：东莞市水务集团净水有限公司</w:t>
      </w:r>
    </w:p>
    <w:p w14:paraId="01AC315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（投标产品制造商名称）</w:t>
      </w:r>
      <w:r>
        <w:rPr>
          <w:rFonts w:hint="eastAsia" w:ascii="宋体" w:hAnsi="宋体" w:eastAsia="宋体" w:cs="宋体"/>
          <w:color w:val="auto"/>
          <w:sz w:val="21"/>
          <w:szCs w:val="21"/>
          <w:highlight w:val="none"/>
        </w:rPr>
        <w:t>是按</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（国家名称）</w:t>
      </w:r>
      <w:r>
        <w:rPr>
          <w:rFonts w:hint="eastAsia" w:ascii="宋体" w:hAnsi="宋体" w:eastAsia="宋体" w:cs="宋体"/>
          <w:color w:val="auto"/>
          <w:sz w:val="21"/>
          <w:szCs w:val="21"/>
          <w:highlight w:val="none"/>
        </w:rPr>
        <w:t>法律成立的一家公司，主要营业地址设在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。兹证明参加贵方</w:t>
      </w:r>
      <w:r>
        <w:rPr>
          <w:rFonts w:hint="eastAsia" w:ascii="宋体" w:hAnsi="宋体" w:eastAsia="宋体" w:cs="宋体"/>
          <w:color w:val="auto"/>
          <w:spacing w:val="6"/>
          <w:sz w:val="21"/>
          <w:szCs w:val="32"/>
          <w:highlight w:val="none"/>
          <w:lang w:eastAsia="zh-CN"/>
        </w:rPr>
        <w:t>东莞市水务集团净水有限公司2025年生产药剂液体柠檬酸采购项目（重新招标）</w:t>
      </w:r>
      <w:r>
        <w:rPr>
          <w:rFonts w:hint="eastAsia" w:ascii="宋体" w:hAnsi="宋体" w:eastAsia="宋体" w:cs="宋体"/>
          <w:color w:val="auto"/>
          <w:sz w:val="21"/>
          <w:szCs w:val="21"/>
          <w:highlight w:val="none"/>
        </w:rPr>
        <w:t>的按</w:t>
      </w:r>
      <w:r>
        <w:rPr>
          <w:rFonts w:hint="eastAsia" w:ascii="宋体" w:hAnsi="宋体" w:eastAsia="宋体" w:cs="宋体"/>
          <w:color w:val="auto"/>
          <w:sz w:val="21"/>
          <w:szCs w:val="21"/>
          <w:highlight w:val="none"/>
          <w:u w:val="single"/>
        </w:rPr>
        <w:t xml:space="preserve">            （国家名称）</w:t>
      </w:r>
      <w:r>
        <w:rPr>
          <w:rFonts w:hint="eastAsia" w:ascii="宋体" w:hAnsi="宋体" w:eastAsia="宋体" w:cs="宋体"/>
          <w:color w:val="auto"/>
          <w:sz w:val="21"/>
          <w:szCs w:val="21"/>
          <w:highlight w:val="none"/>
        </w:rPr>
        <w:t>法律成立的、主要营业地址在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（下称“投标人”）作为我方合法、唯一的授权参与本项目投标的经销商： </w:t>
      </w:r>
    </w:p>
    <w:p w14:paraId="7BDC731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1、我方确认，投标人就</w:t>
      </w:r>
      <w:r>
        <w:rPr>
          <w:rFonts w:hint="eastAsia" w:ascii="宋体" w:hAnsi="宋体" w:eastAsia="宋体" w:cs="宋体"/>
          <w:color w:val="auto"/>
          <w:spacing w:val="6"/>
          <w:sz w:val="21"/>
          <w:szCs w:val="32"/>
          <w:highlight w:val="none"/>
          <w:lang w:eastAsia="zh-CN"/>
        </w:rPr>
        <w:t>东莞市水务集团净水有限公司2025年生产药剂液体柠檬酸采购项目（重新招标）</w:t>
      </w:r>
      <w:r>
        <w:rPr>
          <w:rFonts w:hint="eastAsia" w:ascii="宋体" w:hAnsi="宋体" w:eastAsia="宋体" w:cs="宋体"/>
          <w:color w:val="auto"/>
          <w:sz w:val="21"/>
          <w:szCs w:val="21"/>
          <w:highlight w:val="none"/>
        </w:rPr>
        <w:t xml:space="preserve">提供货物时附带的出厂质量标准、售后服务承诺等合法有效，并对我方具有约束力。 </w:t>
      </w:r>
    </w:p>
    <w:p w14:paraId="0B0835B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2、质保期期间，质保服务包括但不限于对货物出现不符合招标文件要求或投标文件承诺或我方出厂质量标准的、有问题货物按招标文件要求及时进行免费更换。</w:t>
      </w:r>
    </w:p>
    <w:p w14:paraId="3FE39FE6">
      <w:pPr>
        <w:spacing w:line="360" w:lineRule="auto"/>
        <w:ind w:firstLine="420" w:firstLineChars="200"/>
        <w:rPr>
          <w:rFonts w:hint="eastAsia" w:ascii="宋体" w:hAnsi="宋体" w:eastAsia="宋体" w:cs="宋体"/>
          <w:color w:val="auto"/>
          <w:sz w:val="21"/>
          <w:szCs w:val="21"/>
          <w:highlight w:val="none"/>
        </w:rPr>
      </w:pPr>
      <w:bookmarkStart w:id="677" w:name="_Toc11658"/>
      <w:r>
        <w:rPr>
          <w:rFonts w:hint="eastAsia" w:ascii="宋体" w:hAnsi="宋体" w:eastAsia="宋体" w:cs="宋体"/>
          <w:color w:val="auto"/>
          <w:sz w:val="21"/>
          <w:szCs w:val="21"/>
          <w:highlight w:val="none"/>
        </w:rPr>
        <w:t>3、我方保证：我方提供的产品既非试验产品也非积压产品。</w:t>
      </w:r>
      <w:bookmarkEnd w:id="677"/>
    </w:p>
    <w:p w14:paraId="6156DCFC">
      <w:pPr>
        <w:spacing w:line="360" w:lineRule="auto"/>
        <w:ind w:firstLine="420" w:firstLineChars="200"/>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4、我方承诺将及时提醒贵方关注：相关产品的生产、供货、售后服务以及性能等方面的重大变更。</w:t>
      </w:r>
    </w:p>
    <w:p w14:paraId="004E5BDD">
      <w:pPr>
        <w:spacing w:line="360" w:lineRule="auto"/>
        <w:ind w:firstLine="420" w:firstLineChars="200"/>
        <w:rPr>
          <w:rFonts w:hint="eastAsia" w:ascii="宋体" w:hAnsi="宋体" w:eastAsia="宋体" w:cs="宋体"/>
          <w:color w:val="auto"/>
          <w:kern w:val="2"/>
          <w:sz w:val="21"/>
          <w:szCs w:val="21"/>
          <w:highlight w:val="none"/>
          <w:lang w:val="zh-CN"/>
        </w:rPr>
      </w:pPr>
      <w:bookmarkStart w:id="678" w:name="_Toc16007"/>
      <w:r>
        <w:rPr>
          <w:rFonts w:hint="eastAsia" w:ascii="宋体" w:hAnsi="宋体" w:eastAsia="宋体" w:cs="宋体"/>
          <w:color w:val="auto"/>
          <w:kern w:val="2"/>
          <w:sz w:val="21"/>
          <w:szCs w:val="21"/>
          <w:highlight w:val="none"/>
          <w:lang w:val="zh-CN"/>
        </w:rPr>
        <w:t>5、本授权函不得进行二次授权或转授权，否则无效。</w:t>
      </w:r>
      <w:bookmarkEnd w:id="678"/>
    </w:p>
    <w:p w14:paraId="0EBF6C1D">
      <w:pPr>
        <w:spacing w:line="360" w:lineRule="auto"/>
        <w:ind w:right="893"/>
        <w:jc w:val="both"/>
        <w:rPr>
          <w:rFonts w:hint="eastAsia" w:ascii="宋体" w:hAnsi="宋体" w:eastAsia="宋体" w:cs="宋体"/>
          <w:color w:val="auto"/>
          <w:kern w:val="2"/>
          <w:sz w:val="21"/>
          <w:szCs w:val="21"/>
          <w:highlight w:val="none"/>
          <w:lang w:val="zh-CN"/>
        </w:rPr>
      </w:pPr>
    </w:p>
    <w:p w14:paraId="344DCD2B">
      <w:pPr>
        <w:spacing w:line="360" w:lineRule="auto"/>
        <w:ind w:right="893"/>
        <w:jc w:val="both"/>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lang w:val="zh-CN"/>
        </w:rPr>
        <w:t>投标产品制造商名称（加盖法人公章）：</w:t>
      </w:r>
      <w:r>
        <w:rPr>
          <w:rFonts w:hint="eastAsia" w:ascii="宋体" w:hAnsi="宋体" w:eastAsia="宋体" w:cs="宋体"/>
          <w:color w:val="auto"/>
          <w:kern w:val="2"/>
          <w:sz w:val="21"/>
          <w:szCs w:val="21"/>
          <w:highlight w:val="none"/>
          <w:u w:val="single"/>
          <w:lang w:val="zh-CN"/>
        </w:rPr>
        <w:t xml:space="preserve">                         </w:t>
      </w:r>
    </w:p>
    <w:p w14:paraId="7FB0E4CB">
      <w:pPr>
        <w:spacing w:line="360" w:lineRule="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 xml:space="preserve">制造商法定代表人或被授权人（签名或盖私章）：  </w:t>
      </w:r>
      <w:r>
        <w:rPr>
          <w:rFonts w:hint="eastAsia" w:ascii="宋体" w:hAnsi="宋体" w:eastAsia="宋体" w:cs="宋体"/>
          <w:color w:val="auto"/>
          <w:kern w:val="2"/>
          <w:sz w:val="21"/>
          <w:szCs w:val="21"/>
          <w:highlight w:val="none"/>
          <w:u w:val="single"/>
          <w:lang w:val="zh-CN"/>
        </w:rPr>
        <w:t xml:space="preserve">                      </w:t>
      </w:r>
    </w:p>
    <w:p w14:paraId="52D01ABD">
      <w:pPr>
        <w:spacing w:line="360" w:lineRule="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 xml:space="preserve">签署人职务： </w:t>
      </w:r>
      <w:r>
        <w:rPr>
          <w:rFonts w:hint="eastAsia" w:ascii="宋体" w:hAnsi="宋体" w:eastAsia="宋体" w:cs="宋体"/>
          <w:color w:val="auto"/>
          <w:kern w:val="2"/>
          <w:sz w:val="21"/>
          <w:szCs w:val="21"/>
          <w:highlight w:val="none"/>
          <w:u w:val="single"/>
          <w:lang w:val="zh-CN"/>
        </w:rPr>
        <w:t xml:space="preserve">                      </w:t>
      </w:r>
    </w:p>
    <w:p w14:paraId="0450F48A">
      <w:pPr>
        <w:spacing w:line="360" w:lineRule="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电话：</w:t>
      </w:r>
      <w:r>
        <w:rPr>
          <w:rFonts w:hint="eastAsia" w:ascii="宋体" w:hAnsi="宋体" w:eastAsia="宋体" w:cs="宋体"/>
          <w:color w:val="auto"/>
          <w:kern w:val="2"/>
          <w:sz w:val="21"/>
          <w:szCs w:val="21"/>
          <w:highlight w:val="none"/>
          <w:u w:val="single"/>
          <w:lang w:val="zh-CN"/>
        </w:rPr>
        <w:t xml:space="preserve">                      </w:t>
      </w:r>
      <w:r>
        <w:rPr>
          <w:rFonts w:hint="eastAsia" w:ascii="宋体" w:hAnsi="宋体" w:eastAsia="宋体" w:cs="宋体"/>
          <w:color w:val="auto"/>
          <w:kern w:val="2"/>
          <w:sz w:val="21"/>
          <w:szCs w:val="21"/>
          <w:highlight w:val="none"/>
          <w:lang w:val="zh-CN"/>
        </w:rPr>
        <w:t xml:space="preserve">               </w:t>
      </w:r>
    </w:p>
    <w:p w14:paraId="16A2963F">
      <w:pPr>
        <w:spacing w:line="360" w:lineRule="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 xml:space="preserve">传真： </w:t>
      </w:r>
      <w:r>
        <w:rPr>
          <w:rFonts w:hint="eastAsia" w:ascii="宋体" w:hAnsi="宋体" w:eastAsia="宋体" w:cs="宋体"/>
          <w:color w:val="auto"/>
          <w:kern w:val="2"/>
          <w:sz w:val="21"/>
          <w:szCs w:val="21"/>
          <w:highlight w:val="none"/>
          <w:u w:val="single"/>
          <w:lang w:val="zh-CN"/>
        </w:rPr>
        <w:t xml:space="preserve">                      </w:t>
      </w:r>
    </w:p>
    <w:p w14:paraId="46280FFB">
      <w:pPr>
        <w:spacing w:line="360" w:lineRule="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 xml:space="preserve">地址： </w:t>
      </w:r>
      <w:r>
        <w:rPr>
          <w:rFonts w:hint="eastAsia" w:ascii="宋体" w:hAnsi="宋体" w:eastAsia="宋体" w:cs="宋体"/>
          <w:color w:val="auto"/>
          <w:kern w:val="2"/>
          <w:sz w:val="21"/>
          <w:szCs w:val="21"/>
          <w:highlight w:val="none"/>
          <w:u w:val="single"/>
          <w:lang w:val="zh-CN"/>
        </w:rPr>
        <w:t xml:space="preserve">                      </w:t>
      </w:r>
    </w:p>
    <w:p w14:paraId="53B53725">
      <w:pPr>
        <w:spacing w:line="360" w:lineRule="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 xml:space="preserve">网址： </w:t>
      </w:r>
      <w:r>
        <w:rPr>
          <w:rFonts w:hint="eastAsia" w:ascii="宋体" w:hAnsi="宋体" w:eastAsia="宋体" w:cs="宋体"/>
          <w:color w:val="auto"/>
          <w:kern w:val="2"/>
          <w:sz w:val="21"/>
          <w:szCs w:val="21"/>
          <w:highlight w:val="none"/>
          <w:u w:val="single"/>
          <w:lang w:val="zh-CN"/>
        </w:rPr>
        <w:t xml:space="preserve">                      </w:t>
      </w:r>
    </w:p>
    <w:p w14:paraId="575975A7">
      <w:pPr>
        <w:spacing w:line="360" w:lineRule="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 xml:space="preserve">电子邮箱： </w:t>
      </w:r>
      <w:r>
        <w:rPr>
          <w:rFonts w:hint="eastAsia" w:ascii="宋体" w:hAnsi="宋体" w:eastAsia="宋体" w:cs="宋体"/>
          <w:color w:val="auto"/>
          <w:kern w:val="2"/>
          <w:sz w:val="21"/>
          <w:szCs w:val="21"/>
          <w:highlight w:val="none"/>
          <w:u w:val="single"/>
          <w:lang w:val="zh-CN"/>
        </w:rPr>
        <w:t xml:space="preserve">                      </w:t>
      </w:r>
    </w:p>
    <w:p w14:paraId="43AF957D">
      <w:pPr>
        <w:spacing w:line="360" w:lineRule="auto"/>
        <w:ind w:right="893"/>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 xml:space="preserve">签发日期： </w:t>
      </w:r>
      <w:r>
        <w:rPr>
          <w:rFonts w:hint="eastAsia" w:ascii="宋体" w:hAnsi="宋体" w:eastAsia="宋体" w:cs="宋体"/>
          <w:color w:val="auto"/>
          <w:kern w:val="2"/>
          <w:sz w:val="21"/>
          <w:szCs w:val="21"/>
          <w:highlight w:val="none"/>
          <w:u w:val="single"/>
          <w:lang w:val="zh-CN"/>
        </w:rPr>
        <w:t xml:space="preserve">    </w:t>
      </w:r>
      <w:r>
        <w:rPr>
          <w:rFonts w:hint="eastAsia" w:ascii="宋体" w:hAnsi="宋体" w:eastAsia="宋体" w:cs="宋体"/>
          <w:color w:val="auto"/>
          <w:kern w:val="2"/>
          <w:sz w:val="21"/>
          <w:szCs w:val="21"/>
          <w:highlight w:val="none"/>
          <w:lang w:val="zh-CN"/>
        </w:rPr>
        <w:t>年</w:t>
      </w:r>
      <w:r>
        <w:rPr>
          <w:rFonts w:hint="eastAsia" w:ascii="宋体" w:hAnsi="宋体" w:eastAsia="宋体" w:cs="宋体"/>
          <w:color w:val="auto"/>
          <w:kern w:val="2"/>
          <w:sz w:val="21"/>
          <w:szCs w:val="21"/>
          <w:highlight w:val="none"/>
          <w:u w:val="single"/>
          <w:lang w:val="zh-CN"/>
        </w:rPr>
        <w:t xml:space="preserve">    </w:t>
      </w:r>
      <w:r>
        <w:rPr>
          <w:rFonts w:hint="eastAsia" w:ascii="宋体" w:hAnsi="宋体" w:eastAsia="宋体" w:cs="宋体"/>
          <w:color w:val="auto"/>
          <w:kern w:val="2"/>
          <w:sz w:val="21"/>
          <w:szCs w:val="21"/>
          <w:highlight w:val="none"/>
          <w:lang w:val="zh-CN"/>
        </w:rPr>
        <w:t xml:space="preserve"> 月 </w:t>
      </w:r>
      <w:r>
        <w:rPr>
          <w:rFonts w:hint="eastAsia" w:ascii="宋体" w:hAnsi="宋体" w:eastAsia="宋体" w:cs="宋体"/>
          <w:color w:val="auto"/>
          <w:kern w:val="2"/>
          <w:sz w:val="21"/>
          <w:szCs w:val="21"/>
          <w:highlight w:val="none"/>
          <w:u w:val="single"/>
          <w:lang w:val="zh-CN"/>
        </w:rPr>
        <w:t xml:space="preserve">    </w:t>
      </w:r>
      <w:r>
        <w:rPr>
          <w:rFonts w:hint="eastAsia" w:ascii="宋体" w:hAnsi="宋体" w:eastAsia="宋体" w:cs="宋体"/>
          <w:color w:val="auto"/>
          <w:kern w:val="2"/>
          <w:sz w:val="21"/>
          <w:szCs w:val="21"/>
          <w:highlight w:val="none"/>
          <w:lang w:val="zh-CN"/>
        </w:rPr>
        <w:t>日</w:t>
      </w:r>
    </w:p>
    <w:p w14:paraId="0C743AE4">
      <w:pPr>
        <w:spacing w:line="360" w:lineRule="auto"/>
        <w:ind w:right="893"/>
        <w:jc w:val="both"/>
        <w:rPr>
          <w:rFonts w:hint="eastAsia" w:ascii="宋体" w:hAnsi="宋体" w:eastAsia="宋体" w:cs="宋体"/>
          <w:color w:val="auto"/>
          <w:kern w:val="2"/>
          <w:sz w:val="21"/>
          <w:szCs w:val="21"/>
          <w:highlight w:val="none"/>
          <w:lang w:val="zh-CN"/>
        </w:rPr>
      </w:pPr>
    </w:p>
    <w:p w14:paraId="0B7826FC">
      <w:pPr>
        <w:widowControl/>
        <w:autoSpaceDE/>
        <w:autoSpaceDN/>
        <w:adjustRightInd/>
        <w:rPr>
          <w:rFonts w:hint="eastAsia" w:ascii="宋体" w:hAnsi="宋体" w:eastAsia="宋体" w:cs="宋体"/>
          <w:color w:val="auto"/>
          <w:highlight w:val="none"/>
        </w:rPr>
        <w:sectPr>
          <w:pgSz w:w="11907" w:h="16839"/>
          <w:pgMar w:top="1418" w:right="1418" w:bottom="1418" w:left="1418" w:header="720" w:footer="1005" w:gutter="0"/>
          <w:cols w:space="720" w:num="1"/>
          <w:titlePg/>
          <w:docGrid w:linePitch="326" w:charSpace="0"/>
        </w:sectPr>
      </w:pPr>
    </w:p>
    <w:p w14:paraId="6DDB1350">
      <w:pPr>
        <w:pStyle w:val="5"/>
        <w:pageBreakBefore/>
        <w:spacing w:line="360" w:lineRule="auto"/>
        <w:rPr>
          <w:rFonts w:hint="eastAsia" w:ascii="宋体" w:hAnsi="宋体" w:eastAsia="宋体" w:cs="宋体"/>
          <w:b/>
          <w:bCs/>
          <w:color w:val="auto"/>
          <w:kern w:val="2"/>
          <w:sz w:val="32"/>
          <w:szCs w:val="32"/>
          <w:highlight w:val="none"/>
          <w:lang w:val="zh-CN"/>
        </w:rPr>
      </w:pPr>
      <w:bookmarkStart w:id="679" w:name="_Toc20418"/>
      <w:bookmarkStart w:id="680" w:name="_Toc32340"/>
      <w:bookmarkStart w:id="681" w:name="_Toc10213"/>
      <w:bookmarkStart w:id="682" w:name="_Toc78709783"/>
      <w:r>
        <w:rPr>
          <w:rFonts w:hint="eastAsia" w:hAnsi="宋体" w:cs="宋体"/>
          <w:b/>
          <w:bCs/>
          <w:color w:val="auto"/>
          <w:kern w:val="2"/>
          <w:sz w:val="32"/>
          <w:szCs w:val="32"/>
          <w:highlight w:val="none"/>
          <w:lang w:val="en-US" w:eastAsia="zh-CN"/>
        </w:rPr>
        <w:t xml:space="preserve">6.5 </w:t>
      </w:r>
      <w:r>
        <w:rPr>
          <w:rFonts w:hint="eastAsia" w:ascii="宋体" w:hAnsi="宋体" w:eastAsia="宋体" w:cs="宋体"/>
          <w:b/>
          <w:bCs/>
          <w:color w:val="auto"/>
          <w:kern w:val="2"/>
          <w:sz w:val="32"/>
          <w:szCs w:val="32"/>
          <w:highlight w:val="none"/>
          <w:lang w:val="zh-CN"/>
        </w:rPr>
        <w:t>所投产品制造商具有环境管理部门核发的合法有效的环评批复复印件（批复内容须体现</w:t>
      </w:r>
      <w:r>
        <w:rPr>
          <w:rFonts w:hint="eastAsia" w:hAnsi="宋体" w:cs="宋体"/>
          <w:b/>
          <w:bCs/>
          <w:color w:val="auto"/>
          <w:kern w:val="2"/>
          <w:sz w:val="32"/>
          <w:szCs w:val="32"/>
          <w:highlight w:val="none"/>
          <w:lang w:val="en-US" w:eastAsia="zh-CN"/>
        </w:rPr>
        <w:t>含</w:t>
      </w:r>
      <w:r>
        <w:rPr>
          <w:rFonts w:hint="eastAsia" w:hAnsi="宋体" w:cs="宋体"/>
          <w:b/>
          <w:bCs/>
          <w:color w:val="auto"/>
          <w:kern w:val="2"/>
          <w:sz w:val="32"/>
          <w:szCs w:val="32"/>
          <w:highlight w:val="none"/>
          <w:lang w:val="zh-CN"/>
        </w:rPr>
        <w:t>投标产品</w:t>
      </w:r>
      <w:r>
        <w:rPr>
          <w:rFonts w:hint="eastAsia" w:ascii="宋体" w:hAnsi="宋体" w:eastAsia="宋体" w:cs="宋体"/>
          <w:b/>
          <w:bCs/>
          <w:color w:val="auto"/>
          <w:kern w:val="2"/>
          <w:sz w:val="32"/>
          <w:szCs w:val="32"/>
          <w:highlight w:val="none"/>
          <w:lang w:val="zh-CN"/>
        </w:rPr>
        <w:t>）</w:t>
      </w:r>
      <w:bookmarkEnd w:id="679"/>
      <w:bookmarkEnd w:id="680"/>
      <w:bookmarkEnd w:id="681"/>
      <w:bookmarkEnd w:id="682"/>
    </w:p>
    <w:p w14:paraId="33D4F6F0">
      <w:pPr>
        <w:rPr>
          <w:color w:val="auto"/>
          <w:highlight w:val="none"/>
        </w:rPr>
      </w:pPr>
    </w:p>
    <w:p w14:paraId="0190BD0C">
      <w:pPr>
        <w:pStyle w:val="5"/>
        <w:pageBreakBefore/>
        <w:spacing w:line="360" w:lineRule="auto"/>
        <w:rPr>
          <w:rFonts w:hint="eastAsia" w:hAnsi="宋体" w:eastAsia="宋体"/>
          <w:b/>
          <w:color w:val="auto"/>
          <w:sz w:val="30"/>
          <w:szCs w:val="30"/>
          <w:highlight w:val="none"/>
          <w:lang w:val="zh-CN" w:eastAsia="zh-CN"/>
        </w:rPr>
      </w:pPr>
      <w:bookmarkStart w:id="683" w:name="_Toc13678"/>
      <w:bookmarkStart w:id="684" w:name="_Toc20916"/>
      <w:r>
        <w:rPr>
          <w:rFonts w:hint="eastAsia" w:hAnsi="宋体"/>
          <w:b/>
          <w:bCs/>
          <w:color w:val="auto"/>
          <w:kern w:val="2"/>
          <w:sz w:val="32"/>
          <w:szCs w:val="32"/>
          <w:highlight w:val="none"/>
          <w:lang w:val="en-US" w:eastAsia="zh-CN"/>
        </w:rPr>
        <w:t xml:space="preserve">6.6 </w:t>
      </w:r>
      <w:r>
        <w:rPr>
          <w:rFonts w:hint="eastAsia" w:hAnsi="宋体"/>
          <w:b/>
          <w:bCs/>
          <w:color w:val="auto"/>
          <w:kern w:val="2"/>
          <w:sz w:val="32"/>
          <w:szCs w:val="32"/>
          <w:highlight w:val="none"/>
        </w:rPr>
        <w:t>资格业绩</w:t>
      </w:r>
      <w:r>
        <w:rPr>
          <w:rFonts w:hint="eastAsia" w:ascii="宋体" w:hAnsi="宋体" w:eastAsia="宋体"/>
          <w:b/>
          <w:bCs/>
          <w:color w:val="auto"/>
          <w:sz w:val="32"/>
          <w:szCs w:val="32"/>
          <w:highlight w:val="none"/>
        </w:rPr>
        <w:t>【</w:t>
      </w:r>
      <w:r>
        <w:rPr>
          <w:rFonts w:hint="eastAsia" w:ascii="宋体" w:hAnsi="宋体" w:eastAsia="宋体" w:cs="宋体"/>
          <w:b/>
          <w:bCs/>
          <w:color w:val="auto"/>
          <w:kern w:val="2"/>
          <w:sz w:val="32"/>
          <w:szCs w:val="32"/>
          <w:highlight w:val="none"/>
          <w:lang w:val="zh-CN" w:eastAsia="zh-CN"/>
        </w:rPr>
        <w:t>投标人</w:t>
      </w:r>
      <w:r>
        <w:rPr>
          <w:rFonts w:hint="eastAsia" w:ascii="宋体" w:hAnsi="宋体" w:eastAsia="宋体" w:cs="宋体"/>
          <w:b/>
          <w:bCs/>
          <w:color w:val="auto"/>
          <w:kern w:val="2"/>
          <w:sz w:val="32"/>
          <w:szCs w:val="32"/>
          <w:highlight w:val="none"/>
          <w:lang w:val="en-US" w:eastAsia="zh-CN"/>
        </w:rPr>
        <w:t>提供一份</w:t>
      </w:r>
      <w:r>
        <w:rPr>
          <w:rFonts w:hint="eastAsia" w:ascii="宋体" w:hAnsi="宋体" w:eastAsia="宋体" w:cs="宋体"/>
          <w:b/>
          <w:bCs/>
          <w:color w:val="auto"/>
          <w:kern w:val="2"/>
          <w:sz w:val="32"/>
          <w:szCs w:val="32"/>
          <w:highlight w:val="none"/>
          <w:lang w:val="zh-CN" w:eastAsia="zh-CN"/>
        </w:rPr>
        <w:t>202</w:t>
      </w:r>
      <w:r>
        <w:rPr>
          <w:rFonts w:hint="eastAsia" w:hAnsi="宋体" w:cs="宋体"/>
          <w:b/>
          <w:bCs/>
          <w:color w:val="auto"/>
          <w:kern w:val="2"/>
          <w:sz w:val="32"/>
          <w:szCs w:val="32"/>
          <w:highlight w:val="none"/>
          <w:lang w:val="en-US" w:eastAsia="zh-CN"/>
        </w:rPr>
        <w:t>2</w:t>
      </w:r>
      <w:r>
        <w:rPr>
          <w:rFonts w:hint="eastAsia" w:ascii="宋体" w:hAnsi="宋体" w:eastAsia="宋体" w:cs="宋体"/>
          <w:b/>
          <w:bCs/>
          <w:color w:val="auto"/>
          <w:kern w:val="2"/>
          <w:sz w:val="32"/>
          <w:szCs w:val="32"/>
          <w:highlight w:val="none"/>
          <w:lang w:val="zh-CN" w:eastAsia="zh-CN"/>
        </w:rPr>
        <w:t>年</w:t>
      </w:r>
      <w:r>
        <w:rPr>
          <w:rFonts w:hint="eastAsia" w:ascii="宋体" w:hAnsi="宋体" w:eastAsia="宋体" w:cs="宋体"/>
          <w:b/>
          <w:bCs/>
          <w:color w:val="auto"/>
          <w:kern w:val="2"/>
          <w:sz w:val="32"/>
          <w:szCs w:val="32"/>
          <w:highlight w:val="none"/>
          <w:lang w:val="en-US" w:eastAsia="zh-CN"/>
        </w:rPr>
        <w:t>1月1日</w:t>
      </w:r>
      <w:r>
        <w:rPr>
          <w:rFonts w:hint="eastAsia" w:ascii="宋体" w:hAnsi="宋体" w:eastAsia="宋体" w:cs="宋体"/>
          <w:b/>
          <w:bCs/>
          <w:color w:val="auto"/>
          <w:kern w:val="2"/>
          <w:sz w:val="32"/>
          <w:szCs w:val="32"/>
          <w:highlight w:val="none"/>
          <w:lang w:val="zh-CN" w:eastAsia="zh-CN"/>
        </w:rPr>
        <w:t>以来具有</w:t>
      </w:r>
      <w:r>
        <w:rPr>
          <w:rFonts w:hint="eastAsia" w:ascii="宋体" w:hAnsi="宋体" w:eastAsia="宋体" w:cs="宋体"/>
          <w:b/>
          <w:bCs/>
          <w:color w:val="auto"/>
          <w:kern w:val="2"/>
          <w:sz w:val="32"/>
          <w:szCs w:val="32"/>
          <w:highlight w:val="none"/>
          <w:lang w:val="en-US" w:eastAsia="zh-CN"/>
        </w:rPr>
        <w:t>投标品牌液体柠檬酸</w:t>
      </w:r>
      <w:r>
        <w:rPr>
          <w:rFonts w:hint="eastAsia" w:ascii="宋体" w:hAnsi="宋体" w:eastAsia="宋体" w:cs="宋体"/>
          <w:b/>
          <w:bCs/>
          <w:color w:val="auto"/>
          <w:kern w:val="2"/>
          <w:sz w:val="32"/>
          <w:szCs w:val="32"/>
          <w:highlight w:val="none"/>
          <w:lang w:val="zh-CN" w:eastAsia="zh-CN"/>
        </w:rPr>
        <w:t>供货业绩（</w:t>
      </w:r>
      <w:r>
        <w:rPr>
          <w:rFonts w:hint="eastAsia" w:hAnsi="宋体" w:cs="宋体"/>
          <w:b/>
          <w:bCs/>
          <w:color w:val="auto"/>
          <w:kern w:val="2"/>
          <w:sz w:val="32"/>
          <w:szCs w:val="32"/>
          <w:highlight w:val="none"/>
          <w:lang w:val="zh-CN"/>
        </w:rPr>
        <w:t>合同签订日期</w:t>
      </w:r>
      <w:r>
        <w:rPr>
          <w:rFonts w:hint="eastAsia" w:ascii="宋体" w:hAnsi="宋体" w:eastAsia="宋体" w:cs="宋体"/>
          <w:b/>
          <w:bCs/>
          <w:color w:val="auto"/>
          <w:kern w:val="2"/>
          <w:sz w:val="32"/>
          <w:szCs w:val="32"/>
          <w:highlight w:val="none"/>
          <w:lang w:val="zh-CN" w:eastAsia="zh-CN"/>
        </w:rPr>
        <w:t>为202</w:t>
      </w:r>
      <w:r>
        <w:rPr>
          <w:rFonts w:hint="eastAsia" w:hAnsi="宋体" w:cs="宋体"/>
          <w:b/>
          <w:bCs/>
          <w:color w:val="auto"/>
          <w:kern w:val="2"/>
          <w:sz w:val="32"/>
          <w:szCs w:val="32"/>
          <w:highlight w:val="none"/>
          <w:lang w:val="en-US" w:eastAsia="zh-CN"/>
        </w:rPr>
        <w:t>2</w:t>
      </w:r>
      <w:r>
        <w:rPr>
          <w:rFonts w:hint="eastAsia" w:ascii="宋体" w:hAnsi="宋体" w:eastAsia="宋体" w:cs="宋体"/>
          <w:b/>
          <w:bCs/>
          <w:color w:val="auto"/>
          <w:kern w:val="2"/>
          <w:sz w:val="32"/>
          <w:szCs w:val="32"/>
          <w:highlight w:val="none"/>
          <w:lang w:val="zh-CN" w:eastAsia="zh-CN"/>
        </w:rPr>
        <w:t>年1月1日或以后）</w:t>
      </w:r>
      <w:bookmarkEnd w:id="667"/>
      <w:bookmarkEnd w:id="668"/>
      <w:r>
        <w:rPr>
          <w:rFonts w:hint="eastAsia" w:hAnsi="宋体"/>
          <w:b/>
          <w:bCs/>
          <w:color w:val="auto"/>
          <w:sz w:val="32"/>
          <w:szCs w:val="32"/>
          <w:highlight w:val="none"/>
          <w:lang w:eastAsia="zh-CN"/>
        </w:rPr>
        <w:t>】</w:t>
      </w:r>
      <w:bookmarkEnd w:id="683"/>
      <w:bookmarkEnd w:id="684"/>
    </w:p>
    <w:p w14:paraId="15BF8502">
      <w:pPr>
        <w:spacing w:line="360" w:lineRule="auto"/>
        <w:rPr>
          <w:rFonts w:hAnsi="宋体"/>
          <w:color w:val="auto"/>
          <w:szCs w:val="21"/>
          <w:highlight w:val="none"/>
          <w:lang w:val="zh-CN"/>
        </w:rPr>
      </w:pPr>
    </w:p>
    <w:tbl>
      <w:tblPr>
        <w:tblStyle w:val="37"/>
        <w:tblW w:w="492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67"/>
        <w:gridCol w:w="1749"/>
        <w:gridCol w:w="1500"/>
        <w:gridCol w:w="1240"/>
        <w:gridCol w:w="1050"/>
        <w:gridCol w:w="832"/>
        <w:gridCol w:w="1310"/>
        <w:gridCol w:w="790"/>
      </w:tblGrid>
      <w:tr w14:paraId="48F0A5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5" w:hRule="atLeast"/>
          <w:jc w:val="center"/>
        </w:trPr>
        <w:tc>
          <w:tcPr>
            <w:tcW w:w="365" w:type="pct"/>
            <w:tcBorders>
              <w:top w:val="single" w:color="auto" w:sz="4" w:space="0"/>
              <w:left w:val="single" w:color="auto" w:sz="4" w:space="0"/>
              <w:bottom w:val="single" w:color="auto" w:sz="4" w:space="0"/>
              <w:right w:val="single" w:color="auto" w:sz="4" w:space="0"/>
            </w:tcBorders>
            <w:vAlign w:val="center"/>
          </w:tcPr>
          <w:p w14:paraId="7ABC81CB">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序号</w:t>
            </w:r>
          </w:p>
        </w:tc>
        <w:tc>
          <w:tcPr>
            <w:tcW w:w="956" w:type="pct"/>
            <w:tcBorders>
              <w:top w:val="single" w:color="auto" w:sz="4" w:space="0"/>
              <w:left w:val="single" w:color="auto" w:sz="4" w:space="0"/>
              <w:bottom w:val="single" w:color="auto" w:sz="4" w:space="0"/>
              <w:right w:val="single" w:color="auto" w:sz="4" w:space="0"/>
            </w:tcBorders>
            <w:vAlign w:val="center"/>
          </w:tcPr>
          <w:p w14:paraId="38110F47">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项目</w:t>
            </w:r>
          </w:p>
          <w:p w14:paraId="570BC187">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名称</w:t>
            </w:r>
          </w:p>
        </w:tc>
        <w:tc>
          <w:tcPr>
            <w:tcW w:w="820" w:type="pct"/>
            <w:tcBorders>
              <w:top w:val="single" w:color="auto" w:sz="4" w:space="0"/>
              <w:left w:val="single" w:color="auto" w:sz="4" w:space="0"/>
              <w:bottom w:val="single" w:color="auto" w:sz="4" w:space="0"/>
              <w:right w:val="single" w:color="auto" w:sz="4" w:space="0"/>
            </w:tcBorders>
            <w:vAlign w:val="center"/>
          </w:tcPr>
          <w:p w14:paraId="0D988D07">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合同标的货物名称</w:t>
            </w:r>
          </w:p>
        </w:tc>
        <w:tc>
          <w:tcPr>
            <w:tcW w:w="678" w:type="pct"/>
            <w:tcBorders>
              <w:top w:val="single" w:color="auto" w:sz="4" w:space="0"/>
              <w:left w:val="single" w:color="auto" w:sz="4" w:space="0"/>
              <w:bottom w:val="single" w:color="auto" w:sz="4" w:space="0"/>
              <w:right w:val="single" w:color="auto" w:sz="4" w:space="0"/>
            </w:tcBorders>
            <w:vAlign w:val="center"/>
          </w:tcPr>
          <w:p w14:paraId="66A7907A">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lang w:val="zh-CN"/>
              </w:rPr>
            </w:pPr>
            <w:r>
              <w:rPr>
                <w:rFonts w:hint="eastAsia" w:ascii="宋体" w:hAnsi="宋体" w:eastAsia="宋体" w:cs="宋体"/>
                <w:color w:val="auto"/>
                <w:kern w:val="0"/>
                <w:szCs w:val="21"/>
                <w:highlight w:val="none"/>
              </w:rPr>
              <w:t>合同标的货物品牌</w:t>
            </w:r>
          </w:p>
        </w:tc>
        <w:tc>
          <w:tcPr>
            <w:tcW w:w="574" w:type="pct"/>
            <w:tcBorders>
              <w:top w:val="single" w:color="auto" w:sz="4" w:space="0"/>
              <w:left w:val="single" w:color="auto" w:sz="4" w:space="0"/>
              <w:bottom w:val="single" w:color="auto" w:sz="4" w:space="0"/>
              <w:right w:val="single" w:color="auto" w:sz="4" w:space="0"/>
            </w:tcBorders>
            <w:vAlign w:val="center"/>
          </w:tcPr>
          <w:p w14:paraId="76D60DB3">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签约</w:t>
            </w:r>
          </w:p>
          <w:p w14:paraId="329EEB69">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日期</w:t>
            </w:r>
          </w:p>
        </w:tc>
        <w:tc>
          <w:tcPr>
            <w:tcW w:w="455" w:type="pct"/>
            <w:tcBorders>
              <w:top w:val="single" w:color="auto" w:sz="4" w:space="0"/>
              <w:left w:val="single" w:color="auto" w:sz="4" w:space="0"/>
              <w:bottom w:val="single" w:color="auto" w:sz="4" w:space="0"/>
              <w:right w:val="single" w:color="auto" w:sz="4" w:space="0"/>
            </w:tcBorders>
            <w:vAlign w:val="center"/>
          </w:tcPr>
          <w:p w14:paraId="04E63386">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完成</w:t>
            </w:r>
          </w:p>
          <w:p w14:paraId="736EB857">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情况</w:t>
            </w:r>
          </w:p>
        </w:tc>
        <w:tc>
          <w:tcPr>
            <w:tcW w:w="716" w:type="pct"/>
            <w:tcBorders>
              <w:top w:val="single" w:color="auto" w:sz="4" w:space="0"/>
              <w:left w:val="single" w:color="auto" w:sz="4" w:space="0"/>
              <w:bottom w:val="single" w:color="auto" w:sz="4" w:space="0"/>
              <w:right w:val="single" w:color="auto" w:sz="4" w:space="0"/>
            </w:tcBorders>
            <w:vAlign w:val="center"/>
          </w:tcPr>
          <w:p w14:paraId="1685A637">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买方单位联系人及电话</w:t>
            </w:r>
          </w:p>
        </w:tc>
        <w:tc>
          <w:tcPr>
            <w:tcW w:w="432" w:type="pct"/>
            <w:tcBorders>
              <w:top w:val="single" w:color="auto" w:sz="4" w:space="0"/>
              <w:left w:val="single" w:color="auto" w:sz="4" w:space="0"/>
              <w:bottom w:val="single" w:color="auto" w:sz="4" w:space="0"/>
              <w:right w:val="single" w:color="auto" w:sz="4" w:space="0"/>
            </w:tcBorders>
            <w:vAlign w:val="center"/>
          </w:tcPr>
          <w:p w14:paraId="6FADF626">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备注</w:t>
            </w:r>
          </w:p>
        </w:tc>
      </w:tr>
      <w:tr w14:paraId="3B2F52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365" w:type="pct"/>
            <w:tcBorders>
              <w:top w:val="single" w:color="auto" w:sz="4" w:space="0"/>
              <w:left w:val="single" w:color="auto" w:sz="4" w:space="0"/>
              <w:bottom w:val="single" w:color="auto" w:sz="4" w:space="0"/>
              <w:right w:val="single" w:color="auto" w:sz="4" w:space="0"/>
            </w:tcBorders>
            <w:vAlign w:val="center"/>
          </w:tcPr>
          <w:p w14:paraId="0A701C0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lang w:val="zh-CN"/>
              </w:rPr>
            </w:pPr>
            <w:r>
              <w:rPr>
                <w:rFonts w:hint="default" w:ascii="宋体" w:hAnsi="宋体" w:eastAsia="宋体" w:cs="Times New Roman"/>
                <w:color w:val="auto"/>
                <w:kern w:val="0"/>
                <w:szCs w:val="21"/>
                <w:highlight w:val="none"/>
                <w:lang w:val="zh-CN"/>
              </w:rPr>
              <w:t>1</w:t>
            </w:r>
          </w:p>
        </w:tc>
        <w:tc>
          <w:tcPr>
            <w:tcW w:w="956" w:type="pct"/>
            <w:tcBorders>
              <w:top w:val="single" w:color="auto" w:sz="4" w:space="0"/>
              <w:left w:val="single" w:color="auto" w:sz="4" w:space="0"/>
              <w:bottom w:val="single" w:color="auto" w:sz="4" w:space="0"/>
              <w:right w:val="single" w:color="auto" w:sz="4" w:space="0"/>
            </w:tcBorders>
            <w:vAlign w:val="center"/>
          </w:tcPr>
          <w:p w14:paraId="2B383E90">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820" w:type="pct"/>
            <w:tcBorders>
              <w:top w:val="single" w:color="auto" w:sz="4" w:space="0"/>
              <w:left w:val="single" w:color="auto" w:sz="4" w:space="0"/>
              <w:bottom w:val="single" w:color="auto" w:sz="4" w:space="0"/>
              <w:right w:val="single" w:color="auto" w:sz="4" w:space="0"/>
            </w:tcBorders>
            <w:vAlign w:val="center"/>
          </w:tcPr>
          <w:p w14:paraId="414E1F6B">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678" w:type="pct"/>
            <w:tcBorders>
              <w:top w:val="single" w:color="auto" w:sz="4" w:space="0"/>
              <w:left w:val="single" w:color="auto" w:sz="4" w:space="0"/>
              <w:bottom w:val="single" w:color="auto" w:sz="4" w:space="0"/>
              <w:right w:val="single" w:color="auto" w:sz="4" w:space="0"/>
            </w:tcBorders>
            <w:vAlign w:val="center"/>
          </w:tcPr>
          <w:p w14:paraId="5005BF88">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574" w:type="pct"/>
            <w:tcBorders>
              <w:top w:val="single" w:color="auto" w:sz="4" w:space="0"/>
              <w:left w:val="single" w:color="auto" w:sz="4" w:space="0"/>
              <w:bottom w:val="single" w:color="auto" w:sz="4" w:space="0"/>
              <w:right w:val="single" w:color="auto" w:sz="4" w:space="0"/>
            </w:tcBorders>
            <w:vAlign w:val="center"/>
          </w:tcPr>
          <w:p w14:paraId="0072896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455" w:type="pct"/>
            <w:tcBorders>
              <w:top w:val="single" w:color="auto" w:sz="4" w:space="0"/>
              <w:left w:val="single" w:color="auto" w:sz="4" w:space="0"/>
              <w:bottom w:val="single" w:color="auto" w:sz="4" w:space="0"/>
              <w:right w:val="single" w:color="auto" w:sz="4" w:space="0"/>
            </w:tcBorders>
            <w:vAlign w:val="center"/>
          </w:tcPr>
          <w:p w14:paraId="71AFCDEC">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716" w:type="pct"/>
            <w:tcBorders>
              <w:top w:val="single" w:color="auto" w:sz="4" w:space="0"/>
              <w:left w:val="single" w:color="auto" w:sz="4" w:space="0"/>
              <w:bottom w:val="single" w:color="auto" w:sz="4" w:space="0"/>
              <w:right w:val="single" w:color="auto" w:sz="4" w:space="0"/>
            </w:tcBorders>
            <w:vAlign w:val="center"/>
          </w:tcPr>
          <w:p w14:paraId="1E1E6DC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432" w:type="pct"/>
            <w:tcBorders>
              <w:top w:val="single" w:color="auto" w:sz="4" w:space="0"/>
              <w:left w:val="single" w:color="auto" w:sz="4" w:space="0"/>
              <w:bottom w:val="single" w:color="auto" w:sz="4" w:space="0"/>
              <w:right w:val="single" w:color="auto" w:sz="4" w:space="0"/>
            </w:tcBorders>
            <w:vAlign w:val="center"/>
          </w:tcPr>
          <w:p w14:paraId="75DA65AE">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r>
      <w:tr w14:paraId="7F2AD2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6" w:hRule="atLeast"/>
          <w:jc w:val="center"/>
        </w:trPr>
        <w:tc>
          <w:tcPr>
            <w:tcW w:w="365" w:type="pct"/>
            <w:tcBorders>
              <w:top w:val="single" w:color="auto" w:sz="4" w:space="0"/>
              <w:left w:val="single" w:color="auto" w:sz="4" w:space="0"/>
              <w:bottom w:val="single" w:color="auto" w:sz="4" w:space="0"/>
              <w:right w:val="single" w:color="auto" w:sz="4" w:space="0"/>
            </w:tcBorders>
            <w:vAlign w:val="center"/>
          </w:tcPr>
          <w:p w14:paraId="196635B0">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lang w:val="zh-CN"/>
              </w:rPr>
            </w:pPr>
            <w:r>
              <w:rPr>
                <w:rFonts w:hint="default" w:ascii="宋体" w:hAnsi="宋体" w:eastAsia="宋体" w:cs="Times New Roman"/>
                <w:color w:val="auto"/>
                <w:kern w:val="0"/>
                <w:szCs w:val="21"/>
                <w:highlight w:val="none"/>
                <w:lang w:val="zh-CN"/>
              </w:rPr>
              <w:t>2</w:t>
            </w:r>
          </w:p>
        </w:tc>
        <w:tc>
          <w:tcPr>
            <w:tcW w:w="956" w:type="pct"/>
            <w:tcBorders>
              <w:top w:val="single" w:color="auto" w:sz="4" w:space="0"/>
              <w:left w:val="single" w:color="auto" w:sz="4" w:space="0"/>
              <w:bottom w:val="single" w:color="auto" w:sz="4" w:space="0"/>
              <w:right w:val="single" w:color="auto" w:sz="4" w:space="0"/>
            </w:tcBorders>
            <w:vAlign w:val="center"/>
          </w:tcPr>
          <w:p w14:paraId="5BA9994B">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820" w:type="pct"/>
            <w:tcBorders>
              <w:top w:val="single" w:color="auto" w:sz="4" w:space="0"/>
              <w:left w:val="single" w:color="auto" w:sz="4" w:space="0"/>
              <w:bottom w:val="single" w:color="auto" w:sz="4" w:space="0"/>
              <w:right w:val="single" w:color="auto" w:sz="4" w:space="0"/>
            </w:tcBorders>
            <w:vAlign w:val="center"/>
          </w:tcPr>
          <w:p w14:paraId="75CDCECF">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678" w:type="pct"/>
            <w:tcBorders>
              <w:top w:val="single" w:color="auto" w:sz="4" w:space="0"/>
              <w:left w:val="single" w:color="auto" w:sz="4" w:space="0"/>
              <w:bottom w:val="single" w:color="auto" w:sz="4" w:space="0"/>
              <w:right w:val="single" w:color="auto" w:sz="4" w:space="0"/>
            </w:tcBorders>
            <w:vAlign w:val="center"/>
          </w:tcPr>
          <w:p w14:paraId="6F57A873">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574" w:type="pct"/>
            <w:tcBorders>
              <w:top w:val="single" w:color="auto" w:sz="4" w:space="0"/>
              <w:left w:val="single" w:color="auto" w:sz="4" w:space="0"/>
              <w:bottom w:val="single" w:color="auto" w:sz="4" w:space="0"/>
              <w:right w:val="single" w:color="auto" w:sz="4" w:space="0"/>
            </w:tcBorders>
            <w:vAlign w:val="center"/>
          </w:tcPr>
          <w:p w14:paraId="08FD44E3">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455" w:type="pct"/>
            <w:tcBorders>
              <w:top w:val="single" w:color="auto" w:sz="4" w:space="0"/>
              <w:left w:val="single" w:color="auto" w:sz="4" w:space="0"/>
              <w:bottom w:val="single" w:color="auto" w:sz="4" w:space="0"/>
              <w:right w:val="single" w:color="auto" w:sz="4" w:space="0"/>
            </w:tcBorders>
            <w:vAlign w:val="center"/>
          </w:tcPr>
          <w:p w14:paraId="09EC487F">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716" w:type="pct"/>
            <w:tcBorders>
              <w:top w:val="single" w:color="auto" w:sz="4" w:space="0"/>
              <w:left w:val="single" w:color="auto" w:sz="4" w:space="0"/>
              <w:bottom w:val="single" w:color="auto" w:sz="4" w:space="0"/>
              <w:right w:val="single" w:color="auto" w:sz="4" w:space="0"/>
            </w:tcBorders>
            <w:vAlign w:val="center"/>
          </w:tcPr>
          <w:p w14:paraId="78C6DDF2">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432" w:type="pct"/>
            <w:tcBorders>
              <w:top w:val="single" w:color="auto" w:sz="4" w:space="0"/>
              <w:left w:val="single" w:color="auto" w:sz="4" w:space="0"/>
              <w:bottom w:val="single" w:color="auto" w:sz="4" w:space="0"/>
              <w:right w:val="single" w:color="auto" w:sz="4" w:space="0"/>
            </w:tcBorders>
            <w:vAlign w:val="center"/>
          </w:tcPr>
          <w:p w14:paraId="60B46E29">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r>
      <w:tr w14:paraId="2A857A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8" w:hRule="atLeast"/>
          <w:jc w:val="center"/>
        </w:trPr>
        <w:tc>
          <w:tcPr>
            <w:tcW w:w="365" w:type="pct"/>
            <w:tcBorders>
              <w:top w:val="single" w:color="auto" w:sz="4" w:space="0"/>
              <w:left w:val="single" w:color="auto" w:sz="4" w:space="0"/>
              <w:bottom w:val="single" w:color="auto" w:sz="4" w:space="0"/>
              <w:right w:val="single" w:color="auto" w:sz="4" w:space="0"/>
            </w:tcBorders>
            <w:vAlign w:val="center"/>
          </w:tcPr>
          <w:p w14:paraId="4CE1FA79">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lang w:val="zh-CN"/>
              </w:rPr>
            </w:pPr>
            <w:r>
              <w:rPr>
                <w:rFonts w:hint="default" w:ascii="宋体" w:hAnsi="宋体" w:eastAsia="宋体" w:cs="Times New Roman"/>
                <w:color w:val="auto"/>
                <w:kern w:val="0"/>
                <w:szCs w:val="21"/>
                <w:highlight w:val="none"/>
                <w:lang w:val="zh-CN"/>
              </w:rPr>
              <w:t>3</w:t>
            </w:r>
          </w:p>
        </w:tc>
        <w:tc>
          <w:tcPr>
            <w:tcW w:w="956" w:type="pct"/>
            <w:tcBorders>
              <w:top w:val="single" w:color="auto" w:sz="4" w:space="0"/>
              <w:left w:val="single" w:color="auto" w:sz="4" w:space="0"/>
              <w:bottom w:val="single" w:color="auto" w:sz="4" w:space="0"/>
              <w:right w:val="single" w:color="auto" w:sz="4" w:space="0"/>
            </w:tcBorders>
            <w:vAlign w:val="center"/>
          </w:tcPr>
          <w:p w14:paraId="21F8813D">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820" w:type="pct"/>
            <w:tcBorders>
              <w:top w:val="single" w:color="auto" w:sz="4" w:space="0"/>
              <w:left w:val="single" w:color="auto" w:sz="4" w:space="0"/>
              <w:bottom w:val="single" w:color="auto" w:sz="4" w:space="0"/>
              <w:right w:val="single" w:color="auto" w:sz="4" w:space="0"/>
            </w:tcBorders>
            <w:vAlign w:val="center"/>
          </w:tcPr>
          <w:p w14:paraId="673F2E14">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678" w:type="pct"/>
            <w:tcBorders>
              <w:top w:val="single" w:color="auto" w:sz="4" w:space="0"/>
              <w:left w:val="single" w:color="auto" w:sz="4" w:space="0"/>
              <w:bottom w:val="single" w:color="auto" w:sz="4" w:space="0"/>
              <w:right w:val="single" w:color="auto" w:sz="4" w:space="0"/>
            </w:tcBorders>
            <w:vAlign w:val="center"/>
          </w:tcPr>
          <w:p w14:paraId="56167880">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574" w:type="pct"/>
            <w:tcBorders>
              <w:top w:val="single" w:color="auto" w:sz="4" w:space="0"/>
              <w:left w:val="single" w:color="auto" w:sz="4" w:space="0"/>
              <w:bottom w:val="single" w:color="auto" w:sz="4" w:space="0"/>
              <w:right w:val="single" w:color="auto" w:sz="4" w:space="0"/>
            </w:tcBorders>
            <w:vAlign w:val="center"/>
          </w:tcPr>
          <w:p w14:paraId="339B4780">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455" w:type="pct"/>
            <w:tcBorders>
              <w:top w:val="single" w:color="auto" w:sz="4" w:space="0"/>
              <w:left w:val="single" w:color="auto" w:sz="4" w:space="0"/>
              <w:bottom w:val="single" w:color="auto" w:sz="4" w:space="0"/>
              <w:right w:val="single" w:color="auto" w:sz="4" w:space="0"/>
            </w:tcBorders>
            <w:vAlign w:val="center"/>
          </w:tcPr>
          <w:p w14:paraId="6F56CE2C">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716" w:type="pct"/>
            <w:tcBorders>
              <w:top w:val="single" w:color="auto" w:sz="4" w:space="0"/>
              <w:left w:val="single" w:color="auto" w:sz="4" w:space="0"/>
              <w:bottom w:val="single" w:color="auto" w:sz="4" w:space="0"/>
              <w:right w:val="single" w:color="auto" w:sz="4" w:space="0"/>
            </w:tcBorders>
            <w:vAlign w:val="center"/>
          </w:tcPr>
          <w:p w14:paraId="02F15DE6">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432" w:type="pct"/>
            <w:tcBorders>
              <w:top w:val="single" w:color="auto" w:sz="4" w:space="0"/>
              <w:left w:val="single" w:color="auto" w:sz="4" w:space="0"/>
              <w:bottom w:val="single" w:color="auto" w:sz="4" w:space="0"/>
              <w:right w:val="single" w:color="auto" w:sz="4" w:space="0"/>
            </w:tcBorders>
            <w:vAlign w:val="center"/>
          </w:tcPr>
          <w:p w14:paraId="4857C8FE">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r>
      <w:tr w14:paraId="582385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3" w:hRule="atLeast"/>
          <w:jc w:val="center"/>
        </w:trPr>
        <w:tc>
          <w:tcPr>
            <w:tcW w:w="365" w:type="pct"/>
            <w:tcBorders>
              <w:top w:val="single" w:color="auto" w:sz="4" w:space="0"/>
              <w:left w:val="single" w:color="auto" w:sz="4" w:space="0"/>
              <w:bottom w:val="single" w:color="auto" w:sz="4" w:space="0"/>
              <w:right w:val="single" w:color="auto" w:sz="4" w:space="0"/>
            </w:tcBorders>
            <w:vAlign w:val="center"/>
          </w:tcPr>
          <w:p w14:paraId="1633C0D3">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r>
              <w:rPr>
                <w:rFonts w:hint="default" w:ascii="宋体" w:hAnsi="宋体" w:eastAsia="宋体" w:cs="Courier New"/>
                <w:color w:val="auto"/>
                <w:kern w:val="0"/>
                <w:szCs w:val="21"/>
                <w:highlight w:val="none"/>
              </w:rPr>
              <w:t>…</w:t>
            </w:r>
          </w:p>
        </w:tc>
        <w:tc>
          <w:tcPr>
            <w:tcW w:w="956" w:type="pct"/>
            <w:tcBorders>
              <w:top w:val="single" w:color="auto" w:sz="4" w:space="0"/>
              <w:left w:val="single" w:color="auto" w:sz="4" w:space="0"/>
              <w:bottom w:val="single" w:color="auto" w:sz="4" w:space="0"/>
              <w:right w:val="single" w:color="auto" w:sz="4" w:space="0"/>
            </w:tcBorders>
            <w:vAlign w:val="center"/>
          </w:tcPr>
          <w:p w14:paraId="11D363EE">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820" w:type="pct"/>
            <w:tcBorders>
              <w:top w:val="single" w:color="auto" w:sz="4" w:space="0"/>
              <w:left w:val="single" w:color="auto" w:sz="4" w:space="0"/>
              <w:bottom w:val="single" w:color="auto" w:sz="4" w:space="0"/>
              <w:right w:val="single" w:color="auto" w:sz="4" w:space="0"/>
            </w:tcBorders>
            <w:vAlign w:val="center"/>
          </w:tcPr>
          <w:p w14:paraId="6E5A8CE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678" w:type="pct"/>
            <w:tcBorders>
              <w:top w:val="single" w:color="auto" w:sz="4" w:space="0"/>
              <w:left w:val="single" w:color="auto" w:sz="4" w:space="0"/>
              <w:bottom w:val="single" w:color="auto" w:sz="4" w:space="0"/>
              <w:right w:val="single" w:color="auto" w:sz="4" w:space="0"/>
            </w:tcBorders>
            <w:vAlign w:val="center"/>
          </w:tcPr>
          <w:p w14:paraId="58C64584">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574" w:type="pct"/>
            <w:tcBorders>
              <w:top w:val="single" w:color="auto" w:sz="4" w:space="0"/>
              <w:left w:val="single" w:color="auto" w:sz="4" w:space="0"/>
              <w:bottom w:val="single" w:color="auto" w:sz="4" w:space="0"/>
              <w:right w:val="single" w:color="auto" w:sz="4" w:space="0"/>
            </w:tcBorders>
            <w:vAlign w:val="center"/>
          </w:tcPr>
          <w:p w14:paraId="6A372B10">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455" w:type="pct"/>
            <w:tcBorders>
              <w:top w:val="single" w:color="auto" w:sz="4" w:space="0"/>
              <w:left w:val="single" w:color="auto" w:sz="4" w:space="0"/>
              <w:bottom w:val="single" w:color="auto" w:sz="4" w:space="0"/>
              <w:right w:val="single" w:color="auto" w:sz="4" w:space="0"/>
            </w:tcBorders>
            <w:vAlign w:val="center"/>
          </w:tcPr>
          <w:p w14:paraId="11EDED4D">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716" w:type="pct"/>
            <w:tcBorders>
              <w:top w:val="single" w:color="auto" w:sz="4" w:space="0"/>
              <w:left w:val="single" w:color="auto" w:sz="4" w:space="0"/>
              <w:bottom w:val="single" w:color="auto" w:sz="4" w:space="0"/>
              <w:right w:val="single" w:color="auto" w:sz="4" w:space="0"/>
            </w:tcBorders>
            <w:vAlign w:val="center"/>
          </w:tcPr>
          <w:p w14:paraId="351AD60F">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432" w:type="pct"/>
            <w:tcBorders>
              <w:top w:val="single" w:color="auto" w:sz="4" w:space="0"/>
              <w:left w:val="single" w:color="auto" w:sz="4" w:space="0"/>
              <w:bottom w:val="single" w:color="auto" w:sz="4" w:space="0"/>
              <w:right w:val="single" w:color="auto" w:sz="4" w:space="0"/>
            </w:tcBorders>
            <w:vAlign w:val="center"/>
          </w:tcPr>
          <w:p w14:paraId="5F28E97E">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r>
    </w:tbl>
    <w:p w14:paraId="7554D8A6">
      <w:pPr>
        <w:spacing w:line="360" w:lineRule="auto"/>
        <w:ind w:left="424" w:hanging="424" w:hangingChars="201"/>
        <w:rPr>
          <w:rFonts w:hint="eastAsia" w:ascii="宋体" w:hAnsi="宋体" w:eastAsia="宋体" w:cs="宋体"/>
          <w:b/>
          <w:color w:val="auto"/>
          <w:szCs w:val="21"/>
          <w:highlight w:val="none"/>
          <w:lang w:val="zh-CN"/>
        </w:rPr>
      </w:pPr>
    </w:p>
    <w:p w14:paraId="68DE1DFB">
      <w:pPr>
        <w:spacing w:line="360" w:lineRule="auto"/>
        <w:ind w:left="424" w:hanging="424" w:hangingChars="201"/>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资格业绩证明材料提交要求：</w:t>
      </w:r>
    </w:p>
    <w:p w14:paraId="2135F388">
      <w:pPr>
        <w:spacing w:line="360" w:lineRule="auto"/>
        <w:ind w:left="422" w:hanging="422" w:hangingChars="201"/>
        <w:rPr>
          <w:rFonts w:hint="eastAsia" w:ascii="宋体" w:hAnsi="宋体" w:eastAsia="宋体" w:cs="宋体"/>
          <w:color w:val="auto"/>
          <w:szCs w:val="21"/>
          <w:highlight w:val="none"/>
          <w:lang w:val="zh-CN"/>
        </w:rPr>
      </w:pPr>
      <w:bookmarkStart w:id="685" w:name="_Toc6736"/>
      <w:r>
        <w:rPr>
          <w:rFonts w:hint="eastAsia" w:ascii="宋体" w:hAnsi="宋体" w:eastAsia="宋体" w:cs="宋体"/>
          <w:color w:val="auto"/>
          <w:szCs w:val="21"/>
          <w:highlight w:val="none"/>
          <w:lang w:val="zh-CN"/>
        </w:rPr>
        <w:t>（1）业绩须附合同复印件；</w:t>
      </w:r>
      <w:bookmarkEnd w:id="685"/>
    </w:p>
    <w:p w14:paraId="0BD63A6F">
      <w:pPr>
        <w:autoSpaceDE/>
        <w:autoSpaceDN/>
        <w:adjustRightInd/>
        <w:spacing w:line="360" w:lineRule="auto"/>
        <w:ind w:left="422" w:hanging="422" w:hangingChars="201"/>
        <w:jc w:val="left"/>
        <w:outlineLvl w:val="9"/>
        <w:rPr>
          <w:rFonts w:hint="eastAsia"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（2）若合同无法反映资格条件（卖方为投标人、合同签订日期为202</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val="zh-CN"/>
        </w:rPr>
        <w:t>年1月1日或以后、合同标的必须包含投标品牌</w:t>
      </w:r>
      <w:r>
        <w:rPr>
          <w:rFonts w:hint="eastAsia" w:ascii="宋体" w:hAnsi="宋体" w:eastAsia="宋体" w:cs="宋体"/>
          <w:color w:val="auto"/>
          <w:sz w:val="21"/>
          <w:szCs w:val="21"/>
          <w:highlight w:val="none"/>
          <w:lang w:eastAsia="zh-CN"/>
        </w:rPr>
        <w:t>液体柠檬酸</w:t>
      </w:r>
      <w:r>
        <w:rPr>
          <w:rFonts w:hint="eastAsia" w:ascii="宋体" w:hAnsi="宋体" w:eastAsia="宋体" w:cs="宋体"/>
          <w:color w:val="auto"/>
          <w:szCs w:val="21"/>
          <w:highlight w:val="none"/>
          <w:lang w:val="zh-CN"/>
        </w:rPr>
        <w:t>）的，还需提供产品购买方出具的书面补充说明文件复印件作为辅助证明（补充说明文件复印件能显示购买方公章）；</w:t>
      </w:r>
      <w:bookmarkStart w:id="686" w:name="_Toc14967"/>
      <w:bookmarkStart w:id="687" w:name="_Toc6253"/>
    </w:p>
    <w:p w14:paraId="3D92DC35">
      <w:pPr>
        <w:spacing w:line="360" w:lineRule="auto"/>
        <w:ind w:left="422" w:hanging="424" w:hangingChars="201"/>
        <w:rPr>
          <w:rFonts w:ascii="宋体" w:hAnsi="宋体" w:eastAsia="宋体" w:cs="宋体"/>
          <w:b/>
          <w:color w:val="auto"/>
          <w:kern w:val="0"/>
          <w:sz w:val="30"/>
          <w:szCs w:val="30"/>
          <w:highlight w:val="none"/>
        </w:rPr>
      </w:pPr>
      <w:bookmarkStart w:id="688" w:name="_Toc17416"/>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3</w:t>
      </w:r>
      <w:r>
        <w:rPr>
          <w:rFonts w:hint="eastAsia" w:ascii="宋体" w:hAnsi="宋体" w:eastAsia="宋体" w:cs="宋体"/>
          <w:b/>
          <w:color w:val="auto"/>
          <w:szCs w:val="21"/>
          <w:highlight w:val="none"/>
          <w:lang w:val="zh-CN"/>
        </w:rPr>
        <w:t>）</w:t>
      </w:r>
      <w:bookmarkEnd w:id="686"/>
      <w:bookmarkEnd w:id="687"/>
      <w:r>
        <w:rPr>
          <w:rFonts w:hint="eastAsia" w:ascii="宋体" w:hAnsi="宋体" w:eastAsia="宋体" w:cs="宋体"/>
          <w:b/>
          <w:color w:val="auto"/>
          <w:szCs w:val="21"/>
          <w:highlight w:val="none"/>
          <w:lang w:val="zh-CN"/>
        </w:rPr>
        <w:t>未按上述要求在此格式下提供证明材料的业绩，或在此格式下所附材料无法证明符合资格要求的业绩，按无效投标文件处理。</w:t>
      </w:r>
      <w:bookmarkEnd w:id="688"/>
    </w:p>
    <w:p w14:paraId="63F50E3A">
      <w:pPr>
        <w:rPr>
          <w:rFonts w:ascii="宋体" w:hAnsi="宋体" w:eastAsia="宋体" w:cs="宋体"/>
          <w:b/>
          <w:color w:val="auto"/>
          <w:kern w:val="0"/>
          <w:sz w:val="30"/>
          <w:szCs w:val="30"/>
          <w:highlight w:val="none"/>
        </w:rPr>
      </w:pPr>
      <w:r>
        <w:rPr>
          <w:rFonts w:ascii="宋体" w:hAnsi="宋体" w:eastAsia="宋体" w:cs="宋体"/>
          <w:b/>
          <w:color w:val="auto"/>
          <w:kern w:val="0"/>
          <w:sz w:val="30"/>
          <w:szCs w:val="30"/>
          <w:highlight w:val="none"/>
        </w:rPr>
        <w:br w:type="page"/>
      </w:r>
    </w:p>
    <w:p w14:paraId="4C9274FD">
      <w:pPr>
        <w:tabs>
          <w:tab w:val="left" w:pos="567"/>
        </w:tabs>
        <w:autoSpaceDE w:val="0"/>
        <w:autoSpaceDN w:val="0"/>
        <w:adjustRightInd w:val="0"/>
        <w:spacing w:line="360" w:lineRule="auto"/>
        <w:jc w:val="left"/>
        <w:outlineLvl w:val="2"/>
        <w:rPr>
          <w:rFonts w:ascii="宋体" w:hAnsi="宋体" w:eastAsia="宋体" w:cs="Times New Roman"/>
          <w:b/>
          <w:bCs/>
          <w:color w:val="auto"/>
          <w:sz w:val="32"/>
          <w:szCs w:val="32"/>
          <w:highlight w:val="none"/>
          <w:lang w:val="zh-CN"/>
        </w:rPr>
      </w:pPr>
      <w:bookmarkStart w:id="689" w:name="_Toc31879"/>
      <w:bookmarkStart w:id="690" w:name="_Toc8979"/>
      <w:bookmarkStart w:id="691" w:name="_Toc6485"/>
      <w:bookmarkStart w:id="692" w:name="_Toc6391"/>
      <w:r>
        <w:rPr>
          <w:rFonts w:hint="eastAsia" w:ascii="宋体" w:hAnsi="宋体" w:eastAsia="宋体" w:cs="宋体"/>
          <w:b/>
          <w:color w:val="auto"/>
          <w:kern w:val="0"/>
          <w:sz w:val="30"/>
          <w:szCs w:val="30"/>
          <w:highlight w:val="none"/>
          <w:lang w:val="en-US" w:eastAsia="zh-CN"/>
        </w:rPr>
        <w:t xml:space="preserve">6.7 </w:t>
      </w:r>
      <w:r>
        <w:rPr>
          <w:rFonts w:hint="eastAsia" w:ascii="宋体" w:hAnsi="宋体" w:eastAsia="宋体" w:cs="宋体"/>
          <w:b/>
          <w:color w:val="auto"/>
          <w:kern w:val="0"/>
          <w:sz w:val="30"/>
          <w:szCs w:val="30"/>
          <w:highlight w:val="none"/>
        </w:rPr>
        <w:t>最近3年投标人牵涉的其他（失信和违法）处罚说明格式</w:t>
      </w:r>
      <w:bookmarkEnd w:id="669"/>
      <w:bookmarkEnd w:id="670"/>
      <w:bookmarkEnd w:id="671"/>
      <w:bookmarkEnd w:id="672"/>
      <w:bookmarkEnd w:id="673"/>
      <w:bookmarkEnd w:id="689"/>
      <w:bookmarkEnd w:id="690"/>
      <w:bookmarkEnd w:id="691"/>
      <w:bookmarkEnd w:id="692"/>
    </w:p>
    <w:p w14:paraId="6849A2E9">
      <w:pPr>
        <w:autoSpaceDE w:val="0"/>
        <w:autoSpaceDN w:val="0"/>
        <w:adjustRightInd w:val="0"/>
        <w:spacing w:line="360" w:lineRule="auto"/>
        <w:jc w:val="center"/>
        <w:rPr>
          <w:rFonts w:ascii="宋体" w:hAnsi="宋体" w:eastAsia="宋体" w:cs="宋体"/>
          <w:color w:val="auto"/>
          <w:kern w:val="0"/>
          <w:sz w:val="24"/>
          <w:szCs w:val="24"/>
          <w:highlight w:val="none"/>
        </w:rPr>
      </w:pPr>
      <w:r>
        <w:rPr>
          <w:rFonts w:hint="eastAsia" w:ascii="宋体" w:hAnsi="宋体" w:eastAsia="宋体" w:cs="宋体"/>
          <w:b/>
          <w:color w:val="auto"/>
          <w:kern w:val="0"/>
          <w:sz w:val="30"/>
          <w:szCs w:val="30"/>
          <w:highlight w:val="none"/>
        </w:rPr>
        <w:t>最近3年投标人牵涉的其他（失信和违法）</w:t>
      </w:r>
      <w:r>
        <w:rPr>
          <w:rFonts w:hint="eastAsia" w:ascii="宋体" w:hAnsi="宋体" w:eastAsia="宋体" w:cs="宋体"/>
          <w:b/>
          <w:bCs/>
          <w:color w:val="auto"/>
          <w:sz w:val="32"/>
          <w:szCs w:val="32"/>
          <w:highlight w:val="none"/>
          <w:lang w:val="zh-CN"/>
        </w:rPr>
        <w:t>处罚说明</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14:paraId="4985E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vAlign w:val="center"/>
          </w:tcPr>
          <w:p w14:paraId="3B8C05EC">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事项名称</w:t>
            </w:r>
          </w:p>
        </w:tc>
        <w:tc>
          <w:tcPr>
            <w:tcW w:w="1417" w:type="dxa"/>
            <w:vAlign w:val="center"/>
          </w:tcPr>
          <w:p w14:paraId="09289E76">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认定时间</w:t>
            </w:r>
          </w:p>
        </w:tc>
        <w:tc>
          <w:tcPr>
            <w:tcW w:w="2268" w:type="dxa"/>
          </w:tcPr>
          <w:p w14:paraId="4068E49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处罚期届满异常名录信息失效时间</w:t>
            </w:r>
          </w:p>
        </w:tc>
        <w:tc>
          <w:tcPr>
            <w:tcW w:w="1276" w:type="dxa"/>
            <w:vAlign w:val="center"/>
          </w:tcPr>
          <w:p w14:paraId="245782D9">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14:paraId="6D46B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vAlign w:val="center"/>
          </w:tcPr>
          <w:p w14:paraId="3309C1DD">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是否被认定为失信被执行人</w:t>
            </w:r>
          </w:p>
        </w:tc>
        <w:tc>
          <w:tcPr>
            <w:tcW w:w="1417" w:type="dxa"/>
            <w:vAlign w:val="center"/>
          </w:tcPr>
          <w:p w14:paraId="6380DDC5">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268" w:type="dxa"/>
            <w:vAlign w:val="center"/>
          </w:tcPr>
          <w:p w14:paraId="72E4231F">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1276" w:type="dxa"/>
            <w:vAlign w:val="center"/>
          </w:tcPr>
          <w:p w14:paraId="2D541577">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r w14:paraId="63F7C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vAlign w:val="center"/>
          </w:tcPr>
          <w:p w14:paraId="334AB3EE">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是否被认定为重大税收违法失信主体</w:t>
            </w:r>
          </w:p>
        </w:tc>
        <w:tc>
          <w:tcPr>
            <w:tcW w:w="1417" w:type="dxa"/>
            <w:vAlign w:val="center"/>
          </w:tcPr>
          <w:p w14:paraId="7F691E95">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268" w:type="dxa"/>
            <w:vAlign w:val="center"/>
          </w:tcPr>
          <w:p w14:paraId="5E2AB5A4">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1276" w:type="dxa"/>
            <w:vAlign w:val="center"/>
          </w:tcPr>
          <w:p w14:paraId="58FC64B1">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r w14:paraId="48CDF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vAlign w:val="center"/>
          </w:tcPr>
          <w:p w14:paraId="459B6D1D">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w:t>
            </w:r>
            <w:r>
              <w:rPr>
                <w:rFonts w:hint="eastAsia" w:ascii="宋体" w:hAnsi="宋体" w:eastAsia="宋体" w:cs="宋体"/>
                <w:color w:val="auto"/>
                <w:kern w:val="0"/>
                <w:szCs w:val="21"/>
                <w:highlight w:val="none"/>
                <w:lang w:val="en-US" w:eastAsia="zh-CN"/>
              </w:rPr>
              <w:t>政府采购</w:t>
            </w:r>
            <w:r>
              <w:rPr>
                <w:rFonts w:hint="eastAsia" w:ascii="宋体" w:hAnsi="宋体" w:eastAsia="宋体" w:cs="宋体"/>
                <w:color w:val="auto"/>
                <w:kern w:val="0"/>
                <w:szCs w:val="21"/>
                <w:highlight w:val="none"/>
              </w:rPr>
              <w:t>严重违法失信行为记录名单</w:t>
            </w:r>
          </w:p>
        </w:tc>
        <w:tc>
          <w:tcPr>
            <w:tcW w:w="1417" w:type="dxa"/>
            <w:vAlign w:val="center"/>
          </w:tcPr>
          <w:p w14:paraId="1F8DC6FD">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268" w:type="dxa"/>
            <w:vAlign w:val="center"/>
          </w:tcPr>
          <w:p w14:paraId="7F336177">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1276" w:type="dxa"/>
            <w:vAlign w:val="center"/>
          </w:tcPr>
          <w:p w14:paraId="00798FC1">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bl>
    <w:p w14:paraId="6EDC9717">
      <w:pPr>
        <w:autoSpaceDE w:val="0"/>
        <w:autoSpaceDN w:val="0"/>
        <w:adjustRightInd w:val="0"/>
        <w:spacing w:line="360" w:lineRule="auto"/>
        <w:jc w:val="left"/>
        <w:rPr>
          <w:rFonts w:ascii="宋体" w:hAnsi="宋体" w:eastAsia="宋体" w:cs="宋体"/>
          <w:color w:val="auto"/>
          <w:kern w:val="0"/>
          <w:szCs w:val="21"/>
          <w:highlight w:val="none"/>
        </w:rPr>
      </w:pPr>
    </w:p>
    <w:p w14:paraId="23BA787B">
      <w:pPr>
        <w:autoSpaceDE w:val="0"/>
        <w:autoSpaceDN w:val="0"/>
        <w:adjustRightInd w:val="0"/>
        <w:spacing w:line="360" w:lineRule="auto"/>
        <w:jc w:val="left"/>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备注：根据投标人及其不具有独立法人资格的分支机构的实际情况自行编写，无相关事项的，在 “认定时间”列填“无”；若受到相关处罚的应附处罚相关材料复印件；若出现相关处罚的处罚期满,但处罚公示没有及时更新的情况,投标人须提供相关材料(复印件)佐证，需原件备查</w:t>
      </w:r>
      <w:r>
        <w:rPr>
          <w:rFonts w:hint="eastAsia" w:ascii="宋体" w:hAnsi="宋体" w:eastAsia="宋体" w:cs="宋体"/>
          <w:color w:val="auto"/>
          <w:szCs w:val="21"/>
          <w:highlight w:val="none"/>
          <w:lang w:val="zh-CN"/>
        </w:rPr>
        <w:t>。</w:t>
      </w:r>
    </w:p>
    <w:p w14:paraId="3CCA9201">
      <w:pPr>
        <w:autoSpaceDE w:val="0"/>
        <w:autoSpaceDN w:val="0"/>
        <w:adjustRightInd w:val="0"/>
        <w:ind w:right="-23" w:rightChars="-11"/>
        <w:jc w:val="left"/>
        <w:rPr>
          <w:rFonts w:ascii="宋体" w:hAnsi="宋体" w:eastAsia="宋体" w:cs="Times New Roman"/>
          <w:b/>
          <w:bCs/>
          <w:color w:val="auto"/>
          <w:kern w:val="0"/>
          <w:szCs w:val="21"/>
          <w:highlight w:val="none"/>
          <w:lang w:val="zh-CN"/>
        </w:rPr>
      </w:pPr>
    </w:p>
    <w:p w14:paraId="157ECA96">
      <w:pPr>
        <w:autoSpaceDE w:val="0"/>
        <w:autoSpaceDN w:val="0"/>
        <w:adjustRightInd w:val="0"/>
        <w:spacing w:line="360" w:lineRule="auto"/>
        <w:jc w:val="center"/>
        <w:rPr>
          <w:rFonts w:ascii="宋体" w:hAnsi="宋体" w:eastAsia="宋体" w:cs="宋体"/>
          <w:color w:val="auto"/>
          <w:kern w:val="0"/>
          <w:sz w:val="24"/>
          <w:szCs w:val="24"/>
          <w:highlight w:val="none"/>
        </w:rPr>
      </w:pPr>
    </w:p>
    <w:p w14:paraId="3276DA1E">
      <w:pPr>
        <w:spacing w:line="360" w:lineRule="auto"/>
        <w:ind w:firstLine="494" w:firstLineChars="206"/>
        <w:rPr>
          <w:rFonts w:ascii="宋体" w:hAnsi="宋体" w:eastAsia="宋体" w:cs="宋体"/>
          <w:color w:val="auto"/>
          <w:kern w:val="0"/>
          <w:sz w:val="24"/>
          <w:szCs w:val="24"/>
          <w:highlight w:val="none"/>
        </w:rPr>
      </w:pPr>
    </w:p>
    <w:p w14:paraId="40EBC6FD">
      <w:pPr>
        <w:spacing w:line="360" w:lineRule="auto"/>
        <w:ind w:firstLine="494" w:firstLineChars="206"/>
        <w:rPr>
          <w:rFonts w:ascii="宋体" w:hAnsi="宋体" w:eastAsia="宋体" w:cs="宋体"/>
          <w:color w:val="auto"/>
          <w:kern w:val="0"/>
          <w:sz w:val="24"/>
          <w:szCs w:val="24"/>
          <w:highlight w:val="none"/>
        </w:rPr>
      </w:pPr>
    </w:p>
    <w:p w14:paraId="5B103558">
      <w:pPr>
        <w:spacing w:line="360" w:lineRule="auto"/>
        <w:ind w:firstLine="494" w:firstLineChars="206"/>
        <w:rPr>
          <w:rFonts w:ascii="宋体" w:hAnsi="宋体" w:eastAsia="宋体" w:cs="宋体"/>
          <w:color w:val="auto"/>
          <w:kern w:val="0"/>
          <w:sz w:val="24"/>
          <w:szCs w:val="24"/>
          <w:highlight w:val="none"/>
        </w:rPr>
      </w:pPr>
    </w:p>
    <w:p w14:paraId="2236F142">
      <w:pPr>
        <w:spacing w:line="360" w:lineRule="auto"/>
        <w:ind w:right="368" w:rightChars="175" w:firstLine="5460" w:firstLineChars="260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14:paraId="34A1742E">
      <w:pPr>
        <w:autoSpaceDE w:val="0"/>
        <w:autoSpaceDN w:val="0"/>
        <w:adjustRightInd w:val="0"/>
        <w:spacing w:line="360" w:lineRule="auto"/>
        <w:ind w:right="781" w:rightChars="372" w:firstLine="2811" w:firstLineChars="133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w:t>
      </w:r>
      <w:r>
        <w:rPr>
          <w:rFonts w:ascii="宋体" w:hAnsi="宋体" w:eastAsia="宋体" w:cs="宋体"/>
          <w:color w:val="auto"/>
          <w:szCs w:val="24"/>
          <w:highlight w:val="none"/>
          <w:lang w:val="zh-CN"/>
        </w:rPr>
        <w:t xml:space="preserve">            </w:t>
      </w:r>
      <w:r>
        <w:rPr>
          <w:rFonts w:hint="eastAsia" w:ascii="宋体" w:hAnsi="宋体" w:eastAsia="宋体" w:cs="宋体"/>
          <w:color w:val="auto"/>
          <w:szCs w:val="24"/>
          <w:highlight w:val="none"/>
          <w:lang w:val="zh-CN"/>
        </w:rPr>
        <w:t>日  期：   年  月  日</w:t>
      </w:r>
    </w:p>
    <w:p w14:paraId="594D1031">
      <w:pPr>
        <w:rPr>
          <w:rFonts w:ascii="宋体" w:hAnsi="宋体" w:eastAsia="宋体" w:cs="宋体"/>
          <w:color w:val="auto"/>
          <w:szCs w:val="24"/>
          <w:highlight w:val="none"/>
          <w:lang w:val="zh-CN"/>
        </w:rPr>
      </w:pPr>
      <w:r>
        <w:rPr>
          <w:rFonts w:ascii="宋体" w:hAnsi="宋体" w:eastAsia="宋体" w:cs="宋体"/>
          <w:color w:val="auto"/>
          <w:szCs w:val="24"/>
          <w:highlight w:val="none"/>
          <w:lang w:val="zh-CN"/>
        </w:rPr>
        <w:br w:type="page"/>
      </w:r>
      <w:bookmarkStart w:id="693" w:name="_Toc102860079"/>
      <w:bookmarkStart w:id="694" w:name="_Toc486167714"/>
      <w:bookmarkStart w:id="695" w:name="_Toc102860423"/>
      <w:bookmarkStart w:id="696" w:name="_Toc533708126"/>
      <w:bookmarkStart w:id="697" w:name="_Toc2031_WPSOffice_Level2"/>
      <w:bookmarkStart w:id="698" w:name="_Toc104991881"/>
      <w:bookmarkStart w:id="699" w:name="_Toc140596934"/>
      <w:bookmarkStart w:id="700" w:name="_Toc142508374"/>
      <w:bookmarkStart w:id="701" w:name="_Toc1977731"/>
      <w:bookmarkStart w:id="702" w:name="_Toc13237"/>
      <w:bookmarkStart w:id="703" w:name="_Toc94107215"/>
    </w:p>
    <w:p w14:paraId="5CA83FD2">
      <w:pPr>
        <w:autoSpaceDE w:val="0"/>
        <w:autoSpaceDN w:val="0"/>
        <w:adjustRightInd w:val="0"/>
        <w:spacing w:line="360" w:lineRule="auto"/>
        <w:ind w:firstLine="0" w:firstLineChars="0"/>
        <w:jc w:val="left"/>
        <w:outlineLvl w:val="1"/>
        <w:rPr>
          <w:rFonts w:ascii="宋体" w:hAnsi="宋体" w:eastAsia="宋体" w:cs="Times New Roman"/>
          <w:color w:val="auto"/>
          <w:kern w:val="0"/>
          <w:szCs w:val="21"/>
          <w:highlight w:val="none"/>
          <w:u w:val="single"/>
        </w:rPr>
      </w:pPr>
      <w:bookmarkStart w:id="704" w:name="_Toc11148"/>
      <w:bookmarkStart w:id="705" w:name="_Toc21072"/>
      <w:bookmarkStart w:id="706" w:name="_Toc28471"/>
      <w:r>
        <w:rPr>
          <w:rFonts w:hint="eastAsia" w:ascii="宋体" w:hAnsi="宋体" w:eastAsia="宋体" w:cs="宋体"/>
          <w:b/>
          <w:color w:val="auto"/>
          <w:sz w:val="32"/>
          <w:szCs w:val="32"/>
          <w:highlight w:val="none"/>
          <w:lang w:val="en-US" w:eastAsia="zh-CN"/>
        </w:rPr>
        <w:t>七</w:t>
      </w:r>
      <w:r>
        <w:rPr>
          <w:rFonts w:hint="eastAsia" w:ascii="宋体" w:hAnsi="宋体" w:eastAsia="宋体" w:cs="宋体"/>
          <w:b/>
          <w:color w:val="auto"/>
          <w:kern w:val="0"/>
          <w:sz w:val="32"/>
          <w:szCs w:val="32"/>
          <w:highlight w:val="none"/>
        </w:rPr>
        <w:t>、投标人基本情况一览表</w:t>
      </w:r>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p>
    <w:p w14:paraId="10CEAEC4">
      <w:pPr>
        <w:autoSpaceDE w:val="0"/>
        <w:autoSpaceDN w:val="0"/>
        <w:adjustRightInd w:val="0"/>
        <w:spacing w:line="360" w:lineRule="auto"/>
        <w:jc w:val="center"/>
        <w:rPr>
          <w:rFonts w:hint="eastAsia" w:ascii="宋体" w:hAnsi="宋体" w:eastAsia="宋体" w:cs="宋体"/>
          <w:b/>
          <w:color w:val="auto"/>
          <w:kern w:val="0"/>
          <w:sz w:val="30"/>
          <w:szCs w:val="30"/>
          <w:highlight w:val="none"/>
        </w:rPr>
      </w:pPr>
      <w:bookmarkStart w:id="707" w:name="_Toc2773_WPSOffice_Level3"/>
      <w:bookmarkStart w:id="708" w:name="_Toc12935"/>
      <w:r>
        <w:rPr>
          <w:rFonts w:hint="eastAsia" w:ascii="宋体" w:hAnsi="宋体" w:eastAsia="宋体" w:cs="宋体"/>
          <w:b/>
          <w:color w:val="auto"/>
          <w:kern w:val="0"/>
          <w:sz w:val="30"/>
          <w:szCs w:val="30"/>
          <w:highlight w:val="none"/>
          <w:lang w:val="zh-CN"/>
        </w:rPr>
        <w:t>投标人基本情况一览表</w:t>
      </w:r>
      <w:bookmarkEnd w:id="707"/>
      <w:bookmarkEnd w:id="708"/>
    </w:p>
    <w:p w14:paraId="082F7B12">
      <w:pPr>
        <w:autoSpaceDE w:val="0"/>
        <w:autoSpaceDN w:val="0"/>
        <w:adjustRightInd w:val="0"/>
        <w:spacing w:line="360" w:lineRule="auto"/>
        <w:ind w:firstLine="420"/>
        <w:rPr>
          <w:rFonts w:ascii="宋体" w:hAnsi="宋体" w:eastAsia="宋体" w:cs="宋体"/>
          <w:color w:val="auto"/>
          <w:szCs w:val="21"/>
          <w:highlight w:val="none"/>
        </w:rPr>
      </w:pPr>
      <w:bookmarkStart w:id="709" w:name="_Toc3858"/>
      <w:r>
        <w:rPr>
          <w:rFonts w:hint="eastAsia" w:ascii="宋体" w:hAnsi="宋体" w:eastAsia="宋体" w:cs="宋体"/>
          <w:color w:val="auto"/>
          <w:szCs w:val="21"/>
          <w:highlight w:val="none"/>
          <w:lang w:val="zh-CN"/>
        </w:rPr>
        <w:t>1．</w:t>
      </w:r>
      <w:r>
        <w:rPr>
          <w:rFonts w:hint="eastAsia" w:ascii="宋体" w:hAnsi="宋体" w:eastAsia="宋体" w:cs="宋体"/>
          <w:color w:val="auto"/>
          <w:szCs w:val="24"/>
          <w:highlight w:val="none"/>
          <w:lang w:val="zh-CN"/>
        </w:rPr>
        <w:t>名称</w:t>
      </w:r>
      <w:r>
        <w:rPr>
          <w:rFonts w:hint="eastAsia" w:ascii="宋体" w:hAnsi="宋体" w:eastAsia="宋体" w:cs="宋体"/>
          <w:color w:val="auto"/>
          <w:szCs w:val="21"/>
          <w:highlight w:val="none"/>
          <w:lang w:val="zh-CN"/>
        </w:rPr>
        <w:t>及概况：</w:t>
      </w:r>
      <w:bookmarkEnd w:id="709"/>
    </w:p>
    <w:p w14:paraId="2B1C23E8">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（1）投标人名称：________________________________________</w:t>
      </w:r>
    </w:p>
    <w:p w14:paraId="0D02759D">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（2）总部地址：__________________________________________</w:t>
      </w:r>
    </w:p>
    <w:p w14:paraId="46F697D4">
      <w:pPr>
        <w:autoSpaceDE w:val="0"/>
        <w:autoSpaceDN w:val="0"/>
        <w:adjustRightInd w:val="0"/>
        <w:spacing w:line="360" w:lineRule="auto"/>
        <w:ind w:firstLine="66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邮政编码：__________________________________________</w:t>
      </w:r>
    </w:p>
    <w:p w14:paraId="58BD2368">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电话号码：__________________________________________ </w:t>
      </w:r>
    </w:p>
    <w:p w14:paraId="10169419">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传真号码：__________________________________________ </w:t>
      </w:r>
    </w:p>
    <w:p w14:paraId="335A64FF">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（3）成立和／或注册日期：________________________________</w:t>
      </w:r>
    </w:p>
    <w:p w14:paraId="16A12744">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（4）法人代表：_____________________________________ ____</w:t>
      </w:r>
    </w:p>
    <w:p w14:paraId="0CC048BD">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（5）开户银行：__________________________________________</w:t>
      </w:r>
    </w:p>
    <w:p w14:paraId="2FF6CCE6">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（6）开户账号：__________________________________________</w:t>
      </w:r>
    </w:p>
    <w:p w14:paraId="35DABD08">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（7）注册资金：__________________________________________</w:t>
      </w:r>
    </w:p>
    <w:p w14:paraId="7148843D">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（8）主要负责人姓名：____________________________________</w:t>
      </w:r>
    </w:p>
    <w:p w14:paraId="64383542">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（9）项目主要联系人（姓名、职务、通讯）：_________________   </w:t>
      </w:r>
    </w:p>
    <w:p w14:paraId="0DB5305F">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（10）在中国的代表的姓名和地址（如有）：__________________</w:t>
      </w:r>
    </w:p>
    <w:p w14:paraId="35E8231B">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2．供征询之银行的名称和地址：____________________________</w:t>
      </w:r>
    </w:p>
    <w:p w14:paraId="75E0204D">
      <w:pPr>
        <w:autoSpaceDE w:val="0"/>
        <w:autoSpaceDN w:val="0"/>
        <w:adjustRightInd w:val="0"/>
        <w:spacing w:line="360" w:lineRule="auto"/>
        <w:rPr>
          <w:rFonts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    3．公司所隶属之国际集团名称（如果是）____________________</w:t>
      </w:r>
    </w:p>
    <w:p w14:paraId="5282C6EB">
      <w:pPr>
        <w:autoSpaceDE w:val="0"/>
        <w:autoSpaceDN w:val="0"/>
        <w:adjustRightInd w:val="0"/>
        <w:spacing w:line="360" w:lineRule="auto"/>
        <w:ind w:firstLine="420"/>
        <w:rPr>
          <w:rFonts w:ascii="宋体" w:hAnsi="宋体" w:eastAsia="宋体" w:cs="宋体"/>
          <w:color w:val="auto"/>
          <w:szCs w:val="24"/>
          <w:highlight w:val="none"/>
        </w:rPr>
      </w:pPr>
      <w:bookmarkStart w:id="710" w:name="_Toc23565"/>
      <w:r>
        <w:rPr>
          <w:rFonts w:hint="eastAsia" w:ascii="宋体" w:hAnsi="宋体" w:eastAsia="宋体" w:cs="宋体"/>
          <w:color w:val="auto"/>
          <w:szCs w:val="24"/>
          <w:highlight w:val="none"/>
          <w:lang w:val="zh-CN"/>
        </w:rPr>
        <w:t>4. 提交资料（包括但不限于组织架构、公司简介等）：</w:t>
      </w:r>
      <w:bookmarkEnd w:id="710"/>
    </w:p>
    <w:p w14:paraId="3A8C8A63">
      <w:pPr>
        <w:autoSpaceDE w:val="0"/>
        <w:autoSpaceDN w:val="0"/>
        <w:adjustRightInd w:val="0"/>
        <w:spacing w:line="360" w:lineRule="auto"/>
        <w:ind w:firstLine="420"/>
        <w:rPr>
          <w:rFonts w:ascii="宋体" w:hAnsi="宋体" w:eastAsia="宋体" w:cs="宋体"/>
          <w:color w:val="auto"/>
          <w:szCs w:val="24"/>
          <w:highlight w:val="none"/>
          <w:lang w:val="zh-CN"/>
        </w:rPr>
      </w:pPr>
      <w:bookmarkStart w:id="711" w:name="_Toc32435"/>
      <w:r>
        <w:rPr>
          <w:rFonts w:hint="eastAsia" w:ascii="宋体" w:hAnsi="宋体" w:eastAsia="宋体" w:cs="宋体"/>
          <w:color w:val="auto"/>
          <w:szCs w:val="24"/>
          <w:highlight w:val="none"/>
          <w:lang w:val="zh-CN"/>
        </w:rPr>
        <w:t>（1）公司简介；</w:t>
      </w:r>
      <w:bookmarkEnd w:id="711"/>
    </w:p>
    <w:p w14:paraId="6A1BBAC9">
      <w:pPr>
        <w:autoSpaceDE w:val="0"/>
        <w:autoSpaceDN w:val="0"/>
        <w:adjustRightInd w:val="0"/>
        <w:spacing w:line="360" w:lineRule="auto"/>
        <w:ind w:firstLine="1155" w:firstLineChars="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__________________________________________________</w:t>
      </w:r>
    </w:p>
    <w:p w14:paraId="59C9DBC5">
      <w:pPr>
        <w:autoSpaceDE w:val="0"/>
        <w:autoSpaceDN w:val="0"/>
        <w:adjustRightInd w:val="0"/>
        <w:spacing w:line="360" w:lineRule="auto"/>
        <w:ind w:firstLine="420"/>
        <w:rPr>
          <w:rFonts w:ascii="宋体" w:hAnsi="宋体" w:eastAsia="宋体" w:cs="宋体"/>
          <w:color w:val="auto"/>
          <w:szCs w:val="24"/>
          <w:highlight w:val="none"/>
          <w:lang w:val="zh-CN"/>
        </w:rPr>
      </w:pPr>
      <w:bookmarkStart w:id="712" w:name="_Toc9645"/>
      <w:r>
        <w:rPr>
          <w:rFonts w:hint="eastAsia" w:ascii="宋体" w:hAnsi="宋体" w:eastAsia="宋体" w:cs="宋体"/>
          <w:color w:val="auto"/>
          <w:szCs w:val="24"/>
          <w:highlight w:val="none"/>
          <w:lang w:val="zh-CN"/>
        </w:rPr>
        <w:t>（2）公司组织架构；</w:t>
      </w:r>
      <w:bookmarkEnd w:id="712"/>
    </w:p>
    <w:p w14:paraId="6B1E0AEF">
      <w:pPr>
        <w:autoSpaceDE w:val="0"/>
        <w:autoSpaceDN w:val="0"/>
        <w:adjustRightInd w:val="0"/>
        <w:spacing w:line="360" w:lineRule="auto"/>
        <w:ind w:firstLine="1155" w:firstLineChars="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w:t>
      </w:r>
      <w:r>
        <w:rPr>
          <w:rFonts w:hint="eastAsia" w:ascii="宋体" w:hAnsi="宋体" w:eastAsia="宋体" w:cs="宋体"/>
          <w:color w:val="auto"/>
          <w:szCs w:val="24"/>
          <w:highlight w:val="none"/>
          <w:u w:val="single"/>
          <w:lang w:val="zh-CN"/>
        </w:rPr>
        <w:t xml:space="preserve">__ </w:t>
      </w:r>
    </w:p>
    <w:p w14:paraId="43D07B73">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（3）东莞市内设有分支机构情况介绍[应提供该分支机构的多证合一营业执照复印件等证明材料]（若无前述分支机构的无需介绍）。</w:t>
      </w:r>
    </w:p>
    <w:p w14:paraId="3830CE44">
      <w:pPr>
        <w:autoSpaceDE w:val="0"/>
        <w:autoSpaceDN w:val="0"/>
        <w:adjustRightInd w:val="0"/>
        <w:spacing w:line="360" w:lineRule="auto"/>
        <w:ind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兹证明上述说明是真实、正确的，并提供了全部能提供的资料和数据，我们同意遵照贵方要求出示有关证明文件。</w:t>
      </w:r>
    </w:p>
    <w:p w14:paraId="52FBE8D3">
      <w:pPr>
        <w:autoSpaceDE w:val="0"/>
        <w:autoSpaceDN w:val="0"/>
        <w:adjustRightInd w:val="0"/>
        <w:spacing w:line="360" w:lineRule="auto"/>
        <w:ind w:firstLine="420" w:firstLineChars="200"/>
        <w:rPr>
          <w:rFonts w:ascii="宋体" w:hAnsi="宋体" w:eastAsia="宋体" w:cs="宋体"/>
          <w:color w:val="auto"/>
          <w:szCs w:val="24"/>
          <w:highlight w:val="none"/>
        </w:rPr>
      </w:pPr>
    </w:p>
    <w:p w14:paraId="20D1C3F9">
      <w:pPr>
        <w:autoSpaceDE w:val="0"/>
        <w:autoSpaceDN w:val="0"/>
        <w:adjustRightInd w:val="0"/>
        <w:spacing w:line="360" w:lineRule="auto"/>
        <w:ind w:right="368" w:rightChars="175"/>
        <w:jc w:val="right"/>
        <w:rPr>
          <w:rFonts w:ascii="宋体" w:hAnsi="宋体" w:eastAsia="宋体" w:cs="宋体"/>
          <w:color w:val="auto"/>
          <w:szCs w:val="24"/>
          <w:highlight w:val="none"/>
        </w:rPr>
      </w:pPr>
      <w:r>
        <w:rPr>
          <w:rFonts w:hint="eastAsia" w:ascii="宋体" w:hAnsi="宋体" w:eastAsia="宋体" w:cs="宋体"/>
          <w:color w:val="auto"/>
          <w:szCs w:val="24"/>
          <w:highlight w:val="none"/>
          <w:lang w:val="zh-CN"/>
        </w:rPr>
        <w:t>投标人</w:t>
      </w:r>
      <w:r>
        <w:rPr>
          <w:rFonts w:hint="eastAsia" w:ascii="宋体" w:hAnsi="宋体" w:eastAsia="宋体" w:cs="宋体"/>
          <w:color w:val="auto"/>
          <w:szCs w:val="21"/>
          <w:highlight w:val="none"/>
          <w:lang w:val="zh-CN"/>
        </w:rPr>
        <w:t>：</w:t>
      </w:r>
      <w:r>
        <w:rPr>
          <w:rFonts w:hint="eastAsia" w:ascii="宋体" w:hAnsi="宋体" w:eastAsia="宋体" w:cs="宋体"/>
          <w:color w:val="auto"/>
          <w:kern w:val="0"/>
          <w:szCs w:val="21"/>
          <w:highlight w:val="none"/>
          <w:lang w:val="zh-CN"/>
        </w:rPr>
        <w:t>（加盖投标人法人公章）</w:t>
      </w:r>
    </w:p>
    <w:p w14:paraId="6CD1E627">
      <w:pPr>
        <w:autoSpaceDE w:val="0"/>
        <w:autoSpaceDN w:val="0"/>
        <w:adjustRightInd w:val="0"/>
        <w:spacing w:line="360" w:lineRule="auto"/>
        <w:ind w:right="368" w:rightChars="175" w:firstLine="6237"/>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14:paraId="44595879">
      <w:pPr>
        <w:autoSpaceDE w:val="0"/>
        <w:autoSpaceDN w:val="0"/>
        <w:adjustRightInd w:val="0"/>
        <w:spacing w:line="360" w:lineRule="auto"/>
        <w:ind w:firstLine="0" w:firstLineChars="0"/>
        <w:jc w:val="left"/>
        <w:outlineLvl w:val="1"/>
        <w:rPr>
          <w:rFonts w:ascii="宋体" w:hAnsi="宋体" w:eastAsia="宋体" w:cs="宋体"/>
          <w:b/>
          <w:color w:val="auto"/>
          <w:kern w:val="0"/>
          <w:sz w:val="32"/>
          <w:szCs w:val="32"/>
          <w:highlight w:val="none"/>
        </w:rPr>
      </w:pPr>
      <w:r>
        <w:rPr>
          <w:rFonts w:hint="eastAsia" w:ascii="宋体" w:hAnsi="宋体" w:eastAsia="宋体" w:cs="宋体"/>
          <w:color w:val="auto"/>
          <w:szCs w:val="24"/>
          <w:highlight w:val="none"/>
          <w:lang w:val="zh-CN"/>
        </w:rPr>
        <w:br w:type="page"/>
      </w:r>
      <w:bookmarkStart w:id="713" w:name="_Toc104991882"/>
      <w:bookmarkStart w:id="714" w:name="_Toc16623"/>
      <w:bookmarkStart w:id="715" w:name="_Toc13168"/>
      <w:bookmarkStart w:id="716" w:name="_Toc102860424"/>
      <w:bookmarkStart w:id="717" w:name="_Toc3711"/>
      <w:bookmarkStart w:id="718" w:name="_Toc142508375"/>
      <w:bookmarkStart w:id="719" w:name="_Toc94107216"/>
      <w:bookmarkStart w:id="720" w:name="_Toc140596935"/>
      <w:bookmarkStart w:id="721" w:name="_Toc102860080"/>
      <w:bookmarkStart w:id="722" w:name="_Toc4495"/>
      <w:bookmarkStart w:id="723" w:name="_Toc9051_WPSOffice_Level2"/>
      <w:bookmarkStart w:id="724" w:name="_Toc486167715"/>
      <w:bookmarkStart w:id="725" w:name="_Toc533708128"/>
      <w:bookmarkStart w:id="726" w:name="_Toc1977733"/>
      <w:r>
        <w:rPr>
          <w:rFonts w:hint="eastAsia" w:ascii="宋体" w:hAnsi="宋体" w:eastAsia="宋体" w:cs="宋体"/>
          <w:b/>
          <w:color w:val="auto"/>
          <w:sz w:val="32"/>
          <w:szCs w:val="32"/>
          <w:highlight w:val="none"/>
          <w:lang w:val="en-US" w:eastAsia="zh-CN"/>
        </w:rPr>
        <w:t>八</w:t>
      </w:r>
      <w:r>
        <w:rPr>
          <w:rFonts w:hint="eastAsia" w:ascii="宋体" w:hAnsi="宋体" w:eastAsia="宋体" w:cs="宋体"/>
          <w:b/>
          <w:color w:val="auto"/>
          <w:sz w:val="32"/>
          <w:szCs w:val="32"/>
          <w:highlight w:val="none"/>
          <w:lang w:val="zh-CN" w:eastAsia="zh-CN"/>
        </w:rPr>
        <w:t>、投标人财务状况表格式</w:t>
      </w:r>
      <w:bookmarkEnd w:id="713"/>
      <w:bookmarkEnd w:id="714"/>
      <w:bookmarkEnd w:id="715"/>
      <w:bookmarkEnd w:id="716"/>
      <w:bookmarkEnd w:id="717"/>
      <w:bookmarkEnd w:id="718"/>
      <w:bookmarkEnd w:id="719"/>
      <w:bookmarkEnd w:id="720"/>
      <w:bookmarkEnd w:id="721"/>
      <w:bookmarkEnd w:id="722"/>
    </w:p>
    <w:p w14:paraId="2AC6C7D4">
      <w:pPr>
        <w:autoSpaceDE w:val="0"/>
        <w:autoSpaceDN w:val="0"/>
        <w:adjustRightInd w:val="0"/>
        <w:spacing w:line="360" w:lineRule="auto"/>
        <w:jc w:val="center"/>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投标人财务状况表 </w:t>
      </w:r>
    </w:p>
    <w:p w14:paraId="44998A5A">
      <w:pPr>
        <w:autoSpaceDE w:val="0"/>
        <w:autoSpaceDN w:val="0"/>
        <w:adjustRightInd w:val="0"/>
        <w:spacing w:line="360" w:lineRule="auto"/>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[价格单位：（人民币）元]</w:t>
      </w:r>
    </w:p>
    <w:tbl>
      <w:tblPr>
        <w:tblStyle w:val="3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6"/>
        <w:gridCol w:w="1944"/>
        <w:gridCol w:w="1946"/>
        <w:gridCol w:w="2713"/>
        <w:gridCol w:w="2060"/>
      </w:tblGrid>
      <w:tr w14:paraId="5D779B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7221225B">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年  度</w:t>
            </w:r>
          </w:p>
        </w:tc>
        <w:tc>
          <w:tcPr>
            <w:tcW w:w="1944" w:type="dxa"/>
            <w:vAlign w:val="center"/>
          </w:tcPr>
          <w:p w14:paraId="1C3C722B">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总资产（元）</w:t>
            </w:r>
          </w:p>
        </w:tc>
        <w:tc>
          <w:tcPr>
            <w:tcW w:w="1946" w:type="dxa"/>
            <w:vAlign w:val="center"/>
          </w:tcPr>
          <w:p w14:paraId="0D566F48">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净资产（元）</w:t>
            </w:r>
          </w:p>
        </w:tc>
        <w:tc>
          <w:tcPr>
            <w:tcW w:w="2713" w:type="dxa"/>
            <w:vAlign w:val="center"/>
          </w:tcPr>
          <w:p w14:paraId="4377294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年营业额（元）</w:t>
            </w:r>
          </w:p>
        </w:tc>
        <w:tc>
          <w:tcPr>
            <w:tcW w:w="2060" w:type="dxa"/>
            <w:vAlign w:val="center"/>
          </w:tcPr>
          <w:p w14:paraId="5B51F70C">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年净利润（元）</w:t>
            </w:r>
          </w:p>
        </w:tc>
      </w:tr>
      <w:tr w14:paraId="41EC88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1E89DAE7">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2021</w:t>
            </w:r>
          </w:p>
        </w:tc>
        <w:tc>
          <w:tcPr>
            <w:tcW w:w="1944" w:type="dxa"/>
            <w:vAlign w:val="center"/>
          </w:tcPr>
          <w:p w14:paraId="61773EDE">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1946" w:type="dxa"/>
            <w:vAlign w:val="center"/>
          </w:tcPr>
          <w:p w14:paraId="20901CE1">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713" w:type="dxa"/>
            <w:vAlign w:val="center"/>
          </w:tcPr>
          <w:p w14:paraId="49C09C2F">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060" w:type="dxa"/>
            <w:vAlign w:val="center"/>
          </w:tcPr>
          <w:p w14:paraId="1E3632F2">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r w14:paraId="6AFC64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2485223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2022</w:t>
            </w:r>
          </w:p>
        </w:tc>
        <w:tc>
          <w:tcPr>
            <w:tcW w:w="1944" w:type="dxa"/>
            <w:vAlign w:val="center"/>
          </w:tcPr>
          <w:p w14:paraId="1CE5D1F5">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1946" w:type="dxa"/>
            <w:vAlign w:val="center"/>
          </w:tcPr>
          <w:p w14:paraId="0ACBE459">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713" w:type="dxa"/>
          </w:tcPr>
          <w:p w14:paraId="3877010B">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060" w:type="dxa"/>
            <w:vAlign w:val="center"/>
          </w:tcPr>
          <w:p w14:paraId="373BF2F8">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r w14:paraId="2903B8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641EF469">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2023</w:t>
            </w:r>
          </w:p>
        </w:tc>
        <w:tc>
          <w:tcPr>
            <w:tcW w:w="1944" w:type="dxa"/>
            <w:vAlign w:val="center"/>
          </w:tcPr>
          <w:p w14:paraId="3B1EC615">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1946" w:type="dxa"/>
            <w:vAlign w:val="center"/>
          </w:tcPr>
          <w:p w14:paraId="52B351A2">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713" w:type="dxa"/>
          </w:tcPr>
          <w:p w14:paraId="49B49741">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060" w:type="dxa"/>
            <w:vAlign w:val="center"/>
          </w:tcPr>
          <w:p w14:paraId="4696FC11">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r w14:paraId="53EBD1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5056" w:type="dxa"/>
            <w:gridSpan w:val="3"/>
            <w:vAlign w:val="center"/>
          </w:tcPr>
          <w:p w14:paraId="5C6A5973">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总计</w:t>
            </w:r>
          </w:p>
        </w:tc>
        <w:tc>
          <w:tcPr>
            <w:tcW w:w="2713" w:type="dxa"/>
          </w:tcPr>
          <w:p w14:paraId="2C42CC5D">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060" w:type="dxa"/>
            <w:vAlign w:val="center"/>
          </w:tcPr>
          <w:p w14:paraId="361E1094">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bl>
    <w:p w14:paraId="2B1044E3">
      <w:pPr>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14:paraId="4582D2AE">
      <w:pPr>
        <w:autoSpaceDE w:val="0"/>
        <w:autoSpaceDN w:val="0"/>
        <w:adjustRightInd w:val="0"/>
        <w:spacing w:line="360" w:lineRule="auto"/>
        <w:ind w:firstLine="5409" w:firstLineChars="2576"/>
        <w:rPr>
          <w:rFonts w:ascii="宋体" w:hAnsi="宋体" w:eastAsia="宋体" w:cs="宋体"/>
          <w:color w:val="auto"/>
          <w:szCs w:val="24"/>
          <w:highlight w:val="none"/>
          <w:lang w:val="zh-CN"/>
        </w:rPr>
      </w:pPr>
    </w:p>
    <w:p w14:paraId="05568A15">
      <w:pPr>
        <w:autoSpaceDE w:val="0"/>
        <w:autoSpaceDN w:val="0"/>
        <w:adjustRightInd w:val="0"/>
        <w:spacing w:line="360" w:lineRule="auto"/>
        <w:ind w:firstLine="5409" w:firstLineChars="2576"/>
        <w:rPr>
          <w:rFonts w:ascii="宋体" w:hAnsi="宋体" w:eastAsia="宋体" w:cs="宋体"/>
          <w:color w:val="auto"/>
          <w:szCs w:val="24"/>
          <w:highlight w:val="none"/>
          <w:lang w:val="zh-CN"/>
        </w:rPr>
      </w:pPr>
    </w:p>
    <w:p w14:paraId="414A1CB8">
      <w:pPr>
        <w:autoSpaceDE w:val="0"/>
        <w:autoSpaceDN w:val="0"/>
        <w:adjustRightInd w:val="0"/>
        <w:spacing w:line="360" w:lineRule="auto"/>
        <w:ind w:firstLine="5409" w:firstLineChars="2576"/>
        <w:rPr>
          <w:rFonts w:ascii="宋体" w:hAnsi="宋体" w:eastAsia="宋体" w:cs="宋体"/>
          <w:color w:val="auto"/>
          <w:szCs w:val="24"/>
          <w:highlight w:val="none"/>
          <w:u w:val="single"/>
        </w:rPr>
      </w:pPr>
      <w:r>
        <w:rPr>
          <w:rFonts w:hint="eastAsia" w:ascii="宋体" w:hAnsi="宋体" w:eastAsia="宋体" w:cs="宋体"/>
          <w:color w:val="auto"/>
          <w:szCs w:val="24"/>
          <w:highlight w:val="none"/>
          <w:lang w:val="zh-CN"/>
        </w:rPr>
        <w:t>投标人：（加盖投标人</w:t>
      </w:r>
      <w:r>
        <w:rPr>
          <w:rFonts w:hint="eastAsia" w:ascii="宋体" w:hAnsi="宋体" w:eastAsia="宋体" w:cs="宋体"/>
          <w:color w:val="auto"/>
          <w:szCs w:val="24"/>
          <w:highlight w:val="none"/>
        </w:rPr>
        <w:t>法人</w:t>
      </w:r>
      <w:r>
        <w:rPr>
          <w:rFonts w:hint="eastAsia" w:ascii="宋体" w:hAnsi="宋体" w:eastAsia="宋体" w:cs="宋体"/>
          <w:color w:val="auto"/>
          <w:szCs w:val="24"/>
          <w:highlight w:val="none"/>
          <w:lang w:val="zh-CN"/>
        </w:rPr>
        <w:t>公章）</w:t>
      </w:r>
    </w:p>
    <w:p w14:paraId="4FE7F864">
      <w:pPr>
        <w:autoSpaceDE w:val="0"/>
        <w:autoSpaceDN w:val="0"/>
        <w:adjustRightInd w:val="0"/>
        <w:spacing w:line="360" w:lineRule="auto"/>
        <w:ind w:firstLine="6249" w:firstLineChars="2976"/>
        <w:rPr>
          <w:rFonts w:ascii="宋体" w:hAnsi="宋体" w:eastAsia="宋体" w:cs="宋体"/>
          <w:b/>
          <w:bCs/>
          <w:color w:val="auto"/>
          <w:kern w:val="0"/>
          <w:szCs w:val="21"/>
          <w:highlight w:val="none"/>
        </w:rPr>
        <w:sectPr>
          <w:footerReference r:id="rId9" w:type="default"/>
          <w:pgSz w:w="11907" w:h="16840"/>
          <w:pgMar w:top="1701" w:right="1418" w:bottom="851" w:left="1418" w:header="720" w:footer="720" w:gutter="0"/>
          <w:cols w:space="720" w:num="1"/>
          <w:titlePg/>
          <w:docGrid w:linePitch="326" w:charSpace="0"/>
        </w:sectPr>
      </w:pPr>
      <w:r>
        <w:rPr>
          <w:rFonts w:hint="eastAsia" w:ascii="宋体" w:hAnsi="宋体" w:eastAsia="宋体" w:cs="宋体"/>
          <w:color w:val="auto"/>
          <w:szCs w:val="24"/>
          <w:highlight w:val="none"/>
          <w:lang w:val="zh-CN"/>
        </w:rPr>
        <w:t>日期：</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u w:val="single"/>
        </w:rPr>
        <w:t>日</w:t>
      </w:r>
    </w:p>
    <w:bookmarkEnd w:id="723"/>
    <w:bookmarkEnd w:id="724"/>
    <w:bookmarkEnd w:id="725"/>
    <w:bookmarkEnd w:id="726"/>
    <w:p w14:paraId="01959976">
      <w:pPr>
        <w:autoSpaceDE w:val="0"/>
        <w:autoSpaceDN w:val="0"/>
        <w:adjustRightInd w:val="0"/>
        <w:spacing w:line="360" w:lineRule="auto"/>
        <w:ind w:firstLine="0" w:firstLineChars="0"/>
        <w:jc w:val="left"/>
        <w:outlineLvl w:val="1"/>
        <w:rPr>
          <w:rFonts w:ascii="宋体" w:hAnsi="宋体" w:eastAsia="宋体" w:cs="宋体"/>
          <w:b/>
          <w:color w:val="auto"/>
          <w:kern w:val="0"/>
          <w:sz w:val="32"/>
          <w:szCs w:val="32"/>
          <w:highlight w:val="none"/>
          <w:lang w:val="zh-CN"/>
        </w:rPr>
      </w:pPr>
      <w:bookmarkStart w:id="727" w:name="_Toc94107217"/>
      <w:bookmarkStart w:id="728" w:name="_Toc1977736"/>
      <w:bookmarkStart w:id="729" w:name="_Toc142508376"/>
      <w:bookmarkStart w:id="730" w:name="_Toc486167716"/>
      <w:bookmarkStart w:id="731" w:name="_Toc739_WPSOffice_Level2"/>
      <w:bookmarkStart w:id="732" w:name="_Toc20034"/>
      <w:bookmarkStart w:id="733" w:name="_Toc104991883"/>
      <w:bookmarkStart w:id="734" w:name="_Toc28821"/>
      <w:bookmarkStart w:id="735" w:name="_Toc18377"/>
      <w:bookmarkStart w:id="736" w:name="_Toc102860081"/>
      <w:bookmarkStart w:id="737" w:name="_Toc140596936"/>
      <w:bookmarkStart w:id="738" w:name="_Toc102860425"/>
      <w:bookmarkStart w:id="739" w:name="_Toc15551"/>
      <w:bookmarkStart w:id="740" w:name="_Toc533708130"/>
      <w:r>
        <w:rPr>
          <w:rFonts w:hint="eastAsia" w:ascii="宋体" w:hAnsi="宋体" w:eastAsia="宋体" w:cs="宋体"/>
          <w:b/>
          <w:color w:val="auto"/>
          <w:kern w:val="0"/>
          <w:sz w:val="32"/>
          <w:szCs w:val="32"/>
          <w:highlight w:val="none"/>
          <w:lang w:val="en-US" w:eastAsia="zh-CN"/>
        </w:rPr>
        <w:t>九</w:t>
      </w:r>
      <w:r>
        <w:rPr>
          <w:rFonts w:hint="eastAsia" w:ascii="宋体" w:hAnsi="宋体" w:eastAsia="宋体" w:cs="宋体"/>
          <w:b/>
          <w:color w:val="auto"/>
          <w:kern w:val="0"/>
          <w:sz w:val="32"/>
          <w:szCs w:val="32"/>
          <w:highlight w:val="none"/>
          <w:lang w:val="zh-CN"/>
        </w:rPr>
        <w:t>、</w:t>
      </w:r>
      <w:r>
        <w:rPr>
          <w:rFonts w:hint="eastAsia" w:ascii="宋体" w:hAnsi="宋体" w:eastAsia="宋体" w:cs="宋体"/>
          <w:b/>
          <w:color w:val="auto"/>
          <w:sz w:val="32"/>
          <w:szCs w:val="32"/>
          <w:highlight w:val="none"/>
          <w:lang w:val="zh-CN" w:eastAsia="zh-CN"/>
        </w:rPr>
        <w:t>合同</w:t>
      </w:r>
      <w:r>
        <w:rPr>
          <w:rFonts w:hint="eastAsia" w:ascii="宋体" w:hAnsi="宋体" w:eastAsia="宋体" w:cs="宋体"/>
          <w:b/>
          <w:color w:val="auto"/>
          <w:kern w:val="0"/>
          <w:sz w:val="32"/>
          <w:szCs w:val="32"/>
          <w:highlight w:val="none"/>
          <w:lang w:val="zh-CN"/>
        </w:rPr>
        <w:t>条款偏离表格式</w:t>
      </w:r>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p>
    <w:p w14:paraId="6C976FBE">
      <w:pPr>
        <w:autoSpaceDE w:val="0"/>
        <w:autoSpaceDN w:val="0"/>
        <w:adjustRightInd w:val="0"/>
        <w:spacing w:line="360" w:lineRule="auto"/>
        <w:jc w:val="center"/>
        <w:rPr>
          <w:rFonts w:ascii="宋体" w:hAnsi="宋体" w:eastAsia="宋体" w:cs="宋体"/>
          <w:b/>
          <w:bCs/>
          <w:color w:val="auto"/>
          <w:kern w:val="0"/>
          <w:sz w:val="28"/>
          <w:szCs w:val="30"/>
          <w:highlight w:val="none"/>
          <w:lang w:val="zh-CN"/>
        </w:rPr>
      </w:pPr>
      <w:bookmarkStart w:id="741" w:name="_Toc26412_WPSOffice_Level3"/>
      <w:r>
        <w:rPr>
          <w:rFonts w:hint="eastAsia" w:ascii="宋体" w:hAnsi="宋体" w:eastAsia="宋体" w:cs="宋体"/>
          <w:b/>
          <w:bCs/>
          <w:color w:val="auto"/>
          <w:kern w:val="0"/>
          <w:sz w:val="28"/>
          <w:szCs w:val="30"/>
          <w:highlight w:val="none"/>
          <w:lang w:val="zh-CN"/>
        </w:rPr>
        <w:t>东莞市水务集团净水有限公司2025年生产药剂液体柠檬酸采购项目（重新招标）合同条款偏离表</w:t>
      </w:r>
      <w:bookmarkEnd w:id="741"/>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425"/>
        <w:gridCol w:w="3055"/>
        <w:gridCol w:w="1346"/>
        <w:gridCol w:w="3524"/>
      </w:tblGrid>
      <w:tr w14:paraId="1BFDD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020" w:type="dxa"/>
            <w:vMerge w:val="restart"/>
            <w:vAlign w:val="center"/>
          </w:tcPr>
          <w:p w14:paraId="2613793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4480" w:type="dxa"/>
            <w:gridSpan w:val="2"/>
            <w:vAlign w:val="center"/>
          </w:tcPr>
          <w:p w14:paraId="583E475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招标文件要求</w:t>
            </w:r>
          </w:p>
        </w:tc>
        <w:tc>
          <w:tcPr>
            <w:tcW w:w="4870" w:type="dxa"/>
            <w:gridSpan w:val="2"/>
            <w:vAlign w:val="center"/>
          </w:tcPr>
          <w:p w14:paraId="31CA4F1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投标文件内容</w:t>
            </w:r>
          </w:p>
        </w:tc>
      </w:tr>
      <w:tr w14:paraId="7731B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020" w:type="dxa"/>
            <w:vMerge w:val="continue"/>
            <w:vAlign w:val="center"/>
          </w:tcPr>
          <w:p w14:paraId="4BF149B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1425" w:type="dxa"/>
            <w:vAlign w:val="center"/>
          </w:tcPr>
          <w:p w14:paraId="55F7236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条款号</w:t>
            </w:r>
          </w:p>
        </w:tc>
        <w:tc>
          <w:tcPr>
            <w:tcW w:w="3055" w:type="dxa"/>
            <w:vAlign w:val="center"/>
          </w:tcPr>
          <w:p w14:paraId="4ECE966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简要内容</w:t>
            </w:r>
          </w:p>
        </w:tc>
        <w:tc>
          <w:tcPr>
            <w:tcW w:w="1346" w:type="dxa"/>
            <w:vAlign w:val="center"/>
          </w:tcPr>
          <w:p w14:paraId="476F058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偏离情况</w:t>
            </w:r>
          </w:p>
        </w:tc>
        <w:tc>
          <w:tcPr>
            <w:tcW w:w="3524" w:type="dxa"/>
            <w:vAlign w:val="center"/>
          </w:tcPr>
          <w:p w14:paraId="4EF3C01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具体偏离内容</w:t>
            </w:r>
          </w:p>
        </w:tc>
      </w:tr>
      <w:tr w14:paraId="09F46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B081D1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425" w:type="dxa"/>
            <w:vAlign w:val="center"/>
          </w:tcPr>
          <w:p w14:paraId="442736E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第一条</w:t>
            </w:r>
          </w:p>
        </w:tc>
        <w:tc>
          <w:tcPr>
            <w:tcW w:w="3055" w:type="dxa"/>
            <w:vAlign w:val="center"/>
          </w:tcPr>
          <w:p w14:paraId="07DCA38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合同项目</w:t>
            </w:r>
          </w:p>
        </w:tc>
        <w:tc>
          <w:tcPr>
            <w:tcW w:w="1346" w:type="dxa"/>
            <w:vAlign w:val="center"/>
          </w:tcPr>
          <w:p w14:paraId="0B4889E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0535F34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66784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90DBFE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1425" w:type="dxa"/>
            <w:vAlign w:val="center"/>
          </w:tcPr>
          <w:p w14:paraId="5EB17C2B">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第二条</w:t>
            </w:r>
          </w:p>
        </w:tc>
        <w:tc>
          <w:tcPr>
            <w:tcW w:w="3055" w:type="dxa"/>
            <w:vAlign w:val="center"/>
          </w:tcPr>
          <w:p w14:paraId="1E818AA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合同价款及销项税价</w:t>
            </w:r>
          </w:p>
        </w:tc>
        <w:tc>
          <w:tcPr>
            <w:tcW w:w="1346" w:type="dxa"/>
            <w:vAlign w:val="center"/>
          </w:tcPr>
          <w:p w14:paraId="5C49A09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479EF21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3E60F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728DA1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1425" w:type="dxa"/>
            <w:vAlign w:val="center"/>
          </w:tcPr>
          <w:p w14:paraId="2CCA3C56">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第三条</w:t>
            </w:r>
          </w:p>
        </w:tc>
        <w:tc>
          <w:tcPr>
            <w:tcW w:w="3055" w:type="dxa"/>
            <w:vAlign w:val="center"/>
          </w:tcPr>
          <w:p w14:paraId="449D880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合同组成</w:t>
            </w:r>
          </w:p>
        </w:tc>
        <w:tc>
          <w:tcPr>
            <w:tcW w:w="1346" w:type="dxa"/>
            <w:vAlign w:val="center"/>
          </w:tcPr>
          <w:p w14:paraId="1AE972B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2BA9533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70C31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B6BD55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1425" w:type="dxa"/>
            <w:vAlign w:val="center"/>
          </w:tcPr>
          <w:p w14:paraId="157CA86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第四条</w:t>
            </w:r>
          </w:p>
        </w:tc>
        <w:tc>
          <w:tcPr>
            <w:tcW w:w="3055" w:type="dxa"/>
            <w:vAlign w:val="center"/>
          </w:tcPr>
          <w:p w14:paraId="1B1595F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技术要求及质量要求</w:t>
            </w:r>
          </w:p>
        </w:tc>
        <w:tc>
          <w:tcPr>
            <w:tcW w:w="1346" w:type="dxa"/>
            <w:vAlign w:val="center"/>
          </w:tcPr>
          <w:p w14:paraId="11D7A0E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2927669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1F3A3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50B5B5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1425" w:type="dxa"/>
            <w:vAlign w:val="center"/>
          </w:tcPr>
          <w:p w14:paraId="37E6CE9F">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第五条</w:t>
            </w:r>
          </w:p>
        </w:tc>
        <w:tc>
          <w:tcPr>
            <w:tcW w:w="3055" w:type="dxa"/>
            <w:vAlign w:val="center"/>
          </w:tcPr>
          <w:p w14:paraId="2BE3CCF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货物的交货要求</w:t>
            </w:r>
          </w:p>
        </w:tc>
        <w:tc>
          <w:tcPr>
            <w:tcW w:w="1346" w:type="dxa"/>
            <w:vAlign w:val="center"/>
          </w:tcPr>
          <w:p w14:paraId="31BB30D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3C8026D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7A9A8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AC5360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1425" w:type="dxa"/>
            <w:vAlign w:val="center"/>
          </w:tcPr>
          <w:p w14:paraId="36EBB0D4">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第六条</w:t>
            </w:r>
          </w:p>
        </w:tc>
        <w:tc>
          <w:tcPr>
            <w:tcW w:w="3055" w:type="dxa"/>
            <w:vAlign w:val="center"/>
          </w:tcPr>
          <w:p w14:paraId="7444951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储存</w:t>
            </w:r>
          </w:p>
        </w:tc>
        <w:tc>
          <w:tcPr>
            <w:tcW w:w="1346" w:type="dxa"/>
            <w:vAlign w:val="center"/>
          </w:tcPr>
          <w:p w14:paraId="2276ED5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1BD1042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72DE2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94D573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1425" w:type="dxa"/>
            <w:vAlign w:val="center"/>
          </w:tcPr>
          <w:p w14:paraId="2679464B">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第七条</w:t>
            </w:r>
          </w:p>
        </w:tc>
        <w:tc>
          <w:tcPr>
            <w:tcW w:w="3055" w:type="dxa"/>
            <w:vAlign w:val="center"/>
          </w:tcPr>
          <w:p w14:paraId="28CFDF2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验收要求</w:t>
            </w:r>
          </w:p>
        </w:tc>
        <w:tc>
          <w:tcPr>
            <w:tcW w:w="1346" w:type="dxa"/>
            <w:vAlign w:val="center"/>
          </w:tcPr>
          <w:p w14:paraId="0891E54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2F23B4A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20902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006B8A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8</w:t>
            </w:r>
          </w:p>
        </w:tc>
        <w:tc>
          <w:tcPr>
            <w:tcW w:w="1425" w:type="dxa"/>
            <w:vAlign w:val="center"/>
          </w:tcPr>
          <w:p w14:paraId="58AF9D1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第八条</w:t>
            </w:r>
          </w:p>
        </w:tc>
        <w:tc>
          <w:tcPr>
            <w:tcW w:w="3055" w:type="dxa"/>
            <w:vAlign w:val="center"/>
          </w:tcPr>
          <w:p w14:paraId="11D6C93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资料要求</w:t>
            </w:r>
          </w:p>
        </w:tc>
        <w:tc>
          <w:tcPr>
            <w:tcW w:w="1346" w:type="dxa"/>
            <w:vAlign w:val="center"/>
          </w:tcPr>
          <w:p w14:paraId="1575363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39619EA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4540B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8537A1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1425" w:type="dxa"/>
            <w:vAlign w:val="center"/>
          </w:tcPr>
          <w:p w14:paraId="374B555B">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第九条</w:t>
            </w:r>
          </w:p>
        </w:tc>
        <w:tc>
          <w:tcPr>
            <w:tcW w:w="3055" w:type="dxa"/>
            <w:vAlign w:val="center"/>
          </w:tcPr>
          <w:p w14:paraId="35970D0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权利保证</w:t>
            </w:r>
          </w:p>
        </w:tc>
        <w:tc>
          <w:tcPr>
            <w:tcW w:w="1346" w:type="dxa"/>
            <w:vAlign w:val="center"/>
          </w:tcPr>
          <w:p w14:paraId="732E3AF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0CEE1D5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56559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DBC143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1425" w:type="dxa"/>
            <w:vAlign w:val="center"/>
          </w:tcPr>
          <w:p w14:paraId="4451DF7A">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第十条</w:t>
            </w:r>
          </w:p>
        </w:tc>
        <w:tc>
          <w:tcPr>
            <w:tcW w:w="3055" w:type="dxa"/>
            <w:vAlign w:val="center"/>
          </w:tcPr>
          <w:p w14:paraId="4B6A767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质量保证及售后服务</w:t>
            </w:r>
          </w:p>
        </w:tc>
        <w:tc>
          <w:tcPr>
            <w:tcW w:w="1346" w:type="dxa"/>
            <w:vAlign w:val="center"/>
          </w:tcPr>
          <w:p w14:paraId="39284A4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0085DD6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11CF1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C1DA5E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1425" w:type="dxa"/>
            <w:vAlign w:val="center"/>
          </w:tcPr>
          <w:p w14:paraId="7188D6D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第十一条</w:t>
            </w:r>
          </w:p>
        </w:tc>
        <w:tc>
          <w:tcPr>
            <w:tcW w:w="3055" w:type="dxa"/>
            <w:vAlign w:val="center"/>
          </w:tcPr>
          <w:p w14:paraId="78B7E7C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履约担保</w:t>
            </w:r>
          </w:p>
        </w:tc>
        <w:tc>
          <w:tcPr>
            <w:tcW w:w="1346" w:type="dxa"/>
            <w:vAlign w:val="center"/>
          </w:tcPr>
          <w:p w14:paraId="6F4E5E7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5219EBD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5AC3F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5EE7AF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1425" w:type="dxa"/>
            <w:vAlign w:val="center"/>
          </w:tcPr>
          <w:p w14:paraId="65F3DE59">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第十二条</w:t>
            </w:r>
          </w:p>
        </w:tc>
        <w:tc>
          <w:tcPr>
            <w:tcW w:w="3055" w:type="dxa"/>
            <w:vAlign w:val="center"/>
          </w:tcPr>
          <w:p w14:paraId="1B9B742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付款方式</w:t>
            </w:r>
          </w:p>
        </w:tc>
        <w:tc>
          <w:tcPr>
            <w:tcW w:w="1346" w:type="dxa"/>
            <w:vAlign w:val="center"/>
          </w:tcPr>
          <w:p w14:paraId="639CD8C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3BEB44A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4D6C1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0EE058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1425" w:type="dxa"/>
            <w:vAlign w:val="center"/>
          </w:tcPr>
          <w:p w14:paraId="73F21E36">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第十三条</w:t>
            </w:r>
          </w:p>
        </w:tc>
        <w:tc>
          <w:tcPr>
            <w:tcW w:w="3055" w:type="dxa"/>
            <w:vAlign w:val="center"/>
          </w:tcPr>
          <w:p w14:paraId="05C0465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不可抗力</w:t>
            </w:r>
          </w:p>
        </w:tc>
        <w:tc>
          <w:tcPr>
            <w:tcW w:w="1346" w:type="dxa"/>
            <w:vAlign w:val="center"/>
          </w:tcPr>
          <w:p w14:paraId="6CECEEE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26F9597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4B391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1179B8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1425" w:type="dxa"/>
            <w:vAlign w:val="center"/>
          </w:tcPr>
          <w:p w14:paraId="7EAC988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第十四条</w:t>
            </w:r>
          </w:p>
        </w:tc>
        <w:tc>
          <w:tcPr>
            <w:tcW w:w="3055" w:type="dxa"/>
            <w:vAlign w:val="center"/>
          </w:tcPr>
          <w:p w14:paraId="27C6849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索赔</w:t>
            </w:r>
          </w:p>
        </w:tc>
        <w:tc>
          <w:tcPr>
            <w:tcW w:w="1346" w:type="dxa"/>
            <w:vAlign w:val="center"/>
          </w:tcPr>
          <w:p w14:paraId="1BFB4C1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5DBCAEA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54C00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0881FE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1425" w:type="dxa"/>
            <w:vAlign w:val="center"/>
          </w:tcPr>
          <w:p w14:paraId="16422844">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第十五条</w:t>
            </w:r>
          </w:p>
        </w:tc>
        <w:tc>
          <w:tcPr>
            <w:tcW w:w="3055" w:type="dxa"/>
            <w:vAlign w:val="center"/>
          </w:tcPr>
          <w:p w14:paraId="79CE8F4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违约责任</w:t>
            </w:r>
          </w:p>
        </w:tc>
        <w:tc>
          <w:tcPr>
            <w:tcW w:w="1346" w:type="dxa"/>
            <w:vAlign w:val="center"/>
          </w:tcPr>
          <w:p w14:paraId="0153141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08170D3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53C69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822918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1425" w:type="dxa"/>
            <w:vAlign w:val="center"/>
          </w:tcPr>
          <w:p w14:paraId="12DB7EE0">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第</w:t>
            </w:r>
            <w:r>
              <w:rPr>
                <w:rFonts w:hint="eastAsia" w:ascii="宋体" w:hAnsi="宋体" w:eastAsia="宋体" w:cs="宋体"/>
                <w:color w:val="auto"/>
                <w:kern w:val="0"/>
                <w:szCs w:val="21"/>
                <w:highlight w:val="none"/>
              </w:rPr>
              <w:t>十六</w:t>
            </w:r>
            <w:r>
              <w:rPr>
                <w:rFonts w:hint="eastAsia" w:ascii="宋体" w:hAnsi="宋体" w:eastAsia="宋体" w:cs="宋体"/>
                <w:color w:val="auto"/>
                <w:kern w:val="0"/>
                <w:szCs w:val="21"/>
                <w:highlight w:val="none"/>
                <w:lang w:eastAsia="zh-CN"/>
              </w:rPr>
              <w:t>条</w:t>
            </w:r>
          </w:p>
        </w:tc>
        <w:tc>
          <w:tcPr>
            <w:tcW w:w="3055" w:type="dxa"/>
            <w:vAlign w:val="center"/>
          </w:tcPr>
          <w:p w14:paraId="122D35B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争议解决</w:t>
            </w:r>
          </w:p>
        </w:tc>
        <w:tc>
          <w:tcPr>
            <w:tcW w:w="1346" w:type="dxa"/>
            <w:vAlign w:val="center"/>
          </w:tcPr>
          <w:p w14:paraId="3ECE7F7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63539B3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32B55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E40B9B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17</w:t>
            </w:r>
          </w:p>
        </w:tc>
        <w:tc>
          <w:tcPr>
            <w:tcW w:w="1425" w:type="dxa"/>
            <w:vAlign w:val="center"/>
          </w:tcPr>
          <w:p w14:paraId="01057139">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第</w:t>
            </w:r>
            <w:r>
              <w:rPr>
                <w:rFonts w:hint="eastAsia" w:ascii="宋体" w:hAnsi="宋体" w:eastAsia="宋体" w:cs="宋体"/>
                <w:color w:val="auto"/>
                <w:kern w:val="0"/>
                <w:szCs w:val="21"/>
                <w:highlight w:val="none"/>
              </w:rPr>
              <w:t>十七</w:t>
            </w:r>
            <w:r>
              <w:rPr>
                <w:rFonts w:hint="eastAsia" w:ascii="宋体" w:hAnsi="宋体" w:eastAsia="宋体" w:cs="宋体"/>
                <w:color w:val="auto"/>
                <w:kern w:val="0"/>
                <w:szCs w:val="21"/>
                <w:highlight w:val="none"/>
                <w:lang w:eastAsia="zh-CN"/>
              </w:rPr>
              <w:t>条</w:t>
            </w:r>
          </w:p>
        </w:tc>
        <w:tc>
          <w:tcPr>
            <w:tcW w:w="3055" w:type="dxa"/>
            <w:vAlign w:val="center"/>
          </w:tcPr>
          <w:p w14:paraId="39300EA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其他</w:t>
            </w:r>
          </w:p>
        </w:tc>
        <w:tc>
          <w:tcPr>
            <w:tcW w:w="1346" w:type="dxa"/>
            <w:vAlign w:val="center"/>
          </w:tcPr>
          <w:p w14:paraId="0CC9AAD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4DFC25C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7D86D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785707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18</w:t>
            </w:r>
          </w:p>
        </w:tc>
        <w:tc>
          <w:tcPr>
            <w:tcW w:w="1425" w:type="dxa"/>
            <w:vAlign w:val="center"/>
          </w:tcPr>
          <w:p w14:paraId="66FAB549">
            <w:pPr>
              <w:pStyle w:val="62"/>
              <w:keepNext w:val="0"/>
              <w:keepLines w:val="0"/>
              <w:suppressLineNumbers w:val="0"/>
              <w:snapToGrid w:val="0"/>
              <w:spacing w:before="0" w:beforeAutospacing="0" w:after="0" w:afterAutospacing="0" w:line="240" w:lineRule="auto"/>
              <w:ind w:left="0" w:leftChars="0" w:right="0" w:rightChars="0" w:firstLine="0" w:firstLineChars="0"/>
              <w:jc w:val="center"/>
              <w:rPr>
                <w:rFonts w:hint="default" w:ascii="宋体" w:hAnsi="宋体" w:eastAsia="宋体" w:cs="宋体"/>
                <w:color w:val="auto"/>
                <w:kern w:val="0"/>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2</w:t>
            </w:r>
          </w:p>
        </w:tc>
        <w:tc>
          <w:tcPr>
            <w:tcW w:w="3055" w:type="dxa"/>
            <w:vAlign w:val="center"/>
          </w:tcPr>
          <w:p w14:paraId="6E7CFD8B">
            <w:pPr>
              <w:pStyle w:val="62"/>
              <w:keepNext w:val="0"/>
              <w:keepLines w:val="0"/>
              <w:suppressLineNumbers w:val="0"/>
              <w:snapToGrid w:val="0"/>
              <w:spacing w:before="0" w:beforeAutospacing="0" w:after="0" w:afterAutospacing="0" w:line="240" w:lineRule="auto"/>
              <w:ind w:left="0" w:leftChars="0" w:right="0" w:rightChars="0" w:firstLine="0" w:firstLineChars="0"/>
              <w:jc w:val="center"/>
              <w:rPr>
                <w:rFonts w:hint="default" w:ascii="宋体" w:hAnsi="宋体" w:eastAsia="宋体" w:cs="宋体"/>
                <w:color w:val="auto"/>
                <w:kern w:val="0"/>
                <w:szCs w:val="21"/>
                <w:highlight w:val="none"/>
              </w:rPr>
            </w:pPr>
            <w:r>
              <w:rPr>
                <w:rFonts w:hint="eastAsia" w:ascii="宋体" w:hAnsi="宋体" w:eastAsia="宋体" w:cs="宋体"/>
                <w:color w:val="auto"/>
                <w:kern w:val="2"/>
                <w:sz w:val="21"/>
                <w:szCs w:val="21"/>
                <w:highlight w:val="none"/>
              </w:rPr>
              <w:t>供应商履约评价表</w:t>
            </w:r>
          </w:p>
        </w:tc>
        <w:tc>
          <w:tcPr>
            <w:tcW w:w="1346" w:type="dxa"/>
            <w:vAlign w:val="center"/>
          </w:tcPr>
          <w:p w14:paraId="4C9036A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450E4ED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52AC8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2A65DB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19</w:t>
            </w:r>
          </w:p>
        </w:tc>
        <w:tc>
          <w:tcPr>
            <w:tcW w:w="1425" w:type="dxa"/>
            <w:vAlign w:val="center"/>
          </w:tcPr>
          <w:p w14:paraId="5101E630">
            <w:pPr>
              <w:pStyle w:val="62"/>
              <w:keepNext w:val="0"/>
              <w:keepLines w:val="0"/>
              <w:suppressLineNumbers w:val="0"/>
              <w:snapToGrid w:val="0"/>
              <w:spacing w:before="0" w:beforeAutospacing="0" w:after="0" w:afterAutospacing="0" w:line="240" w:lineRule="auto"/>
              <w:ind w:left="0" w:leftChars="0" w:right="0" w:rightChars="0" w:firstLine="0" w:firstLineChars="0"/>
              <w:jc w:val="center"/>
              <w:rPr>
                <w:rFonts w:hint="default" w:ascii="宋体" w:hAnsi="宋体" w:eastAsia="宋体" w:cs="宋体"/>
                <w:color w:val="auto"/>
                <w:kern w:val="0"/>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3</w:t>
            </w:r>
          </w:p>
        </w:tc>
        <w:tc>
          <w:tcPr>
            <w:tcW w:w="3055" w:type="dxa"/>
            <w:vAlign w:val="center"/>
          </w:tcPr>
          <w:p w14:paraId="64A6814D">
            <w:pPr>
              <w:pStyle w:val="62"/>
              <w:keepNext w:val="0"/>
              <w:keepLines w:val="0"/>
              <w:suppressLineNumbers w:val="0"/>
              <w:snapToGrid w:val="0"/>
              <w:spacing w:before="0" w:beforeAutospacing="0" w:after="0" w:afterAutospacing="0" w:line="240" w:lineRule="auto"/>
              <w:ind w:left="0" w:leftChars="0" w:right="0" w:rightChars="0" w:firstLine="0" w:firstLineChars="0"/>
              <w:jc w:val="center"/>
              <w:rPr>
                <w:rFonts w:hint="default" w:ascii="宋体" w:hAnsi="宋体" w:eastAsia="宋体" w:cs="宋体"/>
                <w:color w:val="auto"/>
                <w:kern w:val="0"/>
                <w:szCs w:val="21"/>
                <w:highlight w:val="none"/>
              </w:rPr>
            </w:pPr>
            <w:r>
              <w:rPr>
                <w:rFonts w:hint="eastAsia" w:ascii="宋体" w:hAnsi="宋体" w:eastAsia="宋体" w:cs="宋体"/>
                <w:color w:val="auto"/>
                <w:kern w:val="2"/>
                <w:sz w:val="21"/>
                <w:szCs w:val="21"/>
                <w:highlight w:val="none"/>
              </w:rPr>
              <w:t>廉洁协议书</w:t>
            </w:r>
          </w:p>
        </w:tc>
        <w:tc>
          <w:tcPr>
            <w:tcW w:w="1346" w:type="dxa"/>
            <w:vAlign w:val="center"/>
          </w:tcPr>
          <w:p w14:paraId="3663BA3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67279F1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44CC3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12F33C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20</w:t>
            </w:r>
          </w:p>
        </w:tc>
        <w:tc>
          <w:tcPr>
            <w:tcW w:w="1425" w:type="dxa"/>
            <w:vAlign w:val="center"/>
          </w:tcPr>
          <w:p w14:paraId="0C558AA5">
            <w:pPr>
              <w:pStyle w:val="62"/>
              <w:keepNext w:val="0"/>
              <w:keepLines w:val="0"/>
              <w:suppressLineNumbers w:val="0"/>
              <w:snapToGrid w:val="0"/>
              <w:spacing w:before="0" w:beforeAutospacing="0" w:after="0" w:afterAutospacing="0" w:line="240" w:lineRule="auto"/>
              <w:ind w:left="0" w:leftChars="0" w:right="0" w:rightChars="0" w:firstLine="0" w:firstLineChars="0"/>
              <w:jc w:val="center"/>
              <w:rPr>
                <w:rFonts w:hint="default" w:ascii="宋体" w:hAnsi="宋体" w:eastAsia="宋体" w:cs="宋体"/>
                <w:color w:val="auto"/>
                <w:kern w:val="0"/>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4</w:t>
            </w:r>
          </w:p>
        </w:tc>
        <w:tc>
          <w:tcPr>
            <w:tcW w:w="3055" w:type="dxa"/>
            <w:vAlign w:val="center"/>
          </w:tcPr>
          <w:p w14:paraId="788F5B42">
            <w:pPr>
              <w:pStyle w:val="62"/>
              <w:keepNext w:val="0"/>
              <w:keepLines w:val="0"/>
              <w:suppressLineNumbers w:val="0"/>
              <w:snapToGrid w:val="0"/>
              <w:spacing w:before="0" w:beforeAutospacing="0" w:after="0" w:afterAutospacing="0" w:line="240" w:lineRule="auto"/>
              <w:ind w:left="0" w:leftChars="0" w:right="0" w:rightChars="0" w:firstLine="0" w:firstLineChars="0"/>
              <w:jc w:val="center"/>
              <w:rPr>
                <w:rFonts w:hint="default" w:ascii="宋体" w:hAnsi="宋体" w:eastAsia="宋体" w:cs="宋体"/>
                <w:color w:val="auto"/>
                <w:kern w:val="0"/>
                <w:szCs w:val="21"/>
                <w:highlight w:val="none"/>
              </w:rPr>
            </w:pPr>
            <w:r>
              <w:rPr>
                <w:rFonts w:hint="eastAsia" w:ascii="宋体" w:hAnsi="宋体" w:eastAsia="宋体" w:cs="宋体"/>
                <w:color w:val="auto"/>
                <w:kern w:val="2"/>
                <w:sz w:val="21"/>
                <w:szCs w:val="21"/>
                <w:highlight w:val="none"/>
              </w:rPr>
              <w:t>安全生产管理协议</w:t>
            </w:r>
          </w:p>
        </w:tc>
        <w:tc>
          <w:tcPr>
            <w:tcW w:w="1346" w:type="dxa"/>
            <w:vAlign w:val="center"/>
          </w:tcPr>
          <w:p w14:paraId="15339E5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5D25421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29EE8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7C618E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21</w:t>
            </w:r>
          </w:p>
        </w:tc>
        <w:tc>
          <w:tcPr>
            <w:tcW w:w="1425" w:type="dxa"/>
            <w:vAlign w:val="center"/>
          </w:tcPr>
          <w:p w14:paraId="2AF59124">
            <w:pPr>
              <w:pStyle w:val="62"/>
              <w:keepNext w:val="0"/>
              <w:keepLines w:val="0"/>
              <w:suppressLineNumbers w:val="0"/>
              <w:snapToGrid w:val="0"/>
              <w:spacing w:before="0" w:beforeAutospacing="0" w:after="0" w:afterAutospacing="0" w:line="240" w:lineRule="auto"/>
              <w:ind w:left="0" w:leftChars="0" w:right="0" w:rightChars="0" w:firstLine="0" w:firstLineChars="0"/>
              <w:jc w:val="center"/>
              <w:rPr>
                <w:rFonts w:hint="default" w:ascii="宋体" w:hAnsi="宋体" w:eastAsia="宋体" w:cs="宋体"/>
                <w:color w:val="auto"/>
                <w:kern w:val="2"/>
                <w:sz w:val="21"/>
                <w:szCs w:val="21"/>
                <w:highlight w:val="none"/>
                <w:lang w:val="en-US" w:eastAsia="zh-CN"/>
              </w:rPr>
            </w:pPr>
            <w:r>
              <w:rPr>
                <w:rFonts w:hint="eastAsia" w:ascii="宋体" w:eastAsia="宋体" w:cs="宋体"/>
                <w:color w:val="auto"/>
                <w:kern w:val="2"/>
                <w:sz w:val="21"/>
                <w:szCs w:val="21"/>
                <w:highlight w:val="none"/>
                <w:lang w:val="en-US" w:eastAsia="zh-CN"/>
              </w:rPr>
              <w:t>/</w:t>
            </w:r>
          </w:p>
        </w:tc>
        <w:tc>
          <w:tcPr>
            <w:tcW w:w="3055" w:type="dxa"/>
            <w:vAlign w:val="center"/>
          </w:tcPr>
          <w:p w14:paraId="4D817F18">
            <w:pPr>
              <w:pStyle w:val="62"/>
              <w:keepNext w:val="0"/>
              <w:keepLines w:val="0"/>
              <w:suppressLineNumbers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color w:val="auto"/>
                <w:kern w:val="2"/>
                <w:sz w:val="21"/>
                <w:szCs w:val="21"/>
                <w:highlight w:val="none"/>
              </w:rPr>
            </w:pPr>
            <w:r>
              <w:rPr>
                <w:rFonts w:hint="eastAsia" w:ascii="宋体" w:eastAsia="宋体" w:cs="宋体"/>
                <w:color w:val="auto"/>
                <w:sz w:val="21"/>
                <w:szCs w:val="21"/>
                <w:highlight w:val="none"/>
              </w:rPr>
              <w:t>补充协议</w:t>
            </w:r>
          </w:p>
        </w:tc>
        <w:tc>
          <w:tcPr>
            <w:tcW w:w="1346" w:type="dxa"/>
            <w:vAlign w:val="center"/>
          </w:tcPr>
          <w:p w14:paraId="12D95B0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707C64E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2E05E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10E151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22</w:t>
            </w:r>
          </w:p>
        </w:tc>
        <w:tc>
          <w:tcPr>
            <w:tcW w:w="1425" w:type="dxa"/>
            <w:vAlign w:val="center"/>
          </w:tcPr>
          <w:p w14:paraId="350EC109">
            <w:pPr>
              <w:pStyle w:val="62"/>
              <w:keepNext w:val="0"/>
              <w:keepLines w:val="0"/>
              <w:suppressLineNumbers w:val="0"/>
              <w:spacing w:before="0" w:beforeAutospacing="0" w:after="0" w:afterAutospacing="0" w:line="400" w:lineRule="exact"/>
              <w:ind w:left="0" w:right="0" w:firstLine="0" w:firstLineChars="0"/>
              <w:contextualSpacing/>
              <w:jc w:val="center"/>
              <w:rPr>
                <w:rFonts w:hint="eastAsia" w:ascii="宋体" w:hAnsi="宋体" w:eastAsia="宋体" w:cs="宋体"/>
                <w:color w:val="auto"/>
                <w:kern w:val="2"/>
                <w:sz w:val="21"/>
                <w:szCs w:val="21"/>
                <w:highlight w:val="none"/>
              </w:rPr>
            </w:pPr>
            <w:r>
              <w:rPr>
                <w:rFonts w:hint="eastAsia" w:ascii="宋体" w:eastAsia="宋体"/>
                <w:color w:val="auto"/>
                <w:sz w:val="21"/>
                <w:szCs w:val="21"/>
                <w:highlight w:val="none"/>
              </w:rPr>
              <w:t>一</w:t>
            </w:r>
          </w:p>
        </w:tc>
        <w:tc>
          <w:tcPr>
            <w:tcW w:w="3055" w:type="dxa"/>
            <w:vAlign w:val="center"/>
          </w:tcPr>
          <w:p w14:paraId="14F9B964">
            <w:pPr>
              <w:pStyle w:val="62"/>
              <w:keepNext w:val="0"/>
              <w:keepLines w:val="0"/>
              <w:suppressLineNumbers w:val="0"/>
              <w:spacing w:before="0" w:beforeAutospacing="0" w:after="0" w:afterAutospacing="0" w:line="400" w:lineRule="exact"/>
              <w:ind w:left="0" w:right="0" w:firstLine="0" w:firstLineChars="0"/>
              <w:contextualSpacing/>
              <w:jc w:val="center"/>
              <w:rPr>
                <w:rFonts w:hint="eastAsia" w:ascii="宋体" w:hAnsi="宋体" w:eastAsia="宋体" w:cs="宋体"/>
                <w:color w:val="auto"/>
                <w:kern w:val="2"/>
                <w:sz w:val="21"/>
                <w:szCs w:val="21"/>
                <w:highlight w:val="none"/>
              </w:rPr>
            </w:pPr>
            <w:r>
              <w:rPr>
                <w:rFonts w:hint="eastAsia" w:ascii="宋体" w:eastAsia="宋体"/>
                <w:color w:val="auto"/>
                <w:sz w:val="21"/>
                <w:szCs w:val="21"/>
                <w:highlight w:val="none"/>
              </w:rPr>
              <w:t>不可撤销银行履约保函</w:t>
            </w:r>
          </w:p>
        </w:tc>
        <w:tc>
          <w:tcPr>
            <w:tcW w:w="1346" w:type="dxa"/>
            <w:vAlign w:val="center"/>
          </w:tcPr>
          <w:p w14:paraId="61720ED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3449120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2BAD3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72BB73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23</w:t>
            </w:r>
          </w:p>
        </w:tc>
        <w:tc>
          <w:tcPr>
            <w:tcW w:w="1425" w:type="dxa"/>
            <w:vAlign w:val="center"/>
          </w:tcPr>
          <w:p w14:paraId="6BF13FCF">
            <w:pPr>
              <w:pStyle w:val="62"/>
              <w:keepNext w:val="0"/>
              <w:keepLines w:val="0"/>
              <w:suppressLineNumbers w:val="0"/>
              <w:spacing w:before="0" w:beforeAutospacing="0" w:after="0" w:afterAutospacing="0" w:line="400" w:lineRule="exact"/>
              <w:ind w:left="0" w:right="0" w:firstLine="0" w:firstLineChars="0"/>
              <w:contextualSpacing/>
              <w:jc w:val="center"/>
              <w:rPr>
                <w:rFonts w:hint="eastAsia" w:ascii="宋体" w:hAnsi="宋体" w:eastAsia="宋体" w:cs="宋体"/>
                <w:color w:val="auto"/>
                <w:kern w:val="2"/>
                <w:sz w:val="21"/>
                <w:szCs w:val="21"/>
                <w:highlight w:val="none"/>
              </w:rPr>
            </w:pPr>
            <w:r>
              <w:rPr>
                <w:rFonts w:hint="eastAsia" w:ascii="宋体" w:eastAsia="宋体"/>
                <w:color w:val="auto"/>
                <w:sz w:val="21"/>
                <w:szCs w:val="21"/>
                <w:highlight w:val="none"/>
              </w:rPr>
              <w:t>二</w:t>
            </w:r>
          </w:p>
        </w:tc>
        <w:tc>
          <w:tcPr>
            <w:tcW w:w="3055" w:type="dxa"/>
            <w:vAlign w:val="center"/>
          </w:tcPr>
          <w:p w14:paraId="05D5A663">
            <w:pPr>
              <w:pStyle w:val="62"/>
              <w:keepNext w:val="0"/>
              <w:keepLines w:val="0"/>
              <w:suppressLineNumbers w:val="0"/>
              <w:spacing w:before="0" w:beforeAutospacing="0" w:after="0" w:afterAutospacing="0" w:line="400" w:lineRule="exact"/>
              <w:ind w:left="0" w:right="0" w:firstLine="0" w:firstLineChars="0"/>
              <w:contextualSpacing/>
              <w:jc w:val="center"/>
              <w:rPr>
                <w:rFonts w:hint="eastAsia" w:ascii="宋体" w:hAnsi="宋体" w:eastAsia="宋体" w:cs="宋体"/>
                <w:color w:val="auto"/>
                <w:kern w:val="2"/>
                <w:sz w:val="21"/>
                <w:szCs w:val="21"/>
                <w:highlight w:val="none"/>
              </w:rPr>
            </w:pPr>
            <w:r>
              <w:rPr>
                <w:rFonts w:hint="eastAsia" w:ascii="宋体" w:eastAsia="宋体"/>
                <w:color w:val="auto"/>
                <w:kern w:val="0"/>
                <w:sz w:val="21"/>
                <w:szCs w:val="21"/>
                <w:highlight w:val="none"/>
              </w:rPr>
              <w:t>履约保证保险凭证</w:t>
            </w:r>
          </w:p>
        </w:tc>
        <w:tc>
          <w:tcPr>
            <w:tcW w:w="1346" w:type="dxa"/>
            <w:vAlign w:val="center"/>
          </w:tcPr>
          <w:p w14:paraId="394225F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79B6445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0CD1B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701D90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w:t>
            </w:r>
          </w:p>
        </w:tc>
        <w:tc>
          <w:tcPr>
            <w:tcW w:w="1425" w:type="dxa"/>
            <w:vAlign w:val="center"/>
          </w:tcPr>
          <w:p w14:paraId="10C3ADF1">
            <w:pPr>
              <w:pStyle w:val="62"/>
              <w:keepNext w:val="0"/>
              <w:keepLines w:val="0"/>
              <w:suppressLineNumbers w:val="0"/>
              <w:spacing w:before="0" w:beforeAutospacing="0" w:after="0" w:afterAutospacing="0" w:line="400" w:lineRule="exact"/>
              <w:ind w:left="0" w:right="0" w:firstLine="0" w:firstLineChars="0"/>
              <w:contextualSpacing/>
              <w:jc w:val="center"/>
              <w:rPr>
                <w:rFonts w:hint="eastAsia" w:ascii="宋体" w:hAnsi="宋体" w:eastAsia="宋体" w:cs="宋体"/>
                <w:color w:val="auto"/>
                <w:kern w:val="2"/>
                <w:sz w:val="21"/>
                <w:szCs w:val="21"/>
                <w:highlight w:val="none"/>
              </w:rPr>
            </w:pPr>
            <w:r>
              <w:rPr>
                <w:rFonts w:hint="eastAsia" w:ascii="宋体" w:eastAsia="宋体"/>
                <w:color w:val="auto"/>
                <w:sz w:val="21"/>
                <w:szCs w:val="21"/>
                <w:highlight w:val="none"/>
              </w:rPr>
              <w:t>三</w:t>
            </w:r>
          </w:p>
        </w:tc>
        <w:tc>
          <w:tcPr>
            <w:tcW w:w="3055" w:type="dxa"/>
            <w:vAlign w:val="center"/>
          </w:tcPr>
          <w:p w14:paraId="29E88F67">
            <w:pPr>
              <w:pStyle w:val="62"/>
              <w:keepNext w:val="0"/>
              <w:keepLines w:val="0"/>
              <w:suppressLineNumbers w:val="0"/>
              <w:spacing w:before="0" w:beforeAutospacing="0" w:after="0" w:afterAutospacing="0" w:line="400" w:lineRule="exact"/>
              <w:ind w:left="0" w:right="0" w:firstLine="0" w:firstLineChars="0"/>
              <w:contextualSpacing/>
              <w:jc w:val="center"/>
              <w:rPr>
                <w:rFonts w:hint="eastAsia" w:ascii="宋体" w:hAnsi="宋体" w:eastAsia="宋体" w:cs="宋体"/>
                <w:color w:val="auto"/>
                <w:kern w:val="2"/>
                <w:sz w:val="21"/>
                <w:szCs w:val="21"/>
                <w:highlight w:val="none"/>
              </w:rPr>
            </w:pPr>
            <w:r>
              <w:rPr>
                <w:rFonts w:hint="eastAsia" w:ascii="宋体" w:eastAsia="宋体"/>
                <w:color w:val="auto"/>
                <w:kern w:val="0"/>
                <w:sz w:val="21"/>
                <w:szCs w:val="21"/>
                <w:highlight w:val="none"/>
              </w:rPr>
              <w:t>担保公司履约担保书</w:t>
            </w:r>
          </w:p>
        </w:tc>
        <w:tc>
          <w:tcPr>
            <w:tcW w:w="1346" w:type="dxa"/>
            <w:vAlign w:val="center"/>
          </w:tcPr>
          <w:p w14:paraId="2FA8946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701A9C8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bl>
    <w:p w14:paraId="7FDD00E8">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highlight w:val="none"/>
          <w:lang w:val="zh-CN"/>
        </w:rPr>
      </w:pPr>
    </w:p>
    <w:p w14:paraId="6770E825">
      <w:pPr>
        <w:autoSpaceDE w:val="0"/>
        <w:autoSpaceDN w:val="0"/>
        <w:adjustRightInd w:val="0"/>
        <w:snapToGrid w:val="0"/>
        <w:spacing w:line="360" w:lineRule="auto"/>
        <w:ind w:left="166" w:leftChars="-101" w:hanging="378" w:hangingChars="18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备注：</w:t>
      </w:r>
    </w:p>
    <w:p w14:paraId="2E85FF69">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Times New Roman"/>
          <w:b/>
          <w:color w:val="auto"/>
          <w:kern w:val="0"/>
          <w:szCs w:val="21"/>
          <w:highlight w:val="none"/>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r>
        <w:rPr>
          <w:rFonts w:hint="eastAsia" w:ascii="宋体" w:hAnsi="宋体" w:eastAsia="宋体" w:cs="Times New Roman"/>
          <w:b/>
          <w:color w:val="auto"/>
          <w:kern w:val="0"/>
          <w:szCs w:val="21"/>
          <w:highlight w:val="none"/>
        </w:rPr>
        <w:t>。</w:t>
      </w:r>
    </w:p>
    <w:p w14:paraId="58D248C5">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（2）偏离情况（投标文件对招标文件合同条款的响应程度）分为：正偏离、负偏离、无偏离。正偏离是指投标人提供的货物</w:t>
      </w:r>
      <w:r>
        <w:rPr>
          <w:rFonts w:hint="eastAsia" w:ascii="宋体" w:hAnsi="宋体" w:eastAsia="宋体" w:cs="宋体"/>
          <w:color w:val="auto"/>
          <w:szCs w:val="21"/>
          <w:highlight w:val="none"/>
          <w:lang w:val="en-US" w:eastAsia="zh-CN"/>
        </w:rPr>
        <w:t>及有关服务</w:t>
      </w:r>
      <w:r>
        <w:rPr>
          <w:rFonts w:hint="eastAsia" w:ascii="宋体" w:hAnsi="宋体" w:eastAsia="宋体" w:cs="宋体"/>
          <w:color w:val="auto"/>
          <w:szCs w:val="21"/>
          <w:highlight w:val="none"/>
        </w:rPr>
        <w:t>商务条件优于招标文件的要求；负偏离是指投标人提供的货物</w:t>
      </w:r>
      <w:r>
        <w:rPr>
          <w:rFonts w:hint="eastAsia" w:ascii="宋体" w:hAnsi="宋体" w:eastAsia="宋体" w:cs="宋体"/>
          <w:color w:val="auto"/>
          <w:szCs w:val="21"/>
          <w:highlight w:val="none"/>
          <w:lang w:val="en-US" w:eastAsia="zh-CN"/>
        </w:rPr>
        <w:t>及有关服务</w:t>
      </w:r>
      <w:r>
        <w:rPr>
          <w:rFonts w:hint="eastAsia" w:ascii="宋体" w:hAnsi="宋体" w:eastAsia="宋体" w:cs="宋体"/>
          <w:color w:val="auto"/>
          <w:szCs w:val="21"/>
          <w:highlight w:val="none"/>
        </w:rPr>
        <w:t>商务条件不满足或不完全满足招标文件的要求；无偏离是指投标人提供的货物</w:t>
      </w:r>
      <w:r>
        <w:rPr>
          <w:rFonts w:hint="eastAsia" w:ascii="宋体" w:hAnsi="宋体" w:eastAsia="宋体" w:cs="宋体"/>
          <w:color w:val="auto"/>
          <w:szCs w:val="21"/>
          <w:highlight w:val="none"/>
          <w:lang w:val="en-US" w:eastAsia="zh-CN"/>
        </w:rPr>
        <w:t>及有关服务</w:t>
      </w:r>
      <w:r>
        <w:rPr>
          <w:rFonts w:hint="eastAsia" w:ascii="宋体" w:hAnsi="宋体" w:eastAsia="宋体" w:cs="宋体"/>
          <w:color w:val="auto"/>
          <w:szCs w:val="21"/>
          <w:highlight w:val="none"/>
        </w:rPr>
        <w:t>商务条件完全满足招标文件的要求。</w:t>
      </w:r>
    </w:p>
    <w:p w14:paraId="794275D8">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3）招标文件“第五篇 相关保函格式”作为重要的商务条款，投标人的响应情况列入本合同条款偏离表。</w:t>
      </w:r>
    </w:p>
    <w:p w14:paraId="3AC5B86E">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4</w:t>
      </w:r>
      <w:r>
        <w:rPr>
          <w:rFonts w:hint="eastAsia" w:ascii="宋体" w:hAnsi="宋体" w:eastAsia="宋体" w:cs="宋体"/>
          <w:color w:val="auto"/>
          <w:szCs w:val="21"/>
          <w:highlight w:val="none"/>
        </w:rPr>
        <w:t>）如投标人差异内容较多可另附页说明，并在本偏离表“具体偏离内容”项注明其在投标文件中的具体页码。</w:t>
      </w:r>
    </w:p>
    <w:p w14:paraId="027368D7">
      <w:pPr>
        <w:spacing w:line="360" w:lineRule="auto"/>
        <w:ind w:left="357" w:leftChars="-100" w:hanging="567" w:hangingChars="270"/>
        <w:rPr>
          <w:rFonts w:ascii="宋体" w:hAnsi="宋体" w:eastAsia="宋体" w:cs="宋体"/>
          <w:color w:val="auto"/>
          <w:szCs w:val="21"/>
          <w:highlight w:val="none"/>
        </w:rPr>
      </w:pPr>
    </w:p>
    <w:p w14:paraId="78024F71">
      <w:pPr>
        <w:spacing w:line="360" w:lineRule="auto"/>
        <w:ind w:left="357" w:leftChars="-100" w:hanging="567" w:hangingChars="270"/>
        <w:rPr>
          <w:rFonts w:ascii="宋体" w:hAnsi="宋体" w:eastAsia="宋体" w:cs="宋体"/>
          <w:color w:val="auto"/>
          <w:szCs w:val="21"/>
          <w:highlight w:val="none"/>
        </w:rPr>
      </w:pPr>
    </w:p>
    <w:p w14:paraId="512BE224">
      <w:pPr>
        <w:spacing w:line="360" w:lineRule="auto"/>
        <w:ind w:left="357" w:leftChars="-100" w:hanging="567" w:hangingChars="270"/>
        <w:rPr>
          <w:rFonts w:ascii="宋体" w:hAnsi="宋体" w:eastAsia="宋体" w:cs="宋体"/>
          <w:color w:val="auto"/>
          <w:szCs w:val="21"/>
          <w:highlight w:val="none"/>
        </w:rPr>
      </w:pPr>
    </w:p>
    <w:p w14:paraId="360D123A">
      <w:pPr>
        <w:spacing w:line="360" w:lineRule="auto"/>
        <w:ind w:right="368" w:rightChars="175" w:firstLine="5355" w:firstLineChars="2550"/>
        <w:jc w:val="left"/>
        <w:rPr>
          <w:rFonts w:ascii="宋体" w:hAnsi="宋体" w:eastAsia="宋体" w:cs="宋体"/>
          <w:color w:val="auto"/>
          <w:kern w:val="0"/>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14:paraId="3BD8041F">
      <w:pPr>
        <w:autoSpaceDE w:val="0"/>
        <w:autoSpaceDN w:val="0"/>
        <w:adjustRightInd w:val="0"/>
        <w:spacing w:line="360" w:lineRule="auto"/>
        <w:ind w:firstLine="5355" w:firstLineChars="2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14:paraId="26E3006B">
      <w:pPr>
        <w:autoSpaceDE w:val="0"/>
        <w:autoSpaceDN w:val="0"/>
        <w:adjustRightInd w:val="0"/>
        <w:spacing w:line="360" w:lineRule="auto"/>
        <w:ind w:firstLine="0" w:firstLineChars="0"/>
        <w:jc w:val="left"/>
        <w:outlineLvl w:val="1"/>
        <w:rPr>
          <w:rFonts w:ascii="宋体" w:hAnsi="宋体" w:eastAsia="宋体" w:cs="宋体"/>
          <w:b/>
          <w:color w:val="auto"/>
          <w:kern w:val="0"/>
          <w:sz w:val="32"/>
          <w:szCs w:val="32"/>
          <w:highlight w:val="none"/>
        </w:rPr>
      </w:pPr>
      <w:r>
        <w:rPr>
          <w:rFonts w:hint="eastAsia" w:ascii="宋体" w:hAnsi="宋体" w:eastAsia="宋体" w:cs="宋体"/>
          <w:b/>
          <w:bCs/>
          <w:color w:val="auto"/>
          <w:kern w:val="0"/>
          <w:sz w:val="30"/>
          <w:szCs w:val="30"/>
          <w:highlight w:val="none"/>
          <w:lang w:val="zh-CN"/>
        </w:rPr>
        <w:br w:type="page"/>
      </w:r>
      <w:bookmarkStart w:id="742" w:name="_Toc142508377"/>
      <w:bookmarkStart w:id="743" w:name="_Toc102860426"/>
      <w:bookmarkStart w:id="744" w:name="_Toc104991884"/>
      <w:bookmarkStart w:id="745" w:name="_Toc2075"/>
      <w:bookmarkStart w:id="746" w:name="_Toc13348"/>
      <w:bookmarkStart w:id="747" w:name="_Toc94107218"/>
      <w:bookmarkStart w:id="748" w:name="_Toc18792"/>
      <w:bookmarkStart w:id="749" w:name="_Toc102860082"/>
      <w:bookmarkStart w:id="750" w:name="_Toc19920"/>
      <w:bookmarkStart w:id="751" w:name="_Toc140596937"/>
      <w:bookmarkStart w:id="752" w:name="_Toc27980_WPSOffice_Level2"/>
      <w:bookmarkStart w:id="753" w:name="_Toc486167717"/>
      <w:r>
        <w:rPr>
          <w:rFonts w:hint="eastAsia" w:ascii="宋体" w:hAnsi="宋体" w:eastAsia="宋体" w:cs="宋体"/>
          <w:b/>
          <w:bCs/>
          <w:color w:val="auto"/>
          <w:kern w:val="0"/>
          <w:sz w:val="32"/>
          <w:szCs w:val="32"/>
          <w:highlight w:val="none"/>
          <w:lang w:val="en-US" w:eastAsia="zh-CN"/>
        </w:rPr>
        <w:t>十</w:t>
      </w:r>
      <w:r>
        <w:rPr>
          <w:rFonts w:hint="eastAsia" w:ascii="宋体" w:hAnsi="宋体" w:eastAsia="宋体" w:cs="宋体"/>
          <w:b/>
          <w:color w:val="auto"/>
          <w:kern w:val="0"/>
          <w:sz w:val="32"/>
          <w:szCs w:val="32"/>
          <w:highlight w:val="none"/>
        </w:rPr>
        <w:t>、业绩表格式</w:t>
      </w:r>
      <w:bookmarkEnd w:id="742"/>
      <w:bookmarkEnd w:id="743"/>
      <w:bookmarkEnd w:id="744"/>
      <w:bookmarkEnd w:id="745"/>
      <w:bookmarkEnd w:id="746"/>
      <w:bookmarkEnd w:id="747"/>
      <w:bookmarkEnd w:id="748"/>
      <w:bookmarkEnd w:id="749"/>
      <w:bookmarkEnd w:id="750"/>
      <w:bookmarkEnd w:id="751"/>
    </w:p>
    <w:p w14:paraId="6F84A1C9">
      <w:pPr>
        <w:autoSpaceDE w:val="0"/>
        <w:autoSpaceDN w:val="0"/>
        <w:adjustRightInd w:val="0"/>
        <w:spacing w:line="360" w:lineRule="auto"/>
        <w:jc w:val="center"/>
        <w:rPr>
          <w:rFonts w:hint="eastAsia" w:ascii="宋体" w:hAnsi="宋体" w:eastAsia="宋体" w:cs="宋体"/>
          <w:b/>
          <w:bCs/>
          <w:color w:val="auto"/>
          <w:kern w:val="0"/>
          <w:sz w:val="28"/>
          <w:szCs w:val="30"/>
          <w:highlight w:val="none"/>
          <w:lang w:val="zh-CN"/>
        </w:rPr>
      </w:pPr>
      <w:bookmarkStart w:id="754" w:name="_Toc16043"/>
      <w:r>
        <w:rPr>
          <w:rFonts w:hint="eastAsia" w:ascii="宋体" w:hAnsi="宋体" w:eastAsia="宋体" w:cs="宋体"/>
          <w:b/>
          <w:bCs/>
          <w:color w:val="auto"/>
          <w:kern w:val="0"/>
          <w:sz w:val="28"/>
          <w:szCs w:val="30"/>
          <w:highlight w:val="none"/>
          <w:lang w:val="zh-CN"/>
        </w:rPr>
        <w:t>投标人202</w:t>
      </w:r>
      <w:r>
        <w:rPr>
          <w:rFonts w:hint="eastAsia" w:ascii="宋体" w:hAnsi="宋体" w:eastAsia="宋体" w:cs="宋体"/>
          <w:b/>
          <w:bCs/>
          <w:color w:val="auto"/>
          <w:kern w:val="0"/>
          <w:sz w:val="28"/>
          <w:szCs w:val="30"/>
          <w:highlight w:val="none"/>
          <w:lang w:val="en-US" w:eastAsia="zh-CN"/>
        </w:rPr>
        <w:t>2</w:t>
      </w:r>
      <w:r>
        <w:rPr>
          <w:rFonts w:hint="eastAsia" w:ascii="宋体" w:hAnsi="宋体" w:eastAsia="宋体" w:cs="宋体"/>
          <w:b/>
          <w:bCs/>
          <w:color w:val="auto"/>
          <w:kern w:val="0"/>
          <w:sz w:val="28"/>
          <w:szCs w:val="30"/>
          <w:highlight w:val="none"/>
          <w:lang w:val="zh-CN"/>
        </w:rPr>
        <w:t>年</w:t>
      </w:r>
      <w:r>
        <w:rPr>
          <w:rFonts w:hint="eastAsia" w:ascii="宋体" w:hAnsi="宋体" w:eastAsia="宋体" w:cs="宋体"/>
          <w:b/>
          <w:bCs/>
          <w:color w:val="auto"/>
          <w:kern w:val="0"/>
          <w:sz w:val="28"/>
          <w:szCs w:val="30"/>
          <w:highlight w:val="none"/>
          <w:lang w:val="en-US" w:eastAsia="zh-CN"/>
        </w:rPr>
        <w:t>1月1日</w:t>
      </w:r>
      <w:r>
        <w:rPr>
          <w:rFonts w:hint="eastAsia" w:ascii="宋体" w:hAnsi="宋体" w:eastAsia="宋体" w:cs="宋体"/>
          <w:b/>
          <w:bCs/>
          <w:color w:val="auto"/>
          <w:kern w:val="0"/>
          <w:sz w:val="28"/>
          <w:szCs w:val="30"/>
          <w:highlight w:val="none"/>
          <w:lang w:val="zh-CN"/>
        </w:rPr>
        <w:t>以来具有</w:t>
      </w:r>
      <w:r>
        <w:rPr>
          <w:rFonts w:hint="eastAsia" w:ascii="宋体" w:hAnsi="宋体" w:eastAsia="宋体" w:cs="宋体"/>
          <w:b/>
          <w:bCs/>
          <w:color w:val="auto"/>
          <w:kern w:val="0"/>
          <w:sz w:val="28"/>
          <w:szCs w:val="30"/>
          <w:highlight w:val="none"/>
          <w:lang w:val="en-US" w:eastAsia="zh-CN"/>
        </w:rPr>
        <w:t>投标品牌</w:t>
      </w:r>
      <w:r>
        <w:rPr>
          <w:rFonts w:hint="eastAsia" w:ascii="宋体" w:hAnsi="宋体" w:eastAsia="宋体" w:cs="宋体"/>
          <w:b/>
          <w:bCs/>
          <w:color w:val="auto"/>
          <w:kern w:val="0"/>
          <w:sz w:val="28"/>
          <w:szCs w:val="30"/>
          <w:highlight w:val="none"/>
          <w:lang w:val="zh-CN"/>
        </w:rPr>
        <w:t>液体柠檬酸供货业绩表</w:t>
      </w:r>
      <w:bookmarkEnd w:id="754"/>
    </w:p>
    <w:p w14:paraId="649567F2">
      <w:pPr>
        <w:pStyle w:val="21"/>
        <w:spacing w:line="360" w:lineRule="auto"/>
        <w:ind w:left="4" w:leftChars="2"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本项业绩必须为：投标人</w:t>
      </w:r>
      <w:r>
        <w:rPr>
          <w:rFonts w:hint="eastAsia" w:ascii="宋体" w:hAnsi="宋体" w:eastAsia="宋体" w:cs="宋体"/>
          <w:color w:val="auto"/>
          <w:sz w:val="21"/>
          <w:szCs w:val="21"/>
          <w:highlight w:val="none"/>
          <w:lang w:val="zh-CN"/>
        </w:rPr>
        <w:t>202</w:t>
      </w:r>
      <w:r>
        <w:rPr>
          <w:rFonts w:hint="eastAsia" w:hAnsi="宋体" w:cs="宋体"/>
          <w:color w:val="auto"/>
          <w:sz w:val="21"/>
          <w:szCs w:val="21"/>
          <w:highlight w:val="none"/>
          <w:lang w:val="en-US" w:eastAsia="zh-CN"/>
        </w:rPr>
        <w:t>2</w:t>
      </w:r>
      <w:r>
        <w:rPr>
          <w:rFonts w:hint="eastAsia" w:ascii="宋体" w:hAnsi="宋体" w:eastAsia="宋体" w:cs="宋体"/>
          <w:color w:val="auto"/>
          <w:sz w:val="21"/>
          <w:szCs w:val="21"/>
          <w:highlight w:val="none"/>
          <w:lang w:val="zh-CN"/>
        </w:rPr>
        <w:t>年</w:t>
      </w:r>
      <w:r>
        <w:rPr>
          <w:rFonts w:hint="eastAsia" w:ascii="宋体" w:hAnsi="宋体" w:eastAsia="宋体" w:cs="宋体"/>
          <w:color w:val="auto"/>
          <w:sz w:val="21"/>
          <w:szCs w:val="21"/>
          <w:highlight w:val="none"/>
          <w:lang w:val="en-US" w:eastAsia="zh-CN"/>
        </w:rPr>
        <w:t>1月1日</w:t>
      </w:r>
      <w:r>
        <w:rPr>
          <w:rFonts w:hint="eastAsia" w:ascii="宋体" w:hAnsi="宋体" w:eastAsia="宋体" w:cs="宋体"/>
          <w:color w:val="auto"/>
          <w:sz w:val="21"/>
          <w:szCs w:val="21"/>
          <w:highlight w:val="none"/>
        </w:rPr>
        <w:t>以来具有的</w:t>
      </w:r>
      <w:r>
        <w:rPr>
          <w:rFonts w:hint="eastAsia" w:ascii="宋体" w:hAnsi="宋体" w:eastAsia="宋体" w:cs="宋体"/>
          <w:color w:val="auto"/>
          <w:sz w:val="21"/>
          <w:szCs w:val="21"/>
          <w:highlight w:val="none"/>
          <w:lang w:val="en-US" w:eastAsia="zh-CN"/>
        </w:rPr>
        <w:t>投标品牌</w:t>
      </w:r>
      <w:r>
        <w:rPr>
          <w:rFonts w:hint="eastAsia" w:ascii="宋体" w:hAnsi="宋体" w:eastAsia="宋体" w:cs="宋体"/>
          <w:color w:val="auto"/>
          <w:sz w:val="21"/>
          <w:szCs w:val="21"/>
          <w:highlight w:val="none"/>
        </w:rPr>
        <w:t>液体柠檬酸供货业绩（</w:t>
      </w:r>
      <w:r>
        <w:rPr>
          <w:rFonts w:hint="eastAsia" w:hAnsi="宋体" w:cs="宋体"/>
          <w:color w:val="auto"/>
          <w:szCs w:val="21"/>
          <w:highlight w:val="none"/>
        </w:rPr>
        <w:t>合同签订日期</w:t>
      </w:r>
      <w:r>
        <w:rPr>
          <w:rFonts w:hint="eastAsia" w:ascii="宋体" w:hAnsi="宋体" w:eastAsia="宋体" w:cs="宋体"/>
          <w:color w:val="auto"/>
          <w:sz w:val="21"/>
          <w:szCs w:val="21"/>
          <w:highlight w:val="none"/>
        </w:rPr>
        <w:t>为</w:t>
      </w:r>
      <w:r>
        <w:rPr>
          <w:rFonts w:hint="eastAsia" w:ascii="宋体" w:hAnsi="宋体" w:eastAsia="宋体" w:cs="宋体"/>
          <w:color w:val="auto"/>
          <w:sz w:val="21"/>
          <w:szCs w:val="21"/>
          <w:highlight w:val="none"/>
          <w:lang w:val="zh-CN"/>
        </w:rPr>
        <w:t>202</w:t>
      </w:r>
      <w:r>
        <w:rPr>
          <w:rFonts w:hint="eastAsia" w:hAnsi="宋体" w:cs="宋体"/>
          <w:color w:val="auto"/>
          <w:sz w:val="21"/>
          <w:szCs w:val="21"/>
          <w:highlight w:val="none"/>
          <w:lang w:val="en-US" w:eastAsia="zh-CN"/>
        </w:rPr>
        <w:t>2</w:t>
      </w:r>
      <w:r>
        <w:rPr>
          <w:rFonts w:hint="eastAsia" w:ascii="宋体" w:hAnsi="宋体" w:eastAsia="宋体" w:cs="宋体"/>
          <w:color w:val="auto"/>
          <w:sz w:val="21"/>
          <w:szCs w:val="21"/>
          <w:highlight w:val="none"/>
          <w:lang w:val="zh-CN"/>
        </w:rPr>
        <w:t>年</w:t>
      </w:r>
      <w:r>
        <w:rPr>
          <w:rFonts w:hint="eastAsia" w:ascii="宋体" w:hAnsi="宋体" w:eastAsia="宋体" w:cs="宋体"/>
          <w:color w:val="auto"/>
          <w:sz w:val="21"/>
          <w:szCs w:val="21"/>
          <w:highlight w:val="none"/>
          <w:lang w:val="en-US" w:eastAsia="zh-CN"/>
        </w:rPr>
        <w:t>1月1日</w:t>
      </w:r>
      <w:r>
        <w:rPr>
          <w:rFonts w:hint="eastAsia" w:ascii="宋体" w:hAnsi="宋体" w:eastAsia="宋体" w:cs="宋体"/>
          <w:color w:val="auto"/>
          <w:sz w:val="21"/>
          <w:szCs w:val="21"/>
          <w:highlight w:val="none"/>
        </w:rPr>
        <w:t>或以后）。</w:t>
      </w:r>
    </w:p>
    <w:tbl>
      <w:tblPr>
        <w:tblStyle w:val="37"/>
        <w:tblW w:w="4662"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20"/>
        <w:gridCol w:w="1254"/>
        <w:gridCol w:w="1779"/>
        <w:gridCol w:w="1643"/>
        <w:gridCol w:w="1049"/>
        <w:gridCol w:w="943"/>
        <w:gridCol w:w="1393"/>
        <w:gridCol w:w="888"/>
      </w:tblGrid>
      <w:tr w14:paraId="0C022B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45" w:hRule="atLeast"/>
          <w:jc w:val="center"/>
        </w:trPr>
        <w:tc>
          <w:tcPr>
            <w:tcW w:w="372" w:type="pct"/>
            <w:tcBorders>
              <w:top w:val="single" w:color="auto" w:sz="4" w:space="0"/>
              <w:left w:val="single" w:color="auto" w:sz="4" w:space="0"/>
              <w:bottom w:val="single" w:color="auto" w:sz="4" w:space="0"/>
              <w:right w:val="single" w:color="auto" w:sz="4" w:space="0"/>
            </w:tcBorders>
            <w:noWrap w:val="0"/>
            <w:vAlign w:val="center"/>
          </w:tcPr>
          <w:p w14:paraId="523C972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zh-CN"/>
              </w:rPr>
              <w:t>序号</w:t>
            </w:r>
          </w:p>
        </w:tc>
        <w:tc>
          <w:tcPr>
            <w:tcW w:w="648" w:type="pct"/>
            <w:tcBorders>
              <w:top w:val="single" w:color="auto" w:sz="4" w:space="0"/>
              <w:left w:val="single" w:color="auto" w:sz="4" w:space="0"/>
              <w:bottom w:val="single" w:color="auto" w:sz="4" w:space="0"/>
              <w:right w:val="single" w:color="auto" w:sz="4" w:space="0"/>
            </w:tcBorders>
            <w:noWrap w:val="0"/>
            <w:vAlign w:val="center"/>
          </w:tcPr>
          <w:p w14:paraId="0CC14A0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项目</w:t>
            </w:r>
          </w:p>
          <w:p w14:paraId="490E8F2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zh-CN"/>
              </w:rPr>
              <w:t>名称</w:t>
            </w:r>
          </w:p>
        </w:tc>
        <w:tc>
          <w:tcPr>
            <w:tcW w:w="919" w:type="pct"/>
            <w:tcBorders>
              <w:top w:val="single" w:color="auto" w:sz="4" w:space="0"/>
              <w:left w:val="single" w:color="auto" w:sz="4" w:space="0"/>
              <w:bottom w:val="single" w:color="auto" w:sz="4" w:space="0"/>
              <w:right w:val="single" w:color="auto" w:sz="4" w:space="0"/>
            </w:tcBorders>
            <w:noWrap w:val="0"/>
            <w:vAlign w:val="center"/>
          </w:tcPr>
          <w:p w14:paraId="7353C35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合同标的货物名称、品牌、数量</w:t>
            </w:r>
          </w:p>
        </w:tc>
        <w:tc>
          <w:tcPr>
            <w:tcW w:w="849" w:type="pct"/>
            <w:tcBorders>
              <w:top w:val="single" w:color="auto" w:sz="4" w:space="0"/>
              <w:left w:val="single" w:color="auto" w:sz="4" w:space="0"/>
              <w:bottom w:val="single" w:color="auto" w:sz="4" w:space="0"/>
              <w:right w:val="single" w:color="auto" w:sz="4" w:space="0"/>
            </w:tcBorders>
            <w:noWrap w:val="0"/>
            <w:vAlign w:val="center"/>
          </w:tcPr>
          <w:p w14:paraId="1B444D4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zh-CN"/>
              </w:rPr>
              <w:t>单项合同金额（单位：万元）</w:t>
            </w:r>
          </w:p>
        </w:tc>
        <w:tc>
          <w:tcPr>
            <w:tcW w:w="542" w:type="pct"/>
            <w:tcBorders>
              <w:top w:val="single" w:color="auto" w:sz="4" w:space="0"/>
              <w:left w:val="single" w:color="auto" w:sz="4" w:space="0"/>
              <w:bottom w:val="single" w:color="auto" w:sz="4" w:space="0"/>
              <w:right w:val="single" w:color="auto" w:sz="4" w:space="0"/>
            </w:tcBorders>
            <w:noWrap w:val="0"/>
            <w:vAlign w:val="center"/>
          </w:tcPr>
          <w:p w14:paraId="4A69967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签约</w:t>
            </w:r>
          </w:p>
          <w:p w14:paraId="1F533A0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zh-CN"/>
              </w:rPr>
              <w:t>日期</w:t>
            </w:r>
          </w:p>
        </w:tc>
        <w:tc>
          <w:tcPr>
            <w:tcW w:w="487" w:type="pct"/>
            <w:tcBorders>
              <w:top w:val="single" w:color="auto" w:sz="4" w:space="0"/>
              <w:left w:val="single" w:color="auto" w:sz="4" w:space="0"/>
              <w:bottom w:val="single" w:color="auto" w:sz="4" w:space="0"/>
              <w:right w:val="single" w:color="auto" w:sz="4" w:space="0"/>
            </w:tcBorders>
            <w:noWrap w:val="0"/>
            <w:vAlign w:val="center"/>
          </w:tcPr>
          <w:p w14:paraId="29AA786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完成</w:t>
            </w:r>
          </w:p>
          <w:p w14:paraId="117E103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zh-CN"/>
              </w:rPr>
              <w:t>情况</w:t>
            </w:r>
          </w:p>
        </w:tc>
        <w:tc>
          <w:tcPr>
            <w:tcW w:w="720" w:type="pct"/>
            <w:tcBorders>
              <w:top w:val="single" w:color="auto" w:sz="4" w:space="0"/>
              <w:left w:val="single" w:color="auto" w:sz="4" w:space="0"/>
              <w:bottom w:val="single" w:color="auto" w:sz="4" w:space="0"/>
              <w:right w:val="single" w:color="auto" w:sz="4" w:space="0"/>
            </w:tcBorders>
            <w:noWrap w:val="0"/>
            <w:vAlign w:val="center"/>
          </w:tcPr>
          <w:p w14:paraId="1C8BDEB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zh-CN"/>
              </w:rPr>
              <w:t>买方单位</w:t>
            </w:r>
            <w:r>
              <w:rPr>
                <w:rFonts w:hint="eastAsia" w:ascii="宋体" w:hAnsi="宋体" w:eastAsia="宋体" w:cs="宋体"/>
                <w:color w:val="auto"/>
                <w:szCs w:val="21"/>
                <w:highlight w:val="none"/>
                <w:lang w:val="zh-CN"/>
              </w:rPr>
              <w:t>联系人及</w:t>
            </w:r>
            <w:r>
              <w:rPr>
                <w:rFonts w:hint="eastAsia" w:ascii="宋体" w:hAnsi="宋体" w:eastAsia="宋体" w:cs="宋体"/>
                <w:color w:val="auto"/>
                <w:kern w:val="2"/>
                <w:sz w:val="21"/>
                <w:szCs w:val="21"/>
                <w:highlight w:val="none"/>
                <w:lang w:val="zh-CN"/>
              </w:rPr>
              <w:t>电话</w:t>
            </w:r>
          </w:p>
        </w:tc>
        <w:tc>
          <w:tcPr>
            <w:tcW w:w="459" w:type="pct"/>
            <w:tcBorders>
              <w:top w:val="single" w:color="auto" w:sz="4" w:space="0"/>
              <w:left w:val="single" w:color="auto" w:sz="4" w:space="0"/>
              <w:bottom w:val="single" w:color="auto" w:sz="4" w:space="0"/>
              <w:right w:val="single" w:color="auto" w:sz="4" w:space="0"/>
            </w:tcBorders>
            <w:noWrap w:val="0"/>
            <w:vAlign w:val="center"/>
          </w:tcPr>
          <w:p w14:paraId="73EAE34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zh-CN"/>
              </w:rPr>
              <w:t>备注</w:t>
            </w:r>
          </w:p>
        </w:tc>
      </w:tr>
      <w:tr w14:paraId="6CB686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jc w:val="center"/>
        </w:trPr>
        <w:tc>
          <w:tcPr>
            <w:tcW w:w="372" w:type="pct"/>
            <w:tcBorders>
              <w:top w:val="single" w:color="auto" w:sz="4" w:space="0"/>
              <w:left w:val="single" w:color="auto" w:sz="4" w:space="0"/>
              <w:bottom w:val="single" w:color="auto" w:sz="4" w:space="0"/>
              <w:right w:val="single" w:color="auto" w:sz="4" w:space="0"/>
            </w:tcBorders>
            <w:noWrap w:val="0"/>
            <w:vAlign w:val="center"/>
          </w:tcPr>
          <w:p w14:paraId="09F75ED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w:t>
            </w:r>
          </w:p>
        </w:tc>
        <w:tc>
          <w:tcPr>
            <w:tcW w:w="648" w:type="pct"/>
            <w:tcBorders>
              <w:top w:val="single" w:color="auto" w:sz="4" w:space="0"/>
              <w:left w:val="single" w:color="auto" w:sz="4" w:space="0"/>
              <w:bottom w:val="single" w:color="auto" w:sz="4" w:space="0"/>
              <w:right w:val="single" w:color="auto" w:sz="4" w:space="0"/>
            </w:tcBorders>
            <w:noWrap w:val="0"/>
            <w:vAlign w:val="center"/>
          </w:tcPr>
          <w:p w14:paraId="6A851F5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919" w:type="pct"/>
            <w:tcBorders>
              <w:top w:val="single" w:color="auto" w:sz="4" w:space="0"/>
              <w:left w:val="single" w:color="auto" w:sz="4" w:space="0"/>
              <w:bottom w:val="single" w:color="auto" w:sz="4" w:space="0"/>
              <w:right w:val="single" w:color="auto" w:sz="4" w:space="0"/>
            </w:tcBorders>
            <w:noWrap w:val="0"/>
            <w:vAlign w:val="center"/>
          </w:tcPr>
          <w:p w14:paraId="0EA5863F">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kern w:val="2"/>
                <w:sz w:val="21"/>
                <w:szCs w:val="21"/>
                <w:highlight w:val="none"/>
              </w:rPr>
            </w:pPr>
          </w:p>
        </w:tc>
        <w:tc>
          <w:tcPr>
            <w:tcW w:w="849" w:type="pct"/>
            <w:tcBorders>
              <w:top w:val="single" w:color="auto" w:sz="4" w:space="0"/>
              <w:left w:val="single" w:color="auto" w:sz="4" w:space="0"/>
              <w:bottom w:val="single" w:color="auto" w:sz="4" w:space="0"/>
              <w:right w:val="single" w:color="auto" w:sz="4" w:space="0"/>
            </w:tcBorders>
            <w:noWrap w:val="0"/>
            <w:vAlign w:val="center"/>
          </w:tcPr>
          <w:p w14:paraId="620A2A0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542" w:type="pct"/>
            <w:tcBorders>
              <w:top w:val="single" w:color="auto" w:sz="4" w:space="0"/>
              <w:left w:val="single" w:color="auto" w:sz="4" w:space="0"/>
              <w:bottom w:val="single" w:color="auto" w:sz="4" w:space="0"/>
              <w:right w:val="single" w:color="auto" w:sz="4" w:space="0"/>
            </w:tcBorders>
            <w:noWrap w:val="0"/>
            <w:vAlign w:val="center"/>
          </w:tcPr>
          <w:p w14:paraId="2E2083D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487" w:type="pct"/>
            <w:tcBorders>
              <w:top w:val="single" w:color="auto" w:sz="4" w:space="0"/>
              <w:left w:val="single" w:color="auto" w:sz="4" w:space="0"/>
              <w:bottom w:val="single" w:color="auto" w:sz="4" w:space="0"/>
              <w:right w:val="single" w:color="auto" w:sz="4" w:space="0"/>
            </w:tcBorders>
            <w:noWrap w:val="0"/>
            <w:vAlign w:val="center"/>
          </w:tcPr>
          <w:p w14:paraId="55E1D13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720" w:type="pct"/>
            <w:tcBorders>
              <w:top w:val="single" w:color="auto" w:sz="4" w:space="0"/>
              <w:left w:val="single" w:color="auto" w:sz="4" w:space="0"/>
              <w:bottom w:val="single" w:color="auto" w:sz="4" w:space="0"/>
              <w:right w:val="single" w:color="auto" w:sz="4" w:space="0"/>
            </w:tcBorders>
            <w:noWrap w:val="0"/>
            <w:vAlign w:val="center"/>
          </w:tcPr>
          <w:p w14:paraId="07496E2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459" w:type="pct"/>
            <w:tcBorders>
              <w:top w:val="single" w:color="auto" w:sz="4" w:space="0"/>
              <w:left w:val="single" w:color="auto" w:sz="4" w:space="0"/>
              <w:bottom w:val="single" w:color="auto" w:sz="4" w:space="0"/>
              <w:right w:val="single" w:color="auto" w:sz="4" w:space="0"/>
            </w:tcBorders>
            <w:noWrap w:val="0"/>
            <w:vAlign w:val="center"/>
          </w:tcPr>
          <w:p w14:paraId="1FB9702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r>
      <w:tr w14:paraId="683C0C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jc w:val="center"/>
        </w:trPr>
        <w:tc>
          <w:tcPr>
            <w:tcW w:w="372" w:type="pct"/>
            <w:tcBorders>
              <w:top w:val="single" w:color="auto" w:sz="4" w:space="0"/>
              <w:left w:val="single" w:color="auto" w:sz="4" w:space="0"/>
              <w:bottom w:val="single" w:color="auto" w:sz="4" w:space="0"/>
              <w:right w:val="single" w:color="auto" w:sz="4" w:space="0"/>
            </w:tcBorders>
            <w:noWrap w:val="0"/>
            <w:vAlign w:val="center"/>
          </w:tcPr>
          <w:p w14:paraId="4A5D9F2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w:t>
            </w:r>
          </w:p>
        </w:tc>
        <w:tc>
          <w:tcPr>
            <w:tcW w:w="648" w:type="pct"/>
            <w:tcBorders>
              <w:top w:val="single" w:color="auto" w:sz="4" w:space="0"/>
              <w:left w:val="single" w:color="auto" w:sz="4" w:space="0"/>
              <w:bottom w:val="single" w:color="auto" w:sz="4" w:space="0"/>
              <w:right w:val="single" w:color="auto" w:sz="4" w:space="0"/>
            </w:tcBorders>
            <w:noWrap w:val="0"/>
            <w:vAlign w:val="center"/>
          </w:tcPr>
          <w:p w14:paraId="7EBE9C4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919" w:type="pct"/>
            <w:tcBorders>
              <w:top w:val="single" w:color="auto" w:sz="4" w:space="0"/>
              <w:left w:val="single" w:color="auto" w:sz="4" w:space="0"/>
              <w:bottom w:val="single" w:color="auto" w:sz="4" w:space="0"/>
              <w:right w:val="single" w:color="auto" w:sz="4" w:space="0"/>
            </w:tcBorders>
            <w:noWrap w:val="0"/>
            <w:vAlign w:val="center"/>
          </w:tcPr>
          <w:p w14:paraId="3026753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849" w:type="pct"/>
            <w:tcBorders>
              <w:top w:val="single" w:color="auto" w:sz="4" w:space="0"/>
              <w:left w:val="single" w:color="auto" w:sz="4" w:space="0"/>
              <w:bottom w:val="single" w:color="auto" w:sz="4" w:space="0"/>
              <w:right w:val="single" w:color="auto" w:sz="4" w:space="0"/>
            </w:tcBorders>
            <w:noWrap w:val="0"/>
            <w:vAlign w:val="center"/>
          </w:tcPr>
          <w:p w14:paraId="6CFA71F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542" w:type="pct"/>
            <w:tcBorders>
              <w:top w:val="single" w:color="auto" w:sz="4" w:space="0"/>
              <w:left w:val="single" w:color="auto" w:sz="4" w:space="0"/>
              <w:bottom w:val="single" w:color="auto" w:sz="4" w:space="0"/>
              <w:right w:val="single" w:color="auto" w:sz="4" w:space="0"/>
            </w:tcBorders>
            <w:noWrap w:val="0"/>
            <w:vAlign w:val="center"/>
          </w:tcPr>
          <w:p w14:paraId="7F0D195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487" w:type="pct"/>
            <w:tcBorders>
              <w:top w:val="single" w:color="auto" w:sz="4" w:space="0"/>
              <w:left w:val="single" w:color="auto" w:sz="4" w:space="0"/>
              <w:bottom w:val="single" w:color="auto" w:sz="4" w:space="0"/>
              <w:right w:val="single" w:color="auto" w:sz="4" w:space="0"/>
            </w:tcBorders>
            <w:noWrap w:val="0"/>
            <w:vAlign w:val="center"/>
          </w:tcPr>
          <w:p w14:paraId="2C46A64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720" w:type="pct"/>
            <w:tcBorders>
              <w:top w:val="single" w:color="auto" w:sz="4" w:space="0"/>
              <w:left w:val="single" w:color="auto" w:sz="4" w:space="0"/>
              <w:bottom w:val="single" w:color="auto" w:sz="4" w:space="0"/>
              <w:right w:val="single" w:color="auto" w:sz="4" w:space="0"/>
            </w:tcBorders>
            <w:noWrap w:val="0"/>
            <w:vAlign w:val="center"/>
          </w:tcPr>
          <w:p w14:paraId="3763150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459" w:type="pct"/>
            <w:tcBorders>
              <w:top w:val="single" w:color="auto" w:sz="4" w:space="0"/>
              <w:left w:val="single" w:color="auto" w:sz="4" w:space="0"/>
              <w:bottom w:val="single" w:color="auto" w:sz="4" w:space="0"/>
              <w:right w:val="single" w:color="auto" w:sz="4" w:space="0"/>
            </w:tcBorders>
            <w:noWrap w:val="0"/>
            <w:vAlign w:val="center"/>
          </w:tcPr>
          <w:p w14:paraId="2EAC66A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r>
      <w:tr w14:paraId="2A0684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jc w:val="center"/>
        </w:trPr>
        <w:tc>
          <w:tcPr>
            <w:tcW w:w="372" w:type="pct"/>
            <w:tcBorders>
              <w:top w:val="single" w:color="auto" w:sz="4" w:space="0"/>
              <w:left w:val="single" w:color="auto" w:sz="4" w:space="0"/>
              <w:bottom w:val="single" w:color="auto" w:sz="4" w:space="0"/>
              <w:right w:val="single" w:color="auto" w:sz="4" w:space="0"/>
            </w:tcBorders>
            <w:noWrap w:val="0"/>
            <w:vAlign w:val="center"/>
          </w:tcPr>
          <w:p w14:paraId="06C04CF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3</w:t>
            </w:r>
          </w:p>
        </w:tc>
        <w:tc>
          <w:tcPr>
            <w:tcW w:w="648" w:type="pct"/>
            <w:tcBorders>
              <w:top w:val="single" w:color="auto" w:sz="4" w:space="0"/>
              <w:left w:val="single" w:color="auto" w:sz="4" w:space="0"/>
              <w:bottom w:val="single" w:color="auto" w:sz="4" w:space="0"/>
              <w:right w:val="single" w:color="auto" w:sz="4" w:space="0"/>
            </w:tcBorders>
            <w:noWrap w:val="0"/>
            <w:vAlign w:val="center"/>
          </w:tcPr>
          <w:p w14:paraId="07E4D4C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919" w:type="pct"/>
            <w:tcBorders>
              <w:top w:val="single" w:color="auto" w:sz="4" w:space="0"/>
              <w:left w:val="single" w:color="auto" w:sz="4" w:space="0"/>
              <w:bottom w:val="single" w:color="auto" w:sz="4" w:space="0"/>
              <w:right w:val="single" w:color="auto" w:sz="4" w:space="0"/>
            </w:tcBorders>
            <w:noWrap w:val="0"/>
            <w:vAlign w:val="center"/>
          </w:tcPr>
          <w:p w14:paraId="2D1BB1C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849" w:type="pct"/>
            <w:tcBorders>
              <w:top w:val="single" w:color="auto" w:sz="4" w:space="0"/>
              <w:left w:val="single" w:color="auto" w:sz="4" w:space="0"/>
              <w:bottom w:val="single" w:color="auto" w:sz="4" w:space="0"/>
              <w:right w:val="single" w:color="auto" w:sz="4" w:space="0"/>
            </w:tcBorders>
            <w:noWrap w:val="0"/>
            <w:vAlign w:val="center"/>
          </w:tcPr>
          <w:p w14:paraId="327E2DB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542" w:type="pct"/>
            <w:tcBorders>
              <w:top w:val="single" w:color="auto" w:sz="4" w:space="0"/>
              <w:left w:val="single" w:color="auto" w:sz="4" w:space="0"/>
              <w:bottom w:val="single" w:color="auto" w:sz="4" w:space="0"/>
              <w:right w:val="single" w:color="auto" w:sz="4" w:space="0"/>
            </w:tcBorders>
            <w:noWrap w:val="0"/>
            <w:vAlign w:val="center"/>
          </w:tcPr>
          <w:p w14:paraId="79DB665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487" w:type="pct"/>
            <w:tcBorders>
              <w:top w:val="single" w:color="auto" w:sz="4" w:space="0"/>
              <w:left w:val="single" w:color="auto" w:sz="4" w:space="0"/>
              <w:bottom w:val="single" w:color="auto" w:sz="4" w:space="0"/>
              <w:right w:val="single" w:color="auto" w:sz="4" w:space="0"/>
            </w:tcBorders>
            <w:noWrap w:val="0"/>
            <w:vAlign w:val="center"/>
          </w:tcPr>
          <w:p w14:paraId="3BE2658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720" w:type="pct"/>
            <w:tcBorders>
              <w:top w:val="single" w:color="auto" w:sz="4" w:space="0"/>
              <w:left w:val="single" w:color="auto" w:sz="4" w:space="0"/>
              <w:bottom w:val="single" w:color="auto" w:sz="4" w:space="0"/>
              <w:right w:val="single" w:color="auto" w:sz="4" w:space="0"/>
            </w:tcBorders>
            <w:noWrap w:val="0"/>
            <w:vAlign w:val="center"/>
          </w:tcPr>
          <w:p w14:paraId="636A8F4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459" w:type="pct"/>
            <w:tcBorders>
              <w:top w:val="single" w:color="auto" w:sz="4" w:space="0"/>
              <w:left w:val="single" w:color="auto" w:sz="4" w:space="0"/>
              <w:bottom w:val="single" w:color="auto" w:sz="4" w:space="0"/>
              <w:right w:val="single" w:color="auto" w:sz="4" w:space="0"/>
            </w:tcBorders>
            <w:noWrap w:val="0"/>
            <w:vAlign w:val="center"/>
          </w:tcPr>
          <w:p w14:paraId="4836C63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r>
      <w:tr w14:paraId="43A715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72" w:type="pct"/>
            <w:tcBorders>
              <w:top w:val="single" w:color="auto" w:sz="4" w:space="0"/>
              <w:left w:val="single" w:color="auto" w:sz="4" w:space="0"/>
              <w:bottom w:val="single" w:color="auto" w:sz="4" w:space="0"/>
              <w:right w:val="single" w:color="auto" w:sz="4" w:space="0"/>
            </w:tcBorders>
            <w:noWrap w:val="0"/>
            <w:vAlign w:val="center"/>
          </w:tcPr>
          <w:p w14:paraId="113F88E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w:t>
            </w:r>
          </w:p>
        </w:tc>
        <w:tc>
          <w:tcPr>
            <w:tcW w:w="648" w:type="pct"/>
            <w:tcBorders>
              <w:top w:val="single" w:color="auto" w:sz="4" w:space="0"/>
              <w:left w:val="single" w:color="auto" w:sz="4" w:space="0"/>
              <w:bottom w:val="single" w:color="auto" w:sz="4" w:space="0"/>
              <w:right w:val="single" w:color="auto" w:sz="4" w:space="0"/>
            </w:tcBorders>
            <w:noWrap w:val="0"/>
            <w:vAlign w:val="center"/>
          </w:tcPr>
          <w:p w14:paraId="2CF47BC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919" w:type="pct"/>
            <w:tcBorders>
              <w:top w:val="single" w:color="auto" w:sz="4" w:space="0"/>
              <w:left w:val="single" w:color="auto" w:sz="4" w:space="0"/>
              <w:bottom w:val="single" w:color="auto" w:sz="4" w:space="0"/>
              <w:right w:val="single" w:color="auto" w:sz="4" w:space="0"/>
            </w:tcBorders>
            <w:noWrap w:val="0"/>
            <w:vAlign w:val="center"/>
          </w:tcPr>
          <w:p w14:paraId="1B2FE5E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849" w:type="pct"/>
            <w:tcBorders>
              <w:top w:val="single" w:color="auto" w:sz="4" w:space="0"/>
              <w:left w:val="single" w:color="auto" w:sz="4" w:space="0"/>
              <w:bottom w:val="single" w:color="auto" w:sz="4" w:space="0"/>
              <w:right w:val="single" w:color="auto" w:sz="4" w:space="0"/>
            </w:tcBorders>
            <w:noWrap w:val="0"/>
            <w:vAlign w:val="center"/>
          </w:tcPr>
          <w:p w14:paraId="1F76397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542" w:type="pct"/>
            <w:tcBorders>
              <w:top w:val="single" w:color="auto" w:sz="4" w:space="0"/>
              <w:left w:val="single" w:color="auto" w:sz="4" w:space="0"/>
              <w:bottom w:val="single" w:color="auto" w:sz="4" w:space="0"/>
              <w:right w:val="single" w:color="auto" w:sz="4" w:space="0"/>
            </w:tcBorders>
            <w:noWrap w:val="0"/>
            <w:vAlign w:val="center"/>
          </w:tcPr>
          <w:p w14:paraId="6688147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487" w:type="pct"/>
            <w:tcBorders>
              <w:top w:val="single" w:color="auto" w:sz="4" w:space="0"/>
              <w:left w:val="single" w:color="auto" w:sz="4" w:space="0"/>
              <w:bottom w:val="single" w:color="auto" w:sz="4" w:space="0"/>
              <w:right w:val="single" w:color="auto" w:sz="4" w:space="0"/>
            </w:tcBorders>
            <w:noWrap w:val="0"/>
            <w:vAlign w:val="center"/>
          </w:tcPr>
          <w:p w14:paraId="561F4DD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720" w:type="pct"/>
            <w:tcBorders>
              <w:top w:val="single" w:color="auto" w:sz="4" w:space="0"/>
              <w:left w:val="single" w:color="auto" w:sz="4" w:space="0"/>
              <w:bottom w:val="single" w:color="auto" w:sz="4" w:space="0"/>
              <w:right w:val="single" w:color="auto" w:sz="4" w:space="0"/>
            </w:tcBorders>
            <w:noWrap w:val="0"/>
            <w:vAlign w:val="center"/>
          </w:tcPr>
          <w:p w14:paraId="0B029AF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459" w:type="pct"/>
            <w:tcBorders>
              <w:top w:val="single" w:color="auto" w:sz="4" w:space="0"/>
              <w:left w:val="single" w:color="auto" w:sz="4" w:space="0"/>
              <w:bottom w:val="single" w:color="auto" w:sz="4" w:space="0"/>
              <w:right w:val="single" w:color="auto" w:sz="4" w:space="0"/>
            </w:tcBorders>
            <w:noWrap w:val="0"/>
            <w:vAlign w:val="center"/>
          </w:tcPr>
          <w:p w14:paraId="29C6574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r>
    </w:tbl>
    <w:p w14:paraId="62F86E9C">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highlight w:val="none"/>
          <w:lang w:val="zh-CN"/>
        </w:rPr>
      </w:pPr>
    </w:p>
    <w:p w14:paraId="5E6CCF9F">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备注：</w:t>
      </w:r>
    </w:p>
    <w:p w14:paraId="65444161">
      <w:pPr>
        <w:snapToGrid w:val="0"/>
        <w:spacing w:line="360" w:lineRule="auto"/>
        <w:ind w:left="396" w:leftChars="-58" w:hanging="518" w:hangingChars="247"/>
        <w:rPr>
          <w:rFonts w:hint="eastAsia" w:ascii="宋体" w:hAnsi="宋体" w:eastAsia="宋体" w:cs="宋体"/>
          <w:color w:val="auto"/>
          <w:sz w:val="21"/>
          <w:szCs w:val="21"/>
          <w:highlight w:val="none"/>
        </w:rPr>
      </w:pPr>
      <w:r>
        <w:rPr>
          <w:rFonts w:hint="eastAsia" w:ascii="宋体" w:hAnsi="宋体" w:eastAsia="宋体" w:cs="宋体"/>
          <w:color w:val="auto"/>
          <w:kern w:val="2"/>
          <w:sz w:val="21"/>
          <w:highlight w:val="none"/>
          <w:lang w:val="zh-CN"/>
        </w:rPr>
        <w:t>（1）项目</w:t>
      </w:r>
      <w:r>
        <w:rPr>
          <w:rFonts w:hint="eastAsia" w:ascii="宋体" w:hAnsi="宋体" w:eastAsia="宋体" w:cs="宋体"/>
          <w:color w:val="auto"/>
          <w:kern w:val="2"/>
          <w:sz w:val="21"/>
          <w:szCs w:val="21"/>
          <w:highlight w:val="none"/>
        </w:rPr>
        <w:t>业绩按单项合同金额从高到低的方式排列</w:t>
      </w:r>
      <w:r>
        <w:rPr>
          <w:rFonts w:hint="eastAsia" w:ascii="宋体" w:hAnsi="宋体" w:eastAsia="宋体" w:cs="宋体"/>
          <w:color w:val="auto"/>
          <w:sz w:val="21"/>
          <w:szCs w:val="21"/>
          <w:highlight w:val="none"/>
          <w:lang w:eastAsia="zh-CN"/>
        </w:rPr>
        <w:t>，</w:t>
      </w:r>
      <w:r>
        <w:rPr>
          <w:rFonts w:hint="eastAsia" w:ascii="宋体" w:hAnsi="宋体" w:eastAsia="宋体" w:cs="宋体"/>
          <w:b/>
          <w:bCs/>
          <w:color w:val="auto"/>
          <w:kern w:val="2"/>
          <w:sz w:val="21"/>
          <w:szCs w:val="21"/>
          <w:highlight w:val="none"/>
        </w:rPr>
        <w:t>同一个单项合同的业绩可以同时在资格业绩和评分业绩重复放置</w:t>
      </w:r>
      <w:r>
        <w:rPr>
          <w:rFonts w:hint="eastAsia" w:ascii="宋体" w:hAnsi="宋体" w:eastAsia="宋体" w:cs="宋体"/>
          <w:b/>
          <w:bCs/>
          <w:color w:val="auto"/>
          <w:kern w:val="2"/>
          <w:sz w:val="21"/>
          <w:szCs w:val="21"/>
          <w:highlight w:val="none"/>
          <w:lang w:eastAsia="zh-CN"/>
        </w:rPr>
        <w:t>；</w:t>
      </w:r>
    </w:p>
    <w:p w14:paraId="20DF7578">
      <w:pPr>
        <w:snapToGrid w:val="0"/>
        <w:spacing w:line="360" w:lineRule="auto"/>
        <w:ind w:left="396" w:leftChars="-58" w:hanging="518" w:hangingChars="247"/>
        <w:rPr>
          <w:rFonts w:hint="eastAsia" w:ascii="宋体" w:hAnsi="宋体" w:eastAsia="宋体" w:cs="宋体"/>
          <w:color w:val="auto"/>
          <w:kern w:val="2"/>
          <w:sz w:val="21"/>
          <w:szCs w:val="21"/>
          <w:highlight w:val="none"/>
        </w:rPr>
      </w:pPr>
      <w:bookmarkStart w:id="755" w:name="_Toc11061"/>
      <w:r>
        <w:rPr>
          <w:rFonts w:hint="eastAsia" w:ascii="宋体" w:hAnsi="宋体" w:eastAsia="宋体" w:cs="宋体"/>
          <w:color w:val="auto"/>
          <w:kern w:val="2"/>
          <w:sz w:val="21"/>
          <w:szCs w:val="21"/>
          <w:highlight w:val="none"/>
        </w:rPr>
        <w:t>（2）业绩按以下条款作为考评依据：</w:t>
      </w:r>
      <w:bookmarkEnd w:id="755"/>
    </w:p>
    <w:p w14:paraId="65B80F79">
      <w:pPr>
        <w:snapToGrid w:val="0"/>
        <w:spacing w:line="360" w:lineRule="auto"/>
        <w:ind w:left="655" w:leftChars="178" w:hanging="281" w:hangingChars="134"/>
        <w:rPr>
          <w:rFonts w:hint="eastAsia" w:ascii="宋体" w:hAnsi="宋体" w:eastAsia="宋体" w:cs="宋体"/>
          <w:color w:val="auto"/>
          <w:szCs w:val="21"/>
          <w:highlight w:val="none"/>
        </w:rPr>
      </w:pPr>
      <w:bookmarkStart w:id="756" w:name="_Toc4212"/>
      <w:r>
        <w:rPr>
          <w:rFonts w:hint="eastAsia" w:ascii="宋体" w:hAnsi="宋体" w:eastAsia="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rPr>
        <w:t>须附合同复印件</w:t>
      </w:r>
      <w:r>
        <w:rPr>
          <w:rFonts w:hint="eastAsia" w:ascii="宋体" w:hAnsi="宋体" w:eastAsia="宋体" w:cs="宋体"/>
          <w:color w:val="auto"/>
          <w:szCs w:val="21"/>
          <w:highlight w:val="none"/>
        </w:rPr>
        <w:t>，否则不得分；</w:t>
      </w:r>
    </w:p>
    <w:p w14:paraId="74E48407">
      <w:pPr>
        <w:snapToGrid w:val="0"/>
        <w:spacing w:line="360" w:lineRule="auto"/>
        <w:ind w:left="655" w:leftChars="178" w:hanging="281" w:hangingChars="134"/>
        <w:rPr>
          <w:rFonts w:hint="eastAsia" w:ascii="宋体" w:hAnsi="宋体" w:eastAsia="宋体" w:cs="宋体"/>
          <w:color w:val="auto"/>
          <w:szCs w:val="21"/>
          <w:highlight w:val="none"/>
        </w:rPr>
      </w:pPr>
      <w:r>
        <w:rPr>
          <w:rFonts w:hint="eastAsia" w:ascii="宋体" w:hAnsi="宋体" w:eastAsia="宋体" w:cs="宋体"/>
          <w:color w:val="auto"/>
          <w:szCs w:val="21"/>
          <w:highlight w:val="none"/>
        </w:rPr>
        <w:t>2）若业绩为框架式协议或资格入围</w:t>
      </w:r>
      <w:r>
        <w:rPr>
          <w:rFonts w:hint="eastAsia" w:ascii="宋体" w:hAnsi="宋体" w:eastAsia="宋体" w:cs="宋体"/>
          <w:color w:val="auto"/>
          <w:szCs w:val="21"/>
          <w:highlight w:val="none"/>
          <w:lang w:val="en-US" w:eastAsia="zh-CN"/>
        </w:rPr>
        <w:t>等</w:t>
      </w:r>
      <w:r>
        <w:rPr>
          <w:rFonts w:hint="eastAsia" w:ascii="宋体" w:hAnsi="宋体" w:eastAsia="宋体" w:cs="宋体"/>
          <w:color w:val="auto"/>
          <w:szCs w:val="21"/>
          <w:highlight w:val="none"/>
        </w:rPr>
        <w:t>无明确金额的合同，必须同时提供合同期限内已供货产品发票金额统计表和供货发票复印件，否则，视为无效业绩；</w:t>
      </w:r>
    </w:p>
    <w:p w14:paraId="3F602638">
      <w:pPr>
        <w:snapToGrid w:val="0"/>
        <w:spacing w:line="360" w:lineRule="auto"/>
        <w:ind w:left="655" w:leftChars="178" w:hanging="281" w:hangingChars="134"/>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3）若合同无法反映评分条件（卖方为投标人、合同签订日期为202</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年1月1日或以后、金额、合同标的必须包含投标品牌</w:t>
      </w:r>
      <w:r>
        <w:rPr>
          <w:rFonts w:hint="eastAsia" w:ascii="宋体" w:hAnsi="宋体" w:eastAsia="宋体" w:cs="宋体"/>
          <w:color w:val="auto"/>
          <w:sz w:val="21"/>
          <w:szCs w:val="21"/>
          <w:highlight w:val="none"/>
          <w:lang w:eastAsia="zh-CN"/>
        </w:rPr>
        <w:t>液体柠檬酸</w:t>
      </w:r>
      <w:r>
        <w:rPr>
          <w:rFonts w:hint="eastAsia" w:ascii="宋体" w:hAnsi="宋体" w:eastAsia="宋体" w:cs="宋体"/>
          <w:color w:val="auto"/>
          <w:szCs w:val="21"/>
          <w:highlight w:val="none"/>
        </w:rPr>
        <w:t>）的，还需提供产品购买方出具的书面补充说明文件复印件作为辅助证明（补充说明文件复印件能显示购买方公章），否则不得分</w:t>
      </w:r>
      <w:bookmarkEnd w:id="756"/>
      <w:r>
        <w:rPr>
          <w:rFonts w:hint="eastAsia" w:ascii="宋体" w:hAnsi="宋体" w:eastAsia="宋体" w:cs="宋体"/>
          <w:color w:val="auto"/>
          <w:sz w:val="21"/>
          <w:szCs w:val="21"/>
          <w:highlight w:val="none"/>
        </w:rPr>
        <w:t>；</w:t>
      </w:r>
    </w:p>
    <w:p w14:paraId="4C82FFC9">
      <w:pPr>
        <w:autoSpaceDE w:val="0"/>
        <w:autoSpaceDN w:val="0"/>
        <w:adjustRightInd w:val="0"/>
        <w:snapToGrid w:val="0"/>
        <w:spacing w:line="360" w:lineRule="auto"/>
        <w:ind w:left="481" w:leftChars="-41" w:hanging="567" w:hangingChars="270"/>
        <w:jc w:val="left"/>
        <w:rPr>
          <w:rFonts w:ascii="宋体" w:hAnsi="宋体" w:eastAsia="宋体" w:cs="宋体"/>
          <w:color w:val="auto"/>
          <w:kern w:val="0"/>
          <w:szCs w:val="21"/>
          <w:highlight w:val="none"/>
        </w:rPr>
      </w:pPr>
      <w:r>
        <w:rPr>
          <w:rFonts w:hint="eastAsia" w:ascii="宋体" w:hAnsi="宋体" w:eastAsia="宋体" w:cs="Times New Roman"/>
          <w:color w:val="auto"/>
          <w:szCs w:val="24"/>
          <w:highlight w:val="none"/>
          <w:lang w:val="zh-CN"/>
        </w:rPr>
        <w:t>（</w:t>
      </w:r>
      <w:r>
        <w:rPr>
          <w:rFonts w:hint="eastAsia" w:ascii="宋体" w:hAnsi="宋体" w:eastAsia="宋体" w:cs="Times New Roman"/>
          <w:color w:val="auto"/>
          <w:szCs w:val="24"/>
          <w:highlight w:val="none"/>
          <w:lang w:val="en-US" w:eastAsia="zh-CN"/>
        </w:rPr>
        <w:t>3</w:t>
      </w:r>
      <w:r>
        <w:rPr>
          <w:rFonts w:hint="eastAsia" w:ascii="宋体" w:hAnsi="宋体" w:eastAsia="宋体" w:cs="Times New Roman"/>
          <w:color w:val="auto"/>
          <w:szCs w:val="24"/>
          <w:highlight w:val="none"/>
          <w:lang w:val="zh-CN"/>
        </w:rPr>
        <w:t>）未按上述要求在此格式下提供证明材料的业绩，或在此格式下所附材料无法证明填报项目符合本项评分要求的业绩，在评标时将不予考虑</w:t>
      </w:r>
      <w:r>
        <w:rPr>
          <w:rFonts w:hint="eastAsia" w:ascii="宋体" w:hAnsi="宋体" w:eastAsia="宋体" w:cs="Times New Roman"/>
          <w:color w:val="auto"/>
          <w:kern w:val="0"/>
          <w:szCs w:val="21"/>
          <w:highlight w:val="none"/>
        </w:rPr>
        <w:t>。</w:t>
      </w:r>
    </w:p>
    <w:p w14:paraId="2120E7C5">
      <w:pPr>
        <w:autoSpaceDE w:val="0"/>
        <w:autoSpaceDN w:val="0"/>
        <w:adjustRightInd w:val="0"/>
        <w:spacing w:line="360" w:lineRule="auto"/>
        <w:ind w:firstLine="5040" w:firstLineChars="2400"/>
        <w:jc w:val="left"/>
        <w:rPr>
          <w:rFonts w:ascii="宋体" w:hAnsi="宋体" w:eastAsia="宋体" w:cs="Times New Roman"/>
          <w:color w:val="auto"/>
          <w:szCs w:val="24"/>
          <w:highlight w:val="none"/>
          <w:lang w:val="zh-CN"/>
        </w:rPr>
      </w:pPr>
    </w:p>
    <w:p w14:paraId="6ACB2C79">
      <w:pPr>
        <w:autoSpaceDE w:val="0"/>
        <w:autoSpaceDN w:val="0"/>
        <w:adjustRightInd w:val="0"/>
        <w:spacing w:line="360" w:lineRule="auto"/>
        <w:ind w:firstLine="5040" w:firstLineChars="2400"/>
        <w:jc w:val="left"/>
        <w:rPr>
          <w:rFonts w:ascii="宋体" w:hAnsi="宋体" w:eastAsia="宋体" w:cs="Times New Roman"/>
          <w:color w:val="auto"/>
          <w:kern w:val="0"/>
          <w:szCs w:val="21"/>
          <w:highlight w:val="none"/>
        </w:rPr>
      </w:pPr>
      <w:r>
        <w:rPr>
          <w:rFonts w:hint="eastAsia" w:ascii="宋体" w:hAnsi="宋体" w:eastAsia="宋体" w:cs="Times New Roman"/>
          <w:color w:val="auto"/>
          <w:szCs w:val="24"/>
          <w:highlight w:val="none"/>
          <w:lang w:val="zh-CN"/>
        </w:rPr>
        <w:t>投标人：（加盖投标人法人公章）</w:t>
      </w:r>
    </w:p>
    <w:p w14:paraId="3BFB6326">
      <w:pPr>
        <w:autoSpaceDE w:val="0"/>
        <w:autoSpaceDN w:val="0"/>
        <w:adjustRightInd w:val="0"/>
        <w:spacing w:line="360" w:lineRule="auto"/>
        <w:ind w:firstLine="5040" w:firstLineChars="240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日期：   年   月   日</w:t>
      </w:r>
    </w:p>
    <w:p w14:paraId="4633A241">
      <w:pPr>
        <w:autoSpaceDE w:val="0"/>
        <w:autoSpaceDN w:val="0"/>
        <w:adjustRightInd w:val="0"/>
        <w:spacing w:line="360" w:lineRule="auto"/>
        <w:rPr>
          <w:rFonts w:ascii="宋体" w:hAnsi="宋体" w:eastAsia="宋体" w:cs="Times New Roman"/>
          <w:b/>
          <w:bCs/>
          <w:color w:val="auto"/>
          <w:sz w:val="30"/>
          <w:szCs w:val="30"/>
          <w:highlight w:val="none"/>
          <w:lang w:val="zh-CN"/>
        </w:rPr>
      </w:pPr>
    </w:p>
    <w:p w14:paraId="2D7D5C51">
      <w:pPr>
        <w:pageBreakBefore/>
        <w:snapToGrid w:val="0"/>
        <w:spacing w:line="360" w:lineRule="auto"/>
        <w:ind w:left="671" w:leftChars="-58" w:hanging="793" w:hangingChars="247"/>
        <w:outlineLvl w:val="1"/>
        <w:rPr>
          <w:rFonts w:hint="eastAsia" w:ascii="宋体" w:hAnsi="宋体" w:eastAsia="宋体" w:cs="宋体"/>
          <w:b/>
          <w:color w:val="auto"/>
          <w:kern w:val="2"/>
          <w:sz w:val="32"/>
          <w:szCs w:val="32"/>
          <w:highlight w:val="none"/>
          <w:lang w:val="zh-CN"/>
        </w:rPr>
      </w:pPr>
      <w:bookmarkStart w:id="757" w:name="_Toc30532"/>
      <w:bookmarkStart w:id="758" w:name="_Toc17693"/>
      <w:r>
        <w:rPr>
          <w:rFonts w:hint="eastAsia" w:ascii="宋体" w:hAnsi="宋体" w:eastAsia="宋体" w:cs="宋体"/>
          <w:b/>
          <w:color w:val="auto"/>
          <w:kern w:val="2"/>
          <w:sz w:val="32"/>
          <w:szCs w:val="32"/>
          <w:highlight w:val="none"/>
          <w:lang w:val="zh-CN"/>
        </w:rPr>
        <w:t>附表：已供货产品发票金额统计表</w:t>
      </w:r>
      <w:bookmarkEnd w:id="757"/>
      <w:bookmarkEnd w:id="758"/>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3202"/>
        <w:gridCol w:w="1416"/>
        <w:gridCol w:w="1274"/>
        <w:gridCol w:w="1558"/>
        <w:gridCol w:w="1241"/>
        <w:gridCol w:w="14"/>
      </w:tblGrid>
      <w:tr w14:paraId="7EB8E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9" w:type="dxa"/>
            <w:gridSpan w:val="2"/>
            <w:noWrap w:val="0"/>
            <w:vAlign w:val="center"/>
          </w:tcPr>
          <w:p w14:paraId="637CFBAB">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项目名称</w:t>
            </w:r>
          </w:p>
        </w:tc>
        <w:tc>
          <w:tcPr>
            <w:tcW w:w="5503" w:type="dxa"/>
            <w:gridSpan w:val="5"/>
            <w:noWrap w:val="0"/>
            <w:vAlign w:val="center"/>
          </w:tcPr>
          <w:p w14:paraId="50FA6B0C">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r>
      <w:tr w14:paraId="1FD5B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9" w:type="dxa"/>
            <w:gridSpan w:val="2"/>
            <w:noWrap w:val="0"/>
            <w:vAlign w:val="center"/>
          </w:tcPr>
          <w:p w14:paraId="16F61E21">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合同约定的供货期</w:t>
            </w:r>
          </w:p>
        </w:tc>
        <w:tc>
          <w:tcPr>
            <w:tcW w:w="5503" w:type="dxa"/>
            <w:gridSpan w:val="5"/>
            <w:noWrap w:val="0"/>
            <w:vAlign w:val="center"/>
          </w:tcPr>
          <w:p w14:paraId="778F5715">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r>
      <w:tr w14:paraId="37A2A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9" w:type="dxa"/>
            <w:gridSpan w:val="2"/>
            <w:noWrap w:val="0"/>
            <w:vAlign w:val="center"/>
          </w:tcPr>
          <w:p w14:paraId="77256423">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发票抬头（</w:t>
            </w:r>
            <w:r>
              <w:rPr>
                <w:rFonts w:hint="eastAsia" w:ascii="宋体" w:hAnsi="宋体" w:eastAsia="宋体" w:cs="宋体"/>
                <w:color w:val="auto"/>
                <w:kern w:val="2"/>
                <w:sz w:val="21"/>
                <w:highlight w:val="none"/>
              </w:rPr>
              <w:t>合同</w:t>
            </w:r>
            <w:r>
              <w:rPr>
                <w:rFonts w:hint="eastAsia" w:ascii="宋体" w:hAnsi="宋体" w:eastAsia="宋体" w:cs="宋体"/>
                <w:color w:val="auto"/>
                <w:kern w:val="2"/>
                <w:sz w:val="21"/>
                <w:highlight w:val="none"/>
                <w:lang w:val="en-US" w:eastAsia="zh-CN"/>
              </w:rPr>
              <w:t>购</w:t>
            </w:r>
            <w:r>
              <w:rPr>
                <w:rFonts w:hint="eastAsia" w:ascii="宋体" w:hAnsi="宋体" w:eastAsia="宋体" w:cs="宋体"/>
                <w:color w:val="auto"/>
                <w:kern w:val="2"/>
                <w:sz w:val="21"/>
                <w:highlight w:val="none"/>
              </w:rPr>
              <w:t>买方）</w:t>
            </w:r>
          </w:p>
        </w:tc>
        <w:tc>
          <w:tcPr>
            <w:tcW w:w="5503" w:type="dxa"/>
            <w:gridSpan w:val="5"/>
            <w:noWrap w:val="0"/>
            <w:vAlign w:val="center"/>
          </w:tcPr>
          <w:p w14:paraId="3A7E3F5F">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r>
      <w:tr w14:paraId="7F2CE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jc w:val="center"/>
        </w:trPr>
        <w:tc>
          <w:tcPr>
            <w:tcW w:w="877" w:type="dxa"/>
            <w:noWrap w:val="0"/>
            <w:vAlign w:val="center"/>
          </w:tcPr>
          <w:p w14:paraId="35BD870A">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序号</w:t>
            </w:r>
          </w:p>
        </w:tc>
        <w:tc>
          <w:tcPr>
            <w:tcW w:w="3202" w:type="dxa"/>
            <w:noWrap w:val="0"/>
            <w:vAlign w:val="center"/>
          </w:tcPr>
          <w:p w14:paraId="47FB0F21">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发票名目</w:t>
            </w:r>
          </w:p>
        </w:tc>
        <w:tc>
          <w:tcPr>
            <w:tcW w:w="1416" w:type="dxa"/>
            <w:noWrap w:val="0"/>
            <w:vAlign w:val="center"/>
          </w:tcPr>
          <w:p w14:paraId="24C369B8">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发票金额（单位：万元）</w:t>
            </w:r>
          </w:p>
        </w:tc>
        <w:tc>
          <w:tcPr>
            <w:tcW w:w="1274" w:type="dxa"/>
            <w:noWrap w:val="0"/>
            <w:vAlign w:val="center"/>
          </w:tcPr>
          <w:p w14:paraId="5494B7E3">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发票号码</w:t>
            </w:r>
          </w:p>
        </w:tc>
        <w:tc>
          <w:tcPr>
            <w:tcW w:w="1558" w:type="dxa"/>
            <w:noWrap w:val="0"/>
            <w:vAlign w:val="center"/>
          </w:tcPr>
          <w:p w14:paraId="228BF1EC">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发票所属时期</w:t>
            </w:r>
          </w:p>
        </w:tc>
        <w:tc>
          <w:tcPr>
            <w:tcW w:w="1241" w:type="dxa"/>
            <w:noWrap w:val="0"/>
            <w:vAlign w:val="center"/>
          </w:tcPr>
          <w:p w14:paraId="7B8F6EA6">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备注</w:t>
            </w:r>
          </w:p>
        </w:tc>
      </w:tr>
      <w:tr w14:paraId="73E46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jc w:val="center"/>
        </w:trPr>
        <w:tc>
          <w:tcPr>
            <w:tcW w:w="877" w:type="dxa"/>
            <w:noWrap w:val="0"/>
            <w:vAlign w:val="center"/>
          </w:tcPr>
          <w:p w14:paraId="177063E3">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w:t>
            </w:r>
          </w:p>
        </w:tc>
        <w:tc>
          <w:tcPr>
            <w:tcW w:w="3202" w:type="dxa"/>
            <w:noWrap w:val="0"/>
            <w:vAlign w:val="center"/>
          </w:tcPr>
          <w:p w14:paraId="21D66F47">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c>
          <w:tcPr>
            <w:tcW w:w="1416" w:type="dxa"/>
            <w:noWrap w:val="0"/>
            <w:vAlign w:val="center"/>
          </w:tcPr>
          <w:p w14:paraId="7AB8541F">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c>
          <w:tcPr>
            <w:tcW w:w="1274" w:type="dxa"/>
            <w:noWrap w:val="0"/>
            <w:vAlign w:val="center"/>
          </w:tcPr>
          <w:p w14:paraId="7AB0E10E">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c>
          <w:tcPr>
            <w:tcW w:w="1558" w:type="dxa"/>
            <w:noWrap w:val="0"/>
            <w:vAlign w:val="center"/>
          </w:tcPr>
          <w:p w14:paraId="4D96A2A5">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c>
          <w:tcPr>
            <w:tcW w:w="1241" w:type="dxa"/>
            <w:noWrap w:val="0"/>
            <w:vAlign w:val="center"/>
          </w:tcPr>
          <w:p w14:paraId="66C136BB">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r>
      <w:tr w14:paraId="3DA62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jc w:val="center"/>
        </w:trPr>
        <w:tc>
          <w:tcPr>
            <w:tcW w:w="877" w:type="dxa"/>
            <w:noWrap w:val="0"/>
            <w:vAlign w:val="center"/>
          </w:tcPr>
          <w:p w14:paraId="617A7775">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w:t>
            </w:r>
          </w:p>
        </w:tc>
        <w:tc>
          <w:tcPr>
            <w:tcW w:w="3202" w:type="dxa"/>
            <w:noWrap w:val="0"/>
            <w:vAlign w:val="center"/>
          </w:tcPr>
          <w:p w14:paraId="079A44D8">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c>
          <w:tcPr>
            <w:tcW w:w="1416" w:type="dxa"/>
            <w:noWrap w:val="0"/>
            <w:vAlign w:val="center"/>
          </w:tcPr>
          <w:p w14:paraId="590FB058">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c>
          <w:tcPr>
            <w:tcW w:w="1274" w:type="dxa"/>
            <w:noWrap w:val="0"/>
            <w:vAlign w:val="center"/>
          </w:tcPr>
          <w:p w14:paraId="28984E14">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c>
          <w:tcPr>
            <w:tcW w:w="1558" w:type="dxa"/>
            <w:noWrap w:val="0"/>
            <w:vAlign w:val="center"/>
          </w:tcPr>
          <w:p w14:paraId="10C2E3F2">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c>
          <w:tcPr>
            <w:tcW w:w="1241" w:type="dxa"/>
            <w:noWrap w:val="0"/>
            <w:vAlign w:val="center"/>
          </w:tcPr>
          <w:p w14:paraId="37FFFE3D">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r>
      <w:tr w14:paraId="2C580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jc w:val="center"/>
        </w:trPr>
        <w:tc>
          <w:tcPr>
            <w:tcW w:w="877" w:type="dxa"/>
            <w:noWrap w:val="0"/>
            <w:vAlign w:val="center"/>
          </w:tcPr>
          <w:p w14:paraId="7CCBF2B7">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w:t>
            </w:r>
          </w:p>
        </w:tc>
        <w:tc>
          <w:tcPr>
            <w:tcW w:w="3202" w:type="dxa"/>
            <w:noWrap w:val="0"/>
            <w:vAlign w:val="center"/>
          </w:tcPr>
          <w:p w14:paraId="6AEC8697">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c>
          <w:tcPr>
            <w:tcW w:w="1416" w:type="dxa"/>
            <w:noWrap w:val="0"/>
            <w:vAlign w:val="center"/>
          </w:tcPr>
          <w:p w14:paraId="5B8BE5B5">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c>
          <w:tcPr>
            <w:tcW w:w="1274" w:type="dxa"/>
            <w:noWrap w:val="0"/>
            <w:vAlign w:val="center"/>
          </w:tcPr>
          <w:p w14:paraId="202CFB79">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c>
          <w:tcPr>
            <w:tcW w:w="1558" w:type="dxa"/>
            <w:noWrap w:val="0"/>
            <w:vAlign w:val="center"/>
          </w:tcPr>
          <w:p w14:paraId="4D716103">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c>
          <w:tcPr>
            <w:tcW w:w="1241" w:type="dxa"/>
            <w:noWrap w:val="0"/>
            <w:vAlign w:val="center"/>
          </w:tcPr>
          <w:p w14:paraId="58061A0D">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r>
      <w:tr w14:paraId="3E524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jc w:val="center"/>
        </w:trPr>
        <w:tc>
          <w:tcPr>
            <w:tcW w:w="877" w:type="dxa"/>
            <w:noWrap w:val="0"/>
            <w:vAlign w:val="center"/>
          </w:tcPr>
          <w:p w14:paraId="0BE4AC49">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w:t>
            </w:r>
          </w:p>
        </w:tc>
        <w:tc>
          <w:tcPr>
            <w:tcW w:w="3202" w:type="dxa"/>
            <w:noWrap w:val="0"/>
            <w:vAlign w:val="center"/>
          </w:tcPr>
          <w:p w14:paraId="3076C1A0">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c>
          <w:tcPr>
            <w:tcW w:w="1416" w:type="dxa"/>
            <w:noWrap w:val="0"/>
            <w:vAlign w:val="center"/>
          </w:tcPr>
          <w:p w14:paraId="6B946A30">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c>
          <w:tcPr>
            <w:tcW w:w="1274" w:type="dxa"/>
            <w:noWrap w:val="0"/>
            <w:vAlign w:val="center"/>
          </w:tcPr>
          <w:p w14:paraId="48CF6890">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c>
          <w:tcPr>
            <w:tcW w:w="1558" w:type="dxa"/>
            <w:noWrap w:val="0"/>
            <w:vAlign w:val="center"/>
          </w:tcPr>
          <w:p w14:paraId="53CBAFA2">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c>
          <w:tcPr>
            <w:tcW w:w="1241" w:type="dxa"/>
            <w:noWrap w:val="0"/>
            <w:vAlign w:val="center"/>
          </w:tcPr>
          <w:p w14:paraId="6DF16EEE">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r>
      <w:tr w14:paraId="6ECDE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jc w:val="center"/>
        </w:trPr>
        <w:tc>
          <w:tcPr>
            <w:tcW w:w="4079" w:type="dxa"/>
            <w:gridSpan w:val="2"/>
            <w:noWrap w:val="0"/>
            <w:vAlign w:val="center"/>
          </w:tcPr>
          <w:p w14:paraId="1F8CEF08">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发票金额合计（单位：万元）</w:t>
            </w:r>
          </w:p>
        </w:tc>
        <w:tc>
          <w:tcPr>
            <w:tcW w:w="5489" w:type="dxa"/>
            <w:gridSpan w:val="4"/>
            <w:noWrap w:val="0"/>
            <w:vAlign w:val="center"/>
          </w:tcPr>
          <w:p w14:paraId="0808EAC9">
            <w:pPr>
              <w:pStyle w:val="19"/>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r>
    </w:tbl>
    <w:p w14:paraId="2E8791AE">
      <w:pPr>
        <w:snapToGrid w:val="0"/>
        <w:spacing w:line="360" w:lineRule="auto"/>
        <w:ind w:left="491" w:leftChars="-57" w:hanging="611" w:hangingChars="291"/>
        <w:rPr>
          <w:rFonts w:hint="eastAsia" w:ascii="宋体" w:hAnsi="宋体" w:eastAsia="宋体" w:cs="宋体"/>
          <w:color w:val="auto"/>
          <w:kern w:val="2"/>
          <w:sz w:val="21"/>
          <w:highlight w:val="none"/>
        </w:rPr>
      </w:pPr>
    </w:p>
    <w:p w14:paraId="3A7093D5">
      <w:pPr>
        <w:snapToGrid w:val="0"/>
        <w:spacing w:line="360" w:lineRule="auto"/>
        <w:ind w:left="491" w:leftChars="-57" w:hanging="611" w:hangingChars="291"/>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备注：</w:t>
      </w:r>
    </w:p>
    <w:p w14:paraId="1ECEA9B0">
      <w:pPr>
        <w:snapToGrid w:val="0"/>
        <w:spacing w:line="360" w:lineRule="auto"/>
        <w:ind w:left="396" w:leftChars="-58" w:hanging="518" w:hangingChars="247"/>
        <w:rPr>
          <w:rFonts w:hint="eastAsia" w:ascii="宋体" w:hAnsi="宋体" w:eastAsia="宋体" w:cs="宋体"/>
          <w:color w:val="auto"/>
          <w:kern w:val="2"/>
          <w:sz w:val="21"/>
          <w:highlight w:val="none"/>
        </w:rPr>
      </w:pPr>
      <w:bookmarkStart w:id="759" w:name="_Toc19437"/>
      <w:r>
        <w:rPr>
          <w:rFonts w:hint="eastAsia" w:ascii="宋体" w:hAnsi="宋体" w:eastAsia="宋体" w:cs="宋体"/>
          <w:color w:val="auto"/>
          <w:kern w:val="2"/>
          <w:sz w:val="21"/>
          <w:highlight w:val="none"/>
        </w:rPr>
        <w:t>（1）本统计表及供货发票复印件应后附于合同复印件；</w:t>
      </w:r>
      <w:bookmarkEnd w:id="759"/>
    </w:p>
    <w:p w14:paraId="19D6E7FF">
      <w:pPr>
        <w:snapToGrid w:val="0"/>
        <w:spacing w:line="360" w:lineRule="auto"/>
        <w:ind w:left="396" w:leftChars="-58" w:hanging="518" w:hangingChars="247"/>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（2）发票抬头应为合同</w:t>
      </w:r>
      <w:r>
        <w:rPr>
          <w:rFonts w:hint="eastAsia" w:ascii="宋体" w:hAnsi="宋体" w:eastAsia="宋体" w:cs="宋体"/>
          <w:color w:val="auto"/>
          <w:kern w:val="2"/>
          <w:sz w:val="21"/>
          <w:highlight w:val="none"/>
          <w:lang w:val="en-US" w:eastAsia="zh-CN"/>
        </w:rPr>
        <w:t>购</w:t>
      </w:r>
      <w:r>
        <w:rPr>
          <w:rFonts w:hint="eastAsia" w:ascii="宋体" w:hAnsi="宋体" w:eastAsia="宋体" w:cs="宋体"/>
          <w:color w:val="auto"/>
          <w:kern w:val="2"/>
          <w:sz w:val="21"/>
          <w:highlight w:val="none"/>
        </w:rPr>
        <w:t>买方，</w:t>
      </w:r>
      <w:r>
        <w:rPr>
          <w:rFonts w:hint="eastAsia" w:ascii="宋体" w:hAnsi="宋体" w:eastAsia="宋体" w:cs="宋体"/>
          <w:color w:val="auto"/>
          <w:kern w:val="2"/>
          <w:sz w:val="21"/>
          <w:highlight w:val="none"/>
          <w:lang w:val="en-US" w:eastAsia="zh-CN"/>
        </w:rPr>
        <w:t>销售方</w:t>
      </w:r>
      <w:r>
        <w:rPr>
          <w:rFonts w:hint="eastAsia" w:ascii="宋体" w:hAnsi="宋体" w:eastAsia="宋体" w:cs="宋体"/>
          <w:color w:val="auto"/>
          <w:kern w:val="2"/>
          <w:sz w:val="21"/>
          <w:highlight w:val="none"/>
        </w:rPr>
        <w:t>应为投标人，且发票名目、所属时期应与合同约定内容一致，否则不计分。</w:t>
      </w:r>
    </w:p>
    <w:p w14:paraId="6CF331FB">
      <w:pPr>
        <w:autoSpaceDE w:val="0"/>
        <w:autoSpaceDN w:val="0"/>
        <w:adjustRightInd w:val="0"/>
        <w:spacing w:line="360" w:lineRule="auto"/>
        <w:ind w:firstLine="0"/>
        <w:rPr>
          <w:rFonts w:ascii="宋体" w:hAnsi="宋体" w:eastAsia="宋体" w:cs="Times New Roman"/>
          <w:b/>
          <w:bCs/>
          <w:color w:val="auto"/>
          <w:sz w:val="30"/>
          <w:szCs w:val="30"/>
          <w:highlight w:val="none"/>
          <w:lang w:val="zh-CN"/>
        </w:rPr>
      </w:pPr>
    </w:p>
    <w:bookmarkEnd w:id="752"/>
    <w:bookmarkEnd w:id="753"/>
    <w:p w14:paraId="7A791223">
      <w:pPr>
        <w:keepNext w:val="0"/>
        <w:keepLines w:val="0"/>
        <w:pageBreakBefore/>
        <w:widowControl w:val="0"/>
        <w:numPr>
          <w:ilvl w:val="0"/>
          <w:numId w:val="0"/>
        </w:numPr>
        <w:kinsoku/>
        <w:wordWrap/>
        <w:overflowPunct/>
        <w:topLinePunct w:val="0"/>
        <w:autoSpaceDE w:val="0"/>
        <w:autoSpaceDN w:val="0"/>
        <w:bidi w:val="0"/>
        <w:adjustRightInd w:val="0"/>
        <w:snapToGrid/>
        <w:spacing w:line="360" w:lineRule="auto"/>
        <w:ind w:firstLine="0" w:firstLineChars="0"/>
        <w:jc w:val="left"/>
        <w:textAlignment w:val="auto"/>
        <w:outlineLvl w:val="1"/>
        <w:rPr>
          <w:rFonts w:hint="eastAsia" w:ascii="宋体" w:hAnsi="宋体" w:eastAsia="宋体" w:cs="宋体"/>
          <w:b/>
          <w:color w:val="auto"/>
          <w:kern w:val="0"/>
          <w:sz w:val="32"/>
          <w:szCs w:val="32"/>
          <w:highlight w:val="none"/>
          <w:lang w:val="zh-CN"/>
        </w:rPr>
      </w:pPr>
      <w:bookmarkStart w:id="760" w:name="_Toc23207"/>
      <w:bookmarkStart w:id="761" w:name="_Toc102860083"/>
      <w:bookmarkStart w:id="762" w:name="_Toc486167719"/>
      <w:bookmarkStart w:id="763" w:name="_Toc104991885"/>
      <w:bookmarkStart w:id="764" w:name="_Toc13822"/>
      <w:bookmarkStart w:id="765" w:name="_Toc140596938"/>
      <w:bookmarkStart w:id="766" w:name="_Toc11745"/>
      <w:bookmarkStart w:id="767" w:name="_Toc94107220"/>
      <w:bookmarkStart w:id="768" w:name="_Toc533708132"/>
      <w:bookmarkStart w:id="769" w:name="_Toc142508378"/>
      <w:bookmarkStart w:id="770" w:name="_Toc18175_WPSOffice_Level2"/>
      <w:bookmarkStart w:id="771" w:name="_Toc102860427"/>
      <w:bookmarkStart w:id="772" w:name="_Toc14854"/>
      <w:bookmarkStart w:id="773" w:name="_Toc1977737"/>
      <w:r>
        <w:rPr>
          <w:rFonts w:hint="eastAsia" w:ascii="宋体" w:hAnsi="宋体" w:eastAsia="宋体" w:cs="宋体"/>
          <w:b/>
          <w:color w:val="auto"/>
          <w:kern w:val="0"/>
          <w:sz w:val="32"/>
          <w:szCs w:val="32"/>
          <w:highlight w:val="none"/>
          <w:lang w:val="zh-CN" w:eastAsia="zh-CN" w:bidi="ar-SA"/>
        </w:rPr>
        <w:t>十</w:t>
      </w:r>
      <w:r>
        <w:rPr>
          <w:rFonts w:hint="eastAsia" w:ascii="宋体" w:hAnsi="宋体" w:eastAsia="宋体" w:cs="宋体"/>
          <w:b/>
          <w:color w:val="auto"/>
          <w:kern w:val="0"/>
          <w:sz w:val="32"/>
          <w:szCs w:val="32"/>
          <w:highlight w:val="none"/>
          <w:lang w:val="en-US" w:eastAsia="zh-CN" w:bidi="ar-SA"/>
        </w:rPr>
        <w:t>一</w:t>
      </w:r>
      <w:r>
        <w:rPr>
          <w:rFonts w:hint="eastAsia" w:ascii="宋体" w:hAnsi="宋体" w:eastAsia="宋体" w:cs="宋体"/>
          <w:b/>
          <w:color w:val="auto"/>
          <w:kern w:val="0"/>
          <w:sz w:val="32"/>
          <w:szCs w:val="32"/>
          <w:highlight w:val="none"/>
          <w:lang w:val="zh-CN" w:eastAsia="zh-CN" w:bidi="ar-SA"/>
        </w:rPr>
        <w:t>、</w:t>
      </w:r>
      <w:r>
        <w:rPr>
          <w:rFonts w:hint="eastAsia" w:ascii="宋体" w:hAnsi="宋体" w:eastAsia="宋体" w:cs="宋体"/>
          <w:b/>
          <w:color w:val="auto"/>
          <w:kern w:val="0"/>
          <w:sz w:val="32"/>
          <w:szCs w:val="32"/>
          <w:highlight w:val="none"/>
          <w:lang w:val="zh-CN"/>
        </w:rPr>
        <w:t>车辆运输</w:t>
      </w:r>
      <w:bookmarkEnd w:id="760"/>
    </w:p>
    <w:p w14:paraId="6A27F6F2">
      <w:pPr>
        <w:spacing w:line="360" w:lineRule="auto"/>
        <w:rPr>
          <w:rFonts w:hint="default" w:ascii="宋体" w:hAnsi="宋体" w:eastAsia="宋体" w:cs="宋体"/>
          <w:color w:val="auto"/>
          <w:kern w:val="0"/>
          <w:szCs w:val="24"/>
          <w:highlight w:val="none"/>
          <w:lang w:val="en-US" w:eastAsia="zh-CN"/>
        </w:rPr>
      </w:pPr>
      <w:r>
        <w:rPr>
          <w:rFonts w:hint="default" w:ascii="宋体" w:hAnsi="宋体" w:eastAsia="宋体" w:cs="宋体"/>
          <w:b w:val="0"/>
          <w:bCs w:val="0"/>
          <w:color w:val="auto"/>
          <w:kern w:val="0"/>
          <w:sz w:val="21"/>
          <w:szCs w:val="24"/>
          <w:highlight w:val="none"/>
          <w:lang w:val="en-US" w:eastAsia="zh-CN"/>
        </w:rPr>
        <w:t>注：</w:t>
      </w:r>
      <w:r>
        <w:rPr>
          <w:rFonts w:hint="default" w:ascii="宋体" w:hAnsi="宋体" w:eastAsia="宋体" w:cs="宋体"/>
          <w:color w:val="auto"/>
          <w:kern w:val="0"/>
          <w:szCs w:val="24"/>
          <w:highlight w:val="none"/>
          <w:lang w:val="en-US"/>
        </w:rPr>
        <w:t>拟为本项目投入的运输专用车</w:t>
      </w:r>
      <w:r>
        <w:rPr>
          <w:rFonts w:hint="default" w:ascii="宋体" w:hAnsi="宋体" w:eastAsia="宋体" w:cs="宋体"/>
          <w:color w:val="auto"/>
          <w:kern w:val="0"/>
          <w:szCs w:val="24"/>
          <w:highlight w:val="none"/>
          <w:lang w:val="en-US" w:eastAsia="zh-CN"/>
        </w:rPr>
        <w:t>的相关资料。</w:t>
      </w:r>
    </w:p>
    <w:p w14:paraId="6200C5E5">
      <w:pPr>
        <w:keepNext w:val="0"/>
        <w:keepLines w:val="0"/>
        <w:pageBreakBefore/>
        <w:widowControl w:val="0"/>
        <w:kinsoku/>
        <w:wordWrap/>
        <w:overflowPunct/>
        <w:topLinePunct w:val="0"/>
        <w:autoSpaceDE w:val="0"/>
        <w:autoSpaceDN w:val="0"/>
        <w:bidi w:val="0"/>
        <w:adjustRightInd w:val="0"/>
        <w:snapToGrid/>
        <w:spacing w:line="360" w:lineRule="auto"/>
        <w:ind w:firstLine="0" w:firstLineChars="0"/>
        <w:jc w:val="left"/>
        <w:textAlignment w:val="auto"/>
        <w:outlineLvl w:val="1"/>
        <w:rPr>
          <w:rFonts w:hint="eastAsia" w:ascii="宋体" w:hAnsi="宋体" w:eastAsia="宋体" w:cs="宋体"/>
          <w:b/>
          <w:color w:val="auto"/>
          <w:kern w:val="0"/>
          <w:sz w:val="32"/>
          <w:szCs w:val="32"/>
          <w:highlight w:val="none"/>
          <w:lang w:val="zh-CN" w:eastAsia="zh-CN"/>
        </w:rPr>
      </w:pPr>
      <w:bookmarkStart w:id="774" w:name="_Toc28286"/>
      <w:r>
        <w:rPr>
          <w:rFonts w:hint="eastAsia" w:ascii="宋体" w:hAnsi="宋体" w:eastAsia="宋体" w:cs="宋体"/>
          <w:b/>
          <w:color w:val="auto"/>
          <w:kern w:val="0"/>
          <w:sz w:val="32"/>
          <w:szCs w:val="32"/>
          <w:highlight w:val="none"/>
          <w:lang w:val="en-US" w:eastAsia="zh-CN"/>
        </w:rPr>
        <w:t>十二、</w:t>
      </w:r>
      <w:r>
        <w:rPr>
          <w:rFonts w:hint="eastAsia" w:ascii="宋体" w:hAnsi="宋体" w:eastAsia="宋体" w:cs="宋体"/>
          <w:b/>
          <w:color w:val="auto"/>
          <w:kern w:val="0"/>
          <w:sz w:val="32"/>
          <w:szCs w:val="32"/>
          <w:highlight w:val="none"/>
          <w:lang w:val="zh-CN" w:eastAsia="zh-CN"/>
        </w:rPr>
        <w:t>投标保证金汇入情况说明</w:t>
      </w:r>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p>
    <w:p w14:paraId="5FE90F38">
      <w:pPr>
        <w:autoSpaceDE w:val="0"/>
        <w:autoSpaceDN w:val="0"/>
        <w:adjustRightInd w:val="0"/>
        <w:spacing w:line="360" w:lineRule="auto"/>
        <w:jc w:val="left"/>
        <w:rPr>
          <w:rFonts w:ascii="宋体" w:hAnsi="宋体" w:eastAsia="宋体" w:cs="宋体"/>
          <w:color w:val="auto"/>
          <w:szCs w:val="24"/>
          <w:highlight w:val="none"/>
        </w:rPr>
      </w:pPr>
    </w:p>
    <w:p w14:paraId="230509DB">
      <w:pPr>
        <w:autoSpaceDE w:val="0"/>
        <w:autoSpaceDN w:val="0"/>
        <w:adjustRightInd w:val="0"/>
        <w:spacing w:line="360" w:lineRule="auto"/>
        <w:jc w:val="center"/>
        <w:rPr>
          <w:rFonts w:hint="eastAsia" w:ascii="宋体" w:hAnsi="宋体" w:eastAsia="宋体" w:cs="宋体"/>
          <w:b/>
          <w:bCs/>
          <w:color w:val="auto"/>
          <w:kern w:val="0"/>
          <w:sz w:val="28"/>
          <w:szCs w:val="30"/>
          <w:highlight w:val="none"/>
          <w:lang w:val="zh-CN"/>
        </w:rPr>
      </w:pPr>
      <w:bookmarkStart w:id="775" w:name="_Toc1519"/>
      <w:bookmarkStart w:id="776" w:name="_Toc31832_WPSOffice_Level3"/>
      <w:r>
        <w:rPr>
          <w:rFonts w:hint="eastAsia" w:ascii="宋体" w:hAnsi="宋体" w:eastAsia="宋体" w:cs="宋体"/>
          <w:b/>
          <w:bCs/>
          <w:color w:val="auto"/>
          <w:kern w:val="0"/>
          <w:sz w:val="28"/>
          <w:szCs w:val="30"/>
          <w:highlight w:val="none"/>
          <w:lang w:val="zh-CN"/>
        </w:rPr>
        <w:t>投标保证金汇入情况说明</w:t>
      </w:r>
      <w:bookmarkEnd w:id="775"/>
      <w:bookmarkEnd w:id="776"/>
    </w:p>
    <w:p w14:paraId="1675CBF8">
      <w:pPr>
        <w:autoSpaceDE w:val="0"/>
        <w:autoSpaceDN w:val="0"/>
        <w:adjustRightInd w:val="0"/>
        <w:spacing w:line="360" w:lineRule="auto"/>
        <w:jc w:val="center"/>
        <w:rPr>
          <w:rFonts w:ascii="宋体" w:hAnsi="宋体" w:eastAsia="宋体" w:cs="宋体"/>
          <w:b/>
          <w:bCs/>
          <w:color w:val="auto"/>
          <w:kern w:val="0"/>
          <w:szCs w:val="24"/>
          <w:highlight w:val="none"/>
        </w:rPr>
      </w:pPr>
    </w:p>
    <w:p w14:paraId="5EA3C73F">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lang w:eastAsia="zh-CN"/>
        </w:rPr>
        <w:t>东莞市水务集团净水有限公司</w:t>
      </w:r>
      <w:r>
        <w:rPr>
          <w:rFonts w:hint="eastAsia" w:ascii="宋体" w:hAnsi="宋体" w:eastAsia="宋体" w:cs="宋体"/>
          <w:color w:val="auto"/>
          <w:szCs w:val="21"/>
          <w:highlight w:val="none"/>
        </w:rPr>
        <w:t>：</w:t>
      </w:r>
    </w:p>
    <w:p w14:paraId="13F17625">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本单位已按</w:t>
      </w:r>
      <w:r>
        <w:rPr>
          <w:rFonts w:hint="eastAsia" w:ascii="宋体" w:hAnsi="宋体" w:eastAsia="宋体" w:cs="宋体"/>
          <w:color w:val="auto"/>
          <w:kern w:val="0"/>
          <w:szCs w:val="21"/>
          <w:highlight w:val="none"/>
          <w:u w:val="single"/>
          <w:lang w:eastAsia="zh-CN"/>
        </w:rPr>
        <w:t>东莞市水务集团净水有限公司2025年生产药剂液体柠檬酸采购项目（重新招标）</w:t>
      </w:r>
      <w:r>
        <w:rPr>
          <w:rFonts w:hint="eastAsia" w:ascii="宋体" w:hAnsi="宋体" w:eastAsia="宋体" w:cs="宋体"/>
          <w:color w:val="auto"/>
          <w:szCs w:val="21"/>
          <w:highlight w:val="none"/>
        </w:rPr>
        <w:t>（招标编号：</w:t>
      </w:r>
      <w:r>
        <w:rPr>
          <w:rFonts w:hint="eastAsia" w:ascii="宋体" w:hAnsi="宋体" w:eastAsia="宋体" w:cs="宋体"/>
          <w:color w:val="auto"/>
          <w:szCs w:val="21"/>
          <w:highlight w:val="none"/>
          <w:u w:val="single"/>
          <w:lang w:eastAsia="zh-CN"/>
        </w:rPr>
        <w:t>YDZB24DGQY0194-1</w:t>
      </w:r>
      <w:r>
        <w:rPr>
          <w:rFonts w:hint="eastAsia" w:ascii="宋体" w:hAnsi="宋体" w:eastAsia="宋体" w:cs="宋体"/>
          <w:color w:val="auto"/>
          <w:szCs w:val="21"/>
          <w:highlight w:val="none"/>
        </w:rPr>
        <w:t>）的招标文件要求，于</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日前以</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付款形式）方式汇入指定账户（账户名称：</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lang w:val="zh-CN"/>
        </w:rPr>
        <w:t xml:space="preserve"> </w:t>
      </w:r>
      <w:r>
        <w:rPr>
          <w:rFonts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rPr>
        <w:t>）。</w:t>
      </w:r>
    </w:p>
    <w:p w14:paraId="2C547427">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本单位投标保证金的汇款情况：（详见附件－投标保证金进</w:t>
      </w:r>
      <w:r>
        <w:rPr>
          <w:rFonts w:hint="eastAsia" w:ascii="宋体" w:hAnsi="宋体" w:eastAsia="宋体" w:cs="宋体"/>
          <w:color w:val="auto"/>
          <w:szCs w:val="21"/>
          <w:highlight w:val="none"/>
          <w:lang w:val="en-US" w:eastAsia="zh-CN"/>
        </w:rPr>
        <w:t>账</w:t>
      </w:r>
      <w:r>
        <w:rPr>
          <w:rFonts w:hint="eastAsia" w:ascii="宋体" w:hAnsi="宋体" w:eastAsia="宋体" w:cs="宋体"/>
          <w:color w:val="auto"/>
          <w:szCs w:val="21"/>
          <w:highlight w:val="none"/>
        </w:rPr>
        <w:t>单）</w:t>
      </w:r>
    </w:p>
    <w:p w14:paraId="5E9CB92E">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汇出时间：</w:t>
      </w:r>
      <w:r>
        <w:rPr>
          <w:rFonts w:hint="eastAsia" w:ascii="宋体" w:hAnsi="宋体" w:eastAsia="宋体" w:cs="宋体"/>
          <w:color w:val="auto"/>
          <w:szCs w:val="21"/>
          <w:highlight w:val="none"/>
          <w:u w:val="single"/>
        </w:rPr>
        <w:t xml:space="preserve">    年   月    日</w:t>
      </w:r>
    </w:p>
    <w:p w14:paraId="42B67E2D">
      <w:pPr>
        <w:spacing w:line="360" w:lineRule="auto"/>
        <w:ind w:firstLine="424" w:firstLineChars="202"/>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汇款金额：</w:t>
      </w:r>
      <w:r>
        <w:rPr>
          <w:rFonts w:hint="eastAsia" w:ascii="宋体" w:hAnsi="宋体" w:eastAsia="宋体" w:cs="宋体"/>
          <w:color w:val="auto"/>
          <w:szCs w:val="21"/>
          <w:highlight w:val="none"/>
          <w:u w:val="single"/>
          <w:lang w:eastAsia="zh-CN"/>
        </w:rPr>
        <w:t>（大写）人民币      元（小写：¥      元）</w:t>
      </w:r>
    </w:p>
    <w:p w14:paraId="36F243E1">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汇款账户名称：</w:t>
      </w:r>
      <w:r>
        <w:rPr>
          <w:rFonts w:hint="eastAsia" w:ascii="宋体" w:hAnsi="宋体" w:eastAsia="宋体" w:cs="宋体"/>
          <w:color w:val="auto"/>
          <w:szCs w:val="21"/>
          <w:highlight w:val="none"/>
          <w:u w:val="single"/>
        </w:rPr>
        <w:t>（必须是投标时使用的账户名）</w:t>
      </w:r>
    </w:p>
    <w:p w14:paraId="30EEBD89">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（必须是投标时使用的账号）</w:t>
      </w:r>
    </w:p>
    <w:p w14:paraId="5CAAFA0F">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省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市         </w:t>
      </w:r>
    </w:p>
    <w:p w14:paraId="2378C51C">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本单位谨承诺上述资料是正确、真实的，如因上述证明与事实不符导致的一切损失，本单位保证承担赔偿等一切法律责任。</w:t>
      </w:r>
    </w:p>
    <w:p w14:paraId="349B0B44">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保证金退回时，请按上述资料退回。</w:t>
      </w:r>
    </w:p>
    <w:p w14:paraId="1E875DC9">
      <w:pPr>
        <w:spacing w:line="360" w:lineRule="auto"/>
        <w:ind w:right="844" w:rightChars="402" w:firstLine="424" w:firstLineChars="202"/>
        <w:jc w:val="right"/>
        <w:rPr>
          <w:rFonts w:ascii="宋体" w:hAnsi="宋体" w:eastAsia="宋体" w:cs="宋体"/>
          <w:color w:val="auto"/>
          <w:szCs w:val="24"/>
          <w:highlight w:val="none"/>
        </w:rPr>
      </w:pPr>
      <w:r>
        <w:rPr>
          <w:rFonts w:hint="eastAsia" w:ascii="宋体" w:hAnsi="宋体" w:eastAsia="宋体" w:cs="宋体"/>
          <w:color w:val="auto"/>
          <w:szCs w:val="24"/>
          <w:highlight w:val="none"/>
        </w:rPr>
        <w:t>（</w:t>
      </w:r>
      <w:r>
        <w:rPr>
          <w:rFonts w:hint="eastAsia" w:ascii="宋体" w:hAnsi="宋体" w:eastAsia="宋体" w:cs="宋体"/>
          <w:bCs/>
          <w:color w:val="auto"/>
          <w:szCs w:val="24"/>
          <w:highlight w:val="none"/>
        </w:rPr>
        <w:t>投标人法人公章</w:t>
      </w:r>
      <w:r>
        <w:rPr>
          <w:rFonts w:hint="eastAsia" w:ascii="宋体" w:hAnsi="宋体" w:eastAsia="宋体" w:cs="宋体"/>
          <w:color w:val="auto"/>
          <w:szCs w:val="24"/>
          <w:highlight w:val="none"/>
        </w:rPr>
        <w:t>）</w:t>
      </w:r>
    </w:p>
    <w:p w14:paraId="1ABFDA38">
      <w:pPr>
        <w:spacing w:line="360" w:lineRule="auto"/>
        <w:ind w:right="628" w:rightChars="299" w:firstLine="7774" w:firstLineChars="3702"/>
        <w:jc w:val="left"/>
        <w:rPr>
          <w:rFonts w:ascii="宋体" w:hAnsi="宋体" w:eastAsia="宋体" w:cs="宋体"/>
          <w:color w:val="auto"/>
          <w:szCs w:val="24"/>
          <w:highlight w:val="none"/>
        </w:rPr>
      </w:pPr>
      <w:r>
        <w:rPr>
          <w:rFonts w:hint="eastAsia" w:ascii="宋体" w:hAnsi="宋体" w:eastAsia="宋体" w:cs="宋体"/>
          <w:color w:val="auto"/>
          <w:szCs w:val="24"/>
          <w:highlight w:val="none"/>
        </w:rPr>
        <w:t>年   月   日</w:t>
      </w:r>
    </w:p>
    <w:p w14:paraId="54D02288">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单位名称：</w:t>
      </w:r>
    </w:p>
    <w:p w14:paraId="60B64BF0">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单位地址：</w:t>
      </w:r>
    </w:p>
    <w:p w14:paraId="7712F661">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联系人：</w:t>
      </w:r>
    </w:p>
    <w:p w14:paraId="32687CF1">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单位电话：                    </w:t>
      </w:r>
    </w:p>
    <w:p w14:paraId="57B15633">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联系人手机：</w:t>
      </w:r>
    </w:p>
    <w:p w14:paraId="1ED89560">
      <w:pPr>
        <w:spacing w:line="360" w:lineRule="auto"/>
        <w:ind w:left="340" w:leftChars="162" w:firstLine="425"/>
        <w:rPr>
          <w:rFonts w:ascii="宋体" w:hAnsi="宋体" w:eastAsia="宋体" w:cs="宋体"/>
          <w:b/>
          <w:bCs/>
          <w:color w:val="auto"/>
          <w:szCs w:val="21"/>
          <w:highlight w:val="none"/>
        </w:rPr>
      </w:pPr>
      <w:bookmarkStart w:id="777" w:name="_Toc26208_WPSOffice_Level3"/>
      <w:r>
        <w:rPr>
          <w:rFonts w:hint="eastAsia" w:ascii="宋体" w:hAnsi="宋体" w:eastAsia="宋体" w:cs="宋体"/>
          <w:b/>
          <w:bCs/>
          <w:color w:val="auto"/>
          <w:szCs w:val="21"/>
          <w:highlight w:val="none"/>
        </w:rPr>
        <w:t>附：1、我方投标保证金汇款凭证（复印件）</w:t>
      </w:r>
      <w:bookmarkEnd w:id="777"/>
    </w:p>
    <w:p w14:paraId="18B19013">
      <w:pPr>
        <w:spacing w:line="360" w:lineRule="auto"/>
        <w:ind w:left="340" w:leftChars="162" w:firstLine="845" w:firstLineChars="401"/>
        <w:rPr>
          <w:rFonts w:hint="eastAsia" w:ascii="宋体" w:hAnsi="宋体" w:eastAsia="宋体" w:cs="宋体"/>
          <w:b/>
          <w:bCs/>
          <w:color w:val="auto"/>
          <w:szCs w:val="21"/>
          <w:highlight w:val="none"/>
        </w:rPr>
      </w:pPr>
      <w:bookmarkStart w:id="778" w:name="_Toc4168"/>
      <w:bookmarkStart w:id="779" w:name="_Toc12992_WPSOffice_Level3"/>
      <w:r>
        <w:rPr>
          <w:rFonts w:hint="eastAsia" w:ascii="宋体" w:hAnsi="宋体" w:eastAsia="宋体" w:cs="宋体"/>
          <w:b/>
          <w:bCs/>
          <w:color w:val="auto"/>
          <w:szCs w:val="21"/>
          <w:highlight w:val="none"/>
        </w:rPr>
        <w:t>2、我方基本账户开户许可证（复印件）</w:t>
      </w:r>
      <w:bookmarkEnd w:id="778"/>
      <w:bookmarkEnd w:id="779"/>
    </w:p>
    <w:p w14:paraId="7B91FF39">
      <w:pPr>
        <w:spacing w:line="360" w:lineRule="auto"/>
        <w:ind w:left="340" w:leftChars="162" w:firstLine="736" w:firstLineChars="349"/>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注：本情况说明手写无效。</w:t>
      </w:r>
    </w:p>
    <w:p w14:paraId="74207AAE">
      <w:pPr>
        <w:autoSpaceDE w:val="0"/>
        <w:autoSpaceDN w:val="0"/>
        <w:adjustRightInd w:val="0"/>
        <w:spacing w:line="360" w:lineRule="auto"/>
        <w:ind w:firstLine="5145" w:firstLineChars="2450"/>
        <w:rPr>
          <w:rFonts w:ascii="宋体" w:hAnsi="宋体" w:eastAsia="宋体" w:cs="宋体"/>
          <w:color w:val="auto"/>
          <w:szCs w:val="24"/>
          <w:highlight w:val="none"/>
          <w:lang w:val="zh-CN"/>
        </w:rPr>
      </w:pPr>
    </w:p>
    <w:p w14:paraId="1CEF4C9E">
      <w:pPr>
        <w:spacing w:line="360" w:lineRule="auto"/>
        <w:ind w:firstLine="424" w:firstLineChars="202"/>
        <w:rPr>
          <w:rFonts w:ascii="宋体" w:hAnsi="宋体" w:eastAsia="宋体" w:cs="宋体"/>
          <w:color w:val="auto"/>
          <w:szCs w:val="24"/>
          <w:highlight w:val="none"/>
        </w:rPr>
      </w:pPr>
      <w:bookmarkStart w:id="780" w:name="_Toc486167721"/>
    </w:p>
    <w:p w14:paraId="467DD9B7">
      <w:pPr>
        <w:spacing w:line="360" w:lineRule="auto"/>
        <w:ind w:firstLine="424" w:firstLineChars="202"/>
        <w:rPr>
          <w:rFonts w:ascii="宋体" w:hAnsi="宋体" w:eastAsia="宋体" w:cs="宋体"/>
          <w:color w:val="auto"/>
          <w:szCs w:val="24"/>
          <w:highlight w:val="none"/>
        </w:rPr>
      </w:pPr>
      <w:bookmarkStart w:id="781" w:name="_Toc533708134"/>
    </w:p>
    <w:p w14:paraId="77B3EEA9">
      <w:pPr>
        <w:widowControl/>
        <w:jc w:val="left"/>
        <w:rPr>
          <w:rFonts w:ascii="宋体" w:hAnsi="宋体" w:eastAsia="宋体" w:cs="宋体"/>
          <w:b/>
          <w:color w:val="auto"/>
          <w:kern w:val="0"/>
          <w:szCs w:val="21"/>
          <w:highlight w:val="none"/>
        </w:rPr>
      </w:pPr>
      <w:r>
        <w:rPr>
          <w:rFonts w:ascii="宋体" w:hAnsi="宋体" w:eastAsia="宋体" w:cs="宋体"/>
          <w:b/>
          <w:color w:val="auto"/>
          <w:kern w:val="0"/>
          <w:szCs w:val="21"/>
          <w:highlight w:val="none"/>
        </w:rPr>
        <w:br w:type="page"/>
      </w:r>
    </w:p>
    <w:p w14:paraId="7874322C">
      <w:pPr>
        <w:keepNext w:val="0"/>
        <w:keepLines w:val="0"/>
        <w:pageBreakBefore/>
        <w:widowControl w:val="0"/>
        <w:kinsoku/>
        <w:wordWrap/>
        <w:overflowPunct/>
        <w:topLinePunct w:val="0"/>
        <w:autoSpaceDE w:val="0"/>
        <w:autoSpaceDN w:val="0"/>
        <w:bidi w:val="0"/>
        <w:adjustRightInd w:val="0"/>
        <w:snapToGrid/>
        <w:spacing w:line="360" w:lineRule="auto"/>
        <w:ind w:firstLine="0" w:firstLineChars="0"/>
        <w:jc w:val="left"/>
        <w:textAlignment w:val="auto"/>
        <w:outlineLvl w:val="1"/>
        <w:rPr>
          <w:rFonts w:hint="eastAsia" w:ascii="宋体" w:hAnsi="宋体" w:eastAsia="宋体" w:cs="宋体"/>
          <w:b/>
          <w:color w:val="auto"/>
          <w:kern w:val="0"/>
          <w:sz w:val="32"/>
          <w:szCs w:val="32"/>
          <w:highlight w:val="none"/>
          <w:lang w:val="zh-CN" w:eastAsia="zh-CN"/>
        </w:rPr>
        <w:sectPr>
          <w:pgSz w:w="12240" w:h="15840"/>
          <w:pgMar w:top="1191" w:right="1043" w:bottom="1191" w:left="1043" w:header="720" w:footer="720" w:gutter="0"/>
          <w:cols w:space="720" w:num="1"/>
          <w:titlePg/>
          <w:docGrid w:linePitch="326" w:charSpace="0"/>
        </w:sectPr>
      </w:pPr>
      <w:bookmarkStart w:id="782" w:name="_Toc16292"/>
      <w:bookmarkStart w:id="783" w:name="_Toc102860084"/>
      <w:bookmarkStart w:id="784" w:name="_Toc140596939"/>
      <w:bookmarkStart w:id="785" w:name="_Toc21748"/>
      <w:bookmarkStart w:id="786" w:name="_Toc102860428"/>
      <w:bookmarkStart w:id="787" w:name="_Toc104991886"/>
      <w:bookmarkStart w:id="788" w:name="_Toc142508379"/>
      <w:bookmarkStart w:id="789" w:name="_Toc10823"/>
      <w:bookmarkStart w:id="790" w:name="_Toc1977738"/>
      <w:bookmarkStart w:id="791" w:name="_Toc94107221"/>
      <w:bookmarkStart w:id="792" w:name="_Toc18032"/>
      <w:r>
        <w:rPr>
          <w:rFonts w:hint="eastAsia" w:ascii="宋体" w:hAnsi="宋体" w:eastAsia="宋体" w:cs="宋体"/>
          <w:b/>
          <w:color w:val="auto"/>
          <w:kern w:val="0"/>
          <w:sz w:val="32"/>
          <w:szCs w:val="32"/>
          <w:highlight w:val="none"/>
          <w:lang w:val="zh-CN" w:eastAsia="zh-CN"/>
        </w:rPr>
        <w:t>十</w:t>
      </w:r>
      <w:r>
        <w:rPr>
          <w:rFonts w:hint="eastAsia" w:ascii="宋体" w:hAnsi="宋体" w:eastAsia="宋体" w:cs="宋体"/>
          <w:b/>
          <w:color w:val="auto"/>
          <w:kern w:val="0"/>
          <w:sz w:val="32"/>
          <w:szCs w:val="32"/>
          <w:highlight w:val="none"/>
          <w:lang w:val="en-US" w:eastAsia="zh-CN"/>
        </w:rPr>
        <w:t>三</w:t>
      </w:r>
      <w:r>
        <w:rPr>
          <w:rFonts w:hint="eastAsia" w:ascii="宋体" w:hAnsi="宋体" w:eastAsia="宋体" w:cs="宋体"/>
          <w:b/>
          <w:color w:val="auto"/>
          <w:kern w:val="0"/>
          <w:sz w:val="32"/>
          <w:szCs w:val="32"/>
          <w:highlight w:val="none"/>
          <w:lang w:val="zh-CN" w:eastAsia="zh-CN"/>
        </w:rPr>
        <w:t>、投标人资格证明文件以外的其他资质证书、知识产权证书及获得的相关获奖、认证证书、社会评价资料证明文件复印件等投标人认为有需要证明其具备为本次招标项目提供货物</w:t>
      </w:r>
      <w:r>
        <w:rPr>
          <w:rFonts w:hint="eastAsia" w:ascii="宋体" w:hAnsi="宋体" w:eastAsia="宋体" w:cs="宋体"/>
          <w:b/>
          <w:color w:val="auto"/>
          <w:kern w:val="0"/>
          <w:sz w:val="32"/>
          <w:szCs w:val="32"/>
          <w:highlight w:val="none"/>
          <w:lang w:val="en-US" w:eastAsia="zh-CN"/>
        </w:rPr>
        <w:t>及有关</w:t>
      </w:r>
      <w:r>
        <w:rPr>
          <w:rFonts w:hint="eastAsia" w:ascii="宋体" w:hAnsi="宋体" w:eastAsia="宋体" w:cs="宋体"/>
          <w:b/>
          <w:color w:val="auto"/>
          <w:kern w:val="0"/>
          <w:sz w:val="32"/>
          <w:szCs w:val="32"/>
          <w:highlight w:val="none"/>
          <w:lang w:val="zh-CN" w:eastAsia="zh-CN"/>
        </w:rPr>
        <w:t>服务能力的有关其它商务文件（不做强制要求）</w:t>
      </w:r>
      <w:bookmarkEnd w:id="782"/>
      <w:bookmarkEnd w:id="783"/>
      <w:bookmarkEnd w:id="784"/>
      <w:bookmarkEnd w:id="785"/>
      <w:bookmarkEnd w:id="786"/>
      <w:bookmarkEnd w:id="787"/>
      <w:bookmarkEnd w:id="788"/>
      <w:bookmarkEnd w:id="789"/>
      <w:bookmarkEnd w:id="790"/>
      <w:bookmarkEnd w:id="791"/>
      <w:bookmarkEnd w:id="792"/>
    </w:p>
    <w:p w14:paraId="3B47F458">
      <w:pPr>
        <w:tabs>
          <w:tab w:val="left" w:pos="567"/>
        </w:tabs>
        <w:autoSpaceDE w:val="0"/>
        <w:autoSpaceDN w:val="0"/>
        <w:adjustRightInd w:val="0"/>
        <w:spacing w:line="360" w:lineRule="auto"/>
        <w:ind w:left="357" w:leftChars="-100" w:hanging="567"/>
        <w:jc w:val="left"/>
        <w:outlineLvl w:val="1"/>
        <w:rPr>
          <w:rFonts w:ascii="宋体" w:hAnsi="宋体" w:eastAsia="宋体" w:cs="宋体"/>
          <w:b/>
          <w:color w:val="auto"/>
          <w:kern w:val="0"/>
          <w:sz w:val="32"/>
          <w:szCs w:val="32"/>
          <w:highlight w:val="none"/>
        </w:rPr>
      </w:pPr>
      <w:bookmarkStart w:id="793" w:name="_Toc102860085"/>
      <w:bookmarkStart w:id="794" w:name="_Toc1977739"/>
      <w:bookmarkStart w:id="795" w:name="_Toc29422"/>
      <w:bookmarkStart w:id="796" w:name="_Toc102860429"/>
      <w:bookmarkStart w:id="797" w:name="_Toc15051"/>
      <w:bookmarkStart w:id="798" w:name="_Toc104991887"/>
      <w:bookmarkStart w:id="799" w:name="_Toc94107222"/>
      <w:bookmarkStart w:id="800" w:name="_Toc142508380"/>
      <w:bookmarkStart w:id="801" w:name="_Toc14341"/>
      <w:bookmarkStart w:id="802" w:name="_Toc4599"/>
      <w:bookmarkStart w:id="803" w:name="_Toc140596940"/>
      <w:r>
        <w:rPr>
          <w:rFonts w:hint="eastAsia" w:ascii="宋体" w:hAnsi="宋体" w:eastAsia="宋体" w:cs="宋体"/>
          <w:b/>
          <w:color w:val="auto"/>
          <w:kern w:val="0"/>
          <w:sz w:val="32"/>
          <w:szCs w:val="32"/>
          <w:highlight w:val="none"/>
        </w:rPr>
        <w:t>十</w:t>
      </w:r>
      <w:r>
        <w:rPr>
          <w:rFonts w:hint="eastAsia" w:ascii="宋体" w:hAnsi="宋体" w:eastAsia="宋体" w:cs="宋体"/>
          <w:b/>
          <w:color w:val="auto"/>
          <w:kern w:val="0"/>
          <w:sz w:val="32"/>
          <w:szCs w:val="32"/>
          <w:highlight w:val="none"/>
          <w:lang w:val="en-US" w:eastAsia="zh-CN"/>
        </w:rPr>
        <w:t>四</w:t>
      </w:r>
      <w:r>
        <w:rPr>
          <w:rFonts w:hint="eastAsia" w:ascii="宋体" w:hAnsi="宋体" w:eastAsia="宋体" w:cs="宋体"/>
          <w:b/>
          <w:color w:val="auto"/>
          <w:kern w:val="0"/>
          <w:sz w:val="32"/>
          <w:szCs w:val="32"/>
          <w:highlight w:val="none"/>
        </w:rPr>
        <w:t>、技术响应文件格式</w:t>
      </w:r>
      <w:bookmarkEnd w:id="781"/>
      <w:bookmarkEnd w:id="793"/>
      <w:bookmarkEnd w:id="794"/>
      <w:bookmarkEnd w:id="795"/>
      <w:bookmarkEnd w:id="796"/>
      <w:bookmarkEnd w:id="797"/>
      <w:bookmarkEnd w:id="798"/>
      <w:bookmarkEnd w:id="799"/>
      <w:bookmarkEnd w:id="800"/>
      <w:bookmarkEnd w:id="801"/>
      <w:bookmarkEnd w:id="802"/>
      <w:bookmarkEnd w:id="803"/>
    </w:p>
    <w:p w14:paraId="52BA2A81">
      <w:pPr>
        <w:tabs>
          <w:tab w:val="left" w:pos="8640"/>
        </w:tabs>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投标人应按照招标文件投标人须知关于投标文件组成部分的要求编制技术文件，主要包括但不限于以下内容：</w:t>
      </w:r>
    </w:p>
    <w:p w14:paraId="368BB6FE">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1、用户需求响应程度（即1</w:t>
      </w:r>
      <w:r>
        <w:rPr>
          <w:rFonts w:hint="eastAsia" w:ascii="宋体" w:hAnsi="宋体" w:eastAsia="宋体" w:cs="宋体"/>
          <w:color w:val="auto"/>
          <w:kern w:val="0"/>
          <w:szCs w:val="21"/>
          <w:highlight w:val="none"/>
          <w:lang w:val="en-US" w:eastAsia="zh-CN"/>
        </w:rPr>
        <w:t>4</w:t>
      </w:r>
      <w:r>
        <w:rPr>
          <w:rFonts w:ascii="宋体" w:hAnsi="宋体" w:eastAsia="宋体" w:cs="宋体"/>
          <w:color w:val="auto"/>
          <w:kern w:val="0"/>
          <w:szCs w:val="21"/>
          <w:highlight w:val="none"/>
        </w:rPr>
        <w:t>.1</w:t>
      </w:r>
      <w:r>
        <w:rPr>
          <w:rFonts w:hint="eastAsia" w:ascii="宋体" w:hAnsi="宋体" w:eastAsia="宋体" w:cs="宋体"/>
          <w:color w:val="auto"/>
          <w:kern w:val="0"/>
          <w:szCs w:val="21"/>
          <w:highlight w:val="none"/>
        </w:rPr>
        <w:t>用户需求偏离表格式）；</w:t>
      </w:r>
    </w:p>
    <w:p w14:paraId="77A488FD">
      <w:pPr>
        <w:spacing w:line="360" w:lineRule="auto"/>
        <w:ind w:left="443" w:leftChars="77" w:hanging="281" w:hangingChars="134"/>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2、投标产品技术指标承诺书（格式见1</w:t>
      </w:r>
      <w:r>
        <w:rPr>
          <w:rFonts w:hint="eastAsia" w:ascii="宋体" w:hAnsi="宋体" w:eastAsia="宋体" w:cs="宋体"/>
          <w:color w:val="auto"/>
          <w:kern w:val="0"/>
          <w:szCs w:val="21"/>
          <w:highlight w:val="none"/>
          <w:lang w:val="en-US" w:eastAsia="zh-CN"/>
        </w:rPr>
        <w:t>4.2</w:t>
      </w:r>
      <w:r>
        <w:rPr>
          <w:rFonts w:hint="eastAsia" w:ascii="宋体" w:hAnsi="宋体" w:eastAsia="宋体" w:cs="宋体"/>
          <w:color w:val="auto"/>
          <w:kern w:val="0"/>
          <w:szCs w:val="21"/>
          <w:highlight w:val="none"/>
          <w:lang w:val="zh-CN"/>
        </w:rPr>
        <w:t>投标产品技术指标承诺书格式）；</w:t>
      </w:r>
    </w:p>
    <w:p w14:paraId="4AF64E0D">
      <w:pPr>
        <w:spacing w:line="360" w:lineRule="auto"/>
        <w:ind w:left="443" w:leftChars="77" w:hanging="281" w:hangingChars="134"/>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3、第三方检测机构出具的检验报告复印件（须为202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lang w:val="zh-CN"/>
        </w:rPr>
        <w:t>年</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lang w:val="zh-CN"/>
        </w:rPr>
        <w:t>月1日以后出具的投标产品检验报告）；</w:t>
      </w:r>
    </w:p>
    <w:p w14:paraId="3B021E9F">
      <w:pPr>
        <w:spacing w:line="360" w:lineRule="auto"/>
        <w:ind w:left="443" w:leftChars="77" w:hanging="281" w:hangingChars="134"/>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4、生产工艺（投标人自行编写，其中应包含生产工艺流程图）；</w:t>
      </w:r>
    </w:p>
    <w:p w14:paraId="1D01E9AB">
      <w:pPr>
        <w:spacing w:line="360" w:lineRule="auto"/>
        <w:ind w:left="443" w:leftChars="77" w:hanging="281" w:hangingChars="134"/>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zh-CN"/>
        </w:rPr>
        <w:t>、生产供货保障能力</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zh-CN"/>
        </w:rPr>
        <w:t>投标人自行编写</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zh-CN"/>
        </w:rPr>
        <w:t>；</w:t>
      </w:r>
    </w:p>
    <w:p w14:paraId="46037799">
      <w:pPr>
        <w:spacing w:line="360" w:lineRule="auto"/>
        <w:ind w:left="443" w:leftChars="77" w:hanging="281" w:hangingChars="134"/>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rPr>
        <w:t>6</w:t>
      </w:r>
      <w:r>
        <w:rPr>
          <w:rFonts w:hint="eastAsia" w:ascii="宋体" w:hAnsi="宋体" w:eastAsia="宋体" w:cs="宋体"/>
          <w:color w:val="auto"/>
          <w:kern w:val="0"/>
          <w:szCs w:val="21"/>
          <w:highlight w:val="none"/>
          <w:lang w:val="zh-CN"/>
        </w:rPr>
        <w:t>、质量保证体系和措施</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zh-CN"/>
        </w:rPr>
        <w:t>投标人自行编写</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zh-CN"/>
        </w:rPr>
        <w:t>；</w:t>
      </w:r>
    </w:p>
    <w:p w14:paraId="0DE8F8EA">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、投标人认为有必要提供的其它材料（不做强制要求）。</w:t>
      </w:r>
    </w:p>
    <w:p w14:paraId="0D4A00AB">
      <w:pP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br w:type="page"/>
      </w:r>
    </w:p>
    <w:p w14:paraId="063E4CEC">
      <w:pPr>
        <w:pStyle w:val="19"/>
        <w:spacing w:line="360" w:lineRule="auto"/>
        <w:jc w:val="center"/>
        <w:rPr>
          <w:rFonts w:hint="eastAsia" w:ascii="宋体" w:hAnsi="宋体" w:eastAsia="宋体" w:cs="宋体"/>
          <w:color w:val="auto"/>
          <w:sz w:val="84"/>
          <w:highlight w:val="none"/>
        </w:rPr>
      </w:pPr>
    </w:p>
    <w:p w14:paraId="3A9E2A66">
      <w:pPr>
        <w:pStyle w:val="19"/>
        <w:spacing w:line="360" w:lineRule="auto"/>
        <w:jc w:val="center"/>
        <w:rPr>
          <w:rFonts w:hint="eastAsia" w:ascii="宋体" w:hAnsi="宋体" w:eastAsia="宋体" w:cs="宋体"/>
          <w:color w:val="auto"/>
          <w:sz w:val="84"/>
          <w:highlight w:val="none"/>
        </w:rPr>
      </w:pPr>
    </w:p>
    <w:p w14:paraId="06B774F1">
      <w:pPr>
        <w:pStyle w:val="19"/>
        <w:spacing w:line="360" w:lineRule="auto"/>
        <w:jc w:val="center"/>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14:paraId="44BCD313">
      <w:pPr>
        <w:pStyle w:val="19"/>
        <w:spacing w:line="360" w:lineRule="auto"/>
        <w:rPr>
          <w:rFonts w:hint="eastAsia" w:ascii="宋体" w:hAnsi="宋体" w:eastAsia="宋体" w:cs="宋体"/>
          <w:color w:val="auto"/>
          <w:highlight w:val="none"/>
        </w:rPr>
      </w:pPr>
    </w:p>
    <w:p w14:paraId="0205E087">
      <w:pPr>
        <w:pStyle w:val="19"/>
        <w:spacing w:line="360" w:lineRule="auto"/>
        <w:rPr>
          <w:rFonts w:hint="eastAsia" w:ascii="宋体" w:hAnsi="宋体" w:eastAsia="宋体" w:cs="宋体"/>
          <w:color w:val="auto"/>
          <w:highlight w:val="none"/>
        </w:rPr>
      </w:pPr>
    </w:p>
    <w:p w14:paraId="4C977124">
      <w:pPr>
        <w:pStyle w:val="19"/>
        <w:spacing w:line="360" w:lineRule="auto"/>
        <w:rPr>
          <w:rFonts w:hint="eastAsia" w:ascii="宋体" w:hAnsi="宋体" w:eastAsia="宋体" w:cs="宋体"/>
          <w:color w:val="auto"/>
          <w:highlight w:val="none"/>
        </w:rPr>
      </w:pPr>
    </w:p>
    <w:p w14:paraId="68601023">
      <w:pPr>
        <w:pStyle w:val="19"/>
        <w:spacing w:line="360" w:lineRule="auto"/>
        <w:rPr>
          <w:rFonts w:hint="eastAsia" w:ascii="宋体" w:hAnsi="宋体" w:eastAsia="宋体" w:cs="宋体"/>
          <w:color w:val="auto"/>
          <w:highlight w:val="none"/>
        </w:rPr>
      </w:pPr>
    </w:p>
    <w:p w14:paraId="1F3C7D35">
      <w:pPr>
        <w:pStyle w:val="19"/>
        <w:spacing w:line="360" w:lineRule="auto"/>
        <w:rPr>
          <w:rFonts w:hint="eastAsia" w:ascii="宋体" w:hAnsi="宋体" w:eastAsia="宋体" w:cs="宋体"/>
          <w:color w:val="auto"/>
          <w:highlight w:val="none"/>
        </w:rPr>
      </w:pPr>
    </w:p>
    <w:p w14:paraId="4AB96516">
      <w:pPr>
        <w:pStyle w:val="19"/>
        <w:spacing w:line="360" w:lineRule="auto"/>
        <w:rPr>
          <w:rFonts w:hint="eastAsia" w:ascii="宋体" w:hAnsi="宋体" w:eastAsia="宋体" w:cs="宋体"/>
          <w:color w:val="auto"/>
          <w:highlight w:val="none"/>
        </w:rPr>
      </w:pPr>
    </w:p>
    <w:p w14:paraId="3F696CD7">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 xml:space="preserve">                      </w:t>
      </w:r>
    </w:p>
    <w:p w14:paraId="07912A80">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14:paraId="7ED2C8A1">
      <w:pPr>
        <w:pStyle w:val="19"/>
        <w:spacing w:line="360" w:lineRule="auto"/>
        <w:ind w:firstLine="1875" w:firstLineChars="625"/>
        <w:rPr>
          <w:rFonts w:hint="eastAsia" w:ascii="宋体" w:hAnsi="宋体" w:eastAsia="宋体" w:cs="宋体"/>
          <w:color w:val="auto"/>
          <w:sz w:val="30"/>
          <w:highlight w:val="none"/>
          <w:u w:val="single"/>
        </w:rPr>
      </w:pPr>
      <w:bookmarkStart w:id="804" w:name="_Toc22341"/>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w:t>
      </w:r>
      <w:r>
        <w:rPr>
          <w:rFonts w:hint="eastAsia" w:ascii="宋体" w:hAnsi="宋体" w:cs="宋体"/>
          <w:color w:val="auto"/>
          <w:sz w:val="30"/>
          <w:highlight w:val="none"/>
          <w:u w:val="single"/>
          <w:lang w:val="en-US" w:eastAsia="zh-CN"/>
        </w:rPr>
        <w:t>技术</w:t>
      </w:r>
      <w:r>
        <w:rPr>
          <w:rFonts w:hint="eastAsia" w:ascii="宋体" w:hAnsi="宋体" w:eastAsia="宋体" w:cs="宋体"/>
          <w:color w:val="auto"/>
          <w:sz w:val="30"/>
          <w:highlight w:val="none"/>
          <w:u w:val="single"/>
        </w:rPr>
        <w:t>部分</w:t>
      </w:r>
      <w:bookmarkEnd w:id="804"/>
      <w:r>
        <w:rPr>
          <w:rFonts w:hint="eastAsia" w:ascii="宋体" w:hAnsi="宋体" w:eastAsia="宋体" w:cs="宋体"/>
          <w:color w:val="auto"/>
          <w:sz w:val="30"/>
          <w:highlight w:val="none"/>
          <w:u w:val="single"/>
        </w:rPr>
        <w:t xml:space="preserve"> </w:t>
      </w:r>
    </w:p>
    <w:p w14:paraId="0DF6635A">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14:paraId="04529836">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w:t>
      </w:r>
    </w:p>
    <w:p w14:paraId="7A4F43AA">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14:paraId="194312C5">
      <w:pPr>
        <w:pStyle w:val="19"/>
        <w:spacing w:line="360" w:lineRule="auto"/>
        <w:rPr>
          <w:rFonts w:hint="eastAsia" w:ascii="宋体" w:hAnsi="宋体" w:eastAsia="宋体" w:cs="宋体"/>
          <w:color w:val="auto"/>
          <w:highlight w:val="none"/>
        </w:rPr>
      </w:pPr>
    </w:p>
    <w:p w14:paraId="267B3932">
      <w:pPr>
        <w:pStyle w:val="1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43A72B2C">
      <w:pPr>
        <w:pStyle w:val="19"/>
        <w:spacing w:line="360" w:lineRule="auto"/>
        <w:rPr>
          <w:rFonts w:hint="eastAsia" w:ascii="宋体" w:hAnsi="宋体" w:eastAsia="宋体" w:cs="宋体"/>
          <w:color w:val="auto"/>
          <w:highlight w:val="none"/>
        </w:rPr>
      </w:pPr>
    </w:p>
    <w:p w14:paraId="4904B637">
      <w:pPr>
        <w:pBdr>
          <w:top w:val="none" w:color="auto" w:sz="0" w:space="0"/>
          <w:left w:val="none" w:color="auto" w:sz="0" w:space="0"/>
          <w:bottom w:val="none" w:color="auto" w:sz="0" w:space="0"/>
          <w:right w:val="none" w:color="auto" w:sz="0" w:space="0"/>
          <w:between w:val="none" w:color="auto" w:sz="0" w:space="0"/>
        </w:pBdr>
        <w:spacing w:line="480" w:lineRule="auto"/>
        <w:ind w:firstLine="675" w:firstLineChars="224"/>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投标文件</w:t>
      </w:r>
      <w:r>
        <w:rPr>
          <w:rFonts w:hint="eastAsia" w:ascii="宋体" w:hAnsi="宋体" w:eastAsia="宋体" w:cs="宋体"/>
          <w:b/>
          <w:bCs/>
          <w:color w:val="auto"/>
          <w:sz w:val="30"/>
          <w:szCs w:val="30"/>
          <w:highlight w:val="none"/>
          <w:lang w:val="en-US" w:eastAsia="zh-CN"/>
        </w:rPr>
        <w:t>技术</w:t>
      </w:r>
      <w:r>
        <w:rPr>
          <w:rFonts w:hint="eastAsia" w:ascii="宋体" w:hAnsi="宋体" w:eastAsia="宋体" w:cs="宋体"/>
          <w:b/>
          <w:bCs/>
          <w:color w:val="auto"/>
          <w:sz w:val="30"/>
          <w:szCs w:val="30"/>
          <w:highlight w:val="none"/>
        </w:rPr>
        <w:t>评审部分索引表</w:t>
      </w:r>
    </w:p>
    <w:tbl>
      <w:tblPr>
        <w:tblStyle w:val="37"/>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1786"/>
        <w:gridCol w:w="4430"/>
      </w:tblGrid>
      <w:tr w14:paraId="275A221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4EE1D15B">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337" w:type="pct"/>
            <w:vAlign w:val="center"/>
          </w:tcPr>
          <w:p w14:paraId="237E408A">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861" w:type="pct"/>
            <w:vAlign w:val="center"/>
          </w:tcPr>
          <w:p w14:paraId="60790E09">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招标文件上的满分值</w:t>
            </w:r>
          </w:p>
        </w:tc>
        <w:tc>
          <w:tcPr>
            <w:tcW w:w="2136" w:type="pct"/>
            <w:tcBorders>
              <w:left w:val="single" w:color="auto" w:sz="4" w:space="0"/>
            </w:tcBorders>
            <w:vAlign w:val="center"/>
          </w:tcPr>
          <w:p w14:paraId="16806557">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499D975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6726DA87">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1337" w:type="pct"/>
            <w:vAlign w:val="center"/>
          </w:tcPr>
          <w:p w14:paraId="2D77DEC2">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861" w:type="pct"/>
            <w:vAlign w:val="center"/>
          </w:tcPr>
          <w:p w14:paraId="174B8CA2">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7B3D8E61">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bCs/>
                <w:color w:val="auto"/>
                <w:szCs w:val="21"/>
                <w:highlight w:val="none"/>
              </w:rPr>
            </w:pPr>
          </w:p>
        </w:tc>
      </w:tr>
      <w:tr w14:paraId="0D448D4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16A92944">
            <w:pPr>
              <w:keepNext w:val="0"/>
              <w:keepLines w:val="0"/>
              <w:suppressLineNumbers w:val="0"/>
              <w:spacing w:before="0" w:beforeAutospacing="0" w:after="0" w:afterAutospacing="0"/>
              <w:ind w:left="0" w:right="0"/>
              <w:rPr>
                <w:rFonts w:hint="eastAsia" w:ascii="宋体" w:hAnsi="宋体" w:eastAsia="宋体" w:cs="宋体"/>
                <w:bCs/>
                <w:color w:val="auto"/>
                <w:szCs w:val="21"/>
                <w:highlight w:val="none"/>
              </w:rPr>
            </w:pPr>
          </w:p>
        </w:tc>
        <w:tc>
          <w:tcPr>
            <w:tcW w:w="1337" w:type="pct"/>
            <w:vAlign w:val="center"/>
          </w:tcPr>
          <w:p w14:paraId="26061E9A">
            <w:pPr>
              <w:keepNext w:val="0"/>
              <w:keepLines w:val="0"/>
              <w:suppressLineNumbers w:val="0"/>
              <w:spacing w:before="0" w:beforeAutospacing="0" w:after="0" w:afterAutospacing="0"/>
              <w:ind w:left="0" w:right="0"/>
              <w:rPr>
                <w:rFonts w:hint="eastAsia" w:ascii="宋体" w:hAnsi="宋体" w:eastAsia="宋体" w:cs="宋体"/>
                <w:bCs/>
                <w:color w:val="auto"/>
                <w:szCs w:val="21"/>
                <w:highlight w:val="none"/>
              </w:rPr>
            </w:pPr>
          </w:p>
        </w:tc>
        <w:tc>
          <w:tcPr>
            <w:tcW w:w="861" w:type="pct"/>
            <w:vAlign w:val="center"/>
          </w:tcPr>
          <w:p w14:paraId="6B8CFE6C">
            <w:pPr>
              <w:keepNext w:val="0"/>
              <w:keepLines w:val="0"/>
              <w:suppressLineNumbers w:val="0"/>
              <w:spacing w:before="0" w:beforeAutospacing="0" w:after="0" w:afterAutospacing="0"/>
              <w:ind w:left="0" w:right="0"/>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5447389C">
            <w:pPr>
              <w:keepNext w:val="0"/>
              <w:keepLines w:val="0"/>
              <w:suppressLineNumbers w:val="0"/>
              <w:adjustRightInd w:val="0"/>
              <w:snapToGrid w:val="0"/>
              <w:spacing w:before="0" w:beforeAutospacing="0" w:after="0" w:afterAutospacing="0" w:line="360" w:lineRule="auto"/>
              <w:ind w:left="0" w:right="0" w:firstLine="105" w:firstLineChars="50"/>
              <w:rPr>
                <w:rFonts w:hint="eastAsia" w:ascii="宋体" w:hAnsi="宋体" w:eastAsia="宋体" w:cs="宋体"/>
                <w:bCs/>
                <w:color w:val="auto"/>
                <w:szCs w:val="21"/>
                <w:highlight w:val="none"/>
              </w:rPr>
            </w:pPr>
          </w:p>
        </w:tc>
      </w:tr>
      <w:tr w14:paraId="41ABC6D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69041B4D">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1337" w:type="pct"/>
            <w:vAlign w:val="center"/>
          </w:tcPr>
          <w:p w14:paraId="36E3DED5">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bCs/>
                <w:color w:val="auto"/>
                <w:szCs w:val="21"/>
                <w:highlight w:val="none"/>
              </w:rPr>
            </w:pPr>
          </w:p>
        </w:tc>
        <w:tc>
          <w:tcPr>
            <w:tcW w:w="861" w:type="pct"/>
            <w:vAlign w:val="center"/>
          </w:tcPr>
          <w:p w14:paraId="2C7DEB34">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62D4DAB2">
            <w:pPr>
              <w:keepNext w:val="0"/>
              <w:keepLines w:val="0"/>
              <w:suppressLineNumbers w:val="0"/>
              <w:spacing w:before="0" w:beforeAutospacing="0" w:after="0" w:afterAutospacing="0" w:line="360" w:lineRule="auto"/>
              <w:ind w:left="0" w:right="0" w:firstLine="8" w:firstLineChars="4"/>
              <w:rPr>
                <w:rFonts w:hint="eastAsia" w:ascii="宋体" w:hAnsi="宋体" w:eastAsia="宋体" w:cs="宋体"/>
                <w:bCs/>
                <w:color w:val="auto"/>
                <w:szCs w:val="21"/>
                <w:highlight w:val="none"/>
              </w:rPr>
            </w:pPr>
          </w:p>
        </w:tc>
      </w:tr>
      <w:tr w14:paraId="5A077BB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34959F36">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1337" w:type="pct"/>
            <w:tcBorders>
              <w:top w:val="single" w:color="auto" w:sz="6" w:space="0"/>
              <w:left w:val="single" w:color="auto" w:sz="6" w:space="0"/>
              <w:bottom w:val="outset" w:color="808080" w:sz="6" w:space="0"/>
              <w:right w:val="single" w:color="auto" w:sz="6" w:space="0"/>
            </w:tcBorders>
            <w:vAlign w:val="center"/>
          </w:tcPr>
          <w:p w14:paraId="6728416F">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bCs/>
                <w:color w:val="auto"/>
                <w:szCs w:val="21"/>
                <w:highlight w:val="none"/>
              </w:rPr>
            </w:pPr>
          </w:p>
        </w:tc>
        <w:tc>
          <w:tcPr>
            <w:tcW w:w="861" w:type="pct"/>
            <w:tcBorders>
              <w:top w:val="single" w:color="auto" w:sz="6" w:space="0"/>
              <w:left w:val="single" w:color="auto" w:sz="6" w:space="0"/>
              <w:bottom w:val="outset" w:color="808080" w:sz="6" w:space="0"/>
              <w:right w:val="single" w:color="auto" w:sz="6" w:space="0"/>
            </w:tcBorders>
            <w:vAlign w:val="center"/>
          </w:tcPr>
          <w:p w14:paraId="563BDFD6">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2136" w:type="pct"/>
            <w:tcBorders>
              <w:top w:val="single" w:color="auto" w:sz="6" w:space="0"/>
              <w:left w:val="single" w:color="auto" w:sz="4" w:space="0"/>
              <w:bottom w:val="outset" w:color="808080" w:sz="6" w:space="0"/>
              <w:right w:val="single" w:color="auto" w:sz="6" w:space="0"/>
            </w:tcBorders>
            <w:vAlign w:val="center"/>
          </w:tcPr>
          <w:p w14:paraId="3706EAF7">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bCs/>
                <w:color w:val="auto"/>
                <w:szCs w:val="21"/>
                <w:highlight w:val="none"/>
              </w:rPr>
            </w:pPr>
          </w:p>
        </w:tc>
      </w:tr>
      <w:tr w14:paraId="3D92DE2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5E4D58D2">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861" w:type="pct"/>
            <w:tcBorders>
              <w:bottom w:val="single" w:color="auto" w:sz="4" w:space="0"/>
            </w:tcBorders>
            <w:vAlign w:val="center"/>
          </w:tcPr>
          <w:p w14:paraId="4C0308C9">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2136" w:type="pct"/>
            <w:tcBorders>
              <w:left w:val="single" w:color="auto" w:sz="4" w:space="0"/>
              <w:bottom w:val="single" w:color="auto" w:sz="4" w:space="0"/>
            </w:tcBorders>
            <w:vAlign w:val="center"/>
          </w:tcPr>
          <w:p w14:paraId="7DE58382">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r>
    </w:tbl>
    <w:p w14:paraId="2CB2B6D9">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r>
        <w:rPr>
          <w:rFonts w:hint="eastAsia" w:ascii="宋体" w:hAnsi="宋体" w:eastAsia="宋体" w:cs="宋体"/>
          <w:b/>
          <w:color w:val="auto"/>
          <w:kern w:val="0"/>
          <w:szCs w:val="21"/>
          <w:highlight w:val="none"/>
        </w:rPr>
        <w:br w:type="page"/>
      </w:r>
      <w:bookmarkEnd w:id="780"/>
      <w:bookmarkStart w:id="805" w:name="_Toc1558"/>
      <w:bookmarkStart w:id="806" w:name="_Toc142508381"/>
      <w:bookmarkStart w:id="807" w:name="_Toc31242"/>
      <w:bookmarkStart w:id="808" w:name="_Toc16166"/>
      <w:bookmarkStart w:id="809" w:name="_Toc102860430"/>
      <w:bookmarkStart w:id="810" w:name="_Toc1977740"/>
      <w:bookmarkStart w:id="811" w:name="_Toc140596941"/>
      <w:bookmarkStart w:id="812" w:name="_Toc20630"/>
      <w:bookmarkStart w:id="813" w:name="_Toc102860086"/>
      <w:bookmarkStart w:id="814" w:name="_Toc533708135"/>
      <w:bookmarkStart w:id="815" w:name="_Toc104991888"/>
      <w:bookmarkStart w:id="816" w:name="_Toc94107223"/>
      <w:r>
        <w:rPr>
          <w:rFonts w:hint="eastAsia" w:ascii="宋体" w:hAnsi="宋体" w:eastAsia="宋体" w:cs="宋体"/>
          <w:b/>
          <w:color w:val="auto"/>
          <w:kern w:val="0"/>
          <w:sz w:val="30"/>
          <w:szCs w:val="30"/>
          <w:highlight w:val="none"/>
        </w:rPr>
        <w:t>1</w:t>
      </w:r>
      <w:r>
        <w:rPr>
          <w:rFonts w:hint="eastAsia" w:ascii="宋体" w:hAnsi="宋体" w:eastAsia="宋体" w:cs="宋体"/>
          <w:b/>
          <w:color w:val="auto"/>
          <w:kern w:val="0"/>
          <w:sz w:val="30"/>
          <w:szCs w:val="30"/>
          <w:highlight w:val="none"/>
          <w:lang w:val="en-US" w:eastAsia="zh-CN"/>
        </w:rPr>
        <w:t>4</w:t>
      </w:r>
      <w:r>
        <w:rPr>
          <w:rFonts w:hint="eastAsia" w:ascii="宋体" w:hAnsi="宋体" w:eastAsia="宋体" w:cs="宋体"/>
          <w:b/>
          <w:color w:val="auto"/>
          <w:kern w:val="0"/>
          <w:sz w:val="30"/>
          <w:szCs w:val="30"/>
          <w:highlight w:val="none"/>
        </w:rPr>
        <w:t>.1 用户需求偏离表格式</w:t>
      </w:r>
      <w:bookmarkEnd w:id="805"/>
      <w:bookmarkEnd w:id="806"/>
      <w:bookmarkEnd w:id="807"/>
      <w:bookmarkEnd w:id="808"/>
      <w:bookmarkEnd w:id="809"/>
      <w:bookmarkEnd w:id="810"/>
      <w:bookmarkEnd w:id="811"/>
      <w:bookmarkEnd w:id="812"/>
      <w:bookmarkEnd w:id="813"/>
      <w:bookmarkEnd w:id="814"/>
      <w:bookmarkEnd w:id="815"/>
      <w:bookmarkEnd w:id="816"/>
    </w:p>
    <w:p w14:paraId="441864F1">
      <w:pPr>
        <w:spacing w:before="120" w:after="120" w:line="360" w:lineRule="auto"/>
        <w:jc w:val="center"/>
        <w:rPr>
          <w:rFonts w:ascii="宋体" w:hAnsi="宋体" w:eastAsia="宋体" w:cs="Times New Roman"/>
          <w:color w:val="auto"/>
          <w:kern w:val="0"/>
          <w:szCs w:val="21"/>
          <w:highlight w:val="none"/>
        </w:rPr>
      </w:pPr>
      <w:bookmarkStart w:id="817" w:name="_Toc17449_WPSOffice_Level3"/>
      <w:r>
        <w:rPr>
          <w:rFonts w:hint="eastAsia" w:ascii="宋体" w:hAnsi="宋体" w:eastAsia="宋体" w:cs="宋体"/>
          <w:b/>
          <w:color w:val="auto"/>
          <w:kern w:val="0"/>
          <w:sz w:val="30"/>
          <w:szCs w:val="30"/>
          <w:highlight w:val="none"/>
          <w:lang w:val="zh-CN"/>
        </w:rPr>
        <w:t>用户需求偏离表</w:t>
      </w:r>
      <w:bookmarkEnd w:id="817"/>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5"/>
        <w:gridCol w:w="952"/>
        <w:gridCol w:w="6413"/>
        <w:gridCol w:w="618"/>
        <w:gridCol w:w="964"/>
        <w:gridCol w:w="828"/>
      </w:tblGrid>
      <w:tr w14:paraId="1C9DE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hRule="atLeast"/>
          <w:jc w:val="center"/>
        </w:trPr>
        <w:tc>
          <w:tcPr>
            <w:tcW w:w="287" w:type="pct"/>
            <w:vMerge w:val="restart"/>
            <w:vAlign w:val="center"/>
          </w:tcPr>
          <w:p w14:paraId="4B0D5C97">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序号</w:t>
            </w:r>
          </w:p>
        </w:tc>
        <w:tc>
          <w:tcPr>
            <w:tcW w:w="3551" w:type="pct"/>
            <w:gridSpan w:val="2"/>
            <w:vAlign w:val="center"/>
          </w:tcPr>
          <w:p w14:paraId="4C7BB39E">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招标文件要求</w:t>
            </w:r>
          </w:p>
        </w:tc>
        <w:tc>
          <w:tcPr>
            <w:tcW w:w="1161" w:type="pct"/>
            <w:gridSpan w:val="3"/>
            <w:vAlign w:val="center"/>
          </w:tcPr>
          <w:p w14:paraId="5A83DDBB">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投标文件内容</w:t>
            </w:r>
          </w:p>
        </w:tc>
      </w:tr>
      <w:tr w14:paraId="736E7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7" w:type="pct"/>
            <w:vMerge w:val="continue"/>
            <w:vAlign w:val="center"/>
          </w:tcPr>
          <w:p w14:paraId="0FF1A8B5">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18"/>
                <w:szCs w:val="18"/>
                <w:highlight w:val="none"/>
              </w:rPr>
            </w:pPr>
          </w:p>
        </w:tc>
        <w:tc>
          <w:tcPr>
            <w:tcW w:w="459" w:type="pct"/>
            <w:vAlign w:val="center"/>
          </w:tcPr>
          <w:p w14:paraId="12610EEB">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条款号</w:t>
            </w:r>
          </w:p>
        </w:tc>
        <w:tc>
          <w:tcPr>
            <w:tcW w:w="3092" w:type="pct"/>
            <w:vAlign w:val="center"/>
          </w:tcPr>
          <w:p w14:paraId="66D3FCF4">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简要内容</w:t>
            </w:r>
          </w:p>
        </w:tc>
        <w:tc>
          <w:tcPr>
            <w:tcW w:w="298" w:type="pct"/>
            <w:vAlign w:val="center"/>
          </w:tcPr>
          <w:p w14:paraId="4DE32BB7">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偏离情况</w:t>
            </w:r>
          </w:p>
        </w:tc>
        <w:tc>
          <w:tcPr>
            <w:tcW w:w="465" w:type="pct"/>
            <w:vAlign w:val="center"/>
          </w:tcPr>
          <w:p w14:paraId="6A0313EC">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实质性响应的具体内容</w:t>
            </w:r>
          </w:p>
        </w:tc>
        <w:tc>
          <w:tcPr>
            <w:tcW w:w="396" w:type="pct"/>
            <w:vAlign w:val="center"/>
          </w:tcPr>
          <w:p w14:paraId="3ECD6091">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对应证明材料页码</w:t>
            </w:r>
          </w:p>
        </w:tc>
      </w:tr>
      <w:tr w14:paraId="2CE79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87" w:type="pct"/>
            <w:vAlign w:val="center"/>
          </w:tcPr>
          <w:p w14:paraId="0033C394">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c>
          <w:tcPr>
            <w:tcW w:w="459" w:type="pct"/>
            <w:vAlign w:val="center"/>
          </w:tcPr>
          <w:p w14:paraId="535461CA">
            <w:pPr>
              <w:keepNext w:val="0"/>
              <w:keepLines w:val="0"/>
              <w:suppressLineNumbers w:val="0"/>
              <w:spacing w:before="0" w:beforeAutospacing="0" w:after="0" w:afterAutospacing="0" w:line="400" w:lineRule="exact"/>
              <w:ind w:left="0" w:right="0"/>
              <w:jc w:val="center"/>
              <w:rPr>
                <w:rFonts w:hint="default" w:ascii="宋体" w:hAnsi="宋体" w:eastAsia="宋体" w:cs="宋体"/>
                <w:b/>
                <w:color w:val="auto"/>
                <w:kern w:val="0"/>
                <w:sz w:val="21"/>
                <w:szCs w:val="21"/>
                <w:highlight w:val="none"/>
                <w:lang w:val="en-US" w:eastAsia="zh-CN"/>
              </w:rPr>
            </w:pPr>
            <w:r>
              <w:rPr>
                <w:rFonts w:hint="eastAsia" w:ascii="宋体" w:hAnsi="宋体" w:eastAsia="宋体" w:cs="宋体"/>
                <w:b/>
                <w:color w:val="auto"/>
                <w:kern w:val="0"/>
                <w:sz w:val="21"/>
                <w:szCs w:val="21"/>
                <w:highlight w:val="none"/>
                <w:lang w:val="en-US" w:eastAsia="zh-CN"/>
              </w:rPr>
              <w:t>一</w:t>
            </w:r>
          </w:p>
        </w:tc>
        <w:tc>
          <w:tcPr>
            <w:tcW w:w="3092" w:type="pct"/>
            <w:vAlign w:val="center"/>
          </w:tcPr>
          <w:p w14:paraId="4BE223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auto"/>
              <w:rPr>
                <w:rFonts w:hint="eastAsia" w:ascii="宋体" w:hAnsi="宋体" w:eastAsia="宋体" w:cs="宋体"/>
                <w:b/>
                <w:color w:val="auto"/>
                <w:kern w:val="0"/>
                <w:sz w:val="21"/>
                <w:szCs w:val="21"/>
                <w:highlight w:val="none"/>
                <w:lang w:val="en-US" w:eastAsia="zh-CN"/>
              </w:rPr>
            </w:pPr>
            <w:r>
              <w:rPr>
                <w:rFonts w:hint="eastAsia" w:ascii="宋体" w:hAnsi="宋体" w:eastAsia="宋体" w:cs="宋体"/>
                <w:b/>
                <w:color w:val="auto"/>
                <w:kern w:val="0"/>
                <w:sz w:val="21"/>
                <w:szCs w:val="21"/>
                <w:highlight w:val="none"/>
                <w:lang w:val="en-US" w:eastAsia="zh-CN"/>
              </w:rPr>
              <w:t>基本采购要求</w:t>
            </w:r>
          </w:p>
        </w:tc>
        <w:tc>
          <w:tcPr>
            <w:tcW w:w="298" w:type="pct"/>
            <w:vAlign w:val="center"/>
          </w:tcPr>
          <w:p w14:paraId="32800831">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18"/>
                <w:szCs w:val="18"/>
                <w:highlight w:val="none"/>
              </w:rPr>
            </w:pPr>
          </w:p>
        </w:tc>
        <w:tc>
          <w:tcPr>
            <w:tcW w:w="465" w:type="pct"/>
            <w:vAlign w:val="center"/>
          </w:tcPr>
          <w:p w14:paraId="4841D13B">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18"/>
                <w:szCs w:val="18"/>
                <w:highlight w:val="none"/>
              </w:rPr>
            </w:pPr>
          </w:p>
        </w:tc>
        <w:tc>
          <w:tcPr>
            <w:tcW w:w="396" w:type="pct"/>
            <w:vAlign w:val="center"/>
          </w:tcPr>
          <w:p w14:paraId="54DD5EAB">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18"/>
                <w:szCs w:val="18"/>
                <w:highlight w:val="none"/>
              </w:rPr>
            </w:pPr>
          </w:p>
        </w:tc>
      </w:tr>
      <w:tr w14:paraId="71D5B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7" w:type="pct"/>
            <w:vMerge w:val="restart"/>
            <w:vAlign w:val="center"/>
          </w:tcPr>
          <w:p w14:paraId="528A9EFA">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w:t>
            </w:r>
          </w:p>
        </w:tc>
        <w:tc>
          <w:tcPr>
            <w:tcW w:w="459" w:type="pct"/>
            <w:vMerge w:val="restart"/>
            <w:vAlign w:val="center"/>
          </w:tcPr>
          <w:p w14:paraId="6830653D">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二</w:t>
            </w:r>
          </w:p>
        </w:tc>
        <w:tc>
          <w:tcPr>
            <w:tcW w:w="3092" w:type="pct"/>
            <w:vAlign w:val="center"/>
          </w:tcPr>
          <w:p w14:paraId="4F44D0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auto"/>
              <w:rPr>
                <w:rFonts w:hint="eastAsia" w:ascii="宋体" w:hAnsi="宋体" w:eastAsia="宋体" w:cs="宋体"/>
                <w:color w:val="auto"/>
                <w:sz w:val="18"/>
                <w:szCs w:val="18"/>
                <w:highlight w:val="none"/>
              </w:rPr>
            </w:pPr>
            <w:r>
              <w:rPr>
                <w:rFonts w:hint="eastAsia" w:ascii="宋体" w:hAnsi="宋体" w:eastAsia="宋体" w:cs="宋体"/>
                <w:b/>
                <w:color w:val="auto"/>
                <w:kern w:val="0"/>
                <w:sz w:val="21"/>
                <w:szCs w:val="21"/>
                <w:highlight w:val="none"/>
                <w:lang w:val="en-US" w:eastAsia="zh-CN"/>
              </w:rPr>
              <w:t>标的物</w:t>
            </w:r>
          </w:p>
        </w:tc>
        <w:tc>
          <w:tcPr>
            <w:tcW w:w="298" w:type="pct"/>
            <w:vAlign w:val="center"/>
          </w:tcPr>
          <w:p w14:paraId="5EC2B9ED">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18"/>
                <w:szCs w:val="18"/>
                <w:highlight w:val="none"/>
              </w:rPr>
            </w:pPr>
          </w:p>
        </w:tc>
        <w:tc>
          <w:tcPr>
            <w:tcW w:w="465" w:type="pct"/>
            <w:vAlign w:val="center"/>
          </w:tcPr>
          <w:p w14:paraId="5E5C086B">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18"/>
                <w:szCs w:val="18"/>
                <w:highlight w:val="none"/>
              </w:rPr>
            </w:pPr>
          </w:p>
        </w:tc>
        <w:tc>
          <w:tcPr>
            <w:tcW w:w="396" w:type="pct"/>
            <w:vAlign w:val="center"/>
          </w:tcPr>
          <w:p w14:paraId="63C21640">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18"/>
                <w:szCs w:val="18"/>
                <w:highlight w:val="none"/>
              </w:rPr>
            </w:pPr>
          </w:p>
        </w:tc>
      </w:tr>
      <w:tr w14:paraId="0BB44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7" w:type="pct"/>
            <w:vAlign w:val="center"/>
          </w:tcPr>
          <w:p w14:paraId="2134F0BF">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val="en-US" w:eastAsia="zh-CN"/>
              </w:rPr>
              <w:t>3</w:t>
            </w:r>
          </w:p>
        </w:tc>
        <w:tc>
          <w:tcPr>
            <w:tcW w:w="459" w:type="pct"/>
            <w:vAlign w:val="center"/>
          </w:tcPr>
          <w:p w14:paraId="6C213479">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三</w:t>
            </w:r>
          </w:p>
        </w:tc>
        <w:tc>
          <w:tcPr>
            <w:tcW w:w="3092" w:type="pct"/>
            <w:vAlign w:val="center"/>
          </w:tcPr>
          <w:p w14:paraId="480B02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auto"/>
              <w:rPr>
                <w:rFonts w:hint="default" w:ascii="宋体" w:hAnsi="宋体" w:eastAsia="宋体" w:cs="宋体"/>
                <w:color w:val="auto"/>
                <w:sz w:val="18"/>
                <w:szCs w:val="18"/>
                <w:highlight w:val="none"/>
                <w:lang w:val="en-US"/>
              </w:rPr>
            </w:pPr>
            <w:r>
              <w:rPr>
                <w:rFonts w:hint="eastAsia" w:ascii="宋体" w:hAnsi="宋体" w:eastAsia="宋体" w:cs="宋体"/>
                <w:b/>
                <w:color w:val="auto"/>
                <w:kern w:val="0"/>
                <w:sz w:val="21"/>
                <w:szCs w:val="21"/>
                <w:highlight w:val="none"/>
                <w:lang w:val="en-US" w:eastAsia="zh-CN"/>
              </w:rPr>
              <w:t>交货要求</w:t>
            </w:r>
          </w:p>
        </w:tc>
        <w:tc>
          <w:tcPr>
            <w:tcW w:w="298" w:type="pct"/>
            <w:vAlign w:val="center"/>
          </w:tcPr>
          <w:p w14:paraId="4F05B968">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18"/>
                <w:szCs w:val="18"/>
                <w:highlight w:val="none"/>
              </w:rPr>
            </w:pPr>
          </w:p>
        </w:tc>
        <w:tc>
          <w:tcPr>
            <w:tcW w:w="465" w:type="pct"/>
            <w:vAlign w:val="center"/>
          </w:tcPr>
          <w:p w14:paraId="14ACCF95">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18"/>
                <w:szCs w:val="18"/>
                <w:highlight w:val="none"/>
              </w:rPr>
            </w:pPr>
          </w:p>
        </w:tc>
        <w:tc>
          <w:tcPr>
            <w:tcW w:w="396" w:type="pct"/>
            <w:vAlign w:val="center"/>
          </w:tcPr>
          <w:p w14:paraId="2A5EB459">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18"/>
                <w:szCs w:val="18"/>
                <w:highlight w:val="none"/>
              </w:rPr>
            </w:pPr>
          </w:p>
        </w:tc>
      </w:tr>
      <w:tr w14:paraId="310A7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7" w:type="pct"/>
            <w:vAlign w:val="center"/>
          </w:tcPr>
          <w:p w14:paraId="2F90BC57">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val="en-US" w:eastAsia="zh-CN"/>
              </w:rPr>
              <w:t>4</w:t>
            </w:r>
          </w:p>
        </w:tc>
        <w:tc>
          <w:tcPr>
            <w:tcW w:w="459" w:type="pct"/>
            <w:vAlign w:val="center"/>
          </w:tcPr>
          <w:p w14:paraId="4F56040A">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四</w:t>
            </w:r>
          </w:p>
        </w:tc>
        <w:tc>
          <w:tcPr>
            <w:tcW w:w="3092" w:type="pct"/>
            <w:vAlign w:val="center"/>
          </w:tcPr>
          <w:p w14:paraId="0040BB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auto"/>
              <w:rPr>
                <w:rFonts w:hint="default" w:ascii="宋体" w:hAnsi="宋体" w:eastAsia="宋体" w:cs="宋体"/>
                <w:color w:val="auto"/>
                <w:sz w:val="18"/>
                <w:szCs w:val="18"/>
                <w:highlight w:val="none"/>
                <w:lang w:val="en-US"/>
              </w:rPr>
            </w:pPr>
            <w:r>
              <w:rPr>
                <w:rFonts w:hint="eastAsia" w:ascii="宋体" w:hAnsi="宋体" w:eastAsia="宋体" w:cs="宋体"/>
                <w:b/>
                <w:color w:val="auto"/>
                <w:kern w:val="0"/>
                <w:sz w:val="21"/>
                <w:szCs w:val="21"/>
                <w:highlight w:val="none"/>
                <w:lang w:val="en-US" w:eastAsia="zh-CN"/>
              </w:rPr>
              <w:t>验收要求</w:t>
            </w:r>
          </w:p>
        </w:tc>
        <w:tc>
          <w:tcPr>
            <w:tcW w:w="298" w:type="pct"/>
            <w:vAlign w:val="center"/>
          </w:tcPr>
          <w:p w14:paraId="36EEF68B">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18"/>
                <w:szCs w:val="18"/>
                <w:highlight w:val="none"/>
              </w:rPr>
            </w:pPr>
          </w:p>
        </w:tc>
        <w:tc>
          <w:tcPr>
            <w:tcW w:w="465" w:type="pct"/>
            <w:vAlign w:val="center"/>
          </w:tcPr>
          <w:p w14:paraId="1D60187A">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18"/>
                <w:szCs w:val="18"/>
                <w:highlight w:val="none"/>
              </w:rPr>
            </w:pPr>
          </w:p>
        </w:tc>
        <w:tc>
          <w:tcPr>
            <w:tcW w:w="396" w:type="pct"/>
            <w:vAlign w:val="center"/>
          </w:tcPr>
          <w:p w14:paraId="37E5F211">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18"/>
                <w:szCs w:val="18"/>
                <w:highlight w:val="none"/>
              </w:rPr>
            </w:pPr>
          </w:p>
        </w:tc>
      </w:tr>
      <w:tr w14:paraId="4DB83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287" w:type="pct"/>
            <w:vAlign w:val="center"/>
          </w:tcPr>
          <w:p w14:paraId="16A054A8">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5</w:t>
            </w:r>
          </w:p>
        </w:tc>
        <w:tc>
          <w:tcPr>
            <w:tcW w:w="459" w:type="pct"/>
            <w:vAlign w:val="center"/>
          </w:tcPr>
          <w:p w14:paraId="384453D6">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五</w:t>
            </w:r>
          </w:p>
        </w:tc>
        <w:tc>
          <w:tcPr>
            <w:tcW w:w="3092" w:type="pct"/>
            <w:vAlign w:val="center"/>
          </w:tcPr>
          <w:p w14:paraId="13661F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auto"/>
              <w:rPr>
                <w:rFonts w:hint="eastAsia" w:ascii="宋体" w:hAnsi="宋体" w:eastAsia="宋体" w:cs="宋体"/>
                <w:color w:val="auto"/>
                <w:sz w:val="18"/>
                <w:szCs w:val="18"/>
                <w:highlight w:val="none"/>
              </w:rPr>
            </w:pPr>
            <w:r>
              <w:rPr>
                <w:rFonts w:hint="eastAsia" w:ascii="宋体" w:hAnsi="宋体" w:eastAsia="宋体" w:cs="宋体"/>
                <w:b/>
                <w:color w:val="auto"/>
                <w:kern w:val="0"/>
                <w:sz w:val="21"/>
                <w:szCs w:val="21"/>
                <w:highlight w:val="none"/>
                <w:lang w:val="en-US" w:eastAsia="zh-CN"/>
              </w:rPr>
              <w:t>资料要求</w:t>
            </w:r>
          </w:p>
        </w:tc>
        <w:tc>
          <w:tcPr>
            <w:tcW w:w="298" w:type="pct"/>
            <w:vAlign w:val="center"/>
          </w:tcPr>
          <w:p w14:paraId="35689F00">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18"/>
                <w:szCs w:val="18"/>
                <w:highlight w:val="none"/>
              </w:rPr>
            </w:pPr>
          </w:p>
        </w:tc>
        <w:tc>
          <w:tcPr>
            <w:tcW w:w="465" w:type="pct"/>
            <w:vAlign w:val="center"/>
          </w:tcPr>
          <w:p w14:paraId="7E034CC4">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18"/>
                <w:szCs w:val="18"/>
                <w:highlight w:val="none"/>
              </w:rPr>
            </w:pPr>
          </w:p>
        </w:tc>
        <w:tc>
          <w:tcPr>
            <w:tcW w:w="396" w:type="pct"/>
            <w:vAlign w:val="center"/>
          </w:tcPr>
          <w:p w14:paraId="13E9174D">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18"/>
                <w:szCs w:val="18"/>
                <w:highlight w:val="none"/>
              </w:rPr>
            </w:pPr>
          </w:p>
        </w:tc>
      </w:tr>
      <w:tr w14:paraId="240B9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7" w:type="pct"/>
            <w:vAlign w:val="center"/>
          </w:tcPr>
          <w:p w14:paraId="429A95C3">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6</w:t>
            </w:r>
          </w:p>
        </w:tc>
        <w:tc>
          <w:tcPr>
            <w:tcW w:w="459" w:type="pct"/>
            <w:vAlign w:val="center"/>
          </w:tcPr>
          <w:p w14:paraId="4C4E5724">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六</w:t>
            </w:r>
          </w:p>
        </w:tc>
        <w:tc>
          <w:tcPr>
            <w:tcW w:w="3092" w:type="pct"/>
            <w:vAlign w:val="center"/>
          </w:tcPr>
          <w:p w14:paraId="34454E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auto"/>
              <w:rPr>
                <w:rFonts w:hint="eastAsia" w:ascii="宋体" w:hAnsi="宋体" w:eastAsia="宋体" w:cs="宋体"/>
                <w:color w:val="auto"/>
                <w:sz w:val="18"/>
                <w:szCs w:val="18"/>
                <w:highlight w:val="none"/>
              </w:rPr>
            </w:pPr>
            <w:r>
              <w:rPr>
                <w:rFonts w:hint="eastAsia" w:ascii="宋体" w:hAnsi="宋体" w:eastAsia="宋体" w:cs="宋体"/>
                <w:b/>
                <w:bCs/>
                <w:color w:val="auto"/>
                <w:kern w:val="2"/>
                <w:sz w:val="21"/>
                <w:szCs w:val="21"/>
                <w:highlight w:val="none"/>
                <w:lang w:val="en-US" w:eastAsia="zh-CN" w:bidi="ar"/>
              </w:rPr>
              <w:t>质量保证及售后要求</w:t>
            </w:r>
          </w:p>
        </w:tc>
        <w:tc>
          <w:tcPr>
            <w:tcW w:w="298" w:type="pct"/>
            <w:vAlign w:val="center"/>
          </w:tcPr>
          <w:p w14:paraId="0AF706D3">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18"/>
                <w:szCs w:val="18"/>
                <w:highlight w:val="none"/>
              </w:rPr>
            </w:pPr>
          </w:p>
        </w:tc>
        <w:tc>
          <w:tcPr>
            <w:tcW w:w="465" w:type="pct"/>
            <w:vAlign w:val="center"/>
          </w:tcPr>
          <w:p w14:paraId="39667E06">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18"/>
                <w:szCs w:val="18"/>
                <w:highlight w:val="none"/>
              </w:rPr>
            </w:pPr>
          </w:p>
        </w:tc>
        <w:tc>
          <w:tcPr>
            <w:tcW w:w="396" w:type="pct"/>
            <w:vAlign w:val="center"/>
          </w:tcPr>
          <w:p w14:paraId="741ED07F">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18"/>
                <w:szCs w:val="18"/>
                <w:highlight w:val="none"/>
              </w:rPr>
            </w:pPr>
          </w:p>
        </w:tc>
      </w:tr>
      <w:tr w14:paraId="2F133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7" w:type="pct"/>
            <w:vAlign w:val="center"/>
          </w:tcPr>
          <w:p w14:paraId="2FA75A06">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7</w:t>
            </w:r>
          </w:p>
        </w:tc>
        <w:tc>
          <w:tcPr>
            <w:tcW w:w="459" w:type="pct"/>
            <w:vAlign w:val="center"/>
          </w:tcPr>
          <w:p w14:paraId="272C2B4C">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七</w:t>
            </w:r>
          </w:p>
        </w:tc>
        <w:tc>
          <w:tcPr>
            <w:tcW w:w="3092" w:type="pct"/>
            <w:vAlign w:val="center"/>
          </w:tcPr>
          <w:p w14:paraId="12E945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auto"/>
              <w:rPr>
                <w:rFonts w:hint="eastAsia" w:ascii="宋体" w:hAnsi="宋体" w:eastAsia="宋体" w:cs="宋体"/>
                <w:color w:val="auto"/>
                <w:sz w:val="18"/>
                <w:szCs w:val="18"/>
                <w:highlight w:val="none"/>
              </w:rPr>
            </w:pPr>
            <w:r>
              <w:rPr>
                <w:rFonts w:hint="eastAsia" w:ascii="宋体" w:hAnsi="宋体" w:eastAsia="宋体" w:cs="宋体"/>
                <w:b/>
                <w:bCs/>
                <w:color w:val="auto"/>
                <w:kern w:val="2"/>
                <w:sz w:val="21"/>
                <w:szCs w:val="21"/>
                <w:highlight w:val="none"/>
                <w:lang w:val="en-US" w:eastAsia="zh-CN" w:bidi="ar"/>
              </w:rPr>
              <w:t>货物的结算</w:t>
            </w:r>
          </w:p>
        </w:tc>
        <w:tc>
          <w:tcPr>
            <w:tcW w:w="298" w:type="pct"/>
            <w:vAlign w:val="center"/>
          </w:tcPr>
          <w:p w14:paraId="78888F66">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18"/>
                <w:szCs w:val="18"/>
                <w:highlight w:val="none"/>
              </w:rPr>
            </w:pPr>
          </w:p>
        </w:tc>
        <w:tc>
          <w:tcPr>
            <w:tcW w:w="465" w:type="pct"/>
            <w:vAlign w:val="center"/>
          </w:tcPr>
          <w:p w14:paraId="7CA38C37">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18"/>
                <w:szCs w:val="18"/>
                <w:highlight w:val="none"/>
              </w:rPr>
            </w:pPr>
          </w:p>
        </w:tc>
        <w:tc>
          <w:tcPr>
            <w:tcW w:w="396" w:type="pct"/>
            <w:vAlign w:val="center"/>
          </w:tcPr>
          <w:p w14:paraId="558B89E3">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18"/>
                <w:szCs w:val="18"/>
                <w:highlight w:val="none"/>
              </w:rPr>
            </w:pPr>
          </w:p>
        </w:tc>
      </w:tr>
      <w:tr w14:paraId="56FEE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7" w:type="pct"/>
            <w:vAlign w:val="center"/>
          </w:tcPr>
          <w:p w14:paraId="29972E7D">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8</w:t>
            </w:r>
          </w:p>
        </w:tc>
        <w:tc>
          <w:tcPr>
            <w:tcW w:w="459" w:type="pct"/>
            <w:vAlign w:val="center"/>
          </w:tcPr>
          <w:p w14:paraId="6EA37303">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八</w:t>
            </w:r>
          </w:p>
        </w:tc>
        <w:tc>
          <w:tcPr>
            <w:tcW w:w="3092" w:type="pct"/>
            <w:vAlign w:val="center"/>
          </w:tcPr>
          <w:p w14:paraId="6AD352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auto"/>
              <w:rPr>
                <w:rFonts w:hint="default" w:ascii="宋体" w:hAnsi="宋体" w:eastAsia="宋体" w:cs="宋体"/>
                <w:color w:val="auto"/>
                <w:sz w:val="18"/>
                <w:szCs w:val="18"/>
                <w:highlight w:val="none"/>
                <w:lang w:val="en-US"/>
              </w:rPr>
            </w:pPr>
            <w:r>
              <w:rPr>
                <w:rFonts w:hint="eastAsia" w:ascii="宋体" w:hAnsi="宋体" w:eastAsia="宋体" w:cs="宋体"/>
                <w:b/>
                <w:bCs/>
                <w:color w:val="auto"/>
                <w:kern w:val="2"/>
                <w:sz w:val="21"/>
                <w:szCs w:val="21"/>
                <w:highlight w:val="none"/>
                <w:lang w:val="en-US" w:eastAsia="zh-CN" w:bidi="ar"/>
              </w:rPr>
              <w:t>其它</w:t>
            </w:r>
          </w:p>
        </w:tc>
        <w:tc>
          <w:tcPr>
            <w:tcW w:w="298" w:type="pct"/>
            <w:vAlign w:val="center"/>
          </w:tcPr>
          <w:p w14:paraId="2851D1A9">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18"/>
                <w:szCs w:val="18"/>
                <w:highlight w:val="none"/>
              </w:rPr>
            </w:pPr>
          </w:p>
        </w:tc>
        <w:tc>
          <w:tcPr>
            <w:tcW w:w="465" w:type="pct"/>
            <w:vAlign w:val="center"/>
          </w:tcPr>
          <w:p w14:paraId="22702F6B">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18"/>
                <w:szCs w:val="18"/>
                <w:highlight w:val="none"/>
              </w:rPr>
            </w:pPr>
          </w:p>
        </w:tc>
        <w:tc>
          <w:tcPr>
            <w:tcW w:w="396" w:type="pct"/>
            <w:vAlign w:val="center"/>
          </w:tcPr>
          <w:p w14:paraId="0E98F8FC">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18"/>
                <w:szCs w:val="18"/>
                <w:highlight w:val="none"/>
              </w:rPr>
            </w:pPr>
          </w:p>
        </w:tc>
      </w:tr>
      <w:tr w14:paraId="4D32A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7" w:type="pct"/>
            <w:vAlign w:val="center"/>
          </w:tcPr>
          <w:p w14:paraId="038DD291">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leftChars="0" w:right="0" w:rightChars="0"/>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2"/>
                <w:sz w:val="21"/>
                <w:szCs w:val="21"/>
                <w:highlight w:val="none"/>
                <w:lang w:val="en-US" w:eastAsia="zh-CN"/>
              </w:rPr>
              <w:t>9</w:t>
            </w:r>
          </w:p>
        </w:tc>
        <w:tc>
          <w:tcPr>
            <w:tcW w:w="459" w:type="pct"/>
            <w:vAlign w:val="center"/>
          </w:tcPr>
          <w:p w14:paraId="7450C8EF">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leftChars="0" w:right="0" w:rightChars="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附件</w:t>
            </w:r>
          </w:p>
        </w:tc>
        <w:tc>
          <w:tcPr>
            <w:tcW w:w="3092" w:type="pct"/>
            <w:vAlign w:val="center"/>
          </w:tcPr>
          <w:p w14:paraId="15B5C8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auto"/>
              <w:rPr>
                <w:rFonts w:hint="eastAsia" w:ascii="宋体" w:hAnsi="宋体" w:eastAsia="宋体" w:cs="宋体"/>
                <w:color w:val="auto"/>
                <w:sz w:val="18"/>
                <w:szCs w:val="18"/>
                <w:highlight w:val="none"/>
              </w:rPr>
            </w:pPr>
            <w:r>
              <w:rPr>
                <w:rFonts w:hint="eastAsia" w:ascii="宋体" w:hAnsi="宋体" w:eastAsia="宋体" w:cs="宋体"/>
                <w:b/>
                <w:color w:val="auto"/>
                <w:kern w:val="2"/>
                <w:sz w:val="21"/>
                <w:szCs w:val="21"/>
                <w:highlight w:val="none"/>
              </w:rPr>
              <w:t>招标人运营项目相关信息</w:t>
            </w:r>
          </w:p>
        </w:tc>
        <w:tc>
          <w:tcPr>
            <w:tcW w:w="298" w:type="pct"/>
            <w:vAlign w:val="center"/>
          </w:tcPr>
          <w:p w14:paraId="5F362A51">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18"/>
                <w:szCs w:val="18"/>
                <w:highlight w:val="none"/>
              </w:rPr>
            </w:pPr>
          </w:p>
        </w:tc>
        <w:tc>
          <w:tcPr>
            <w:tcW w:w="465" w:type="pct"/>
            <w:vAlign w:val="center"/>
          </w:tcPr>
          <w:p w14:paraId="64AF64D9">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18"/>
                <w:szCs w:val="18"/>
                <w:highlight w:val="none"/>
              </w:rPr>
            </w:pPr>
          </w:p>
        </w:tc>
        <w:tc>
          <w:tcPr>
            <w:tcW w:w="396" w:type="pct"/>
            <w:vAlign w:val="center"/>
          </w:tcPr>
          <w:p w14:paraId="506859F5">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18"/>
                <w:szCs w:val="18"/>
                <w:highlight w:val="none"/>
              </w:rPr>
            </w:pPr>
          </w:p>
        </w:tc>
      </w:tr>
      <w:tr w14:paraId="2BA92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gridSpan w:val="6"/>
            <w:vAlign w:val="center"/>
          </w:tcPr>
          <w:p w14:paraId="719EB674">
            <w:pPr>
              <w:keepNext/>
              <w:keepLines/>
              <w:suppressLineNumbers w:val="0"/>
              <w:spacing w:before="0" w:beforeAutospacing="0" w:after="0" w:afterAutospacing="0" w:line="400" w:lineRule="exact"/>
              <w:ind w:left="0" w:right="0"/>
              <w:jc w:val="left"/>
              <w:outlineLvl w:val="9"/>
              <w:rPr>
                <w:rFonts w:hint="eastAsia" w:ascii="宋体" w:hAnsi="宋体" w:eastAsia="宋体" w:cs="宋体"/>
                <w:color w:val="auto"/>
                <w:kern w:val="0"/>
                <w:sz w:val="18"/>
                <w:szCs w:val="18"/>
                <w:highlight w:val="none"/>
                <w:lang w:val="en-US" w:eastAsia="zh-CN"/>
              </w:rPr>
            </w:pPr>
            <w:r>
              <w:rPr>
                <w:rFonts w:hint="eastAsia" w:ascii="宋体" w:hAnsi="宋体" w:eastAsia="宋体" w:cs="宋体"/>
                <w:b/>
                <w:bCs/>
                <w:color w:val="auto"/>
                <w:kern w:val="2"/>
                <w:sz w:val="21"/>
                <w:szCs w:val="21"/>
                <w:highlight w:val="none"/>
                <w:lang w:val="en-US" w:eastAsia="zh-CN" w:bidi="ar"/>
              </w:rPr>
              <w:t>用户需求书</w:t>
            </w:r>
            <w:r>
              <w:rPr>
                <w:rFonts w:hint="eastAsia" w:ascii="宋体" w:hAnsi="宋体" w:eastAsia="宋体" w:cs="宋体"/>
                <w:b/>
                <w:bCs/>
                <w:color w:val="auto"/>
                <w:szCs w:val="21"/>
                <w:highlight w:val="none"/>
                <w:u w:val="none"/>
                <w:lang w:bidi="ar"/>
              </w:rPr>
              <w:t>“★”条款</w:t>
            </w:r>
            <w:r>
              <w:rPr>
                <w:rFonts w:hint="eastAsia" w:ascii="宋体" w:hAnsi="宋体" w:eastAsia="宋体" w:cs="宋体"/>
                <w:b/>
                <w:bCs/>
                <w:color w:val="auto"/>
                <w:szCs w:val="21"/>
                <w:highlight w:val="none"/>
                <w:u w:val="none"/>
                <w:lang w:val="en-US" w:eastAsia="zh-CN" w:bidi="ar"/>
              </w:rPr>
              <w:t>汇总</w:t>
            </w:r>
          </w:p>
        </w:tc>
      </w:tr>
      <w:tr w14:paraId="02A7C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7" w:type="pct"/>
            <w:vAlign w:val="center"/>
          </w:tcPr>
          <w:p w14:paraId="11508634">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leftChars="0" w:right="0" w:rightChars="0"/>
              <w:jc w:val="center"/>
              <w:textAlignment w:val="auto"/>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10</w:t>
            </w:r>
          </w:p>
        </w:tc>
        <w:tc>
          <w:tcPr>
            <w:tcW w:w="459" w:type="pct"/>
            <w:vAlign w:val="center"/>
          </w:tcPr>
          <w:p w14:paraId="228428B2">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leftChars="0" w:right="0" w:rightChars="0"/>
              <w:jc w:val="center"/>
              <w:textAlignment w:val="auto"/>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二</w:t>
            </w:r>
          </w:p>
        </w:tc>
        <w:tc>
          <w:tcPr>
            <w:tcW w:w="3092" w:type="pct"/>
            <w:vAlign w:val="center"/>
          </w:tcPr>
          <w:p w14:paraId="20DD276F">
            <w:pPr>
              <w:keepNext w:val="0"/>
              <w:keepLines w:val="0"/>
              <w:widowControl w:val="0"/>
              <w:suppressLineNumbers w:val="0"/>
              <w:spacing w:before="0" w:beforeAutospacing="0" w:after="0" w:afterAutospacing="0" w:line="360" w:lineRule="auto"/>
              <w:ind w:left="0" w:right="0" w:firstLine="422" w:firstLineChars="200"/>
              <w:jc w:val="both"/>
              <w:rPr>
                <w:rFonts w:hint="eastAsia" w:ascii="宋体" w:hAnsi="宋体" w:eastAsia="宋体" w:cs="宋体"/>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★3、</w:t>
            </w:r>
            <w:r>
              <w:rPr>
                <w:rFonts w:hint="eastAsia" w:ascii="宋体" w:hAnsi="宋体" w:eastAsia="宋体" w:cs="宋体"/>
                <w:b/>
                <w:color w:val="auto"/>
                <w:sz w:val="21"/>
                <w:szCs w:val="21"/>
                <w:highlight w:val="none"/>
              </w:rPr>
              <w:t>本次采购涉及招标人运营项目及采购数量为暂定，仅为便于计算暂定总合同价使用，不作为招标人最终采购数量的保证，招标人保留根据运营项目及新增运营项目实际情况，对采购数量进行灵活调整的权利。合同履约过程中，如</w:t>
            </w:r>
            <w:r>
              <w:rPr>
                <w:rFonts w:hint="eastAsia" w:ascii="宋体" w:hAnsi="宋体" w:eastAsia="宋体" w:cs="宋体"/>
                <w:b/>
                <w:color w:val="auto"/>
                <w:sz w:val="21"/>
                <w:szCs w:val="21"/>
                <w:highlight w:val="none"/>
                <w:lang w:val="en-US" w:eastAsia="zh-CN"/>
              </w:rPr>
              <w:t>本项目</w:t>
            </w:r>
            <w:r>
              <w:rPr>
                <w:rFonts w:hint="eastAsia" w:ascii="宋体" w:hAnsi="宋体" w:eastAsia="宋体" w:cs="宋体"/>
                <w:b/>
                <w:color w:val="auto"/>
                <w:sz w:val="21"/>
                <w:szCs w:val="21"/>
                <w:highlight w:val="none"/>
              </w:rPr>
              <w:t>因新增合同主体需要额外供货，</w:t>
            </w:r>
            <w:r>
              <w:rPr>
                <w:rFonts w:hint="eastAsia" w:ascii="宋体" w:hAnsi="宋体" w:eastAsia="宋体" w:cs="宋体"/>
                <w:b/>
                <w:color w:val="auto"/>
                <w:sz w:val="21"/>
                <w:szCs w:val="21"/>
                <w:highlight w:val="none"/>
                <w:lang w:val="en-US" w:eastAsia="zh-CN"/>
              </w:rPr>
              <w:t>招标人权属子公司、</w:t>
            </w:r>
            <w:r>
              <w:rPr>
                <w:rFonts w:hint="eastAsia" w:ascii="宋体" w:hAnsi="宋体" w:eastAsia="宋体" w:cs="Times New Roman"/>
                <w:b/>
                <w:bCs/>
                <w:snapToGrid/>
                <w:color w:val="auto"/>
                <w:kern w:val="2"/>
                <w:szCs w:val="21"/>
                <w:highlight w:val="none"/>
                <w:lang w:val="zh-CN"/>
              </w:rPr>
              <w:t>招标人权属子公司</w:t>
            </w:r>
            <w:r>
              <w:rPr>
                <w:rFonts w:hint="eastAsia" w:ascii="宋体" w:hAnsi="宋体" w:eastAsia="宋体" w:cs="Times New Roman"/>
                <w:b/>
                <w:bCs/>
                <w:snapToGrid/>
                <w:color w:val="auto"/>
                <w:kern w:val="2"/>
                <w:szCs w:val="21"/>
                <w:highlight w:val="none"/>
                <w:lang w:val="en-US" w:eastAsia="zh-CN"/>
              </w:rPr>
              <w:t>关联公司</w:t>
            </w:r>
            <w:r>
              <w:rPr>
                <w:rFonts w:hint="eastAsia" w:ascii="宋体" w:hAnsi="宋体" w:eastAsia="宋体" w:cs="宋体"/>
                <w:b/>
                <w:color w:val="auto"/>
                <w:sz w:val="21"/>
                <w:szCs w:val="21"/>
                <w:highlight w:val="none"/>
              </w:rPr>
              <w:t>有权依据不含税中标综合单价与中标人协商并签订补充协议，并确保其作为原合同的有效补充。中标人应充分理解并接受</w:t>
            </w:r>
            <w:r>
              <w:rPr>
                <w:rFonts w:hint="eastAsia" w:ascii="宋体" w:hAnsi="宋体" w:eastAsia="宋体" w:cs="宋体"/>
                <w:b/>
                <w:color w:val="auto"/>
                <w:sz w:val="21"/>
                <w:szCs w:val="21"/>
                <w:highlight w:val="none"/>
                <w:lang w:val="en-US" w:eastAsia="zh-CN"/>
              </w:rPr>
              <w:t>本项目</w:t>
            </w:r>
            <w:r>
              <w:rPr>
                <w:rFonts w:hint="eastAsia" w:ascii="宋体" w:hAnsi="宋体" w:eastAsia="宋体" w:cs="宋体"/>
                <w:b/>
                <w:color w:val="auto"/>
                <w:sz w:val="21"/>
                <w:szCs w:val="21"/>
                <w:highlight w:val="none"/>
              </w:rPr>
              <w:t>在合同履约期间可能新增合同主体的可能性，并承诺在接到</w:t>
            </w:r>
            <w:r>
              <w:rPr>
                <w:rFonts w:hint="eastAsia" w:ascii="宋体" w:hAnsi="宋体" w:eastAsia="宋体" w:cs="宋体"/>
                <w:b/>
                <w:color w:val="auto"/>
                <w:sz w:val="21"/>
                <w:szCs w:val="21"/>
                <w:highlight w:val="none"/>
                <w:lang w:val="en-US" w:eastAsia="zh-CN"/>
              </w:rPr>
              <w:t>招标人权属子公司、</w:t>
            </w:r>
            <w:r>
              <w:rPr>
                <w:rFonts w:hint="eastAsia" w:ascii="宋体" w:hAnsi="宋体" w:eastAsia="宋体" w:cs="Times New Roman"/>
                <w:b/>
                <w:bCs/>
                <w:snapToGrid/>
                <w:color w:val="auto"/>
                <w:kern w:val="2"/>
                <w:szCs w:val="21"/>
                <w:highlight w:val="none"/>
                <w:lang w:val="zh-CN"/>
              </w:rPr>
              <w:t>招标人权属子公司</w:t>
            </w:r>
            <w:r>
              <w:rPr>
                <w:rFonts w:hint="eastAsia" w:ascii="宋体" w:hAnsi="宋体" w:eastAsia="宋体" w:cs="Times New Roman"/>
                <w:b/>
                <w:bCs/>
                <w:snapToGrid/>
                <w:color w:val="auto"/>
                <w:kern w:val="2"/>
                <w:szCs w:val="21"/>
                <w:highlight w:val="none"/>
                <w:lang w:val="en-US" w:eastAsia="zh-CN"/>
              </w:rPr>
              <w:t>关联公司</w:t>
            </w:r>
            <w:r>
              <w:rPr>
                <w:rFonts w:hint="eastAsia" w:ascii="宋体" w:hAnsi="宋体" w:eastAsia="宋体" w:cs="宋体"/>
                <w:b/>
                <w:color w:val="auto"/>
                <w:sz w:val="21"/>
                <w:szCs w:val="21"/>
                <w:highlight w:val="none"/>
              </w:rPr>
              <w:t>关于新增</w:t>
            </w:r>
            <w:r>
              <w:rPr>
                <w:rFonts w:hint="eastAsia" w:ascii="宋体" w:hAnsi="宋体" w:eastAsia="宋体" w:cs="宋体"/>
                <w:b/>
                <w:color w:val="auto"/>
                <w:sz w:val="21"/>
                <w:szCs w:val="21"/>
                <w:highlight w:val="none"/>
                <w:lang w:val="en-US" w:eastAsia="zh-CN"/>
              </w:rPr>
              <w:t>合同主体</w:t>
            </w:r>
            <w:r>
              <w:rPr>
                <w:rFonts w:hint="eastAsia" w:ascii="宋体" w:hAnsi="宋体" w:eastAsia="宋体" w:cs="宋体"/>
                <w:b/>
                <w:color w:val="auto"/>
                <w:sz w:val="21"/>
                <w:szCs w:val="21"/>
                <w:highlight w:val="none"/>
              </w:rPr>
              <w:t>的供货通知及签订补充协议的要求时，积极配合并履行相应的供货义务，确保供货的及时性和质量等符合原合同的要求</w:t>
            </w:r>
            <w:r>
              <w:rPr>
                <w:rFonts w:hint="eastAsia" w:ascii="宋体" w:hAnsi="宋体" w:eastAsia="宋体" w:cs="宋体"/>
                <w:b/>
                <w:bCs/>
                <w:color w:val="auto"/>
                <w:sz w:val="21"/>
                <w:szCs w:val="21"/>
                <w:highlight w:val="none"/>
              </w:rPr>
              <w:t>。</w:t>
            </w:r>
            <w:r>
              <w:rPr>
                <w:rFonts w:hint="eastAsia" w:ascii="宋体" w:hAnsi="宋体" w:eastAsia="宋体" w:cs="宋体"/>
                <w:b/>
                <w:color w:val="auto"/>
                <w:sz w:val="21"/>
                <w:szCs w:val="21"/>
                <w:highlight w:val="none"/>
              </w:rPr>
              <w:t>实际</w:t>
            </w:r>
            <w:r>
              <w:rPr>
                <w:rFonts w:hint="eastAsia" w:ascii="宋体" w:hAnsi="宋体" w:eastAsia="宋体" w:cs="宋体"/>
                <w:b/>
                <w:bCs/>
                <w:color w:val="auto"/>
                <w:kern w:val="2"/>
                <w:sz w:val="21"/>
                <w:szCs w:val="21"/>
                <w:highlight w:val="none"/>
              </w:rPr>
              <w:t>招标人运营项目</w:t>
            </w:r>
            <w:r>
              <w:rPr>
                <w:rFonts w:hint="eastAsia" w:ascii="宋体" w:hAnsi="宋体" w:eastAsia="宋体" w:cs="宋体"/>
                <w:b/>
                <w:color w:val="auto"/>
                <w:sz w:val="21"/>
                <w:szCs w:val="21"/>
                <w:highlight w:val="none"/>
              </w:rPr>
              <w:t>根据项目工艺及性质，结合项目实际使用效果选用，招标人的实际需求数量以招标人运营项目每次的供货通知为准，在供货期内投标人不得因招标人实际采购数量的减少或增加而要求提供任何形式的补偿或赔偿，或要求招标人按暂定采购数量采购相应货物</w:t>
            </w:r>
            <w:r>
              <w:rPr>
                <w:rFonts w:hint="eastAsia" w:ascii="宋体" w:hAnsi="宋体" w:eastAsia="宋体" w:cs="宋体"/>
                <w:b/>
                <w:bCs/>
                <w:color w:val="auto"/>
                <w:kern w:val="2"/>
                <w:sz w:val="21"/>
                <w:szCs w:val="21"/>
                <w:highlight w:val="none"/>
                <w:lang w:val="en-US" w:eastAsia="zh-CN" w:bidi="ar"/>
              </w:rPr>
              <w:t>。</w:t>
            </w:r>
          </w:p>
        </w:tc>
        <w:tc>
          <w:tcPr>
            <w:tcW w:w="298" w:type="pct"/>
            <w:vAlign w:val="center"/>
          </w:tcPr>
          <w:p w14:paraId="70368C19">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18"/>
                <w:szCs w:val="18"/>
                <w:highlight w:val="none"/>
              </w:rPr>
            </w:pPr>
          </w:p>
        </w:tc>
        <w:tc>
          <w:tcPr>
            <w:tcW w:w="465" w:type="pct"/>
            <w:vAlign w:val="center"/>
          </w:tcPr>
          <w:p w14:paraId="4C15A44D">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18"/>
                <w:szCs w:val="18"/>
                <w:highlight w:val="none"/>
              </w:rPr>
            </w:pPr>
          </w:p>
        </w:tc>
        <w:tc>
          <w:tcPr>
            <w:tcW w:w="396" w:type="pct"/>
            <w:vAlign w:val="center"/>
          </w:tcPr>
          <w:p w14:paraId="1DF3EA08">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18"/>
                <w:szCs w:val="18"/>
                <w:highlight w:val="none"/>
              </w:rPr>
            </w:pPr>
          </w:p>
        </w:tc>
      </w:tr>
      <w:tr w14:paraId="236B9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7" w:type="pct"/>
            <w:vAlign w:val="center"/>
          </w:tcPr>
          <w:p w14:paraId="0E461C70">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leftChars="0" w:right="0" w:rightChars="0"/>
              <w:jc w:val="center"/>
              <w:textAlignment w:val="auto"/>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11</w:t>
            </w:r>
          </w:p>
        </w:tc>
        <w:tc>
          <w:tcPr>
            <w:tcW w:w="459" w:type="pct"/>
            <w:vAlign w:val="center"/>
          </w:tcPr>
          <w:p w14:paraId="6F333CC9">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leftChars="0" w:right="0" w:rightChars="0"/>
              <w:jc w:val="center"/>
              <w:textAlignment w:val="auto"/>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二</w:t>
            </w:r>
          </w:p>
        </w:tc>
        <w:tc>
          <w:tcPr>
            <w:tcW w:w="3092" w:type="pct"/>
            <w:vAlign w:val="center"/>
          </w:tcPr>
          <w:p w14:paraId="4E471C05">
            <w:pPr>
              <w:keepNext w:val="0"/>
              <w:keepLines w:val="0"/>
              <w:widowControl w:val="0"/>
              <w:suppressLineNumbers w:val="0"/>
              <w:spacing w:before="0" w:beforeAutospacing="0" w:after="0" w:afterAutospacing="0" w:line="360" w:lineRule="auto"/>
              <w:ind w:left="0" w:right="0" w:firstLine="211" w:firstLineChars="100"/>
              <w:jc w:val="both"/>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★4、主要技术指标。</w:t>
            </w:r>
          </w:p>
          <w:p w14:paraId="6A0AE514">
            <w:pPr>
              <w:keepNext w:val="0"/>
              <w:keepLines w:val="0"/>
              <w:widowControl w:val="0"/>
              <w:suppressLineNumbers w:val="0"/>
              <w:spacing w:before="0" w:beforeAutospacing="0" w:after="0" w:afterAutospacing="0" w:line="360" w:lineRule="auto"/>
              <w:ind w:left="0" w:right="0" w:firstLine="422" w:firstLineChars="200"/>
              <w:jc w:val="both"/>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（1）</w:t>
            </w:r>
            <w:r>
              <w:rPr>
                <w:rFonts w:hint="eastAsia" w:ascii="宋体" w:hAnsi="宋体" w:eastAsia="宋体" w:cs="宋体"/>
                <w:b/>
                <w:bCs/>
                <w:color w:val="auto"/>
                <w:szCs w:val="21"/>
                <w:highlight w:val="none"/>
                <w:lang w:eastAsia="zh-CN"/>
              </w:rPr>
              <w:t>液体柠檬酸</w:t>
            </w:r>
            <w:r>
              <w:rPr>
                <w:rFonts w:hint="eastAsia" w:ascii="宋体" w:hAnsi="宋体" w:eastAsia="宋体" w:cs="宋体"/>
                <w:b/>
                <w:bCs/>
                <w:color w:val="auto"/>
                <w:szCs w:val="21"/>
                <w:highlight w:val="none"/>
              </w:rPr>
              <w:t>产品外观为无色透明液体</w:t>
            </w:r>
            <w:r>
              <w:rPr>
                <w:rFonts w:hint="eastAsia" w:ascii="宋体" w:hAnsi="宋体" w:eastAsia="宋体" w:cs="宋体"/>
                <w:b/>
                <w:bCs/>
                <w:color w:val="auto"/>
                <w:kern w:val="2"/>
                <w:sz w:val="21"/>
                <w:szCs w:val="21"/>
                <w:highlight w:val="none"/>
                <w:lang w:val="en-US" w:eastAsia="zh-CN" w:bidi="ar"/>
              </w:rPr>
              <w:t>。</w:t>
            </w:r>
          </w:p>
          <w:p w14:paraId="03E6EA74">
            <w:pPr>
              <w:keepNext w:val="0"/>
              <w:keepLines w:val="0"/>
              <w:widowControl w:val="0"/>
              <w:suppressLineNumbers w:val="0"/>
              <w:spacing w:before="0" w:beforeAutospacing="0" w:after="0" w:afterAutospacing="0" w:line="360" w:lineRule="auto"/>
              <w:ind w:left="0" w:right="0" w:firstLine="422" w:firstLineChars="200"/>
              <w:jc w:val="both"/>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（2）</w:t>
            </w:r>
            <w:r>
              <w:rPr>
                <w:rFonts w:hint="eastAsia" w:ascii="宋体" w:hAnsi="宋体" w:eastAsia="宋体" w:cs="宋体"/>
                <w:b/>
                <w:bCs/>
                <w:color w:val="auto"/>
                <w:szCs w:val="21"/>
                <w:highlight w:val="none"/>
                <w:lang w:eastAsia="zh-CN"/>
              </w:rPr>
              <w:t>液体柠檬酸</w:t>
            </w:r>
            <w:r>
              <w:rPr>
                <w:rFonts w:hint="eastAsia" w:ascii="宋体" w:hAnsi="宋体" w:eastAsia="宋体" w:cs="宋体"/>
                <w:b/>
                <w:bCs/>
                <w:color w:val="auto"/>
                <w:szCs w:val="21"/>
                <w:highlight w:val="none"/>
              </w:rPr>
              <w:t>主要技术指标要求如下</w:t>
            </w:r>
            <w:r>
              <w:rPr>
                <w:rFonts w:hint="eastAsia" w:ascii="宋体" w:hAnsi="宋体" w:eastAsia="宋体" w:cs="宋体"/>
                <w:b/>
                <w:bCs/>
                <w:color w:val="auto"/>
                <w:kern w:val="2"/>
                <w:sz w:val="21"/>
                <w:szCs w:val="21"/>
                <w:highlight w:val="none"/>
                <w:lang w:val="en-US" w:eastAsia="zh-CN" w:bidi="ar"/>
              </w:rPr>
              <w:t>：</w:t>
            </w:r>
          </w:p>
          <w:p w14:paraId="4FB76A72">
            <w:pPr>
              <w:keepNext w:val="0"/>
              <w:keepLines w:val="0"/>
              <w:suppressLineNumbers w:val="0"/>
              <w:spacing w:before="0" w:beforeAutospacing="0" w:after="0" w:afterAutospacing="0" w:line="360" w:lineRule="auto"/>
              <w:ind w:left="0" w:right="0" w:firstLine="276" w:firstLineChars="131"/>
              <w:jc w:val="center"/>
              <w:rPr>
                <w:rFonts w:hint="eastAsia" w:ascii="宋体" w:hAnsi="宋体" w:eastAsia="宋体" w:cs="宋体"/>
                <w:b/>
                <w:color w:val="auto"/>
                <w:sz w:val="21"/>
                <w:szCs w:val="21"/>
                <w:highlight w:val="none"/>
              </w:rPr>
            </w:pPr>
            <w:r>
              <w:rPr>
                <w:rFonts w:hint="eastAsia" w:ascii="宋体" w:hAnsi="宋体" w:eastAsia="宋体" w:cs="宋体"/>
                <w:b/>
                <w:bCs/>
                <w:color w:val="auto"/>
                <w:kern w:val="2"/>
                <w:sz w:val="21"/>
                <w:szCs w:val="21"/>
                <w:highlight w:val="none"/>
                <w:lang w:val="en-US" w:eastAsia="zh-CN" w:bidi="ar"/>
              </w:rPr>
              <w:t xml:space="preserve">表1 </w:t>
            </w:r>
            <w:r>
              <w:rPr>
                <w:rFonts w:hint="eastAsia" w:ascii="宋体" w:hAnsi="宋体" w:eastAsia="宋体" w:cs="宋体"/>
                <w:b/>
                <w:bCs/>
                <w:color w:val="auto"/>
                <w:sz w:val="21"/>
                <w:szCs w:val="21"/>
                <w:highlight w:val="none"/>
                <w:lang w:eastAsia="zh-CN"/>
              </w:rPr>
              <w:t>液体柠檬酸</w:t>
            </w:r>
            <w:r>
              <w:rPr>
                <w:rFonts w:hint="eastAsia" w:ascii="宋体" w:hAnsi="宋体" w:eastAsia="宋体" w:cs="宋体"/>
                <w:b/>
                <w:bCs/>
                <w:color w:val="auto"/>
                <w:sz w:val="21"/>
                <w:szCs w:val="21"/>
                <w:highlight w:val="none"/>
              </w:rPr>
              <w:t>主要技术指</w:t>
            </w:r>
            <w:r>
              <w:rPr>
                <w:rFonts w:hint="eastAsia" w:ascii="宋体" w:hAnsi="宋体" w:eastAsia="宋体" w:cs="宋体"/>
                <w:b/>
                <w:color w:val="auto"/>
                <w:sz w:val="21"/>
                <w:szCs w:val="21"/>
                <w:highlight w:val="none"/>
              </w:rPr>
              <w:t>标</w:t>
            </w:r>
          </w:p>
          <w:tbl>
            <w:tblPr>
              <w:tblStyle w:val="37"/>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81"/>
              <w:gridCol w:w="2705"/>
            </w:tblGrid>
            <w:tr w14:paraId="5E9CC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13" w:type="pct"/>
                  <w:vAlign w:val="center"/>
                </w:tcPr>
                <w:p w14:paraId="0DA4F1DD">
                  <w:pPr>
                    <w:keepNext w:val="0"/>
                    <w:keepLines w:val="0"/>
                    <w:pageBreakBefore w:val="0"/>
                    <w:widowControl w:val="0"/>
                    <w:suppressLineNumbers w:val="0"/>
                    <w:kinsoku/>
                    <w:wordWrap/>
                    <w:overflowPunct/>
                    <w:topLinePunct w:val="0"/>
                    <w:autoSpaceDE/>
                    <w:autoSpaceDN/>
                    <w:bidi w:val="0"/>
                    <w:adjustRightInd/>
                    <w:snapToGrid/>
                    <w:spacing w:before="164" w:beforeLines="50" w:beforeAutospacing="0" w:after="0" w:afterAutospacing="0" w:line="360" w:lineRule="auto"/>
                    <w:ind w:left="0" w:right="0" w:firstLine="422" w:firstLineChars="20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指标项目</w:t>
                  </w:r>
                </w:p>
              </w:tc>
              <w:tc>
                <w:tcPr>
                  <w:tcW w:w="2186" w:type="pct"/>
                  <w:vAlign w:val="center"/>
                </w:tcPr>
                <w:p w14:paraId="1F0926D5">
                  <w:pPr>
                    <w:keepNext w:val="0"/>
                    <w:keepLines w:val="0"/>
                    <w:pageBreakBefore w:val="0"/>
                    <w:widowControl w:val="0"/>
                    <w:suppressLineNumbers w:val="0"/>
                    <w:kinsoku/>
                    <w:wordWrap/>
                    <w:overflowPunct/>
                    <w:topLinePunct w:val="0"/>
                    <w:autoSpaceDE/>
                    <w:autoSpaceDN/>
                    <w:bidi w:val="0"/>
                    <w:adjustRightInd/>
                    <w:snapToGrid/>
                    <w:spacing w:before="164" w:beforeLines="50" w:beforeAutospacing="0" w:after="0" w:afterAutospacing="0" w:line="360" w:lineRule="auto"/>
                    <w:ind w:left="0" w:right="0" w:firstLine="276" w:firstLineChars="131"/>
                    <w:jc w:val="center"/>
                    <w:textAlignment w:val="auto"/>
                    <w:rPr>
                      <w:rFonts w:hint="default" w:hAnsi="宋体"/>
                      <w:b/>
                      <w:color w:val="auto"/>
                      <w:sz w:val="21"/>
                      <w:szCs w:val="21"/>
                      <w:highlight w:val="none"/>
                    </w:rPr>
                  </w:pPr>
                  <w:r>
                    <w:rPr>
                      <w:rFonts w:hint="eastAsia" w:ascii="宋体" w:hAnsi="宋体" w:eastAsia="宋体" w:cs="宋体"/>
                      <w:b/>
                      <w:color w:val="auto"/>
                      <w:sz w:val="21"/>
                      <w:szCs w:val="21"/>
                      <w:highlight w:val="none"/>
                    </w:rPr>
                    <w:t>指标</w:t>
                  </w:r>
                </w:p>
              </w:tc>
            </w:tr>
            <w:tr w14:paraId="2F3E9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13" w:type="pct"/>
                  <w:vAlign w:val="center"/>
                </w:tcPr>
                <w:p w14:paraId="5C283AFC">
                  <w:pPr>
                    <w:keepNext w:val="0"/>
                    <w:keepLines w:val="0"/>
                    <w:pageBreakBefore w:val="0"/>
                    <w:widowControl w:val="0"/>
                    <w:suppressLineNumbers w:val="0"/>
                    <w:kinsoku/>
                    <w:wordWrap/>
                    <w:overflowPunct/>
                    <w:topLinePunct w:val="0"/>
                    <w:autoSpaceDE/>
                    <w:autoSpaceDN/>
                    <w:bidi w:val="0"/>
                    <w:adjustRightInd/>
                    <w:snapToGrid/>
                    <w:spacing w:before="164" w:beforeLines="50" w:beforeAutospacing="0" w:after="0" w:afterAutospacing="0" w:line="360" w:lineRule="auto"/>
                    <w:ind w:left="0" w:right="0" w:firstLine="422" w:firstLineChars="20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质量分数（C</w:t>
                  </w:r>
                  <w:r>
                    <w:rPr>
                      <w:rFonts w:hint="eastAsia" w:ascii="宋体" w:hAnsi="宋体" w:eastAsia="宋体" w:cs="宋体"/>
                      <w:b/>
                      <w:color w:val="auto"/>
                      <w:sz w:val="21"/>
                      <w:szCs w:val="21"/>
                      <w:highlight w:val="none"/>
                      <w:vertAlign w:val="subscript"/>
                    </w:rPr>
                    <w:t>6</w:t>
                  </w:r>
                  <w:r>
                    <w:rPr>
                      <w:rFonts w:hint="eastAsia" w:ascii="宋体" w:hAnsi="宋体" w:eastAsia="宋体" w:cs="宋体"/>
                      <w:b/>
                      <w:color w:val="auto"/>
                      <w:sz w:val="21"/>
                      <w:szCs w:val="21"/>
                      <w:highlight w:val="none"/>
                    </w:rPr>
                    <w:t>H</w:t>
                  </w:r>
                  <w:r>
                    <w:rPr>
                      <w:rFonts w:hint="eastAsia" w:ascii="宋体" w:hAnsi="宋体" w:eastAsia="宋体" w:cs="宋体"/>
                      <w:b/>
                      <w:color w:val="auto"/>
                      <w:sz w:val="21"/>
                      <w:szCs w:val="21"/>
                      <w:highlight w:val="none"/>
                      <w:vertAlign w:val="subscript"/>
                    </w:rPr>
                    <w:t>8</w:t>
                  </w:r>
                  <w:r>
                    <w:rPr>
                      <w:rFonts w:hint="eastAsia" w:ascii="宋体" w:hAnsi="宋体" w:eastAsia="宋体" w:cs="宋体"/>
                      <w:b/>
                      <w:color w:val="auto"/>
                      <w:sz w:val="21"/>
                      <w:szCs w:val="21"/>
                      <w:highlight w:val="none"/>
                    </w:rPr>
                    <w:t>O</w:t>
                  </w:r>
                  <w:r>
                    <w:rPr>
                      <w:rFonts w:hint="eastAsia" w:ascii="宋体" w:hAnsi="宋体" w:eastAsia="宋体" w:cs="宋体"/>
                      <w:b/>
                      <w:color w:val="auto"/>
                      <w:sz w:val="21"/>
                      <w:szCs w:val="21"/>
                      <w:highlight w:val="none"/>
                      <w:vertAlign w:val="subscript"/>
                    </w:rPr>
                    <w:t>7</w:t>
                  </w:r>
                  <w:r>
                    <w:rPr>
                      <w:rFonts w:hint="eastAsia" w:ascii="宋体" w:hAnsi="宋体" w:eastAsia="宋体" w:cs="宋体"/>
                      <w:b/>
                      <w:color w:val="auto"/>
                      <w:sz w:val="21"/>
                      <w:szCs w:val="21"/>
                      <w:highlight w:val="none"/>
                    </w:rPr>
                    <w:t>），%</w:t>
                  </w:r>
                </w:p>
              </w:tc>
              <w:tc>
                <w:tcPr>
                  <w:tcW w:w="2186" w:type="pct"/>
                  <w:vAlign w:val="center"/>
                </w:tcPr>
                <w:p w14:paraId="6AE8648A">
                  <w:pPr>
                    <w:keepNext w:val="0"/>
                    <w:keepLines w:val="0"/>
                    <w:pageBreakBefore w:val="0"/>
                    <w:widowControl w:val="0"/>
                    <w:suppressLineNumbers w:val="0"/>
                    <w:kinsoku/>
                    <w:wordWrap/>
                    <w:overflowPunct/>
                    <w:topLinePunct w:val="0"/>
                    <w:autoSpaceDE/>
                    <w:autoSpaceDN/>
                    <w:bidi w:val="0"/>
                    <w:adjustRightInd/>
                    <w:snapToGrid/>
                    <w:spacing w:before="164" w:beforeLines="50" w:beforeAutospacing="0" w:after="0" w:afterAutospacing="0" w:line="360" w:lineRule="auto"/>
                    <w:ind w:left="0" w:right="0" w:firstLine="276" w:firstLineChars="131"/>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≥30</w:t>
                  </w:r>
                </w:p>
              </w:tc>
            </w:tr>
            <w:tr w14:paraId="77D1A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3" w:type="pct"/>
                  <w:vAlign w:val="center"/>
                </w:tcPr>
                <w:p w14:paraId="37EB2AC0">
                  <w:pPr>
                    <w:keepNext w:val="0"/>
                    <w:keepLines w:val="0"/>
                    <w:pageBreakBefore w:val="0"/>
                    <w:widowControl w:val="0"/>
                    <w:suppressLineNumbers w:val="0"/>
                    <w:kinsoku/>
                    <w:wordWrap/>
                    <w:overflowPunct/>
                    <w:topLinePunct w:val="0"/>
                    <w:autoSpaceDE/>
                    <w:autoSpaceDN/>
                    <w:bidi w:val="0"/>
                    <w:adjustRightInd/>
                    <w:snapToGrid/>
                    <w:spacing w:before="164" w:beforeLines="50" w:beforeAutospacing="0" w:after="0" w:afterAutospacing="0" w:line="360" w:lineRule="auto"/>
                    <w:ind w:left="0" w:right="0" w:firstLine="422" w:firstLineChars="20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水不溶物，%</w:t>
                  </w:r>
                </w:p>
              </w:tc>
              <w:tc>
                <w:tcPr>
                  <w:tcW w:w="2186" w:type="pct"/>
                  <w:vAlign w:val="center"/>
                </w:tcPr>
                <w:p w14:paraId="3E131BF0">
                  <w:pPr>
                    <w:keepNext w:val="0"/>
                    <w:keepLines w:val="0"/>
                    <w:pageBreakBefore w:val="0"/>
                    <w:widowControl w:val="0"/>
                    <w:suppressLineNumbers w:val="0"/>
                    <w:kinsoku/>
                    <w:wordWrap/>
                    <w:overflowPunct/>
                    <w:topLinePunct w:val="0"/>
                    <w:autoSpaceDE/>
                    <w:autoSpaceDN/>
                    <w:bidi w:val="0"/>
                    <w:adjustRightInd/>
                    <w:snapToGrid/>
                    <w:spacing w:before="164" w:beforeLines="50" w:beforeAutospacing="0" w:after="0" w:afterAutospacing="0" w:line="360" w:lineRule="auto"/>
                    <w:ind w:left="0" w:right="0" w:firstLine="276" w:firstLineChars="131"/>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≤0.05</w:t>
                  </w:r>
                </w:p>
              </w:tc>
            </w:tr>
          </w:tbl>
          <w:p w14:paraId="063CFDCB">
            <w:pPr>
              <w:keepNext w:val="0"/>
              <w:keepLines w:val="0"/>
              <w:widowControl w:val="0"/>
              <w:suppressLineNumbers w:val="0"/>
              <w:spacing w:before="0" w:beforeAutospacing="0" w:after="0" w:afterAutospacing="0" w:line="360" w:lineRule="auto"/>
              <w:ind w:left="0" w:right="0" w:firstLine="422" w:firstLineChars="200"/>
              <w:jc w:val="both"/>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（3）供货期间，如有发布最新的行业标准或国家标准，招标人有权根据招标人运营项目实际情况及有关行业标准或国家标准对合同的主要技术指标进行变更调整，投标人应无条件接受。</w:t>
            </w:r>
          </w:p>
          <w:p w14:paraId="2CE3D06C">
            <w:pPr>
              <w:keepNext w:val="0"/>
              <w:keepLines w:val="0"/>
              <w:suppressLineNumbers w:val="0"/>
              <w:autoSpaceDE/>
              <w:autoSpaceDN/>
              <w:adjustRightInd/>
              <w:spacing w:before="0" w:beforeAutospacing="0" w:after="0" w:afterAutospacing="0" w:line="360" w:lineRule="auto"/>
              <w:ind w:left="0" w:right="0" w:firstLine="422" w:firstLineChars="200"/>
              <w:jc w:val="both"/>
              <w:rPr>
                <w:rFonts w:hint="eastAsia" w:ascii="宋体" w:hAnsi="宋体" w:eastAsia="宋体" w:cs="宋体"/>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（4）</w:t>
            </w:r>
            <w:r>
              <w:rPr>
                <w:rFonts w:hint="eastAsia" w:ascii="宋体" w:hAnsi="宋体" w:eastAsia="宋体" w:cs="宋体"/>
                <w:b/>
                <w:bCs/>
                <w:color w:val="auto"/>
                <w:szCs w:val="21"/>
                <w:highlight w:val="none"/>
              </w:rPr>
              <w:t>供货单位应根据各项目工艺以及性质，提供符合技术指标的药剂，保证供货的药剂用于MBR膜清洗达到良好的膜清洗效果</w:t>
            </w:r>
            <w:r>
              <w:rPr>
                <w:rFonts w:hint="eastAsia" w:ascii="宋体" w:hAnsi="宋体" w:eastAsia="宋体" w:cs="宋体"/>
                <w:b/>
                <w:bCs w:val="0"/>
                <w:color w:val="auto"/>
                <w:sz w:val="21"/>
                <w:szCs w:val="21"/>
                <w:highlight w:val="none"/>
              </w:rPr>
              <w:t>。</w:t>
            </w:r>
          </w:p>
        </w:tc>
        <w:tc>
          <w:tcPr>
            <w:tcW w:w="298" w:type="pct"/>
            <w:vAlign w:val="center"/>
          </w:tcPr>
          <w:p w14:paraId="00E32119">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18"/>
                <w:szCs w:val="18"/>
                <w:highlight w:val="none"/>
              </w:rPr>
            </w:pPr>
          </w:p>
        </w:tc>
        <w:tc>
          <w:tcPr>
            <w:tcW w:w="465" w:type="pct"/>
            <w:vAlign w:val="center"/>
          </w:tcPr>
          <w:p w14:paraId="2B7504C5">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18"/>
                <w:szCs w:val="18"/>
                <w:highlight w:val="none"/>
              </w:rPr>
            </w:pPr>
          </w:p>
        </w:tc>
        <w:tc>
          <w:tcPr>
            <w:tcW w:w="396" w:type="pct"/>
            <w:vAlign w:val="center"/>
          </w:tcPr>
          <w:p w14:paraId="0CF9174F">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18"/>
                <w:szCs w:val="18"/>
                <w:highlight w:val="none"/>
              </w:rPr>
            </w:pPr>
          </w:p>
        </w:tc>
      </w:tr>
      <w:tr w14:paraId="071DE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7" w:type="pct"/>
            <w:vAlign w:val="center"/>
          </w:tcPr>
          <w:p w14:paraId="2D06412F">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leftChars="0" w:right="0" w:rightChars="0"/>
              <w:jc w:val="center"/>
              <w:textAlignment w:val="auto"/>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12</w:t>
            </w:r>
          </w:p>
        </w:tc>
        <w:tc>
          <w:tcPr>
            <w:tcW w:w="459" w:type="pct"/>
            <w:vAlign w:val="center"/>
          </w:tcPr>
          <w:p w14:paraId="01A8CCA5">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leftChars="0" w:right="0" w:rightChars="0"/>
              <w:jc w:val="center"/>
              <w:textAlignment w:val="auto"/>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二</w:t>
            </w:r>
          </w:p>
        </w:tc>
        <w:tc>
          <w:tcPr>
            <w:tcW w:w="3092" w:type="pct"/>
            <w:vAlign w:val="center"/>
          </w:tcPr>
          <w:p w14:paraId="654FB8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2" w:firstLineChars="200"/>
              <w:jc w:val="both"/>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t>★5、</w:t>
            </w:r>
            <w:r>
              <w:rPr>
                <w:rFonts w:hint="eastAsia" w:ascii="宋体" w:hAnsi="宋体" w:eastAsia="宋体" w:cs="宋体"/>
                <w:b/>
                <w:bCs/>
                <w:color w:val="auto"/>
                <w:sz w:val="21"/>
                <w:szCs w:val="21"/>
                <w:highlight w:val="none"/>
              </w:rPr>
              <w:t>投标人投标时须提供投标人</w:t>
            </w:r>
            <w:r>
              <w:rPr>
                <w:rFonts w:hint="eastAsia" w:ascii="宋体" w:hAnsi="宋体" w:eastAsia="宋体" w:cs="宋体"/>
                <w:b/>
                <w:bCs/>
                <w:color w:val="auto"/>
                <w:sz w:val="21"/>
                <w:szCs w:val="21"/>
                <w:highlight w:val="none"/>
                <w:lang w:val="en-US" w:eastAsia="zh-CN"/>
              </w:rPr>
              <w:t>或生产厂家</w:t>
            </w:r>
            <w:r>
              <w:rPr>
                <w:rFonts w:hint="eastAsia" w:ascii="宋体" w:hAnsi="宋体" w:eastAsia="宋体" w:cs="宋体"/>
                <w:b/>
                <w:bCs/>
                <w:color w:val="auto"/>
                <w:sz w:val="21"/>
                <w:szCs w:val="21"/>
                <w:highlight w:val="none"/>
              </w:rPr>
              <w:t>委托的反映报价产品性能参数的具有资质的第三方检测机构出具的</w:t>
            </w:r>
            <w:r>
              <w:rPr>
                <w:rFonts w:hint="eastAsia" w:ascii="宋体" w:hAnsi="宋体" w:eastAsia="宋体" w:cs="宋体"/>
                <w:b/>
                <w:bCs/>
                <w:color w:val="auto"/>
                <w:sz w:val="21"/>
                <w:szCs w:val="21"/>
                <w:highlight w:val="none"/>
                <w:lang w:val="en-US" w:eastAsia="zh-CN"/>
              </w:rPr>
              <w:t>符合</w:t>
            </w:r>
            <w:r>
              <w:rPr>
                <w:rFonts w:hint="eastAsia" w:ascii="宋体" w:hAnsi="宋体" w:eastAsia="宋体" w:cs="宋体"/>
                <w:b/>
                <w:color w:val="auto"/>
                <w:sz w:val="21"/>
                <w:szCs w:val="21"/>
                <w:highlight w:val="none"/>
              </w:rPr>
              <w:t>表1《</w:t>
            </w:r>
            <w:r>
              <w:rPr>
                <w:rFonts w:hint="eastAsia" w:ascii="宋体" w:hAnsi="宋体" w:eastAsia="宋体" w:cs="宋体"/>
                <w:b/>
                <w:color w:val="auto"/>
                <w:sz w:val="21"/>
                <w:szCs w:val="21"/>
                <w:highlight w:val="none"/>
                <w:lang w:eastAsia="zh-CN"/>
              </w:rPr>
              <w:t>液体柠檬酸</w:t>
            </w:r>
            <w:r>
              <w:rPr>
                <w:rFonts w:hint="eastAsia" w:ascii="宋体" w:hAnsi="宋体" w:eastAsia="宋体" w:cs="宋体"/>
                <w:b/>
                <w:color w:val="auto"/>
                <w:sz w:val="21"/>
                <w:szCs w:val="21"/>
                <w:highlight w:val="none"/>
              </w:rPr>
              <w:t>主要技术指标》</w:t>
            </w:r>
            <w:r>
              <w:rPr>
                <w:rFonts w:hint="eastAsia" w:ascii="宋体" w:hAnsi="宋体" w:eastAsia="宋体" w:cs="宋体"/>
                <w:b/>
                <w:color w:val="auto"/>
                <w:sz w:val="21"/>
                <w:szCs w:val="21"/>
                <w:highlight w:val="none"/>
                <w:lang w:val="en-US" w:eastAsia="zh-CN"/>
              </w:rPr>
              <w:t>要求的</w:t>
            </w:r>
            <w:r>
              <w:rPr>
                <w:rFonts w:hint="eastAsia" w:ascii="宋体" w:hAnsi="宋体" w:eastAsia="宋体" w:cs="宋体"/>
                <w:b/>
                <w:bCs/>
                <w:color w:val="auto"/>
                <w:sz w:val="21"/>
                <w:szCs w:val="21"/>
                <w:highlight w:val="none"/>
              </w:rPr>
              <w:t>检验报告，报告日期为202</w:t>
            </w: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年</w:t>
            </w:r>
            <w:r>
              <w:rPr>
                <w:rFonts w:hint="eastAsia" w:ascii="宋体" w:hAnsi="宋体" w:eastAsia="宋体" w:cs="宋体"/>
                <w:b/>
                <w:bCs/>
                <w:color w:val="auto"/>
                <w:sz w:val="21"/>
                <w:szCs w:val="21"/>
                <w:highlight w:val="none"/>
                <w:lang w:val="en-US" w:eastAsia="zh-CN"/>
              </w:rPr>
              <w:t>8</w:t>
            </w:r>
            <w:r>
              <w:rPr>
                <w:rFonts w:hint="eastAsia" w:ascii="宋体" w:hAnsi="宋体" w:eastAsia="宋体" w:cs="宋体"/>
                <w:b/>
                <w:bCs/>
                <w:color w:val="auto"/>
                <w:sz w:val="21"/>
                <w:szCs w:val="21"/>
                <w:highlight w:val="none"/>
              </w:rPr>
              <w:t>月1日以后，检验报告中检</w:t>
            </w:r>
            <w:r>
              <w:rPr>
                <w:rFonts w:hint="eastAsia" w:ascii="宋体" w:hAnsi="宋体" w:eastAsia="宋体" w:cs="宋体"/>
                <w:b/>
                <w:bCs/>
                <w:color w:val="auto"/>
                <w:sz w:val="21"/>
                <w:szCs w:val="21"/>
                <w:highlight w:val="none"/>
                <w:lang w:val="en-US" w:eastAsia="zh-CN"/>
              </w:rPr>
              <w:t>验</w:t>
            </w:r>
            <w:r>
              <w:rPr>
                <w:rFonts w:hint="eastAsia" w:ascii="宋体" w:hAnsi="宋体" w:eastAsia="宋体" w:cs="宋体"/>
                <w:b/>
                <w:bCs/>
                <w:color w:val="auto"/>
                <w:sz w:val="21"/>
                <w:szCs w:val="21"/>
                <w:highlight w:val="none"/>
              </w:rPr>
              <w:t>指标</w:t>
            </w:r>
            <w:r>
              <w:rPr>
                <w:rFonts w:hint="eastAsia" w:ascii="宋体" w:hAnsi="宋体" w:eastAsia="宋体" w:cs="宋体"/>
                <w:b/>
                <w:bCs/>
                <w:color w:val="auto"/>
                <w:sz w:val="21"/>
                <w:szCs w:val="21"/>
                <w:highlight w:val="none"/>
                <w:lang w:val="en-US" w:eastAsia="zh-CN"/>
              </w:rPr>
              <w:t>为</w:t>
            </w:r>
            <w:r>
              <w:rPr>
                <w:rFonts w:hint="eastAsia" w:ascii="宋体" w:hAnsi="宋体" w:eastAsia="宋体" w:cs="宋体"/>
                <w:b/>
                <w:bCs/>
                <w:color w:val="auto"/>
                <w:sz w:val="21"/>
                <w:szCs w:val="21"/>
                <w:highlight w:val="none"/>
              </w:rPr>
              <w:t>表1《</w:t>
            </w:r>
            <w:r>
              <w:rPr>
                <w:rFonts w:hint="eastAsia" w:ascii="宋体" w:hAnsi="宋体" w:eastAsia="宋体" w:cs="宋体"/>
                <w:b/>
                <w:bCs/>
                <w:color w:val="auto"/>
                <w:sz w:val="21"/>
                <w:szCs w:val="21"/>
                <w:highlight w:val="none"/>
                <w:lang w:eastAsia="zh-CN"/>
              </w:rPr>
              <w:t>液体柠檬酸</w:t>
            </w:r>
            <w:r>
              <w:rPr>
                <w:rFonts w:hint="eastAsia" w:ascii="宋体" w:hAnsi="宋体" w:eastAsia="宋体" w:cs="宋体"/>
                <w:b/>
                <w:bCs/>
                <w:color w:val="auto"/>
                <w:sz w:val="21"/>
                <w:szCs w:val="21"/>
                <w:highlight w:val="none"/>
              </w:rPr>
              <w:t>主要技术指标》中各指标</w:t>
            </w:r>
            <w:r>
              <w:rPr>
                <w:rFonts w:hint="eastAsia" w:ascii="宋体" w:hAnsi="宋体" w:eastAsia="宋体" w:cs="宋体"/>
                <w:b/>
                <w:bCs/>
                <w:color w:val="auto"/>
                <w:sz w:val="21"/>
                <w:szCs w:val="21"/>
                <w:highlight w:val="none"/>
                <w:lang w:val="en-US" w:eastAsia="zh-CN"/>
              </w:rPr>
              <w:t>项目</w:t>
            </w:r>
            <w:r>
              <w:rPr>
                <w:rFonts w:hint="eastAsia" w:ascii="宋体" w:hAnsi="宋体" w:eastAsia="宋体" w:cs="宋体"/>
                <w:b/>
                <w:bCs/>
                <w:color w:val="auto"/>
                <w:sz w:val="21"/>
                <w:szCs w:val="21"/>
                <w:highlight w:val="none"/>
              </w:rPr>
              <w:t>，检验报告使用的检测方法需符合《柠檬酸》（GB/T 8269-2006）</w:t>
            </w:r>
            <w:r>
              <w:rPr>
                <w:rFonts w:hint="eastAsia" w:ascii="宋体" w:hAnsi="宋体" w:eastAsia="宋体" w:cs="宋体"/>
                <w:b/>
                <w:bCs/>
                <w:color w:val="auto"/>
                <w:sz w:val="21"/>
                <w:szCs w:val="21"/>
                <w:highlight w:val="none"/>
                <w:lang w:val="en-US" w:eastAsia="zh-CN"/>
              </w:rPr>
              <w:t>或《</w:t>
            </w:r>
            <w:r>
              <w:rPr>
                <w:rFonts w:hint="eastAsia" w:ascii="宋体" w:hAnsi="宋体" w:eastAsia="宋体" w:cs="宋体"/>
                <w:b/>
                <w:bCs/>
                <w:color w:val="auto"/>
                <w:szCs w:val="21"/>
                <w:highlight w:val="none"/>
              </w:rPr>
              <w:t>化学试剂一水合柠檬酸（柠檬酸）</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szCs w:val="21"/>
                <w:highlight w:val="none"/>
              </w:rPr>
              <w:t xml:space="preserve">GB∕T 9855-2008 </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sz w:val="21"/>
                <w:szCs w:val="21"/>
                <w:highlight w:val="none"/>
              </w:rPr>
              <w:t>。</w:t>
            </w:r>
          </w:p>
        </w:tc>
        <w:tc>
          <w:tcPr>
            <w:tcW w:w="298" w:type="pct"/>
            <w:vAlign w:val="center"/>
          </w:tcPr>
          <w:p w14:paraId="16717F8A">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18"/>
                <w:szCs w:val="18"/>
                <w:highlight w:val="none"/>
              </w:rPr>
            </w:pPr>
          </w:p>
        </w:tc>
        <w:tc>
          <w:tcPr>
            <w:tcW w:w="465" w:type="pct"/>
            <w:vAlign w:val="center"/>
          </w:tcPr>
          <w:p w14:paraId="086E378C">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18"/>
                <w:szCs w:val="18"/>
                <w:highlight w:val="none"/>
              </w:rPr>
            </w:pPr>
          </w:p>
        </w:tc>
        <w:tc>
          <w:tcPr>
            <w:tcW w:w="396" w:type="pct"/>
            <w:vAlign w:val="center"/>
          </w:tcPr>
          <w:p w14:paraId="60762FB9">
            <w:pPr>
              <w:keepNext/>
              <w:keepLines/>
              <w:suppressLineNumbers w:val="0"/>
              <w:spacing w:before="0" w:beforeAutospacing="0" w:after="0" w:afterAutospacing="0" w:line="400" w:lineRule="exact"/>
              <w:ind w:left="0" w:right="0"/>
              <w:jc w:val="center"/>
              <w:outlineLvl w:val="9"/>
              <w:rPr>
                <w:rFonts w:hint="eastAsia" w:ascii="宋体" w:hAnsi="宋体" w:eastAsia="宋体" w:cs="宋体"/>
                <w:color w:val="auto"/>
                <w:kern w:val="0"/>
                <w:sz w:val="18"/>
                <w:szCs w:val="18"/>
                <w:highlight w:val="none"/>
              </w:rPr>
            </w:pPr>
          </w:p>
        </w:tc>
      </w:tr>
    </w:tbl>
    <w:p w14:paraId="4C5299A5">
      <w:pPr>
        <w:spacing w:line="360" w:lineRule="auto"/>
        <w:rPr>
          <w:rFonts w:ascii="宋体" w:hAnsi="宋体" w:eastAsia="宋体" w:cs="宋体"/>
          <w:color w:val="auto"/>
          <w:szCs w:val="21"/>
          <w:highlight w:val="none"/>
        </w:rPr>
      </w:pPr>
    </w:p>
    <w:p w14:paraId="32F447BA">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备注：</w:t>
      </w:r>
    </w:p>
    <w:p w14:paraId="688D0B4B">
      <w:pPr>
        <w:spacing w:line="360" w:lineRule="auto"/>
        <w:ind w:left="605" w:leftChars="18" w:hanging="567" w:hangingChars="270"/>
        <w:rPr>
          <w:rFonts w:ascii="宋体" w:hAnsi="宋体" w:eastAsia="宋体" w:cs="宋体"/>
          <w:color w:val="auto"/>
          <w:szCs w:val="21"/>
          <w:highlight w:val="none"/>
          <w:u w:val="single"/>
        </w:rPr>
      </w:pPr>
      <w:r>
        <w:rPr>
          <w:rFonts w:hint="eastAsia" w:ascii="宋体" w:hAnsi="宋体" w:eastAsia="宋体" w:cs="宋体"/>
          <w:color w:val="auto"/>
          <w:szCs w:val="21"/>
          <w:highlight w:val="none"/>
        </w:rPr>
        <w:t>（1）</w:t>
      </w:r>
      <w:r>
        <w:rPr>
          <w:rFonts w:hint="eastAsia" w:ascii="宋体" w:hAnsi="宋体" w:eastAsia="宋体" w:cs="宋体"/>
          <w:b/>
          <w:color w:val="auto"/>
          <w:szCs w:val="21"/>
          <w:highlight w:val="none"/>
          <w:u w:val="single"/>
        </w:rPr>
        <w:t>投标人应对照招标文件用户需求书的响应，逐条逐项、如实地填写“偏离情况”，</w:t>
      </w:r>
      <w:r>
        <w:rPr>
          <w:rFonts w:hint="eastAsia" w:ascii="宋体" w:hAnsi="宋体" w:eastAsia="宋体" w:cs="Times New Roman"/>
          <w:b/>
          <w:color w:val="auto"/>
          <w:kern w:val="0"/>
          <w:szCs w:val="21"/>
          <w:highlight w:val="none"/>
          <w:u w:val="single"/>
        </w:rPr>
        <w:t>若发现未填写本表，或虚假填写本表，或伪造、变造证明材料的，按无效投标文件处理</w:t>
      </w:r>
      <w:r>
        <w:rPr>
          <w:rFonts w:hint="eastAsia" w:ascii="宋体" w:hAnsi="宋体" w:eastAsia="宋体" w:cs="宋体"/>
          <w:b/>
          <w:color w:val="auto"/>
          <w:szCs w:val="21"/>
          <w:highlight w:val="none"/>
          <w:u w:val="single"/>
        </w:rPr>
        <w:t>。若招标文件用户需求书中有“★”条款须逐条逐项、如实地填写“偏离情况”，未填写“★”条款以外的条款的，视为完全满足招标文件要求。</w:t>
      </w:r>
    </w:p>
    <w:p w14:paraId="1A0FADAA">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14:paraId="589C0230">
      <w:pPr>
        <w:spacing w:line="360" w:lineRule="auto"/>
        <w:ind w:left="607" w:leftChars="18" w:hanging="569" w:hangingChars="270"/>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（3）</w:t>
      </w:r>
      <w:r>
        <w:rPr>
          <w:rFonts w:hint="eastAsia" w:ascii="宋体" w:hAnsi="宋体" w:eastAsia="宋体" w:cs="Times New Roman"/>
          <w:b/>
          <w:color w:val="auto"/>
          <w:kern w:val="0"/>
          <w:szCs w:val="21"/>
          <w:highlight w:val="none"/>
          <w:u w:val="single"/>
        </w:rPr>
        <w:t>应逐条</w:t>
      </w:r>
      <w:r>
        <w:rPr>
          <w:rFonts w:hint="eastAsia" w:ascii="宋体" w:hAnsi="宋体" w:eastAsia="宋体" w:cs="宋体"/>
          <w:b/>
          <w:color w:val="auto"/>
          <w:szCs w:val="21"/>
          <w:highlight w:val="none"/>
          <w:u w:val="single"/>
        </w:rPr>
        <w:t>逐项</w:t>
      </w:r>
      <w:r>
        <w:rPr>
          <w:rFonts w:hint="eastAsia" w:ascii="宋体" w:hAnsi="宋体" w:eastAsia="宋体" w:cs="Times New Roman"/>
          <w:b/>
          <w:color w:val="auto"/>
          <w:kern w:val="0"/>
          <w:szCs w:val="21"/>
          <w:highlight w:val="none"/>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投标货物技术参数、性能、功能的技术支持资料作为本表的附件，并在本偏离表“对应证明材料页码”项内注明其在投标文件中的具体页码。</w:t>
      </w:r>
    </w:p>
    <w:p w14:paraId="5AF588A4">
      <w:pPr>
        <w:spacing w:line="360" w:lineRule="auto"/>
        <w:ind w:left="607" w:leftChars="18" w:hanging="569" w:hangingChars="270"/>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（4）</w:t>
      </w:r>
      <w:r>
        <w:rPr>
          <w:rFonts w:ascii="宋体" w:hAnsi="宋体" w:eastAsia="宋体" w:cs="Times New Roman"/>
          <w:b/>
          <w:color w:val="auto"/>
          <w:kern w:val="0"/>
          <w:szCs w:val="21"/>
          <w:highlight w:val="none"/>
          <w:u w:val="single"/>
        </w:rPr>
        <w:t>凡标有“</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”的地方均被视为重要的技术指标要求或性能要求。投标</w:t>
      </w:r>
      <w:r>
        <w:rPr>
          <w:rFonts w:hint="eastAsia" w:ascii="宋体" w:hAnsi="宋体" w:eastAsia="宋体" w:cs="Times New Roman"/>
          <w:b/>
          <w:color w:val="auto"/>
          <w:kern w:val="0"/>
          <w:szCs w:val="21"/>
          <w:highlight w:val="none"/>
          <w:u w:val="single"/>
        </w:rPr>
        <w:t>人</w:t>
      </w:r>
      <w:r>
        <w:rPr>
          <w:rFonts w:ascii="宋体" w:hAnsi="宋体" w:eastAsia="宋体" w:cs="Times New Roman"/>
          <w:b/>
          <w:color w:val="auto"/>
          <w:kern w:val="0"/>
          <w:szCs w:val="21"/>
          <w:highlight w:val="none"/>
          <w:u w:val="single"/>
        </w:rPr>
        <w:t>要特别加以注意，必须对此回答并完全满足这些要求</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否则若有一项带“</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”的指标未响应或不满足，将按</w:t>
      </w:r>
      <w:r>
        <w:rPr>
          <w:rFonts w:hint="eastAsia" w:ascii="宋体" w:hAnsi="宋体" w:eastAsia="宋体" w:cs="Times New Roman"/>
          <w:b/>
          <w:color w:val="auto"/>
          <w:kern w:val="0"/>
          <w:szCs w:val="21"/>
          <w:highlight w:val="none"/>
          <w:u w:val="single"/>
        </w:rPr>
        <w:t>无效投标</w:t>
      </w:r>
      <w:r>
        <w:rPr>
          <w:rFonts w:ascii="宋体" w:hAnsi="宋体" w:eastAsia="宋体" w:cs="Times New Roman"/>
          <w:b/>
          <w:color w:val="auto"/>
          <w:kern w:val="0"/>
          <w:szCs w:val="21"/>
          <w:highlight w:val="none"/>
          <w:u w:val="single"/>
        </w:rPr>
        <w:t>处理</w:t>
      </w:r>
      <w:r>
        <w:rPr>
          <w:rFonts w:ascii="宋体" w:hAnsi="宋体" w:eastAsia="宋体" w:cs="Times New Roman"/>
          <w:b/>
          <w:color w:val="auto"/>
          <w:kern w:val="0"/>
          <w:sz w:val="24"/>
          <w:szCs w:val="21"/>
          <w:highlight w:val="none"/>
          <w:u w:val="single"/>
          <w:lang w:val="zh-CN"/>
        </w:rPr>
        <w:t>。</w:t>
      </w:r>
    </w:p>
    <w:p w14:paraId="13AD06C4">
      <w:pPr>
        <w:spacing w:line="360" w:lineRule="auto"/>
        <w:rPr>
          <w:rFonts w:ascii="宋体" w:hAnsi="宋体" w:eastAsia="宋体" w:cs="宋体"/>
          <w:color w:val="auto"/>
          <w:szCs w:val="21"/>
          <w:highlight w:val="none"/>
        </w:rPr>
      </w:pPr>
    </w:p>
    <w:p w14:paraId="48E5F128">
      <w:pPr>
        <w:autoSpaceDE w:val="0"/>
        <w:autoSpaceDN w:val="0"/>
        <w:adjustRightIn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投标人：（</w:t>
      </w:r>
      <w:r>
        <w:rPr>
          <w:rFonts w:hint="eastAsia" w:ascii="宋体" w:hAnsi="宋体" w:eastAsia="宋体" w:cs="宋体"/>
          <w:color w:val="auto"/>
          <w:szCs w:val="21"/>
          <w:highlight w:val="none"/>
          <w:lang w:val="zh-CN"/>
        </w:rPr>
        <w:t>加盖投标人法人公章</w:t>
      </w:r>
      <w:r>
        <w:rPr>
          <w:rFonts w:hint="eastAsia" w:ascii="宋体" w:hAnsi="宋体" w:eastAsia="宋体" w:cs="宋体"/>
          <w:color w:val="auto"/>
          <w:kern w:val="0"/>
          <w:szCs w:val="21"/>
          <w:highlight w:val="none"/>
        </w:rPr>
        <w:t>）</w:t>
      </w:r>
    </w:p>
    <w:p w14:paraId="76073AA9">
      <w:pPr>
        <w:autoSpaceDE w:val="0"/>
        <w:autoSpaceDN w:val="0"/>
        <w:adjustRightInd w:val="0"/>
        <w:ind w:left="15" w:leftChars="-50" w:hanging="12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日  期：   年  月  日</w:t>
      </w:r>
    </w:p>
    <w:p w14:paraId="29BBEEF9">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lang w:val="zh-CN"/>
        </w:rPr>
      </w:pPr>
      <w:r>
        <w:rPr>
          <w:rFonts w:hint="eastAsia" w:ascii="宋体" w:hAnsi="宋体" w:eastAsia="宋体" w:cs="宋体"/>
          <w:b/>
          <w:color w:val="auto"/>
          <w:kern w:val="0"/>
          <w:sz w:val="30"/>
          <w:szCs w:val="30"/>
          <w:highlight w:val="none"/>
        </w:rPr>
        <w:br w:type="page"/>
      </w:r>
      <w:bookmarkStart w:id="818" w:name="_Toc31571"/>
      <w:bookmarkStart w:id="819" w:name="_Toc22884"/>
      <w:bookmarkStart w:id="820" w:name="_Toc102860438"/>
      <w:bookmarkStart w:id="821" w:name="_Toc102860094"/>
      <w:bookmarkStart w:id="822" w:name="_Toc142508389"/>
      <w:bookmarkStart w:id="823" w:name="_Toc104991896"/>
      <w:bookmarkStart w:id="824" w:name="_Toc140596949"/>
      <w:bookmarkStart w:id="825" w:name="_Toc533708139"/>
      <w:r>
        <w:rPr>
          <w:rFonts w:hint="eastAsia" w:ascii="宋体" w:hAnsi="宋体" w:eastAsia="宋体" w:cs="宋体"/>
          <w:b/>
          <w:color w:val="auto"/>
          <w:kern w:val="0"/>
          <w:sz w:val="30"/>
          <w:szCs w:val="30"/>
          <w:highlight w:val="none"/>
          <w:lang w:val="en-US" w:eastAsia="zh-CN"/>
        </w:rPr>
        <w:t xml:space="preserve">14.2 </w:t>
      </w:r>
      <w:bookmarkStart w:id="826" w:name="_Toc78709794"/>
      <w:bookmarkStart w:id="827" w:name="_Toc12490"/>
      <w:r>
        <w:rPr>
          <w:rFonts w:hint="eastAsia" w:ascii="宋体" w:hAnsi="宋体" w:eastAsia="宋体" w:cs="宋体"/>
          <w:b/>
          <w:color w:val="auto"/>
          <w:kern w:val="0"/>
          <w:sz w:val="30"/>
          <w:szCs w:val="30"/>
          <w:highlight w:val="none"/>
          <w:lang w:val="zh-CN"/>
        </w:rPr>
        <w:t>投标产品技术指标承诺书格式</w:t>
      </w:r>
      <w:bookmarkEnd w:id="818"/>
      <w:bookmarkEnd w:id="819"/>
      <w:bookmarkEnd w:id="826"/>
      <w:bookmarkEnd w:id="827"/>
    </w:p>
    <w:p w14:paraId="5616BD89">
      <w:pPr>
        <w:spacing w:line="360" w:lineRule="auto"/>
        <w:jc w:val="center"/>
        <w:rPr>
          <w:rFonts w:hint="eastAsia" w:ascii="宋体" w:hAnsi="宋体" w:eastAsia="宋体" w:cs="宋体"/>
          <w:b/>
          <w:bCs/>
          <w:color w:val="auto"/>
          <w:kern w:val="2"/>
          <w:sz w:val="30"/>
          <w:szCs w:val="30"/>
          <w:highlight w:val="none"/>
          <w:lang w:val="zh-CN"/>
        </w:rPr>
      </w:pPr>
      <w:r>
        <w:rPr>
          <w:rFonts w:hint="eastAsia" w:ascii="宋体" w:hAnsi="宋体" w:eastAsia="宋体" w:cs="宋体"/>
          <w:b/>
          <w:bCs/>
          <w:color w:val="auto"/>
          <w:kern w:val="2"/>
          <w:sz w:val="32"/>
          <w:szCs w:val="32"/>
          <w:highlight w:val="none"/>
          <w:lang w:val="zh-CN"/>
        </w:rPr>
        <w:t>投标产品</w:t>
      </w:r>
      <w:r>
        <w:rPr>
          <w:rFonts w:hint="eastAsia" w:ascii="宋体" w:hAnsi="宋体" w:eastAsia="宋体" w:cs="宋体"/>
          <w:b/>
          <w:bCs/>
          <w:color w:val="auto"/>
          <w:kern w:val="2"/>
          <w:sz w:val="30"/>
          <w:szCs w:val="30"/>
          <w:highlight w:val="none"/>
          <w:lang w:val="zh-CN"/>
        </w:rPr>
        <w:t>技术指标承诺书</w:t>
      </w:r>
    </w:p>
    <w:p w14:paraId="7E06B528">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致：东莞市水务集团净水有限公司</w:t>
      </w:r>
    </w:p>
    <w:p w14:paraId="22C56D8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我方已详细研究了本项目招标文件</w:t>
      </w:r>
      <w:r>
        <w:rPr>
          <w:rFonts w:hint="eastAsia" w:ascii="宋体" w:hAnsi="宋体" w:eastAsia="宋体" w:cs="宋体"/>
          <w:b/>
          <w:color w:val="auto"/>
          <w:sz w:val="21"/>
          <w:szCs w:val="21"/>
          <w:highlight w:val="none"/>
        </w:rPr>
        <w:t>用户需求书主要技术指标</w:t>
      </w:r>
      <w:r>
        <w:rPr>
          <w:rFonts w:hint="eastAsia" w:ascii="宋体" w:hAnsi="宋体" w:eastAsia="宋体" w:cs="宋体"/>
          <w:color w:val="auto"/>
          <w:sz w:val="21"/>
          <w:szCs w:val="21"/>
          <w:highlight w:val="none"/>
        </w:rPr>
        <w:t>的所有内容包括相关资料及修正文（如有），完全理解并接受上述内容所有条款及要求。</w:t>
      </w:r>
    </w:p>
    <w:p w14:paraId="71EF667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我方承诺在履行合同过程中按本项目招标文件</w:t>
      </w:r>
      <w:r>
        <w:rPr>
          <w:rFonts w:hint="eastAsia" w:ascii="宋体" w:hAnsi="宋体" w:eastAsia="宋体" w:cs="宋体"/>
          <w:b/>
          <w:color w:val="auto"/>
          <w:sz w:val="21"/>
          <w:szCs w:val="21"/>
          <w:highlight w:val="none"/>
        </w:rPr>
        <w:t>用户需求书主要技术指标</w:t>
      </w:r>
      <w:r>
        <w:rPr>
          <w:rFonts w:hint="eastAsia" w:ascii="宋体" w:hAnsi="宋体" w:eastAsia="宋体" w:cs="宋体"/>
          <w:color w:val="auto"/>
          <w:sz w:val="21"/>
          <w:szCs w:val="21"/>
          <w:highlight w:val="none"/>
        </w:rPr>
        <w:t>的所有内容包括相关资料及修正文（如有）的条款和要求提供货物和相关的服务。</w:t>
      </w:r>
    </w:p>
    <w:p w14:paraId="31DAD194">
      <w:pPr>
        <w:snapToGrid w:val="0"/>
        <w:spacing w:line="360" w:lineRule="auto"/>
        <w:ind w:left="399" w:leftChars="-58" w:hanging="521" w:hangingChars="247"/>
        <w:rPr>
          <w:rFonts w:hint="eastAsia" w:ascii="宋体" w:hAnsi="宋体" w:eastAsia="宋体" w:cs="宋体"/>
          <w:b/>
          <w:color w:val="auto"/>
          <w:sz w:val="21"/>
          <w:szCs w:val="21"/>
          <w:highlight w:val="none"/>
        </w:rPr>
      </w:pPr>
    </w:p>
    <w:p w14:paraId="3E29AE1F">
      <w:pPr>
        <w:snapToGrid w:val="0"/>
        <w:spacing w:line="360" w:lineRule="auto"/>
        <w:ind w:left="380" w:hanging="519"/>
        <w:rPr>
          <w:rFonts w:hint="eastAsia" w:ascii="宋体" w:hAnsi="宋体" w:eastAsia="宋体" w:cs="宋体"/>
          <w:b/>
          <w:color w:val="auto"/>
          <w:sz w:val="21"/>
          <w:szCs w:val="21"/>
          <w:highlight w:val="none"/>
        </w:rPr>
      </w:pPr>
    </w:p>
    <w:p w14:paraId="22059FB6">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p w14:paraId="6297FE51">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投标人须提供具有资质的第三方检测机构出具的反映报价产品性能参数（须包含用户需求书表1《液体柠檬酸主要技术指标》所列的指标）的检验报告，报告日期为202</w:t>
      </w:r>
      <w:r>
        <w:rPr>
          <w:rFonts w:hint="eastAsia" w:ascii="宋体" w:hAnsi="宋体" w:eastAsia="宋体" w:cs="宋体"/>
          <w:b/>
          <w:bCs/>
          <w:color w:val="auto"/>
          <w:szCs w:val="21"/>
          <w:highlight w:val="none"/>
          <w:lang w:val="en-US" w:eastAsia="zh-CN"/>
        </w:rPr>
        <w:t>4</w:t>
      </w:r>
      <w:r>
        <w:rPr>
          <w:rFonts w:hint="eastAsia" w:ascii="宋体" w:hAnsi="宋体" w:eastAsia="宋体" w:cs="宋体"/>
          <w:b/>
          <w:bCs/>
          <w:color w:val="auto"/>
          <w:szCs w:val="21"/>
          <w:highlight w:val="none"/>
        </w:rPr>
        <w:t>年</w:t>
      </w:r>
      <w:r>
        <w:rPr>
          <w:rFonts w:hint="eastAsia" w:ascii="宋体" w:hAnsi="宋体" w:eastAsia="宋体" w:cs="宋体"/>
          <w:b/>
          <w:bCs/>
          <w:color w:val="auto"/>
          <w:szCs w:val="21"/>
          <w:highlight w:val="none"/>
          <w:lang w:val="en-US" w:eastAsia="zh-CN"/>
        </w:rPr>
        <w:t>8</w:t>
      </w:r>
      <w:r>
        <w:rPr>
          <w:rFonts w:hint="eastAsia" w:ascii="宋体" w:hAnsi="宋体" w:eastAsia="宋体" w:cs="宋体"/>
          <w:b/>
          <w:bCs/>
          <w:color w:val="auto"/>
          <w:szCs w:val="21"/>
          <w:highlight w:val="none"/>
        </w:rPr>
        <w:t>月1日以后。</w:t>
      </w:r>
    </w:p>
    <w:p w14:paraId="44869796">
      <w:pPr>
        <w:pStyle w:val="21"/>
        <w:spacing w:line="360" w:lineRule="auto"/>
        <w:ind w:firstLine="4200" w:firstLineChars="2000"/>
        <w:rPr>
          <w:rFonts w:hint="eastAsia" w:ascii="宋体" w:hAnsi="宋体" w:eastAsia="宋体" w:cs="宋体"/>
          <w:color w:val="auto"/>
          <w:kern w:val="3"/>
          <w:sz w:val="21"/>
          <w:szCs w:val="21"/>
          <w:highlight w:val="none"/>
        </w:rPr>
      </w:pPr>
    </w:p>
    <w:p w14:paraId="1A76DCF3">
      <w:pPr>
        <w:pStyle w:val="21"/>
        <w:spacing w:line="360" w:lineRule="auto"/>
        <w:ind w:firstLine="4200" w:firstLineChars="2000"/>
        <w:rPr>
          <w:rFonts w:hint="eastAsia" w:ascii="宋体" w:hAnsi="宋体" w:eastAsia="宋体" w:cs="宋体"/>
          <w:color w:val="auto"/>
          <w:sz w:val="21"/>
          <w:szCs w:val="21"/>
          <w:highlight w:val="none"/>
        </w:rPr>
      </w:pPr>
      <w:r>
        <w:rPr>
          <w:rFonts w:hint="eastAsia" w:ascii="宋体" w:hAnsi="宋体" w:eastAsia="宋体" w:cs="宋体"/>
          <w:color w:val="auto"/>
          <w:kern w:val="3"/>
          <w:sz w:val="21"/>
          <w:szCs w:val="21"/>
          <w:highlight w:val="none"/>
        </w:rPr>
        <w:t>投 标 人（加盖投标人法人公章）：</w:t>
      </w:r>
      <w:r>
        <w:rPr>
          <w:rFonts w:hint="eastAsia" w:ascii="宋体" w:hAnsi="宋体" w:eastAsia="宋体" w:cs="宋体"/>
          <w:color w:val="auto"/>
          <w:kern w:val="3"/>
          <w:sz w:val="21"/>
          <w:szCs w:val="21"/>
          <w:highlight w:val="none"/>
          <w:u w:val="single"/>
        </w:rPr>
        <w:t xml:space="preserve">               </w:t>
      </w:r>
    </w:p>
    <w:p w14:paraId="63C21448">
      <w:pPr>
        <w:pStyle w:val="21"/>
        <w:spacing w:line="360" w:lineRule="auto"/>
        <w:ind w:firstLine="4200" w:firstLineChars="20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  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64F03F04">
      <w:pPr>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491F625B">
      <w:pPr>
        <w:pStyle w:val="128"/>
        <w:pageBreakBefore/>
        <w:spacing w:after="120" w:afterLines="50" w:line="360" w:lineRule="auto"/>
        <w:ind w:firstLine="0" w:firstLineChars="0"/>
        <w:jc w:val="both"/>
        <w:outlineLvl w:val="2"/>
        <w:rPr>
          <w:rFonts w:hint="eastAsia" w:ascii="宋体" w:hAnsi="宋体" w:eastAsia="宋体" w:cs="宋体"/>
          <w:b/>
          <w:color w:val="auto"/>
          <w:sz w:val="32"/>
          <w:szCs w:val="32"/>
          <w:highlight w:val="none"/>
        </w:rPr>
      </w:pPr>
      <w:bookmarkStart w:id="828" w:name="_Toc27205"/>
      <w:bookmarkStart w:id="829" w:name="_Toc32746"/>
      <w:bookmarkStart w:id="830" w:name="_Toc78709795"/>
      <w:bookmarkStart w:id="831" w:name="_Toc31140"/>
      <w:r>
        <w:rPr>
          <w:rFonts w:hint="eastAsia" w:ascii="宋体" w:hAnsi="宋体" w:eastAsia="宋体" w:cs="宋体"/>
          <w:b/>
          <w:color w:val="auto"/>
          <w:sz w:val="32"/>
          <w:szCs w:val="32"/>
          <w:highlight w:val="none"/>
        </w:rPr>
        <w:t>1</w:t>
      </w:r>
      <w:r>
        <w:rPr>
          <w:rFonts w:hint="eastAsia" w:ascii="宋体" w:hAnsi="宋体" w:eastAsia="宋体" w:cs="宋体"/>
          <w:b/>
          <w:color w:val="auto"/>
          <w:sz w:val="32"/>
          <w:szCs w:val="32"/>
          <w:highlight w:val="none"/>
          <w:lang w:val="en-US" w:eastAsia="zh-CN"/>
        </w:rPr>
        <w:t>4.3</w:t>
      </w:r>
      <w:r>
        <w:rPr>
          <w:rFonts w:hint="eastAsia" w:ascii="宋体" w:hAnsi="宋体" w:eastAsia="宋体" w:cs="宋体"/>
          <w:b/>
          <w:color w:val="auto"/>
          <w:sz w:val="32"/>
          <w:szCs w:val="32"/>
          <w:highlight w:val="none"/>
        </w:rPr>
        <w:t xml:space="preserve"> 第三方检测机构出具的检验报告复印件（须为202</w:t>
      </w:r>
      <w:r>
        <w:rPr>
          <w:rFonts w:hint="eastAsia" w:ascii="宋体" w:hAnsi="宋体" w:eastAsia="宋体" w:cs="宋体"/>
          <w:b/>
          <w:color w:val="auto"/>
          <w:sz w:val="32"/>
          <w:szCs w:val="32"/>
          <w:highlight w:val="none"/>
          <w:lang w:val="en-US" w:eastAsia="zh-CN"/>
        </w:rPr>
        <w:t>4</w:t>
      </w:r>
      <w:r>
        <w:rPr>
          <w:rFonts w:hint="eastAsia" w:ascii="宋体" w:hAnsi="宋体" w:eastAsia="宋体" w:cs="宋体"/>
          <w:b/>
          <w:color w:val="auto"/>
          <w:sz w:val="32"/>
          <w:szCs w:val="32"/>
          <w:highlight w:val="none"/>
        </w:rPr>
        <w:t>年</w:t>
      </w:r>
      <w:r>
        <w:rPr>
          <w:rFonts w:hint="eastAsia" w:ascii="宋体" w:hAnsi="宋体" w:eastAsia="宋体" w:cs="宋体"/>
          <w:b/>
          <w:color w:val="auto"/>
          <w:sz w:val="32"/>
          <w:szCs w:val="32"/>
          <w:highlight w:val="none"/>
          <w:lang w:val="en-US" w:eastAsia="zh-CN"/>
        </w:rPr>
        <w:t>8</w:t>
      </w:r>
      <w:r>
        <w:rPr>
          <w:rFonts w:hint="eastAsia" w:ascii="宋体" w:hAnsi="宋体" w:eastAsia="宋体" w:cs="宋体"/>
          <w:b/>
          <w:color w:val="auto"/>
          <w:sz w:val="32"/>
          <w:szCs w:val="32"/>
          <w:highlight w:val="none"/>
        </w:rPr>
        <w:t>月1日以后出具的投标产品检验报告）</w:t>
      </w:r>
      <w:bookmarkEnd w:id="828"/>
      <w:bookmarkEnd w:id="829"/>
      <w:bookmarkEnd w:id="830"/>
      <w:bookmarkEnd w:id="831"/>
    </w:p>
    <w:p w14:paraId="3B0F4C13">
      <w:pPr>
        <w:spacing w:line="360" w:lineRule="auto"/>
        <w:ind w:firstLine="422" w:firstLineChars="200"/>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sz w:val="21"/>
          <w:szCs w:val="21"/>
          <w:highlight w:val="none"/>
        </w:rPr>
        <w:t>说明：</w:t>
      </w:r>
      <w:r>
        <w:rPr>
          <w:rFonts w:hint="eastAsia" w:ascii="宋体" w:hAnsi="宋体" w:eastAsia="宋体" w:cs="宋体"/>
          <w:b/>
          <w:bCs/>
          <w:color w:val="auto"/>
          <w:sz w:val="21"/>
          <w:szCs w:val="21"/>
          <w:highlight w:val="none"/>
        </w:rPr>
        <w:t>投标人投标时须提供投标人</w:t>
      </w:r>
      <w:r>
        <w:rPr>
          <w:rFonts w:hint="eastAsia" w:ascii="宋体" w:hAnsi="宋体" w:eastAsia="宋体" w:cs="宋体"/>
          <w:b/>
          <w:bCs/>
          <w:color w:val="auto"/>
          <w:sz w:val="21"/>
          <w:szCs w:val="21"/>
          <w:highlight w:val="none"/>
          <w:lang w:val="en-US" w:eastAsia="zh-CN"/>
        </w:rPr>
        <w:t>或生产厂家</w:t>
      </w:r>
      <w:r>
        <w:rPr>
          <w:rFonts w:hint="eastAsia" w:ascii="宋体" w:hAnsi="宋体" w:eastAsia="宋体" w:cs="宋体"/>
          <w:b/>
          <w:bCs/>
          <w:color w:val="auto"/>
          <w:sz w:val="21"/>
          <w:szCs w:val="21"/>
          <w:highlight w:val="none"/>
        </w:rPr>
        <w:t>委托的反映报价产品性能参数的具有资质的第三方检测机构出具的</w:t>
      </w:r>
      <w:r>
        <w:rPr>
          <w:rFonts w:hint="eastAsia" w:ascii="宋体" w:hAnsi="宋体" w:eastAsia="宋体" w:cs="宋体"/>
          <w:b/>
          <w:bCs/>
          <w:color w:val="auto"/>
          <w:sz w:val="21"/>
          <w:szCs w:val="21"/>
          <w:highlight w:val="none"/>
          <w:lang w:val="en-US" w:eastAsia="zh-CN"/>
        </w:rPr>
        <w:t>符合用户需求书</w:t>
      </w:r>
      <w:r>
        <w:rPr>
          <w:rFonts w:hint="eastAsia" w:ascii="宋体" w:hAnsi="宋体" w:eastAsia="宋体" w:cs="宋体"/>
          <w:b/>
          <w:color w:val="auto"/>
          <w:sz w:val="21"/>
          <w:szCs w:val="21"/>
          <w:highlight w:val="none"/>
        </w:rPr>
        <w:t>表1《</w:t>
      </w:r>
      <w:r>
        <w:rPr>
          <w:rFonts w:hint="eastAsia" w:ascii="宋体" w:hAnsi="宋体" w:eastAsia="宋体" w:cs="宋体"/>
          <w:b/>
          <w:color w:val="auto"/>
          <w:sz w:val="21"/>
          <w:szCs w:val="21"/>
          <w:highlight w:val="none"/>
          <w:lang w:eastAsia="zh-CN"/>
        </w:rPr>
        <w:t>液体柠檬酸</w:t>
      </w:r>
      <w:r>
        <w:rPr>
          <w:rFonts w:hint="eastAsia" w:ascii="宋体" w:hAnsi="宋体" w:eastAsia="宋体" w:cs="宋体"/>
          <w:b/>
          <w:color w:val="auto"/>
          <w:sz w:val="21"/>
          <w:szCs w:val="21"/>
          <w:highlight w:val="none"/>
        </w:rPr>
        <w:t>主要技术指标》</w:t>
      </w:r>
      <w:r>
        <w:rPr>
          <w:rFonts w:hint="eastAsia" w:ascii="宋体" w:hAnsi="宋体" w:eastAsia="宋体" w:cs="宋体"/>
          <w:b/>
          <w:color w:val="auto"/>
          <w:sz w:val="21"/>
          <w:szCs w:val="21"/>
          <w:highlight w:val="none"/>
          <w:lang w:val="en-US" w:eastAsia="zh-CN"/>
        </w:rPr>
        <w:t>要求的</w:t>
      </w:r>
      <w:r>
        <w:rPr>
          <w:rFonts w:hint="eastAsia" w:ascii="宋体" w:hAnsi="宋体" w:eastAsia="宋体" w:cs="宋体"/>
          <w:b/>
          <w:bCs/>
          <w:color w:val="auto"/>
          <w:sz w:val="21"/>
          <w:szCs w:val="21"/>
          <w:highlight w:val="none"/>
        </w:rPr>
        <w:t>检验报告，报告日期为202</w:t>
      </w: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年</w:t>
      </w:r>
      <w:r>
        <w:rPr>
          <w:rFonts w:hint="eastAsia" w:ascii="宋体" w:hAnsi="宋体" w:eastAsia="宋体" w:cs="宋体"/>
          <w:b/>
          <w:bCs/>
          <w:color w:val="auto"/>
          <w:sz w:val="21"/>
          <w:szCs w:val="21"/>
          <w:highlight w:val="none"/>
          <w:lang w:val="en-US" w:eastAsia="zh-CN"/>
        </w:rPr>
        <w:t>8</w:t>
      </w:r>
      <w:r>
        <w:rPr>
          <w:rFonts w:hint="eastAsia" w:ascii="宋体" w:hAnsi="宋体" w:eastAsia="宋体" w:cs="宋体"/>
          <w:b/>
          <w:bCs/>
          <w:color w:val="auto"/>
          <w:sz w:val="21"/>
          <w:szCs w:val="21"/>
          <w:highlight w:val="none"/>
        </w:rPr>
        <w:t>月1日以后，检验报告中检</w:t>
      </w:r>
      <w:r>
        <w:rPr>
          <w:rFonts w:hint="eastAsia" w:ascii="宋体" w:hAnsi="宋体" w:eastAsia="宋体" w:cs="宋体"/>
          <w:b/>
          <w:bCs/>
          <w:color w:val="auto"/>
          <w:sz w:val="21"/>
          <w:szCs w:val="21"/>
          <w:highlight w:val="none"/>
          <w:lang w:val="en-US" w:eastAsia="zh-CN"/>
        </w:rPr>
        <w:t>验</w:t>
      </w:r>
      <w:r>
        <w:rPr>
          <w:rFonts w:hint="eastAsia" w:ascii="宋体" w:hAnsi="宋体" w:eastAsia="宋体" w:cs="宋体"/>
          <w:b/>
          <w:bCs/>
          <w:color w:val="auto"/>
          <w:sz w:val="21"/>
          <w:szCs w:val="21"/>
          <w:highlight w:val="none"/>
        </w:rPr>
        <w:t>指标</w:t>
      </w:r>
      <w:r>
        <w:rPr>
          <w:rFonts w:hint="eastAsia" w:ascii="宋体" w:hAnsi="宋体" w:eastAsia="宋体" w:cs="宋体"/>
          <w:b/>
          <w:bCs/>
          <w:color w:val="auto"/>
          <w:sz w:val="21"/>
          <w:szCs w:val="21"/>
          <w:highlight w:val="none"/>
          <w:lang w:val="en-US" w:eastAsia="zh-CN"/>
        </w:rPr>
        <w:t>为用户需求书</w:t>
      </w:r>
      <w:r>
        <w:rPr>
          <w:rFonts w:hint="eastAsia" w:ascii="宋体" w:hAnsi="宋体" w:eastAsia="宋体" w:cs="宋体"/>
          <w:b/>
          <w:bCs/>
          <w:color w:val="auto"/>
          <w:sz w:val="21"/>
          <w:szCs w:val="21"/>
          <w:highlight w:val="none"/>
        </w:rPr>
        <w:t>表1《</w:t>
      </w:r>
      <w:r>
        <w:rPr>
          <w:rFonts w:hint="eastAsia" w:ascii="宋体" w:hAnsi="宋体" w:eastAsia="宋体" w:cs="宋体"/>
          <w:b/>
          <w:bCs/>
          <w:color w:val="auto"/>
          <w:sz w:val="21"/>
          <w:szCs w:val="21"/>
          <w:highlight w:val="none"/>
          <w:lang w:eastAsia="zh-CN"/>
        </w:rPr>
        <w:t>液体柠檬酸</w:t>
      </w:r>
      <w:r>
        <w:rPr>
          <w:rFonts w:hint="eastAsia" w:ascii="宋体" w:hAnsi="宋体" w:eastAsia="宋体" w:cs="宋体"/>
          <w:b/>
          <w:bCs/>
          <w:color w:val="auto"/>
          <w:sz w:val="21"/>
          <w:szCs w:val="21"/>
          <w:highlight w:val="none"/>
        </w:rPr>
        <w:t>主要技术指标》中各指标</w:t>
      </w:r>
      <w:r>
        <w:rPr>
          <w:rFonts w:hint="eastAsia" w:ascii="宋体" w:hAnsi="宋体" w:eastAsia="宋体" w:cs="宋体"/>
          <w:b/>
          <w:bCs/>
          <w:color w:val="auto"/>
          <w:sz w:val="21"/>
          <w:szCs w:val="21"/>
          <w:highlight w:val="none"/>
          <w:lang w:val="en-US" w:eastAsia="zh-CN"/>
        </w:rPr>
        <w:t>项目</w:t>
      </w:r>
      <w:r>
        <w:rPr>
          <w:rFonts w:hint="eastAsia" w:ascii="宋体" w:hAnsi="宋体" w:eastAsia="宋体" w:cs="宋体"/>
          <w:b/>
          <w:bCs/>
          <w:color w:val="auto"/>
          <w:sz w:val="21"/>
          <w:szCs w:val="21"/>
          <w:highlight w:val="none"/>
        </w:rPr>
        <w:t>，检验报告使用的检测方法需符合《柠檬酸》（GB/T 8269-2006）</w:t>
      </w:r>
      <w:r>
        <w:rPr>
          <w:rFonts w:hint="eastAsia" w:ascii="宋体" w:hAnsi="宋体" w:eastAsia="宋体" w:cs="宋体"/>
          <w:b/>
          <w:bCs/>
          <w:color w:val="auto"/>
          <w:sz w:val="21"/>
          <w:szCs w:val="21"/>
          <w:highlight w:val="none"/>
          <w:lang w:val="en-US" w:eastAsia="zh-CN"/>
        </w:rPr>
        <w:t>或《</w:t>
      </w:r>
      <w:r>
        <w:rPr>
          <w:rFonts w:hint="eastAsia" w:ascii="宋体" w:hAnsi="宋体" w:eastAsia="宋体" w:cs="宋体"/>
          <w:b/>
          <w:bCs/>
          <w:color w:val="auto"/>
          <w:szCs w:val="21"/>
          <w:highlight w:val="none"/>
        </w:rPr>
        <w:t>化学试剂 一水合柠檬酸（柠檬酸）</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szCs w:val="21"/>
          <w:highlight w:val="none"/>
        </w:rPr>
        <w:t xml:space="preserve">GB∕T 9855-2008 </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color w:val="auto"/>
          <w:sz w:val="21"/>
          <w:szCs w:val="21"/>
          <w:highlight w:val="none"/>
          <w:lang w:eastAsia="zh-CN"/>
        </w:rPr>
        <w:t>。</w:t>
      </w:r>
      <w:r>
        <w:rPr>
          <w:rFonts w:hint="eastAsia" w:ascii="宋体" w:hAnsi="宋体" w:eastAsia="宋体" w:cs="宋体"/>
          <w:b/>
          <w:color w:val="auto"/>
          <w:kern w:val="0"/>
          <w:sz w:val="30"/>
          <w:szCs w:val="30"/>
          <w:highlight w:val="none"/>
          <w:lang w:val="en-US" w:eastAsia="zh-CN"/>
        </w:rPr>
        <w:br w:type="page"/>
      </w:r>
    </w:p>
    <w:p w14:paraId="5815EDAC">
      <w:pPr>
        <w:autoSpaceDE w:val="0"/>
        <w:autoSpaceDN w:val="0"/>
        <w:adjustRightInd w:val="0"/>
        <w:spacing w:line="360" w:lineRule="auto"/>
        <w:jc w:val="left"/>
        <w:outlineLvl w:val="2"/>
        <w:rPr>
          <w:rFonts w:hint="eastAsia" w:ascii="宋体" w:hAnsi="宋体" w:eastAsia="宋体" w:cs="宋体"/>
          <w:b/>
          <w:color w:val="auto"/>
          <w:kern w:val="0"/>
          <w:sz w:val="30"/>
          <w:szCs w:val="30"/>
          <w:highlight w:val="none"/>
          <w:lang w:val="en-US" w:eastAsia="zh-CN"/>
        </w:rPr>
      </w:pPr>
      <w:bookmarkStart w:id="832" w:name="_Toc8467"/>
      <w:bookmarkStart w:id="833" w:name="_Toc18661"/>
      <w:bookmarkStart w:id="834" w:name="_Toc1222"/>
      <w:bookmarkStart w:id="835" w:name="_Toc770"/>
      <w:r>
        <w:rPr>
          <w:rFonts w:hint="eastAsia" w:ascii="宋体" w:hAnsi="宋体" w:eastAsia="宋体" w:cs="宋体"/>
          <w:b/>
          <w:color w:val="auto"/>
          <w:kern w:val="0"/>
          <w:sz w:val="30"/>
          <w:szCs w:val="30"/>
          <w:highlight w:val="none"/>
          <w:lang w:val="en-US" w:eastAsia="zh-CN"/>
        </w:rPr>
        <w:t xml:space="preserve">14.4 </w:t>
      </w:r>
      <w:r>
        <w:rPr>
          <w:rFonts w:hint="eastAsia" w:ascii="宋体" w:hAnsi="宋体" w:eastAsia="宋体" w:cs="宋体"/>
          <w:b/>
          <w:color w:val="auto"/>
          <w:sz w:val="32"/>
          <w:szCs w:val="32"/>
          <w:highlight w:val="none"/>
          <w:lang w:val="en-US" w:eastAsia="zh-CN"/>
        </w:rPr>
        <w:t>生产工艺</w:t>
      </w:r>
      <w:r>
        <w:rPr>
          <w:rFonts w:hint="eastAsia" w:ascii="宋体" w:hAnsi="宋体" w:eastAsia="宋体" w:cs="宋体"/>
          <w:b/>
          <w:color w:val="auto"/>
          <w:sz w:val="32"/>
          <w:szCs w:val="32"/>
          <w:highlight w:val="none"/>
        </w:rPr>
        <w:t>（投标人自行编写，其中应包含生产工艺流程图）</w:t>
      </w:r>
      <w:bookmarkEnd w:id="832"/>
      <w:bookmarkEnd w:id="833"/>
    </w:p>
    <w:p w14:paraId="453E7943">
      <w:pPr>
        <w:pageBreakBefore/>
        <w:autoSpaceDE w:val="0"/>
        <w:autoSpaceDN w:val="0"/>
        <w:adjustRightInd w:val="0"/>
        <w:spacing w:line="360" w:lineRule="auto"/>
        <w:jc w:val="left"/>
        <w:outlineLvl w:val="2"/>
        <w:rPr>
          <w:rFonts w:hint="eastAsia" w:ascii="宋体" w:hAnsi="宋体" w:eastAsia="宋体" w:cs="宋体"/>
          <w:b/>
          <w:color w:val="auto"/>
          <w:sz w:val="32"/>
          <w:szCs w:val="32"/>
          <w:highlight w:val="none"/>
        </w:rPr>
      </w:pPr>
      <w:bookmarkStart w:id="836" w:name="_Toc5202"/>
      <w:bookmarkStart w:id="837" w:name="_Toc17834"/>
      <w:r>
        <w:rPr>
          <w:rFonts w:hint="eastAsia" w:ascii="宋体" w:hAnsi="宋体" w:eastAsia="宋体" w:cs="宋体"/>
          <w:b/>
          <w:color w:val="auto"/>
          <w:kern w:val="0"/>
          <w:sz w:val="30"/>
          <w:szCs w:val="30"/>
          <w:highlight w:val="none"/>
          <w:lang w:val="en-US" w:eastAsia="zh-CN"/>
        </w:rPr>
        <w:t xml:space="preserve">14.5 </w:t>
      </w:r>
      <w:r>
        <w:rPr>
          <w:rFonts w:hint="eastAsia" w:ascii="宋体" w:hAnsi="宋体" w:eastAsia="宋体" w:cs="宋体"/>
          <w:b/>
          <w:color w:val="auto"/>
          <w:sz w:val="32"/>
          <w:szCs w:val="32"/>
          <w:highlight w:val="none"/>
        </w:rPr>
        <w:t>生产供货保障能力（投标人自行编写）</w:t>
      </w:r>
      <w:bookmarkEnd w:id="836"/>
      <w:bookmarkEnd w:id="837"/>
    </w:p>
    <w:p w14:paraId="14AB6AFB">
      <w:pPr>
        <w:pageBreakBefore/>
        <w:autoSpaceDE w:val="0"/>
        <w:autoSpaceDN w:val="0"/>
        <w:adjustRightInd w:val="0"/>
        <w:spacing w:line="360" w:lineRule="auto"/>
        <w:jc w:val="left"/>
        <w:outlineLvl w:val="2"/>
        <w:rPr>
          <w:rFonts w:hint="eastAsia" w:ascii="宋体" w:hAnsi="宋体" w:eastAsia="宋体" w:cs="宋体"/>
          <w:b/>
          <w:color w:val="auto"/>
          <w:sz w:val="32"/>
          <w:szCs w:val="32"/>
          <w:highlight w:val="none"/>
        </w:rPr>
      </w:pPr>
      <w:bookmarkStart w:id="838" w:name="_Toc1762"/>
      <w:bookmarkStart w:id="839" w:name="_Toc27375"/>
      <w:r>
        <w:rPr>
          <w:rFonts w:hint="eastAsia" w:ascii="宋体" w:hAnsi="宋体" w:eastAsia="宋体" w:cs="宋体"/>
          <w:b/>
          <w:color w:val="auto"/>
          <w:sz w:val="32"/>
          <w:szCs w:val="32"/>
          <w:highlight w:val="none"/>
          <w:lang w:val="en-US" w:eastAsia="zh-CN"/>
        </w:rPr>
        <w:t xml:space="preserve">14.6 </w:t>
      </w:r>
      <w:r>
        <w:rPr>
          <w:rFonts w:hint="eastAsia" w:ascii="宋体" w:hAnsi="宋体" w:eastAsia="宋体" w:cs="宋体"/>
          <w:b/>
          <w:color w:val="auto"/>
          <w:sz w:val="32"/>
          <w:szCs w:val="32"/>
          <w:highlight w:val="none"/>
        </w:rPr>
        <w:t>质量保证体系和措施（投标人自行编写）</w:t>
      </w:r>
      <w:bookmarkEnd w:id="838"/>
      <w:bookmarkEnd w:id="839"/>
    </w:p>
    <w:p w14:paraId="6868889D">
      <w:pPr>
        <w:pageBreakBefore/>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840" w:name="_Toc29464"/>
      <w:bookmarkStart w:id="841" w:name="_Toc20249"/>
      <w:r>
        <w:rPr>
          <w:rFonts w:hint="eastAsia" w:ascii="宋体" w:hAnsi="宋体" w:eastAsia="宋体" w:cs="宋体"/>
          <w:b/>
          <w:color w:val="auto"/>
          <w:sz w:val="32"/>
          <w:szCs w:val="32"/>
          <w:highlight w:val="none"/>
          <w:lang w:val="en-US" w:eastAsia="zh-CN"/>
        </w:rPr>
        <w:t xml:space="preserve">14.7 </w:t>
      </w:r>
      <w:r>
        <w:rPr>
          <w:rFonts w:hint="eastAsia" w:ascii="宋体" w:hAnsi="宋体" w:eastAsia="宋体" w:cs="宋体"/>
          <w:b/>
          <w:color w:val="auto"/>
          <w:kern w:val="0"/>
          <w:sz w:val="30"/>
          <w:szCs w:val="30"/>
          <w:highlight w:val="none"/>
        </w:rPr>
        <w:t>投标人认为有必要提供的其它材料（不做强制要求）</w:t>
      </w:r>
      <w:bookmarkEnd w:id="820"/>
      <w:bookmarkEnd w:id="821"/>
      <w:bookmarkEnd w:id="822"/>
      <w:bookmarkEnd w:id="823"/>
      <w:bookmarkEnd w:id="824"/>
      <w:bookmarkEnd w:id="834"/>
      <w:bookmarkEnd w:id="835"/>
      <w:bookmarkEnd w:id="840"/>
      <w:bookmarkEnd w:id="841"/>
    </w:p>
    <w:p w14:paraId="66E7EDCA">
      <w:pPr>
        <w:autoSpaceDE w:val="0"/>
        <w:autoSpaceDN w:val="0"/>
        <w:adjustRightInd w:val="0"/>
        <w:jc w:val="left"/>
        <w:rPr>
          <w:rFonts w:ascii="宋体" w:hAnsi="宋体" w:eastAsia="宋体" w:cs="Times New Roman"/>
          <w:color w:val="auto"/>
          <w:kern w:val="0"/>
          <w:sz w:val="24"/>
          <w:szCs w:val="24"/>
          <w:highlight w:val="none"/>
        </w:rPr>
      </w:pPr>
    </w:p>
    <w:p w14:paraId="61433D7F">
      <w:pPr>
        <w:autoSpaceDE w:val="0"/>
        <w:autoSpaceDN w:val="0"/>
        <w:adjustRightInd w:val="0"/>
        <w:jc w:val="left"/>
        <w:rPr>
          <w:rFonts w:ascii="宋体" w:hAnsi="宋体" w:eastAsia="宋体" w:cs="Times New Roman"/>
          <w:color w:val="auto"/>
          <w:kern w:val="0"/>
          <w:sz w:val="24"/>
          <w:szCs w:val="24"/>
          <w:highlight w:val="none"/>
        </w:rPr>
      </w:pPr>
    </w:p>
    <w:p w14:paraId="563520AF">
      <w:pPr>
        <w:autoSpaceDE w:val="0"/>
        <w:autoSpaceDN w:val="0"/>
        <w:adjustRightInd w:val="0"/>
        <w:jc w:val="left"/>
        <w:rPr>
          <w:rFonts w:ascii="宋体" w:hAnsi="宋体" w:eastAsia="宋体" w:cs="Times New Roman"/>
          <w:color w:val="auto"/>
          <w:kern w:val="0"/>
          <w:sz w:val="24"/>
          <w:szCs w:val="24"/>
          <w:highlight w:val="none"/>
        </w:rPr>
      </w:pPr>
    </w:p>
    <w:p w14:paraId="23A038E7">
      <w:pPr>
        <w:autoSpaceDE w:val="0"/>
        <w:autoSpaceDN w:val="0"/>
        <w:adjustRightInd w:val="0"/>
        <w:jc w:val="left"/>
        <w:rPr>
          <w:rFonts w:ascii="宋体" w:hAnsi="宋体" w:eastAsia="宋体" w:cs="Times New Roman"/>
          <w:color w:val="auto"/>
          <w:kern w:val="0"/>
          <w:sz w:val="24"/>
          <w:szCs w:val="24"/>
          <w:highlight w:val="none"/>
        </w:rPr>
      </w:pPr>
    </w:p>
    <w:p w14:paraId="085930BF">
      <w:pPr>
        <w:autoSpaceDE w:val="0"/>
        <w:autoSpaceDN w:val="0"/>
        <w:adjustRightInd w:val="0"/>
        <w:jc w:val="left"/>
        <w:rPr>
          <w:rFonts w:ascii="宋体" w:hAnsi="宋体" w:eastAsia="宋体" w:cs="Times New Roman"/>
          <w:color w:val="auto"/>
          <w:kern w:val="0"/>
          <w:sz w:val="24"/>
          <w:szCs w:val="24"/>
          <w:highlight w:val="none"/>
        </w:rPr>
      </w:pPr>
    </w:p>
    <w:p w14:paraId="6F39A783">
      <w:pPr>
        <w:autoSpaceDE w:val="0"/>
        <w:autoSpaceDN w:val="0"/>
        <w:adjustRightInd w:val="0"/>
        <w:jc w:val="left"/>
        <w:rPr>
          <w:rFonts w:ascii="宋体" w:hAnsi="宋体" w:eastAsia="宋体" w:cs="Times New Roman"/>
          <w:color w:val="auto"/>
          <w:kern w:val="0"/>
          <w:sz w:val="24"/>
          <w:szCs w:val="24"/>
          <w:highlight w:val="none"/>
        </w:rPr>
      </w:pPr>
    </w:p>
    <w:p w14:paraId="0C185557">
      <w:pPr>
        <w:widowControl/>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br w:type="page"/>
      </w:r>
    </w:p>
    <w:p w14:paraId="2936C306">
      <w:pPr>
        <w:autoSpaceDE w:val="0"/>
        <w:autoSpaceDN w:val="0"/>
        <w:adjustRightInd w:val="0"/>
        <w:jc w:val="left"/>
        <w:rPr>
          <w:rFonts w:ascii="宋体" w:hAnsi="宋体" w:eastAsia="宋体" w:cs="Times New Roman"/>
          <w:color w:val="auto"/>
          <w:kern w:val="0"/>
          <w:sz w:val="24"/>
          <w:szCs w:val="24"/>
          <w:highlight w:val="none"/>
        </w:rPr>
      </w:pPr>
    </w:p>
    <w:p w14:paraId="01B7CDD1">
      <w:pPr>
        <w:tabs>
          <w:tab w:val="left" w:pos="1080"/>
        </w:tabs>
        <w:autoSpaceDE w:val="0"/>
        <w:autoSpaceDN w:val="0"/>
        <w:adjustRightInd w:val="0"/>
        <w:spacing w:line="360" w:lineRule="auto"/>
        <w:jc w:val="left"/>
        <w:outlineLvl w:val="0"/>
        <w:rPr>
          <w:rFonts w:ascii="宋体" w:hAnsi="宋体" w:eastAsia="宋体" w:cs="宋体"/>
          <w:b/>
          <w:bCs/>
          <w:color w:val="auto"/>
          <w:kern w:val="44"/>
          <w:sz w:val="32"/>
          <w:szCs w:val="32"/>
          <w:highlight w:val="none"/>
          <w:lang w:val="zh-CN"/>
        </w:rPr>
      </w:pPr>
      <w:bookmarkStart w:id="842" w:name="_Toc28845"/>
      <w:bookmarkStart w:id="843" w:name="_Toc29320"/>
      <w:bookmarkStart w:id="844" w:name="_Toc142508390"/>
      <w:bookmarkStart w:id="845" w:name="_Toc1089"/>
      <w:bookmarkStart w:id="846" w:name="_Toc22601_WPSOffice_Level1"/>
      <w:bookmarkStart w:id="847" w:name="_Toc521918141"/>
      <w:bookmarkStart w:id="848" w:name="_Toc522047402"/>
      <w:r>
        <w:rPr>
          <w:rFonts w:hint="eastAsia" w:ascii="宋体" w:hAnsi="宋体" w:eastAsia="宋体" w:cs="宋体"/>
          <w:b/>
          <w:bCs/>
          <w:color w:val="auto"/>
          <w:kern w:val="44"/>
          <w:sz w:val="32"/>
          <w:szCs w:val="32"/>
          <w:highlight w:val="none"/>
          <w:lang w:val="zh-CN"/>
        </w:rPr>
        <w:t>附件一：评标工作大纲</w:t>
      </w:r>
      <w:bookmarkEnd w:id="842"/>
      <w:bookmarkEnd w:id="843"/>
      <w:bookmarkEnd w:id="844"/>
      <w:bookmarkEnd w:id="845"/>
    </w:p>
    <w:p w14:paraId="66D9E5FF">
      <w:pPr>
        <w:autoSpaceDE w:val="0"/>
        <w:autoSpaceDN w:val="0"/>
        <w:adjustRightInd w:val="0"/>
        <w:spacing w:line="400" w:lineRule="atLeast"/>
        <w:jc w:val="center"/>
        <w:rPr>
          <w:rFonts w:ascii="宋体" w:hAnsi="宋体" w:eastAsia="宋体" w:cs="宋体"/>
          <w:b/>
          <w:bCs/>
          <w:color w:val="auto"/>
          <w:szCs w:val="21"/>
          <w:highlight w:val="none"/>
        </w:rPr>
      </w:pPr>
    </w:p>
    <w:p w14:paraId="36FF9256">
      <w:pPr>
        <w:autoSpaceDE w:val="0"/>
        <w:autoSpaceDN w:val="0"/>
        <w:adjustRightInd w:val="0"/>
        <w:spacing w:line="400" w:lineRule="atLeast"/>
        <w:jc w:val="center"/>
        <w:rPr>
          <w:rFonts w:ascii="宋体" w:hAnsi="宋体" w:eastAsia="宋体" w:cs="宋体"/>
          <w:b/>
          <w:bCs/>
          <w:color w:val="auto"/>
          <w:szCs w:val="21"/>
          <w:highlight w:val="none"/>
        </w:rPr>
      </w:pPr>
    </w:p>
    <w:p w14:paraId="6BF8E549">
      <w:pPr>
        <w:autoSpaceDE w:val="0"/>
        <w:autoSpaceDN w:val="0"/>
        <w:adjustRightInd w:val="0"/>
        <w:spacing w:line="400" w:lineRule="atLeast"/>
        <w:jc w:val="center"/>
        <w:rPr>
          <w:rFonts w:ascii="宋体" w:hAnsi="宋体" w:eastAsia="宋体" w:cs="宋体"/>
          <w:b/>
          <w:bCs/>
          <w:color w:val="auto"/>
          <w:szCs w:val="21"/>
          <w:highlight w:val="none"/>
        </w:rPr>
      </w:pPr>
    </w:p>
    <w:p w14:paraId="30465077">
      <w:pPr>
        <w:autoSpaceDE w:val="0"/>
        <w:autoSpaceDN w:val="0"/>
        <w:adjustRightInd w:val="0"/>
        <w:spacing w:line="400" w:lineRule="atLeast"/>
        <w:jc w:val="center"/>
        <w:rPr>
          <w:rFonts w:ascii="宋体" w:hAnsi="宋体" w:eastAsia="宋体" w:cs="宋体"/>
          <w:b/>
          <w:bCs/>
          <w:color w:val="auto"/>
          <w:szCs w:val="21"/>
          <w:highlight w:val="none"/>
        </w:rPr>
      </w:pPr>
    </w:p>
    <w:p w14:paraId="1E6FF633">
      <w:pPr>
        <w:autoSpaceDE w:val="0"/>
        <w:autoSpaceDN w:val="0"/>
        <w:adjustRightInd w:val="0"/>
        <w:spacing w:line="360" w:lineRule="auto"/>
        <w:jc w:val="center"/>
        <w:rPr>
          <w:rFonts w:hint="eastAsia" w:ascii="宋体" w:hAnsi="宋体" w:eastAsia="宋体" w:cs="宋体"/>
          <w:b/>
          <w:bCs/>
          <w:color w:val="auto"/>
          <w:sz w:val="36"/>
          <w:szCs w:val="44"/>
          <w:highlight w:val="none"/>
          <w:lang w:eastAsia="zh-CN"/>
        </w:rPr>
      </w:pPr>
      <w:r>
        <w:rPr>
          <w:rFonts w:hint="eastAsia" w:ascii="宋体" w:hAnsi="宋体" w:eastAsia="宋体" w:cs="宋体"/>
          <w:b/>
          <w:bCs/>
          <w:color w:val="auto"/>
          <w:sz w:val="40"/>
          <w:szCs w:val="36"/>
          <w:highlight w:val="none"/>
          <w:lang w:eastAsia="zh-CN"/>
        </w:rPr>
        <w:t>东莞市水务集团净水有限公司2025年生产药剂液体柠檬酸采购项目（重新招标）</w:t>
      </w:r>
    </w:p>
    <w:p w14:paraId="4798A025">
      <w:pPr>
        <w:autoSpaceDE w:val="0"/>
        <w:autoSpaceDN w:val="0"/>
        <w:adjustRightInd w:val="0"/>
        <w:spacing w:line="360" w:lineRule="auto"/>
        <w:jc w:val="center"/>
        <w:rPr>
          <w:rFonts w:ascii="宋体" w:hAnsi="宋体" w:eastAsia="宋体" w:cs="宋体"/>
          <w:b/>
          <w:bCs/>
          <w:color w:val="auto"/>
          <w:sz w:val="36"/>
          <w:szCs w:val="36"/>
          <w:highlight w:val="none"/>
        </w:rPr>
      </w:pPr>
      <w:bookmarkStart w:id="849" w:name="_Toc14752_WPSOffice_Level1"/>
      <w:r>
        <w:rPr>
          <w:rFonts w:hint="eastAsia" w:ascii="宋体" w:hAnsi="宋体" w:eastAsia="宋体" w:cs="宋体"/>
          <w:b/>
          <w:bCs/>
          <w:color w:val="auto"/>
          <w:sz w:val="36"/>
          <w:szCs w:val="36"/>
          <w:highlight w:val="none"/>
          <w:lang w:val="zh-CN"/>
        </w:rPr>
        <w:t>（招标编号：YDZB24DGQY0194-1）</w:t>
      </w:r>
      <w:bookmarkEnd w:id="849"/>
    </w:p>
    <w:p w14:paraId="3A0D570D">
      <w:pPr>
        <w:autoSpaceDE w:val="0"/>
        <w:autoSpaceDN w:val="0"/>
        <w:adjustRightInd w:val="0"/>
        <w:spacing w:line="400" w:lineRule="atLeast"/>
        <w:jc w:val="center"/>
        <w:rPr>
          <w:rFonts w:ascii="宋体" w:hAnsi="宋体" w:eastAsia="宋体" w:cs="宋体"/>
          <w:b/>
          <w:bCs/>
          <w:color w:val="auto"/>
          <w:sz w:val="36"/>
          <w:szCs w:val="36"/>
          <w:highlight w:val="none"/>
        </w:rPr>
      </w:pPr>
    </w:p>
    <w:p w14:paraId="50D6BE58">
      <w:pPr>
        <w:autoSpaceDE w:val="0"/>
        <w:autoSpaceDN w:val="0"/>
        <w:adjustRightInd w:val="0"/>
        <w:spacing w:line="400" w:lineRule="atLeast"/>
        <w:jc w:val="center"/>
        <w:rPr>
          <w:rFonts w:ascii="宋体" w:hAnsi="宋体" w:eastAsia="宋体" w:cs="宋体"/>
          <w:b/>
          <w:bCs/>
          <w:color w:val="auto"/>
          <w:sz w:val="36"/>
          <w:szCs w:val="36"/>
          <w:highlight w:val="none"/>
        </w:rPr>
      </w:pPr>
    </w:p>
    <w:p w14:paraId="282E511C">
      <w:pPr>
        <w:autoSpaceDE w:val="0"/>
        <w:autoSpaceDN w:val="0"/>
        <w:adjustRightInd w:val="0"/>
        <w:spacing w:line="400" w:lineRule="atLeast"/>
        <w:jc w:val="center"/>
        <w:rPr>
          <w:rFonts w:ascii="宋体" w:hAnsi="宋体" w:eastAsia="宋体" w:cs="宋体"/>
          <w:b/>
          <w:bCs/>
          <w:color w:val="auto"/>
          <w:sz w:val="36"/>
          <w:szCs w:val="36"/>
          <w:highlight w:val="none"/>
        </w:rPr>
      </w:pPr>
    </w:p>
    <w:p w14:paraId="31DA959C">
      <w:pPr>
        <w:autoSpaceDE w:val="0"/>
        <w:autoSpaceDN w:val="0"/>
        <w:adjustRightInd w:val="0"/>
        <w:spacing w:line="400" w:lineRule="atLeast"/>
        <w:jc w:val="center"/>
        <w:rPr>
          <w:rFonts w:ascii="宋体" w:hAnsi="宋体" w:eastAsia="宋体" w:cs="宋体"/>
          <w:b/>
          <w:bCs/>
          <w:color w:val="auto"/>
          <w:sz w:val="36"/>
          <w:szCs w:val="36"/>
          <w:highlight w:val="none"/>
        </w:rPr>
      </w:pPr>
    </w:p>
    <w:p w14:paraId="64F3E0D8">
      <w:pPr>
        <w:autoSpaceDE w:val="0"/>
        <w:autoSpaceDN w:val="0"/>
        <w:adjustRightInd w:val="0"/>
        <w:spacing w:line="400" w:lineRule="atLeast"/>
        <w:jc w:val="center"/>
        <w:rPr>
          <w:rFonts w:ascii="宋体" w:hAnsi="宋体" w:eastAsia="宋体" w:cs="宋体"/>
          <w:b/>
          <w:bCs/>
          <w:color w:val="auto"/>
          <w:sz w:val="72"/>
          <w:szCs w:val="72"/>
          <w:highlight w:val="none"/>
          <w:lang w:val="zh-CN"/>
        </w:rPr>
      </w:pPr>
      <w:bookmarkStart w:id="850" w:name="_Toc18947_WPSOffice_Level2"/>
      <w:r>
        <w:rPr>
          <w:rFonts w:hint="eastAsia" w:ascii="宋体" w:hAnsi="宋体" w:eastAsia="宋体" w:cs="宋体"/>
          <w:b/>
          <w:bCs/>
          <w:color w:val="auto"/>
          <w:sz w:val="72"/>
          <w:szCs w:val="72"/>
          <w:highlight w:val="none"/>
          <w:lang w:val="zh-CN"/>
        </w:rPr>
        <w:t>评标工作大纲</w:t>
      </w:r>
      <w:bookmarkEnd w:id="850"/>
    </w:p>
    <w:p w14:paraId="1C7EB0A4">
      <w:pPr>
        <w:autoSpaceDE w:val="0"/>
        <w:autoSpaceDN w:val="0"/>
        <w:adjustRightInd w:val="0"/>
        <w:spacing w:line="400" w:lineRule="atLeast"/>
        <w:jc w:val="center"/>
        <w:rPr>
          <w:rFonts w:ascii="宋体" w:hAnsi="宋体" w:eastAsia="宋体" w:cs="宋体"/>
          <w:b/>
          <w:bCs/>
          <w:color w:val="auto"/>
          <w:sz w:val="36"/>
          <w:szCs w:val="36"/>
          <w:highlight w:val="none"/>
        </w:rPr>
      </w:pPr>
    </w:p>
    <w:p w14:paraId="7901A2AC">
      <w:pPr>
        <w:autoSpaceDE w:val="0"/>
        <w:autoSpaceDN w:val="0"/>
        <w:adjustRightInd w:val="0"/>
        <w:spacing w:line="400" w:lineRule="atLeast"/>
        <w:rPr>
          <w:rFonts w:ascii="宋体" w:hAnsi="宋体" w:eastAsia="宋体" w:cs="宋体"/>
          <w:b/>
          <w:bCs/>
          <w:color w:val="auto"/>
          <w:sz w:val="36"/>
          <w:szCs w:val="36"/>
          <w:highlight w:val="none"/>
        </w:rPr>
      </w:pPr>
    </w:p>
    <w:p w14:paraId="5F2AC209">
      <w:pPr>
        <w:autoSpaceDE w:val="0"/>
        <w:autoSpaceDN w:val="0"/>
        <w:adjustRightInd w:val="0"/>
        <w:spacing w:line="400" w:lineRule="atLeast"/>
        <w:jc w:val="center"/>
        <w:rPr>
          <w:rFonts w:ascii="宋体" w:hAnsi="宋体" w:eastAsia="宋体" w:cs="宋体"/>
          <w:b/>
          <w:bCs/>
          <w:color w:val="auto"/>
          <w:sz w:val="36"/>
          <w:szCs w:val="36"/>
          <w:highlight w:val="none"/>
        </w:rPr>
      </w:pPr>
    </w:p>
    <w:p w14:paraId="2D89CD5B">
      <w:pPr>
        <w:autoSpaceDE w:val="0"/>
        <w:autoSpaceDN w:val="0"/>
        <w:adjustRightInd w:val="0"/>
        <w:spacing w:line="400" w:lineRule="atLeast"/>
        <w:jc w:val="center"/>
        <w:rPr>
          <w:rFonts w:ascii="宋体" w:hAnsi="宋体" w:eastAsia="宋体" w:cs="宋体"/>
          <w:b/>
          <w:bCs/>
          <w:color w:val="auto"/>
          <w:sz w:val="36"/>
          <w:szCs w:val="36"/>
          <w:highlight w:val="none"/>
        </w:rPr>
      </w:pPr>
    </w:p>
    <w:p w14:paraId="22890C18">
      <w:pPr>
        <w:autoSpaceDE w:val="0"/>
        <w:autoSpaceDN w:val="0"/>
        <w:adjustRightInd w:val="0"/>
        <w:spacing w:line="400" w:lineRule="atLeast"/>
        <w:jc w:val="center"/>
        <w:rPr>
          <w:rFonts w:ascii="宋体" w:hAnsi="宋体" w:eastAsia="宋体" w:cs="宋体"/>
          <w:b/>
          <w:bCs/>
          <w:color w:val="auto"/>
          <w:sz w:val="36"/>
          <w:szCs w:val="36"/>
          <w:highlight w:val="none"/>
        </w:rPr>
      </w:pPr>
    </w:p>
    <w:p w14:paraId="2C0FCDAD">
      <w:pPr>
        <w:autoSpaceDE w:val="0"/>
        <w:autoSpaceDN w:val="0"/>
        <w:adjustRightInd w:val="0"/>
        <w:spacing w:line="400" w:lineRule="atLeast"/>
        <w:jc w:val="center"/>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lang w:val="zh-CN"/>
        </w:rPr>
        <w:t>广东有德招标采购有限公司</w:t>
      </w:r>
    </w:p>
    <w:p w14:paraId="3B8F3577">
      <w:pPr>
        <w:autoSpaceDE w:val="0"/>
        <w:autoSpaceDN w:val="0"/>
        <w:adjustRightInd w:val="0"/>
        <w:spacing w:line="400" w:lineRule="atLeast"/>
        <w:jc w:val="center"/>
        <w:rPr>
          <w:rFonts w:ascii="宋体" w:hAnsi="宋体" w:eastAsia="宋体" w:cs="宋体"/>
          <w:b/>
          <w:bCs/>
          <w:color w:val="auto"/>
          <w:sz w:val="36"/>
          <w:szCs w:val="36"/>
          <w:highlight w:val="none"/>
        </w:rPr>
      </w:pPr>
    </w:p>
    <w:p w14:paraId="2330439A">
      <w:pPr>
        <w:autoSpaceDE w:val="0"/>
        <w:autoSpaceDN w:val="0"/>
        <w:adjustRightInd w:val="0"/>
        <w:spacing w:line="400" w:lineRule="atLeast"/>
        <w:jc w:val="center"/>
        <w:rPr>
          <w:rFonts w:ascii="宋体" w:hAnsi="宋体" w:eastAsia="宋体" w:cs="宋体"/>
          <w:b/>
          <w:bCs/>
          <w:color w:val="auto"/>
          <w:sz w:val="36"/>
          <w:szCs w:val="36"/>
          <w:highlight w:val="none"/>
        </w:rPr>
      </w:pPr>
      <w:r>
        <w:rPr>
          <w:rFonts w:hint="eastAsia" w:ascii="宋体" w:hAnsi="宋体" w:eastAsia="宋体" w:cs="宋体"/>
          <w:color w:val="auto"/>
          <w:sz w:val="44"/>
          <w:szCs w:val="44"/>
          <w:highlight w:val="none"/>
        </w:rPr>
        <w:br w:type="page"/>
      </w:r>
      <w:bookmarkStart w:id="851" w:name="_Toc32395_WPSOffice_Level1"/>
      <w:r>
        <w:rPr>
          <w:rFonts w:hint="eastAsia" w:ascii="宋体" w:hAnsi="宋体" w:eastAsia="宋体" w:cs="宋体"/>
          <w:b/>
          <w:bCs/>
          <w:color w:val="auto"/>
          <w:sz w:val="36"/>
          <w:szCs w:val="36"/>
          <w:highlight w:val="none"/>
          <w:lang w:val="zh-CN"/>
        </w:rPr>
        <w:t>目录</w:t>
      </w:r>
      <w:bookmarkEnd w:id="851"/>
    </w:p>
    <w:p w14:paraId="28744961">
      <w:pPr>
        <w:autoSpaceDE w:val="0"/>
        <w:autoSpaceDN w:val="0"/>
        <w:adjustRightInd w:val="0"/>
        <w:spacing w:line="400" w:lineRule="atLeast"/>
        <w:jc w:val="center"/>
        <w:rPr>
          <w:rFonts w:ascii="宋体" w:hAnsi="宋体" w:eastAsia="宋体" w:cs="宋体"/>
          <w:color w:val="auto"/>
          <w:sz w:val="44"/>
          <w:szCs w:val="44"/>
          <w:highlight w:val="none"/>
        </w:rPr>
      </w:pPr>
    </w:p>
    <w:p w14:paraId="529AEE6E">
      <w:pPr>
        <w:autoSpaceDE w:val="0"/>
        <w:autoSpaceDN w:val="0"/>
        <w:adjustRightInd w:val="0"/>
        <w:spacing w:line="360" w:lineRule="auto"/>
        <w:ind w:left="567" w:hanging="567"/>
        <w:rPr>
          <w:rFonts w:ascii="宋体" w:hAnsi="宋体" w:eastAsia="宋体" w:cs="宋体"/>
          <w:color w:val="auto"/>
          <w:szCs w:val="30"/>
          <w:highlight w:val="none"/>
        </w:rPr>
      </w:pPr>
      <w:bookmarkStart w:id="852" w:name="_Toc21604_WPSOffice_Level1"/>
      <w:r>
        <w:rPr>
          <w:rFonts w:hint="eastAsia" w:ascii="宋体" w:hAnsi="宋体" w:eastAsia="宋体" w:cs="宋体"/>
          <w:color w:val="auto"/>
          <w:szCs w:val="30"/>
          <w:highlight w:val="none"/>
          <w:lang w:val="zh-CN"/>
        </w:rPr>
        <w:t>一、</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总则</w:t>
      </w:r>
      <w:bookmarkEnd w:id="852"/>
    </w:p>
    <w:p w14:paraId="74B1409E">
      <w:pPr>
        <w:autoSpaceDE w:val="0"/>
        <w:autoSpaceDN w:val="0"/>
        <w:adjustRightInd w:val="0"/>
        <w:spacing w:line="360" w:lineRule="auto"/>
        <w:ind w:left="567" w:hanging="567"/>
        <w:rPr>
          <w:rFonts w:ascii="宋体" w:hAnsi="宋体" w:eastAsia="宋体" w:cs="宋体"/>
          <w:color w:val="auto"/>
          <w:szCs w:val="30"/>
          <w:highlight w:val="none"/>
        </w:rPr>
      </w:pPr>
      <w:bookmarkStart w:id="853" w:name="_Toc1387_WPSOffice_Level1"/>
      <w:r>
        <w:rPr>
          <w:rFonts w:hint="eastAsia" w:ascii="宋体" w:hAnsi="宋体" w:eastAsia="宋体" w:cs="宋体"/>
          <w:color w:val="auto"/>
          <w:szCs w:val="30"/>
          <w:highlight w:val="none"/>
          <w:lang w:val="zh-CN"/>
        </w:rPr>
        <w:t>二、</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投标文件的初审</w:t>
      </w:r>
      <w:bookmarkEnd w:id="853"/>
    </w:p>
    <w:p w14:paraId="3E96E18C">
      <w:pPr>
        <w:autoSpaceDE w:val="0"/>
        <w:autoSpaceDN w:val="0"/>
        <w:adjustRightInd w:val="0"/>
        <w:spacing w:line="360" w:lineRule="auto"/>
        <w:ind w:left="567" w:hanging="567"/>
        <w:rPr>
          <w:rFonts w:ascii="宋体" w:hAnsi="宋体" w:eastAsia="宋体" w:cs="宋体"/>
          <w:color w:val="auto"/>
          <w:szCs w:val="30"/>
          <w:highlight w:val="none"/>
        </w:rPr>
      </w:pPr>
      <w:bookmarkStart w:id="854" w:name="_Toc30284_WPSOffice_Level1"/>
      <w:r>
        <w:rPr>
          <w:rFonts w:hint="eastAsia" w:ascii="宋体" w:hAnsi="宋体" w:eastAsia="宋体" w:cs="宋体"/>
          <w:color w:val="auto"/>
          <w:szCs w:val="30"/>
          <w:highlight w:val="none"/>
          <w:lang w:val="zh-CN"/>
        </w:rPr>
        <w:t>三、</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澄清有关问题</w:t>
      </w:r>
      <w:bookmarkEnd w:id="854"/>
    </w:p>
    <w:p w14:paraId="41E5C074">
      <w:pPr>
        <w:autoSpaceDE w:val="0"/>
        <w:autoSpaceDN w:val="0"/>
        <w:adjustRightInd w:val="0"/>
        <w:spacing w:line="360" w:lineRule="auto"/>
        <w:ind w:left="567" w:hanging="567"/>
        <w:rPr>
          <w:rFonts w:ascii="宋体" w:hAnsi="宋体" w:eastAsia="宋体" w:cs="宋体"/>
          <w:color w:val="auto"/>
          <w:szCs w:val="30"/>
          <w:highlight w:val="none"/>
        </w:rPr>
      </w:pPr>
      <w:bookmarkStart w:id="855" w:name="_Toc1206_WPSOffice_Level1"/>
      <w:r>
        <w:rPr>
          <w:rFonts w:hint="eastAsia" w:ascii="宋体" w:hAnsi="宋体" w:eastAsia="宋体" w:cs="宋体"/>
          <w:color w:val="auto"/>
          <w:szCs w:val="30"/>
          <w:highlight w:val="none"/>
        </w:rPr>
        <w:t>四、 比较和评价</w:t>
      </w:r>
      <w:bookmarkEnd w:id="855"/>
    </w:p>
    <w:p w14:paraId="649D98E5">
      <w:pPr>
        <w:autoSpaceDE w:val="0"/>
        <w:autoSpaceDN w:val="0"/>
        <w:adjustRightInd w:val="0"/>
        <w:spacing w:line="360" w:lineRule="auto"/>
        <w:ind w:left="567" w:hanging="567"/>
        <w:rPr>
          <w:rFonts w:ascii="宋体" w:hAnsi="宋体" w:eastAsia="宋体" w:cs="宋体"/>
          <w:color w:val="auto"/>
          <w:szCs w:val="30"/>
          <w:highlight w:val="none"/>
        </w:rPr>
      </w:pPr>
      <w:bookmarkStart w:id="856" w:name="_Toc12163_WPSOffice_Level1"/>
      <w:r>
        <w:rPr>
          <w:rFonts w:hint="eastAsia" w:ascii="宋体" w:hAnsi="宋体" w:eastAsia="宋体" w:cs="宋体"/>
          <w:color w:val="auto"/>
          <w:szCs w:val="30"/>
          <w:highlight w:val="none"/>
          <w:lang w:val="zh-CN"/>
        </w:rPr>
        <w:t>五、</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推荐中标候选人名单</w:t>
      </w:r>
      <w:bookmarkEnd w:id="856"/>
    </w:p>
    <w:p w14:paraId="17DF08B9">
      <w:pPr>
        <w:autoSpaceDE w:val="0"/>
        <w:autoSpaceDN w:val="0"/>
        <w:adjustRightInd w:val="0"/>
        <w:spacing w:line="360" w:lineRule="auto"/>
        <w:ind w:left="567" w:hanging="567"/>
        <w:rPr>
          <w:rFonts w:ascii="宋体" w:hAnsi="宋体" w:eastAsia="宋体" w:cs="宋体"/>
          <w:color w:val="auto"/>
          <w:szCs w:val="30"/>
          <w:highlight w:val="none"/>
        </w:rPr>
      </w:pPr>
      <w:bookmarkStart w:id="857" w:name="_Toc366_WPSOffice_Level1"/>
      <w:r>
        <w:rPr>
          <w:rFonts w:hint="eastAsia" w:ascii="宋体" w:hAnsi="宋体" w:eastAsia="宋体" w:cs="宋体"/>
          <w:color w:val="auto"/>
          <w:szCs w:val="30"/>
          <w:highlight w:val="none"/>
          <w:lang w:val="zh-CN"/>
        </w:rPr>
        <w:t>六、</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编写评标报告</w:t>
      </w:r>
      <w:bookmarkEnd w:id="857"/>
    </w:p>
    <w:p w14:paraId="4F135A1A">
      <w:pPr>
        <w:autoSpaceDE w:val="0"/>
        <w:autoSpaceDN w:val="0"/>
        <w:adjustRightInd w:val="0"/>
        <w:spacing w:line="360" w:lineRule="auto"/>
        <w:ind w:left="567" w:hanging="567"/>
        <w:rPr>
          <w:rFonts w:ascii="宋体" w:hAnsi="宋体" w:eastAsia="宋体" w:cs="宋体"/>
          <w:color w:val="auto"/>
          <w:szCs w:val="30"/>
          <w:highlight w:val="none"/>
        </w:rPr>
      </w:pPr>
      <w:bookmarkStart w:id="858" w:name="_Toc22378_WPSOffice_Level1"/>
      <w:r>
        <w:rPr>
          <w:rFonts w:hint="eastAsia" w:ascii="宋体" w:hAnsi="宋体" w:eastAsia="宋体" w:cs="宋体"/>
          <w:color w:val="auto"/>
          <w:szCs w:val="30"/>
          <w:highlight w:val="none"/>
          <w:lang w:val="zh-CN"/>
        </w:rPr>
        <w:t>七、</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注意事项</w:t>
      </w:r>
      <w:bookmarkEnd w:id="858"/>
    </w:p>
    <w:p w14:paraId="4914BC39">
      <w:pPr>
        <w:tabs>
          <w:tab w:val="right" w:pos="7320"/>
        </w:tabs>
        <w:autoSpaceDE w:val="0"/>
        <w:autoSpaceDN w:val="0"/>
        <w:adjustRightInd w:val="0"/>
        <w:spacing w:line="360" w:lineRule="auto"/>
        <w:ind w:left="720" w:hanging="720"/>
        <w:rPr>
          <w:rFonts w:ascii="宋体" w:hAnsi="宋体" w:eastAsia="宋体" w:cs="宋体"/>
          <w:color w:val="auto"/>
          <w:szCs w:val="30"/>
          <w:highlight w:val="none"/>
        </w:rPr>
      </w:pPr>
    </w:p>
    <w:p w14:paraId="693BDD92">
      <w:pPr>
        <w:tabs>
          <w:tab w:val="right" w:pos="7320"/>
        </w:tabs>
        <w:autoSpaceDE w:val="0"/>
        <w:autoSpaceDN w:val="0"/>
        <w:adjustRightInd w:val="0"/>
        <w:spacing w:line="360" w:lineRule="auto"/>
        <w:ind w:left="720" w:hanging="720"/>
        <w:rPr>
          <w:rFonts w:ascii="宋体" w:hAnsi="宋体" w:eastAsia="宋体" w:cs="宋体"/>
          <w:color w:val="auto"/>
          <w:szCs w:val="30"/>
          <w:highlight w:val="none"/>
        </w:rPr>
      </w:pPr>
    </w:p>
    <w:p w14:paraId="32E949F5">
      <w:pPr>
        <w:tabs>
          <w:tab w:val="left" w:pos="1080"/>
          <w:tab w:val="right" w:pos="7320"/>
        </w:tabs>
        <w:autoSpaceDE w:val="0"/>
        <w:autoSpaceDN w:val="0"/>
        <w:adjustRightInd w:val="0"/>
        <w:spacing w:line="400" w:lineRule="atLeast"/>
        <w:ind w:left="720" w:hanging="720"/>
        <w:rPr>
          <w:rFonts w:ascii="宋体" w:hAnsi="宋体" w:eastAsia="宋体" w:cs="宋体"/>
          <w:color w:val="auto"/>
          <w:szCs w:val="30"/>
          <w:highlight w:val="none"/>
        </w:rPr>
      </w:pPr>
    </w:p>
    <w:p w14:paraId="2852FD0E">
      <w:pPr>
        <w:tabs>
          <w:tab w:val="left" w:pos="1140"/>
        </w:tabs>
        <w:autoSpaceDE w:val="0"/>
        <w:autoSpaceDN w:val="0"/>
        <w:adjustRightInd w:val="0"/>
        <w:spacing w:line="360" w:lineRule="auto"/>
        <w:jc w:val="center"/>
        <w:outlineLvl w:val="2"/>
        <w:rPr>
          <w:rFonts w:ascii="宋体" w:hAnsi="宋体" w:eastAsia="宋体" w:cs="宋体"/>
          <w:b/>
          <w:bCs/>
          <w:color w:val="auto"/>
          <w:sz w:val="28"/>
          <w:szCs w:val="28"/>
          <w:highlight w:val="none"/>
        </w:rPr>
      </w:pPr>
      <w:r>
        <w:rPr>
          <w:rFonts w:hint="eastAsia" w:ascii="宋体" w:hAnsi="宋体" w:eastAsia="宋体" w:cs="宋体"/>
          <w:color w:val="auto"/>
          <w:sz w:val="30"/>
          <w:szCs w:val="30"/>
          <w:highlight w:val="none"/>
        </w:rPr>
        <w:br w:type="page"/>
      </w:r>
      <w:bookmarkStart w:id="859" w:name="_Toc16549"/>
      <w:bookmarkStart w:id="860" w:name="_Toc27181_WPSOffice_Level1"/>
      <w:r>
        <w:rPr>
          <w:rFonts w:hint="eastAsia" w:ascii="宋体" w:hAnsi="宋体" w:eastAsia="宋体" w:cs="宋体"/>
          <w:b/>
          <w:bCs/>
          <w:color w:val="auto"/>
          <w:sz w:val="28"/>
          <w:szCs w:val="28"/>
          <w:highlight w:val="none"/>
          <w:lang w:val="zh-CN"/>
        </w:rPr>
        <w:t>一、总则</w:t>
      </w:r>
      <w:bookmarkEnd w:id="859"/>
      <w:bookmarkEnd w:id="860"/>
    </w:p>
    <w:p w14:paraId="5DEE034E">
      <w:pPr>
        <w:tabs>
          <w:tab w:val="left" w:pos="567"/>
          <w:tab w:val="left" w:pos="600"/>
        </w:tabs>
        <w:autoSpaceDE w:val="0"/>
        <w:autoSpaceDN w:val="0"/>
        <w:adjustRightInd w:val="0"/>
        <w:spacing w:line="360" w:lineRule="auto"/>
        <w:ind w:left="600" w:hanging="600"/>
        <w:outlineLvl w:val="0"/>
        <w:rPr>
          <w:rFonts w:ascii="宋体" w:hAnsi="宋体" w:eastAsia="宋体" w:cs="宋体"/>
          <w:b/>
          <w:bCs/>
          <w:color w:val="auto"/>
          <w:szCs w:val="24"/>
          <w:highlight w:val="none"/>
          <w:lang w:val="zh-CN"/>
        </w:rPr>
      </w:pPr>
      <w:bookmarkStart w:id="861" w:name="_Toc29822"/>
      <w:bookmarkStart w:id="862" w:name="_Toc25237"/>
      <w:r>
        <w:rPr>
          <w:rFonts w:hint="eastAsia" w:ascii="宋体" w:hAnsi="宋体" w:eastAsia="宋体" w:cs="宋体"/>
          <w:b/>
          <w:bCs/>
          <w:color w:val="auto"/>
          <w:szCs w:val="24"/>
          <w:highlight w:val="none"/>
          <w:lang w:val="zh-CN"/>
        </w:rPr>
        <w:t>1、一般规定</w:t>
      </w:r>
      <w:bookmarkEnd w:id="861"/>
      <w:bookmarkEnd w:id="862"/>
    </w:p>
    <w:p w14:paraId="7A928318">
      <w:pPr>
        <w:autoSpaceDE w:val="0"/>
        <w:autoSpaceDN w:val="0"/>
        <w:adjustRightInd w:val="0"/>
        <w:spacing w:line="360" w:lineRule="auto"/>
        <w:ind w:left="567" w:hanging="567"/>
        <w:rPr>
          <w:rFonts w:ascii="宋体" w:hAnsi="宋体" w:eastAsia="宋体" w:cs="宋体"/>
          <w:color w:val="auto"/>
          <w:kern w:val="0"/>
          <w:szCs w:val="32"/>
          <w:highlight w:val="none"/>
        </w:rPr>
      </w:pPr>
      <w:r>
        <w:rPr>
          <w:rFonts w:hint="eastAsia" w:ascii="宋体" w:hAnsi="宋体" w:eastAsia="宋体" w:cs="宋体"/>
          <w:color w:val="auto"/>
          <w:szCs w:val="21"/>
          <w:highlight w:val="none"/>
          <w:lang w:val="zh-CN"/>
        </w:rPr>
        <w:t>1.1</w:t>
      </w:r>
      <w:r>
        <w:rPr>
          <w:rFonts w:hint="eastAsia" w:ascii="宋体" w:hAnsi="宋体" w:eastAsia="宋体" w:cs="宋体"/>
          <w:color w:val="auto"/>
          <w:szCs w:val="21"/>
          <w:highlight w:val="none"/>
          <w:lang w:val="zh-CN"/>
        </w:rPr>
        <w:tab/>
      </w:r>
      <w:r>
        <w:rPr>
          <w:rFonts w:hint="eastAsia" w:ascii="宋体" w:hAnsi="宋体" w:eastAsia="宋体" w:cs="宋体"/>
          <w:color w:val="auto"/>
          <w:kern w:val="0"/>
          <w:szCs w:val="21"/>
          <w:highlight w:val="none"/>
          <w:lang w:eastAsia="zh-CN"/>
        </w:rPr>
        <w:t>东莞市水务集团净水有限公司2025年生产药剂液体柠檬酸采购项目（重新招标）</w:t>
      </w:r>
      <w:r>
        <w:rPr>
          <w:rFonts w:hint="eastAsia" w:ascii="宋体" w:hAnsi="宋体" w:eastAsia="宋体" w:cs="宋体"/>
          <w:color w:val="auto"/>
          <w:szCs w:val="21"/>
          <w:highlight w:val="none"/>
          <w:lang w:val="zh-CN"/>
        </w:rPr>
        <w:t>(招标编号：YDZB24DGQY0194-1</w:t>
      </w:r>
      <w:r>
        <w:rPr>
          <w:rFonts w:hint="eastAsia" w:ascii="宋体" w:hAnsi="宋体" w:eastAsia="宋体" w:cs="宋体"/>
          <w:color w:val="auto"/>
          <w:kern w:val="0"/>
          <w:szCs w:val="32"/>
          <w:highlight w:val="none"/>
        </w:rPr>
        <w:t>)的</w:t>
      </w:r>
      <w:r>
        <w:rPr>
          <w:rFonts w:hint="eastAsia" w:ascii="宋体" w:hAnsi="宋体" w:eastAsia="宋体" w:cs="宋体"/>
          <w:color w:val="auto"/>
          <w:szCs w:val="21"/>
          <w:highlight w:val="none"/>
          <w:lang w:val="zh-CN"/>
        </w:rPr>
        <w:t>招标</w:t>
      </w:r>
      <w:r>
        <w:rPr>
          <w:rFonts w:hint="eastAsia" w:ascii="宋体" w:hAnsi="宋体" w:eastAsia="宋体" w:cs="宋体"/>
          <w:color w:val="auto"/>
          <w:kern w:val="0"/>
          <w:szCs w:val="32"/>
          <w:highlight w:val="none"/>
        </w:rPr>
        <w:t>按照《中华人民共和国招标投标法》等有关规定进行。</w:t>
      </w:r>
    </w:p>
    <w:p w14:paraId="5816AF9B">
      <w:pPr>
        <w:autoSpaceDE w:val="0"/>
        <w:autoSpaceDN w:val="0"/>
        <w:adjustRightInd w:val="0"/>
        <w:spacing w:line="360" w:lineRule="auto"/>
        <w:ind w:left="567" w:hanging="567"/>
        <w:rPr>
          <w:rFonts w:ascii="宋体" w:hAnsi="宋体" w:eastAsia="宋体" w:cs="宋体"/>
          <w:color w:val="auto"/>
          <w:szCs w:val="24"/>
          <w:highlight w:val="none"/>
          <w:lang w:val="zh-CN"/>
        </w:rPr>
      </w:pPr>
      <w:bookmarkStart w:id="863" w:name="_Toc6301"/>
      <w:r>
        <w:rPr>
          <w:rFonts w:hint="eastAsia" w:ascii="宋体" w:hAnsi="宋体" w:eastAsia="宋体" w:cs="宋体"/>
          <w:color w:val="auto"/>
          <w:szCs w:val="24"/>
          <w:highlight w:val="none"/>
          <w:lang w:val="zh-CN"/>
        </w:rPr>
        <w:t>1.2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评标必须遵循公平、公正、诚实信用的原则。</w:t>
      </w:r>
      <w:bookmarkEnd w:id="863"/>
    </w:p>
    <w:p w14:paraId="0DC4DDE9">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招标代理机构</w:t>
      </w:r>
      <w:r>
        <w:rPr>
          <w:rFonts w:hint="eastAsia" w:ascii="宋体" w:hAnsi="宋体" w:eastAsia="宋体" w:cs="宋体"/>
          <w:color w:val="auto"/>
          <w:kern w:val="0"/>
          <w:szCs w:val="32"/>
          <w:highlight w:val="none"/>
        </w:rPr>
        <w:t>(</w:t>
      </w:r>
      <w:r>
        <w:rPr>
          <w:rFonts w:hint="eastAsia" w:ascii="宋体" w:hAnsi="宋体" w:eastAsia="宋体" w:cs="宋体"/>
          <w:color w:val="auto"/>
          <w:kern w:val="0"/>
          <w:szCs w:val="32"/>
          <w:highlight w:val="none"/>
          <w:lang w:eastAsia="zh-CN"/>
        </w:rPr>
        <w:t>广东有德招标采购有限公司</w:t>
      </w:r>
      <w:r>
        <w:rPr>
          <w:rFonts w:hint="eastAsia" w:ascii="宋体" w:hAnsi="宋体" w:eastAsia="宋体" w:cs="宋体"/>
          <w:color w:val="auto"/>
          <w:kern w:val="0"/>
          <w:szCs w:val="32"/>
          <w:highlight w:val="none"/>
        </w:rPr>
        <w:t>）组</w:t>
      </w:r>
      <w:r>
        <w:rPr>
          <w:rFonts w:hint="eastAsia" w:ascii="宋体" w:hAnsi="宋体" w:eastAsia="宋体" w:cs="宋体"/>
          <w:color w:val="auto"/>
          <w:szCs w:val="24"/>
          <w:highlight w:val="none"/>
          <w:lang w:val="zh-CN"/>
        </w:rPr>
        <w:t>织评标工作，全过程接受招标人及相关部门的监督、管理和指导。</w:t>
      </w:r>
    </w:p>
    <w:p w14:paraId="6F0F8A94">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评标按照招标文件规定的内容进行，采取综合评分</w:t>
      </w:r>
      <w:r>
        <w:rPr>
          <w:rFonts w:hint="eastAsia" w:ascii="宋体" w:hAnsi="宋体" w:eastAsia="宋体" w:cs="宋体"/>
          <w:color w:val="auto"/>
          <w:szCs w:val="21"/>
          <w:highlight w:val="none"/>
        </w:rPr>
        <w:t>法进行评审</w:t>
      </w:r>
      <w:r>
        <w:rPr>
          <w:rFonts w:hint="eastAsia" w:ascii="宋体" w:hAnsi="宋体" w:eastAsia="宋体" w:cs="宋体"/>
          <w:color w:val="auto"/>
          <w:szCs w:val="24"/>
          <w:highlight w:val="none"/>
          <w:lang w:val="zh-CN"/>
        </w:rPr>
        <w:t>。</w:t>
      </w:r>
    </w:p>
    <w:p w14:paraId="3EC51C26">
      <w:pPr>
        <w:numPr>
          <w:ilvl w:val="1"/>
          <w:numId w:val="6"/>
        </w:numPr>
        <w:autoSpaceDE w:val="0"/>
        <w:autoSpaceDN w:val="0"/>
        <w:adjustRightInd w:val="0"/>
        <w:spacing w:line="360" w:lineRule="auto"/>
        <w:ind w:left="565" w:hanging="564" w:hangingChars="269"/>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en-US" w:eastAsia="zh-CN"/>
        </w:rPr>
        <w:t xml:space="preserve"> </w:t>
      </w:r>
      <w:r>
        <w:rPr>
          <w:rFonts w:hint="eastAsia" w:ascii="宋体" w:hAnsi="宋体" w:eastAsia="宋体" w:cs="宋体"/>
          <w:color w:val="auto"/>
          <w:szCs w:val="24"/>
          <w:highlight w:val="none"/>
          <w:lang w:val="zh-CN"/>
        </w:rPr>
        <w:t>本办法的评审对象是指投标人按照招标文件要求提供的有效投标文件，包括投标人应评标委员会要求对原投标文件作出的正式书面澄清文件。</w:t>
      </w:r>
    </w:p>
    <w:p w14:paraId="13E0B807">
      <w:pPr>
        <w:autoSpaceDE w:val="0"/>
        <w:autoSpaceDN w:val="0"/>
        <w:adjustRightInd w:val="0"/>
        <w:spacing w:line="360" w:lineRule="auto"/>
        <w:rPr>
          <w:rFonts w:ascii="宋体" w:hAnsi="宋体" w:eastAsia="宋体" w:cs="宋体"/>
          <w:color w:val="auto"/>
          <w:sz w:val="24"/>
          <w:szCs w:val="24"/>
          <w:highlight w:val="none"/>
          <w:lang w:val="zh-CN"/>
        </w:rPr>
      </w:pPr>
    </w:p>
    <w:p w14:paraId="7A26E4BF">
      <w:pPr>
        <w:tabs>
          <w:tab w:val="left" w:pos="360"/>
          <w:tab w:val="left" w:pos="600"/>
        </w:tabs>
        <w:autoSpaceDE w:val="0"/>
        <w:autoSpaceDN w:val="0"/>
        <w:adjustRightInd w:val="0"/>
        <w:spacing w:line="360" w:lineRule="auto"/>
        <w:ind w:left="600" w:hanging="600"/>
        <w:outlineLvl w:val="0"/>
        <w:rPr>
          <w:rFonts w:ascii="宋体" w:hAnsi="宋体" w:eastAsia="宋体" w:cs="宋体"/>
          <w:b/>
          <w:bCs/>
          <w:color w:val="auto"/>
          <w:szCs w:val="24"/>
          <w:highlight w:val="none"/>
          <w:lang w:val="zh-CN"/>
        </w:rPr>
      </w:pPr>
      <w:bookmarkStart w:id="864" w:name="_Toc12330"/>
      <w:bookmarkStart w:id="865" w:name="_Toc26647"/>
      <w:r>
        <w:rPr>
          <w:rFonts w:hint="eastAsia" w:ascii="宋体" w:hAnsi="宋体" w:eastAsia="宋体" w:cs="宋体"/>
          <w:b/>
          <w:bCs/>
          <w:color w:val="auto"/>
          <w:szCs w:val="24"/>
          <w:highlight w:val="none"/>
          <w:lang w:val="zh-CN"/>
        </w:rPr>
        <w:t>2、</w:t>
      </w:r>
      <w:r>
        <w:rPr>
          <w:rFonts w:hint="eastAsia" w:ascii="宋体" w:hAnsi="宋体" w:eastAsia="宋体" w:cs="宋体"/>
          <w:b/>
          <w:bCs/>
          <w:color w:val="auto"/>
          <w:szCs w:val="24"/>
          <w:highlight w:val="none"/>
          <w:lang w:val="zh-CN"/>
        </w:rPr>
        <w:tab/>
      </w:r>
      <w:r>
        <w:rPr>
          <w:rFonts w:hint="eastAsia" w:ascii="宋体" w:hAnsi="宋体" w:eastAsia="宋体" w:cs="宋体"/>
          <w:b/>
          <w:bCs/>
          <w:color w:val="auto"/>
          <w:szCs w:val="24"/>
          <w:highlight w:val="none"/>
          <w:lang w:val="zh-CN"/>
        </w:rPr>
        <w:t>评标组织机构的组成</w:t>
      </w:r>
      <w:bookmarkEnd w:id="864"/>
      <w:bookmarkEnd w:id="865"/>
    </w:p>
    <w:p w14:paraId="29C62952">
      <w:pPr>
        <w:tabs>
          <w:tab w:val="left" w:pos="567"/>
          <w:tab w:val="left" w:pos="1145"/>
        </w:tabs>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2.1</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4"/>
          <w:highlight w:val="none"/>
        </w:rPr>
        <w:t>由招标人和技术、经济等方面的专家组成，成员为</w:t>
      </w:r>
      <w:r>
        <w:rPr>
          <w:rFonts w:ascii="宋体" w:hAnsi="宋体" w:eastAsia="宋体" w:cs="宋体"/>
          <w:b/>
          <w:bCs/>
          <w:color w:val="auto"/>
          <w:kern w:val="0"/>
          <w:szCs w:val="24"/>
          <w:highlight w:val="none"/>
        </w:rPr>
        <w:t>5人以上（含5人）单数</w:t>
      </w:r>
      <w:r>
        <w:rPr>
          <w:rFonts w:hint="eastAsia" w:ascii="宋体" w:hAnsi="宋体" w:eastAsia="宋体" w:cs="宋体"/>
          <w:color w:val="auto"/>
          <w:kern w:val="0"/>
          <w:szCs w:val="24"/>
          <w:highlight w:val="none"/>
        </w:rPr>
        <w:t>，其中技术、经济等方面的专家不少于成员总数的三分之二。</w:t>
      </w:r>
      <w:r>
        <w:rPr>
          <w:rFonts w:hint="eastAsia" w:ascii="宋体" w:hAnsi="宋体" w:eastAsia="宋体" w:cs="宋体"/>
          <w:color w:val="auto"/>
          <w:szCs w:val="24"/>
          <w:highlight w:val="none"/>
          <w:lang w:val="zh-CN"/>
        </w:rPr>
        <w:t>专家依法从</w:t>
      </w:r>
      <w:r>
        <w:rPr>
          <w:rFonts w:hint="eastAsia" w:ascii="宋体" w:hAnsi="宋体" w:eastAsia="宋体" w:cs="宋体"/>
          <w:color w:val="auto"/>
          <w:kern w:val="0"/>
          <w:szCs w:val="24"/>
          <w:highlight w:val="none"/>
        </w:rPr>
        <w:t>专家库中随机抽取产生。</w:t>
      </w:r>
    </w:p>
    <w:p w14:paraId="6901A088">
      <w:pPr>
        <w:tabs>
          <w:tab w:val="left" w:pos="567"/>
          <w:tab w:val="left" w:pos="1145"/>
        </w:tabs>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评标工作组由招标人、招标代理机构及有关专家组成，由评标委员会确认，并接受其领导。</w:t>
      </w:r>
    </w:p>
    <w:p w14:paraId="4194A138">
      <w:pPr>
        <w:tabs>
          <w:tab w:val="left" w:pos="567"/>
          <w:tab w:val="left" w:pos="1145"/>
        </w:tabs>
        <w:autoSpaceDE w:val="0"/>
        <w:autoSpaceDN w:val="0"/>
        <w:adjustRightInd w:val="0"/>
        <w:spacing w:line="360" w:lineRule="auto"/>
        <w:ind w:left="600" w:hanging="600"/>
        <w:rPr>
          <w:rFonts w:ascii="宋体" w:hAnsi="宋体" w:eastAsia="宋体" w:cs="宋体"/>
          <w:color w:val="auto"/>
          <w:szCs w:val="24"/>
          <w:highlight w:val="none"/>
          <w:lang w:val="zh-CN"/>
        </w:rPr>
      </w:pPr>
      <w:bookmarkStart w:id="866" w:name="_Toc30339"/>
      <w:r>
        <w:rPr>
          <w:rFonts w:hint="eastAsia" w:ascii="宋体" w:hAnsi="宋体" w:eastAsia="宋体" w:cs="宋体"/>
          <w:color w:val="auto"/>
          <w:szCs w:val="24"/>
          <w:highlight w:val="none"/>
          <w:lang w:val="zh-CN"/>
        </w:rPr>
        <w:t>2.3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评标工作组分成评标委员会、秘书组。</w:t>
      </w:r>
      <w:bookmarkEnd w:id="866"/>
    </w:p>
    <w:p w14:paraId="236A4293">
      <w:pPr>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评标委员会应相对独立工作，负责评审、撰写评标报告。招标代理机构秘书组负责评标过程中资料的保管、发放及回收，协调技术和评标委员会评标工作的进展和整理、汇总评标资料及复核。</w:t>
      </w:r>
    </w:p>
    <w:p w14:paraId="2898C620">
      <w:pPr>
        <w:autoSpaceDE w:val="0"/>
        <w:autoSpaceDN w:val="0"/>
        <w:adjustRightInd w:val="0"/>
        <w:spacing w:line="360" w:lineRule="auto"/>
        <w:rPr>
          <w:rFonts w:ascii="宋体" w:hAnsi="宋体" w:eastAsia="宋体" w:cs="宋体"/>
          <w:color w:val="auto"/>
          <w:sz w:val="24"/>
          <w:szCs w:val="24"/>
          <w:highlight w:val="none"/>
          <w:lang w:val="zh-CN"/>
        </w:rPr>
      </w:pPr>
    </w:p>
    <w:p w14:paraId="43583D69">
      <w:pPr>
        <w:autoSpaceDE w:val="0"/>
        <w:autoSpaceDN w:val="0"/>
        <w:adjustRightInd w:val="0"/>
        <w:spacing w:line="360" w:lineRule="auto"/>
        <w:outlineLvl w:val="0"/>
        <w:rPr>
          <w:rFonts w:ascii="宋体" w:hAnsi="宋体" w:eastAsia="宋体" w:cs="宋体"/>
          <w:color w:val="auto"/>
          <w:sz w:val="24"/>
          <w:szCs w:val="24"/>
          <w:highlight w:val="none"/>
          <w:lang w:val="zh-CN"/>
        </w:rPr>
      </w:pPr>
      <w:bookmarkStart w:id="867" w:name="_Toc25297"/>
      <w:bookmarkStart w:id="868" w:name="_Toc3756"/>
      <w:r>
        <w:rPr>
          <w:rFonts w:hint="eastAsia" w:ascii="宋体" w:hAnsi="宋体" w:eastAsia="宋体" w:cs="宋体"/>
          <w:b/>
          <w:color w:val="auto"/>
          <w:szCs w:val="21"/>
          <w:highlight w:val="none"/>
          <w:lang w:val="zh-CN"/>
        </w:rPr>
        <w:t>3、</w:t>
      </w:r>
      <w:r>
        <w:rPr>
          <w:rFonts w:hint="eastAsia" w:ascii="宋体" w:hAnsi="宋体" w:eastAsia="宋体" w:cs="宋体"/>
          <w:b/>
          <w:bCs/>
          <w:color w:val="auto"/>
          <w:szCs w:val="21"/>
          <w:highlight w:val="none"/>
          <w:lang w:val="zh-CN"/>
        </w:rPr>
        <w:t>评标</w:t>
      </w:r>
      <w:r>
        <w:rPr>
          <w:rFonts w:hint="eastAsia" w:ascii="宋体" w:hAnsi="宋体" w:eastAsia="宋体" w:cs="宋体"/>
          <w:b/>
          <w:bCs/>
          <w:color w:val="auto"/>
          <w:szCs w:val="24"/>
          <w:highlight w:val="none"/>
          <w:lang w:val="zh-CN"/>
        </w:rPr>
        <w:t>委员会职责</w:t>
      </w:r>
      <w:bookmarkEnd w:id="867"/>
      <w:bookmarkEnd w:id="868"/>
    </w:p>
    <w:p w14:paraId="4D7F52A9">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3.1  审查投标文件是否符合招标文件要求，并作出评价；</w:t>
      </w:r>
    </w:p>
    <w:p w14:paraId="7E2E2292">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3.2  要求投标人对投标文件有关事项作出解释或者澄清；</w:t>
      </w:r>
    </w:p>
    <w:p w14:paraId="02608CB8">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3.3</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推荐中标候选人名单及排序；</w:t>
      </w:r>
    </w:p>
    <w:p w14:paraId="54D67623">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3.4</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向招标人、招标代理机构或者有关部门报告非法干预评标工作的行为。</w:t>
      </w:r>
    </w:p>
    <w:p w14:paraId="517F3324">
      <w:pPr>
        <w:autoSpaceDE w:val="0"/>
        <w:autoSpaceDN w:val="0"/>
        <w:adjustRightInd w:val="0"/>
        <w:spacing w:line="360" w:lineRule="auto"/>
        <w:jc w:val="left"/>
        <w:rPr>
          <w:rFonts w:ascii="宋体" w:hAnsi="宋体" w:eastAsia="宋体" w:cs="宋体"/>
          <w:color w:val="auto"/>
          <w:kern w:val="0"/>
          <w:sz w:val="24"/>
          <w:szCs w:val="24"/>
          <w:highlight w:val="none"/>
          <w:lang w:val="zh-CN"/>
        </w:rPr>
      </w:pPr>
    </w:p>
    <w:p w14:paraId="090549D7">
      <w:pPr>
        <w:tabs>
          <w:tab w:val="left" w:pos="720"/>
        </w:tabs>
        <w:autoSpaceDE w:val="0"/>
        <w:autoSpaceDN w:val="0"/>
        <w:adjustRightInd w:val="0"/>
        <w:spacing w:line="360" w:lineRule="auto"/>
        <w:outlineLvl w:val="0"/>
        <w:rPr>
          <w:rFonts w:ascii="宋体" w:hAnsi="宋体" w:eastAsia="宋体" w:cs="宋体"/>
          <w:b/>
          <w:bCs/>
          <w:color w:val="auto"/>
          <w:szCs w:val="21"/>
          <w:highlight w:val="none"/>
          <w:lang w:val="zh-CN"/>
        </w:rPr>
      </w:pPr>
      <w:bookmarkStart w:id="869" w:name="_Toc3588"/>
      <w:bookmarkStart w:id="870" w:name="_Toc10566"/>
      <w:r>
        <w:rPr>
          <w:rFonts w:hint="eastAsia" w:ascii="宋体" w:hAnsi="宋体" w:eastAsia="宋体" w:cs="宋体"/>
          <w:b/>
          <w:bCs/>
          <w:color w:val="auto"/>
          <w:szCs w:val="21"/>
          <w:highlight w:val="none"/>
          <w:lang w:val="zh-CN"/>
        </w:rPr>
        <w:t>4、评标委员会义务</w:t>
      </w:r>
      <w:bookmarkEnd w:id="869"/>
      <w:bookmarkEnd w:id="870"/>
    </w:p>
    <w:p w14:paraId="59D78E0E">
      <w:pPr>
        <w:autoSpaceDE w:val="0"/>
        <w:autoSpaceDN w:val="0"/>
        <w:adjustRightInd w:val="0"/>
        <w:spacing w:line="360" w:lineRule="auto"/>
        <w:jc w:val="left"/>
        <w:rPr>
          <w:rFonts w:ascii="宋体" w:hAnsi="宋体" w:eastAsia="宋体" w:cs="宋体"/>
          <w:color w:val="auto"/>
          <w:kern w:val="0"/>
          <w:szCs w:val="24"/>
          <w:highlight w:val="none"/>
          <w:lang w:val="zh-CN"/>
        </w:rPr>
      </w:pPr>
      <w:bookmarkStart w:id="871" w:name="_Toc23597"/>
      <w:r>
        <w:rPr>
          <w:rFonts w:hint="eastAsia" w:ascii="宋体" w:hAnsi="宋体" w:eastAsia="宋体" w:cs="宋体"/>
          <w:color w:val="auto"/>
          <w:kern w:val="0"/>
          <w:szCs w:val="24"/>
          <w:highlight w:val="none"/>
          <w:lang w:val="zh-CN"/>
        </w:rPr>
        <w:t>4.1  遵纪守法，客观、公正、廉洁地履行职责；</w:t>
      </w:r>
      <w:bookmarkEnd w:id="871"/>
    </w:p>
    <w:p w14:paraId="75DC2872">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4.2  按照招标文件规定的评标方法和评标标准进行评审，对评审意见承担个人责任；</w:t>
      </w:r>
    </w:p>
    <w:p w14:paraId="7125316B">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4.3  对评标过程和结果，以及投标人的商业秘密保密；</w:t>
      </w:r>
    </w:p>
    <w:p w14:paraId="076B48DA">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4.4  参与评标报告的起草；</w:t>
      </w:r>
    </w:p>
    <w:p w14:paraId="1FA8901D">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4.5  配合有关部门的投诉处理工作；</w:t>
      </w:r>
    </w:p>
    <w:p w14:paraId="24DA5298">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4.6  配合招标人、招标代理机构答复投标人提出的质疑、异议。</w:t>
      </w:r>
    </w:p>
    <w:p w14:paraId="7F2F02BA">
      <w:pPr>
        <w:tabs>
          <w:tab w:val="left" w:pos="720"/>
        </w:tabs>
        <w:autoSpaceDE w:val="0"/>
        <w:autoSpaceDN w:val="0"/>
        <w:adjustRightInd w:val="0"/>
        <w:spacing w:line="360" w:lineRule="auto"/>
        <w:rPr>
          <w:rFonts w:ascii="宋体" w:hAnsi="宋体" w:eastAsia="宋体" w:cs="宋体"/>
          <w:color w:val="auto"/>
          <w:sz w:val="24"/>
          <w:szCs w:val="24"/>
          <w:highlight w:val="none"/>
          <w:lang w:val="zh-CN"/>
        </w:rPr>
      </w:pPr>
    </w:p>
    <w:p w14:paraId="4A80263F">
      <w:pPr>
        <w:tabs>
          <w:tab w:val="left" w:pos="1547"/>
        </w:tabs>
        <w:autoSpaceDE w:val="0"/>
        <w:autoSpaceDN w:val="0"/>
        <w:adjustRightInd w:val="0"/>
        <w:spacing w:line="360" w:lineRule="auto"/>
        <w:outlineLvl w:val="0"/>
        <w:rPr>
          <w:rFonts w:ascii="宋体" w:hAnsi="宋体" w:eastAsia="宋体" w:cs="Times New Roman"/>
          <w:b/>
          <w:color w:val="auto"/>
          <w:szCs w:val="24"/>
          <w:highlight w:val="none"/>
          <w:lang w:val="zh-CN"/>
        </w:rPr>
      </w:pPr>
      <w:bookmarkStart w:id="872" w:name="_Toc19563"/>
      <w:bookmarkStart w:id="873" w:name="_Toc25106"/>
      <w:r>
        <w:rPr>
          <w:rFonts w:hint="eastAsia" w:ascii="宋体" w:hAnsi="宋体" w:eastAsia="宋体" w:cs="宋体"/>
          <w:b/>
          <w:bCs/>
          <w:color w:val="auto"/>
          <w:szCs w:val="21"/>
          <w:highlight w:val="none"/>
          <w:lang w:val="zh-CN"/>
        </w:rPr>
        <w:t>5、评审程序</w:t>
      </w:r>
      <w:bookmarkEnd w:id="872"/>
      <w:bookmarkEnd w:id="873"/>
    </w:p>
    <w:p w14:paraId="51D1A3B7">
      <w:pPr>
        <w:autoSpaceDE w:val="0"/>
        <w:autoSpaceDN w:val="0"/>
        <w:adjustRightInd w:val="0"/>
        <w:spacing w:line="360" w:lineRule="auto"/>
        <w:ind w:left="567" w:hanging="567"/>
        <w:rPr>
          <w:rFonts w:ascii="宋体" w:hAnsi="宋体" w:eastAsia="宋体" w:cs="Times New Roman"/>
          <w:b/>
          <w:color w:val="auto"/>
          <w:szCs w:val="24"/>
          <w:highlight w:val="none"/>
          <w:lang w:val="zh-CN"/>
        </w:rPr>
      </w:pPr>
      <w:r>
        <w:rPr>
          <w:rFonts w:hint="eastAsia" w:ascii="宋体" w:hAnsi="宋体" w:eastAsia="宋体" w:cs="Times New Roman"/>
          <w:b/>
          <w:color w:val="auto"/>
          <w:szCs w:val="24"/>
          <w:highlight w:val="none"/>
          <w:lang w:val="en-US" w:eastAsia="zh-CN"/>
        </w:rPr>
        <w:t>A</w:t>
      </w:r>
      <w:r>
        <w:rPr>
          <w:rFonts w:hint="eastAsia" w:ascii="宋体" w:hAnsi="宋体" w:eastAsia="宋体" w:cs="宋体"/>
          <w:b/>
          <w:color w:val="auto"/>
          <w:highlight w:val="none"/>
          <w:lang w:val="zh-CN"/>
        </w:rPr>
        <w:t>．</w:t>
      </w:r>
      <w:r>
        <w:rPr>
          <w:rFonts w:hint="eastAsia" w:ascii="宋体" w:hAnsi="宋体" w:eastAsia="宋体" w:cs="Times New Roman"/>
          <w:b/>
          <w:color w:val="auto"/>
          <w:szCs w:val="24"/>
          <w:highlight w:val="none"/>
          <w:lang w:val="zh-CN"/>
        </w:rPr>
        <w:t>公开招标：</w:t>
      </w:r>
    </w:p>
    <w:p w14:paraId="31BFEC1E">
      <w:pPr>
        <w:autoSpaceDE w:val="0"/>
        <w:autoSpaceDN w:val="0"/>
        <w:adjustRightInd w:val="0"/>
        <w:spacing w:line="360" w:lineRule="auto"/>
        <w:ind w:left="567" w:hanging="567"/>
        <w:rPr>
          <w:rFonts w:ascii="宋体" w:hAnsi="宋体" w:eastAsia="宋体" w:cs="Times New Roman"/>
          <w:bCs/>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1</w:t>
      </w:r>
      <w:r>
        <w:rPr>
          <w:rFonts w:ascii="宋体" w:hAnsi="宋体" w:eastAsia="宋体" w:cs="Times New Roman"/>
          <w:color w:val="auto"/>
          <w:szCs w:val="24"/>
          <w:highlight w:val="none"/>
          <w:lang w:val="zh-CN"/>
        </w:rPr>
        <w:tab/>
      </w:r>
      <w:r>
        <w:rPr>
          <w:rFonts w:hint="eastAsia" w:ascii="宋体" w:hAnsi="宋体" w:eastAsia="宋体" w:cs="Times New Roman"/>
          <w:bCs/>
          <w:color w:val="auto"/>
          <w:szCs w:val="24"/>
          <w:highlight w:val="none"/>
          <w:lang w:val="zh-CN"/>
        </w:rPr>
        <w:t>评审首先由评标委员会对投标人的</w:t>
      </w:r>
      <w:r>
        <w:rPr>
          <w:rFonts w:hint="eastAsia" w:ascii="宋体" w:hAnsi="宋体" w:eastAsia="宋体" w:cs="Times New Roman"/>
          <w:color w:val="auto"/>
          <w:szCs w:val="24"/>
          <w:highlight w:val="none"/>
          <w:lang w:val="zh-CN"/>
        </w:rPr>
        <w:t>投标</w:t>
      </w:r>
      <w:r>
        <w:rPr>
          <w:rFonts w:hint="eastAsia" w:ascii="宋体" w:hAnsi="宋体" w:eastAsia="宋体" w:cs="Times New Roman"/>
          <w:bCs/>
          <w:color w:val="auto"/>
          <w:szCs w:val="24"/>
          <w:highlight w:val="none"/>
          <w:lang w:val="zh-CN"/>
        </w:rPr>
        <w:t>文件做初审，对未能通过初审的投标文件不再进入下一阶段评审。</w:t>
      </w:r>
    </w:p>
    <w:p w14:paraId="53682742">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2</w:t>
      </w:r>
      <w:r>
        <w:rPr>
          <w:rFonts w:ascii="宋体" w:hAnsi="宋体" w:eastAsia="宋体" w:cs="Times New Roman"/>
          <w:color w:val="auto"/>
          <w:szCs w:val="24"/>
          <w:highlight w:val="none"/>
          <w:lang w:val="zh-CN"/>
        </w:rPr>
        <w:tab/>
      </w:r>
      <w:r>
        <w:rPr>
          <w:rFonts w:hint="eastAsia" w:ascii="宋体" w:hAnsi="宋体" w:eastAsia="宋体" w:cs="Times New Roman"/>
          <w:bCs/>
          <w:color w:val="auto"/>
          <w:szCs w:val="24"/>
          <w:highlight w:val="none"/>
          <w:lang w:val="zh-CN"/>
        </w:rPr>
        <w:t>评标</w:t>
      </w:r>
      <w:r>
        <w:rPr>
          <w:rFonts w:hint="eastAsia" w:ascii="宋体" w:hAnsi="宋体" w:eastAsia="宋体" w:cs="Arial"/>
          <w:color w:val="auto"/>
          <w:szCs w:val="24"/>
          <w:highlight w:val="none"/>
          <w:lang w:val="zh-CN"/>
        </w:rPr>
        <w:t>委员会</w:t>
      </w:r>
      <w:r>
        <w:rPr>
          <w:rFonts w:hint="eastAsia" w:ascii="宋体" w:hAnsi="宋体" w:eastAsia="宋体" w:cs="Times New Roman"/>
          <w:color w:val="auto"/>
          <w:szCs w:val="24"/>
          <w:highlight w:val="none"/>
          <w:lang w:val="zh-CN"/>
        </w:rPr>
        <w:t>对</w:t>
      </w:r>
      <w:r>
        <w:rPr>
          <w:rFonts w:hint="eastAsia" w:ascii="宋体" w:hAnsi="宋体" w:eastAsia="宋体" w:cs="Arial"/>
          <w:color w:val="auto"/>
          <w:szCs w:val="24"/>
          <w:highlight w:val="none"/>
          <w:lang w:val="zh-CN"/>
        </w:rPr>
        <w:t>通过初审的</w:t>
      </w:r>
      <w:r>
        <w:rPr>
          <w:rFonts w:hint="eastAsia" w:ascii="宋体" w:hAnsi="宋体" w:eastAsia="宋体" w:cs="Times New Roman"/>
          <w:color w:val="auto"/>
          <w:szCs w:val="24"/>
          <w:highlight w:val="none"/>
          <w:lang w:val="zh-CN"/>
        </w:rPr>
        <w:t>投标人的投标文件进行详细的比较和评价。如需要，进行必要的澄清工作。</w:t>
      </w:r>
    </w:p>
    <w:p w14:paraId="3CE22027">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3  依据评分标准以及各项权重，各位评标委员会成员单独就每个投标人的商务状况、技术状况进行比较和评价，分别评出其商务得分和技术得分。</w:t>
      </w:r>
    </w:p>
    <w:p w14:paraId="5AD7BA94">
      <w:pPr>
        <w:autoSpaceDE w:val="0"/>
        <w:autoSpaceDN w:val="0"/>
        <w:adjustRightInd w:val="0"/>
        <w:spacing w:line="360" w:lineRule="auto"/>
        <w:ind w:left="567" w:hanging="567"/>
        <w:rPr>
          <w:rFonts w:ascii="宋体" w:hAnsi="宋体" w:eastAsia="宋体" w:cs="Times New Roman"/>
          <w:color w:val="auto"/>
          <w:szCs w:val="24"/>
          <w:highlight w:val="none"/>
          <w:lang w:val="zh-CN"/>
        </w:rPr>
      </w:pPr>
      <w:bookmarkStart w:id="874" w:name="_Toc16504"/>
      <w:r>
        <w:rPr>
          <w:rFonts w:hint="eastAsia" w:ascii="宋体" w:hAnsi="宋体" w:eastAsia="宋体" w:cs="Times New Roman"/>
          <w:color w:val="auto"/>
          <w:szCs w:val="24"/>
          <w:highlight w:val="none"/>
          <w:lang w:val="zh-CN"/>
        </w:rPr>
        <w:t>5.4</w:t>
      </w:r>
      <w:r>
        <w:rPr>
          <w:rFonts w:ascii="宋体" w:hAnsi="宋体" w:eastAsia="宋体" w:cs="Times New Roman"/>
          <w:color w:val="auto"/>
          <w:szCs w:val="24"/>
          <w:highlight w:val="none"/>
          <w:lang w:val="zh-CN"/>
        </w:rPr>
        <w:tab/>
      </w:r>
      <w:r>
        <w:rPr>
          <w:rFonts w:hint="eastAsia" w:ascii="宋体" w:hAnsi="宋体" w:eastAsia="宋体" w:cs="Times New Roman"/>
          <w:color w:val="auto"/>
          <w:kern w:val="0"/>
          <w:szCs w:val="24"/>
          <w:highlight w:val="none"/>
          <w:lang w:val="zh-CN"/>
        </w:rPr>
        <w:t>对有效投标人的投标报价进行审查和价格评分。</w:t>
      </w:r>
      <w:bookmarkEnd w:id="874"/>
    </w:p>
    <w:p w14:paraId="1BECA434">
      <w:pPr>
        <w:autoSpaceDE w:val="0"/>
        <w:autoSpaceDN w:val="0"/>
        <w:adjustRightInd w:val="0"/>
        <w:spacing w:line="360" w:lineRule="auto"/>
        <w:ind w:left="567" w:hanging="567"/>
        <w:rPr>
          <w:rFonts w:ascii="宋体" w:hAnsi="宋体" w:eastAsia="宋体" w:cs="Times New Roman"/>
          <w:color w:val="auto"/>
          <w:kern w:val="0"/>
          <w:szCs w:val="24"/>
          <w:highlight w:val="none"/>
          <w:lang w:val="zh-CN"/>
        </w:rPr>
      </w:pPr>
      <w:r>
        <w:rPr>
          <w:rFonts w:hint="eastAsia" w:ascii="宋体" w:hAnsi="宋体" w:eastAsia="宋体" w:cs="Times New Roman"/>
          <w:color w:val="auto"/>
          <w:kern w:val="0"/>
          <w:szCs w:val="24"/>
          <w:highlight w:val="none"/>
          <w:lang w:val="zh-CN"/>
        </w:rPr>
        <w:t>5.5  将各</w:t>
      </w:r>
      <w:r>
        <w:rPr>
          <w:rFonts w:hint="eastAsia" w:ascii="宋体" w:hAnsi="宋体" w:eastAsia="宋体" w:cs="Times New Roman"/>
          <w:color w:val="auto"/>
          <w:szCs w:val="24"/>
          <w:highlight w:val="none"/>
          <w:lang w:val="zh-CN"/>
        </w:rPr>
        <w:t>评委对</w:t>
      </w:r>
      <w:r>
        <w:rPr>
          <w:rFonts w:hint="eastAsia" w:ascii="宋体" w:hAnsi="宋体" w:eastAsia="宋体" w:cs="Times New Roman"/>
          <w:color w:val="auto"/>
          <w:kern w:val="0"/>
          <w:szCs w:val="24"/>
          <w:highlight w:val="none"/>
          <w:lang w:val="zh-CN"/>
        </w:rPr>
        <w:t>投标人的技术打分的最终综合得分、商务打分的算术平均值和价格得分相加得出投标人的总分。</w:t>
      </w:r>
    </w:p>
    <w:p w14:paraId="28DDAD4C">
      <w:pPr>
        <w:autoSpaceDE w:val="0"/>
        <w:autoSpaceDN w:val="0"/>
        <w:adjustRightInd w:val="0"/>
        <w:spacing w:line="360" w:lineRule="auto"/>
        <w:ind w:left="567" w:hanging="567"/>
        <w:rPr>
          <w:rFonts w:ascii="宋体" w:hAnsi="宋体" w:eastAsia="宋体" w:cs="Times New Roman"/>
          <w:color w:val="auto"/>
          <w:kern w:val="0"/>
          <w:szCs w:val="21"/>
          <w:highlight w:val="none"/>
        </w:rPr>
      </w:pPr>
      <w:r>
        <w:rPr>
          <w:rFonts w:hint="eastAsia" w:ascii="宋体" w:hAnsi="宋体" w:eastAsia="宋体" w:cs="Times New Roman"/>
          <w:bCs/>
          <w:color w:val="auto"/>
          <w:kern w:val="0"/>
          <w:szCs w:val="24"/>
          <w:highlight w:val="none"/>
        </w:rPr>
        <w:t xml:space="preserve">5.6  </w:t>
      </w:r>
      <w:r>
        <w:rPr>
          <w:rFonts w:hint="eastAsia" w:ascii="宋体" w:hAnsi="宋体" w:eastAsia="宋体" w:cs="Times New Roman"/>
          <w:color w:val="auto"/>
          <w:kern w:val="0"/>
          <w:szCs w:val="21"/>
          <w:highlight w:val="none"/>
        </w:rPr>
        <w:t>评标委员会将向招标人推荐评标最后综合得分最高的前二名投标人为中标候选人，并标明排列顺序。</w:t>
      </w:r>
    </w:p>
    <w:p w14:paraId="1EB5694C">
      <w:pPr>
        <w:autoSpaceDE w:val="0"/>
        <w:autoSpaceDN w:val="0"/>
        <w:adjustRightInd w:val="0"/>
        <w:spacing w:line="360" w:lineRule="auto"/>
        <w:ind w:left="567" w:hanging="567"/>
        <w:rPr>
          <w:rFonts w:hint="eastAsia" w:ascii="宋体" w:hAnsi="宋体" w:eastAsia="宋体" w:cs="Times New Roman"/>
          <w:color w:val="auto"/>
          <w:szCs w:val="24"/>
          <w:highlight w:val="none"/>
          <w:lang w:val="zh-CN"/>
        </w:rPr>
      </w:pPr>
      <w:bookmarkStart w:id="875" w:name="_Toc20857"/>
      <w:r>
        <w:rPr>
          <w:rFonts w:hint="eastAsia" w:ascii="宋体" w:hAnsi="宋体" w:eastAsia="宋体" w:cs="Times New Roman"/>
          <w:color w:val="auto"/>
          <w:kern w:val="0"/>
          <w:szCs w:val="24"/>
          <w:highlight w:val="none"/>
          <w:lang w:val="zh-CN"/>
        </w:rPr>
        <w:t>5.</w:t>
      </w:r>
      <w:r>
        <w:rPr>
          <w:rFonts w:hint="eastAsia" w:ascii="宋体" w:hAnsi="宋体" w:eastAsia="宋体" w:cs="Times New Roman"/>
          <w:color w:val="auto"/>
          <w:szCs w:val="24"/>
          <w:highlight w:val="none"/>
          <w:lang w:val="zh-CN"/>
        </w:rPr>
        <w:t>7</w:t>
      </w:r>
      <w:r>
        <w:rPr>
          <w:rFonts w:ascii="宋体" w:hAnsi="宋体" w:eastAsia="宋体" w:cs="Times New Roman"/>
          <w:color w:val="auto"/>
          <w:szCs w:val="24"/>
          <w:highlight w:val="none"/>
          <w:lang w:val="zh-CN"/>
        </w:rPr>
        <w:tab/>
      </w:r>
      <w:r>
        <w:rPr>
          <w:rFonts w:hint="eastAsia" w:ascii="宋体" w:hAnsi="宋体" w:eastAsia="宋体" w:cs="Times New Roman"/>
          <w:color w:val="auto"/>
          <w:kern w:val="0"/>
          <w:szCs w:val="24"/>
          <w:highlight w:val="none"/>
          <w:lang w:val="zh-CN"/>
        </w:rPr>
        <w:t>评标委员会</w:t>
      </w:r>
      <w:r>
        <w:rPr>
          <w:rFonts w:hint="eastAsia" w:ascii="宋体" w:hAnsi="宋体" w:eastAsia="宋体" w:cs="Times New Roman"/>
          <w:color w:val="auto"/>
          <w:szCs w:val="24"/>
          <w:highlight w:val="none"/>
          <w:lang w:val="zh-CN"/>
        </w:rPr>
        <w:t>根据评审结果编写评标报告。</w:t>
      </w:r>
      <w:bookmarkEnd w:id="875"/>
    </w:p>
    <w:p w14:paraId="74DBAEF7">
      <w:pPr>
        <w:pStyle w:val="2"/>
        <w:rPr>
          <w:rFonts w:hint="eastAsia"/>
          <w:color w:val="auto"/>
          <w:highlight w:val="none"/>
          <w:lang w:val="zh-CN"/>
        </w:rPr>
      </w:pPr>
    </w:p>
    <w:p w14:paraId="629B3F0C">
      <w:pPr>
        <w:autoSpaceDE w:val="0"/>
        <w:autoSpaceDN w:val="0"/>
        <w:adjustRightInd w:val="0"/>
        <w:spacing w:line="360" w:lineRule="auto"/>
        <w:ind w:left="567" w:hanging="567"/>
        <w:rPr>
          <w:rFonts w:ascii="宋体" w:hAnsi="宋体" w:eastAsia="宋体" w:cs="Times New Roman"/>
          <w:b/>
          <w:color w:val="auto"/>
          <w:szCs w:val="24"/>
          <w:highlight w:val="none"/>
          <w:lang w:val="zh-CN"/>
        </w:rPr>
      </w:pPr>
      <w:r>
        <w:rPr>
          <w:rFonts w:ascii="宋体" w:hAnsi="宋体" w:eastAsia="宋体" w:cs="Times New Roman"/>
          <w:b/>
          <w:color w:val="auto"/>
          <w:szCs w:val="24"/>
          <w:highlight w:val="none"/>
          <w:lang w:val="zh-CN"/>
        </w:rPr>
        <w:t>B</w:t>
      </w:r>
      <w:r>
        <w:rPr>
          <w:rFonts w:hint="eastAsia" w:ascii="宋体" w:hAnsi="宋体" w:eastAsia="宋体" w:cs="Times New Roman"/>
          <w:b/>
          <w:color w:val="auto"/>
          <w:szCs w:val="24"/>
          <w:highlight w:val="none"/>
          <w:lang w:val="zh-CN"/>
        </w:rPr>
        <w:t>．竞争性谈判：</w:t>
      </w:r>
    </w:p>
    <w:p w14:paraId="3EA160A8">
      <w:pPr>
        <w:autoSpaceDE w:val="0"/>
        <w:autoSpaceDN w:val="0"/>
        <w:adjustRightInd w:val="0"/>
        <w:spacing w:line="360" w:lineRule="auto"/>
        <w:ind w:left="518" w:hanging="518"/>
        <w:rPr>
          <w:rFonts w:ascii="宋体" w:hAnsi="宋体" w:eastAsia="宋体" w:cs="Times New Roman"/>
          <w:color w:val="auto"/>
          <w:szCs w:val="21"/>
          <w:highlight w:val="none"/>
        </w:rPr>
      </w:pPr>
      <w:r>
        <w:rPr>
          <w:rFonts w:hint="eastAsia" w:ascii="宋体" w:hAnsi="宋体" w:eastAsia="宋体" w:cs="Times New Roman"/>
          <w:bCs/>
          <w:color w:val="auto"/>
          <w:szCs w:val="24"/>
          <w:highlight w:val="none"/>
          <w:lang w:val="zh-CN"/>
        </w:rPr>
        <w:t>5.8</w:t>
      </w:r>
      <w:r>
        <w:rPr>
          <w:rFonts w:ascii="宋体" w:hAnsi="宋体" w:eastAsia="宋体" w:cs="Times New Roman"/>
          <w:bCs/>
          <w:color w:val="auto"/>
          <w:szCs w:val="24"/>
          <w:highlight w:val="none"/>
        </w:rPr>
        <w:t xml:space="preserve">  </w:t>
      </w:r>
      <w:r>
        <w:rPr>
          <w:rFonts w:hint="eastAsia" w:ascii="宋体" w:hAnsi="宋体" w:eastAsia="宋体" w:cs="Times New Roman"/>
          <w:color w:val="auto"/>
          <w:szCs w:val="21"/>
          <w:highlight w:val="none"/>
        </w:rPr>
        <w:t>当有效</w:t>
      </w:r>
      <w:r>
        <w:rPr>
          <w:rFonts w:hint="eastAsia" w:ascii="宋体" w:hAnsi="宋体" w:eastAsia="宋体" w:cs="Times New Roman"/>
          <w:color w:val="auto"/>
          <w:szCs w:val="21"/>
          <w:highlight w:val="none"/>
          <w:lang w:val="zh-CN"/>
        </w:rPr>
        <w:t>投标人只有2个时，公开招标</w:t>
      </w:r>
      <w:r>
        <w:rPr>
          <w:rFonts w:hint="eastAsia" w:ascii="宋体" w:hAnsi="宋体" w:eastAsia="宋体" w:cs="Times New Roman"/>
          <w:color w:val="auto"/>
          <w:szCs w:val="21"/>
          <w:highlight w:val="none"/>
          <w:lang w:val="en-US" w:eastAsia="zh-CN"/>
        </w:rPr>
        <w:t>失败</w:t>
      </w:r>
      <w:r>
        <w:rPr>
          <w:rFonts w:hint="eastAsia" w:ascii="宋体" w:hAnsi="宋体" w:eastAsia="宋体" w:cs="Times New Roman"/>
          <w:color w:val="auto"/>
          <w:szCs w:val="21"/>
          <w:highlight w:val="none"/>
          <w:lang w:val="zh-CN"/>
        </w:rPr>
        <w:t>，经评标委员会论证，采购文件没有不合理条款、采购程序符合规定，现场经招标人代表和作出实质性响应的投标人代表同意后，现场更改为竞争性谈判的方式继续采购。</w:t>
      </w:r>
      <w:r>
        <w:rPr>
          <w:rFonts w:hint="eastAsia" w:ascii="宋体" w:hAnsi="宋体" w:eastAsia="宋体" w:cs="Times New Roman"/>
          <w:bCs/>
          <w:color w:val="auto"/>
          <w:szCs w:val="24"/>
          <w:highlight w:val="none"/>
          <w:lang w:val="zh-CN"/>
        </w:rPr>
        <w:t>评审首先由评标委员会对投标人的投标文件做</w:t>
      </w:r>
      <w:r>
        <w:rPr>
          <w:rFonts w:hint="eastAsia" w:ascii="宋体" w:hAnsi="宋体" w:eastAsia="宋体" w:cs="Times New Roman"/>
          <w:color w:val="auto"/>
          <w:szCs w:val="21"/>
          <w:highlight w:val="none"/>
          <w:lang w:val="zh-CN"/>
        </w:rPr>
        <w:t>初审</w:t>
      </w:r>
      <w:r>
        <w:rPr>
          <w:rFonts w:hint="eastAsia" w:ascii="宋体" w:hAnsi="宋体" w:eastAsia="宋体" w:cs="Times New Roman"/>
          <w:bCs/>
          <w:color w:val="auto"/>
          <w:szCs w:val="24"/>
          <w:highlight w:val="none"/>
          <w:lang w:val="zh-CN"/>
        </w:rPr>
        <w:t>，对未能通过初审的投标文件不再进入下一阶段评审。</w:t>
      </w:r>
    </w:p>
    <w:p w14:paraId="331A726D">
      <w:pPr>
        <w:autoSpaceDE w:val="0"/>
        <w:autoSpaceDN w:val="0"/>
        <w:adjustRightInd w:val="0"/>
        <w:spacing w:line="360" w:lineRule="auto"/>
        <w:ind w:left="518" w:hanging="518"/>
        <w:rPr>
          <w:rFonts w:ascii="宋体" w:hAnsi="宋体" w:eastAsia="宋体" w:cs="Times New Roman"/>
          <w:color w:val="auto"/>
          <w:kern w:val="0"/>
          <w:szCs w:val="21"/>
          <w:highlight w:val="none"/>
        </w:rPr>
      </w:pPr>
      <w:r>
        <w:rPr>
          <w:rFonts w:ascii="宋体" w:hAnsi="宋体" w:eastAsia="宋体" w:cs="Times New Roman"/>
          <w:color w:val="auto"/>
          <w:szCs w:val="24"/>
          <w:highlight w:val="none"/>
          <w:lang w:val="zh-CN"/>
        </w:rPr>
        <w:t>5.9</w:t>
      </w:r>
      <w:r>
        <w:rPr>
          <w:rFonts w:ascii="宋体" w:hAnsi="宋体" w:eastAsia="宋体" w:cs="Times New Roman"/>
          <w:color w:val="auto"/>
          <w:szCs w:val="24"/>
          <w:highlight w:val="none"/>
        </w:rPr>
        <w:t xml:space="preserve">  </w:t>
      </w:r>
      <w:r>
        <w:rPr>
          <w:rFonts w:hint="eastAsia" w:ascii="宋体" w:hAnsi="宋体" w:eastAsia="宋体" w:cs="Times New Roman"/>
          <w:color w:val="auto"/>
          <w:szCs w:val="21"/>
          <w:highlight w:val="none"/>
          <w:lang w:val="zh-CN"/>
        </w:rPr>
        <w:t>评标委员会将集中按递交投标文件的先后顺序逐一与合格的投标人</w:t>
      </w:r>
      <w:r>
        <w:rPr>
          <w:rFonts w:hint="eastAsia" w:ascii="宋体" w:hAnsi="宋体" w:eastAsia="宋体" w:cs="Times New Roman"/>
          <w:color w:val="auto"/>
          <w:kern w:val="0"/>
          <w:szCs w:val="21"/>
          <w:highlight w:val="none"/>
        </w:rPr>
        <w:t>进行相同轮次（一个或多个回合）谈判</w:t>
      </w:r>
      <w:r>
        <w:rPr>
          <w:rFonts w:hint="eastAsia" w:ascii="宋体" w:hAnsi="宋体" w:eastAsia="宋体" w:cs="Times New Roman"/>
          <w:color w:val="auto"/>
          <w:szCs w:val="21"/>
          <w:highlight w:val="none"/>
          <w:lang w:val="zh-CN"/>
        </w:rPr>
        <w:t>，并给予所有参加谈判的响应投标人平等的谈判机会。</w:t>
      </w:r>
      <w:r>
        <w:rPr>
          <w:rFonts w:hint="eastAsia" w:ascii="宋体" w:hAnsi="宋体" w:eastAsia="宋体" w:cs="Times New Roman"/>
          <w:color w:val="auto"/>
          <w:szCs w:val="24"/>
          <w:highlight w:val="none"/>
          <w:lang w:val="zh-CN"/>
        </w:rPr>
        <w:t>如需要，进行必要的澄清工作。</w:t>
      </w:r>
      <w:r>
        <w:rPr>
          <w:rFonts w:hint="eastAsia" w:ascii="宋体" w:hAnsi="宋体" w:eastAsia="宋体" w:cs="Times New Roman"/>
          <w:color w:val="auto"/>
          <w:kern w:val="0"/>
          <w:szCs w:val="21"/>
          <w:highlight w:val="none"/>
        </w:rPr>
        <w:t>在谈判中，谈判的任何一方不得透露与谈判有关的其他投标人的技术资料、报价和其他信息。</w:t>
      </w:r>
    </w:p>
    <w:p w14:paraId="7FA271E7">
      <w:pPr>
        <w:autoSpaceDE w:val="0"/>
        <w:autoSpaceDN w:val="0"/>
        <w:adjustRightInd w:val="0"/>
        <w:spacing w:line="360" w:lineRule="auto"/>
        <w:ind w:left="518" w:hanging="518"/>
        <w:rPr>
          <w:rFonts w:ascii="宋体" w:hAnsi="宋体" w:eastAsia="宋体" w:cs="Times New Roman"/>
          <w:color w:val="auto"/>
          <w:szCs w:val="24"/>
          <w:highlight w:val="none"/>
        </w:rPr>
      </w:pPr>
      <w:r>
        <w:rPr>
          <w:rFonts w:hint="eastAsia" w:ascii="宋体" w:hAnsi="宋体" w:eastAsia="宋体" w:cs="Times New Roman"/>
          <w:color w:val="auto"/>
          <w:szCs w:val="24"/>
          <w:highlight w:val="none"/>
          <w:lang w:val="zh-CN"/>
        </w:rPr>
        <w:t>5.</w:t>
      </w:r>
      <w:r>
        <w:rPr>
          <w:rFonts w:ascii="宋体" w:hAnsi="宋体" w:eastAsia="宋体" w:cs="Times New Roman"/>
          <w:color w:val="auto"/>
          <w:szCs w:val="24"/>
          <w:highlight w:val="none"/>
          <w:lang w:val="zh-CN"/>
        </w:rPr>
        <w:t>10</w:t>
      </w:r>
      <w:r>
        <w:rPr>
          <w:rFonts w:ascii="宋体" w:hAnsi="宋体" w:eastAsia="宋体" w:cs="Times New Roman"/>
          <w:color w:val="auto"/>
          <w:szCs w:val="24"/>
          <w:highlight w:val="none"/>
        </w:rPr>
        <w:t xml:space="preserve"> </w:t>
      </w:r>
      <w:r>
        <w:rPr>
          <w:rFonts w:hint="eastAsia" w:ascii="宋体" w:hAnsi="宋体" w:eastAsia="宋体" w:cs="Times New Roman"/>
          <w:color w:val="auto"/>
          <w:szCs w:val="24"/>
          <w:highlight w:val="none"/>
        </w:rPr>
        <w:t>在谈判过程中，评标委员会可以根据招标文件和谈判情况实质性变动采购需求中的技术、服务要求以及合同草案条款，但不得变动招标文件中的其他内容。实质性变动的内容，须经招标人代表确认，对招标文件作出的实质性变动是招标文件的有效组成部分，评标委员会应当及时以书面形式同时通知所有参加谈判的投标人。</w:t>
      </w:r>
    </w:p>
    <w:p w14:paraId="055F007C">
      <w:pPr>
        <w:autoSpaceDE w:val="0"/>
        <w:autoSpaceDN w:val="0"/>
        <w:adjustRightInd w:val="0"/>
        <w:spacing w:line="360" w:lineRule="auto"/>
        <w:ind w:left="518" w:hanging="518"/>
        <w:rPr>
          <w:rFonts w:ascii="宋体" w:hAnsi="宋体" w:eastAsia="宋体" w:cs="Times New Roman"/>
          <w:color w:val="auto"/>
          <w:szCs w:val="24"/>
          <w:highlight w:val="none"/>
        </w:rPr>
      </w:pPr>
      <w:r>
        <w:rPr>
          <w:rFonts w:hint="eastAsia" w:ascii="宋体" w:hAnsi="宋体" w:eastAsia="宋体" w:cs="Times New Roman"/>
          <w:color w:val="auto"/>
          <w:szCs w:val="24"/>
          <w:highlight w:val="none"/>
        </w:rPr>
        <w:t>5.</w:t>
      </w:r>
      <w:r>
        <w:rPr>
          <w:rFonts w:ascii="宋体" w:hAnsi="宋体" w:eastAsia="宋体" w:cs="Times New Roman"/>
          <w:color w:val="auto"/>
          <w:szCs w:val="24"/>
          <w:highlight w:val="none"/>
        </w:rPr>
        <w:t xml:space="preserve">11 </w:t>
      </w:r>
      <w:r>
        <w:rPr>
          <w:rFonts w:hint="eastAsia" w:ascii="宋体" w:hAnsi="宋体" w:eastAsia="宋体" w:cs="Times New Roman"/>
          <w:color w:val="auto"/>
          <w:szCs w:val="24"/>
          <w:highlight w:val="none"/>
        </w:rPr>
        <w:t>投标人应当按照招标文件的变动情况和评标委员会的要求补充承诺材料，并由其法定代表人或授权代表签字或者加盖公章。由授权代表签字的，应当附法定代表人授权书。投标人为自然人的，应当由本人签字并附身份证明。该补充材料作为投标文件的有效组成部分，当补充材料与原递交的投标文件内容不一致时，以补充材料为准。</w:t>
      </w:r>
    </w:p>
    <w:p w14:paraId="1D5AAE41">
      <w:pPr>
        <w:autoSpaceDE w:val="0"/>
        <w:autoSpaceDN w:val="0"/>
        <w:adjustRightInd w:val="0"/>
        <w:spacing w:line="360" w:lineRule="auto"/>
        <w:ind w:left="518" w:hanging="518"/>
        <w:rPr>
          <w:rFonts w:ascii="宋体" w:hAnsi="宋体" w:eastAsia="宋体" w:cs="Times New Roman"/>
          <w:b/>
          <w:color w:val="auto"/>
          <w:szCs w:val="21"/>
          <w:highlight w:val="none"/>
          <w:lang w:val="zh-CN"/>
        </w:rPr>
      </w:pPr>
      <w:r>
        <w:rPr>
          <w:rFonts w:hint="eastAsia" w:ascii="宋体" w:hAnsi="宋体" w:eastAsia="宋体" w:cs="Times New Roman"/>
          <w:color w:val="auto"/>
          <w:szCs w:val="24"/>
          <w:highlight w:val="none"/>
        </w:rPr>
        <w:t>5.</w:t>
      </w:r>
      <w:r>
        <w:rPr>
          <w:rFonts w:ascii="宋体" w:hAnsi="宋体" w:eastAsia="宋体" w:cs="Times New Roman"/>
          <w:color w:val="auto"/>
          <w:szCs w:val="24"/>
          <w:highlight w:val="none"/>
        </w:rPr>
        <w:t xml:space="preserve">12 </w:t>
      </w:r>
      <w:r>
        <w:rPr>
          <w:rFonts w:hint="eastAsia" w:ascii="宋体" w:hAnsi="宋体" w:eastAsia="宋体" w:cs="Times New Roman"/>
          <w:color w:val="auto"/>
          <w:szCs w:val="24"/>
          <w:highlight w:val="none"/>
        </w:rPr>
        <w:t>招标文件能够详细列明采购标的的技术、服务要求的，</w:t>
      </w:r>
      <w:r>
        <w:rPr>
          <w:rFonts w:hint="eastAsia" w:ascii="宋体" w:hAnsi="宋体" w:eastAsia="宋体" w:cs="Times New Roman"/>
          <w:color w:val="auto"/>
          <w:szCs w:val="21"/>
          <w:highlight w:val="none"/>
          <w:lang w:val="zh-CN"/>
        </w:rPr>
        <w:t>谈判结束后，所有作出实质性响应的有效投标人应在规定的时间内集中密封提交二次报价（即最后报价，最后报价时间视谈判进程由评标委员会决定）及其在谈判过程中涉及的有关承诺，最后报价是投标人投标文件的有效组成部分。</w:t>
      </w:r>
      <w:r>
        <w:rPr>
          <w:rFonts w:hint="eastAsia" w:ascii="宋体" w:hAnsi="宋体" w:eastAsia="宋体" w:cs="Times New Roman"/>
          <w:b/>
          <w:color w:val="auto"/>
          <w:szCs w:val="21"/>
          <w:highlight w:val="none"/>
          <w:lang w:val="zh-CN"/>
        </w:rPr>
        <w:t>如在谈判中评标委员会没有对本招标文件作实质性变动增加新的需求，后一轮报价不得高于前一轮报价。</w:t>
      </w:r>
    </w:p>
    <w:p w14:paraId="00C36C86">
      <w:pPr>
        <w:tabs>
          <w:tab w:val="left" w:pos="567"/>
        </w:tabs>
        <w:autoSpaceDE w:val="0"/>
        <w:autoSpaceDN w:val="0"/>
        <w:adjustRightInd w:val="0"/>
        <w:spacing w:line="360" w:lineRule="auto"/>
        <w:ind w:left="525" w:hanging="525" w:hangingChars="250"/>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5.13</w:t>
      </w:r>
      <w:r>
        <w:rPr>
          <w:rFonts w:ascii="宋体" w:hAnsi="宋体" w:eastAsia="宋体" w:cs="Times New Roman"/>
          <w:color w:val="auto"/>
          <w:szCs w:val="21"/>
          <w:highlight w:val="none"/>
        </w:rPr>
        <w:t xml:space="preserve"> </w:t>
      </w:r>
      <w:r>
        <w:rPr>
          <w:rFonts w:hint="eastAsia" w:ascii="宋体" w:hAnsi="宋体" w:eastAsia="宋体" w:cs="Times New Roman"/>
          <w:b/>
          <w:color w:val="auto"/>
          <w:szCs w:val="24"/>
          <w:highlight w:val="none"/>
        </w:rPr>
        <w:t>投标</w:t>
      </w:r>
      <w:r>
        <w:rPr>
          <w:rFonts w:ascii="宋体" w:hAnsi="宋体" w:eastAsia="宋体" w:cs="Times New Roman"/>
          <w:b/>
          <w:color w:val="auto"/>
          <w:szCs w:val="21"/>
          <w:highlight w:val="none"/>
          <w:lang w:val="zh-CN"/>
        </w:rPr>
        <w:t>人不得违反标准规范规定，通过降低</w:t>
      </w:r>
      <w:r>
        <w:rPr>
          <w:rFonts w:hint="eastAsia" w:ascii="宋体" w:hAnsi="宋体" w:eastAsia="宋体" w:cs="Times New Roman"/>
          <w:b/>
          <w:color w:val="auto"/>
          <w:szCs w:val="21"/>
          <w:highlight w:val="none"/>
          <w:lang w:val="zh-CN"/>
        </w:rPr>
        <w:t>货物或</w:t>
      </w:r>
      <w:r>
        <w:rPr>
          <w:rFonts w:ascii="宋体" w:hAnsi="宋体" w:eastAsia="宋体" w:cs="Times New Roman"/>
          <w:b/>
          <w:color w:val="auto"/>
          <w:szCs w:val="21"/>
          <w:highlight w:val="none"/>
          <w:lang w:val="zh-CN"/>
        </w:rPr>
        <w:t>服务质量、减少服务内容等手段进行恶性竞争，扰乱正常市场秩序。</w:t>
      </w:r>
      <w:r>
        <w:rPr>
          <w:rFonts w:hint="eastAsia" w:ascii="宋体" w:hAnsi="宋体" w:eastAsia="宋体" w:cs="Times New Roman"/>
          <w:b/>
          <w:color w:val="auto"/>
          <w:szCs w:val="24"/>
          <w:highlight w:val="none"/>
        </w:rPr>
        <w:t>投标</w:t>
      </w:r>
      <w:r>
        <w:rPr>
          <w:rFonts w:hint="eastAsia" w:ascii="宋体" w:hAnsi="宋体" w:eastAsia="宋体" w:cs="Times New Roman"/>
          <w:b/>
          <w:color w:val="auto"/>
          <w:szCs w:val="21"/>
          <w:highlight w:val="none"/>
          <w:lang w:val="zh-CN"/>
        </w:rPr>
        <w:t>人不得以低于成本的报价竞标。如果评标委员会发现</w:t>
      </w:r>
      <w:r>
        <w:rPr>
          <w:rFonts w:hint="eastAsia" w:ascii="宋体" w:hAnsi="宋体" w:eastAsia="宋体" w:cs="Times New Roman"/>
          <w:b/>
          <w:color w:val="auto"/>
          <w:szCs w:val="24"/>
          <w:highlight w:val="none"/>
        </w:rPr>
        <w:t>投标</w:t>
      </w:r>
      <w:r>
        <w:rPr>
          <w:rFonts w:hint="eastAsia" w:ascii="宋体" w:hAnsi="宋体" w:eastAsia="宋体" w:cs="Times New Roman"/>
          <w:b/>
          <w:color w:val="auto"/>
          <w:szCs w:val="21"/>
          <w:highlight w:val="none"/>
          <w:lang w:val="zh-CN"/>
        </w:rPr>
        <w:t>人的最后报价明显低于其他投标人的最后报价，使得其报价可能低于其自身成本的，将要求该投标人作出书面说明并提供相关证明材料。投标人不能合理说明或不能提供相关证明材料的，评标委员会将认定该投标人以低于成本报价竞标，其投标将被视为无效投标。</w:t>
      </w:r>
    </w:p>
    <w:p w14:paraId="00902D15">
      <w:pPr>
        <w:tabs>
          <w:tab w:val="left" w:pos="567"/>
        </w:tabs>
        <w:autoSpaceDE w:val="0"/>
        <w:autoSpaceDN w:val="0"/>
        <w:adjustRightInd w:val="0"/>
        <w:spacing w:line="360" w:lineRule="auto"/>
        <w:ind w:left="525" w:hanging="525" w:hangingChars="250"/>
        <w:rPr>
          <w:rFonts w:ascii="宋体" w:hAnsi="宋体" w:eastAsia="宋体" w:cs="Times New Roman"/>
          <w:color w:val="auto"/>
          <w:kern w:val="0"/>
          <w:szCs w:val="21"/>
          <w:highlight w:val="none"/>
        </w:rPr>
      </w:pPr>
      <w:r>
        <w:rPr>
          <w:rFonts w:ascii="宋体" w:hAnsi="宋体" w:eastAsia="宋体" w:cs="Times New Roman"/>
          <w:color w:val="auto"/>
          <w:szCs w:val="21"/>
          <w:highlight w:val="none"/>
          <w:lang w:val="zh-CN"/>
        </w:rPr>
        <w:t xml:space="preserve">5.14 </w:t>
      </w:r>
      <w:r>
        <w:rPr>
          <w:rFonts w:hint="eastAsia" w:ascii="宋体" w:hAnsi="宋体" w:eastAsia="宋体" w:cs="Times New Roman"/>
          <w:color w:val="auto"/>
          <w:kern w:val="0"/>
          <w:szCs w:val="21"/>
          <w:highlight w:val="none"/>
        </w:rPr>
        <w:t>参与竞争性谈判的投标人，在提交最</w:t>
      </w:r>
      <w:r>
        <w:rPr>
          <w:rFonts w:hint="eastAsia" w:ascii="宋体" w:hAnsi="宋体" w:eastAsia="宋体" w:cs="Times New Roman"/>
          <w:color w:val="auto"/>
          <w:szCs w:val="21"/>
          <w:highlight w:val="none"/>
          <w:lang w:val="zh-CN"/>
        </w:rPr>
        <w:t>后</w:t>
      </w:r>
      <w:r>
        <w:rPr>
          <w:rFonts w:hint="eastAsia" w:ascii="宋体" w:hAnsi="宋体" w:eastAsia="宋体" w:cs="Times New Roman"/>
          <w:color w:val="auto"/>
          <w:kern w:val="0"/>
          <w:szCs w:val="21"/>
          <w:highlight w:val="none"/>
        </w:rPr>
        <w:t>报价之前，可以根据谈判情况退出谈判，招标人将退还其投标保证金。</w:t>
      </w:r>
    </w:p>
    <w:p w14:paraId="1EBB5720">
      <w:pPr>
        <w:autoSpaceDE w:val="0"/>
        <w:autoSpaceDN w:val="0"/>
        <w:adjustRightInd w:val="0"/>
        <w:spacing w:line="360" w:lineRule="auto"/>
        <w:ind w:left="518" w:hanging="518"/>
        <w:rPr>
          <w:rFonts w:ascii="宋体" w:hAnsi="宋体" w:eastAsia="宋体" w:cs="Times New Roman"/>
          <w:color w:val="auto"/>
          <w:kern w:val="0"/>
          <w:szCs w:val="21"/>
          <w:highlight w:val="none"/>
          <w:u w:val="single"/>
        </w:rPr>
      </w:pPr>
      <w:r>
        <w:rPr>
          <w:rFonts w:hint="eastAsia" w:ascii="宋体" w:hAnsi="宋体" w:eastAsia="宋体" w:cs="Arial"/>
          <w:color w:val="auto"/>
          <w:szCs w:val="24"/>
          <w:highlight w:val="none"/>
          <w:lang w:val="zh-CN"/>
        </w:rPr>
        <w:t>5.</w:t>
      </w:r>
      <w:r>
        <w:rPr>
          <w:rFonts w:ascii="宋体" w:hAnsi="宋体" w:eastAsia="宋体" w:cs="Arial"/>
          <w:color w:val="auto"/>
          <w:szCs w:val="24"/>
          <w:highlight w:val="none"/>
          <w:lang w:val="zh-CN"/>
        </w:rPr>
        <w:t>15</w:t>
      </w:r>
      <w:r>
        <w:rPr>
          <w:rFonts w:ascii="宋体" w:hAnsi="宋体" w:eastAsia="宋体" w:cs="Arial"/>
          <w:color w:val="auto"/>
          <w:szCs w:val="24"/>
          <w:highlight w:val="none"/>
        </w:rPr>
        <w:t xml:space="preserve"> </w:t>
      </w:r>
      <w:r>
        <w:rPr>
          <w:rFonts w:hint="eastAsia" w:ascii="宋体" w:hAnsi="宋体" w:eastAsia="宋体" w:cs="Arial"/>
          <w:color w:val="auto"/>
          <w:szCs w:val="24"/>
          <w:highlight w:val="none"/>
          <w:lang w:val="zh-CN"/>
        </w:rPr>
        <w:t>评标委员会将从质量和服务均能满足招标文件实质性响应要求的供应商中，按照最后报价由低到高的顺序向招标人推荐最后报价最低的投标人为第一成交候选人，推荐最后报价次低的投标人为第二成交候选人。如出现两个相同报价，则由评标委员会组织上述供应商进行第三轮或多轮报价，直至上述供应商报出不同报价，并按上述原则确定第一、第二成交候选人</w:t>
      </w:r>
      <w:r>
        <w:rPr>
          <w:rFonts w:hint="eastAsia" w:ascii="宋体" w:hAnsi="宋体" w:eastAsia="宋体" w:cs="Times New Roman"/>
          <w:color w:val="auto"/>
          <w:kern w:val="0"/>
          <w:szCs w:val="21"/>
          <w:highlight w:val="none"/>
        </w:rPr>
        <w:t>。</w:t>
      </w:r>
    </w:p>
    <w:p w14:paraId="29A74E96">
      <w:pPr>
        <w:autoSpaceDE w:val="0"/>
        <w:autoSpaceDN w:val="0"/>
        <w:adjustRightInd w:val="0"/>
        <w:spacing w:line="360" w:lineRule="auto"/>
        <w:ind w:left="518" w:hanging="518"/>
        <w:rPr>
          <w:rFonts w:ascii="宋体" w:hAnsi="宋体" w:eastAsia="宋体" w:cs="Times New Roman"/>
          <w:color w:val="auto"/>
          <w:szCs w:val="24"/>
          <w:highlight w:val="none"/>
          <w:lang w:val="zh-CN"/>
        </w:rPr>
      </w:pPr>
      <w:r>
        <w:rPr>
          <w:rFonts w:hint="eastAsia" w:ascii="宋体" w:hAnsi="宋体" w:eastAsia="宋体" w:cs="Times New Roman"/>
          <w:color w:val="auto"/>
          <w:kern w:val="0"/>
          <w:szCs w:val="24"/>
          <w:highlight w:val="none"/>
          <w:lang w:val="zh-CN"/>
        </w:rPr>
        <w:t>5.</w:t>
      </w:r>
      <w:r>
        <w:rPr>
          <w:rFonts w:hint="eastAsia" w:ascii="宋体" w:hAnsi="宋体" w:eastAsia="宋体" w:cs="Times New Roman"/>
          <w:color w:val="auto"/>
          <w:szCs w:val="24"/>
          <w:highlight w:val="none"/>
          <w:lang w:val="zh-CN"/>
        </w:rPr>
        <w:t>1</w:t>
      </w:r>
      <w:r>
        <w:rPr>
          <w:rFonts w:ascii="宋体" w:hAnsi="宋体" w:eastAsia="宋体" w:cs="Times New Roman"/>
          <w:color w:val="auto"/>
          <w:szCs w:val="24"/>
          <w:highlight w:val="none"/>
          <w:lang w:val="zh-CN"/>
        </w:rPr>
        <w:t>6</w:t>
      </w:r>
      <w:r>
        <w:rPr>
          <w:rFonts w:ascii="宋体" w:hAnsi="宋体" w:eastAsia="宋体" w:cs="Times New Roman"/>
          <w:color w:val="auto"/>
          <w:szCs w:val="24"/>
          <w:highlight w:val="none"/>
        </w:rPr>
        <w:t xml:space="preserve"> </w:t>
      </w:r>
      <w:r>
        <w:rPr>
          <w:rFonts w:hint="eastAsia" w:ascii="宋体" w:hAnsi="宋体" w:eastAsia="宋体" w:cs="Times New Roman"/>
          <w:color w:val="auto"/>
          <w:kern w:val="0"/>
          <w:szCs w:val="24"/>
          <w:highlight w:val="none"/>
          <w:lang w:val="zh-CN"/>
        </w:rPr>
        <w:t>评标委员会</w:t>
      </w:r>
      <w:r>
        <w:rPr>
          <w:rFonts w:hint="eastAsia" w:ascii="宋体" w:hAnsi="宋体" w:eastAsia="宋体" w:cs="Times New Roman"/>
          <w:color w:val="auto"/>
          <w:szCs w:val="24"/>
          <w:highlight w:val="none"/>
          <w:lang w:val="zh-CN"/>
        </w:rPr>
        <w:t>根据评审结果编写评审报告。</w:t>
      </w:r>
    </w:p>
    <w:p w14:paraId="4E39567A">
      <w:pPr>
        <w:autoSpaceDE w:val="0"/>
        <w:autoSpaceDN w:val="0"/>
        <w:adjustRightInd w:val="0"/>
        <w:spacing w:line="360" w:lineRule="auto"/>
        <w:ind w:left="518" w:hanging="518"/>
        <w:rPr>
          <w:rFonts w:ascii="宋体" w:hAnsi="宋体" w:eastAsia="宋体" w:cs="Times New Roman"/>
          <w:color w:val="auto"/>
          <w:szCs w:val="21"/>
          <w:highlight w:val="none"/>
        </w:rPr>
      </w:pPr>
    </w:p>
    <w:p w14:paraId="5A91862A">
      <w:pPr>
        <w:autoSpaceDE w:val="0"/>
        <w:autoSpaceDN w:val="0"/>
        <w:adjustRightInd w:val="0"/>
        <w:spacing w:line="360" w:lineRule="auto"/>
        <w:ind w:left="567" w:hanging="567"/>
        <w:rPr>
          <w:rFonts w:ascii="宋体" w:hAnsi="宋体" w:eastAsia="宋体" w:cs="Times New Roman"/>
          <w:b/>
          <w:color w:val="auto"/>
          <w:szCs w:val="24"/>
          <w:highlight w:val="none"/>
          <w:lang w:val="zh-CN"/>
        </w:rPr>
      </w:pPr>
      <w:r>
        <w:rPr>
          <w:rFonts w:ascii="宋体" w:hAnsi="宋体" w:eastAsia="宋体" w:cs="Times New Roman"/>
          <w:b/>
          <w:color w:val="auto"/>
          <w:szCs w:val="24"/>
          <w:highlight w:val="none"/>
          <w:lang w:val="zh-CN"/>
        </w:rPr>
        <w:t>C</w:t>
      </w:r>
      <w:r>
        <w:rPr>
          <w:rFonts w:hint="eastAsia" w:ascii="宋体" w:hAnsi="宋体" w:eastAsia="宋体" w:cs="Times New Roman"/>
          <w:b/>
          <w:color w:val="auto"/>
          <w:szCs w:val="24"/>
          <w:highlight w:val="none"/>
          <w:lang w:val="zh-CN"/>
        </w:rPr>
        <w:t>．单一来源：</w:t>
      </w:r>
    </w:p>
    <w:p w14:paraId="3BADDBCF">
      <w:pPr>
        <w:autoSpaceDE w:val="0"/>
        <w:autoSpaceDN w:val="0"/>
        <w:adjustRightInd w:val="0"/>
        <w:spacing w:line="360" w:lineRule="auto"/>
        <w:ind w:left="518" w:hanging="518"/>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5.1</w:t>
      </w:r>
      <w:r>
        <w:rPr>
          <w:rFonts w:ascii="宋体" w:hAnsi="宋体" w:eastAsia="宋体" w:cs="Times New Roman"/>
          <w:color w:val="auto"/>
          <w:szCs w:val="21"/>
          <w:highlight w:val="none"/>
        </w:rPr>
        <w:t>7</w:t>
      </w:r>
      <w:r>
        <w:rPr>
          <w:rFonts w:hint="eastAsia" w:ascii="宋体" w:hAnsi="宋体" w:eastAsia="宋体" w:cs="Times New Roman"/>
          <w:color w:val="auto"/>
          <w:szCs w:val="21"/>
          <w:highlight w:val="none"/>
        </w:rPr>
        <w:t xml:space="preserve"> 当</w:t>
      </w:r>
      <w:r>
        <w:rPr>
          <w:rFonts w:hint="eastAsia" w:ascii="宋体" w:hAnsi="宋体" w:eastAsia="宋体" w:cs="Times New Roman"/>
          <w:color w:val="auto"/>
          <w:szCs w:val="21"/>
          <w:highlight w:val="none"/>
          <w:lang w:val="zh-CN"/>
        </w:rPr>
        <w:t>有效的投标人只有1个时，公开招标</w:t>
      </w:r>
      <w:r>
        <w:rPr>
          <w:rFonts w:hint="eastAsia" w:ascii="宋体" w:hAnsi="宋体" w:eastAsia="宋体" w:cs="Times New Roman"/>
          <w:color w:val="auto"/>
          <w:szCs w:val="21"/>
          <w:highlight w:val="none"/>
          <w:lang w:val="en-US" w:eastAsia="zh-CN"/>
        </w:rPr>
        <w:t>失败</w:t>
      </w:r>
      <w:r>
        <w:rPr>
          <w:rFonts w:hint="eastAsia" w:ascii="宋体" w:hAnsi="宋体" w:eastAsia="宋体" w:cs="Times New Roman"/>
          <w:color w:val="auto"/>
          <w:szCs w:val="21"/>
          <w:highlight w:val="none"/>
          <w:lang w:val="zh-CN"/>
        </w:rPr>
        <w:t>，经</w:t>
      </w:r>
      <w:r>
        <w:rPr>
          <w:rFonts w:hint="eastAsia" w:ascii="宋体" w:hAnsi="宋体" w:eastAsia="宋体" w:cs="Times New Roman"/>
          <w:color w:val="auto"/>
          <w:szCs w:val="21"/>
          <w:highlight w:val="none"/>
        </w:rPr>
        <w:t>评标委员会</w:t>
      </w:r>
      <w:r>
        <w:rPr>
          <w:rFonts w:hint="eastAsia" w:ascii="宋体" w:hAnsi="宋体" w:eastAsia="宋体" w:cs="Times New Roman"/>
          <w:color w:val="auto"/>
          <w:szCs w:val="21"/>
          <w:highlight w:val="none"/>
          <w:lang w:val="zh-CN"/>
        </w:rPr>
        <w:t>论证，采购文件没有不合理条款、采购程序符合规定，现场经招标人代表和作出实质性响应的投标人代表同意后，更改为单一来源的方式继续采购。</w:t>
      </w:r>
      <w:r>
        <w:rPr>
          <w:rFonts w:hint="eastAsia" w:ascii="宋体" w:hAnsi="宋体" w:eastAsia="宋体" w:cs="Times New Roman"/>
          <w:bCs/>
          <w:color w:val="auto"/>
          <w:szCs w:val="24"/>
          <w:highlight w:val="none"/>
          <w:lang w:val="zh-CN"/>
        </w:rPr>
        <w:t>由评标委员会按照本评标工作大纲总则内的5.1</w:t>
      </w:r>
      <w:r>
        <w:rPr>
          <w:rFonts w:ascii="宋体" w:hAnsi="宋体" w:eastAsia="宋体" w:cs="Times New Roman"/>
          <w:bCs/>
          <w:color w:val="auto"/>
          <w:szCs w:val="24"/>
          <w:highlight w:val="none"/>
          <w:lang w:val="zh-CN"/>
        </w:rPr>
        <w:t>8</w:t>
      </w:r>
      <w:r>
        <w:rPr>
          <w:rFonts w:hint="eastAsia" w:ascii="宋体" w:hAnsi="宋体" w:eastAsia="宋体" w:cs="Times New Roman"/>
          <w:bCs/>
          <w:color w:val="auto"/>
          <w:szCs w:val="24"/>
          <w:highlight w:val="none"/>
          <w:lang w:val="zh-CN"/>
        </w:rPr>
        <w:t>款至5.</w:t>
      </w:r>
      <w:r>
        <w:rPr>
          <w:rFonts w:ascii="宋体" w:hAnsi="宋体" w:eastAsia="宋体" w:cs="Times New Roman"/>
          <w:bCs/>
          <w:color w:val="auto"/>
          <w:szCs w:val="24"/>
          <w:highlight w:val="none"/>
          <w:lang w:val="zh-CN"/>
        </w:rPr>
        <w:t>22</w:t>
      </w:r>
      <w:r>
        <w:rPr>
          <w:rFonts w:hint="eastAsia" w:ascii="宋体" w:hAnsi="宋体" w:eastAsia="宋体" w:cs="Times New Roman"/>
          <w:bCs/>
          <w:color w:val="auto"/>
          <w:szCs w:val="24"/>
          <w:highlight w:val="none"/>
          <w:lang w:val="zh-CN"/>
        </w:rPr>
        <w:t>款的约定直接与投标人在保证采购质量的前提下商定合理的成交价格。</w:t>
      </w:r>
    </w:p>
    <w:p w14:paraId="7123323C">
      <w:pPr>
        <w:autoSpaceDE w:val="0"/>
        <w:autoSpaceDN w:val="0"/>
        <w:adjustRightInd w:val="0"/>
        <w:spacing w:line="360" w:lineRule="auto"/>
        <w:ind w:left="518" w:hanging="518"/>
        <w:rPr>
          <w:rFonts w:ascii="宋体" w:hAnsi="宋体" w:eastAsia="宋体" w:cs="Times New Roman"/>
          <w:bCs/>
          <w:color w:val="auto"/>
          <w:szCs w:val="24"/>
          <w:highlight w:val="none"/>
          <w:lang w:val="zh-CN"/>
        </w:rPr>
      </w:pPr>
      <w:r>
        <w:rPr>
          <w:rFonts w:hint="eastAsia" w:ascii="宋体" w:hAnsi="宋体" w:eastAsia="宋体" w:cs="Times New Roman"/>
          <w:color w:val="auto"/>
          <w:szCs w:val="21"/>
          <w:highlight w:val="none"/>
          <w:lang w:val="zh-CN"/>
        </w:rPr>
        <w:t>5.1</w:t>
      </w:r>
      <w:r>
        <w:rPr>
          <w:rFonts w:ascii="宋体" w:hAnsi="宋体" w:eastAsia="宋体" w:cs="Times New Roman"/>
          <w:color w:val="auto"/>
          <w:szCs w:val="21"/>
          <w:highlight w:val="none"/>
          <w:lang w:val="zh-CN"/>
        </w:rPr>
        <w:t>8</w:t>
      </w:r>
      <w:r>
        <w:rPr>
          <w:rFonts w:hint="eastAsia" w:ascii="宋体" w:hAnsi="宋体" w:eastAsia="宋体" w:cs="Times New Roman"/>
          <w:bCs/>
          <w:color w:val="auto"/>
          <w:szCs w:val="24"/>
          <w:highlight w:val="none"/>
          <w:lang w:val="zh-CN"/>
        </w:rPr>
        <w:t xml:space="preserve"> 评标委员会直接与</w:t>
      </w:r>
      <w:r>
        <w:rPr>
          <w:rFonts w:hint="eastAsia" w:ascii="宋体" w:hAnsi="宋体" w:eastAsia="宋体" w:cs="Times New Roman"/>
          <w:color w:val="auto"/>
          <w:szCs w:val="24"/>
          <w:highlight w:val="none"/>
          <w:lang w:val="zh-CN"/>
        </w:rPr>
        <w:t>投标人进行谈判协商，然后对最终报价及投标文件进行审查，得出评审结果，编写评审报告（含协商情况记录）及推荐成交候选人。</w:t>
      </w:r>
    </w:p>
    <w:p w14:paraId="0D81E0E5">
      <w:pPr>
        <w:autoSpaceDE w:val="0"/>
        <w:autoSpaceDN w:val="0"/>
        <w:adjustRightInd w:val="0"/>
        <w:spacing w:line="360" w:lineRule="auto"/>
        <w:ind w:left="518" w:hanging="518"/>
        <w:rPr>
          <w:rFonts w:ascii="宋体" w:hAnsi="宋体" w:eastAsia="宋体" w:cs="Times New Roman"/>
          <w:color w:val="auto"/>
          <w:szCs w:val="24"/>
          <w:highlight w:val="none"/>
        </w:rPr>
      </w:pPr>
      <w:r>
        <w:rPr>
          <w:rFonts w:hint="eastAsia" w:ascii="宋体" w:hAnsi="宋体" w:eastAsia="宋体" w:cs="Times New Roman"/>
          <w:bCs/>
          <w:color w:val="auto"/>
          <w:szCs w:val="24"/>
          <w:highlight w:val="none"/>
          <w:lang w:val="zh-CN"/>
        </w:rPr>
        <w:t>5.</w:t>
      </w:r>
      <w:r>
        <w:rPr>
          <w:rFonts w:ascii="宋体" w:hAnsi="宋体" w:eastAsia="宋体" w:cs="Times New Roman"/>
          <w:bCs/>
          <w:color w:val="auto"/>
          <w:szCs w:val="24"/>
          <w:highlight w:val="none"/>
          <w:lang w:val="zh-CN"/>
        </w:rPr>
        <w:t xml:space="preserve">19 </w:t>
      </w:r>
      <w:r>
        <w:rPr>
          <w:rFonts w:hint="eastAsia" w:ascii="宋体" w:hAnsi="宋体" w:eastAsia="宋体" w:cs="Times New Roman"/>
          <w:color w:val="auto"/>
          <w:szCs w:val="24"/>
          <w:highlight w:val="none"/>
        </w:rPr>
        <w:t>在协商的过程中，评标委员会可以根据招标文件和协商情况实质性变动采购需求中的技术、服务要求以及合同草案条款。实质性变动的内容，须经招标人代表确认，对招标文件作出的实质性变动是招标文件的有效组成部分。</w:t>
      </w:r>
    </w:p>
    <w:p w14:paraId="79013304">
      <w:pPr>
        <w:autoSpaceDE w:val="0"/>
        <w:autoSpaceDN w:val="0"/>
        <w:adjustRightInd w:val="0"/>
        <w:spacing w:line="360" w:lineRule="auto"/>
        <w:ind w:left="518" w:hanging="518"/>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rPr>
        <w:t>5.</w:t>
      </w:r>
      <w:r>
        <w:rPr>
          <w:rFonts w:ascii="宋体" w:hAnsi="宋体" w:eastAsia="宋体" w:cs="Times New Roman"/>
          <w:color w:val="auto"/>
          <w:szCs w:val="24"/>
          <w:highlight w:val="none"/>
        </w:rPr>
        <w:t xml:space="preserve">20 </w:t>
      </w:r>
      <w:r>
        <w:rPr>
          <w:rFonts w:hint="eastAsia" w:ascii="宋体" w:hAnsi="宋体" w:eastAsia="宋体" w:cs="Times New Roman"/>
          <w:color w:val="auto"/>
          <w:szCs w:val="24"/>
          <w:highlight w:val="none"/>
        </w:rPr>
        <w:t>投标人应当按照招标文件的变动情况和评标委员会的要求补充承诺材料，并由其法定代表人或授权代表签字或者加盖公章。由授权代表签字的，应当附法定代表人授权书。投标人为自然人的，应当由本人签字并附身份证明。该补充材料作为投标文件的有效组成部分，当补充材料与原递交的投标文件内容不一致时，以补充材料为准。</w:t>
      </w:r>
    </w:p>
    <w:p w14:paraId="2B446AA8">
      <w:pPr>
        <w:autoSpaceDE w:val="0"/>
        <w:autoSpaceDN w:val="0"/>
        <w:adjustRightInd w:val="0"/>
        <w:spacing w:line="360" w:lineRule="auto"/>
        <w:ind w:left="518" w:hanging="518"/>
        <w:rPr>
          <w:rFonts w:ascii="宋体" w:hAnsi="宋体" w:eastAsia="宋体" w:cs="Times New Roman"/>
          <w:b/>
          <w:color w:val="auto"/>
          <w:szCs w:val="21"/>
          <w:highlight w:val="none"/>
          <w:lang w:val="zh-CN"/>
        </w:rPr>
      </w:pPr>
      <w:r>
        <w:rPr>
          <w:rFonts w:hint="eastAsia" w:ascii="宋体" w:hAnsi="宋体" w:eastAsia="宋体" w:cs="Times New Roman"/>
          <w:color w:val="auto"/>
          <w:szCs w:val="24"/>
          <w:highlight w:val="none"/>
        </w:rPr>
        <w:t>5.</w:t>
      </w:r>
      <w:r>
        <w:rPr>
          <w:rFonts w:ascii="宋体" w:hAnsi="宋体" w:eastAsia="宋体" w:cs="Times New Roman"/>
          <w:color w:val="auto"/>
          <w:szCs w:val="24"/>
          <w:highlight w:val="none"/>
        </w:rPr>
        <w:t xml:space="preserve">21 </w:t>
      </w:r>
      <w:r>
        <w:rPr>
          <w:rFonts w:hint="eastAsia" w:ascii="宋体" w:hAnsi="宋体" w:eastAsia="宋体" w:cs="Times New Roman"/>
          <w:color w:val="auto"/>
          <w:szCs w:val="24"/>
          <w:highlight w:val="none"/>
        </w:rPr>
        <w:t>招标文件能够详细列明采购标的的技术、服务要求的，协商</w:t>
      </w:r>
      <w:r>
        <w:rPr>
          <w:rFonts w:hint="eastAsia" w:ascii="宋体" w:hAnsi="宋体" w:eastAsia="宋体" w:cs="Times New Roman"/>
          <w:color w:val="auto"/>
          <w:szCs w:val="21"/>
          <w:highlight w:val="none"/>
          <w:lang w:val="zh-CN"/>
        </w:rPr>
        <w:t>结束后，投标人应在规定的时间内提交二次报价（即最终报价，最终报价时间视协商进程由评标委员会决定），最终报价是投标人投标文件的有效组成部分。</w:t>
      </w:r>
      <w:r>
        <w:rPr>
          <w:rFonts w:hint="eastAsia" w:ascii="宋体" w:hAnsi="宋体" w:eastAsia="宋体" w:cs="Times New Roman"/>
          <w:b/>
          <w:color w:val="auto"/>
          <w:szCs w:val="21"/>
          <w:highlight w:val="none"/>
          <w:lang w:val="zh-CN"/>
        </w:rPr>
        <w:t>如在协商中评标委员会没有对本招标文件作实质性变动增加新的需求，后一轮报价不得高于前一轮报价。</w:t>
      </w:r>
    </w:p>
    <w:p w14:paraId="706EA41C">
      <w:pPr>
        <w:autoSpaceDE w:val="0"/>
        <w:autoSpaceDN w:val="0"/>
        <w:adjustRightInd w:val="0"/>
        <w:spacing w:line="360" w:lineRule="auto"/>
        <w:ind w:left="518" w:hanging="518"/>
        <w:rPr>
          <w:rFonts w:ascii="宋体" w:hAnsi="宋体" w:eastAsia="宋体" w:cs="Times New Roman"/>
          <w:b/>
          <w:color w:val="auto"/>
          <w:szCs w:val="24"/>
          <w:highlight w:val="none"/>
          <w:lang w:val="zh-CN"/>
        </w:rPr>
      </w:pPr>
      <w:r>
        <w:rPr>
          <w:rFonts w:hint="eastAsia" w:ascii="宋体" w:hAnsi="宋体" w:eastAsia="宋体" w:cs="Times New Roman"/>
          <w:b/>
          <w:color w:val="auto"/>
          <w:szCs w:val="24"/>
          <w:highlight w:val="none"/>
          <w:lang w:val="zh-CN"/>
        </w:rPr>
        <w:t>5.2</w:t>
      </w:r>
      <w:r>
        <w:rPr>
          <w:rFonts w:ascii="宋体" w:hAnsi="宋体" w:eastAsia="宋体" w:cs="Times New Roman"/>
          <w:b/>
          <w:color w:val="auto"/>
          <w:szCs w:val="24"/>
          <w:highlight w:val="none"/>
          <w:lang w:val="zh-CN"/>
        </w:rPr>
        <w:t>2</w:t>
      </w:r>
      <w:r>
        <w:rPr>
          <w:rFonts w:hint="eastAsia" w:ascii="宋体" w:hAnsi="宋体" w:eastAsia="宋体" w:cs="Times New Roman"/>
          <w:b/>
          <w:color w:val="auto"/>
          <w:szCs w:val="24"/>
          <w:highlight w:val="none"/>
          <w:lang w:val="zh-CN"/>
        </w:rPr>
        <w:t xml:space="preserve"> 单一来源采购过程中，当出现下列情形之一的，评标委员会应当终止采购活动：</w:t>
      </w:r>
    </w:p>
    <w:p w14:paraId="59F4111A">
      <w:pPr>
        <w:autoSpaceDE w:val="0"/>
        <w:autoSpaceDN w:val="0"/>
        <w:adjustRightInd w:val="0"/>
        <w:spacing w:line="360" w:lineRule="auto"/>
        <w:ind w:left="708" w:hanging="708" w:hangingChars="336"/>
        <w:rPr>
          <w:rFonts w:ascii="宋体" w:hAnsi="宋体" w:eastAsia="宋体" w:cs="Times New Roman"/>
          <w:b/>
          <w:color w:val="auto"/>
          <w:kern w:val="0"/>
          <w:szCs w:val="21"/>
          <w:highlight w:val="none"/>
        </w:rPr>
      </w:pPr>
      <w:r>
        <w:rPr>
          <w:rFonts w:hint="eastAsia" w:ascii="宋体" w:hAnsi="宋体" w:eastAsia="宋体" w:cs="Times New Roman"/>
          <w:b/>
          <w:color w:val="auto"/>
          <w:szCs w:val="24"/>
          <w:highlight w:val="none"/>
          <w:lang w:val="zh-CN"/>
        </w:rPr>
        <w:t>5.2</w:t>
      </w:r>
      <w:r>
        <w:rPr>
          <w:rFonts w:ascii="宋体" w:hAnsi="宋体" w:eastAsia="宋体" w:cs="Times New Roman"/>
          <w:b/>
          <w:color w:val="auto"/>
          <w:szCs w:val="24"/>
          <w:highlight w:val="none"/>
          <w:lang w:val="zh-CN"/>
        </w:rPr>
        <w:t>2</w:t>
      </w:r>
      <w:r>
        <w:rPr>
          <w:rFonts w:hint="eastAsia" w:ascii="宋体" w:hAnsi="宋体" w:eastAsia="宋体" w:cs="Times New Roman"/>
          <w:b/>
          <w:color w:val="auto"/>
          <w:szCs w:val="24"/>
          <w:highlight w:val="none"/>
          <w:lang w:val="zh-CN"/>
        </w:rPr>
        <w:t>.1</w:t>
      </w:r>
      <w:r>
        <w:rPr>
          <w:rFonts w:ascii="宋体" w:hAnsi="宋体" w:eastAsia="宋体" w:cs="Times New Roman"/>
          <w:b/>
          <w:color w:val="auto"/>
          <w:szCs w:val="24"/>
          <w:highlight w:val="none"/>
        </w:rPr>
        <w:t xml:space="preserve"> </w:t>
      </w:r>
      <w:r>
        <w:rPr>
          <w:rFonts w:hint="eastAsia" w:ascii="宋体" w:hAnsi="宋体" w:eastAsia="宋体" w:cs="Times New Roman"/>
          <w:b/>
          <w:color w:val="auto"/>
          <w:szCs w:val="24"/>
          <w:highlight w:val="none"/>
          <w:lang w:val="zh-CN"/>
        </w:rPr>
        <w:t>投标人</w:t>
      </w:r>
      <w:r>
        <w:rPr>
          <w:rFonts w:hint="eastAsia" w:ascii="宋体" w:hAnsi="宋体" w:eastAsia="宋体" w:cs="Times New Roman"/>
          <w:b/>
          <w:color w:val="auto"/>
          <w:kern w:val="0"/>
          <w:szCs w:val="21"/>
          <w:highlight w:val="none"/>
        </w:rPr>
        <w:t>（含其不具有独立法人资格的分支机构）被列入“信用中国”网站失信被执行人、重大税收违法失信主体、政府采购严重违法失信行为记录名单（处罚期限届满的除外）的；</w:t>
      </w:r>
    </w:p>
    <w:p w14:paraId="68A7C7AD">
      <w:pPr>
        <w:autoSpaceDE w:val="0"/>
        <w:autoSpaceDN w:val="0"/>
        <w:adjustRightInd w:val="0"/>
        <w:spacing w:line="360" w:lineRule="auto"/>
        <w:rPr>
          <w:rFonts w:hint="eastAsia" w:ascii="宋体" w:hAnsi="宋体" w:eastAsia="宋体" w:cs="Times New Roman"/>
          <w:b/>
          <w:color w:val="auto"/>
          <w:szCs w:val="24"/>
          <w:highlight w:val="none"/>
          <w:lang w:val="zh-CN" w:eastAsia="zh-CN"/>
        </w:rPr>
      </w:pPr>
      <w:r>
        <w:rPr>
          <w:rFonts w:hint="eastAsia" w:ascii="宋体" w:hAnsi="宋体" w:eastAsia="宋体" w:cs="Times New Roman"/>
          <w:b/>
          <w:color w:val="auto"/>
          <w:szCs w:val="24"/>
          <w:highlight w:val="none"/>
          <w:lang w:val="zh-CN"/>
        </w:rPr>
        <w:t>5.2</w:t>
      </w:r>
      <w:r>
        <w:rPr>
          <w:rFonts w:ascii="宋体" w:hAnsi="宋体" w:eastAsia="宋体" w:cs="Times New Roman"/>
          <w:b/>
          <w:color w:val="auto"/>
          <w:szCs w:val="24"/>
          <w:highlight w:val="none"/>
          <w:lang w:val="zh-CN"/>
        </w:rPr>
        <w:t>2</w:t>
      </w:r>
      <w:r>
        <w:rPr>
          <w:rFonts w:hint="eastAsia" w:ascii="宋体" w:hAnsi="宋体" w:eastAsia="宋体" w:cs="Times New Roman"/>
          <w:b/>
          <w:color w:val="auto"/>
          <w:szCs w:val="24"/>
          <w:highlight w:val="none"/>
          <w:lang w:val="zh-CN"/>
        </w:rPr>
        <w:t>.</w:t>
      </w:r>
      <w:r>
        <w:rPr>
          <w:rFonts w:ascii="宋体" w:hAnsi="宋体" w:eastAsia="宋体" w:cs="Times New Roman"/>
          <w:b/>
          <w:color w:val="auto"/>
          <w:szCs w:val="24"/>
          <w:highlight w:val="none"/>
          <w:lang w:val="zh-CN"/>
        </w:rPr>
        <w:t>2</w:t>
      </w:r>
      <w:r>
        <w:rPr>
          <w:rFonts w:hint="eastAsia" w:ascii="宋体" w:hAnsi="宋体" w:eastAsia="宋体" w:cs="Times New Roman"/>
          <w:b/>
          <w:color w:val="auto"/>
          <w:szCs w:val="24"/>
          <w:highlight w:val="none"/>
          <w:lang w:val="zh-CN"/>
        </w:rPr>
        <w:t xml:space="preserve"> 投标人的最终投标报价高于不含税最高投标限价或最终投标综合单价高于不含税预算综合单价的</w:t>
      </w:r>
      <w:r>
        <w:rPr>
          <w:rFonts w:hint="eastAsia" w:ascii="宋体" w:hAnsi="宋体" w:eastAsia="宋体" w:cs="宋体"/>
          <w:b/>
          <w:color w:val="auto"/>
          <w:szCs w:val="21"/>
          <w:highlight w:val="none"/>
          <w:lang w:eastAsia="zh-CN"/>
        </w:rPr>
        <w:t>；</w:t>
      </w:r>
    </w:p>
    <w:p w14:paraId="6D2AF980">
      <w:pPr>
        <w:autoSpaceDE w:val="0"/>
        <w:autoSpaceDN w:val="0"/>
        <w:adjustRightInd w:val="0"/>
        <w:spacing w:line="360" w:lineRule="auto"/>
        <w:rPr>
          <w:rFonts w:ascii="宋体" w:hAnsi="宋体" w:eastAsia="宋体" w:cs="Times New Roman"/>
          <w:b/>
          <w:color w:val="auto"/>
          <w:szCs w:val="24"/>
          <w:highlight w:val="none"/>
          <w:lang w:val="zh-CN"/>
        </w:rPr>
      </w:pPr>
      <w:r>
        <w:rPr>
          <w:rFonts w:hint="eastAsia" w:ascii="宋体" w:hAnsi="宋体" w:eastAsia="宋体" w:cs="Times New Roman"/>
          <w:b/>
          <w:color w:val="auto"/>
          <w:szCs w:val="24"/>
          <w:highlight w:val="none"/>
          <w:lang w:val="zh-CN"/>
        </w:rPr>
        <w:t>5.2</w:t>
      </w:r>
      <w:r>
        <w:rPr>
          <w:rFonts w:ascii="宋体" w:hAnsi="宋体" w:eastAsia="宋体" w:cs="Times New Roman"/>
          <w:b/>
          <w:color w:val="auto"/>
          <w:szCs w:val="24"/>
          <w:highlight w:val="none"/>
          <w:lang w:val="zh-CN"/>
        </w:rPr>
        <w:t>2</w:t>
      </w:r>
      <w:r>
        <w:rPr>
          <w:rFonts w:hint="eastAsia" w:ascii="宋体" w:hAnsi="宋体" w:eastAsia="宋体" w:cs="Times New Roman"/>
          <w:b/>
          <w:color w:val="auto"/>
          <w:szCs w:val="24"/>
          <w:highlight w:val="none"/>
          <w:lang w:val="zh-CN"/>
        </w:rPr>
        <w:t>.</w:t>
      </w:r>
      <w:r>
        <w:rPr>
          <w:rFonts w:ascii="宋体" w:hAnsi="宋体" w:eastAsia="宋体" w:cs="Times New Roman"/>
          <w:b/>
          <w:color w:val="auto"/>
          <w:szCs w:val="24"/>
          <w:highlight w:val="none"/>
          <w:lang w:val="zh-CN"/>
        </w:rPr>
        <w:t xml:space="preserve">3 </w:t>
      </w:r>
      <w:r>
        <w:rPr>
          <w:rFonts w:hint="eastAsia" w:ascii="宋体" w:hAnsi="宋体" w:eastAsia="宋体" w:cs="Times New Roman"/>
          <w:b/>
          <w:color w:val="auto"/>
          <w:szCs w:val="24"/>
          <w:highlight w:val="none"/>
          <w:lang w:val="zh-CN"/>
        </w:rPr>
        <w:t>投标人未能与评标委员会商定出合理的价格的；</w:t>
      </w:r>
    </w:p>
    <w:p w14:paraId="098A2600">
      <w:pPr>
        <w:autoSpaceDE w:val="0"/>
        <w:autoSpaceDN w:val="0"/>
        <w:adjustRightInd w:val="0"/>
        <w:spacing w:line="360" w:lineRule="auto"/>
        <w:ind w:left="831" w:hanging="831" w:hangingChars="394"/>
        <w:jc w:val="left"/>
        <w:rPr>
          <w:rFonts w:ascii="宋体" w:hAnsi="宋体" w:eastAsia="宋体" w:cs="Times New Roman"/>
          <w:color w:val="auto"/>
          <w:szCs w:val="24"/>
          <w:highlight w:val="none"/>
          <w:lang w:val="zh-CN"/>
        </w:rPr>
      </w:pPr>
      <w:r>
        <w:rPr>
          <w:rFonts w:hint="eastAsia" w:ascii="宋体" w:hAnsi="宋体" w:eastAsia="宋体" w:cs="Times New Roman"/>
          <w:b/>
          <w:color w:val="auto"/>
          <w:szCs w:val="24"/>
          <w:highlight w:val="none"/>
          <w:lang w:val="zh-CN"/>
        </w:rPr>
        <w:t>5.2</w:t>
      </w:r>
      <w:r>
        <w:rPr>
          <w:rFonts w:ascii="宋体" w:hAnsi="宋体" w:eastAsia="宋体" w:cs="Times New Roman"/>
          <w:b/>
          <w:color w:val="auto"/>
          <w:szCs w:val="24"/>
          <w:highlight w:val="none"/>
          <w:lang w:val="zh-CN"/>
        </w:rPr>
        <w:t>2</w:t>
      </w:r>
      <w:r>
        <w:rPr>
          <w:rFonts w:hint="eastAsia" w:ascii="宋体" w:hAnsi="宋体" w:eastAsia="宋体" w:cs="Times New Roman"/>
          <w:b/>
          <w:color w:val="auto"/>
          <w:szCs w:val="24"/>
          <w:highlight w:val="none"/>
          <w:lang w:val="zh-CN"/>
        </w:rPr>
        <w:t>.</w:t>
      </w:r>
      <w:r>
        <w:rPr>
          <w:rFonts w:ascii="宋体" w:hAnsi="宋体" w:eastAsia="宋体" w:cs="Times New Roman"/>
          <w:b/>
          <w:color w:val="auto"/>
          <w:szCs w:val="24"/>
          <w:highlight w:val="none"/>
          <w:lang w:val="zh-CN"/>
        </w:rPr>
        <w:t xml:space="preserve">4 </w:t>
      </w:r>
      <w:r>
        <w:rPr>
          <w:rFonts w:hint="eastAsia" w:ascii="宋体" w:hAnsi="宋体" w:eastAsia="宋体" w:cs="Times New Roman"/>
          <w:b/>
          <w:color w:val="auto"/>
          <w:szCs w:val="24"/>
          <w:highlight w:val="none"/>
          <w:lang w:val="zh-CN"/>
        </w:rPr>
        <w:t>评标委员会认定投标人最终的投标文件存在影响采购项目质量，</w:t>
      </w:r>
      <w:r>
        <w:rPr>
          <w:rFonts w:hint="eastAsia" w:ascii="宋体" w:hAnsi="宋体" w:eastAsia="宋体" w:cs="Times New Roman"/>
          <w:b/>
          <w:color w:val="auto"/>
          <w:kern w:val="0"/>
          <w:szCs w:val="21"/>
          <w:highlight w:val="none"/>
          <w:lang w:val="zh-CN"/>
        </w:rPr>
        <w:t>且投标人不能合理说明或不能提供相关证明材料</w:t>
      </w:r>
      <w:r>
        <w:rPr>
          <w:rFonts w:hint="eastAsia" w:ascii="宋体" w:hAnsi="宋体" w:eastAsia="宋体" w:cs="Times New Roman"/>
          <w:b/>
          <w:color w:val="auto"/>
          <w:szCs w:val="24"/>
          <w:highlight w:val="none"/>
          <w:lang w:val="zh-CN"/>
        </w:rPr>
        <w:t>。</w:t>
      </w:r>
    </w:p>
    <w:p w14:paraId="03893DAC">
      <w:pPr>
        <w:tabs>
          <w:tab w:val="left" w:pos="1140"/>
        </w:tabs>
        <w:autoSpaceDE w:val="0"/>
        <w:autoSpaceDN w:val="0"/>
        <w:adjustRightInd w:val="0"/>
        <w:spacing w:line="360" w:lineRule="auto"/>
        <w:jc w:val="center"/>
        <w:outlineLvl w:val="2"/>
        <w:rPr>
          <w:rFonts w:ascii="宋体" w:hAnsi="宋体" w:eastAsia="宋体" w:cs="宋体"/>
          <w:b/>
          <w:bCs/>
          <w:color w:val="auto"/>
          <w:sz w:val="28"/>
          <w:szCs w:val="28"/>
          <w:highlight w:val="none"/>
        </w:rPr>
      </w:pPr>
      <w:bookmarkStart w:id="876" w:name="_Toc19435_WPSOffice_Level1"/>
      <w:bookmarkStart w:id="877" w:name="_Toc28703"/>
      <w:bookmarkStart w:id="878" w:name="_Toc25739"/>
      <w:r>
        <w:rPr>
          <w:rFonts w:hint="eastAsia" w:ascii="宋体" w:hAnsi="宋体" w:eastAsia="宋体" w:cs="宋体"/>
          <w:b/>
          <w:bCs/>
          <w:color w:val="auto"/>
          <w:sz w:val="28"/>
          <w:szCs w:val="28"/>
          <w:highlight w:val="none"/>
          <w:lang w:val="zh-CN"/>
        </w:rPr>
        <w:t>二、投标文件的初审</w:t>
      </w:r>
      <w:bookmarkEnd w:id="876"/>
      <w:bookmarkEnd w:id="877"/>
      <w:bookmarkEnd w:id="878"/>
    </w:p>
    <w:p w14:paraId="4CDBFBED">
      <w:pPr>
        <w:autoSpaceDE w:val="0"/>
        <w:autoSpaceDN w:val="0"/>
        <w:adjustRightInd w:val="0"/>
        <w:spacing w:line="360" w:lineRule="auto"/>
        <w:outlineLvl w:val="0"/>
        <w:rPr>
          <w:rFonts w:ascii="宋体" w:hAnsi="宋体" w:eastAsia="宋体" w:cs="宋体"/>
          <w:b/>
          <w:color w:val="auto"/>
          <w:szCs w:val="24"/>
          <w:highlight w:val="none"/>
          <w:lang w:val="zh-CN"/>
        </w:rPr>
      </w:pPr>
      <w:bookmarkStart w:id="879" w:name="_Toc19340"/>
      <w:bookmarkStart w:id="880" w:name="_Toc14592"/>
      <w:r>
        <w:rPr>
          <w:rFonts w:hint="eastAsia" w:ascii="宋体" w:hAnsi="宋体" w:eastAsia="宋体" w:cs="宋体"/>
          <w:b/>
          <w:color w:val="auto"/>
          <w:szCs w:val="24"/>
          <w:highlight w:val="none"/>
          <w:lang w:val="zh-CN"/>
        </w:rPr>
        <w:t>6、投标文件的初审分为资格性检查和符合性检查。</w:t>
      </w:r>
      <w:bookmarkEnd w:id="879"/>
      <w:bookmarkEnd w:id="880"/>
    </w:p>
    <w:p w14:paraId="6DE40224">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14:paraId="543227E7">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6.2  符合性检查是指评标委员会依据招标文件规定，从投标文件的有效性、完整性和对招标文件的响应程度进行审查，以确定是否对招标文件的实质性要求作出响应。</w:t>
      </w:r>
    </w:p>
    <w:p w14:paraId="67FF57BB">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实质性响应的投标指的是符合招标文件要求的全部“★”条款和验收标准而无任何重大偏离或保留。重大偏离或保留系指实质上影响到合同项下的</w:t>
      </w:r>
      <w:r>
        <w:rPr>
          <w:rFonts w:hint="eastAsia" w:ascii="宋体" w:hAnsi="宋体" w:eastAsia="宋体" w:cs="宋体"/>
          <w:color w:val="auto"/>
          <w:szCs w:val="24"/>
          <w:highlight w:val="none"/>
          <w:lang w:val="en-US" w:eastAsia="zh-CN"/>
        </w:rPr>
        <w:t>供货及</w:t>
      </w:r>
      <w:r>
        <w:rPr>
          <w:rFonts w:hint="eastAsia" w:ascii="宋体" w:hAnsi="宋体" w:eastAsia="宋体" w:cs="宋体"/>
          <w:color w:val="auto"/>
          <w:szCs w:val="24"/>
          <w:highlight w:val="none"/>
          <w:lang w:val="zh-CN"/>
        </w:rPr>
        <w:t>服务范围、质量</w:t>
      </w:r>
      <w:r>
        <w:rPr>
          <w:rFonts w:hint="eastAsia" w:ascii="宋体" w:hAnsi="宋体" w:eastAsia="宋体" w:cs="宋体"/>
          <w:color w:val="auto"/>
          <w:szCs w:val="24"/>
          <w:highlight w:val="none"/>
          <w:lang w:val="en-US" w:eastAsia="zh-CN"/>
        </w:rPr>
        <w:t>和性能</w:t>
      </w:r>
      <w:r>
        <w:rPr>
          <w:rFonts w:hint="eastAsia" w:ascii="宋体" w:hAnsi="宋体" w:eastAsia="宋体" w:cs="宋体"/>
          <w:color w:val="auto"/>
          <w:szCs w:val="24"/>
          <w:highlight w:val="none"/>
          <w:lang w:val="zh-CN"/>
        </w:rPr>
        <w:t>，或指与招标文件有实质不一致，限制了合同项下委托人的权利和承包人的义务, 或对该重大偏离的修改对提交实质性响应投标的其他投标人将不公平。</w:t>
      </w:r>
    </w:p>
    <w:p w14:paraId="31512DED">
      <w:pPr>
        <w:autoSpaceDE w:val="0"/>
        <w:autoSpaceDN w:val="0"/>
        <w:adjustRightInd w:val="0"/>
        <w:spacing w:line="360" w:lineRule="auto"/>
        <w:ind w:firstLine="840" w:firstLineChars="4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评标委员会决定投标文件的响应性是基于投标文件的内容本身而不靠外部的证据。</w:t>
      </w:r>
    </w:p>
    <w:p w14:paraId="152AA930">
      <w:pPr>
        <w:autoSpaceDE w:val="0"/>
        <w:autoSpaceDN w:val="0"/>
        <w:adjustRightInd w:val="0"/>
        <w:spacing w:line="360" w:lineRule="auto"/>
        <w:ind w:left="420" w:leftChars="200" w:firstLine="422" w:firstLineChars="200"/>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对是否符合实质性响应招标文件有争议的投标文件,评标委员会成员将以记名方式表决,根据少数服</w:t>
      </w:r>
      <w:r>
        <w:rPr>
          <w:rFonts w:hint="eastAsia" w:ascii="宋体" w:hAnsi="宋体" w:eastAsia="宋体" w:cs="宋体"/>
          <w:b/>
          <w:color w:val="auto"/>
          <w:szCs w:val="24"/>
          <w:highlight w:val="none"/>
          <w:lang w:val="en-US" w:eastAsia="zh-CN"/>
        </w:rPr>
        <w:t>从</w:t>
      </w:r>
      <w:r>
        <w:rPr>
          <w:rFonts w:hint="eastAsia" w:ascii="宋体" w:hAnsi="宋体" w:eastAsia="宋体" w:cs="宋体"/>
          <w:b/>
          <w:color w:val="auto"/>
          <w:szCs w:val="24"/>
          <w:highlight w:val="none"/>
          <w:lang w:val="zh-CN"/>
        </w:rPr>
        <w:t>多数的原则，获多数表决通过的投标人才有资格进入下一阶段的评审,否则将被认定为无效投标文件。</w:t>
      </w:r>
    </w:p>
    <w:p w14:paraId="55D93BD4">
      <w:pPr>
        <w:autoSpaceDE w:val="0"/>
        <w:autoSpaceDN w:val="0"/>
        <w:adjustRightInd w:val="0"/>
        <w:spacing w:line="360" w:lineRule="auto"/>
        <w:outlineLvl w:val="0"/>
        <w:rPr>
          <w:rFonts w:ascii="宋体" w:hAnsi="宋体" w:eastAsia="宋体" w:cs="宋体"/>
          <w:b/>
          <w:color w:val="auto"/>
          <w:szCs w:val="21"/>
          <w:highlight w:val="none"/>
          <w:lang w:val="zh-CN"/>
        </w:rPr>
      </w:pPr>
      <w:bookmarkStart w:id="881" w:name="_Toc23517"/>
      <w:bookmarkStart w:id="882" w:name="_Toc13011"/>
      <w:r>
        <w:rPr>
          <w:rFonts w:hint="eastAsia" w:ascii="宋体" w:hAnsi="宋体" w:eastAsia="宋体" w:cs="宋体"/>
          <w:b/>
          <w:color w:val="auto"/>
          <w:szCs w:val="21"/>
          <w:highlight w:val="none"/>
          <w:lang w:val="zh-CN"/>
        </w:rPr>
        <w:t>7、投标文件出现下列情况之一的，被认定为无效投标：</w:t>
      </w:r>
      <w:bookmarkEnd w:id="881"/>
      <w:bookmarkEnd w:id="882"/>
    </w:p>
    <w:p w14:paraId="66773B88">
      <w:pPr>
        <w:tabs>
          <w:tab w:val="left" w:pos="567"/>
        </w:tabs>
        <w:spacing w:line="360" w:lineRule="auto"/>
        <w:ind w:left="632" w:hanging="632" w:hangingChars="300"/>
        <w:rPr>
          <w:rFonts w:ascii="宋体" w:hAnsi="宋体" w:eastAsia="宋体" w:cs="宋体"/>
          <w:b/>
          <w:color w:val="auto"/>
          <w:szCs w:val="21"/>
          <w:highlight w:val="none"/>
          <w:lang w:val="zh-CN"/>
        </w:rPr>
      </w:pPr>
      <w:bookmarkStart w:id="883" w:name="_Toc16181"/>
      <w:r>
        <w:rPr>
          <w:rFonts w:hint="eastAsia" w:ascii="宋体" w:hAnsi="宋体" w:eastAsia="宋体" w:cs="宋体"/>
          <w:b/>
          <w:color w:val="auto"/>
          <w:szCs w:val="21"/>
          <w:highlight w:val="none"/>
          <w:lang w:val="zh-CN"/>
        </w:rPr>
        <w:t>7</w:t>
      </w:r>
      <w:r>
        <w:rPr>
          <w:rFonts w:ascii="宋体" w:hAnsi="宋体" w:eastAsia="宋体" w:cs="宋体"/>
          <w:b/>
          <w:color w:val="auto"/>
          <w:szCs w:val="21"/>
          <w:highlight w:val="none"/>
          <w:lang w:val="zh-CN"/>
        </w:rPr>
        <w:t xml:space="preserve">.1  </w:t>
      </w:r>
      <w:r>
        <w:rPr>
          <w:rFonts w:hint="eastAsia" w:ascii="宋体" w:hAnsi="宋体" w:eastAsia="宋体" w:cs="宋体"/>
          <w:b/>
          <w:bCs/>
          <w:color w:val="auto"/>
          <w:kern w:val="0"/>
          <w:szCs w:val="21"/>
          <w:highlight w:val="none"/>
        </w:rPr>
        <w:t>投标人未按招标文件要求交纳投标保证金的；</w:t>
      </w:r>
      <w:bookmarkEnd w:id="883"/>
    </w:p>
    <w:p w14:paraId="112F01E9">
      <w:pPr>
        <w:tabs>
          <w:tab w:val="left" w:pos="567"/>
        </w:tabs>
        <w:spacing w:line="360" w:lineRule="auto"/>
        <w:ind w:left="632" w:hanging="632" w:hangingChars="30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7.2  </w:t>
      </w:r>
      <w:r>
        <w:rPr>
          <w:rFonts w:hint="eastAsia" w:ascii="宋体" w:hAnsi="宋体" w:eastAsia="宋体" w:cs="宋体"/>
          <w:b/>
          <w:color w:val="auto"/>
          <w:szCs w:val="21"/>
          <w:highlight w:val="none"/>
        </w:rPr>
        <w:t>投标文件中的投标报价或综合单价高于不含税最高投标限价或不含税预算综合单价的</w:t>
      </w:r>
      <w:r>
        <w:rPr>
          <w:rFonts w:hint="eastAsia" w:ascii="宋体" w:hAnsi="宋体" w:eastAsia="宋体" w:cs="宋体"/>
          <w:b/>
          <w:bCs/>
          <w:color w:val="auto"/>
          <w:kern w:val="0"/>
          <w:szCs w:val="21"/>
          <w:highlight w:val="none"/>
        </w:rPr>
        <w:t>；</w:t>
      </w:r>
    </w:p>
    <w:p w14:paraId="6D60012D">
      <w:pPr>
        <w:tabs>
          <w:tab w:val="left" w:pos="567"/>
        </w:tabs>
        <w:spacing w:line="360" w:lineRule="auto"/>
        <w:ind w:left="632" w:hanging="632" w:hangingChars="3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7.3  投标人以低于企业成本价报价，且投标人不能合理说明或不能提供相关证明材料；</w:t>
      </w:r>
    </w:p>
    <w:p w14:paraId="0BA6AFD7">
      <w:pPr>
        <w:tabs>
          <w:tab w:val="left" w:pos="567"/>
        </w:tabs>
        <w:spacing w:line="360" w:lineRule="auto"/>
        <w:ind w:left="632" w:hanging="632" w:hangingChars="3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7.4  投标人递交两份或多份内容不同的投标文件，或在一份投标文件中报有两个或多个报价，且未书面声明哪一个有效；</w:t>
      </w:r>
    </w:p>
    <w:p w14:paraId="18EA2944">
      <w:pPr>
        <w:tabs>
          <w:tab w:val="left" w:pos="567"/>
        </w:tabs>
        <w:spacing w:line="360" w:lineRule="auto"/>
        <w:ind w:left="632" w:hanging="632" w:hangingChars="30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7.5  </w:t>
      </w:r>
      <w:r>
        <w:rPr>
          <w:rFonts w:hint="eastAsia" w:ascii="宋体" w:hAnsi="宋体" w:eastAsia="宋体" w:cs="宋体"/>
          <w:b/>
          <w:color w:val="auto"/>
          <w:kern w:val="0"/>
          <w:szCs w:val="21"/>
          <w:highlight w:val="none"/>
        </w:rPr>
        <w:t>投标人不符合合格投标人的基本条件[含未提供资格证明文件，或投标人（含其不具有独立法人资格的分支机构）被列入“信用中国”网站（www.creditchina.gov.cn）失信被执行人、重大税收违法失信主体、</w:t>
      </w:r>
      <w:r>
        <w:rPr>
          <w:rFonts w:hint="eastAsia" w:ascii="宋体" w:hAnsi="宋体" w:eastAsia="宋体" w:cs="宋体"/>
          <w:b/>
          <w:color w:val="auto"/>
          <w:kern w:val="0"/>
          <w:szCs w:val="21"/>
          <w:highlight w:val="none"/>
          <w:lang w:val="en-US" w:eastAsia="zh-CN"/>
        </w:rPr>
        <w:t>政府采购</w:t>
      </w:r>
      <w:r>
        <w:rPr>
          <w:rFonts w:hint="eastAsia" w:ascii="宋体" w:hAnsi="宋体" w:eastAsia="宋体" w:cs="宋体"/>
          <w:b/>
          <w:color w:val="auto"/>
          <w:kern w:val="0"/>
          <w:szCs w:val="21"/>
          <w:highlight w:val="none"/>
        </w:rPr>
        <w:t>严重违法失信行为记录名单（处罚期限届满的除外）]；</w:t>
      </w:r>
    </w:p>
    <w:p w14:paraId="7C67EA6C">
      <w:pPr>
        <w:spacing w:line="360" w:lineRule="auto"/>
        <w:ind w:left="527" w:hanging="527" w:hangingChars="25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7.6  投标文件未按照招标文件规定要求密封；投标文件无法定代表人或其授权代表签字（或盖私章），或签字人无法定代表人有效授权的；签字盖章不符合招标文件要求的； </w:t>
      </w:r>
    </w:p>
    <w:p w14:paraId="7112105E">
      <w:pPr>
        <w:spacing w:line="360" w:lineRule="auto"/>
        <w:ind w:left="527" w:hanging="527" w:hangingChars="250"/>
        <w:rPr>
          <w:rFonts w:ascii="宋体" w:hAnsi="宋体" w:eastAsia="宋体" w:cs="宋体"/>
          <w:b/>
          <w:bCs/>
          <w:color w:val="auto"/>
          <w:kern w:val="0"/>
          <w:szCs w:val="21"/>
          <w:highlight w:val="none"/>
        </w:rPr>
      </w:pPr>
      <w:bookmarkStart w:id="884" w:name="_Toc20010"/>
      <w:r>
        <w:rPr>
          <w:rFonts w:ascii="宋体" w:hAnsi="宋体" w:eastAsia="宋体" w:cs="宋体"/>
          <w:b/>
          <w:bCs/>
          <w:color w:val="auto"/>
          <w:kern w:val="0"/>
          <w:szCs w:val="21"/>
          <w:highlight w:val="none"/>
        </w:rPr>
        <w:t>7.</w:t>
      </w:r>
      <w:r>
        <w:rPr>
          <w:rFonts w:hint="eastAsia" w:ascii="宋体" w:hAnsi="宋体" w:eastAsia="宋体" w:cs="宋体"/>
          <w:b/>
          <w:bCs/>
          <w:color w:val="auto"/>
          <w:kern w:val="0"/>
          <w:szCs w:val="21"/>
          <w:highlight w:val="none"/>
        </w:rPr>
        <w:t>7  投标有效期限不符合要求；</w:t>
      </w:r>
      <w:bookmarkEnd w:id="884"/>
    </w:p>
    <w:p w14:paraId="2F71FDF9">
      <w:pPr>
        <w:spacing w:line="360" w:lineRule="auto"/>
        <w:ind w:left="527" w:hanging="527" w:hangingChars="25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7.8  投标文件未对招标范围内的全部内容进行投标报价</w:t>
      </w:r>
      <w:r>
        <w:rPr>
          <w:rFonts w:hint="eastAsia" w:ascii="宋体" w:hAnsi="宋体" w:eastAsia="宋体" w:cs="Times New Roman"/>
          <w:b/>
          <w:color w:val="auto"/>
          <w:kern w:val="0"/>
          <w:szCs w:val="21"/>
          <w:highlight w:val="none"/>
        </w:rPr>
        <w:t>或投标方案不是唯一</w:t>
      </w:r>
      <w:r>
        <w:rPr>
          <w:rFonts w:hint="eastAsia" w:ascii="宋体" w:hAnsi="宋体" w:eastAsia="宋体" w:cs="宋体"/>
          <w:b/>
          <w:bCs/>
          <w:color w:val="auto"/>
          <w:kern w:val="0"/>
          <w:szCs w:val="21"/>
          <w:highlight w:val="none"/>
        </w:rPr>
        <w:t>；</w:t>
      </w:r>
    </w:p>
    <w:p w14:paraId="190317AE">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9</w:t>
      </w:r>
      <w:r>
        <w:rPr>
          <w:rFonts w:ascii="宋体" w:hAnsi="宋体" w:eastAsia="宋体" w:cs="Times New Roman"/>
          <w:b/>
          <w:color w:val="auto"/>
          <w:kern w:val="0"/>
          <w:szCs w:val="21"/>
          <w:highlight w:val="none"/>
        </w:rPr>
        <w:t xml:space="preserve">  未提供或虚假填写《合同条款偏离表》，或对《合同条款偏离表》有负偏离的；</w:t>
      </w:r>
    </w:p>
    <w:p w14:paraId="7616E72F">
      <w:pPr>
        <w:spacing w:line="360" w:lineRule="auto"/>
        <w:ind w:left="413" w:hanging="413" w:hangingChars="196"/>
        <w:rPr>
          <w:rFonts w:ascii="宋体" w:hAnsi="宋体" w:eastAsia="宋体" w:cs="Times New Roman"/>
          <w:b/>
          <w:color w:val="auto"/>
          <w:kern w:val="0"/>
          <w:szCs w:val="21"/>
          <w:highlight w:val="none"/>
        </w:rPr>
      </w:pPr>
      <w:bookmarkStart w:id="885" w:name="_Toc24559"/>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10</w:t>
      </w:r>
      <w:r>
        <w:rPr>
          <w:rFonts w:ascii="宋体" w:hAnsi="宋体" w:eastAsia="宋体" w:cs="Times New Roman"/>
          <w:b/>
          <w:color w:val="auto"/>
          <w:kern w:val="0"/>
          <w:szCs w:val="21"/>
          <w:highlight w:val="none"/>
        </w:rPr>
        <w:t xml:space="preserve">  未填写或虚假填写《用户需求偏离表》的；</w:t>
      </w:r>
      <w:bookmarkEnd w:id="885"/>
    </w:p>
    <w:p w14:paraId="18EF878F">
      <w:pPr>
        <w:spacing w:line="360" w:lineRule="auto"/>
        <w:ind w:left="413" w:hanging="413" w:hangingChars="196"/>
        <w:rPr>
          <w:rFonts w:hint="eastAsia" w:ascii="宋体" w:hAnsi="宋体" w:eastAsia="宋体" w:cs="Times New Roman"/>
          <w:b/>
          <w:color w:val="auto"/>
          <w:kern w:val="0"/>
          <w:szCs w:val="21"/>
          <w:highlight w:val="none"/>
          <w:lang w:eastAsia="zh-CN"/>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11</w:t>
      </w:r>
      <w:r>
        <w:rPr>
          <w:rFonts w:ascii="宋体" w:hAnsi="宋体" w:eastAsia="宋体" w:cs="Times New Roman"/>
          <w:b/>
          <w:color w:val="auto"/>
          <w:kern w:val="0"/>
          <w:szCs w:val="21"/>
          <w:highlight w:val="none"/>
        </w:rPr>
        <w:t xml:space="preserve"> </w:t>
      </w:r>
      <w:r>
        <w:rPr>
          <w:rFonts w:hint="eastAsia" w:ascii="宋体" w:hAnsi="宋体" w:eastAsia="宋体" w:cs="Times New Roman"/>
          <w:b/>
          <w:color w:val="auto"/>
          <w:kern w:val="0"/>
          <w:szCs w:val="21"/>
          <w:highlight w:val="none"/>
          <w:lang w:val="en-US" w:eastAsia="zh-CN"/>
        </w:rPr>
        <w:t xml:space="preserve"> </w:t>
      </w:r>
      <w:r>
        <w:rPr>
          <w:rFonts w:ascii="宋体" w:hAnsi="宋体" w:eastAsia="宋体" w:cs="Times New Roman"/>
          <w:b/>
          <w:color w:val="auto"/>
          <w:kern w:val="0"/>
          <w:szCs w:val="21"/>
          <w:highlight w:val="none"/>
        </w:rPr>
        <w:t>未</w:t>
      </w:r>
      <w:r>
        <w:rPr>
          <w:rFonts w:hint="eastAsia" w:ascii="宋体" w:hAnsi="宋体" w:eastAsia="宋体" w:cs="Times New Roman"/>
          <w:b/>
          <w:color w:val="auto"/>
          <w:kern w:val="0"/>
          <w:szCs w:val="21"/>
          <w:highlight w:val="none"/>
        </w:rPr>
        <w:t>响应</w:t>
      </w:r>
      <w:r>
        <w:rPr>
          <w:rFonts w:ascii="宋体" w:hAnsi="宋体" w:eastAsia="宋体" w:cs="Times New Roman"/>
          <w:b/>
          <w:color w:val="auto"/>
          <w:kern w:val="0"/>
          <w:szCs w:val="21"/>
          <w:highlight w:val="none"/>
        </w:rPr>
        <w:t>招标文件提出的实质性要求和条件（标注★的条款）</w:t>
      </w:r>
      <w:r>
        <w:rPr>
          <w:rFonts w:hint="eastAsia" w:ascii="宋体" w:hAnsi="宋体" w:eastAsia="宋体" w:cs="Times New Roman"/>
          <w:b/>
          <w:color w:val="auto"/>
          <w:kern w:val="0"/>
          <w:szCs w:val="21"/>
          <w:highlight w:val="none"/>
          <w:lang w:eastAsia="zh-CN"/>
        </w:rPr>
        <w:t>；</w:t>
      </w:r>
    </w:p>
    <w:p w14:paraId="2FFF22A5">
      <w:pPr>
        <w:spacing w:line="360" w:lineRule="auto"/>
        <w:ind w:left="413" w:hanging="413" w:hangingChars="196"/>
        <w:rPr>
          <w:rFonts w:hint="eastAsia"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7.12  投标产品的制造商及取得投标产品制造商就本次投标独家授权的经销商同时参与本项目投标的。</w:t>
      </w:r>
    </w:p>
    <w:p w14:paraId="208C7F54">
      <w:pPr>
        <w:autoSpaceDE w:val="0"/>
        <w:autoSpaceDN w:val="0"/>
        <w:adjustRightInd w:val="0"/>
        <w:spacing w:line="360" w:lineRule="auto"/>
        <w:ind w:left="235" w:leftChars="0" w:hanging="235" w:hangingChars="112"/>
        <w:outlineLvl w:val="0"/>
        <w:rPr>
          <w:rFonts w:ascii="宋体" w:hAnsi="宋体" w:eastAsia="宋体" w:cs="宋体"/>
          <w:color w:val="auto"/>
          <w:kern w:val="0"/>
          <w:szCs w:val="24"/>
          <w:highlight w:val="none"/>
          <w:lang w:val="zh-CN"/>
        </w:rPr>
      </w:pPr>
      <w:bookmarkStart w:id="886" w:name="_Toc8336"/>
      <w:r>
        <w:rPr>
          <w:rFonts w:hint="eastAsia" w:ascii="宋体" w:hAnsi="宋体" w:eastAsia="宋体" w:cs="宋体"/>
          <w:bCs/>
          <w:color w:val="auto"/>
          <w:kern w:val="0"/>
          <w:szCs w:val="24"/>
          <w:highlight w:val="none"/>
          <w:lang w:val="zh-CN"/>
        </w:rPr>
        <w:t>8、</w:t>
      </w:r>
      <w:r>
        <w:rPr>
          <w:rFonts w:hint="eastAsia" w:ascii="宋体" w:hAnsi="宋体" w:eastAsia="宋体" w:cs="宋体"/>
          <w:b w:val="0"/>
          <w:bCs/>
          <w:color w:val="auto"/>
          <w:szCs w:val="21"/>
          <w:highlight w:val="none"/>
          <w:lang w:val="zh-CN"/>
        </w:rPr>
        <w:t>评标</w:t>
      </w:r>
      <w:r>
        <w:rPr>
          <w:rFonts w:hint="eastAsia" w:ascii="宋体" w:hAnsi="宋体" w:eastAsia="宋体" w:cs="宋体"/>
          <w:color w:val="auto"/>
          <w:kern w:val="0"/>
          <w:szCs w:val="24"/>
          <w:highlight w:val="none"/>
          <w:lang w:val="zh-CN"/>
        </w:rPr>
        <w:t>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bookmarkEnd w:id="886"/>
    </w:p>
    <w:p w14:paraId="28825A77">
      <w:pPr>
        <w:spacing w:line="360" w:lineRule="auto"/>
        <w:ind w:left="480"/>
        <w:rPr>
          <w:rFonts w:ascii="宋体" w:hAnsi="宋体" w:eastAsia="宋体" w:cs="宋体"/>
          <w:b/>
          <w:color w:val="auto"/>
          <w:kern w:val="0"/>
          <w:szCs w:val="21"/>
          <w:highlight w:val="none"/>
        </w:rPr>
      </w:pPr>
    </w:p>
    <w:p w14:paraId="4F558FDB">
      <w:pPr>
        <w:tabs>
          <w:tab w:val="left" w:pos="1140"/>
        </w:tabs>
        <w:autoSpaceDE w:val="0"/>
        <w:autoSpaceDN w:val="0"/>
        <w:adjustRightInd w:val="0"/>
        <w:spacing w:line="360" w:lineRule="auto"/>
        <w:ind w:firstLine="3528" w:firstLineChars="1255"/>
        <w:jc w:val="left"/>
        <w:outlineLvl w:val="2"/>
        <w:rPr>
          <w:rFonts w:ascii="宋体" w:hAnsi="宋体" w:eastAsia="宋体" w:cs="宋体"/>
          <w:b/>
          <w:bCs/>
          <w:color w:val="auto"/>
          <w:sz w:val="28"/>
          <w:szCs w:val="28"/>
          <w:highlight w:val="none"/>
        </w:rPr>
      </w:pPr>
      <w:bookmarkStart w:id="887" w:name="_Toc15501"/>
      <w:bookmarkStart w:id="888" w:name="_Toc4109_WPSOffice_Level1"/>
      <w:bookmarkStart w:id="889" w:name="_Toc6452"/>
      <w:r>
        <w:rPr>
          <w:rFonts w:hint="eastAsia" w:ascii="宋体" w:hAnsi="宋体" w:eastAsia="宋体" w:cs="宋体"/>
          <w:b/>
          <w:bCs/>
          <w:color w:val="auto"/>
          <w:sz w:val="28"/>
          <w:szCs w:val="28"/>
          <w:highlight w:val="none"/>
          <w:lang w:val="zh-CN"/>
        </w:rPr>
        <w:t>三、澄清有关问题</w:t>
      </w:r>
      <w:bookmarkEnd w:id="887"/>
      <w:bookmarkEnd w:id="888"/>
      <w:bookmarkEnd w:id="889"/>
    </w:p>
    <w:p w14:paraId="0ACC6983">
      <w:pPr>
        <w:autoSpaceDE w:val="0"/>
        <w:autoSpaceDN w:val="0"/>
        <w:adjustRightInd w:val="0"/>
        <w:spacing w:line="360" w:lineRule="auto"/>
        <w:ind w:left="231" w:leftChars="0" w:hanging="231" w:hangingChars="110"/>
        <w:outlineLvl w:val="0"/>
        <w:rPr>
          <w:rFonts w:ascii="宋体" w:hAnsi="宋体" w:eastAsia="宋体" w:cs="宋体"/>
          <w:color w:val="auto"/>
          <w:szCs w:val="24"/>
          <w:highlight w:val="none"/>
          <w:lang w:val="zh-CN"/>
        </w:rPr>
      </w:pPr>
      <w:bookmarkStart w:id="890" w:name="_Toc9216"/>
      <w:r>
        <w:rPr>
          <w:rFonts w:hint="eastAsia" w:ascii="宋体" w:hAnsi="宋体" w:eastAsia="宋体" w:cs="宋体"/>
          <w:bCs/>
          <w:color w:val="auto"/>
          <w:szCs w:val="24"/>
          <w:highlight w:val="none"/>
          <w:lang w:val="zh-CN"/>
        </w:rPr>
        <w:t>9、</w:t>
      </w:r>
      <w:r>
        <w:rPr>
          <w:rFonts w:hint="eastAsia" w:ascii="宋体" w:hAnsi="宋体" w:eastAsia="宋体" w:cs="宋体"/>
          <w:color w:val="auto"/>
          <w:szCs w:val="24"/>
          <w:highlight w:val="none"/>
          <w:lang w:val="zh-CN"/>
        </w:rPr>
        <w:t>在</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的商务、技术资格性检查及符合性检查过程中，</w:t>
      </w:r>
      <w:r>
        <w:rPr>
          <w:rFonts w:hint="eastAsia" w:ascii="宋体" w:hAnsi="宋体" w:eastAsia="宋体" w:cs="宋体"/>
          <w:color w:val="auto"/>
          <w:kern w:val="0"/>
          <w:szCs w:val="24"/>
          <w:highlight w:val="none"/>
          <w:lang w:val="zh-CN"/>
        </w:rPr>
        <w:t>投标人</w:t>
      </w:r>
      <w:r>
        <w:rPr>
          <w:rFonts w:hint="eastAsia" w:ascii="宋体" w:hAnsi="宋体" w:eastAsia="宋体" w:cs="宋体"/>
          <w:color w:val="auto"/>
          <w:szCs w:val="24"/>
          <w:highlight w:val="none"/>
          <w:lang w:val="zh-CN"/>
        </w:rPr>
        <w:t>可应评标委员会要求对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中有关问题进行书面澄清。该书面澄清作为其</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的一部分。</w:t>
      </w:r>
      <w:bookmarkEnd w:id="890"/>
    </w:p>
    <w:p w14:paraId="4E49106C">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9.1  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中含义不明确、同类问题表述不一致或者有明显文字和计算错误的内容，评标委员会可以书面形式（由评标委员会专家签字）要求投标人作出必要的澄清、说明或者纠正。</w:t>
      </w:r>
    </w:p>
    <w:p w14:paraId="111FF6E0">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9.2  投标人的澄清、说明或者纠正应当采用书面形式，经加盖其公章或其合法代表人（法定代表人或法定代表人授权书列明的被授权人）签署方有效，并不得超出投标文件的范围或者改变投标文件的实质性内容。</w:t>
      </w:r>
    </w:p>
    <w:p w14:paraId="64FD3624">
      <w:pPr>
        <w:autoSpaceDE w:val="0"/>
        <w:autoSpaceDN w:val="0"/>
        <w:adjustRightInd w:val="0"/>
        <w:spacing w:line="360" w:lineRule="auto"/>
        <w:ind w:left="529" w:right="18"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9.3  经过澄清后仍不符合要求，则该项目在下一步评审进行评分调整；若重大（实质性）偏差仍存在，且不可接受，投标人则被认为是“不响应招标文件要求的投标人”，不再进入下一步评审。</w:t>
      </w:r>
    </w:p>
    <w:p w14:paraId="7BCF2D4B">
      <w:pPr>
        <w:autoSpaceDE w:val="0"/>
        <w:autoSpaceDN w:val="0"/>
        <w:adjustRightInd w:val="0"/>
        <w:spacing w:line="360" w:lineRule="auto"/>
        <w:ind w:left="529" w:right="18" w:hanging="529" w:hangingChars="252"/>
        <w:rPr>
          <w:rFonts w:hint="eastAsia" w:ascii="宋体" w:hAnsi="宋体" w:eastAsia="宋体" w:cs="宋体"/>
          <w:color w:val="auto"/>
          <w:szCs w:val="24"/>
          <w:highlight w:val="none"/>
          <w:lang w:val="zh-CN"/>
        </w:rPr>
      </w:pPr>
      <w:bookmarkStart w:id="891" w:name="_Toc32667"/>
      <w:r>
        <w:rPr>
          <w:rFonts w:hint="eastAsia" w:ascii="宋体" w:hAnsi="宋体" w:eastAsia="宋体" w:cs="宋体"/>
          <w:color w:val="auto"/>
          <w:szCs w:val="24"/>
          <w:highlight w:val="none"/>
          <w:lang w:val="zh-CN"/>
        </w:rPr>
        <w:t>9.4  投标文件报价计算错误的修正</w:t>
      </w:r>
      <w:bookmarkEnd w:id="891"/>
    </w:p>
    <w:p w14:paraId="019E1BE9">
      <w:pPr>
        <w:autoSpaceDE/>
        <w:autoSpaceDN/>
        <w:adjustRightInd/>
        <w:spacing w:line="360" w:lineRule="auto"/>
        <w:ind w:left="567"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（1）评标委员会将对确定为实质上响应招标文件要求的投标文件进行校核，看其是否有计算或表达上的错误，修正错误的原则为：</w:t>
      </w:r>
    </w:p>
    <w:p w14:paraId="4196073B">
      <w:pPr>
        <w:autoSpaceDE/>
        <w:autoSpaceDN/>
        <w:adjustRightInd/>
        <w:spacing w:line="360" w:lineRule="auto"/>
        <w:ind w:left="0" w:firstLine="420" w:firstLineChars="20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A</w:t>
      </w:r>
      <w:r>
        <w:rPr>
          <w:rFonts w:hint="eastAsia" w:ascii="宋体" w:hAnsi="宋体" w:eastAsia="宋体" w:cs="宋体"/>
          <w:color w:val="auto"/>
          <w:kern w:val="0"/>
          <w:szCs w:val="21"/>
          <w:highlight w:val="none"/>
          <w:lang w:val="zh-CN"/>
        </w:rPr>
        <w:t>）当以数字表示的金额与以文字表示的金额不一致时，以文字表示的金额为准；</w:t>
      </w:r>
    </w:p>
    <w:p w14:paraId="678DFAFC">
      <w:pPr>
        <w:autoSpaceDE/>
        <w:autoSpaceDN/>
        <w:adjustRightInd/>
        <w:spacing w:line="360" w:lineRule="auto"/>
        <w:ind w:left="420" w:leftChars="200" w:firstLine="0" w:firstLineChars="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B</w:t>
      </w:r>
      <w:r>
        <w:rPr>
          <w:rFonts w:hint="eastAsia" w:ascii="宋体" w:hAnsi="宋体" w:eastAsia="宋体" w:cs="宋体"/>
          <w:color w:val="auto"/>
          <w:kern w:val="0"/>
          <w:szCs w:val="21"/>
          <w:highlight w:val="none"/>
          <w:lang w:val="zh-CN"/>
        </w:rPr>
        <w:t>）当开标一览表(投标报价表)内总报价金额与按综合单价计算的总价不一致的，以综合单价计算结果为准，单项金额小数点有明显错位的，应以总价为准，并修正综合单价金额；</w:t>
      </w:r>
    </w:p>
    <w:p w14:paraId="6499DEBF">
      <w:pPr>
        <w:autoSpaceDE/>
        <w:autoSpaceDN/>
        <w:adjustRightInd/>
        <w:spacing w:line="360" w:lineRule="auto"/>
        <w:ind w:left="0" w:firstLine="420" w:firstLineChars="200"/>
        <w:jc w:val="left"/>
        <w:rPr>
          <w:rFonts w:ascii="宋体" w:hAnsi="宋体" w:eastAsia="宋体" w:cs="Times New Roman"/>
          <w:color w:val="auto"/>
          <w:kern w:val="0"/>
          <w:sz w:val="24"/>
          <w:szCs w:val="24"/>
          <w:highlight w:val="none"/>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C</w:t>
      </w:r>
      <w:r>
        <w:rPr>
          <w:rFonts w:hint="eastAsia" w:ascii="宋体" w:hAnsi="宋体" w:eastAsia="宋体" w:cs="宋体"/>
          <w:color w:val="auto"/>
          <w:kern w:val="0"/>
          <w:szCs w:val="21"/>
          <w:highlight w:val="none"/>
          <w:lang w:val="zh-CN"/>
        </w:rPr>
        <w:t>）按前述修正原则排序依次进行修正至唯一值后的报价表经双方确认后，作为合同文件的组成部分。</w:t>
      </w:r>
    </w:p>
    <w:p w14:paraId="6DEC5852">
      <w:pPr>
        <w:spacing w:line="360" w:lineRule="auto"/>
        <w:ind w:left="567" w:hanging="567" w:hangingChars="270"/>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（2）</w:t>
      </w:r>
      <w:r>
        <w:rPr>
          <w:rFonts w:hint="eastAsia" w:ascii="宋体" w:hAnsi="宋体" w:eastAsia="宋体" w:cs="宋体"/>
          <w:b/>
          <w:color w:val="auto"/>
          <w:kern w:val="0"/>
          <w:szCs w:val="21"/>
          <w:highlight w:val="none"/>
          <w:u w:val="single"/>
          <w:lang w:val="zh-CN"/>
        </w:rPr>
        <w:t>按上述修正</w:t>
      </w:r>
      <w:r>
        <w:rPr>
          <w:rFonts w:hint="eastAsia" w:ascii="宋体" w:hAnsi="宋体" w:eastAsia="宋体" w:cs="宋体"/>
          <w:b/>
          <w:color w:val="auto"/>
          <w:kern w:val="0"/>
          <w:szCs w:val="21"/>
          <w:highlight w:val="none"/>
          <w:u w:val="single"/>
        </w:rPr>
        <w:t>错误</w:t>
      </w:r>
      <w:r>
        <w:rPr>
          <w:rFonts w:hint="eastAsia" w:ascii="宋体" w:hAnsi="宋体" w:eastAsia="宋体" w:cs="宋体"/>
          <w:b/>
          <w:color w:val="auto"/>
          <w:kern w:val="0"/>
          <w:szCs w:val="21"/>
          <w:highlight w:val="none"/>
          <w:u w:val="single"/>
          <w:lang w:val="zh-CN"/>
        </w:rPr>
        <w:t>的原则及方法调整或修正投标文件的投标报价，调整后的投标报价对投标人起约束作用。如果投标人不接受修正后的报价，则其投标将被拒绝，作为无效投标处理</w:t>
      </w:r>
      <w:r>
        <w:rPr>
          <w:rFonts w:hint="eastAsia" w:ascii="宋体" w:hAnsi="宋体" w:eastAsia="宋体" w:cs="宋体"/>
          <w:b/>
          <w:color w:val="auto"/>
          <w:kern w:val="0"/>
          <w:szCs w:val="21"/>
          <w:highlight w:val="none"/>
          <w:lang w:val="zh-CN"/>
        </w:rPr>
        <w:t>。</w:t>
      </w:r>
    </w:p>
    <w:p w14:paraId="2D59F429">
      <w:pPr>
        <w:spacing w:line="360" w:lineRule="auto"/>
        <w:ind w:left="567" w:hanging="567" w:hangingChars="27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9.5  若投标人出现超低报价，有可能影响服务质量和不能诚信履约的，</w:t>
      </w:r>
      <w:r>
        <w:rPr>
          <w:rFonts w:hint="eastAsia" w:ascii="宋体" w:hAnsi="宋体" w:eastAsia="宋体" w:cs="宋体"/>
          <w:b w:val="0"/>
          <w:bCs/>
          <w:color w:val="auto"/>
          <w:szCs w:val="21"/>
          <w:highlight w:val="none"/>
          <w:lang w:val="zh-CN"/>
        </w:rPr>
        <w:t>评标委员会将要求该投标人作出书面说明并提供相关证明材料，以确定投标人是否以低于企业成本价报价。</w:t>
      </w:r>
      <w:r>
        <w:rPr>
          <w:rFonts w:hint="eastAsia" w:ascii="宋体" w:hAnsi="宋体" w:eastAsia="宋体" w:cs="宋体"/>
          <w:b/>
          <w:color w:val="auto"/>
          <w:szCs w:val="21"/>
          <w:highlight w:val="none"/>
          <w:lang w:val="zh-CN"/>
        </w:rPr>
        <w:t>若投标人不能合理说明或不能提供相关证明材料的，评标委员会将认定其投标报价低于成本，同时否决其投标。</w:t>
      </w:r>
    </w:p>
    <w:p w14:paraId="1C5894B7">
      <w:pPr>
        <w:autoSpaceDE w:val="0"/>
        <w:autoSpaceDN w:val="0"/>
        <w:adjustRightInd w:val="0"/>
        <w:spacing w:line="360" w:lineRule="auto"/>
        <w:jc w:val="center"/>
        <w:rPr>
          <w:rFonts w:ascii="宋体" w:hAnsi="宋体" w:eastAsia="宋体" w:cs="宋体"/>
          <w:b/>
          <w:bCs/>
          <w:color w:val="auto"/>
          <w:sz w:val="28"/>
          <w:szCs w:val="28"/>
          <w:highlight w:val="none"/>
          <w:lang w:val="zh-CN"/>
        </w:rPr>
      </w:pPr>
      <w:bookmarkStart w:id="892" w:name="_Toc8518_WPSOffice_Level1"/>
    </w:p>
    <w:p w14:paraId="13B25BD8">
      <w:pPr>
        <w:autoSpaceDE w:val="0"/>
        <w:autoSpaceDN w:val="0"/>
        <w:adjustRightInd w:val="0"/>
        <w:spacing w:line="360" w:lineRule="auto"/>
        <w:jc w:val="center"/>
        <w:outlineLvl w:val="2"/>
        <w:rPr>
          <w:rFonts w:ascii="宋体" w:hAnsi="宋体" w:eastAsia="宋体" w:cs="宋体"/>
          <w:b/>
          <w:bCs/>
          <w:color w:val="auto"/>
          <w:sz w:val="28"/>
          <w:szCs w:val="28"/>
          <w:highlight w:val="none"/>
        </w:rPr>
      </w:pPr>
      <w:bookmarkStart w:id="893" w:name="_Toc2725"/>
      <w:bookmarkStart w:id="894" w:name="_Toc8054"/>
      <w:r>
        <w:rPr>
          <w:rFonts w:hint="eastAsia" w:ascii="宋体" w:hAnsi="宋体" w:eastAsia="宋体" w:cs="宋体"/>
          <w:b/>
          <w:bCs/>
          <w:color w:val="auto"/>
          <w:sz w:val="28"/>
          <w:szCs w:val="28"/>
          <w:highlight w:val="none"/>
          <w:lang w:val="zh-CN"/>
        </w:rPr>
        <w:t>四、比较和评价</w:t>
      </w:r>
      <w:bookmarkEnd w:id="892"/>
      <w:bookmarkEnd w:id="893"/>
      <w:bookmarkEnd w:id="894"/>
    </w:p>
    <w:p w14:paraId="0F556056">
      <w:pPr>
        <w:autoSpaceDE w:val="0"/>
        <w:autoSpaceDN w:val="0"/>
        <w:adjustRightInd w:val="0"/>
        <w:spacing w:line="360" w:lineRule="auto"/>
        <w:ind w:left="413" w:leftChars="0" w:hanging="413" w:hangingChars="197"/>
        <w:outlineLvl w:val="0"/>
        <w:rPr>
          <w:rFonts w:hint="eastAsia" w:ascii="宋体" w:hAnsi="宋体" w:eastAsia="宋体" w:cs="宋体"/>
          <w:bCs/>
          <w:color w:val="auto"/>
          <w:szCs w:val="24"/>
          <w:highlight w:val="none"/>
          <w:lang w:val="zh-CN"/>
        </w:rPr>
      </w:pPr>
      <w:bookmarkStart w:id="895" w:name="_Toc21002"/>
      <w:r>
        <w:rPr>
          <w:rFonts w:hint="eastAsia" w:ascii="宋体" w:hAnsi="宋体" w:eastAsia="宋体" w:cs="宋体"/>
          <w:bCs/>
          <w:color w:val="auto"/>
          <w:szCs w:val="24"/>
          <w:highlight w:val="none"/>
          <w:lang w:val="zh-CN"/>
        </w:rPr>
        <w:t>10、评标委员会按招标文件中规定的评审方法和标准，对资格性检查和符合性检查合格的投标文件进行商务和技术评审、综合比较与评价；评标委员会根据商务和技术评审的结果，采用综合评分法，分别对投标文件的商务、技术、价格等内容进行打分。</w:t>
      </w:r>
      <w:bookmarkEnd w:id="895"/>
    </w:p>
    <w:p w14:paraId="50821513">
      <w:pPr>
        <w:autoSpaceDE w:val="0"/>
        <w:autoSpaceDN w:val="0"/>
        <w:adjustRightInd w:val="0"/>
        <w:spacing w:line="360" w:lineRule="auto"/>
        <w:ind w:left="422" w:leftChars="1" w:hanging="420" w:hangingChars="200"/>
        <w:rPr>
          <w:rFonts w:ascii="宋体" w:hAnsi="宋体" w:eastAsia="宋体" w:cs="宋体"/>
          <w:color w:val="auto"/>
          <w:szCs w:val="24"/>
          <w:highlight w:val="none"/>
          <w:lang w:val="zh-CN"/>
        </w:rPr>
      </w:pPr>
    </w:p>
    <w:p w14:paraId="70B97781">
      <w:pPr>
        <w:tabs>
          <w:tab w:val="left" w:pos="1701"/>
        </w:tabs>
        <w:autoSpaceDE w:val="0"/>
        <w:autoSpaceDN w:val="0"/>
        <w:adjustRightInd w:val="0"/>
        <w:spacing w:line="360" w:lineRule="auto"/>
        <w:outlineLvl w:val="0"/>
        <w:rPr>
          <w:rFonts w:ascii="宋体" w:hAnsi="宋体" w:eastAsia="宋体" w:cs="宋体"/>
          <w:b/>
          <w:color w:val="auto"/>
          <w:szCs w:val="24"/>
          <w:highlight w:val="none"/>
          <w:lang w:val="zh-CN"/>
        </w:rPr>
      </w:pPr>
      <w:bookmarkStart w:id="896" w:name="_Toc29442"/>
      <w:bookmarkStart w:id="897" w:name="_Toc721"/>
      <w:r>
        <w:rPr>
          <w:rFonts w:hint="eastAsia" w:ascii="宋体" w:hAnsi="宋体" w:eastAsia="宋体" w:cs="宋体"/>
          <w:b/>
          <w:color w:val="auto"/>
          <w:szCs w:val="24"/>
          <w:highlight w:val="none"/>
          <w:lang w:val="zh-CN"/>
        </w:rPr>
        <w:t>11、评委打分办法</w:t>
      </w:r>
      <w:bookmarkEnd w:id="896"/>
      <w:bookmarkEnd w:id="897"/>
    </w:p>
    <w:p w14:paraId="1F0742E8">
      <w:pPr>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.1 参加评分的评委应尽力体现客观、实事求是，避免学派偏见和个人偏好。</w:t>
      </w:r>
    </w:p>
    <w:p w14:paraId="0BA9CF1C">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.2 衡量、对比的依据，应以招标文件、投标文件、提供的正式试验数据、开标澄清中的文字为准，口头回答和收集的资料只作为参考。</w:t>
      </w:r>
    </w:p>
    <w:p w14:paraId="7055CD74">
      <w:pPr>
        <w:autoSpaceDE w:val="0"/>
        <w:autoSpaceDN w:val="0"/>
        <w:adjustRightInd w:val="0"/>
        <w:spacing w:line="360" w:lineRule="auto"/>
        <w:ind w:left="565" w:leftChars="-1" w:hanging="567" w:hangingChars="270"/>
        <w:rPr>
          <w:rFonts w:hint="eastAsia" w:ascii="宋体" w:hAnsi="宋体" w:eastAsia="宋体" w:cs="宋体"/>
          <w:color w:val="auto"/>
          <w:kern w:val="0"/>
          <w:szCs w:val="21"/>
          <w:highlight w:val="none"/>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.3 评分主要是为比较各投标人的商务、技术</w:t>
      </w:r>
      <w:r>
        <w:rPr>
          <w:rFonts w:hint="eastAsia" w:ascii="宋体" w:hAnsi="宋体" w:eastAsia="宋体" w:cs="Times New Roman"/>
          <w:color w:val="auto"/>
          <w:szCs w:val="24"/>
          <w:highlight w:val="none"/>
          <w:lang w:val="en-US" w:eastAsia="zh-CN"/>
        </w:rPr>
        <w:t>和</w:t>
      </w:r>
      <w:r>
        <w:rPr>
          <w:rFonts w:hint="eastAsia" w:ascii="宋体" w:hAnsi="宋体" w:eastAsia="宋体" w:cs="Times New Roman"/>
          <w:color w:val="auto"/>
          <w:szCs w:val="24"/>
          <w:highlight w:val="none"/>
          <w:lang w:val="zh-CN"/>
        </w:rPr>
        <w:t>价格综合排序。</w:t>
      </w:r>
      <w:r>
        <w:rPr>
          <w:rFonts w:hint="eastAsia" w:ascii="宋体" w:hAnsi="宋体" w:eastAsia="宋体" w:cs="宋体"/>
          <w:color w:val="auto"/>
          <w:kern w:val="0"/>
          <w:szCs w:val="21"/>
          <w:highlight w:val="none"/>
        </w:rPr>
        <w:t>评标委员会专家组的每一位评委根据招标文件评分标准对投标文件分别评审，对有效投标人投标文件的商务、技术、报价分别评分。</w:t>
      </w:r>
    </w:p>
    <w:p w14:paraId="17AEF8C6">
      <w:pPr>
        <w:autoSpaceDE w:val="0"/>
        <w:autoSpaceDN w:val="0"/>
        <w:adjustRightInd w:val="0"/>
        <w:spacing w:line="360" w:lineRule="auto"/>
        <w:ind w:left="565" w:leftChars="-1" w:hanging="567" w:hangingChars="27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评标委员会首先对商务标进行评审，按评标标准打分后，取所有评委评分的平均值得出该投标人的商务评分；</w:t>
      </w:r>
    </w:p>
    <w:p w14:paraId="52DCB99C">
      <w:pPr>
        <w:autoSpaceDE w:val="0"/>
        <w:autoSpaceDN w:val="0"/>
        <w:adjustRightInd w:val="0"/>
        <w:spacing w:line="360" w:lineRule="auto"/>
        <w:ind w:left="565" w:leftChars="-1" w:hanging="567" w:hangingChars="270"/>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然后评标委员会对技术标进行评审，按评标标准打分后</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sz w:val="21"/>
          <w:szCs w:val="21"/>
          <w:highlight w:val="none"/>
        </w:rPr>
        <w:t>当评标委员会为五人时，在所有评委对同一份投标文件技术标评审的总评分中，去掉一个最高分和一个最低分，计算剩余总评分的算术平均值即为该投标人技术部分的</w:t>
      </w:r>
      <w:r>
        <w:rPr>
          <w:rFonts w:hint="eastAsia" w:ascii="宋体" w:hAnsi="宋体" w:eastAsia="宋体" w:cs="宋体"/>
          <w:color w:val="auto"/>
          <w:sz w:val="21"/>
          <w:szCs w:val="21"/>
          <w:highlight w:val="none"/>
          <w:lang w:val="en-US" w:eastAsia="zh-CN"/>
        </w:rPr>
        <w:t>最终综合得分</w:t>
      </w:r>
      <w:r>
        <w:rPr>
          <w:rFonts w:hint="eastAsia" w:ascii="宋体" w:hAnsi="宋体" w:eastAsia="宋体" w:cs="宋体"/>
          <w:color w:val="auto"/>
          <w:sz w:val="21"/>
          <w:szCs w:val="21"/>
          <w:highlight w:val="none"/>
        </w:rPr>
        <w:t>；当评标委员会为七人及以上单数时，在各评委的打分中，同一评委的最高评分减去最低评分，去掉分差最大评委的所有打分（出现分差相同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中、差”区间评审</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评分因素的评分低于权重分值60%的，应在评标报告中作出说明。</w:t>
      </w:r>
    </w:p>
    <w:p w14:paraId="01AC30E3">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最后评标委员会对报价进行评审，按评标标准计算得出该投标人的报价评分。</w:t>
      </w:r>
    </w:p>
    <w:p w14:paraId="15099C22">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bookmarkStart w:id="898" w:name="_Toc21619"/>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.4 评标委员会打分采取记名形式。</w:t>
      </w:r>
      <w:bookmarkEnd w:id="898"/>
    </w:p>
    <w:p w14:paraId="607192FF">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.5 各评委根据秘书组提供的打分表严格按照评标大纲内的评分标准独立自主打分，任何人不得要求评委统一打分或统一确定等次顺序。</w:t>
      </w:r>
    </w:p>
    <w:p w14:paraId="6FBA70D4">
      <w:pPr>
        <w:autoSpaceDE w:val="0"/>
        <w:autoSpaceDN w:val="0"/>
        <w:adjustRightInd w:val="0"/>
        <w:spacing w:line="360" w:lineRule="auto"/>
        <w:ind w:left="426" w:hanging="426"/>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.6 对打分表中的每项条款，各评委应根据投标文件、澄清材料、招标文件要求，按满足的程度给投标人打分。</w:t>
      </w:r>
    </w:p>
    <w:p w14:paraId="47C2876F">
      <w:pPr>
        <w:autoSpaceDE w:val="0"/>
        <w:autoSpaceDN w:val="0"/>
        <w:adjustRightInd w:val="0"/>
        <w:spacing w:line="360" w:lineRule="auto"/>
        <w:ind w:left="426" w:hanging="426"/>
        <w:rPr>
          <w:rFonts w:ascii="宋体" w:hAnsi="宋体" w:eastAsia="宋体" w:cs="Times New Roman"/>
          <w:color w:val="auto"/>
          <w:szCs w:val="24"/>
          <w:highlight w:val="none"/>
          <w:lang w:val="zh-CN"/>
        </w:rPr>
      </w:pPr>
      <w:bookmarkStart w:id="899" w:name="_Toc31636"/>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.7 评分程序</w:t>
      </w:r>
      <w:bookmarkEnd w:id="899"/>
    </w:p>
    <w:p w14:paraId="5BC485AB">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1</w:t>
      </w:r>
      <w:r>
        <w:rPr>
          <w:rFonts w:hint="eastAsia" w:ascii="宋体" w:hAnsi="宋体" w:eastAsia="宋体" w:cs="Times New Roman"/>
          <w:color w:val="auto"/>
          <w:szCs w:val="24"/>
          <w:highlight w:val="none"/>
          <w:lang w:val="zh-CN"/>
        </w:rPr>
        <w:t>）就投标人的投标文件对照整理出商务、技术评标因素对比表、偏差表，并在经过校核的基础上逐项打分。</w:t>
      </w:r>
    </w:p>
    <w:p w14:paraId="39E740AB">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2</w:t>
      </w:r>
      <w:r>
        <w:rPr>
          <w:rFonts w:hint="eastAsia" w:ascii="宋体" w:hAnsi="宋体" w:eastAsia="宋体" w:cs="Times New Roman"/>
          <w:color w:val="auto"/>
          <w:szCs w:val="24"/>
          <w:highlight w:val="none"/>
          <w:lang w:val="zh-CN"/>
        </w:rPr>
        <w:t>）各评委独立完成打分后，将统计好的评分表交给招标代理机构秘书组复核。</w:t>
      </w:r>
    </w:p>
    <w:p w14:paraId="6612AA05">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3</w:t>
      </w:r>
      <w:r>
        <w:rPr>
          <w:rFonts w:hint="eastAsia" w:ascii="宋体" w:hAnsi="宋体" w:eastAsia="宋体" w:cs="Times New Roman"/>
          <w:color w:val="auto"/>
          <w:szCs w:val="24"/>
          <w:highlight w:val="none"/>
          <w:lang w:val="zh-CN"/>
        </w:rPr>
        <w:t>）评分统计表中各投标人技术得分应为最终综合得分，商务和价格得分应为评委打分的算术平均值。</w:t>
      </w:r>
    </w:p>
    <w:p w14:paraId="5AB1FF25">
      <w:pPr>
        <w:autoSpaceDE w:val="0"/>
        <w:autoSpaceDN w:val="0"/>
        <w:adjustRightInd w:val="0"/>
        <w:spacing w:line="360" w:lineRule="auto"/>
        <w:rPr>
          <w:rFonts w:ascii="宋体" w:hAnsi="宋体" w:eastAsia="宋体" w:cs="宋体"/>
          <w:color w:val="auto"/>
          <w:szCs w:val="24"/>
          <w:highlight w:val="none"/>
          <w:lang w:val="zh-CN"/>
        </w:rPr>
      </w:pPr>
    </w:p>
    <w:p w14:paraId="6E593A36">
      <w:pPr>
        <w:tabs>
          <w:tab w:val="left" w:pos="1701"/>
        </w:tabs>
        <w:autoSpaceDE w:val="0"/>
        <w:autoSpaceDN w:val="0"/>
        <w:adjustRightInd w:val="0"/>
        <w:spacing w:line="360" w:lineRule="auto"/>
        <w:outlineLvl w:val="0"/>
        <w:rPr>
          <w:rFonts w:ascii="宋体" w:hAnsi="宋体" w:eastAsia="宋体" w:cs="宋体"/>
          <w:b/>
          <w:color w:val="auto"/>
          <w:szCs w:val="24"/>
          <w:highlight w:val="none"/>
          <w:lang w:val="zh-CN"/>
        </w:rPr>
      </w:pPr>
      <w:bookmarkStart w:id="900" w:name="_Toc3779"/>
      <w:bookmarkStart w:id="901" w:name="_Toc17607"/>
      <w:r>
        <w:rPr>
          <w:rFonts w:hint="eastAsia" w:ascii="宋体" w:hAnsi="宋体" w:eastAsia="宋体" w:cs="宋体"/>
          <w:b/>
          <w:color w:val="auto"/>
          <w:szCs w:val="24"/>
          <w:highlight w:val="none"/>
          <w:lang w:val="zh-CN"/>
        </w:rPr>
        <w:t>12、评分因素及分值</w:t>
      </w:r>
      <w:bookmarkEnd w:id="900"/>
      <w:bookmarkEnd w:id="901"/>
    </w:p>
    <w:tbl>
      <w:tblPr>
        <w:tblStyle w:val="37"/>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197"/>
        <w:gridCol w:w="5173"/>
      </w:tblGrid>
      <w:tr w14:paraId="277AF2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5268B3F3">
            <w:pPr>
              <w:keepNext w:val="0"/>
              <w:keepLines w:val="0"/>
              <w:suppressLineNumbers w:val="0"/>
              <w:spacing w:before="0" w:beforeAutospacing="0" w:after="0" w:afterAutospacing="0" w:line="400" w:lineRule="exact"/>
              <w:ind w:left="0" w:right="0"/>
              <w:jc w:val="center"/>
              <w:rPr>
                <w:rFonts w:hint="default"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评分因素</w:t>
            </w:r>
          </w:p>
        </w:tc>
        <w:tc>
          <w:tcPr>
            <w:tcW w:w="2494" w:type="pct"/>
            <w:tcBorders>
              <w:top w:val="single" w:color="auto" w:sz="4" w:space="0"/>
              <w:left w:val="single" w:color="auto" w:sz="4" w:space="0"/>
              <w:bottom w:val="single" w:color="auto" w:sz="4" w:space="0"/>
              <w:right w:val="single" w:color="auto" w:sz="4" w:space="0"/>
            </w:tcBorders>
            <w:vAlign w:val="center"/>
          </w:tcPr>
          <w:p w14:paraId="67DDC0D1">
            <w:pPr>
              <w:keepNext w:val="0"/>
              <w:keepLines w:val="0"/>
              <w:suppressLineNumbers w:val="0"/>
              <w:spacing w:before="0" w:beforeAutospacing="0" w:after="0" w:afterAutospacing="0" w:line="400" w:lineRule="exact"/>
              <w:ind w:left="0" w:right="0"/>
              <w:jc w:val="center"/>
              <w:rPr>
                <w:rFonts w:hint="default"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分值</w:t>
            </w:r>
          </w:p>
        </w:tc>
      </w:tr>
      <w:tr w14:paraId="75059B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087FA219">
            <w:pPr>
              <w:keepNext w:val="0"/>
              <w:keepLines w:val="0"/>
              <w:suppressLineNumbers w:val="0"/>
              <w:spacing w:before="0" w:beforeAutospacing="0" w:after="0" w:afterAutospacing="0" w:line="400" w:lineRule="exact"/>
              <w:ind w:left="0" w:right="0"/>
              <w:jc w:val="center"/>
              <w:rPr>
                <w:rFonts w:hint="default"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1、商务</w:t>
            </w:r>
          </w:p>
        </w:tc>
        <w:tc>
          <w:tcPr>
            <w:tcW w:w="5173" w:type="dxa"/>
            <w:tcBorders>
              <w:top w:val="single" w:color="auto" w:sz="4" w:space="0"/>
              <w:left w:val="single" w:color="auto" w:sz="4" w:space="0"/>
              <w:bottom w:val="single" w:color="auto" w:sz="4" w:space="0"/>
              <w:right w:val="single" w:color="auto" w:sz="4" w:space="0"/>
            </w:tcBorders>
            <w:vAlign w:val="center"/>
          </w:tcPr>
          <w:p w14:paraId="58EBF34B">
            <w:pPr>
              <w:keepNext w:val="0"/>
              <w:keepLines w:val="0"/>
              <w:suppressLineNumbers w:val="0"/>
              <w:spacing w:before="0" w:beforeAutospacing="0" w:after="0" w:afterAutospacing="0" w:line="400" w:lineRule="exact"/>
              <w:ind w:left="0" w:leftChars="0" w:right="0" w:rightChars="0"/>
              <w:jc w:val="center"/>
              <w:rPr>
                <w:rFonts w:hint="default" w:ascii="宋体" w:hAnsi="宋体" w:eastAsia="宋体" w:cs="宋体"/>
                <w:bCs/>
                <w:color w:val="auto"/>
                <w:kern w:val="0"/>
                <w:sz w:val="22"/>
                <w:highlight w:val="none"/>
                <w:lang w:val="zh-CN"/>
              </w:rPr>
            </w:pPr>
            <w:r>
              <w:rPr>
                <w:rFonts w:hint="eastAsia" w:ascii="宋体" w:hAnsi="宋体" w:eastAsia="宋体" w:cs="宋体"/>
                <w:color w:val="auto"/>
                <w:kern w:val="2"/>
                <w:sz w:val="21"/>
                <w:szCs w:val="21"/>
                <w:highlight w:val="none"/>
                <w:lang w:val="en-US" w:eastAsia="zh-CN"/>
              </w:rPr>
              <w:t>20</w:t>
            </w:r>
            <w:r>
              <w:rPr>
                <w:rFonts w:hint="eastAsia" w:ascii="宋体" w:hAnsi="宋体" w:eastAsia="宋体" w:cs="宋体"/>
                <w:color w:val="auto"/>
                <w:kern w:val="2"/>
                <w:sz w:val="21"/>
                <w:szCs w:val="21"/>
                <w:highlight w:val="none"/>
                <w:lang w:val="zh-CN"/>
              </w:rPr>
              <w:t>分</w:t>
            </w:r>
          </w:p>
        </w:tc>
      </w:tr>
      <w:tr w14:paraId="64C20C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7169815F">
            <w:pPr>
              <w:keepNext w:val="0"/>
              <w:keepLines w:val="0"/>
              <w:suppressLineNumbers w:val="0"/>
              <w:spacing w:before="0" w:beforeAutospacing="0" w:after="0" w:afterAutospacing="0" w:line="400" w:lineRule="exact"/>
              <w:ind w:left="0" w:right="0"/>
              <w:jc w:val="center"/>
              <w:rPr>
                <w:rFonts w:hint="default"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2、技术</w:t>
            </w:r>
          </w:p>
        </w:tc>
        <w:tc>
          <w:tcPr>
            <w:tcW w:w="5173" w:type="dxa"/>
            <w:tcBorders>
              <w:top w:val="single" w:color="auto" w:sz="4" w:space="0"/>
              <w:left w:val="single" w:color="auto" w:sz="4" w:space="0"/>
              <w:bottom w:val="single" w:color="auto" w:sz="4" w:space="0"/>
              <w:right w:val="single" w:color="auto" w:sz="4" w:space="0"/>
            </w:tcBorders>
            <w:vAlign w:val="center"/>
          </w:tcPr>
          <w:p w14:paraId="06660931">
            <w:pPr>
              <w:keepNext w:val="0"/>
              <w:keepLines w:val="0"/>
              <w:suppressLineNumbers w:val="0"/>
              <w:spacing w:before="0" w:beforeAutospacing="0" w:after="0" w:afterAutospacing="0" w:line="400" w:lineRule="exact"/>
              <w:ind w:left="0" w:leftChars="0" w:right="0" w:rightChars="0"/>
              <w:jc w:val="center"/>
              <w:rPr>
                <w:rFonts w:hint="default" w:ascii="宋体" w:hAnsi="宋体" w:eastAsia="宋体" w:cs="宋体"/>
                <w:bCs/>
                <w:color w:val="auto"/>
                <w:kern w:val="0"/>
                <w:sz w:val="22"/>
                <w:highlight w:val="none"/>
                <w:lang w:val="zh-CN"/>
              </w:rPr>
            </w:pPr>
            <w:r>
              <w:rPr>
                <w:rFonts w:hint="eastAsia" w:ascii="宋体" w:hAnsi="宋体" w:eastAsia="宋体" w:cs="宋体"/>
                <w:color w:val="auto"/>
                <w:kern w:val="2"/>
                <w:sz w:val="21"/>
                <w:szCs w:val="21"/>
                <w:highlight w:val="none"/>
                <w:lang w:val="en-US" w:eastAsia="zh-CN"/>
              </w:rPr>
              <w:t>20</w:t>
            </w:r>
            <w:r>
              <w:rPr>
                <w:rFonts w:hint="eastAsia" w:ascii="宋体" w:hAnsi="宋体" w:eastAsia="宋体" w:cs="宋体"/>
                <w:color w:val="auto"/>
                <w:kern w:val="2"/>
                <w:sz w:val="21"/>
                <w:szCs w:val="21"/>
                <w:highlight w:val="none"/>
                <w:lang w:val="zh-CN"/>
              </w:rPr>
              <w:t>分</w:t>
            </w:r>
          </w:p>
        </w:tc>
      </w:tr>
      <w:tr w14:paraId="1A5C2F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50CFD5E7">
            <w:pPr>
              <w:keepNext w:val="0"/>
              <w:keepLines w:val="0"/>
              <w:suppressLineNumbers w:val="0"/>
              <w:spacing w:before="0" w:beforeAutospacing="0" w:after="0" w:afterAutospacing="0" w:line="400" w:lineRule="exact"/>
              <w:ind w:left="0" w:right="0"/>
              <w:jc w:val="center"/>
              <w:rPr>
                <w:rFonts w:hint="default"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3、价格</w:t>
            </w:r>
          </w:p>
        </w:tc>
        <w:tc>
          <w:tcPr>
            <w:tcW w:w="5173" w:type="dxa"/>
            <w:tcBorders>
              <w:top w:val="single" w:color="auto" w:sz="4" w:space="0"/>
              <w:left w:val="single" w:color="auto" w:sz="4" w:space="0"/>
              <w:bottom w:val="single" w:color="auto" w:sz="4" w:space="0"/>
              <w:right w:val="single" w:color="auto" w:sz="4" w:space="0"/>
            </w:tcBorders>
            <w:vAlign w:val="center"/>
          </w:tcPr>
          <w:p w14:paraId="47FAE322">
            <w:pPr>
              <w:keepNext w:val="0"/>
              <w:keepLines w:val="0"/>
              <w:suppressLineNumbers w:val="0"/>
              <w:spacing w:before="0" w:beforeAutospacing="0" w:after="0" w:afterAutospacing="0" w:line="400" w:lineRule="exact"/>
              <w:ind w:left="0" w:leftChars="0" w:right="0" w:rightChars="0"/>
              <w:jc w:val="center"/>
              <w:rPr>
                <w:rFonts w:hint="default" w:ascii="宋体" w:hAnsi="宋体" w:eastAsia="宋体" w:cs="宋体"/>
                <w:bCs/>
                <w:color w:val="auto"/>
                <w:kern w:val="0"/>
                <w:sz w:val="22"/>
                <w:highlight w:val="none"/>
                <w:lang w:val="zh-CN"/>
              </w:rPr>
            </w:pPr>
            <w:r>
              <w:rPr>
                <w:rFonts w:hint="eastAsia" w:ascii="宋体" w:hAnsi="宋体" w:eastAsia="宋体" w:cs="宋体"/>
                <w:color w:val="auto"/>
                <w:kern w:val="2"/>
                <w:sz w:val="21"/>
                <w:szCs w:val="21"/>
                <w:highlight w:val="none"/>
                <w:lang w:val="en-US" w:eastAsia="zh-CN"/>
              </w:rPr>
              <w:t>60</w:t>
            </w:r>
            <w:r>
              <w:rPr>
                <w:rFonts w:hint="eastAsia" w:ascii="宋体" w:hAnsi="宋体" w:eastAsia="宋体" w:cs="宋体"/>
                <w:color w:val="auto"/>
                <w:kern w:val="2"/>
                <w:sz w:val="21"/>
                <w:szCs w:val="21"/>
                <w:highlight w:val="none"/>
                <w:lang w:val="zh-CN"/>
              </w:rPr>
              <w:t>分</w:t>
            </w:r>
          </w:p>
        </w:tc>
      </w:tr>
    </w:tbl>
    <w:p w14:paraId="36013743">
      <w:pPr>
        <w:tabs>
          <w:tab w:val="left" w:pos="585"/>
        </w:tabs>
        <w:autoSpaceDE w:val="0"/>
        <w:autoSpaceDN w:val="0"/>
        <w:adjustRightInd w:val="0"/>
        <w:spacing w:line="360" w:lineRule="auto"/>
        <w:rPr>
          <w:rFonts w:hint="eastAsia" w:ascii="宋体" w:hAnsi="宋体" w:eastAsia="宋体" w:cs="宋体"/>
          <w:b/>
          <w:color w:val="auto"/>
          <w:szCs w:val="21"/>
          <w:highlight w:val="none"/>
        </w:rPr>
      </w:pPr>
      <w:bookmarkStart w:id="902" w:name="_Toc18349_WPSOffice_Level2"/>
    </w:p>
    <w:p w14:paraId="2F9AE69E">
      <w:pPr>
        <w:tabs>
          <w:tab w:val="left" w:pos="585"/>
        </w:tabs>
        <w:autoSpaceDE w:val="0"/>
        <w:autoSpaceDN w:val="0"/>
        <w:adjustRightInd w:val="0"/>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rPr>
        <w:t>（1）</w:t>
      </w:r>
      <w:r>
        <w:rPr>
          <w:rFonts w:hint="eastAsia" w:ascii="宋体" w:hAnsi="宋体" w:eastAsia="宋体" w:cs="宋体"/>
          <w:b/>
          <w:color w:val="auto"/>
          <w:szCs w:val="21"/>
          <w:highlight w:val="none"/>
          <w:lang w:val="zh-CN"/>
        </w:rPr>
        <w:t>商务：总分</w:t>
      </w:r>
      <w:r>
        <w:rPr>
          <w:rFonts w:hint="eastAsia" w:ascii="宋体" w:hAnsi="宋体" w:eastAsia="宋体" w:cs="宋体"/>
          <w:b/>
          <w:color w:val="auto"/>
          <w:szCs w:val="21"/>
          <w:highlight w:val="none"/>
          <w:lang w:val="en-US" w:eastAsia="zh-CN"/>
        </w:rPr>
        <w:t>20</w:t>
      </w:r>
      <w:r>
        <w:rPr>
          <w:rFonts w:hint="eastAsia" w:ascii="宋体" w:hAnsi="宋体" w:eastAsia="宋体" w:cs="宋体"/>
          <w:b/>
          <w:color w:val="auto"/>
          <w:szCs w:val="21"/>
          <w:highlight w:val="none"/>
          <w:lang w:val="zh-CN"/>
        </w:rPr>
        <w:t>分</w:t>
      </w:r>
      <w:bookmarkEnd w:id="902"/>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1133"/>
        <w:gridCol w:w="7657"/>
        <w:gridCol w:w="908"/>
      </w:tblGrid>
      <w:tr w14:paraId="37F55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324" w:type="pct"/>
            <w:tcBorders>
              <w:top w:val="single" w:color="auto" w:sz="4" w:space="0"/>
              <w:left w:val="single" w:color="auto" w:sz="4" w:space="0"/>
              <w:bottom w:val="single" w:color="auto" w:sz="4" w:space="0"/>
              <w:right w:val="single" w:color="auto" w:sz="4" w:space="0"/>
            </w:tcBorders>
            <w:vAlign w:val="bottom"/>
          </w:tcPr>
          <w:p w14:paraId="5E81B994">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546" w:type="pct"/>
            <w:tcBorders>
              <w:top w:val="single" w:color="auto" w:sz="4" w:space="0"/>
              <w:left w:val="single" w:color="auto" w:sz="4" w:space="0"/>
              <w:bottom w:val="single" w:color="auto" w:sz="4" w:space="0"/>
              <w:right w:val="single" w:color="auto" w:sz="4" w:space="0"/>
            </w:tcBorders>
            <w:vAlign w:val="bottom"/>
          </w:tcPr>
          <w:p w14:paraId="3E329EE1">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kern w:val="0"/>
                <w:szCs w:val="21"/>
                <w:highlight w:val="none"/>
              </w:rPr>
            </w:pPr>
            <w:r>
              <w:rPr>
                <w:rFonts w:hint="eastAsia" w:ascii="宋体" w:hAnsi="宋体" w:eastAsia="宋体" w:cs="宋体"/>
                <w:b/>
                <w:color w:val="auto"/>
                <w:szCs w:val="21"/>
                <w:highlight w:val="none"/>
                <w:lang w:val="zh-CN"/>
              </w:rPr>
              <w:t>评审内容</w:t>
            </w:r>
          </w:p>
        </w:tc>
        <w:tc>
          <w:tcPr>
            <w:tcW w:w="3690" w:type="pct"/>
            <w:tcBorders>
              <w:top w:val="single" w:color="auto" w:sz="4" w:space="0"/>
              <w:left w:val="single" w:color="auto" w:sz="4" w:space="0"/>
              <w:bottom w:val="single" w:color="auto" w:sz="4" w:space="0"/>
              <w:right w:val="single" w:color="auto" w:sz="4" w:space="0"/>
            </w:tcBorders>
            <w:vAlign w:val="bottom"/>
          </w:tcPr>
          <w:p w14:paraId="4E0AEE05">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437" w:type="pct"/>
            <w:tcBorders>
              <w:top w:val="single" w:color="auto" w:sz="4" w:space="0"/>
              <w:left w:val="single" w:color="auto" w:sz="4" w:space="0"/>
              <w:bottom w:val="single" w:color="auto" w:sz="4" w:space="0"/>
              <w:right w:val="single" w:color="auto" w:sz="4" w:space="0"/>
            </w:tcBorders>
            <w:vAlign w:val="bottom"/>
          </w:tcPr>
          <w:p w14:paraId="7F323EE0">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14:paraId="76659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37A80D1E">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w:t>
            </w:r>
          </w:p>
        </w:tc>
        <w:tc>
          <w:tcPr>
            <w:tcW w:w="546" w:type="pct"/>
            <w:tcBorders>
              <w:top w:val="single" w:color="auto" w:sz="4" w:space="0"/>
              <w:left w:val="single" w:color="auto" w:sz="4" w:space="0"/>
              <w:bottom w:val="single" w:color="auto" w:sz="4" w:space="0"/>
              <w:right w:val="single" w:color="auto" w:sz="4" w:space="0"/>
            </w:tcBorders>
            <w:vAlign w:val="center"/>
          </w:tcPr>
          <w:p w14:paraId="0D9EE4C0">
            <w:pPr>
              <w:keepNext w:val="0"/>
              <w:keepLines w:val="0"/>
              <w:suppressLineNumbers w:val="0"/>
              <w:autoSpaceDE w:val="0"/>
              <w:autoSpaceDN w:val="0"/>
              <w:spacing w:before="0" w:beforeAutospacing="0" w:after="0" w:afterAutospacing="0" w:line="360" w:lineRule="auto"/>
              <w:ind w:left="0" w:right="0"/>
              <w:jc w:val="center"/>
              <w:rPr>
                <w:rFonts w:hint="eastAsia" w:ascii="宋体" w:hAnsi="宋体" w:eastAsia="宋体" w:cs="宋体"/>
                <w:bCs/>
                <w:color w:val="auto"/>
                <w:kern w:val="0"/>
                <w:sz w:val="21"/>
                <w:szCs w:val="21"/>
                <w:highlight w:val="none"/>
              </w:rPr>
            </w:pPr>
            <w:r>
              <w:rPr>
                <w:rFonts w:hint="eastAsia" w:ascii="宋体" w:hAnsi="宋体" w:eastAsia="宋体" w:cs="宋体"/>
                <w:color w:val="auto"/>
                <w:sz w:val="21"/>
                <w:szCs w:val="21"/>
                <w:highlight w:val="none"/>
                <w:lang w:val="zh-CN"/>
              </w:rPr>
              <w:t>财务状况</w:t>
            </w:r>
          </w:p>
        </w:tc>
        <w:tc>
          <w:tcPr>
            <w:tcW w:w="3690" w:type="pct"/>
            <w:tcBorders>
              <w:top w:val="single" w:color="auto" w:sz="4" w:space="0"/>
              <w:left w:val="single" w:color="auto" w:sz="4" w:space="0"/>
              <w:bottom w:val="single" w:color="auto" w:sz="4" w:space="0"/>
              <w:right w:val="single" w:color="auto" w:sz="4" w:space="0"/>
            </w:tcBorders>
            <w:vAlign w:val="center"/>
          </w:tcPr>
          <w:p w14:paraId="02BBB2B1">
            <w:pPr>
              <w:keepNext w:val="0"/>
              <w:keepLines w:val="0"/>
              <w:suppressLineNumbers w:val="0"/>
              <w:autoSpaceDE w:val="0"/>
              <w:autoSpaceDN w:val="0"/>
              <w:spacing w:before="0" w:beforeAutospacing="0" w:after="0" w:afterAutospacing="0" w:line="360" w:lineRule="auto"/>
              <w:ind w:left="0" w:right="0"/>
              <w:jc w:val="left"/>
              <w:rPr>
                <w:rFonts w:hint="eastAsia" w:ascii="宋体" w:hAnsi="宋体" w:eastAsia="宋体" w:cs="宋体"/>
                <w:b w:val="0"/>
                <w:bCs/>
                <w:color w:val="auto"/>
                <w:kern w:val="0"/>
                <w:szCs w:val="21"/>
                <w:highlight w:val="none"/>
                <w:lang w:val="zh-CN"/>
              </w:rPr>
            </w:pPr>
            <w:r>
              <w:rPr>
                <w:rFonts w:hint="eastAsia" w:ascii="宋体" w:hAnsi="宋体" w:eastAsia="宋体" w:cs="宋体"/>
                <w:b w:val="0"/>
                <w:bCs/>
                <w:color w:val="auto"/>
                <w:kern w:val="0"/>
                <w:szCs w:val="21"/>
                <w:highlight w:val="none"/>
                <w:lang w:val="zh-CN"/>
              </w:rPr>
              <w:t>投标人2021年-2023年三个年度，每具有1个年度盈利的得1分，满分3分。</w:t>
            </w:r>
          </w:p>
          <w:p w14:paraId="6E62004C">
            <w:pPr>
              <w:keepNext w:val="0"/>
              <w:keepLines w:val="0"/>
              <w:suppressLineNumbers w:val="0"/>
              <w:autoSpaceDE w:val="0"/>
              <w:autoSpaceDN w:val="0"/>
              <w:spacing w:before="0" w:beforeAutospacing="0" w:after="0" w:afterAutospacing="0" w:line="360" w:lineRule="auto"/>
              <w:ind w:left="0" w:right="0"/>
              <w:jc w:val="left"/>
              <w:rPr>
                <w:rFonts w:hint="eastAsia" w:ascii="宋体" w:hAnsi="宋体" w:eastAsia="宋体" w:cs="宋体"/>
                <w:b/>
                <w:color w:val="auto"/>
                <w:kern w:val="0"/>
                <w:szCs w:val="21"/>
                <w:highlight w:val="none"/>
                <w:lang w:val="zh-CN"/>
              </w:rPr>
            </w:pPr>
            <w:r>
              <w:rPr>
                <w:rFonts w:hint="eastAsia" w:ascii="宋体" w:hAnsi="宋体" w:eastAsia="宋体" w:cs="宋体"/>
                <w:b/>
                <w:color w:val="auto"/>
                <w:kern w:val="0"/>
                <w:szCs w:val="21"/>
                <w:highlight w:val="none"/>
                <w:lang w:val="en-US" w:eastAsia="zh-CN"/>
              </w:rPr>
              <w:t>备</w:t>
            </w:r>
            <w:r>
              <w:rPr>
                <w:rFonts w:hint="eastAsia" w:ascii="宋体" w:hAnsi="宋体" w:eastAsia="宋体" w:cs="宋体"/>
                <w:b/>
                <w:color w:val="auto"/>
                <w:kern w:val="0"/>
                <w:szCs w:val="21"/>
                <w:highlight w:val="none"/>
                <w:lang w:val="zh-CN"/>
              </w:rPr>
              <w:t>注：盈利指净利润为正数（非零、非负数），投标人应提供2021年、2022年、2023年三个年度的财务报表，净利润以对应年度经审计的财务报表为准，应提供经独立会计师事务所审计过的有效的财务报表复印件；未提供前述财务报表或财务报表未能反映净利润的，不得分。</w:t>
            </w:r>
          </w:p>
        </w:tc>
        <w:tc>
          <w:tcPr>
            <w:tcW w:w="437" w:type="pct"/>
            <w:tcBorders>
              <w:top w:val="single" w:color="auto" w:sz="4" w:space="0"/>
              <w:left w:val="single" w:color="auto" w:sz="4" w:space="0"/>
              <w:bottom w:val="single" w:color="auto" w:sz="4" w:space="0"/>
              <w:right w:val="single" w:color="auto" w:sz="4" w:space="0"/>
            </w:tcBorders>
            <w:vAlign w:val="center"/>
          </w:tcPr>
          <w:p w14:paraId="0A9422E0">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kern w:val="0"/>
                <w:szCs w:val="21"/>
                <w:highlight w:val="none"/>
              </w:rPr>
            </w:pPr>
            <w:r>
              <w:rPr>
                <w:rFonts w:hint="eastAsia" w:ascii="宋体" w:hAnsi="宋体" w:eastAsia="宋体" w:cs="宋体"/>
                <w:b w:val="0"/>
                <w:bCs/>
                <w:color w:val="auto"/>
                <w:kern w:val="0"/>
                <w:szCs w:val="21"/>
                <w:highlight w:val="none"/>
                <w:lang w:val="zh-CN"/>
              </w:rPr>
              <w:t>3分</w:t>
            </w:r>
          </w:p>
        </w:tc>
      </w:tr>
      <w:tr w14:paraId="32995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70ECF03F">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0"/>
                <w:szCs w:val="21"/>
                <w:highlight w:val="none"/>
                <w:lang w:eastAsia="zh-CN"/>
              </w:rPr>
            </w:pPr>
            <w:bookmarkStart w:id="903" w:name="_Hlk104987354"/>
            <w:r>
              <w:rPr>
                <w:rFonts w:hint="eastAsia" w:ascii="宋体" w:hAnsi="宋体" w:eastAsia="宋体" w:cs="宋体"/>
                <w:color w:val="auto"/>
                <w:kern w:val="2"/>
                <w:sz w:val="21"/>
                <w:szCs w:val="21"/>
                <w:highlight w:val="none"/>
                <w:lang w:val="en-US" w:eastAsia="zh-CN"/>
              </w:rPr>
              <w:t>2</w:t>
            </w:r>
          </w:p>
        </w:tc>
        <w:tc>
          <w:tcPr>
            <w:tcW w:w="546" w:type="pct"/>
            <w:tcBorders>
              <w:top w:val="single" w:color="auto" w:sz="4" w:space="0"/>
              <w:left w:val="single" w:color="auto" w:sz="4" w:space="0"/>
              <w:bottom w:val="single" w:color="auto" w:sz="4" w:space="0"/>
              <w:right w:val="single" w:color="auto" w:sz="4" w:space="0"/>
            </w:tcBorders>
            <w:vAlign w:val="center"/>
          </w:tcPr>
          <w:p w14:paraId="4A72E9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2"/>
                <w:sz w:val="21"/>
                <w:szCs w:val="21"/>
                <w:highlight w:val="none"/>
              </w:rPr>
              <w:t>业绩</w:t>
            </w:r>
          </w:p>
        </w:tc>
        <w:tc>
          <w:tcPr>
            <w:tcW w:w="3690" w:type="pct"/>
            <w:tcBorders>
              <w:top w:val="single" w:color="auto" w:sz="4" w:space="0"/>
              <w:left w:val="single" w:color="auto" w:sz="4" w:space="0"/>
              <w:bottom w:val="single" w:color="auto" w:sz="4" w:space="0"/>
              <w:right w:val="single" w:color="auto" w:sz="4" w:space="0"/>
            </w:tcBorders>
            <w:vAlign w:val="center"/>
          </w:tcPr>
          <w:p w14:paraId="47633939">
            <w:pPr>
              <w:pStyle w:val="21"/>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投标人</w:t>
            </w:r>
            <w:r>
              <w:rPr>
                <w:rFonts w:hint="eastAsia" w:hAnsi="宋体" w:cs="宋体"/>
                <w:color w:val="auto"/>
                <w:kern w:val="2"/>
                <w:sz w:val="21"/>
                <w:szCs w:val="21"/>
                <w:highlight w:val="none"/>
                <w:lang w:val="en-US" w:eastAsia="zh-CN"/>
              </w:rPr>
              <w:t>2022年</w:t>
            </w:r>
            <w:r>
              <w:rPr>
                <w:rFonts w:hint="eastAsia" w:ascii="宋体" w:hAnsi="宋体" w:eastAsia="宋体" w:cs="宋体"/>
                <w:color w:val="auto"/>
                <w:kern w:val="2"/>
                <w:sz w:val="21"/>
                <w:szCs w:val="21"/>
                <w:highlight w:val="none"/>
              </w:rPr>
              <w:t>以来具有的</w:t>
            </w:r>
            <w:r>
              <w:rPr>
                <w:rFonts w:hint="eastAsia" w:ascii="宋体" w:hAnsi="宋体" w:eastAsia="宋体" w:cs="宋体"/>
                <w:color w:val="auto"/>
                <w:kern w:val="2"/>
                <w:sz w:val="21"/>
                <w:szCs w:val="21"/>
                <w:highlight w:val="none"/>
                <w:lang w:val="en-US" w:eastAsia="zh-CN"/>
              </w:rPr>
              <w:t>投标品牌</w:t>
            </w:r>
            <w:r>
              <w:rPr>
                <w:rFonts w:hint="eastAsia" w:ascii="宋体" w:hAnsi="宋体" w:eastAsia="宋体" w:cs="宋体"/>
                <w:color w:val="auto"/>
                <w:kern w:val="2"/>
                <w:sz w:val="21"/>
                <w:szCs w:val="21"/>
                <w:highlight w:val="none"/>
              </w:rPr>
              <w:t>液体柠檬酸供货业绩（</w:t>
            </w:r>
            <w:r>
              <w:rPr>
                <w:rFonts w:hint="eastAsia" w:hAnsi="宋体" w:cs="宋体"/>
                <w:color w:val="auto"/>
                <w:szCs w:val="21"/>
                <w:highlight w:val="none"/>
              </w:rPr>
              <w:t>合同签订日期</w:t>
            </w:r>
            <w:r>
              <w:rPr>
                <w:rFonts w:hint="eastAsia" w:ascii="宋体" w:hAnsi="宋体" w:eastAsia="宋体" w:cs="宋体"/>
                <w:color w:val="auto"/>
                <w:kern w:val="2"/>
                <w:sz w:val="21"/>
                <w:szCs w:val="21"/>
                <w:highlight w:val="none"/>
              </w:rPr>
              <w:t>为</w:t>
            </w:r>
            <w:r>
              <w:rPr>
                <w:rFonts w:hint="eastAsia" w:ascii="宋体" w:hAnsi="宋体" w:eastAsia="宋体" w:cs="宋体"/>
                <w:color w:val="auto"/>
                <w:kern w:val="2"/>
                <w:sz w:val="21"/>
                <w:szCs w:val="21"/>
                <w:highlight w:val="none"/>
                <w:lang w:eastAsia="zh-CN"/>
              </w:rPr>
              <w:t>202</w:t>
            </w:r>
            <w:r>
              <w:rPr>
                <w:rFonts w:hint="eastAsia" w:hAnsi="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rPr>
              <w:t>年1月1日或以后），按下列情况评分：</w:t>
            </w:r>
          </w:p>
          <w:p w14:paraId="48EA8AB6">
            <w:pPr>
              <w:pStyle w:val="21"/>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textAlignment w:val="auto"/>
              <w:rPr>
                <w:rFonts w:hint="eastAsia" w:ascii="宋体" w:hAnsi="宋体" w:eastAsia="宋体" w:cs="宋体"/>
                <w:color w:val="auto"/>
                <w:kern w:val="2"/>
                <w:sz w:val="21"/>
                <w:szCs w:val="21"/>
                <w:highlight w:val="none"/>
                <w:lang w:eastAsia="zh-CN"/>
              </w:rPr>
            </w:pPr>
            <w:r>
              <w:rPr>
                <w:rFonts w:hint="eastAsia" w:hAnsi="宋体" w:cs="宋体"/>
                <w:color w:val="auto"/>
                <w:kern w:val="2"/>
                <w:sz w:val="21"/>
                <w:szCs w:val="21"/>
                <w:highlight w:val="none"/>
                <w:lang w:eastAsia="zh-CN"/>
              </w:rPr>
              <w:t>（</w:t>
            </w:r>
            <w:r>
              <w:rPr>
                <w:rFonts w:hint="eastAsia" w:hAnsi="宋体" w:cs="宋体"/>
                <w:color w:val="auto"/>
                <w:kern w:val="2"/>
                <w:sz w:val="21"/>
                <w:szCs w:val="21"/>
                <w:highlight w:val="none"/>
                <w:lang w:val="en-US" w:eastAsia="zh-CN"/>
              </w:rPr>
              <w:t>1</w:t>
            </w:r>
            <w:r>
              <w:rPr>
                <w:rFonts w:hint="eastAsia" w:hAnsi="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单项合同金额≥</w:t>
            </w:r>
            <w:r>
              <w:rPr>
                <w:rFonts w:hint="eastAsia" w:hAnsi="宋体" w:cs="宋体"/>
                <w:color w:val="auto"/>
                <w:kern w:val="2"/>
                <w:sz w:val="21"/>
                <w:szCs w:val="21"/>
                <w:highlight w:val="none"/>
                <w:lang w:val="en-US" w:eastAsia="zh-CN"/>
              </w:rPr>
              <w:t>25</w:t>
            </w:r>
            <w:r>
              <w:rPr>
                <w:rFonts w:hint="eastAsia" w:ascii="宋体" w:hAnsi="宋体" w:eastAsia="宋体" w:cs="宋体"/>
                <w:color w:val="auto"/>
                <w:kern w:val="2"/>
                <w:sz w:val="21"/>
                <w:szCs w:val="21"/>
                <w:highlight w:val="none"/>
              </w:rPr>
              <w:t>万元的前述业绩的，每项得3分</w:t>
            </w:r>
            <w:r>
              <w:rPr>
                <w:rFonts w:hint="eastAsia" w:ascii="宋体" w:hAnsi="宋体" w:eastAsia="宋体" w:cs="宋体"/>
                <w:color w:val="auto"/>
                <w:kern w:val="2"/>
                <w:sz w:val="21"/>
                <w:szCs w:val="21"/>
                <w:highlight w:val="none"/>
                <w:lang w:eastAsia="zh-CN"/>
              </w:rPr>
              <w:t>。</w:t>
            </w:r>
          </w:p>
          <w:p w14:paraId="08FC233A">
            <w:pPr>
              <w:pStyle w:val="21"/>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textAlignment w:val="auto"/>
              <w:rPr>
                <w:rFonts w:hint="eastAsia" w:ascii="宋体" w:hAnsi="宋体" w:eastAsia="宋体" w:cs="宋体"/>
                <w:color w:val="auto"/>
                <w:kern w:val="2"/>
                <w:sz w:val="21"/>
                <w:szCs w:val="21"/>
                <w:highlight w:val="none"/>
                <w:lang w:eastAsia="zh-CN"/>
              </w:rPr>
            </w:pPr>
            <w:r>
              <w:rPr>
                <w:rFonts w:hint="eastAsia" w:hAnsi="宋体" w:cs="宋体"/>
                <w:color w:val="auto"/>
                <w:kern w:val="2"/>
                <w:sz w:val="21"/>
                <w:szCs w:val="21"/>
                <w:highlight w:val="none"/>
                <w:lang w:eastAsia="zh-CN"/>
              </w:rPr>
              <w:t>（</w:t>
            </w:r>
            <w:r>
              <w:rPr>
                <w:rFonts w:hint="eastAsia" w:hAnsi="宋体" w:cs="宋体"/>
                <w:color w:val="auto"/>
                <w:kern w:val="2"/>
                <w:sz w:val="21"/>
                <w:szCs w:val="21"/>
                <w:highlight w:val="none"/>
                <w:lang w:val="en-US" w:eastAsia="zh-CN"/>
              </w:rPr>
              <w:t>2</w:t>
            </w:r>
            <w:r>
              <w:rPr>
                <w:rFonts w:hint="eastAsia" w:hAnsi="宋体" w:cs="宋体"/>
                <w:color w:val="auto"/>
                <w:kern w:val="2"/>
                <w:sz w:val="21"/>
                <w:szCs w:val="21"/>
                <w:highlight w:val="none"/>
                <w:lang w:eastAsia="zh-CN"/>
              </w:rPr>
              <w:t>）</w:t>
            </w:r>
            <w:r>
              <w:rPr>
                <w:rFonts w:hint="eastAsia" w:hAnsi="宋体" w:cs="宋体"/>
                <w:color w:val="auto"/>
                <w:kern w:val="2"/>
                <w:sz w:val="21"/>
                <w:szCs w:val="21"/>
                <w:highlight w:val="none"/>
                <w:lang w:val="en-US" w:eastAsia="zh-CN"/>
              </w:rPr>
              <w:t>15</w:t>
            </w:r>
            <w:r>
              <w:rPr>
                <w:rFonts w:hint="eastAsia" w:ascii="宋体" w:hAnsi="宋体" w:eastAsia="宋体" w:cs="宋体"/>
                <w:color w:val="auto"/>
                <w:kern w:val="2"/>
                <w:sz w:val="21"/>
                <w:szCs w:val="21"/>
                <w:highlight w:val="none"/>
              </w:rPr>
              <w:t>万元≤单项合同金额＜</w:t>
            </w:r>
            <w:r>
              <w:rPr>
                <w:rFonts w:hint="eastAsia" w:hAnsi="宋体" w:cs="宋体"/>
                <w:color w:val="auto"/>
                <w:kern w:val="2"/>
                <w:sz w:val="21"/>
                <w:szCs w:val="21"/>
                <w:highlight w:val="none"/>
                <w:lang w:val="en-US" w:eastAsia="zh-CN"/>
              </w:rPr>
              <w:t>25</w:t>
            </w:r>
            <w:r>
              <w:rPr>
                <w:rFonts w:hint="eastAsia" w:ascii="宋体" w:hAnsi="宋体" w:eastAsia="宋体" w:cs="宋体"/>
                <w:color w:val="auto"/>
                <w:kern w:val="2"/>
                <w:sz w:val="21"/>
                <w:szCs w:val="21"/>
                <w:highlight w:val="none"/>
              </w:rPr>
              <w:t>万元的前述业绩的，每项得2分，本子项满分</w:t>
            </w:r>
            <w:r>
              <w:rPr>
                <w:rFonts w:hint="eastAsia" w:hAnsi="宋体" w:cs="宋体"/>
                <w:color w:val="auto"/>
                <w:kern w:val="2"/>
                <w:sz w:val="21"/>
                <w:szCs w:val="21"/>
                <w:highlight w:val="none"/>
                <w:lang w:val="en-US" w:eastAsia="zh-CN"/>
              </w:rPr>
              <w:t>6</w:t>
            </w:r>
            <w:r>
              <w:rPr>
                <w:rFonts w:hint="eastAsia" w:ascii="宋体" w:hAnsi="宋体" w:eastAsia="宋体" w:cs="宋体"/>
                <w:color w:val="auto"/>
                <w:kern w:val="2"/>
                <w:sz w:val="21"/>
                <w:szCs w:val="21"/>
                <w:highlight w:val="none"/>
              </w:rPr>
              <w:t>分</w:t>
            </w:r>
            <w:r>
              <w:rPr>
                <w:rFonts w:hint="eastAsia" w:ascii="宋体" w:hAnsi="宋体" w:eastAsia="宋体" w:cs="宋体"/>
                <w:color w:val="auto"/>
                <w:kern w:val="2"/>
                <w:sz w:val="21"/>
                <w:szCs w:val="21"/>
                <w:highlight w:val="none"/>
                <w:lang w:eastAsia="zh-CN"/>
              </w:rPr>
              <w:t>。</w:t>
            </w:r>
          </w:p>
          <w:p w14:paraId="01DC1887">
            <w:pPr>
              <w:pStyle w:val="21"/>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textAlignment w:val="auto"/>
              <w:rPr>
                <w:rFonts w:hint="eastAsia" w:ascii="宋体" w:hAnsi="宋体" w:eastAsia="宋体" w:cs="宋体"/>
                <w:color w:val="auto"/>
                <w:kern w:val="2"/>
                <w:sz w:val="21"/>
                <w:szCs w:val="21"/>
                <w:highlight w:val="none"/>
              </w:rPr>
            </w:pPr>
            <w:r>
              <w:rPr>
                <w:rFonts w:hint="eastAsia" w:hAnsi="宋体" w:cs="宋体"/>
                <w:color w:val="auto"/>
                <w:kern w:val="2"/>
                <w:sz w:val="21"/>
                <w:szCs w:val="21"/>
                <w:highlight w:val="none"/>
                <w:lang w:eastAsia="zh-CN"/>
              </w:rPr>
              <w:t>（</w:t>
            </w:r>
            <w:r>
              <w:rPr>
                <w:rFonts w:hint="eastAsia" w:hAnsi="宋体" w:cs="宋体"/>
                <w:color w:val="auto"/>
                <w:kern w:val="2"/>
                <w:sz w:val="21"/>
                <w:szCs w:val="21"/>
                <w:highlight w:val="none"/>
                <w:lang w:val="en-US" w:eastAsia="zh-CN"/>
              </w:rPr>
              <w:t>3</w:t>
            </w:r>
            <w:r>
              <w:rPr>
                <w:rFonts w:hint="eastAsia" w:hAnsi="宋体" w:cs="宋体"/>
                <w:color w:val="auto"/>
                <w:kern w:val="2"/>
                <w:sz w:val="21"/>
                <w:szCs w:val="21"/>
                <w:highlight w:val="none"/>
                <w:lang w:eastAsia="zh-CN"/>
              </w:rPr>
              <w:t>）</w:t>
            </w:r>
            <w:r>
              <w:rPr>
                <w:rFonts w:hint="eastAsia" w:hAnsi="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rPr>
              <w:t>万元≤单项合同金额＜</w:t>
            </w:r>
            <w:r>
              <w:rPr>
                <w:rFonts w:hint="eastAsia" w:hAnsi="宋体" w:cs="宋体"/>
                <w:color w:val="auto"/>
                <w:kern w:val="2"/>
                <w:sz w:val="21"/>
                <w:szCs w:val="21"/>
                <w:highlight w:val="none"/>
                <w:lang w:val="en-US" w:eastAsia="zh-CN"/>
              </w:rPr>
              <w:t>15</w:t>
            </w:r>
            <w:r>
              <w:rPr>
                <w:rFonts w:hint="eastAsia" w:ascii="宋体" w:hAnsi="宋体" w:eastAsia="宋体" w:cs="宋体"/>
                <w:color w:val="auto"/>
                <w:kern w:val="2"/>
                <w:sz w:val="21"/>
                <w:szCs w:val="21"/>
                <w:highlight w:val="none"/>
              </w:rPr>
              <w:t>万元的前述业绩的，每项得1分，本子项满分</w:t>
            </w:r>
            <w:r>
              <w:rPr>
                <w:rFonts w:hint="eastAsia" w:hAnsi="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rPr>
              <w:t>分。</w:t>
            </w:r>
          </w:p>
          <w:p w14:paraId="4E414936">
            <w:pPr>
              <w:pStyle w:val="21"/>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textAlignment w:val="auto"/>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备注：</w:t>
            </w:r>
          </w:p>
          <w:p w14:paraId="4BCCF3D5">
            <w:pPr>
              <w:pStyle w:val="21"/>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textAlignment w:val="auto"/>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业绩按以下条款作为考评依据：</w:t>
            </w:r>
          </w:p>
          <w:p w14:paraId="5096C7BA">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1）须附合同复印件，否则不得分；</w:t>
            </w:r>
          </w:p>
          <w:p w14:paraId="1F615311">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2）若业绩为框架式协议或资格入围</w:t>
            </w:r>
            <w:r>
              <w:rPr>
                <w:rFonts w:hint="eastAsia" w:ascii="宋体" w:hAnsi="宋体" w:eastAsia="宋体" w:cs="宋体"/>
                <w:b/>
                <w:bCs/>
                <w:color w:val="auto"/>
                <w:szCs w:val="21"/>
                <w:highlight w:val="none"/>
                <w:lang w:val="en-US" w:eastAsia="zh-CN"/>
              </w:rPr>
              <w:t>等</w:t>
            </w:r>
            <w:r>
              <w:rPr>
                <w:rFonts w:hint="eastAsia" w:ascii="宋体" w:hAnsi="宋体" w:eastAsia="宋体" w:cs="宋体"/>
                <w:b/>
                <w:bCs/>
                <w:color w:val="auto"/>
                <w:szCs w:val="21"/>
                <w:highlight w:val="none"/>
              </w:rPr>
              <w:t>无明确金额的合同，必须同时提供合同期限内已供货产品发票金额统计表和供货发票复印件，否则，视为无效业绩；</w:t>
            </w:r>
          </w:p>
          <w:p w14:paraId="2DE88A97">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leftChars="0" w:right="0" w:rightChars="0"/>
              <w:textAlignment w:val="auto"/>
              <w:rPr>
                <w:rFonts w:hint="eastAsia" w:ascii="宋体" w:hAnsi="宋体" w:eastAsia="宋体" w:cs="宋体"/>
                <w:b/>
                <w:bCs/>
                <w:color w:val="auto"/>
                <w:kern w:val="2"/>
                <w:sz w:val="21"/>
                <w:szCs w:val="21"/>
                <w:highlight w:val="none"/>
              </w:rPr>
            </w:pPr>
            <w:r>
              <w:rPr>
                <w:rFonts w:hint="eastAsia" w:ascii="宋体" w:hAnsi="宋体" w:eastAsia="宋体" w:cs="宋体"/>
                <w:b/>
                <w:bCs/>
                <w:color w:val="auto"/>
                <w:szCs w:val="21"/>
                <w:highlight w:val="none"/>
              </w:rPr>
              <w:t>3）若合同无法反映评分条件（卖方为投标人、合同签订日期为202</w:t>
            </w:r>
            <w:r>
              <w:rPr>
                <w:rFonts w:hint="eastAsia" w:ascii="宋体" w:hAnsi="宋体" w:eastAsia="宋体" w:cs="宋体"/>
                <w:b/>
                <w:bCs/>
                <w:color w:val="auto"/>
                <w:szCs w:val="21"/>
                <w:highlight w:val="none"/>
                <w:lang w:val="en-US" w:eastAsia="zh-CN"/>
              </w:rPr>
              <w:t>2</w:t>
            </w:r>
            <w:r>
              <w:rPr>
                <w:rFonts w:hint="eastAsia" w:ascii="宋体" w:hAnsi="宋体" w:eastAsia="宋体" w:cs="宋体"/>
                <w:b/>
                <w:bCs/>
                <w:color w:val="auto"/>
                <w:szCs w:val="21"/>
                <w:highlight w:val="none"/>
              </w:rPr>
              <w:t>年1月1日或以后、金额、合同标的必须包含投标品牌</w:t>
            </w:r>
            <w:r>
              <w:rPr>
                <w:rFonts w:hint="eastAsia" w:ascii="宋体" w:hAnsi="宋体" w:eastAsia="宋体" w:cs="宋体"/>
                <w:b/>
                <w:bCs/>
                <w:color w:val="auto"/>
                <w:szCs w:val="21"/>
                <w:highlight w:val="none"/>
                <w:lang w:val="en-US" w:eastAsia="zh-CN"/>
              </w:rPr>
              <w:t>液体柠檬酸</w:t>
            </w:r>
            <w:r>
              <w:rPr>
                <w:rFonts w:hint="eastAsia" w:ascii="宋体" w:hAnsi="宋体" w:eastAsia="宋体" w:cs="宋体"/>
                <w:b/>
                <w:bCs/>
                <w:color w:val="auto"/>
                <w:szCs w:val="21"/>
                <w:highlight w:val="none"/>
              </w:rPr>
              <w:t>）的，还需提供产品购买方出具的书面补充说明文件复印件作为辅助证明（补充说明文件复印件能显示购买方公章），否则不得分；</w:t>
            </w:r>
          </w:p>
          <w:p w14:paraId="3BE69E07">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leftChars="0" w:right="0" w:rightChars="0"/>
              <w:textAlignment w:val="auto"/>
              <w:rPr>
                <w:rFonts w:hint="eastAsia" w:ascii="宋体" w:hAnsi="宋体" w:eastAsia="宋体" w:cs="宋体"/>
                <w:b/>
                <w:color w:val="auto"/>
                <w:kern w:val="0"/>
                <w:szCs w:val="21"/>
                <w:highlight w:val="none"/>
              </w:rPr>
            </w:pPr>
            <w:r>
              <w:rPr>
                <w:rFonts w:hint="eastAsia" w:ascii="宋体" w:hAnsi="宋体" w:eastAsia="宋体" w:cs="宋体"/>
                <w:b/>
                <w:bCs/>
                <w:color w:val="auto"/>
                <w:kern w:val="2"/>
                <w:sz w:val="21"/>
                <w:szCs w:val="21"/>
                <w:highlight w:val="none"/>
                <w:lang w:val="en-US" w:eastAsia="zh-CN"/>
              </w:rPr>
              <w:t>4）</w:t>
            </w:r>
            <w:r>
              <w:rPr>
                <w:rFonts w:hint="eastAsia" w:ascii="宋体" w:hAnsi="宋体" w:eastAsia="宋体" w:cs="宋体"/>
                <w:b/>
                <w:bCs/>
                <w:color w:val="auto"/>
                <w:kern w:val="2"/>
                <w:sz w:val="21"/>
                <w:szCs w:val="21"/>
                <w:highlight w:val="none"/>
              </w:rPr>
              <w:t>未按上述要求提供证明材料的业绩，或所附材料无法证明填报项目符合本项评分要求的业绩，在评标时将不予考虑。</w:t>
            </w:r>
          </w:p>
        </w:tc>
        <w:tc>
          <w:tcPr>
            <w:tcW w:w="437" w:type="pct"/>
            <w:tcBorders>
              <w:top w:val="single" w:color="auto" w:sz="4" w:space="0"/>
              <w:left w:val="single" w:color="auto" w:sz="4" w:space="0"/>
              <w:bottom w:val="single" w:color="auto" w:sz="4" w:space="0"/>
              <w:right w:val="single" w:color="auto" w:sz="4" w:space="0"/>
            </w:tcBorders>
            <w:vAlign w:val="center"/>
          </w:tcPr>
          <w:p w14:paraId="4F2A4816">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kern w:val="2"/>
                <w:sz w:val="21"/>
                <w:szCs w:val="21"/>
                <w:highlight w:val="none"/>
                <w:lang w:val="en-US" w:eastAsia="zh-CN"/>
              </w:rPr>
              <w:t>13</w:t>
            </w:r>
            <w:r>
              <w:rPr>
                <w:rFonts w:hint="eastAsia" w:ascii="宋体" w:hAnsi="宋体" w:eastAsia="宋体" w:cs="宋体"/>
                <w:color w:val="auto"/>
                <w:kern w:val="2"/>
                <w:sz w:val="21"/>
                <w:szCs w:val="21"/>
                <w:highlight w:val="none"/>
              </w:rPr>
              <w:t>分</w:t>
            </w:r>
          </w:p>
        </w:tc>
      </w:tr>
      <w:tr w14:paraId="47E2B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17EFD619">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2"/>
                <w:sz w:val="21"/>
                <w:szCs w:val="21"/>
                <w:highlight w:val="none"/>
                <w:lang w:val="en-US" w:eastAsia="zh-CN"/>
              </w:rPr>
            </w:pPr>
            <w:bookmarkStart w:id="904" w:name="_Toc11639_WPSOffice_Level2"/>
            <w:r>
              <w:rPr>
                <w:rFonts w:hint="eastAsia" w:ascii="宋体" w:hAnsi="宋体" w:eastAsia="宋体" w:cs="宋体"/>
                <w:color w:val="auto"/>
                <w:kern w:val="2"/>
                <w:sz w:val="21"/>
                <w:szCs w:val="21"/>
                <w:highlight w:val="none"/>
                <w:lang w:val="en-US" w:eastAsia="zh-CN"/>
              </w:rPr>
              <w:t>3</w:t>
            </w:r>
          </w:p>
        </w:tc>
        <w:tc>
          <w:tcPr>
            <w:tcW w:w="546" w:type="pct"/>
            <w:tcBorders>
              <w:top w:val="single" w:color="auto" w:sz="4" w:space="0"/>
              <w:left w:val="single" w:color="auto" w:sz="4" w:space="0"/>
              <w:bottom w:val="single" w:color="auto" w:sz="4" w:space="0"/>
              <w:right w:val="single" w:color="auto" w:sz="4" w:space="0"/>
            </w:tcBorders>
            <w:vAlign w:val="center"/>
          </w:tcPr>
          <w:p w14:paraId="5B30C79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szCs w:val="21"/>
                <w:highlight w:val="none"/>
              </w:rPr>
              <w:t>车辆运输</w:t>
            </w:r>
          </w:p>
        </w:tc>
        <w:tc>
          <w:tcPr>
            <w:tcW w:w="3690" w:type="pct"/>
            <w:tcBorders>
              <w:top w:val="single" w:color="auto" w:sz="4" w:space="0"/>
              <w:left w:val="single" w:color="auto" w:sz="4" w:space="0"/>
              <w:bottom w:val="single" w:color="auto" w:sz="4" w:space="0"/>
              <w:right w:val="single" w:color="auto" w:sz="4" w:space="0"/>
            </w:tcBorders>
            <w:vAlign w:val="center"/>
          </w:tcPr>
          <w:p w14:paraId="49F213A6">
            <w:pPr>
              <w:pStyle w:val="21"/>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default" w:hAnsi="宋体" w:cs="宋体"/>
                <w:color w:val="auto"/>
                <w:szCs w:val="21"/>
                <w:highlight w:val="none"/>
              </w:rPr>
              <w:t>拟为本项目投入的运输专用车（液体柠檬酸）数量累计达到5台的，得1分；在上述基础上，运输专用车每增加投入1台的加1分，本项满分4分</w:t>
            </w:r>
            <w:r>
              <w:rPr>
                <w:rFonts w:hint="default" w:ascii="宋体" w:hAnsi="宋体" w:eastAsia="宋体" w:cs="宋体"/>
                <w:color w:val="auto"/>
                <w:szCs w:val="21"/>
                <w:highlight w:val="none"/>
              </w:rPr>
              <w:t>。</w:t>
            </w:r>
          </w:p>
          <w:p w14:paraId="20268E3A">
            <w:pPr>
              <w:keepNext w:val="0"/>
              <w:keepLines w:val="0"/>
              <w:pageBreakBefore w:val="0"/>
              <w:widowControl w:val="0"/>
              <w:numPr>
                <w:ilvl w:val="-1"/>
                <w:numId w:val="0"/>
              </w:numPr>
              <w:suppressLineNumbers w:val="0"/>
              <w:kinsoku/>
              <w:wordWrap/>
              <w:overflowPunct/>
              <w:topLinePunct w:val="0"/>
              <w:bidi w:val="0"/>
              <w:snapToGrid/>
              <w:spacing w:before="0" w:beforeAutospacing="0" w:after="0" w:afterAutospacing="0" w:line="360" w:lineRule="auto"/>
              <w:ind w:left="0" w:leftChars="0" w:right="0" w:rightChars="0"/>
              <w:textAlignment w:val="auto"/>
              <w:rPr>
                <w:rFonts w:hint="default" w:ascii="宋体" w:hAnsi="宋体" w:eastAsia="宋体" w:cs="宋体"/>
                <w:b/>
                <w:bCs/>
                <w:color w:val="auto"/>
                <w:szCs w:val="21"/>
                <w:highlight w:val="none"/>
              </w:rPr>
            </w:pPr>
            <w:r>
              <w:rPr>
                <w:rFonts w:hint="default" w:ascii="宋体" w:hAnsi="宋体" w:eastAsia="宋体" w:cs="宋体"/>
                <w:b/>
                <w:bCs/>
                <w:color w:val="auto"/>
                <w:szCs w:val="21"/>
                <w:highlight w:val="none"/>
              </w:rPr>
              <w:t>备注：</w:t>
            </w:r>
          </w:p>
          <w:p w14:paraId="68B9FE86">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leftChars="0" w:right="0" w:rightChars="0"/>
              <w:textAlignment w:val="auto"/>
              <w:rPr>
                <w:rFonts w:hint="default" w:ascii="宋体" w:hAnsi="宋体" w:eastAsia="宋体" w:cs="宋体"/>
                <w:b/>
                <w:bCs/>
                <w:color w:val="auto"/>
                <w:szCs w:val="21"/>
                <w:highlight w:val="none"/>
              </w:rPr>
            </w:pPr>
            <w:r>
              <w:rPr>
                <w:rFonts w:hint="eastAsia" w:ascii="宋体" w:hAnsi="宋体" w:eastAsia="宋体" w:cs="宋体"/>
                <w:b/>
                <w:bCs/>
                <w:color w:val="auto"/>
                <w:szCs w:val="21"/>
                <w:highlight w:val="none"/>
                <w:lang w:eastAsia="zh-CN"/>
              </w:rPr>
              <w:t>（</w:t>
            </w:r>
            <w:r>
              <w:rPr>
                <w:rFonts w:hint="default" w:ascii="宋体" w:hAnsi="宋体" w:eastAsia="宋体" w:cs="宋体"/>
                <w:b/>
                <w:bCs/>
                <w:color w:val="auto"/>
                <w:szCs w:val="21"/>
                <w:highlight w:val="none"/>
              </w:rPr>
              <w:t>1）自有的运输专用车的须提供：①行驶证复印件；②车辆照片/图片打印件（照片/图片须清晰显示拍摄时间为2024年</w:t>
            </w:r>
            <w:r>
              <w:rPr>
                <w:rFonts w:hint="eastAsia" w:ascii="宋体" w:hAnsi="宋体" w:eastAsia="宋体" w:cs="宋体"/>
                <w:b/>
                <w:bCs/>
                <w:color w:val="auto"/>
                <w:szCs w:val="21"/>
                <w:highlight w:val="none"/>
                <w:lang w:val="en-US" w:eastAsia="zh-CN"/>
              </w:rPr>
              <w:t>11</w:t>
            </w:r>
            <w:r>
              <w:rPr>
                <w:rFonts w:hint="default" w:ascii="宋体" w:hAnsi="宋体" w:eastAsia="宋体" w:cs="宋体"/>
                <w:b/>
                <w:bCs/>
                <w:color w:val="auto"/>
                <w:szCs w:val="21"/>
                <w:highlight w:val="none"/>
              </w:rPr>
              <w:t>月1日或以后）。</w:t>
            </w:r>
          </w:p>
          <w:p w14:paraId="59818588">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leftChars="0" w:right="0" w:rightChars="0"/>
              <w:textAlignment w:val="auto"/>
              <w:rPr>
                <w:rFonts w:hint="default" w:ascii="宋体" w:hAnsi="宋体" w:eastAsia="宋体" w:cs="宋体"/>
                <w:b/>
                <w:bCs/>
                <w:color w:val="auto"/>
                <w:szCs w:val="21"/>
                <w:highlight w:val="none"/>
              </w:rPr>
            </w:pPr>
            <w:r>
              <w:rPr>
                <w:rFonts w:hint="eastAsia" w:ascii="宋体" w:hAnsi="宋体" w:eastAsia="宋体" w:cs="宋体"/>
                <w:b/>
                <w:bCs/>
                <w:color w:val="auto"/>
                <w:szCs w:val="21"/>
                <w:highlight w:val="none"/>
                <w:lang w:eastAsia="zh-CN"/>
              </w:rPr>
              <w:t>（</w:t>
            </w:r>
            <w:r>
              <w:rPr>
                <w:rFonts w:hint="default" w:ascii="宋体" w:hAnsi="宋体" w:eastAsia="宋体" w:cs="宋体"/>
                <w:b/>
                <w:bCs/>
                <w:color w:val="auto"/>
                <w:szCs w:val="21"/>
                <w:highlight w:val="none"/>
              </w:rPr>
              <w:t>2）委托第三方运输的须提供：①运输合同复印件；②受托方道路运输经营许可证复印件；③车辆道路运输证复印件；④车辆行驶证复印件；⑤车辆照片/图片打印件（照片/图片须清晰显示拍摄时间为2024年</w:t>
            </w:r>
            <w:r>
              <w:rPr>
                <w:rFonts w:hint="eastAsia" w:ascii="宋体" w:hAnsi="宋体" w:eastAsia="宋体" w:cs="宋体"/>
                <w:b/>
                <w:bCs/>
                <w:color w:val="auto"/>
                <w:szCs w:val="21"/>
                <w:highlight w:val="none"/>
                <w:lang w:val="en-US" w:eastAsia="zh-CN"/>
              </w:rPr>
              <w:t>11</w:t>
            </w:r>
            <w:r>
              <w:rPr>
                <w:rFonts w:hint="default" w:ascii="宋体" w:hAnsi="宋体" w:eastAsia="宋体" w:cs="宋体"/>
                <w:b/>
                <w:bCs/>
                <w:color w:val="auto"/>
                <w:szCs w:val="21"/>
                <w:highlight w:val="none"/>
              </w:rPr>
              <w:t>月1日或以后）。</w:t>
            </w:r>
          </w:p>
          <w:p w14:paraId="0790E00C">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leftChars="0" w:right="0" w:rightChars="0"/>
              <w:textAlignment w:val="auto"/>
              <w:rPr>
                <w:rFonts w:hint="default" w:ascii="宋体" w:hAnsi="宋体" w:eastAsia="宋体" w:cs="宋体"/>
                <w:color w:val="auto"/>
                <w:kern w:val="2"/>
                <w:sz w:val="21"/>
                <w:szCs w:val="21"/>
                <w:highlight w:val="none"/>
                <w:lang w:val="en-US"/>
              </w:rPr>
            </w:pPr>
            <w:r>
              <w:rPr>
                <w:rFonts w:hint="eastAsia" w:ascii="宋体" w:hAnsi="宋体" w:eastAsia="宋体" w:cs="宋体"/>
                <w:b/>
                <w:bCs/>
                <w:color w:val="auto"/>
                <w:szCs w:val="21"/>
                <w:highlight w:val="none"/>
                <w:lang w:eastAsia="zh-CN"/>
              </w:rPr>
              <w:t>（</w:t>
            </w:r>
            <w:r>
              <w:rPr>
                <w:rFonts w:hint="default" w:ascii="宋体" w:hAnsi="宋体" w:eastAsia="宋体" w:cs="宋体"/>
                <w:b/>
                <w:bCs/>
                <w:color w:val="auto"/>
                <w:szCs w:val="21"/>
                <w:highlight w:val="none"/>
              </w:rPr>
              <w:t>3）未提供或者提供信息不全或证件无效的相应车辆不得分。</w:t>
            </w:r>
          </w:p>
        </w:tc>
        <w:tc>
          <w:tcPr>
            <w:tcW w:w="437" w:type="pct"/>
            <w:tcBorders>
              <w:top w:val="single" w:color="auto" w:sz="4" w:space="0"/>
              <w:left w:val="single" w:color="auto" w:sz="4" w:space="0"/>
              <w:bottom w:val="single" w:color="auto" w:sz="4" w:space="0"/>
              <w:right w:val="single" w:color="auto" w:sz="4" w:space="0"/>
            </w:tcBorders>
            <w:vAlign w:val="center"/>
          </w:tcPr>
          <w:p w14:paraId="06C61852">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leftChars="0" w:right="0" w:rightChars="0"/>
              <w:jc w:val="center"/>
              <w:textAlignment w:val="auto"/>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4分</w:t>
            </w:r>
          </w:p>
        </w:tc>
      </w:tr>
      <w:bookmarkEnd w:id="903"/>
    </w:tbl>
    <w:p w14:paraId="357215DF">
      <w:pPr>
        <w:autoSpaceDE w:val="0"/>
        <w:autoSpaceDN w:val="0"/>
        <w:adjustRightInd w:val="0"/>
        <w:spacing w:line="360" w:lineRule="auto"/>
        <w:ind w:right="-26" w:firstLine="480"/>
        <w:jc w:val="center"/>
        <w:rPr>
          <w:rFonts w:hint="eastAsia" w:ascii="宋体" w:hAnsi="宋体" w:eastAsia="宋体" w:cs="宋体"/>
          <w:b/>
          <w:bCs/>
          <w:color w:val="auto"/>
          <w:kern w:val="0"/>
          <w:sz w:val="21"/>
          <w:szCs w:val="21"/>
          <w:highlight w:val="none"/>
        </w:rPr>
      </w:pPr>
    </w:p>
    <w:p w14:paraId="40F8D2C8">
      <w:pPr>
        <w:tabs>
          <w:tab w:val="left" w:pos="585"/>
        </w:tabs>
        <w:autoSpaceDE w:val="0"/>
        <w:autoSpaceDN w:val="0"/>
        <w:adjustRightInd w:val="0"/>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rPr>
        <w:t>2）</w:t>
      </w:r>
      <w:r>
        <w:rPr>
          <w:rFonts w:hint="eastAsia" w:ascii="宋体" w:hAnsi="宋体" w:eastAsia="宋体" w:cs="宋体"/>
          <w:b/>
          <w:color w:val="auto"/>
          <w:szCs w:val="21"/>
          <w:highlight w:val="none"/>
          <w:lang w:val="zh-CN"/>
        </w:rPr>
        <w:t>技术：总分</w:t>
      </w:r>
      <w:r>
        <w:rPr>
          <w:rFonts w:hint="eastAsia" w:ascii="宋体" w:hAnsi="宋体" w:eastAsia="宋体" w:cs="宋体"/>
          <w:b/>
          <w:color w:val="auto"/>
          <w:szCs w:val="21"/>
          <w:highlight w:val="none"/>
          <w:lang w:val="en-US" w:eastAsia="zh-CN"/>
        </w:rPr>
        <w:t>20</w:t>
      </w:r>
      <w:r>
        <w:rPr>
          <w:rFonts w:hint="eastAsia" w:ascii="宋体" w:hAnsi="宋体" w:eastAsia="宋体" w:cs="宋体"/>
          <w:b/>
          <w:color w:val="auto"/>
          <w:szCs w:val="21"/>
          <w:highlight w:val="none"/>
          <w:lang w:val="zh-CN"/>
        </w:rPr>
        <w:t>分</w:t>
      </w:r>
      <w:bookmarkEnd w:id="904"/>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6"/>
        <w:gridCol w:w="1133"/>
        <w:gridCol w:w="7662"/>
        <w:gridCol w:w="909"/>
      </w:tblGrid>
      <w:tr w14:paraId="3DC51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321" w:type="pct"/>
            <w:tcBorders>
              <w:top w:val="single" w:color="auto" w:sz="4" w:space="0"/>
              <w:left w:val="single" w:color="auto" w:sz="4" w:space="0"/>
              <w:bottom w:val="single" w:color="auto" w:sz="4" w:space="0"/>
              <w:right w:val="single" w:color="auto" w:sz="4" w:space="0"/>
            </w:tcBorders>
            <w:noWrap w:val="0"/>
            <w:vAlign w:val="center"/>
          </w:tcPr>
          <w:p w14:paraId="1AC7D02E">
            <w:pPr>
              <w:keepNext w:val="0"/>
              <w:keepLines w:val="0"/>
              <w:pageBreakBefore w:val="0"/>
              <w:widowControl w:val="0"/>
              <w:suppressLineNumbers w:val="0"/>
              <w:kinsoku/>
              <w:wordWrap/>
              <w:overflowPunct/>
              <w:topLinePunct w:val="0"/>
              <w:bidi w:val="0"/>
              <w:snapToGrid/>
              <w:spacing w:before="0" w:beforeAutospacing="0" w:after="0" w:afterAutospacing="0" w:line="400" w:lineRule="exact"/>
              <w:ind w:left="0" w:right="0"/>
              <w:jc w:val="center"/>
              <w:textAlignment w:val="auto"/>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序号</w:t>
            </w:r>
          </w:p>
        </w:tc>
        <w:tc>
          <w:tcPr>
            <w:tcW w:w="546" w:type="pct"/>
            <w:tcBorders>
              <w:top w:val="single" w:color="auto" w:sz="4" w:space="0"/>
              <w:left w:val="single" w:color="auto" w:sz="4" w:space="0"/>
              <w:bottom w:val="single" w:color="auto" w:sz="4" w:space="0"/>
              <w:right w:val="single" w:color="auto" w:sz="4" w:space="0"/>
            </w:tcBorders>
            <w:noWrap w:val="0"/>
            <w:vAlign w:val="center"/>
          </w:tcPr>
          <w:p w14:paraId="34D9AAEA">
            <w:pPr>
              <w:keepNext w:val="0"/>
              <w:keepLines w:val="0"/>
              <w:pageBreakBefore w:val="0"/>
              <w:widowControl w:val="0"/>
              <w:suppressLineNumbers w:val="0"/>
              <w:kinsoku/>
              <w:wordWrap/>
              <w:overflowPunct/>
              <w:topLinePunct w:val="0"/>
              <w:bidi w:val="0"/>
              <w:snapToGrid/>
              <w:spacing w:before="0" w:beforeAutospacing="0" w:after="0" w:afterAutospacing="0" w:line="400" w:lineRule="exact"/>
              <w:ind w:left="0" w:right="0"/>
              <w:jc w:val="center"/>
              <w:textAlignment w:val="auto"/>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lang w:val="zh-CN"/>
              </w:rPr>
              <w:t>评审内容</w:t>
            </w:r>
          </w:p>
        </w:tc>
        <w:tc>
          <w:tcPr>
            <w:tcW w:w="3693" w:type="pct"/>
            <w:tcBorders>
              <w:top w:val="single" w:color="auto" w:sz="4" w:space="0"/>
              <w:left w:val="single" w:color="auto" w:sz="4" w:space="0"/>
              <w:bottom w:val="single" w:color="auto" w:sz="4" w:space="0"/>
              <w:right w:val="single" w:color="auto" w:sz="4" w:space="0"/>
            </w:tcBorders>
            <w:noWrap w:val="0"/>
            <w:vAlign w:val="center"/>
          </w:tcPr>
          <w:p w14:paraId="74893886">
            <w:pPr>
              <w:keepNext w:val="0"/>
              <w:keepLines w:val="0"/>
              <w:pageBreakBefore w:val="0"/>
              <w:widowControl w:val="0"/>
              <w:suppressLineNumbers w:val="0"/>
              <w:kinsoku/>
              <w:wordWrap/>
              <w:overflowPunct/>
              <w:topLinePunct w:val="0"/>
              <w:bidi w:val="0"/>
              <w:snapToGrid/>
              <w:spacing w:before="0" w:beforeAutospacing="0" w:after="0" w:afterAutospacing="0" w:line="400" w:lineRule="exact"/>
              <w:ind w:left="0" w:right="0"/>
              <w:jc w:val="center"/>
              <w:textAlignment w:val="auto"/>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评审细则</w:t>
            </w:r>
          </w:p>
        </w:tc>
        <w:tc>
          <w:tcPr>
            <w:tcW w:w="438" w:type="pct"/>
            <w:tcBorders>
              <w:top w:val="single" w:color="auto" w:sz="4" w:space="0"/>
              <w:left w:val="single" w:color="auto" w:sz="4" w:space="0"/>
              <w:bottom w:val="single" w:color="auto" w:sz="4" w:space="0"/>
              <w:right w:val="single" w:color="auto" w:sz="4" w:space="0"/>
            </w:tcBorders>
            <w:noWrap w:val="0"/>
            <w:vAlign w:val="center"/>
          </w:tcPr>
          <w:p w14:paraId="0B5A2809">
            <w:pPr>
              <w:keepNext w:val="0"/>
              <w:keepLines w:val="0"/>
              <w:pageBreakBefore w:val="0"/>
              <w:widowControl w:val="0"/>
              <w:suppressLineNumbers w:val="0"/>
              <w:kinsoku/>
              <w:wordWrap/>
              <w:overflowPunct/>
              <w:topLinePunct w:val="0"/>
              <w:bidi w:val="0"/>
              <w:snapToGrid/>
              <w:spacing w:before="0" w:beforeAutospacing="0" w:after="0" w:afterAutospacing="0" w:line="400" w:lineRule="exact"/>
              <w:ind w:left="0" w:right="0"/>
              <w:jc w:val="center"/>
              <w:textAlignment w:val="auto"/>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满分值</w:t>
            </w:r>
          </w:p>
        </w:tc>
      </w:tr>
      <w:tr w14:paraId="3F60D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 w:type="pct"/>
            <w:tcBorders>
              <w:top w:val="single" w:color="auto" w:sz="4" w:space="0"/>
              <w:left w:val="single" w:color="auto" w:sz="4" w:space="0"/>
              <w:bottom w:val="single" w:color="auto" w:sz="4" w:space="0"/>
              <w:right w:val="single" w:color="auto" w:sz="4" w:space="0"/>
            </w:tcBorders>
            <w:noWrap w:val="0"/>
            <w:vAlign w:val="center"/>
          </w:tcPr>
          <w:p w14:paraId="1A65BA33">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1</w:t>
            </w:r>
          </w:p>
        </w:tc>
        <w:tc>
          <w:tcPr>
            <w:tcW w:w="546" w:type="pct"/>
            <w:tcBorders>
              <w:top w:val="single" w:color="auto" w:sz="4" w:space="0"/>
              <w:left w:val="single" w:color="auto" w:sz="4" w:space="0"/>
              <w:bottom w:val="single" w:color="auto" w:sz="4" w:space="0"/>
              <w:right w:val="single" w:color="auto" w:sz="4" w:space="0"/>
            </w:tcBorders>
            <w:noWrap w:val="0"/>
            <w:vAlign w:val="center"/>
          </w:tcPr>
          <w:p w14:paraId="1051E046">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用户需求的响应程度</w:t>
            </w:r>
          </w:p>
        </w:tc>
        <w:tc>
          <w:tcPr>
            <w:tcW w:w="3693" w:type="pct"/>
            <w:tcBorders>
              <w:top w:val="single" w:color="auto" w:sz="4" w:space="0"/>
              <w:left w:val="single" w:color="auto" w:sz="4" w:space="0"/>
              <w:bottom w:val="single" w:color="auto" w:sz="4" w:space="0"/>
              <w:right w:val="single" w:color="auto" w:sz="4" w:space="0"/>
            </w:tcBorders>
            <w:noWrap w:val="0"/>
            <w:vAlign w:val="center"/>
          </w:tcPr>
          <w:p w14:paraId="633DB2C9">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textAlignment w:val="auto"/>
              <w:rPr>
                <w:rFonts w:hint="eastAsia" w:ascii="宋体" w:hAnsi="宋体" w:eastAsia="宋体" w:cs="宋体"/>
                <w:b/>
                <w:color w:val="auto"/>
                <w:kern w:val="2"/>
                <w:sz w:val="21"/>
                <w:szCs w:val="21"/>
                <w:highlight w:val="none"/>
              </w:rPr>
            </w:pPr>
            <w:r>
              <w:rPr>
                <w:rFonts w:hint="eastAsia" w:ascii="宋体" w:hAnsi="宋体" w:eastAsia="宋体" w:cs="宋体"/>
                <w:b w:val="0"/>
                <w:color w:val="auto"/>
                <w:szCs w:val="21"/>
                <w:highlight w:val="none"/>
              </w:rPr>
              <w:t>根据用户需求偏离表的偏离情况进行评审计分，完全满足用户需求的要求得满分，每一处负偏离，扣2分；同时参照其投标文件中产品技术性能说明等技术资料的内容进行对比，每发现一处投标人填写为无偏离或正偏离，但评标委员会评审认定其为负偏离的，每处扣4分；本项最低分为0分。</w:t>
            </w:r>
          </w:p>
        </w:tc>
        <w:tc>
          <w:tcPr>
            <w:tcW w:w="438" w:type="pct"/>
            <w:tcBorders>
              <w:top w:val="single" w:color="auto" w:sz="4" w:space="0"/>
              <w:left w:val="single" w:color="auto" w:sz="4" w:space="0"/>
              <w:bottom w:val="single" w:color="auto" w:sz="4" w:space="0"/>
              <w:right w:val="single" w:color="auto" w:sz="4" w:space="0"/>
            </w:tcBorders>
            <w:noWrap w:val="0"/>
            <w:vAlign w:val="center"/>
          </w:tcPr>
          <w:p w14:paraId="194BA900">
            <w:pPr>
              <w:pStyle w:val="193"/>
              <w:keepNext w:val="0"/>
              <w:keepLines w:val="0"/>
              <w:pageBreakBefore w:val="0"/>
              <w:widowControl w:val="0"/>
              <w:suppressLineNumbers w:val="0"/>
              <w:tabs>
                <w:tab w:val="left" w:pos="585"/>
                <w:tab w:val="left" w:pos="680"/>
              </w:tabs>
              <w:kinsoku/>
              <w:wordWrap/>
              <w:overflowPunct/>
              <w:topLinePunct w:val="0"/>
              <w:bidi w:val="0"/>
              <w:snapToGrid/>
              <w:spacing w:before="0" w:beforeAutospacing="0" w:after="0" w:afterAutospacing="0" w:line="360" w:lineRule="auto"/>
              <w:ind w:left="0"/>
              <w:jc w:val="center"/>
              <w:textAlignment w:val="auto"/>
              <w:rPr>
                <w:rFonts w:hint="default" w:ascii="宋体" w:hAnsi="宋体" w:eastAsia="宋体" w:cs="宋体"/>
                <w:color w:val="auto"/>
                <w:kern w:val="2"/>
                <w:sz w:val="21"/>
                <w:szCs w:val="21"/>
                <w:highlight w:val="none"/>
                <w:lang w:val="en-US" w:eastAsia="zh-CN"/>
              </w:rPr>
            </w:pPr>
            <w:r>
              <w:rPr>
                <w:rFonts w:hint="eastAsia" w:ascii="宋体" w:hAnsi="宋体" w:cs="宋体"/>
                <w:color w:val="auto"/>
                <w:kern w:val="2"/>
                <w:sz w:val="21"/>
                <w:szCs w:val="21"/>
                <w:highlight w:val="none"/>
                <w:lang w:val="en-US" w:eastAsia="zh-CN"/>
              </w:rPr>
              <w:t>8分</w:t>
            </w:r>
          </w:p>
        </w:tc>
      </w:tr>
      <w:tr w14:paraId="3E4A1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 w:type="pct"/>
            <w:tcBorders>
              <w:top w:val="single" w:color="auto" w:sz="4" w:space="0"/>
              <w:left w:val="single" w:color="auto" w:sz="4" w:space="0"/>
              <w:bottom w:val="single" w:color="auto" w:sz="4" w:space="0"/>
              <w:right w:val="single" w:color="auto" w:sz="4" w:space="0"/>
            </w:tcBorders>
            <w:noWrap w:val="0"/>
            <w:vAlign w:val="center"/>
          </w:tcPr>
          <w:p w14:paraId="7F0F209E">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宋体" w:hAnsi="宋体" w:eastAsia="宋体" w:cs="宋体"/>
                <w:b/>
                <w:color w:val="auto"/>
                <w:kern w:val="2"/>
                <w:sz w:val="21"/>
                <w:szCs w:val="21"/>
                <w:highlight w:val="none"/>
                <w:lang w:eastAsia="zh-CN"/>
              </w:rPr>
            </w:pPr>
            <w:r>
              <w:rPr>
                <w:rFonts w:hint="eastAsia" w:ascii="宋体" w:hAnsi="宋体" w:eastAsia="宋体" w:cs="宋体"/>
                <w:color w:val="auto"/>
                <w:kern w:val="2"/>
                <w:sz w:val="21"/>
                <w:szCs w:val="21"/>
                <w:highlight w:val="none"/>
                <w:lang w:val="en-US" w:eastAsia="zh-CN"/>
              </w:rPr>
              <w:t>2</w:t>
            </w:r>
          </w:p>
        </w:tc>
        <w:tc>
          <w:tcPr>
            <w:tcW w:w="546" w:type="pct"/>
            <w:tcBorders>
              <w:top w:val="single" w:color="auto" w:sz="4" w:space="0"/>
              <w:left w:val="single" w:color="auto" w:sz="4" w:space="0"/>
              <w:bottom w:val="single" w:color="auto" w:sz="4" w:space="0"/>
              <w:right w:val="single" w:color="auto" w:sz="4" w:space="0"/>
            </w:tcBorders>
            <w:noWrap w:val="0"/>
            <w:vAlign w:val="center"/>
          </w:tcPr>
          <w:p w14:paraId="71764049">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宋体" w:hAnsi="宋体" w:eastAsia="宋体" w:cs="宋体"/>
                <w:b/>
                <w:color w:val="auto"/>
                <w:kern w:val="2"/>
                <w:sz w:val="21"/>
                <w:szCs w:val="21"/>
                <w:highlight w:val="none"/>
                <w:lang w:val="zh-CN"/>
              </w:rPr>
            </w:pPr>
            <w:r>
              <w:rPr>
                <w:rFonts w:hint="eastAsia" w:ascii="宋体" w:hAnsi="宋体" w:eastAsia="宋体" w:cs="宋体"/>
                <w:color w:val="auto"/>
                <w:szCs w:val="21"/>
                <w:highlight w:val="none"/>
                <w:lang w:val="zh-CN"/>
              </w:rPr>
              <w:t>生产工艺</w:t>
            </w:r>
          </w:p>
        </w:tc>
        <w:tc>
          <w:tcPr>
            <w:tcW w:w="3693" w:type="pct"/>
            <w:tcBorders>
              <w:top w:val="single" w:color="auto" w:sz="4" w:space="0"/>
              <w:left w:val="single" w:color="auto" w:sz="4" w:space="0"/>
              <w:bottom w:val="single" w:color="auto" w:sz="4" w:space="0"/>
              <w:right w:val="single" w:color="auto" w:sz="4" w:space="0"/>
            </w:tcBorders>
            <w:noWrap w:val="0"/>
            <w:vAlign w:val="center"/>
          </w:tcPr>
          <w:p w14:paraId="00F84A89">
            <w:pPr>
              <w:pStyle w:val="193"/>
              <w:keepNext w:val="0"/>
              <w:keepLines w:val="0"/>
              <w:pageBreakBefore w:val="0"/>
              <w:widowControl w:val="0"/>
              <w:suppressLineNumbers w:val="0"/>
              <w:tabs>
                <w:tab w:val="left" w:pos="585"/>
                <w:tab w:val="left" w:pos="680"/>
              </w:tabs>
              <w:kinsoku/>
              <w:wordWrap/>
              <w:overflowPunct/>
              <w:topLinePunct w:val="0"/>
              <w:bidi w:val="0"/>
              <w:snapToGrid/>
              <w:spacing w:before="0" w:beforeAutospacing="0" w:after="0" w:afterAutospacing="0" w:line="360" w:lineRule="auto"/>
              <w:ind w:left="0"/>
              <w:jc w:val="left"/>
              <w:textAlignment w:val="auto"/>
              <w:rPr>
                <w:rFonts w:hint="default" w:ascii="宋体" w:hAnsi="宋体" w:cs="宋体"/>
                <w:color w:val="auto"/>
                <w:szCs w:val="21"/>
                <w:highlight w:val="none"/>
              </w:rPr>
            </w:pPr>
            <w:r>
              <w:rPr>
                <w:rFonts w:hint="eastAsia" w:ascii="宋体" w:hAnsi="宋体" w:cs="宋体"/>
                <w:color w:val="auto"/>
                <w:szCs w:val="21"/>
                <w:highlight w:val="none"/>
              </w:rPr>
              <w:t>根据投标人提供生产原理、生产工艺流程图及其合理性说明；对照生产工艺流程图及提供关键节点生产现场照片，包括但不限于生产、储存设施（设备）等进行评审：</w:t>
            </w:r>
          </w:p>
          <w:p w14:paraId="1F70FC84">
            <w:pPr>
              <w:pStyle w:val="193"/>
              <w:keepNext w:val="0"/>
              <w:keepLines w:val="0"/>
              <w:pageBreakBefore w:val="0"/>
              <w:widowControl w:val="0"/>
              <w:suppressLineNumbers w:val="0"/>
              <w:tabs>
                <w:tab w:val="left" w:pos="585"/>
                <w:tab w:val="left" w:pos="680"/>
              </w:tabs>
              <w:kinsoku/>
              <w:wordWrap/>
              <w:overflowPunct/>
              <w:topLinePunct w:val="0"/>
              <w:bidi w:val="0"/>
              <w:snapToGrid/>
              <w:spacing w:before="0" w:beforeAutospacing="0" w:after="0" w:afterAutospacing="0" w:line="360" w:lineRule="auto"/>
              <w:ind w:left="0"/>
              <w:jc w:val="left"/>
              <w:textAlignment w:val="auto"/>
              <w:rPr>
                <w:rFonts w:hint="default" w:ascii="宋体" w:hAnsi="宋体" w:cs="宋体"/>
                <w:color w:val="auto"/>
                <w:szCs w:val="21"/>
                <w:highlight w:val="none"/>
              </w:rPr>
            </w:pPr>
            <w:r>
              <w:rPr>
                <w:rFonts w:hint="eastAsia" w:ascii="宋体" w:hAnsi="宋体" w:cs="宋体"/>
                <w:color w:val="auto"/>
                <w:szCs w:val="21"/>
                <w:highlight w:val="none"/>
              </w:rPr>
              <w:t>优：提供的生产原理、生产工艺流程图详细、全面、合理，关键节点的生产、储存设施（设备）等与项目实施的配合度高的，得[3-2]分；</w:t>
            </w:r>
          </w:p>
          <w:p w14:paraId="3EC43556">
            <w:pPr>
              <w:pStyle w:val="193"/>
              <w:keepNext w:val="0"/>
              <w:keepLines w:val="0"/>
              <w:pageBreakBefore w:val="0"/>
              <w:widowControl w:val="0"/>
              <w:suppressLineNumbers w:val="0"/>
              <w:tabs>
                <w:tab w:val="left" w:pos="585"/>
                <w:tab w:val="left" w:pos="680"/>
              </w:tabs>
              <w:kinsoku/>
              <w:wordWrap/>
              <w:overflowPunct/>
              <w:topLinePunct w:val="0"/>
              <w:bidi w:val="0"/>
              <w:snapToGrid/>
              <w:spacing w:before="0" w:beforeAutospacing="0" w:after="0" w:afterAutospacing="0" w:line="360" w:lineRule="auto"/>
              <w:ind w:left="0"/>
              <w:jc w:val="left"/>
              <w:textAlignment w:val="auto"/>
              <w:rPr>
                <w:rFonts w:hint="default" w:ascii="宋体" w:hAnsi="宋体" w:cs="宋体"/>
                <w:color w:val="auto"/>
                <w:szCs w:val="21"/>
                <w:highlight w:val="none"/>
              </w:rPr>
            </w:pPr>
            <w:r>
              <w:rPr>
                <w:rFonts w:hint="eastAsia" w:ascii="宋体" w:hAnsi="宋体" w:cs="宋体"/>
                <w:color w:val="auto"/>
                <w:szCs w:val="21"/>
                <w:highlight w:val="none"/>
              </w:rPr>
              <w:t>中：有提供生产原理、生产工艺流程图一般，关键节点的生产、储存设施（设备）等与项目实施的配合度一般的，得（2-1]分；</w:t>
            </w:r>
          </w:p>
          <w:p w14:paraId="533EF200">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textAlignment w:val="auto"/>
              <w:rPr>
                <w:rFonts w:hint="eastAsia" w:ascii="宋体" w:hAnsi="宋体" w:eastAsia="宋体" w:cs="宋体"/>
                <w:b/>
                <w:color w:val="auto"/>
                <w:kern w:val="2"/>
                <w:sz w:val="21"/>
                <w:szCs w:val="21"/>
                <w:highlight w:val="none"/>
              </w:rPr>
            </w:pPr>
            <w:r>
              <w:rPr>
                <w:rFonts w:hint="eastAsia" w:ascii="宋体" w:hAnsi="宋体" w:eastAsia="宋体" w:cs="宋体"/>
                <w:color w:val="auto"/>
                <w:szCs w:val="21"/>
                <w:highlight w:val="none"/>
              </w:rPr>
              <w:t>差：有提供生产原理、生产工艺流程图，但不详细、不全面，关键节点的生产、储存设施（设备）等与项目实施的配合度低的，得（1-0]分。</w:t>
            </w:r>
          </w:p>
        </w:tc>
        <w:tc>
          <w:tcPr>
            <w:tcW w:w="438" w:type="pct"/>
            <w:tcBorders>
              <w:top w:val="single" w:color="auto" w:sz="4" w:space="0"/>
              <w:left w:val="single" w:color="auto" w:sz="4" w:space="0"/>
              <w:bottom w:val="single" w:color="auto" w:sz="4" w:space="0"/>
              <w:right w:val="single" w:color="auto" w:sz="4" w:space="0"/>
            </w:tcBorders>
            <w:noWrap w:val="0"/>
            <w:vAlign w:val="center"/>
          </w:tcPr>
          <w:p w14:paraId="1F6BEC31">
            <w:pPr>
              <w:pStyle w:val="193"/>
              <w:keepNext w:val="0"/>
              <w:keepLines w:val="0"/>
              <w:pageBreakBefore w:val="0"/>
              <w:widowControl w:val="0"/>
              <w:suppressLineNumbers w:val="0"/>
              <w:tabs>
                <w:tab w:val="left" w:pos="585"/>
                <w:tab w:val="left" w:pos="680"/>
              </w:tabs>
              <w:kinsoku/>
              <w:wordWrap/>
              <w:overflowPunct/>
              <w:topLinePunct w:val="0"/>
              <w:bidi w:val="0"/>
              <w:snapToGrid/>
              <w:spacing w:before="0" w:beforeAutospacing="0" w:after="0" w:afterAutospacing="0" w:line="360" w:lineRule="auto"/>
              <w:ind w:left="0"/>
              <w:jc w:val="center"/>
              <w:textAlignment w:val="auto"/>
              <w:rPr>
                <w:rFonts w:hint="eastAsia" w:ascii="宋体" w:hAnsi="宋体" w:eastAsia="宋体" w:cs="宋体"/>
                <w:b/>
                <w:color w:val="auto"/>
                <w:kern w:val="2"/>
                <w:sz w:val="21"/>
                <w:szCs w:val="21"/>
                <w:highlight w:val="none"/>
              </w:rPr>
            </w:pPr>
            <w:r>
              <w:rPr>
                <w:rFonts w:hint="eastAsia" w:ascii="宋体" w:hAnsi="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rPr>
              <w:t>分</w:t>
            </w:r>
          </w:p>
        </w:tc>
      </w:tr>
      <w:tr w14:paraId="14A17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 w:type="pct"/>
            <w:vMerge w:val="restart"/>
            <w:tcBorders>
              <w:top w:val="single" w:color="auto" w:sz="4" w:space="0"/>
              <w:left w:val="single" w:color="auto" w:sz="4" w:space="0"/>
              <w:right w:val="single" w:color="auto" w:sz="4" w:space="0"/>
            </w:tcBorders>
            <w:noWrap w:val="0"/>
            <w:vAlign w:val="center"/>
          </w:tcPr>
          <w:p w14:paraId="2983E3AC">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val="en-US" w:eastAsia="zh-CN"/>
              </w:rPr>
              <w:t>3</w:t>
            </w:r>
          </w:p>
        </w:tc>
        <w:tc>
          <w:tcPr>
            <w:tcW w:w="546" w:type="pct"/>
            <w:vMerge w:val="restart"/>
            <w:tcBorders>
              <w:top w:val="single" w:color="auto" w:sz="4" w:space="0"/>
              <w:left w:val="single" w:color="auto" w:sz="4" w:space="0"/>
              <w:right w:val="single" w:color="auto" w:sz="4" w:space="0"/>
            </w:tcBorders>
            <w:noWrap w:val="0"/>
            <w:vAlign w:val="center"/>
          </w:tcPr>
          <w:p w14:paraId="10D46242">
            <w:pPr>
              <w:pStyle w:val="193"/>
              <w:keepNext w:val="0"/>
              <w:keepLines w:val="0"/>
              <w:pageBreakBefore w:val="0"/>
              <w:widowControl w:val="0"/>
              <w:suppressLineNumbers w:val="0"/>
              <w:tabs>
                <w:tab w:val="left" w:pos="585"/>
                <w:tab w:val="left" w:pos="680"/>
              </w:tabs>
              <w:kinsoku/>
              <w:wordWrap/>
              <w:overflowPunct/>
              <w:topLinePunct w:val="0"/>
              <w:bidi w:val="0"/>
              <w:snapToGrid/>
              <w:spacing w:before="0" w:beforeAutospacing="0" w:after="0" w:afterAutospacing="0" w:line="360" w:lineRule="auto"/>
              <w:ind w:left="0"/>
              <w:jc w:val="center"/>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生产供货保障能力</w:t>
            </w:r>
          </w:p>
        </w:tc>
        <w:tc>
          <w:tcPr>
            <w:tcW w:w="3693" w:type="pct"/>
            <w:tcBorders>
              <w:top w:val="single" w:color="auto" w:sz="4" w:space="0"/>
              <w:left w:val="single" w:color="auto" w:sz="4" w:space="0"/>
              <w:bottom w:val="single" w:color="auto" w:sz="4" w:space="0"/>
              <w:right w:val="single" w:color="auto" w:sz="4" w:space="0"/>
            </w:tcBorders>
            <w:noWrap w:val="0"/>
            <w:vAlign w:val="center"/>
          </w:tcPr>
          <w:p w14:paraId="0F7EB27D">
            <w:pPr>
              <w:keepNext w:val="0"/>
              <w:keepLines w:val="0"/>
              <w:numPr>
                <w:ilvl w:val="-1"/>
                <w:numId w:val="0"/>
              </w:numPr>
              <w:suppressLineNumbers w:val="0"/>
              <w:spacing w:before="0" w:beforeAutospacing="0" w:after="0" w:afterAutospacing="0" w:line="360" w:lineRule="auto"/>
              <w:ind w:left="0" w:right="0"/>
              <w:rPr>
                <w:rFonts w:hint="default" w:ascii="宋体" w:hAnsi="宋体" w:eastAsia="宋体" w:cs="宋体"/>
                <w:color w:val="auto"/>
                <w:szCs w:val="21"/>
                <w:highlight w:val="none"/>
              </w:rPr>
            </w:pPr>
            <w:r>
              <w:rPr>
                <w:rFonts w:hint="default" w:ascii="宋体" w:hAnsi="宋体" w:eastAsia="宋体" w:cs="宋体"/>
                <w:color w:val="auto"/>
                <w:szCs w:val="21"/>
                <w:highlight w:val="none"/>
              </w:rPr>
              <w:t>横向比较</w:t>
            </w:r>
            <w:r>
              <w:rPr>
                <w:rFonts w:hint="eastAsia" w:ascii="宋体" w:hAnsi="宋体" w:eastAsia="宋体" w:cs="宋体"/>
                <w:color w:val="auto"/>
                <w:szCs w:val="21"/>
                <w:highlight w:val="none"/>
                <w:lang w:val="zh-CN"/>
              </w:rPr>
              <w:t>制造商生产</w:t>
            </w:r>
            <w:r>
              <w:rPr>
                <w:rFonts w:hint="eastAsia" w:ascii="宋体" w:hAnsi="宋体" w:eastAsia="宋体" w:cs="宋体"/>
                <w:color w:val="auto"/>
                <w:szCs w:val="21"/>
                <w:highlight w:val="none"/>
                <w:lang w:val="en-US" w:eastAsia="zh-CN"/>
              </w:rPr>
              <w:t>液体柠檬酸</w:t>
            </w:r>
            <w:r>
              <w:rPr>
                <w:rFonts w:hint="eastAsia" w:ascii="宋体" w:hAnsi="宋体" w:eastAsia="宋体" w:cs="宋体"/>
                <w:color w:val="auto"/>
                <w:szCs w:val="21"/>
                <w:highlight w:val="none"/>
                <w:lang w:val="zh-CN"/>
              </w:rPr>
              <w:t>产品的场地规模、生产环境、设施设备资料、产能证明资料</w:t>
            </w:r>
            <w:r>
              <w:rPr>
                <w:rFonts w:hint="eastAsia" w:ascii="宋体" w:hAnsi="宋体" w:eastAsia="宋体" w:cs="宋体"/>
                <w:color w:val="auto"/>
                <w:szCs w:val="21"/>
                <w:highlight w:val="none"/>
                <w:lang w:val="en-US" w:eastAsia="zh-CN"/>
              </w:rPr>
              <w:t>及</w:t>
            </w:r>
            <w:r>
              <w:rPr>
                <w:rFonts w:hint="eastAsia" w:ascii="宋体" w:hAnsi="宋体" w:eastAsia="宋体" w:cs="宋体"/>
                <w:color w:val="auto"/>
                <w:szCs w:val="21"/>
                <w:highlight w:val="none"/>
                <w:lang w:val="zh-CN"/>
              </w:rPr>
              <w:t>服务团队</w:t>
            </w:r>
            <w:r>
              <w:rPr>
                <w:rFonts w:hint="default" w:ascii="宋体" w:hAnsi="宋体" w:eastAsia="宋体" w:cs="宋体"/>
                <w:color w:val="auto"/>
                <w:szCs w:val="21"/>
                <w:highlight w:val="none"/>
              </w:rPr>
              <w:t>等</w:t>
            </w:r>
            <w:r>
              <w:rPr>
                <w:rFonts w:hint="eastAsia" w:ascii="宋体" w:hAnsi="宋体" w:eastAsia="宋体" w:cs="宋体"/>
                <w:color w:val="auto"/>
                <w:szCs w:val="21"/>
                <w:highlight w:val="none"/>
              </w:rPr>
              <w:t>进行评审：</w:t>
            </w:r>
          </w:p>
          <w:p w14:paraId="4E99A19E">
            <w:pPr>
              <w:keepNext w:val="0"/>
              <w:keepLines w:val="0"/>
              <w:numPr>
                <w:ilvl w:val="255"/>
                <w:numId w:val="0"/>
              </w:numPr>
              <w:suppressLineNumbers w:val="0"/>
              <w:spacing w:before="0" w:beforeAutospacing="0" w:after="0" w:afterAutospacing="0" w:line="360" w:lineRule="auto"/>
              <w:ind w:left="0" w:right="0"/>
              <w:rPr>
                <w:rFonts w:hint="default"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优：场地规模大、生产环境好、设施设备先进、产能证明资料充分且可靠、服务团队人员充足、具备丰富的行业经验和专业能力的，得[3-2]分；</w:t>
            </w:r>
          </w:p>
          <w:p w14:paraId="541B9CD0">
            <w:pPr>
              <w:keepNext w:val="0"/>
              <w:keepLines w:val="0"/>
              <w:numPr>
                <w:ilvl w:val="255"/>
                <w:numId w:val="0"/>
              </w:numPr>
              <w:suppressLineNumbers w:val="0"/>
              <w:spacing w:before="0" w:beforeAutospacing="0" w:after="0" w:afterAutospacing="0" w:line="360" w:lineRule="auto"/>
              <w:ind w:left="0" w:right="0"/>
              <w:rPr>
                <w:rFonts w:hint="default"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中：场地规模一般、生产环境一般、设施设备一般、产能证明资料基本能反映生产能力、服务团队人员较少、行业经验和专业能力一般的，得（2-1]分；</w:t>
            </w:r>
          </w:p>
          <w:p w14:paraId="3400D670">
            <w:pPr>
              <w:keepNext w:val="0"/>
              <w:keepLines w:val="0"/>
              <w:numPr>
                <w:ilvl w:val="255"/>
                <w:numId w:val="0"/>
              </w:numPr>
              <w:suppressLineNumbers w:val="0"/>
              <w:spacing w:before="0" w:beforeAutospacing="0" w:after="0" w:afterAutospacing="0" w:line="360" w:lineRule="auto"/>
              <w:ind w:left="0" w:right="0"/>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差：场地规模小、生产环境简陋、设施设备差、产能证明资料不足、服务团队人员少、行业经验和专业能力不足的，得（1-0]分。</w:t>
            </w:r>
          </w:p>
          <w:p w14:paraId="527FB380">
            <w:pPr>
              <w:keepNext w:val="0"/>
              <w:keepLines w:val="0"/>
              <w:numPr>
                <w:ilvl w:val="255"/>
                <w:numId w:val="0"/>
              </w:numPr>
              <w:suppressLineNumbers w:val="0"/>
              <w:spacing w:before="0" w:beforeAutospacing="0" w:after="0" w:afterAutospacing="0" w:line="360" w:lineRule="auto"/>
              <w:ind w:left="0" w:right="0"/>
              <w:rPr>
                <w:rFonts w:hint="default" w:ascii="宋体" w:hAnsi="宋体" w:eastAsia="宋体" w:cs="宋体"/>
                <w:b/>
                <w:bCs w:val="0"/>
                <w:color w:val="auto"/>
                <w:szCs w:val="21"/>
                <w:highlight w:val="none"/>
                <w:lang w:val="zh-CN"/>
              </w:rPr>
            </w:pPr>
            <w:r>
              <w:rPr>
                <w:rFonts w:hint="eastAsia" w:ascii="宋体" w:hAnsi="宋体" w:eastAsia="宋体" w:cs="宋体"/>
                <w:b/>
                <w:bCs w:val="0"/>
                <w:color w:val="auto"/>
                <w:szCs w:val="21"/>
                <w:highlight w:val="none"/>
                <w:lang w:val="zh-CN"/>
              </w:rPr>
              <w:t>备注：</w:t>
            </w:r>
          </w:p>
          <w:p w14:paraId="286D4F50">
            <w:pPr>
              <w:keepNext w:val="0"/>
              <w:keepLines w:val="0"/>
              <w:numPr>
                <w:ilvl w:val="255"/>
                <w:numId w:val="0"/>
              </w:numPr>
              <w:suppressLineNumbers w:val="0"/>
              <w:spacing w:before="0" w:beforeAutospacing="0" w:after="0" w:afterAutospacing="0" w:line="360" w:lineRule="auto"/>
              <w:ind w:left="0" w:right="0"/>
              <w:rPr>
                <w:rFonts w:hint="default" w:ascii="宋体" w:hAnsi="宋体" w:eastAsia="宋体" w:cs="宋体"/>
                <w:b/>
                <w:bCs w:val="0"/>
                <w:color w:val="auto"/>
                <w:szCs w:val="21"/>
                <w:highlight w:val="none"/>
                <w:lang w:val="zh-CN"/>
              </w:rPr>
            </w:pPr>
            <w:r>
              <w:rPr>
                <w:rFonts w:hint="eastAsia" w:ascii="宋体" w:hAnsi="宋体" w:eastAsia="宋体" w:cs="宋体"/>
                <w:b/>
                <w:bCs w:val="0"/>
                <w:color w:val="auto"/>
                <w:szCs w:val="21"/>
                <w:highlight w:val="none"/>
                <w:lang w:val="zh-CN"/>
              </w:rPr>
              <w:t>1）提供制造商场地自有产权证明复印件（或非自有产权时提供承租人为制造商的租赁合同复印件），产权证明或租赁合同的有效期须至2025年12月31日或以后；</w:t>
            </w:r>
          </w:p>
          <w:p w14:paraId="5A27DD45">
            <w:pPr>
              <w:keepNext w:val="0"/>
              <w:keepLines w:val="0"/>
              <w:numPr>
                <w:ilvl w:val="255"/>
                <w:numId w:val="0"/>
              </w:numPr>
              <w:suppressLineNumbers w:val="0"/>
              <w:spacing w:before="0" w:beforeAutospacing="0" w:after="0" w:afterAutospacing="0" w:line="360" w:lineRule="auto"/>
              <w:ind w:left="0" w:right="0"/>
              <w:rPr>
                <w:rFonts w:hint="default" w:ascii="宋体" w:hAnsi="宋体" w:eastAsia="宋体" w:cs="宋体"/>
                <w:b/>
                <w:bCs w:val="0"/>
                <w:color w:val="auto"/>
                <w:szCs w:val="21"/>
                <w:highlight w:val="none"/>
                <w:lang w:val="zh-CN"/>
              </w:rPr>
            </w:pPr>
            <w:r>
              <w:rPr>
                <w:rFonts w:hint="eastAsia" w:ascii="宋体" w:hAnsi="宋体" w:eastAsia="宋体" w:cs="宋体"/>
                <w:b/>
                <w:bCs w:val="0"/>
                <w:color w:val="auto"/>
                <w:szCs w:val="21"/>
                <w:highlight w:val="none"/>
                <w:lang w:val="zh-CN"/>
              </w:rPr>
              <w:t>2）提供制造商现场经营、生产环境、生产设备设施的照片/图片打印件（照片/图片须清晰显示拍摄时间为2024年</w:t>
            </w:r>
            <w:r>
              <w:rPr>
                <w:rFonts w:hint="eastAsia" w:ascii="宋体" w:hAnsi="宋体" w:eastAsia="宋体" w:cs="宋体"/>
                <w:b/>
                <w:bCs w:val="0"/>
                <w:color w:val="auto"/>
                <w:szCs w:val="21"/>
                <w:highlight w:val="none"/>
                <w:lang w:val="en-US" w:eastAsia="zh-CN"/>
              </w:rPr>
              <w:t>11</w:t>
            </w:r>
            <w:r>
              <w:rPr>
                <w:rFonts w:hint="eastAsia" w:ascii="宋体" w:hAnsi="宋体" w:eastAsia="宋体" w:cs="宋体"/>
                <w:b/>
                <w:bCs w:val="0"/>
                <w:color w:val="auto"/>
                <w:szCs w:val="21"/>
                <w:highlight w:val="none"/>
                <w:lang w:val="zh-CN"/>
              </w:rPr>
              <w:t>月1日或以后），生产设备设施清单和（付款单位/购买方为制造商的）购置发票复印件等，并提供能证明其生产能力的环评报告或其他生产能力证明资料；</w:t>
            </w:r>
          </w:p>
          <w:p w14:paraId="68E82367">
            <w:pPr>
              <w:keepNext w:val="0"/>
              <w:keepLines w:val="0"/>
              <w:numPr>
                <w:ilvl w:val="255"/>
                <w:numId w:val="0"/>
              </w:numPr>
              <w:suppressLineNumbers w:val="0"/>
              <w:spacing w:before="0" w:beforeAutospacing="0" w:after="0" w:afterAutospacing="0" w:line="360" w:lineRule="auto"/>
              <w:ind w:left="0" w:right="0"/>
              <w:rPr>
                <w:rFonts w:hint="default" w:ascii="宋体" w:hAnsi="宋体" w:eastAsia="宋体" w:cs="宋体"/>
                <w:b/>
                <w:bCs w:val="0"/>
                <w:color w:val="auto"/>
                <w:szCs w:val="21"/>
                <w:highlight w:val="none"/>
                <w:lang w:val="zh-CN"/>
              </w:rPr>
            </w:pPr>
            <w:r>
              <w:rPr>
                <w:rFonts w:hint="eastAsia" w:ascii="宋体" w:hAnsi="宋体" w:eastAsia="宋体" w:cs="宋体"/>
                <w:b/>
                <w:bCs w:val="0"/>
                <w:color w:val="auto"/>
                <w:szCs w:val="21"/>
                <w:highlight w:val="none"/>
                <w:lang w:val="zh-CN"/>
              </w:rPr>
              <w:t>3）若投标人为制造商，提供制造商生产及管理人员清单及人力资源和社会保障部门（或税务部门）出具的2024年</w:t>
            </w:r>
            <w:r>
              <w:rPr>
                <w:rFonts w:hint="eastAsia" w:ascii="宋体" w:hAnsi="宋体" w:eastAsia="宋体" w:cs="宋体"/>
                <w:b/>
                <w:bCs w:val="0"/>
                <w:color w:val="auto"/>
                <w:szCs w:val="21"/>
                <w:highlight w:val="none"/>
                <w:lang w:val="en-US" w:eastAsia="zh-CN"/>
              </w:rPr>
              <w:t>12</w:t>
            </w:r>
            <w:r>
              <w:rPr>
                <w:rFonts w:hint="eastAsia" w:ascii="宋体" w:hAnsi="宋体" w:eastAsia="宋体" w:cs="宋体"/>
                <w:b/>
                <w:bCs w:val="0"/>
                <w:color w:val="auto"/>
                <w:szCs w:val="21"/>
                <w:highlight w:val="none"/>
                <w:lang w:val="zh-CN"/>
              </w:rPr>
              <w:t>月制造商为其缴纳的社保证明复印件；若投标人为经销商，需同时提供制造商及经销商生产及管理人员清单及人力资源和社会保障部门（或税务部门）出具的2024年</w:t>
            </w:r>
            <w:r>
              <w:rPr>
                <w:rFonts w:hint="eastAsia" w:ascii="宋体" w:hAnsi="宋体" w:eastAsia="宋体" w:cs="宋体"/>
                <w:b/>
                <w:bCs w:val="0"/>
                <w:color w:val="auto"/>
                <w:szCs w:val="21"/>
                <w:highlight w:val="none"/>
                <w:lang w:val="en-US" w:eastAsia="zh-CN"/>
              </w:rPr>
              <w:t>12</w:t>
            </w:r>
            <w:r>
              <w:rPr>
                <w:rFonts w:hint="eastAsia" w:ascii="宋体" w:hAnsi="宋体" w:eastAsia="宋体" w:cs="宋体"/>
                <w:b/>
                <w:bCs w:val="0"/>
                <w:color w:val="auto"/>
                <w:szCs w:val="21"/>
                <w:highlight w:val="none"/>
                <w:lang w:val="zh-CN"/>
              </w:rPr>
              <w:t>月制造商及经销商为其缴纳的社保证明复印件；</w:t>
            </w:r>
          </w:p>
          <w:p w14:paraId="506729B6">
            <w:pPr>
              <w:keepNext w:val="0"/>
              <w:keepLines w:val="0"/>
              <w:pageBreakBefore w:val="0"/>
              <w:widowControl w:val="0"/>
              <w:numPr>
                <w:ilvl w:val="-1"/>
                <w:numId w:val="0"/>
              </w:numPr>
              <w:suppressLineNumbers w:val="0"/>
              <w:kinsoku/>
              <w:wordWrap/>
              <w:overflowPunct/>
              <w:topLinePunct w:val="0"/>
              <w:bidi w:val="0"/>
              <w:snapToGrid/>
              <w:spacing w:before="0" w:beforeAutospacing="0" w:after="0" w:afterAutospacing="0" w:line="360" w:lineRule="auto"/>
              <w:ind w:left="0" w:right="0"/>
              <w:textAlignment w:val="auto"/>
              <w:rPr>
                <w:rFonts w:hint="eastAsia" w:ascii="宋体" w:hAnsi="宋体" w:eastAsia="宋体" w:cs="宋体"/>
                <w:color w:val="auto"/>
                <w:kern w:val="2"/>
                <w:sz w:val="21"/>
                <w:szCs w:val="21"/>
                <w:highlight w:val="none"/>
                <w:lang w:val="zh-CN" w:eastAsia="zh-CN"/>
              </w:rPr>
            </w:pPr>
            <w:r>
              <w:rPr>
                <w:rFonts w:hint="eastAsia" w:ascii="宋体" w:hAnsi="宋体" w:eastAsia="宋体" w:cs="宋体"/>
                <w:b/>
                <w:bCs w:val="0"/>
                <w:color w:val="auto"/>
                <w:szCs w:val="21"/>
                <w:highlight w:val="none"/>
                <w:lang w:val="en-US" w:eastAsia="zh-CN"/>
              </w:rPr>
              <w:t>4</w:t>
            </w:r>
            <w:r>
              <w:rPr>
                <w:rFonts w:hint="eastAsia" w:ascii="宋体" w:hAnsi="宋体" w:eastAsia="宋体" w:cs="宋体"/>
                <w:b/>
                <w:bCs w:val="0"/>
                <w:color w:val="auto"/>
                <w:szCs w:val="21"/>
                <w:highlight w:val="none"/>
                <w:lang w:val="zh-CN"/>
              </w:rPr>
              <w:t>）</w:t>
            </w:r>
            <w:r>
              <w:rPr>
                <w:rFonts w:hint="eastAsia" w:ascii="宋体" w:hAnsi="宋体" w:eastAsia="宋体" w:cs="宋体"/>
                <w:b/>
                <w:color w:val="auto"/>
                <w:szCs w:val="21"/>
                <w:highlight w:val="none"/>
                <w:lang w:val="zh-CN"/>
              </w:rPr>
              <w:t>投标人除文字介绍外，须提供以上材料作为辅助证明；如投标人不能完整提供上述证明材料的，在评标时将不予考虑评为“优”</w:t>
            </w:r>
            <w:r>
              <w:rPr>
                <w:rFonts w:hint="eastAsia" w:ascii="宋体" w:hAnsi="宋体" w:eastAsia="宋体" w:cs="宋体"/>
                <w:b/>
                <w:bCs w:val="0"/>
                <w:color w:val="auto"/>
                <w:szCs w:val="21"/>
                <w:highlight w:val="none"/>
                <w:lang w:val="zh-CN"/>
              </w:rPr>
              <w:t>。</w:t>
            </w:r>
          </w:p>
        </w:tc>
        <w:tc>
          <w:tcPr>
            <w:tcW w:w="438" w:type="pct"/>
            <w:tcBorders>
              <w:top w:val="single" w:color="auto" w:sz="4" w:space="0"/>
              <w:left w:val="single" w:color="auto" w:sz="4" w:space="0"/>
              <w:right w:val="single" w:color="auto" w:sz="4" w:space="0"/>
            </w:tcBorders>
            <w:noWrap w:val="0"/>
            <w:vAlign w:val="center"/>
          </w:tcPr>
          <w:p w14:paraId="4EE37D41">
            <w:pPr>
              <w:pStyle w:val="193"/>
              <w:keepNext w:val="0"/>
              <w:keepLines w:val="0"/>
              <w:pageBreakBefore w:val="0"/>
              <w:widowControl w:val="0"/>
              <w:suppressLineNumbers w:val="0"/>
              <w:tabs>
                <w:tab w:val="left" w:pos="585"/>
                <w:tab w:val="left" w:pos="680"/>
              </w:tabs>
              <w:kinsoku/>
              <w:wordWrap/>
              <w:overflowPunct/>
              <w:topLinePunct w:val="0"/>
              <w:bidi w:val="0"/>
              <w:snapToGrid/>
              <w:spacing w:before="0" w:beforeAutospacing="0" w:after="0" w:afterAutospacing="0" w:line="360" w:lineRule="auto"/>
              <w:ind w:left="0"/>
              <w:jc w:val="center"/>
              <w:textAlignment w:val="auto"/>
              <w:rPr>
                <w:rFonts w:hint="eastAsia" w:ascii="宋体" w:hAnsi="宋体" w:eastAsia="宋体" w:cs="宋体"/>
                <w:color w:val="auto"/>
                <w:kern w:val="2"/>
                <w:sz w:val="21"/>
                <w:szCs w:val="21"/>
                <w:highlight w:val="none"/>
              </w:rPr>
            </w:pPr>
            <w:r>
              <w:rPr>
                <w:rFonts w:hint="eastAsia" w:ascii="宋体" w:hAnsi="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rPr>
              <w:t>分</w:t>
            </w:r>
          </w:p>
        </w:tc>
      </w:tr>
      <w:tr w14:paraId="56DE3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 w:type="pct"/>
            <w:vMerge w:val="restart"/>
            <w:tcBorders>
              <w:top w:val="single" w:color="auto" w:sz="4" w:space="0"/>
              <w:left w:val="single" w:color="auto" w:sz="4" w:space="0"/>
              <w:right w:val="single" w:color="auto" w:sz="4" w:space="0"/>
            </w:tcBorders>
            <w:noWrap w:val="0"/>
            <w:vAlign w:val="center"/>
          </w:tcPr>
          <w:p w14:paraId="6C5B662C">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w:t>
            </w:r>
          </w:p>
        </w:tc>
        <w:tc>
          <w:tcPr>
            <w:tcW w:w="546" w:type="pct"/>
            <w:vMerge w:val="restart"/>
            <w:tcBorders>
              <w:top w:val="single" w:color="auto" w:sz="4" w:space="0"/>
              <w:left w:val="single" w:color="auto" w:sz="4" w:space="0"/>
              <w:right w:val="single" w:color="auto" w:sz="4" w:space="0"/>
            </w:tcBorders>
            <w:noWrap w:val="0"/>
            <w:vAlign w:val="center"/>
          </w:tcPr>
          <w:p w14:paraId="58D95EC5">
            <w:pPr>
              <w:pStyle w:val="193"/>
              <w:keepNext w:val="0"/>
              <w:keepLines w:val="0"/>
              <w:pageBreakBefore w:val="0"/>
              <w:widowControl w:val="0"/>
              <w:suppressLineNumbers w:val="0"/>
              <w:tabs>
                <w:tab w:val="left" w:pos="585"/>
                <w:tab w:val="left" w:pos="680"/>
              </w:tabs>
              <w:kinsoku/>
              <w:wordWrap/>
              <w:overflowPunct/>
              <w:topLinePunct w:val="0"/>
              <w:bidi w:val="0"/>
              <w:snapToGrid/>
              <w:spacing w:before="0" w:beforeAutospacing="0" w:after="0" w:afterAutospacing="0" w:line="360" w:lineRule="auto"/>
              <w:ind w:lef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质量保证体系和措施</w:t>
            </w:r>
          </w:p>
        </w:tc>
        <w:tc>
          <w:tcPr>
            <w:tcW w:w="3693" w:type="pct"/>
            <w:tcBorders>
              <w:top w:val="single" w:color="auto" w:sz="4" w:space="0"/>
              <w:left w:val="single" w:color="auto" w:sz="4" w:space="0"/>
              <w:bottom w:val="single" w:color="auto" w:sz="4" w:space="0"/>
              <w:right w:val="single" w:color="auto" w:sz="4" w:space="0"/>
            </w:tcBorders>
            <w:noWrap w:val="0"/>
            <w:vAlign w:val="center"/>
          </w:tcPr>
          <w:p w14:paraId="7D1F51C8">
            <w:pPr>
              <w:pStyle w:val="193"/>
              <w:keepNext w:val="0"/>
              <w:keepLines w:val="0"/>
              <w:numPr>
                <w:ilvl w:val="0"/>
                <w:numId w:val="0"/>
              </w:numPr>
              <w:suppressLineNumbers w:val="0"/>
              <w:tabs>
                <w:tab w:val="left" w:pos="585"/>
                <w:tab w:val="left" w:pos="680"/>
              </w:tabs>
              <w:spacing w:before="0" w:beforeAutospacing="0" w:after="0" w:afterAutospacing="0" w:line="360" w:lineRule="auto"/>
              <w:ind w:left="0"/>
              <w:rPr>
                <w:rFonts w:hint="default" w:ascii="宋体" w:hAnsi="宋体" w:cs="宋体"/>
                <w:color w:val="auto"/>
                <w:szCs w:val="21"/>
                <w:highlight w:val="none"/>
              </w:rPr>
            </w:pPr>
            <w:r>
              <w:rPr>
                <w:rFonts w:hint="eastAsia" w:ascii="宋体" w:hAnsi="宋体" w:cs="宋体"/>
                <w:color w:val="auto"/>
                <w:szCs w:val="21"/>
                <w:highlight w:val="none"/>
              </w:rPr>
              <w:t>（1）对</w:t>
            </w:r>
            <w:r>
              <w:rPr>
                <w:rFonts w:hint="default" w:ascii="宋体" w:hAnsi="宋体" w:cs="宋体"/>
                <w:color w:val="auto"/>
                <w:szCs w:val="21"/>
                <w:highlight w:val="none"/>
              </w:rPr>
              <w:t>比</w:t>
            </w:r>
            <w:r>
              <w:rPr>
                <w:rFonts w:hint="eastAsia" w:ascii="宋体" w:hAnsi="宋体" w:cs="宋体"/>
                <w:color w:val="auto"/>
                <w:szCs w:val="21"/>
                <w:highlight w:val="none"/>
              </w:rPr>
              <w:t>投标人针对投标产品的测试、验收、质量保证实施计划和具体方案情况进行评审：</w:t>
            </w:r>
          </w:p>
          <w:p w14:paraId="78AAB3E9">
            <w:pPr>
              <w:pStyle w:val="193"/>
              <w:keepNext w:val="0"/>
              <w:keepLines w:val="0"/>
              <w:suppressLineNumbers w:val="0"/>
              <w:tabs>
                <w:tab w:val="left" w:pos="585"/>
                <w:tab w:val="left" w:pos="680"/>
              </w:tabs>
              <w:spacing w:before="0" w:beforeAutospacing="0" w:after="0" w:afterAutospacing="0" w:line="360" w:lineRule="auto"/>
              <w:ind w:left="0"/>
              <w:rPr>
                <w:rFonts w:hint="default" w:ascii="宋体" w:hAnsi="宋体" w:cs="宋体"/>
                <w:color w:val="auto"/>
                <w:szCs w:val="21"/>
                <w:highlight w:val="none"/>
              </w:rPr>
            </w:pPr>
            <w:r>
              <w:rPr>
                <w:rFonts w:hint="eastAsia" w:ascii="宋体" w:hAnsi="宋体" w:cs="宋体"/>
                <w:color w:val="auto"/>
                <w:szCs w:val="21"/>
                <w:highlight w:val="none"/>
              </w:rPr>
              <w:t>优：提供的测试、验收实施计划详细；质量保证体系完善、科学；方案充分考虑了</w:t>
            </w:r>
            <w:r>
              <w:rPr>
                <w:rFonts w:hint="eastAsia" w:ascii="宋体" w:hAnsi="宋体" w:cs="宋体"/>
                <w:color w:val="auto"/>
                <w:szCs w:val="21"/>
                <w:highlight w:val="none"/>
                <w:lang w:val="en-US" w:eastAsia="zh-CN"/>
              </w:rPr>
              <w:t>招标人各营运项目的工艺及性质</w:t>
            </w:r>
            <w:r>
              <w:rPr>
                <w:rFonts w:hint="eastAsia" w:ascii="宋体" w:hAnsi="宋体" w:cs="宋体"/>
                <w:color w:val="auto"/>
                <w:szCs w:val="21"/>
                <w:highlight w:val="none"/>
              </w:rPr>
              <w:t>，方案针对性和可操作性强的，得[3-2]分；</w:t>
            </w:r>
          </w:p>
          <w:p w14:paraId="6931EE2C">
            <w:pPr>
              <w:pStyle w:val="193"/>
              <w:keepNext w:val="0"/>
              <w:keepLines w:val="0"/>
              <w:suppressLineNumbers w:val="0"/>
              <w:tabs>
                <w:tab w:val="left" w:pos="585"/>
                <w:tab w:val="left" w:pos="680"/>
              </w:tabs>
              <w:spacing w:before="0" w:beforeAutospacing="0" w:after="0" w:afterAutospacing="0" w:line="360" w:lineRule="auto"/>
              <w:ind w:left="0"/>
              <w:rPr>
                <w:rFonts w:hint="default" w:ascii="宋体" w:hAnsi="宋体" w:cs="宋体"/>
                <w:color w:val="auto"/>
                <w:szCs w:val="21"/>
                <w:highlight w:val="none"/>
              </w:rPr>
            </w:pPr>
            <w:r>
              <w:rPr>
                <w:rFonts w:hint="eastAsia" w:ascii="宋体" w:hAnsi="宋体" w:cs="宋体"/>
                <w:color w:val="auto"/>
                <w:szCs w:val="21"/>
                <w:highlight w:val="none"/>
              </w:rPr>
              <w:t>中：提供的测试、验收实施计划一般；质量保证体系一般；方案基本考虑了</w:t>
            </w:r>
            <w:r>
              <w:rPr>
                <w:rFonts w:hint="eastAsia" w:ascii="宋体" w:hAnsi="宋体" w:cs="宋体"/>
                <w:color w:val="auto"/>
                <w:szCs w:val="21"/>
                <w:highlight w:val="none"/>
                <w:lang w:val="en-US" w:eastAsia="zh-CN"/>
              </w:rPr>
              <w:t>招标人各营运项目的工艺及性质</w:t>
            </w:r>
            <w:r>
              <w:rPr>
                <w:rFonts w:hint="eastAsia" w:ascii="宋体" w:hAnsi="宋体" w:cs="宋体"/>
                <w:color w:val="auto"/>
                <w:szCs w:val="21"/>
                <w:highlight w:val="none"/>
              </w:rPr>
              <w:t>，方案针对性和可操作性一般的，得（2-1]分；</w:t>
            </w:r>
          </w:p>
          <w:p w14:paraId="7BC7E1BF">
            <w:pPr>
              <w:pStyle w:val="193"/>
              <w:keepNext w:val="0"/>
              <w:keepLines w:val="0"/>
              <w:pageBreakBefore w:val="0"/>
              <w:widowControl w:val="0"/>
              <w:suppressLineNumbers w:val="0"/>
              <w:tabs>
                <w:tab w:val="left" w:pos="585"/>
                <w:tab w:val="left" w:pos="680"/>
              </w:tabs>
              <w:kinsoku/>
              <w:wordWrap/>
              <w:overflowPunct/>
              <w:topLinePunct w:val="0"/>
              <w:bidi w:val="0"/>
              <w:snapToGrid/>
              <w:spacing w:before="0" w:beforeAutospacing="0" w:after="0" w:afterAutospacing="0" w:line="360" w:lineRule="auto"/>
              <w:ind w:left="0"/>
              <w:textAlignment w:val="auto"/>
              <w:rPr>
                <w:rFonts w:hint="eastAsia" w:ascii="宋体" w:hAnsi="宋体" w:eastAsia="宋体" w:cs="宋体"/>
                <w:color w:val="auto"/>
                <w:kern w:val="2"/>
                <w:sz w:val="21"/>
                <w:szCs w:val="21"/>
                <w:highlight w:val="none"/>
                <w:lang w:eastAsia="zh-CN"/>
              </w:rPr>
            </w:pPr>
            <w:r>
              <w:rPr>
                <w:rFonts w:hint="eastAsia" w:ascii="宋体" w:hAnsi="宋体" w:cs="宋体"/>
                <w:color w:val="auto"/>
                <w:szCs w:val="21"/>
                <w:highlight w:val="none"/>
              </w:rPr>
              <w:t>差：提供的测试、验收实施计划存在一定缺失或不够详细；质量保证体系不完整或未提供；方案未能考虑</w:t>
            </w:r>
            <w:r>
              <w:rPr>
                <w:rFonts w:hint="eastAsia" w:ascii="宋体" w:hAnsi="宋体" w:cs="宋体"/>
                <w:color w:val="auto"/>
                <w:szCs w:val="21"/>
                <w:highlight w:val="none"/>
                <w:lang w:val="en-US" w:eastAsia="zh-CN"/>
              </w:rPr>
              <w:t>招标人各营运项目的工艺及性质</w:t>
            </w:r>
            <w:r>
              <w:rPr>
                <w:rFonts w:hint="eastAsia" w:ascii="宋体" w:hAnsi="宋体" w:cs="宋体"/>
                <w:color w:val="auto"/>
                <w:szCs w:val="21"/>
                <w:highlight w:val="none"/>
              </w:rPr>
              <w:t>，方案针对性和可操作性差的，得（1-0]分。</w:t>
            </w:r>
          </w:p>
        </w:tc>
        <w:tc>
          <w:tcPr>
            <w:tcW w:w="438" w:type="pct"/>
            <w:tcBorders>
              <w:top w:val="single" w:color="auto" w:sz="4" w:space="0"/>
              <w:left w:val="single" w:color="auto" w:sz="4" w:space="0"/>
              <w:right w:val="single" w:color="auto" w:sz="4" w:space="0"/>
            </w:tcBorders>
            <w:noWrap w:val="0"/>
            <w:vAlign w:val="center"/>
          </w:tcPr>
          <w:p w14:paraId="3E67889E">
            <w:pPr>
              <w:pStyle w:val="193"/>
              <w:keepNext w:val="0"/>
              <w:keepLines w:val="0"/>
              <w:pageBreakBefore w:val="0"/>
              <w:widowControl w:val="0"/>
              <w:suppressLineNumbers w:val="0"/>
              <w:tabs>
                <w:tab w:val="left" w:pos="585"/>
                <w:tab w:val="left" w:pos="680"/>
              </w:tabs>
              <w:kinsoku/>
              <w:wordWrap/>
              <w:overflowPunct/>
              <w:topLinePunct w:val="0"/>
              <w:bidi w:val="0"/>
              <w:snapToGrid/>
              <w:spacing w:before="0" w:beforeAutospacing="0" w:after="0" w:afterAutospacing="0" w:line="360" w:lineRule="auto"/>
              <w:ind w:left="0"/>
              <w:jc w:val="center"/>
              <w:textAlignment w:val="auto"/>
              <w:rPr>
                <w:rFonts w:hint="eastAsia" w:ascii="宋体" w:hAnsi="宋体" w:eastAsia="宋体" w:cs="宋体"/>
                <w:color w:val="auto"/>
                <w:kern w:val="2"/>
                <w:sz w:val="21"/>
                <w:szCs w:val="21"/>
                <w:highlight w:val="none"/>
              </w:rPr>
            </w:pPr>
            <w:r>
              <w:rPr>
                <w:rFonts w:hint="eastAsia" w:ascii="宋体" w:hAnsi="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rPr>
              <w:t>分</w:t>
            </w:r>
          </w:p>
        </w:tc>
      </w:tr>
      <w:tr w14:paraId="15CAA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21" w:type="pct"/>
            <w:vMerge w:val="continue"/>
            <w:tcBorders>
              <w:left w:val="single" w:color="auto" w:sz="4" w:space="0"/>
              <w:bottom w:val="single" w:color="auto" w:sz="4" w:space="0"/>
              <w:right w:val="single" w:color="auto" w:sz="4" w:space="0"/>
            </w:tcBorders>
            <w:noWrap w:val="0"/>
            <w:vAlign w:val="center"/>
          </w:tcPr>
          <w:p w14:paraId="4F7012E2">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宋体" w:hAnsi="宋体" w:eastAsia="宋体" w:cs="宋体"/>
                <w:color w:val="auto"/>
                <w:kern w:val="2"/>
                <w:sz w:val="21"/>
                <w:szCs w:val="21"/>
                <w:highlight w:val="none"/>
              </w:rPr>
            </w:pPr>
          </w:p>
        </w:tc>
        <w:tc>
          <w:tcPr>
            <w:tcW w:w="546" w:type="pct"/>
            <w:vMerge w:val="continue"/>
            <w:tcBorders>
              <w:left w:val="single" w:color="auto" w:sz="4" w:space="0"/>
              <w:bottom w:val="single" w:color="auto" w:sz="4" w:space="0"/>
              <w:right w:val="single" w:color="auto" w:sz="4" w:space="0"/>
            </w:tcBorders>
            <w:noWrap w:val="0"/>
            <w:vAlign w:val="center"/>
          </w:tcPr>
          <w:p w14:paraId="0A2AA1E7">
            <w:pPr>
              <w:pStyle w:val="193"/>
              <w:keepNext w:val="0"/>
              <w:keepLines w:val="0"/>
              <w:pageBreakBefore w:val="0"/>
              <w:widowControl w:val="0"/>
              <w:suppressLineNumbers w:val="0"/>
              <w:tabs>
                <w:tab w:val="left" w:pos="585"/>
                <w:tab w:val="left" w:pos="680"/>
              </w:tabs>
              <w:kinsoku/>
              <w:wordWrap/>
              <w:overflowPunct/>
              <w:topLinePunct w:val="0"/>
              <w:bidi w:val="0"/>
              <w:snapToGrid/>
              <w:spacing w:before="0" w:beforeAutospacing="0" w:after="0" w:afterAutospacing="0" w:line="360" w:lineRule="auto"/>
              <w:ind w:left="0"/>
              <w:jc w:val="center"/>
              <w:textAlignment w:val="auto"/>
              <w:rPr>
                <w:rFonts w:hint="eastAsia" w:ascii="宋体" w:hAnsi="宋体" w:eastAsia="宋体" w:cs="宋体"/>
                <w:color w:val="auto"/>
                <w:kern w:val="2"/>
                <w:sz w:val="21"/>
                <w:szCs w:val="21"/>
                <w:highlight w:val="none"/>
              </w:rPr>
            </w:pPr>
          </w:p>
        </w:tc>
        <w:tc>
          <w:tcPr>
            <w:tcW w:w="3693" w:type="pct"/>
            <w:tcBorders>
              <w:top w:val="single" w:color="auto" w:sz="4" w:space="0"/>
              <w:left w:val="single" w:color="auto" w:sz="4" w:space="0"/>
              <w:bottom w:val="single" w:color="auto" w:sz="4" w:space="0"/>
              <w:right w:val="single" w:color="auto" w:sz="4" w:space="0"/>
            </w:tcBorders>
            <w:noWrap w:val="0"/>
            <w:vAlign w:val="center"/>
          </w:tcPr>
          <w:p w14:paraId="211046A5">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textAlignment w:val="auto"/>
              <w:rPr>
                <w:rFonts w:hint="default" w:ascii="宋体" w:hAnsi="宋体" w:eastAsia="宋体" w:cs="宋体"/>
                <w:b w:val="0"/>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b w:val="0"/>
                <w:color w:val="auto"/>
                <w:szCs w:val="21"/>
                <w:highlight w:val="none"/>
              </w:rPr>
              <w:t>投标人或投标人投标产品制造商的检测人员每配备有1名化学检测或相关的职称证或上岗合格证或培训证的专职检测人员的得1.5分，本子项满分3分。</w:t>
            </w:r>
          </w:p>
          <w:p w14:paraId="506867A5">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textAlignment w:val="auto"/>
              <w:rPr>
                <w:rFonts w:hint="default" w:ascii="宋体" w:hAnsi="宋体" w:eastAsia="宋体" w:cs="宋体"/>
                <w:b/>
                <w:bCs/>
                <w:color w:val="auto"/>
                <w:szCs w:val="21"/>
                <w:highlight w:val="none"/>
              </w:rPr>
            </w:pPr>
            <w:r>
              <w:rPr>
                <w:rFonts w:hint="eastAsia" w:ascii="宋体" w:hAnsi="宋体" w:eastAsia="宋体" w:cs="宋体"/>
                <w:b/>
                <w:bCs/>
                <w:color w:val="auto"/>
                <w:szCs w:val="21"/>
                <w:highlight w:val="none"/>
              </w:rPr>
              <w:t>备注：</w:t>
            </w:r>
          </w:p>
          <w:p w14:paraId="10F96955">
            <w:pPr>
              <w:pStyle w:val="193"/>
              <w:keepNext w:val="0"/>
              <w:keepLines w:val="0"/>
              <w:pageBreakBefore w:val="0"/>
              <w:widowControl w:val="0"/>
              <w:suppressLineNumbers w:val="0"/>
              <w:tabs>
                <w:tab w:val="left" w:pos="585"/>
                <w:tab w:val="left" w:pos="680"/>
              </w:tabs>
              <w:kinsoku/>
              <w:wordWrap/>
              <w:overflowPunct/>
              <w:topLinePunct w:val="0"/>
              <w:bidi w:val="0"/>
              <w:snapToGrid/>
              <w:spacing w:before="0" w:beforeAutospacing="0" w:after="0" w:afterAutospacing="0" w:line="360" w:lineRule="auto"/>
              <w:ind w:left="0"/>
              <w:textAlignment w:val="auto"/>
              <w:rPr>
                <w:rFonts w:hint="eastAsia" w:ascii="宋体" w:hAnsi="宋体" w:eastAsia="宋体" w:cs="宋体"/>
                <w:color w:val="auto"/>
                <w:kern w:val="2"/>
                <w:sz w:val="21"/>
                <w:szCs w:val="21"/>
                <w:highlight w:val="none"/>
              </w:rPr>
            </w:pPr>
            <w:r>
              <w:rPr>
                <w:rFonts w:hint="eastAsia" w:ascii="宋体" w:hAnsi="宋体" w:eastAsia="宋体" w:cs="宋体"/>
                <w:b/>
                <w:bCs/>
                <w:color w:val="auto"/>
                <w:szCs w:val="21"/>
                <w:highlight w:val="none"/>
              </w:rPr>
              <w:t>必须提供上述人员资格证书（或注册/执业/岗位证书/技术职称/培训证）以及提供人力资源和社会保障部门（或税务部门）出具的2024年</w:t>
            </w:r>
            <w:r>
              <w:rPr>
                <w:rFonts w:hint="eastAsia" w:ascii="宋体" w:hAnsi="宋体" w:cs="宋体"/>
                <w:b/>
                <w:bCs/>
                <w:color w:val="auto"/>
                <w:szCs w:val="21"/>
                <w:highlight w:val="none"/>
                <w:lang w:val="en-US" w:eastAsia="zh-CN"/>
              </w:rPr>
              <w:t>12</w:t>
            </w:r>
            <w:r>
              <w:rPr>
                <w:rFonts w:hint="eastAsia" w:ascii="宋体" w:hAnsi="宋体" w:eastAsia="宋体" w:cs="宋体"/>
                <w:b/>
                <w:bCs/>
                <w:color w:val="auto"/>
                <w:szCs w:val="21"/>
                <w:highlight w:val="none"/>
              </w:rPr>
              <w:t>月投标人或投标人投标产品制造商为其缴纳的社保证明复印件，否则不得分。</w:t>
            </w:r>
          </w:p>
        </w:tc>
        <w:tc>
          <w:tcPr>
            <w:tcW w:w="438" w:type="pct"/>
            <w:tcBorders>
              <w:left w:val="single" w:color="auto" w:sz="4" w:space="0"/>
              <w:bottom w:val="single" w:color="auto" w:sz="4" w:space="0"/>
              <w:right w:val="single" w:color="auto" w:sz="4" w:space="0"/>
            </w:tcBorders>
            <w:noWrap w:val="0"/>
            <w:vAlign w:val="center"/>
          </w:tcPr>
          <w:p w14:paraId="78F723BB">
            <w:pPr>
              <w:pStyle w:val="193"/>
              <w:keepNext w:val="0"/>
              <w:keepLines w:val="0"/>
              <w:pageBreakBefore w:val="0"/>
              <w:widowControl w:val="0"/>
              <w:suppressLineNumbers w:val="0"/>
              <w:tabs>
                <w:tab w:val="left" w:pos="585"/>
                <w:tab w:val="left" w:pos="680"/>
              </w:tabs>
              <w:kinsoku/>
              <w:wordWrap/>
              <w:overflowPunct/>
              <w:topLinePunct w:val="0"/>
              <w:bidi w:val="0"/>
              <w:snapToGrid/>
              <w:spacing w:before="0" w:beforeAutospacing="0" w:after="0" w:afterAutospacing="0" w:line="360" w:lineRule="auto"/>
              <w:ind w:left="0"/>
              <w:jc w:val="center"/>
              <w:textAlignment w:val="auto"/>
              <w:rPr>
                <w:rFonts w:hint="default" w:ascii="宋体" w:hAnsi="宋体" w:eastAsia="宋体" w:cs="宋体"/>
                <w:color w:val="auto"/>
                <w:kern w:val="2"/>
                <w:sz w:val="21"/>
                <w:szCs w:val="21"/>
                <w:highlight w:val="none"/>
                <w:lang w:val="en-US" w:eastAsia="zh-CN"/>
              </w:rPr>
            </w:pPr>
            <w:r>
              <w:rPr>
                <w:rFonts w:hint="eastAsia" w:ascii="宋体" w:hAnsi="宋体" w:cs="宋体"/>
                <w:color w:val="auto"/>
                <w:kern w:val="2"/>
                <w:sz w:val="21"/>
                <w:szCs w:val="21"/>
                <w:highlight w:val="none"/>
                <w:lang w:val="en-US" w:eastAsia="zh-CN"/>
              </w:rPr>
              <w:t>3分</w:t>
            </w:r>
          </w:p>
        </w:tc>
      </w:tr>
    </w:tbl>
    <w:p w14:paraId="1A5EB7A9">
      <w:pPr>
        <w:autoSpaceDE w:val="0"/>
        <w:autoSpaceDN w:val="0"/>
        <w:adjustRightInd w:val="0"/>
        <w:spacing w:line="360" w:lineRule="auto"/>
        <w:ind w:left="420" w:leftChars="200"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备注：</w:t>
      </w:r>
    </w:p>
    <w:p w14:paraId="2BCA0354">
      <w:pPr>
        <w:autoSpaceDE w:val="0"/>
        <w:autoSpaceDN w:val="0"/>
        <w:adjustRightInd w:val="0"/>
        <w:spacing w:line="360" w:lineRule="auto"/>
        <w:ind w:left="420" w:leftChars="200"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①表中“[”代表闭区间，“]”代表闭区间，如[0，1]代表该分数段范围为大于等于0且小于等于1。表中“（”代表开区间，“]”代表闭区间，如（1，2]代表该分数段范围为大于1且小于等于2。</w:t>
      </w:r>
    </w:p>
    <w:p w14:paraId="168A85DE">
      <w:pPr>
        <w:autoSpaceDE w:val="0"/>
        <w:autoSpaceDN w:val="0"/>
        <w:adjustRightInd w:val="0"/>
        <w:spacing w:line="360" w:lineRule="auto"/>
        <w:ind w:left="420" w:leftChars="200"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②分数出现小数点，保留小数点后2位，从小数点后第3位四舍五入。</w:t>
      </w:r>
    </w:p>
    <w:p w14:paraId="28D41FF1">
      <w:pPr>
        <w:autoSpaceDE w:val="0"/>
        <w:autoSpaceDN w:val="0"/>
        <w:adjustRightInd w:val="0"/>
        <w:spacing w:line="360" w:lineRule="auto"/>
        <w:ind w:left="420" w:leftChars="200" w:firstLine="422" w:firstLineChars="200"/>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③上述“评分项目”中按“优、中、差”区间评审的，若低于该项满分分值60%时，评标专家需详细填写该项低分的充分理由，例如：该项目内容存在违反国家有关标准和规范或与项目实际不符等原则性问题。</w:t>
      </w:r>
    </w:p>
    <w:p w14:paraId="50E022F9">
      <w:pPr>
        <w:autoSpaceDE w:val="0"/>
        <w:autoSpaceDN w:val="0"/>
        <w:adjustRightInd w:val="0"/>
        <w:spacing w:line="360" w:lineRule="auto"/>
        <w:ind w:left="420" w:leftChars="200" w:firstLine="422" w:firstLineChars="200"/>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④</w:t>
      </w:r>
      <w:r>
        <w:rPr>
          <w:rFonts w:hint="eastAsia" w:ascii="宋体" w:hAnsi="宋体" w:eastAsia="宋体" w:cs="宋体"/>
          <w:b/>
          <w:color w:val="auto"/>
          <w:kern w:val="0"/>
          <w:szCs w:val="21"/>
          <w:highlight w:val="none"/>
          <w:lang w:val="zh-CN"/>
        </w:rPr>
        <w:t>对</w:t>
      </w:r>
      <w:r>
        <w:rPr>
          <w:rFonts w:hint="eastAsia" w:ascii="宋体" w:hAnsi="宋体" w:eastAsia="宋体" w:cs="宋体"/>
          <w:b/>
          <w:color w:val="auto"/>
          <w:kern w:val="0"/>
          <w:szCs w:val="21"/>
          <w:highlight w:val="none"/>
          <w:lang w:val="en-US" w:eastAsia="zh-CN"/>
        </w:rPr>
        <w:t>于各</w:t>
      </w:r>
      <w:r>
        <w:rPr>
          <w:rFonts w:hint="eastAsia" w:ascii="宋体" w:hAnsi="宋体" w:eastAsia="宋体" w:cs="宋体"/>
          <w:b/>
          <w:color w:val="auto"/>
          <w:kern w:val="0"/>
          <w:szCs w:val="21"/>
          <w:highlight w:val="none"/>
          <w:lang w:val="zh-CN"/>
        </w:rPr>
        <w:t>评标委员会成员</w:t>
      </w:r>
      <w:r>
        <w:rPr>
          <w:rFonts w:hint="eastAsia" w:ascii="宋体" w:hAnsi="宋体" w:eastAsia="宋体" w:cs="宋体"/>
          <w:b/>
          <w:color w:val="auto"/>
          <w:kern w:val="0"/>
          <w:szCs w:val="21"/>
          <w:highlight w:val="none"/>
          <w:lang w:val="en-US" w:eastAsia="zh-CN"/>
        </w:rPr>
        <w:t>存在客观分打分不一致时</w:t>
      </w:r>
      <w:r>
        <w:rPr>
          <w:rFonts w:hint="eastAsia" w:ascii="宋体" w:hAnsi="宋体" w:eastAsia="宋体" w:cs="宋体"/>
          <w:b/>
          <w:color w:val="auto"/>
          <w:kern w:val="0"/>
          <w:szCs w:val="21"/>
          <w:highlight w:val="none"/>
          <w:lang w:val="zh-CN"/>
        </w:rPr>
        <w:t>,根据少数服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多数的原则，以记名方式表决</w:t>
      </w:r>
      <w:r>
        <w:rPr>
          <w:rFonts w:hint="eastAsia" w:ascii="宋体" w:hAnsi="宋体" w:eastAsia="宋体" w:cs="宋体"/>
          <w:b/>
          <w:color w:val="auto"/>
          <w:kern w:val="0"/>
          <w:szCs w:val="21"/>
          <w:highlight w:val="none"/>
          <w:lang w:val="en-US" w:eastAsia="zh-CN"/>
        </w:rPr>
        <w:t>确定该项的评分。</w:t>
      </w:r>
    </w:p>
    <w:p w14:paraId="450EDEE4">
      <w:pPr>
        <w:tabs>
          <w:tab w:val="left" w:pos="585"/>
        </w:tabs>
        <w:autoSpaceDE w:val="0"/>
        <w:autoSpaceDN w:val="0"/>
        <w:adjustRightInd w:val="0"/>
        <w:spacing w:line="360" w:lineRule="auto"/>
        <w:rPr>
          <w:rFonts w:hint="eastAsia" w:ascii="宋体" w:hAnsi="宋体" w:eastAsia="宋体" w:cs="宋体"/>
          <w:b/>
          <w:color w:val="auto"/>
          <w:szCs w:val="21"/>
          <w:highlight w:val="none"/>
          <w:lang w:val="zh-CN"/>
        </w:rPr>
      </w:pPr>
      <w:bookmarkStart w:id="905" w:name="_Toc32063"/>
      <w:r>
        <w:rPr>
          <w:rFonts w:hint="eastAsia" w:ascii="宋体" w:hAnsi="宋体" w:eastAsia="宋体" w:cs="宋体"/>
          <w:b/>
          <w:color w:val="auto"/>
          <w:szCs w:val="21"/>
          <w:highlight w:val="none"/>
          <w:lang w:val="zh-CN"/>
        </w:rPr>
        <w:t>（3）价格评分方法</w:t>
      </w:r>
      <w:bookmarkEnd w:id="905"/>
    </w:p>
    <w:p w14:paraId="21E01C52">
      <w:pPr>
        <w:spacing w:line="360" w:lineRule="auto"/>
        <w:ind w:left="418" w:leftChars="104" w:hanging="200" w:hangingChars="95"/>
        <w:rPr>
          <w:rFonts w:hint="eastAsia" w:ascii="宋体" w:hAnsi="宋体" w:eastAsia="宋体" w:cs="宋体"/>
          <w:b/>
          <w:bCs/>
          <w:color w:val="auto"/>
          <w:kern w:val="0"/>
          <w:szCs w:val="21"/>
          <w:highlight w:val="none"/>
          <w:lang w:val="zh-CN"/>
        </w:rPr>
      </w:pPr>
      <w:bookmarkStart w:id="906" w:name="_Toc8096"/>
      <w:r>
        <w:rPr>
          <w:rFonts w:hint="eastAsia" w:ascii="宋体" w:hAnsi="宋体" w:eastAsia="宋体" w:cs="宋体"/>
          <w:b/>
          <w:bCs/>
          <w:color w:val="auto"/>
          <w:kern w:val="0"/>
          <w:szCs w:val="21"/>
          <w:highlight w:val="none"/>
          <w:lang w:val="zh-CN"/>
        </w:rPr>
        <w:t>1）经济文件的符合性审查</w:t>
      </w:r>
      <w:bookmarkEnd w:id="906"/>
      <w:r>
        <w:rPr>
          <w:rFonts w:hint="eastAsia" w:ascii="宋体" w:hAnsi="宋体" w:eastAsia="宋体" w:cs="宋体"/>
          <w:b/>
          <w:bCs/>
          <w:color w:val="auto"/>
          <w:kern w:val="0"/>
          <w:szCs w:val="21"/>
          <w:highlight w:val="none"/>
          <w:lang w:val="zh-CN"/>
        </w:rPr>
        <w:t xml:space="preserve"> </w:t>
      </w:r>
    </w:p>
    <w:p w14:paraId="5C244B23">
      <w:pPr>
        <w:spacing w:line="360" w:lineRule="auto"/>
        <w:ind w:left="420" w:leftChars="200" w:firstLine="420" w:firstLineChars="20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评标委员会对合格的投标人的投标报价，进行详细分析、核准，检查其是否存在计算错误。评标委员会将按照本评标大纲的规定修正计算错误的投标报价，经投标人代表确认后，调整后的价格对投标人具有约束力。</w:t>
      </w:r>
      <w:r>
        <w:rPr>
          <w:rFonts w:hint="eastAsia" w:ascii="宋体" w:hAnsi="宋体" w:eastAsia="宋体" w:cs="宋体"/>
          <w:b/>
          <w:color w:val="auto"/>
          <w:kern w:val="0"/>
          <w:szCs w:val="21"/>
          <w:highlight w:val="none"/>
          <w:u w:val="single"/>
          <w:lang w:val="zh-CN"/>
        </w:rPr>
        <w:t>如果投标人不接受修正后的报价，则其投标将被拒绝，作为无效投标处理</w:t>
      </w:r>
      <w:r>
        <w:rPr>
          <w:rFonts w:hint="eastAsia" w:ascii="宋体" w:hAnsi="宋体" w:eastAsia="宋体" w:cs="宋体"/>
          <w:b/>
          <w:color w:val="auto"/>
          <w:kern w:val="0"/>
          <w:szCs w:val="21"/>
          <w:highlight w:val="none"/>
          <w:lang w:val="zh-CN"/>
        </w:rPr>
        <w:t>。</w:t>
      </w:r>
    </w:p>
    <w:p w14:paraId="5C36BBD7">
      <w:pPr>
        <w:autoSpaceDE w:val="0"/>
        <w:autoSpaceDN w:val="0"/>
        <w:adjustRightInd w:val="0"/>
        <w:spacing w:line="360" w:lineRule="auto"/>
        <w:ind w:left="420" w:leftChars="200" w:firstLine="420" w:firstLineChars="200"/>
        <w:rPr>
          <w:rFonts w:hint="eastAsia" w:ascii="宋体" w:hAnsi="宋体" w:eastAsia="宋体" w:cs="宋体"/>
          <w:b/>
          <w:color w:val="auto"/>
          <w:szCs w:val="24"/>
          <w:highlight w:val="none"/>
          <w:u w:val="single"/>
          <w:lang w:val="zh-CN"/>
        </w:rPr>
      </w:pPr>
      <w:r>
        <w:rPr>
          <w:rFonts w:hint="eastAsia" w:ascii="宋体" w:hAnsi="宋体" w:eastAsia="宋体" w:cs="宋体"/>
          <w:color w:val="auto"/>
          <w:szCs w:val="24"/>
          <w:highlight w:val="none"/>
          <w:lang w:val="zh-CN"/>
        </w:rPr>
        <w:t>若投标人出现超低报价，</w:t>
      </w:r>
      <w:r>
        <w:rPr>
          <w:rFonts w:hint="eastAsia" w:ascii="宋体" w:hAnsi="宋体" w:eastAsia="宋体" w:cs="宋体"/>
          <w:color w:val="auto"/>
          <w:kern w:val="0"/>
          <w:szCs w:val="21"/>
          <w:highlight w:val="none"/>
        </w:rPr>
        <w:t>有可能影响服务质量和不能诚信履约的，</w:t>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1"/>
          <w:highlight w:val="none"/>
          <w:lang w:val="zh-CN"/>
        </w:rPr>
        <w:t>将要求该投标人作出书面说明并提供相关证明材料，</w:t>
      </w:r>
      <w:r>
        <w:rPr>
          <w:rFonts w:hint="eastAsia" w:ascii="宋体" w:hAnsi="宋体" w:eastAsia="宋体" w:cs="宋体"/>
          <w:color w:val="auto"/>
          <w:szCs w:val="24"/>
          <w:highlight w:val="none"/>
          <w:lang w:val="zh-CN"/>
        </w:rPr>
        <w:t>以确定投标人是否以低于企业成本价报价。</w:t>
      </w:r>
      <w:r>
        <w:rPr>
          <w:rFonts w:hint="eastAsia" w:ascii="宋体" w:hAnsi="宋体" w:eastAsia="宋体" w:cs="宋体"/>
          <w:b/>
          <w:color w:val="auto"/>
          <w:szCs w:val="24"/>
          <w:highlight w:val="none"/>
          <w:u w:val="single"/>
          <w:lang w:val="zh-CN"/>
        </w:rPr>
        <w:t>若投标人不能合理说明或不能提供相关证明材料的，评标委员会将认定其投标报价低于成本，同时否决其投标。</w:t>
      </w:r>
    </w:p>
    <w:p w14:paraId="0219EAB9">
      <w:pPr>
        <w:spacing w:line="360" w:lineRule="auto"/>
        <w:ind w:left="420" w:leftChars="200" w:firstLine="422" w:firstLineChars="200"/>
        <w:rPr>
          <w:rFonts w:ascii="宋体" w:hAnsi="宋体" w:eastAsia="宋体" w:cs="宋体"/>
          <w:b/>
          <w:color w:val="auto"/>
          <w:kern w:val="0"/>
          <w:szCs w:val="21"/>
          <w:highlight w:val="none"/>
          <w:lang w:val="zh-CN"/>
        </w:rPr>
      </w:pPr>
      <w:r>
        <w:rPr>
          <w:rFonts w:hint="eastAsia" w:ascii="宋体" w:hAnsi="宋体" w:eastAsia="宋体" w:cs="宋体"/>
          <w:b/>
          <w:color w:val="auto"/>
          <w:kern w:val="0"/>
          <w:szCs w:val="21"/>
          <w:highlight w:val="none"/>
          <w:lang w:val="zh-CN"/>
        </w:rPr>
        <w:t>对是否低于企业成本价报价的事宜有争议的投标文件,评标委员会成员将以记名方式表决,根据少数服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多数的原则，获多数表决通过的投标人才有资格进入下一阶段的评审,否则将按无效投标处理。</w:t>
      </w:r>
    </w:p>
    <w:p w14:paraId="220F22C0">
      <w:pPr>
        <w:spacing w:line="360" w:lineRule="auto"/>
        <w:ind w:left="420" w:leftChars="200" w:firstLine="420" w:firstLineChars="200"/>
        <w:rPr>
          <w:rFonts w:ascii="宋体" w:hAnsi="宋体" w:eastAsia="宋体" w:cs="宋体"/>
          <w:color w:val="auto"/>
          <w:kern w:val="0"/>
          <w:szCs w:val="21"/>
          <w:highlight w:val="none"/>
          <w:lang w:val="zh-CN"/>
        </w:rPr>
      </w:pPr>
    </w:p>
    <w:p w14:paraId="62B2AD6B">
      <w:pPr>
        <w:spacing w:line="360" w:lineRule="auto"/>
        <w:ind w:left="418" w:leftChars="104" w:hanging="200" w:hangingChars="95"/>
        <w:rPr>
          <w:rFonts w:hint="eastAsia" w:ascii="宋体" w:hAnsi="宋体" w:eastAsia="宋体" w:cs="宋体"/>
          <w:b/>
          <w:bCs/>
          <w:color w:val="auto"/>
          <w:kern w:val="0"/>
          <w:szCs w:val="21"/>
          <w:highlight w:val="none"/>
          <w:lang w:val="zh-CN"/>
        </w:rPr>
      </w:pPr>
      <w:bookmarkStart w:id="907" w:name="_Toc13711"/>
      <w:r>
        <w:rPr>
          <w:rFonts w:hint="eastAsia" w:ascii="宋体" w:hAnsi="宋体" w:eastAsia="宋体" w:cs="宋体"/>
          <w:b/>
          <w:bCs/>
          <w:color w:val="auto"/>
          <w:kern w:val="0"/>
          <w:szCs w:val="21"/>
          <w:highlight w:val="none"/>
          <w:lang w:val="zh-CN"/>
        </w:rPr>
        <w:t>2）价格评分：总分</w:t>
      </w:r>
      <w:r>
        <w:rPr>
          <w:rFonts w:hint="eastAsia" w:ascii="宋体" w:hAnsi="宋体" w:eastAsia="宋体" w:cs="宋体"/>
          <w:b/>
          <w:bCs/>
          <w:color w:val="auto"/>
          <w:kern w:val="0"/>
          <w:szCs w:val="21"/>
          <w:highlight w:val="none"/>
          <w:lang w:val="en-US" w:eastAsia="zh-CN"/>
        </w:rPr>
        <w:t>60</w:t>
      </w:r>
      <w:r>
        <w:rPr>
          <w:rFonts w:hint="eastAsia" w:ascii="宋体" w:hAnsi="宋体" w:eastAsia="宋体" w:cs="宋体"/>
          <w:b/>
          <w:bCs/>
          <w:color w:val="auto"/>
          <w:kern w:val="0"/>
          <w:szCs w:val="21"/>
          <w:highlight w:val="none"/>
          <w:lang w:val="zh-CN"/>
        </w:rPr>
        <w:t>分</w:t>
      </w:r>
      <w:bookmarkEnd w:id="907"/>
    </w:p>
    <w:p w14:paraId="154B0B29">
      <w:pPr>
        <w:autoSpaceDN w:val="0"/>
        <w:adjustRightInd w:val="0"/>
        <w:snapToGrid w:val="0"/>
        <w:spacing w:line="360" w:lineRule="auto"/>
        <w:ind w:left="420" w:leftChars="100" w:hanging="210" w:hangingChars="10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A、根据有效投标人的投标报价，最低价作为基准价（Y）。投标人报价（X）等于基准价的得满分</w:t>
      </w:r>
      <w:r>
        <w:rPr>
          <w:rFonts w:hint="eastAsia" w:ascii="宋体" w:hAnsi="宋体" w:eastAsia="宋体" w:cs="宋体"/>
          <w:color w:val="auto"/>
          <w:kern w:val="0"/>
          <w:szCs w:val="21"/>
          <w:highlight w:val="none"/>
          <w:lang w:val="en-US" w:eastAsia="zh-CN"/>
        </w:rPr>
        <w:t>60</w:t>
      </w:r>
      <w:r>
        <w:rPr>
          <w:rFonts w:hint="eastAsia" w:ascii="宋体" w:hAnsi="宋体" w:eastAsia="宋体" w:cs="宋体"/>
          <w:color w:val="auto"/>
          <w:kern w:val="0"/>
          <w:szCs w:val="21"/>
          <w:highlight w:val="none"/>
        </w:rPr>
        <w:t>分，其他投标人的价格得分统一按照下列公式计算：</w:t>
      </w:r>
    </w:p>
    <w:p w14:paraId="0A022B8C">
      <w:pPr>
        <w:autoSpaceDN w:val="0"/>
        <w:adjustRightInd w:val="0"/>
        <w:snapToGrid w:val="0"/>
        <w:spacing w:line="360" w:lineRule="auto"/>
        <w:ind w:left="420" w:leftChars="100" w:hanging="210" w:hangingChars="100"/>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 xml:space="preserve">    价格得分=(基准价／投标报价)×</w:t>
      </w:r>
      <w:r>
        <w:rPr>
          <w:rFonts w:hint="eastAsia" w:ascii="宋体" w:hAnsi="宋体" w:eastAsia="宋体" w:cs="宋体"/>
          <w:color w:val="auto"/>
          <w:kern w:val="0"/>
          <w:szCs w:val="21"/>
          <w:highlight w:val="none"/>
          <w:lang w:val="en-US" w:eastAsia="zh-CN"/>
        </w:rPr>
        <w:t>60</w:t>
      </w:r>
    </w:p>
    <w:p w14:paraId="2B6A3736">
      <w:pPr>
        <w:autoSpaceDN w:val="0"/>
        <w:adjustRightInd w:val="0"/>
        <w:snapToGrid w:val="0"/>
        <w:spacing w:line="360" w:lineRule="auto"/>
        <w:ind w:firstLine="210" w:firstLineChars="1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B、分数出现小数点，保留小数点后2位，从小数点后第3位四舍五入。</w:t>
      </w:r>
    </w:p>
    <w:p w14:paraId="6AE80B36">
      <w:pPr>
        <w:tabs>
          <w:tab w:val="left" w:pos="585"/>
        </w:tabs>
        <w:autoSpaceDE w:val="0"/>
        <w:autoSpaceDN w:val="0"/>
        <w:adjustRightInd w:val="0"/>
        <w:spacing w:line="360" w:lineRule="auto"/>
        <w:rPr>
          <w:rFonts w:hint="eastAsia" w:ascii="宋体" w:hAnsi="宋体" w:eastAsia="宋体" w:cs="宋体"/>
          <w:b/>
          <w:color w:val="auto"/>
          <w:szCs w:val="21"/>
          <w:highlight w:val="none"/>
          <w:lang w:val="zh-CN"/>
        </w:rPr>
      </w:pPr>
      <w:bookmarkStart w:id="908" w:name="_Toc30909"/>
      <w:r>
        <w:rPr>
          <w:rFonts w:hint="eastAsia" w:ascii="宋体" w:hAnsi="宋体" w:eastAsia="宋体" w:cs="宋体"/>
          <w:b/>
          <w:color w:val="auto"/>
          <w:szCs w:val="21"/>
          <w:highlight w:val="none"/>
          <w:lang w:val="zh-CN"/>
        </w:rPr>
        <w:t>（4）综合得分</w:t>
      </w:r>
      <w:bookmarkEnd w:id="908"/>
    </w:p>
    <w:p w14:paraId="5D8E5738">
      <w:pPr>
        <w:spacing w:line="400" w:lineRule="exact"/>
        <w:ind w:firstLine="848" w:firstLineChars="404"/>
        <w:rPr>
          <w:rFonts w:ascii="宋体" w:hAnsi="宋体" w:eastAsia="宋体" w:cs="宋体"/>
          <w:color w:val="auto"/>
          <w:kern w:val="0"/>
          <w:szCs w:val="28"/>
          <w:highlight w:val="none"/>
          <w:lang w:val="zh-CN"/>
        </w:rPr>
      </w:pPr>
      <w:bookmarkStart w:id="909" w:name="_Toc31624_WPSOffice_Level2"/>
      <w:r>
        <w:rPr>
          <w:rFonts w:hint="eastAsia" w:ascii="宋体" w:hAnsi="宋体" w:eastAsia="宋体" w:cs="宋体"/>
          <w:color w:val="auto"/>
          <w:kern w:val="0"/>
          <w:szCs w:val="28"/>
          <w:highlight w:val="none"/>
          <w:lang w:val="zh-CN"/>
        </w:rPr>
        <w:t>评标总得分=F1＋F2＋……+Fn</w:t>
      </w:r>
      <w:bookmarkEnd w:id="909"/>
    </w:p>
    <w:p w14:paraId="3812A56C">
      <w:pPr>
        <w:widowControl/>
        <w:autoSpaceDE w:val="0"/>
        <w:autoSpaceDN w:val="0"/>
        <w:adjustRightInd w:val="0"/>
        <w:spacing w:line="400" w:lineRule="exact"/>
        <w:ind w:firstLine="840" w:firstLineChars="400"/>
        <w:jc w:val="left"/>
        <w:rPr>
          <w:rFonts w:ascii="宋体" w:hAnsi="宋体" w:eastAsia="宋体" w:cs="宋体"/>
          <w:color w:val="auto"/>
          <w:kern w:val="0"/>
          <w:szCs w:val="21"/>
          <w:highlight w:val="none"/>
        </w:rPr>
      </w:pPr>
      <w:bookmarkStart w:id="910" w:name="_Toc13236_WPSOffice_Level2"/>
      <w:r>
        <w:rPr>
          <w:rFonts w:hint="eastAsia" w:ascii="宋体" w:hAnsi="宋体" w:eastAsia="宋体" w:cs="宋体"/>
          <w:color w:val="auto"/>
          <w:kern w:val="0"/>
          <w:szCs w:val="21"/>
          <w:highlight w:val="none"/>
        </w:rPr>
        <w:t>F1、F2、……Fn分别为各项评分因素的得分</w:t>
      </w:r>
      <w:bookmarkEnd w:id="910"/>
      <w:r>
        <w:rPr>
          <w:rFonts w:hint="eastAsia" w:ascii="宋体" w:hAnsi="宋体" w:eastAsia="宋体" w:cs="宋体"/>
          <w:color w:val="auto"/>
          <w:kern w:val="0"/>
          <w:szCs w:val="21"/>
          <w:highlight w:val="none"/>
        </w:rPr>
        <w:t>。</w:t>
      </w:r>
    </w:p>
    <w:p w14:paraId="3EF0B56C">
      <w:pPr>
        <w:autoSpaceDE w:val="0"/>
        <w:autoSpaceDN w:val="0"/>
        <w:adjustRightInd w:val="0"/>
        <w:spacing w:line="360" w:lineRule="auto"/>
        <w:ind w:left="564" w:leftChars="1" w:hanging="562" w:hangingChars="200"/>
        <w:rPr>
          <w:rFonts w:ascii="宋体" w:hAnsi="宋体" w:eastAsia="宋体" w:cs="宋体"/>
          <w:b/>
          <w:bCs/>
          <w:color w:val="auto"/>
          <w:sz w:val="28"/>
          <w:szCs w:val="28"/>
          <w:highlight w:val="none"/>
        </w:rPr>
      </w:pPr>
    </w:p>
    <w:p w14:paraId="477D50CF">
      <w:pPr>
        <w:autoSpaceDE w:val="0"/>
        <w:autoSpaceDN w:val="0"/>
        <w:adjustRightInd w:val="0"/>
        <w:spacing w:line="360" w:lineRule="auto"/>
        <w:jc w:val="center"/>
        <w:outlineLvl w:val="2"/>
        <w:rPr>
          <w:rFonts w:ascii="宋体" w:hAnsi="宋体" w:eastAsia="宋体" w:cs="宋体"/>
          <w:b/>
          <w:bCs/>
          <w:color w:val="auto"/>
          <w:sz w:val="28"/>
          <w:szCs w:val="28"/>
          <w:highlight w:val="none"/>
        </w:rPr>
      </w:pPr>
      <w:bookmarkStart w:id="911" w:name="_Toc15932"/>
      <w:bookmarkStart w:id="912" w:name="_Toc27568"/>
      <w:bookmarkStart w:id="913" w:name="_Toc518_WPSOffice_Level1"/>
      <w:r>
        <w:rPr>
          <w:rFonts w:hint="eastAsia" w:ascii="宋体" w:hAnsi="宋体" w:eastAsia="宋体" w:cs="宋体"/>
          <w:b/>
          <w:bCs/>
          <w:color w:val="auto"/>
          <w:sz w:val="28"/>
          <w:szCs w:val="28"/>
          <w:highlight w:val="none"/>
          <w:lang w:val="zh-CN"/>
        </w:rPr>
        <w:t>五、推荐中标人</w:t>
      </w:r>
      <w:bookmarkEnd w:id="911"/>
      <w:bookmarkEnd w:id="912"/>
      <w:bookmarkEnd w:id="913"/>
    </w:p>
    <w:p w14:paraId="78AC7B4A">
      <w:pPr>
        <w:autoSpaceDE w:val="0"/>
        <w:autoSpaceDN w:val="0"/>
        <w:adjustRightInd w:val="0"/>
        <w:spacing w:line="360" w:lineRule="auto"/>
        <w:ind w:left="420" w:hanging="420" w:hangingChars="200"/>
        <w:jc w:val="left"/>
        <w:rPr>
          <w:rFonts w:ascii="宋体" w:hAnsi="宋体" w:eastAsia="宋体" w:cs="Times New Roman"/>
          <w:color w:val="auto"/>
          <w:kern w:val="0"/>
          <w:szCs w:val="21"/>
          <w:highlight w:val="none"/>
        </w:rPr>
      </w:pPr>
      <w:r>
        <w:rPr>
          <w:rFonts w:ascii="宋体" w:hAnsi="宋体" w:eastAsia="宋体" w:cs="宋体"/>
          <w:color w:val="auto"/>
          <w:kern w:val="0"/>
          <w:szCs w:val="21"/>
          <w:highlight w:val="none"/>
        </w:rPr>
        <w:t>13</w:t>
      </w:r>
      <w:r>
        <w:rPr>
          <w:rFonts w:hint="eastAsia" w:ascii="宋体" w:hAnsi="宋体" w:eastAsia="宋体" w:cs="宋体"/>
          <w:color w:val="auto"/>
          <w:kern w:val="0"/>
          <w:szCs w:val="21"/>
          <w:highlight w:val="none"/>
        </w:rPr>
        <w:t>、</w:t>
      </w:r>
      <w:r>
        <w:rPr>
          <w:rFonts w:hint="eastAsia" w:ascii="宋体" w:hAnsi="宋体" w:eastAsia="宋体" w:cs="Times New Roman"/>
          <w:color w:val="auto"/>
          <w:szCs w:val="24"/>
          <w:highlight w:val="none"/>
          <w:lang w:val="zh-CN"/>
        </w:rPr>
        <w:t>评标委员会按评审后得分由高到低顺序排列</w:t>
      </w:r>
      <w:r>
        <w:rPr>
          <w:rFonts w:hint="eastAsia" w:ascii="宋体" w:hAnsi="宋体" w:eastAsia="宋体" w:cs="Times New Roman"/>
          <w:color w:val="auto"/>
          <w:kern w:val="0"/>
          <w:szCs w:val="21"/>
          <w:highlight w:val="none"/>
        </w:rPr>
        <w:t>，并向招标人推荐最后综合得分最高的前二名投标人为中标候选人（最后综合得分排名第一、第二的投标人分别为第一、第二中标候选人），招标人将确定第一中标候选人为中标人。</w:t>
      </w:r>
    </w:p>
    <w:p w14:paraId="5C6303BD">
      <w:pPr>
        <w:autoSpaceDE w:val="0"/>
        <w:autoSpaceDN w:val="0"/>
        <w:adjustRightInd w:val="0"/>
        <w:spacing w:line="360" w:lineRule="auto"/>
        <w:ind w:left="420" w:leftChars="200" w:firstLine="420" w:firstLineChars="200"/>
        <w:jc w:val="left"/>
        <w:rPr>
          <w:rFonts w:ascii="宋体" w:hAnsi="宋体" w:eastAsia="宋体" w:cs="Times New Roman"/>
          <w:color w:val="auto"/>
          <w:kern w:val="0"/>
          <w:szCs w:val="24"/>
          <w:highlight w:val="none"/>
          <w:lang w:val="zh-CN"/>
        </w:rPr>
      </w:pPr>
      <w:r>
        <w:rPr>
          <w:rFonts w:hint="eastAsia" w:ascii="宋体" w:hAnsi="宋体" w:eastAsia="宋体" w:cs="Times New Roman"/>
          <w:color w:val="auto"/>
          <w:kern w:val="0"/>
          <w:szCs w:val="21"/>
          <w:highlight w:val="none"/>
        </w:rPr>
        <w:t>如果有两个或以上的投标人的最后综合得分相同，则在最后综合得分相同的投标人中按投标报价</w:t>
      </w:r>
      <w:r>
        <w:rPr>
          <w:rFonts w:hint="eastAsia" w:ascii="宋体" w:hAnsi="宋体" w:eastAsia="宋体" w:cs="Times New Roman"/>
          <w:color w:val="auto"/>
          <w:kern w:val="0"/>
          <w:szCs w:val="21"/>
          <w:highlight w:val="none"/>
          <w:lang w:val="zh-CN"/>
        </w:rPr>
        <w:t>由低到高顺序排出次序，报价低的排前，报价高的排后。</w:t>
      </w:r>
      <w:r>
        <w:rPr>
          <w:rFonts w:hint="eastAsia" w:ascii="宋体" w:hAnsi="宋体" w:eastAsia="宋体" w:cs="Times New Roman"/>
          <w:color w:val="auto"/>
          <w:kern w:val="0"/>
          <w:szCs w:val="21"/>
          <w:highlight w:val="none"/>
        </w:rPr>
        <w:t>如果出现投标人的最后综合得分及投标报价均相同时，则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14:paraId="4A2CC332">
      <w:pPr>
        <w:widowControl/>
        <w:spacing w:line="360" w:lineRule="auto"/>
        <w:jc w:val="left"/>
        <w:rPr>
          <w:rFonts w:ascii="宋体" w:hAnsi="宋体" w:eastAsia="宋体" w:cs="宋体"/>
          <w:color w:val="auto"/>
          <w:kern w:val="0"/>
          <w:szCs w:val="21"/>
          <w:highlight w:val="none"/>
        </w:rPr>
      </w:pPr>
    </w:p>
    <w:p w14:paraId="54A9A353">
      <w:pPr>
        <w:autoSpaceDE w:val="0"/>
        <w:autoSpaceDN w:val="0"/>
        <w:adjustRightInd w:val="0"/>
        <w:spacing w:line="360" w:lineRule="auto"/>
        <w:ind w:left="185" w:leftChars="88" w:firstLine="3443" w:firstLineChars="1225"/>
        <w:outlineLvl w:val="2"/>
        <w:rPr>
          <w:rFonts w:ascii="宋体" w:hAnsi="宋体" w:eastAsia="宋体" w:cs="宋体"/>
          <w:b/>
          <w:bCs/>
          <w:color w:val="auto"/>
          <w:sz w:val="28"/>
          <w:szCs w:val="28"/>
          <w:highlight w:val="none"/>
          <w:lang w:val="zh-CN"/>
        </w:rPr>
      </w:pPr>
      <w:bookmarkStart w:id="914" w:name="_Toc15125"/>
      <w:bookmarkStart w:id="915" w:name="_Toc22724_WPSOffice_Level1"/>
      <w:bookmarkStart w:id="916" w:name="_Toc23446"/>
      <w:r>
        <w:rPr>
          <w:rFonts w:hint="eastAsia" w:ascii="宋体" w:hAnsi="宋体" w:eastAsia="宋体" w:cs="宋体"/>
          <w:b/>
          <w:bCs/>
          <w:color w:val="auto"/>
          <w:sz w:val="28"/>
          <w:szCs w:val="28"/>
          <w:highlight w:val="none"/>
          <w:lang w:val="zh-CN"/>
        </w:rPr>
        <w:t>六、编写评标报告</w:t>
      </w:r>
      <w:bookmarkEnd w:id="914"/>
      <w:bookmarkEnd w:id="915"/>
      <w:bookmarkEnd w:id="916"/>
    </w:p>
    <w:p w14:paraId="68F6AB16">
      <w:pPr>
        <w:autoSpaceDE w:val="0"/>
        <w:autoSpaceDN w:val="0"/>
        <w:adjustRightInd w:val="0"/>
        <w:spacing w:line="360" w:lineRule="auto"/>
        <w:ind w:left="420" w:hanging="420" w:hangingChars="200"/>
        <w:jc w:val="left"/>
        <w:rPr>
          <w:rFonts w:ascii="宋体" w:hAnsi="宋体" w:eastAsia="宋体" w:cs="宋体"/>
          <w:b/>
          <w:bCs/>
          <w:color w:val="auto"/>
          <w:szCs w:val="32"/>
          <w:highlight w:val="none"/>
          <w:lang w:val="zh-CN"/>
        </w:rPr>
      </w:pPr>
      <w:r>
        <w:rPr>
          <w:rFonts w:hint="eastAsia" w:ascii="宋体" w:hAnsi="宋体" w:eastAsia="宋体" w:cs="宋体"/>
          <w:color w:val="auto"/>
          <w:szCs w:val="24"/>
          <w:highlight w:val="none"/>
          <w:lang w:val="zh-CN"/>
        </w:rPr>
        <w:t>1</w:t>
      </w:r>
      <w:r>
        <w:rPr>
          <w:rFonts w:ascii="宋体" w:hAnsi="宋体" w:eastAsia="宋体" w:cs="宋体"/>
          <w:color w:val="auto"/>
          <w:szCs w:val="24"/>
          <w:highlight w:val="none"/>
          <w:lang w:val="zh-CN"/>
        </w:rPr>
        <w:t>4</w:t>
      </w:r>
      <w:r>
        <w:rPr>
          <w:rFonts w:hint="eastAsia" w:ascii="宋体" w:hAnsi="宋体" w:eastAsia="宋体" w:cs="宋体"/>
          <w:color w:val="auto"/>
          <w:szCs w:val="24"/>
          <w:highlight w:val="none"/>
          <w:lang w:val="zh-CN"/>
        </w:rPr>
        <w:t>、评标委员会根据评审结果撰写评标报告。评标报告是评标委员会根据全体评标委员会成员签字的原始评审记录和评审结果编写的报告，其主要内容包括：</w:t>
      </w:r>
    </w:p>
    <w:p w14:paraId="5B318957">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（1）开标邀请时间、开标日期和地点；</w:t>
      </w:r>
    </w:p>
    <w:p w14:paraId="646B2682">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（2）投标人名单和评标委员会成员名单；</w:t>
      </w:r>
    </w:p>
    <w:p w14:paraId="25D19CF8">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（3）开标评审方法和标准；</w:t>
      </w:r>
    </w:p>
    <w:p w14:paraId="4FACABFE">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（4）开标评审记录和评审情况及说明，包括投标无效投标人名单及原因；</w:t>
      </w:r>
    </w:p>
    <w:p w14:paraId="0154C5DD">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（5）评审结果和中标候选投标人排序表；</w:t>
      </w:r>
    </w:p>
    <w:p w14:paraId="3B5BEFFF">
      <w:pPr>
        <w:autoSpaceDE w:val="0"/>
        <w:autoSpaceDN w:val="0"/>
        <w:adjustRightInd w:val="0"/>
        <w:spacing w:line="360" w:lineRule="auto"/>
        <w:jc w:val="left"/>
        <w:rPr>
          <w:rFonts w:ascii="宋体" w:hAnsi="宋体" w:eastAsia="宋体" w:cs="宋体"/>
          <w:color w:val="auto"/>
          <w:szCs w:val="24"/>
          <w:highlight w:val="none"/>
          <w:lang w:val="zh-CN"/>
        </w:rPr>
      </w:pPr>
      <w:r>
        <w:rPr>
          <w:rFonts w:hint="eastAsia" w:ascii="宋体" w:hAnsi="宋体" w:eastAsia="宋体" w:cs="宋体"/>
          <w:color w:val="auto"/>
          <w:kern w:val="0"/>
          <w:szCs w:val="24"/>
          <w:highlight w:val="none"/>
          <w:lang w:val="zh-CN"/>
        </w:rPr>
        <w:t>（6）评标委员会的推荐</w:t>
      </w:r>
      <w:r>
        <w:rPr>
          <w:rFonts w:hint="eastAsia" w:ascii="宋体" w:hAnsi="宋体" w:eastAsia="宋体" w:cs="宋体"/>
          <w:color w:val="auto"/>
          <w:szCs w:val="24"/>
          <w:highlight w:val="none"/>
          <w:lang w:val="zh-CN"/>
        </w:rPr>
        <w:t>建议。</w:t>
      </w:r>
    </w:p>
    <w:p w14:paraId="567C0249">
      <w:pPr>
        <w:autoSpaceDE w:val="0"/>
        <w:autoSpaceDN w:val="0"/>
        <w:adjustRightInd w:val="0"/>
        <w:spacing w:line="360" w:lineRule="auto"/>
        <w:jc w:val="center"/>
        <w:rPr>
          <w:rFonts w:ascii="宋体" w:hAnsi="宋体" w:eastAsia="宋体" w:cs="宋体"/>
          <w:b/>
          <w:bCs/>
          <w:color w:val="auto"/>
          <w:sz w:val="28"/>
          <w:szCs w:val="28"/>
          <w:highlight w:val="none"/>
          <w:lang w:val="zh-CN"/>
        </w:rPr>
      </w:pPr>
    </w:p>
    <w:p w14:paraId="01056E83">
      <w:pPr>
        <w:autoSpaceDE w:val="0"/>
        <w:autoSpaceDN w:val="0"/>
        <w:adjustRightInd w:val="0"/>
        <w:spacing w:line="360" w:lineRule="auto"/>
        <w:jc w:val="center"/>
        <w:outlineLvl w:val="2"/>
        <w:rPr>
          <w:rFonts w:ascii="宋体" w:hAnsi="宋体" w:eastAsia="宋体" w:cs="宋体"/>
          <w:b/>
          <w:bCs/>
          <w:color w:val="auto"/>
          <w:sz w:val="30"/>
          <w:szCs w:val="30"/>
          <w:highlight w:val="none"/>
          <w:lang w:val="zh-CN"/>
        </w:rPr>
      </w:pPr>
      <w:bookmarkStart w:id="917" w:name="_Toc23773_WPSOffice_Level1"/>
      <w:bookmarkStart w:id="918" w:name="_Toc20261"/>
      <w:bookmarkStart w:id="919" w:name="_Toc31518"/>
      <w:r>
        <w:rPr>
          <w:rFonts w:hint="eastAsia" w:ascii="宋体" w:hAnsi="宋体" w:eastAsia="宋体" w:cs="宋体"/>
          <w:b/>
          <w:bCs/>
          <w:color w:val="auto"/>
          <w:sz w:val="28"/>
          <w:szCs w:val="28"/>
          <w:highlight w:val="none"/>
          <w:lang w:val="zh-CN"/>
        </w:rPr>
        <w:t>七、注意事项</w:t>
      </w:r>
      <w:bookmarkEnd w:id="917"/>
      <w:bookmarkEnd w:id="918"/>
      <w:bookmarkEnd w:id="919"/>
    </w:p>
    <w:p w14:paraId="124DB50D">
      <w:pPr>
        <w:autoSpaceDE w:val="0"/>
        <w:autoSpaceDN w:val="0"/>
        <w:adjustRightInd w:val="0"/>
        <w:spacing w:line="360" w:lineRule="auto"/>
        <w:ind w:left="420" w:hanging="420" w:hanging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w:t>
      </w:r>
      <w:r>
        <w:rPr>
          <w:rFonts w:ascii="宋体" w:hAnsi="宋体" w:eastAsia="宋体" w:cs="宋体"/>
          <w:color w:val="auto"/>
          <w:szCs w:val="24"/>
          <w:highlight w:val="none"/>
          <w:lang w:val="zh-CN"/>
        </w:rPr>
        <w:t>5</w:t>
      </w:r>
      <w:r>
        <w:rPr>
          <w:rFonts w:hint="eastAsia" w:ascii="宋体" w:hAnsi="宋体" w:eastAsia="宋体" w:cs="宋体"/>
          <w:color w:val="auto"/>
          <w:szCs w:val="24"/>
          <w:highlight w:val="none"/>
          <w:lang w:val="zh-CN"/>
        </w:rPr>
        <w:t>、为确保评审工作的顺利进行，防止因泄密或其它意外而造成的不良后果及影响，凡参加评审工作的人员都必须认真执行本规定：</w:t>
      </w:r>
    </w:p>
    <w:p w14:paraId="6C23AAA8">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（1）在评审工作期间，所有分发的投标文件、资料等仅限于在评审场所中使用，不得带往其它地方，所有的招标文件、投标文件、资料等一律编号登记；</w:t>
      </w:r>
    </w:p>
    <w:p w14:paraId="5D921D45">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bookmarkStart w:id="920" w:name="_Toc31623"/>
      <w:r>
        <w:rPr>
          <w:rFonts w:hint="eastAsia" w:ascii="宋体" w:hAnsi="宋体" w:eastAsia="宋体" w:cs="宋体"/>
          <w:color w:val="auto"/>
          <w:szCs w:val="24"/>
          <w:highlight w:val="none"/>
          <w:lang w:val="zh-CN"/>
        </w:rPr>
        <w:t>（2）评审人员及工作人员不得在公共场合谈论有关评审内容；</w:t>
      </w:r>
      <w:bookmarkEnd w:id="920"/>
    </w:p>
    <w:p w14:paraId="3582C4D9">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14:paraId="4383D171">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w:t>
      </w:r>
      <w:r>
        <w:rPr>
          <w:rFonts w:hint="eastAsia" w:ascii="宋体" w:hAnsi="宋体" w:eastAsia="宋体" w:cs="宋体"/>
          <w:color w:val="auto"/>
          <w:szCs w:val="24"/>
          <w:highlight w:val="none"/>
          <w:lang w:val="en-US" w:eastAsia="zh-CN"/>
        </w:rPr>
        <w:t>如有需要举行</w:t>
      </w:r>
      <w:r>
        <w:rPr>
          <w:rFonts w:hint="eastAsia" w:ascii="宋体" w:hAnsi="宋体" w:eastAsia="宋体" w:cs="宋体"/>
          <w:color w:val="auto"/>
          <w:szCs w:val="24"/>
          <w:highlight w:val="none"/>
          <w:lang w:val="zh-CN"/>
        </w:rPr>
        <w:t>澄清会</w:t>
      </w:r>
      <w:r>
        <w:rPr>
          <w:rFonts w:hint="eastAsia" w:ascii="宋体" w:hAnsi="宋体" w:eastAsia="宋体" w:cs="宋体"/>
          <w:color w:val="auto"/>
          <w:szCs w:val="24"/>
          <w:highlight w:val="none"/>
          <w:lang w:val="en-US" w:eastAsia="zh-CN"/>
        </w:rPr>
        <w:t>，</w:t>
      </w:r>
      <w:r>
        <w:rPr>
          <w:rFonts w:hint="eastAsia" w:ascii="宋体" w:hAnsi="宋体" w:eastAsia="宋体" w:cs="宋体"/>
          <w:color w:val="auto"/>
          <w:szCs w:val="24"/>
          <w:highlight w:val="none"/>
          <w:lang w:val="zh-CN"/>
        </w:rPr>
        <w:t>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14:paraId="4897765D">
      <w:pPr>
        <w:widowControl/>
        <w:autoSpaceDE w:val="0"/>
        <w:autoSpaceDN w:val="0"/>
        <w:adjustRightInd w:val="0"/>
        <w:spacing w:line="360" w:lineRule="auto"/>
        <w:ind w:left="436" w:leftChars="-59" w:hanging="560" w:hangingChars="267"/>
        <w:jc w:val="left"/>
        <w:rPr>
          <w:rFonts w:ascii="宋体" w:hAnsi="宋体" w:eastAsia="宋体" w:cs="宋体"/>
          <w:color w:val="auto"/>
          <w:szCs w:val="24"/>
          <w:highlight w:val="none"/>
          <w:lang w:val="zh-CN"/>
        </w:rPr>
      </w:pPr>
      <w:bookmarkStart w:id="921" w:name="_Toc5933"/>
      <w:r>
        <w:rPr>
          <w:rFonts w:hint="eastAsia" w:ascii="宋体" w:hAnsi="宋体" w:eastAsia="宋体" w:cs="宋体"/>
          <w:color w:val="auto"/>
          <w:szCs w:val="24"/>
          <w:highlight w:val="none"/>
          <w:lang w:val="zh-CN"/>
        </w:rPr>
        <w:t>（5）任何评审人员和工作人员不得对外公布评审的一切内容。</w:t>
      </w:r>
      <w:bookmarkEnd w:id="825"/>
      <w:bookmarkEnd w:id="846"/>
      <w:bookmarkEnd w:id="847"/>
      <w:bookmarkEnd w:id="848"/>
      <w:bookmarkEnd w:id="921"/>
    </w:p>
    <w:sectPr>
      <w:pgSz w:w="12240" w:h="15840"/>
      <w:pgMar w:top="1191" w:right="1043" w:bottom="1191" w:left="1043" w:header="720" w:footer="720" w:gutter="0"/>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ˎ̥">
    <w:altName w:val="Times New Roman"/>
    <w:panose1 w:val="00000000000000000000"/>
    <w:charset w:val="01"/>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FrutigerNext LT Light">
    <w:altName w:val="宋体"/>
    <w:panose1 w:val="00000000000000000000"/>
    <w:charset w:val="86"/>
    <w:family w:val="swiss"/>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765D59">
    <w:pPr>
      <w:pStyle w:val="25"/>
      <w:jc w:val="center"/>
    </w:pPr>
    <w:r>
      <w:rPr>
        <w:rFonts w:hint="eastAsia"/>
      </w:rPr>
      <w:t>第</w:t>
    </w:r>
    <w:r>
      <w:rPr>
        <w:bCs/>
      </w:rPr>
      <w:fldChar w:fldCharType="begin"/>
    </w:r>
    <w:r>
      <w:rPr>
        <w:bCs/>
      </w:rPr>
      <w:instrText xml:space="preserve">PAGE</w:instrText>
    </w:r>
    <w:r>
      <w:rPr>
        <w:bCs/>
      </w:rPr>
      <w:fldChar w:fldCharType="separate"/>
    </w:r>
    <w:r>
      <w:rPr>
        <w:bCs/>
      </w:rPr>
      <w:t>25</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08F43A">
    <w:pPr>
      <w:pStyle w:val="25"/>
      <w:jc w:val="center"/>
    </w:pPr>
    <w:r>
      <w:rPr>
        <w:rFonts w:hint="eastAsia"/>
      </w:rPr>
      <w:t>第</w:t>
    </w:r>
    <w:r>
      <w:rPr>
        <w:bCs/>
      </w:rPr>
      <w:fldChar w:fldCharType="begin"/>
    </w:r>
    <w:r>
      <w:rPr>
        <w:bCs/>
      </w:rPr>
      <w:instrText xml:space="preserve">PAGE</w:instrText>
    </w:r>
    <w:r>
      <w:rPr>
        <w:bCs/>
      </w:rPr>
      <w:fldChar w:fldCharType="separate"/>
    </w:r>
    <w:r>
      <w:rPr>
        <w:bCs/>
      </w:rPr>
      <w:t>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3822F">
    <w:pPr>
      <w:pStyle w:val="25"/>
      <w:jc w:val="center"/>
    </w:pPr>
    <w:r>
      <w:rPr>
        <w:rFonts w:hint="eastAsia"/>
      </w:rPr>
      <w:t>第</w:t>
    </w:r>
    <w:r>
      <w:rPr>
        <w:bCs/>
      </w:rPr>
      <w:fldChar w:fldCharType="begin"/>
    </w:r>
    <w:r>
      <w:rPr>
        <w:bCs/>
      </w:rPr>
      <w:instrText xml:space="preserve">PAGE</w:instrText>
    </w:r>
    <w:r>
      <w:rPr>
        <w:bCs/>
      </w:rPr>
      <w:fldChar w:fldCharType="separate"/>
    </w:r>
    <w:r>
      <w:rPr>
        <w:bCs/>
      </w:rPr>
      <w:t>25</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FE776E">
    <w:pPr>
      <w:pStyle w:val="25"/>
      <w:jc w:val="center"/>
    </w:pPr>
    <w:r>
      <w:rPr>
        <w:rFonts w:hint="eastAsia"/>
      </w:rPr>
      <w:t>第</w:t>
    </w:r>
    <w:r>
      <w:rPr>
        <w:bCs/>
      </w:rPr>
      <w:fldChar w:fldCharType="begin"/>
    </w:r>
    <w:r>
      <w:rPr>
        <w:bCs/>
      </w:rPr>
      <w:instrText xml:space="preserve">PAGE</w:instrText>
    </w:r>
    <w:r>
      <w:rPr>
        <w:bCs/>
      </w:rPr>
      <w:fldChar w:fldCharType="separate"/>
    </w:r>
    <w:r>
      <w:rPr>
        <w:bCs/>
      </w:rPr>
      <w:t>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168F2">
    <w:pPr>
      <w:pStyle w:val="25"/>
      <w:jc w:val="center"/>
    </w:pPr>
    <w:r>
      <w:rPr>
        <w:rFonts w:hint="eastAsia"/>
      </w:rPr>
      <w:t>第</w:t>
    </w:r>
    <w:r>
      <w:rPr>
        <w:bCs/>
      </w:rPr>
      <w:fldChar w:fldCharType="begin"/>
    </w:r>
    <w:r>
      <w:rPr>
        <w:bCs/>
      </w:rPr>
      <w:instrText xml:space="preserve">PAGE</w:instrText>
    </w:r>
    <w:r>
      <w:rPr>
        <w:bCs/>
      </w:rPr>
      <w:fldChar w:fldCharType="separate"/>
    </w:r>
    <w:r>
      <w:rPr>
        <w:bCs/>
      </w:rPr>
      <w:t>40</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40</w:t>
    </w:r>
    <w:r>
      <w:rPr>
        <w:bCs/>
      </w:rPr>
      <w:fldChar w:fldCharType="end"/>
    </w:r>
    <w:r>
      <w:rPr>
        <w:rFonts w:hint="eastAsia"/>
        <w:bCs/>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745F4">
    <w:pPr>
      <w:pStyle w:val="25"/>
      <w:jc w:val="center"/>
    </w:pPr>
    <w:r>
      <w:rPr>
        <w:rFonts w:hint="eastAsia"/>
      </w:rPr>
      <w:t>第</w:t>
    </w:r>
    <w:r>
      <w:rPr>
        <w:bCs/>
      </w:rPr>
      <w:fldChar w:fldCharType="begin"/>
    </w:r>
    <w:r>
      <w:rPr>
        <w:bCs/>
      </w:rPr>
      <w:instrText xml:space="preserve">PAGE</w:instrText>
    </w:r>
    <w:r>
      <w:rPr>
        <w:bCs/>
      </w:rPr>
      <w:fldChar w:fldCharType="separate"/>
    </w:r>
    <w:r>
      <w:rPr>
        <w:bCs/>
      </w:rPr>
      <w:t>49</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49</w:t>
    </w:r>
    <w:r>
      <w:rPr>
        <w:bCs/>
      </w:rPr>
      <w:fldChar w:fldCharType="end"/>
    </w:r>
    <w:r>
      <w:rPr>
        <w:rFonts w:hint="eastAsia"/>
        <w:bCs/>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AC62A">
    <w:pPr>
      <w:pStyle w:val="25"/>
      <w:jc w:val="center"/>
    </w:pPr>
    <w:r>
      <w:rPr>
        <w:rFonts w:hint="eastAsia"/>
      </w:rPr>
      <w:t>第</w:t>
    </w: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66</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 xml:space="preserve">NUMPAGES</w:instrText>
    </w:r>
    <w:r>
      <w:rPr>
        <w:bCs/>
        <w:sz w:val="24"/>
        <w:szCs w:val="24"/>
      </w:rPr>
      <w:fldChar w:fldCharType="separate"/>
    </w:r>
    <w:r>
      <w:rPr>
        <w:bCs/>
      </w:rPr>
      <w:t>68</w:t>
    </w:r>
    <w:r>
      <w:rPr>
        <w:bCs/>
        <w:sz w:val="24"/>
        <w:szCs w:val="24"/>
      </w:rPr>
      <w:fldChar w:fldCharType="end"/>
    </w:r>
    <w:r>
      <w:rPr>
        <w:b/>
        <w:bCs/>
        <w:sz w:val="24"/>
        <w:szCs w:val="24"/>
      </w:rPr>
      <w:t xml:space="preserve"> </w:t>
    </w:r>
    <w:r>
      <w:rPr>
        <w:rFonts w:hint="eastAsia"/>
      </w:rPr>
      <w:t>页</w:t>
    </w:r>
  </w:p>
  <w:p w14:paraId="4AB1E255">
    <w:pPr>
      <w:pStyle w:val="2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86CE53"/>
    <w:multiLevelType w:val="multilevel"/>
    <w:tmpl w:val="A586CE53"/>
    <w:lvl w:ilvl="0" w:tentative="0">
      <w:start w:val="2"/>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D559ACA6"/>
    <w:multiLevelType w:val="singleLevel"/>
    <w:tmpl w:val="D559ACA6"/>
    <w:lvl w:ilvl="0" w:tentative="0">
      <w:start w:val="3"/>
      <w:numFmt w:val="chineseCounting"/>
      <w:suff w:val="space"/>
      <w:lvlText w:val="第%1篇"/>
      <w:lvlJc w:val="left"/>
      <w:rPr>
        <w:rFonts w:hint="eastAsia"/>
      </w:rPr>
    </w:lvl>
  </w:abstractNum>
  <w:abstractNum w:abstractNumId="2">
    <w:nsid w:val="1DDB1BC2"/>
    <w:multiLevelType w:val="multilevel"/>
    <w:tmpl w:val="1DDB1BC2"/>
    <w:lvl w:ilvl="0" w:tentative="0">
      <w:start w:val="1"/>
      <w:numFmt w:val="decimal"/>
      <w:lvlText w:val="2.%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F8D6FBB"/>
    <w:multiLevelType w:val="multilevel"/>
    <w:tmpl w:val="2F8D6FBB"/>
    <w:lvl w:ilvl="0" w:tentative="0">
      <w:start w:val="1"/>
      <w:numFmt w:val="decimal"/>
      <w:lvlText w:val="%1."/>
      <w:legacy w:legacy="1" w:legacySpace="0" w:legacyIndent="360"/>
      <w:lvlJc w:val="left"/>
      <w:rPr>
        <w:rFonts w:hint="eastAsia" w:ascii="宋体" w:hAnsi="宋体" w:eastAsia="宋体"/>
      </w:rPr>
    </w:lvl>
    <w:lvl w:ilvl="1" w:tentative="0">
      <w:start w:val="5"/>
      <w:numFmt w:val="decimal"/>
      <w:isLgl/>
      <w:lvlText w:val="%1.%2"/>
      <w:lvlJc w:val="left"/>
      <w:pPr>
        <w:tabs>
          <w:tab w:val="left" w:pos="0"/>
        </w:tabs>
        <w:ind w:left="0" w:firstLine="0"/>
      </w:pPr>
      <w:rPr>
        <w:rFonts w:hint="default"/>
      </w:rPr>
    </w:lvl>
    <w:lvl w:ilvl="2" w:tentative="0">
      <w:start w:val="1"/>
      <w:numFmt w:val="decimal"/>
      <w:isLgl/>
      <w:lvlText w:val="%1.%2.%3"/>
      <w:lvlJc w:val="left"/>
      <w:pPr>
        <w:tabs>
          <w:tab w:val="left" w:pos="0"/>
        </w:tabs>
        <w:ind w:left="0" w:firstLine="0"/>
      </w:pPr>
      <w:rPr>
        <w:rFonts w:hint="default"/>
      </w:rPr>
    </w:lvl>
    <w:lvl w:ilvl="3" w:tentative="0">
      <w:start w:val="1"/>
      <w:numFmt w:val="decimal"/>
      <w:isLgl/>
      <w:lvlText w:val="%1.%2.%3.%4"/>
      <w:lvlJc w:val="left"/>
      <w:pPr>
        <w:tabs>
          <w:tab w:val="left" w:pos="0"/>
        </w:tabs>
        <w:ind w:left="0" w:firstLine="0"/>
      </w:pPr>
      <w:rPr>
        <w:rFonts w:hint="default"/>
      </w:rPr>
    </w:lvl>
    <w:lvl w:ilvl="4" w:tentative="0">
      <w:start w:val="1"/>
      <w:numFmt w:val="decimal"/>
      <w:isLgl/>
      <w:lvlText w:val="%1.%2.%3.%4.%5"/>
      <w:lvlJc w:val="left"/>
      <w:pPr>
        <w:tabs>
          <w:tab w:val="left" w:pos="0"/>
        </w:tabs>
        <w:ind w:left="0" w:firstLine="0"/>
      </w:pPr>
      <w:rPr>
        <w:rFonts w:hint="default"/>
      </w:rPr>
    </w:lvl>
    <w:lvl w:ilvl="5" w:tentative="0">
      <w:start w:val="1"/>
      <w:numFmt w:val="decimal"/>
      <w:isLgl/>
      <w:lvlText w:val="%1.%2.%3.%4.%5.%6"/>
      <w:lvlJc w:val="left"/>
      <w:pPr>
        <w:tabs>
          <w:tab w:val="left" w:pos="0"/>
        </w:tabs>
        <w:ind w:left="0" w:firstLine="0"/>
      </w:pPr>
      <w:rPr>
        <w:rFonts w:hint="default"/>
      </w:rPr>
    </w:lvl>
    <w:lvl w:ilvl="6" w:tentative="0">
      <w:start w:val="1"/>
      <w:numFmt w:val="decimal"/>
      <w:isLgl/>
      <w:lvlText w:val="%1.%2.%3.%4.%5.%6.%7"/>
      <w:lvlJc w:val="left"/>
      <w:pPr>
        <w:tabs>
          <w:tab w:val="left" w:pos="0"/>
        </w:tabs>
        <w:ind w:left="0" w:firstLine="0"/>
      </w:pPr>
      <w:rPr>
        <w:rFonts w:hint="default"/>
      </w:rPr>
    </w:lvl>
    <w:lvl w:ilvl="7" w:tentative="0">
      <w:start w:val="1"/>
      <w:numFmt w:val="decimal"/>
      <w:isLgl/>
      <w:lvlText w:val="%1.%2.%3.%4.%5.%6.%7.%8"/>
      <w:lvlJc w:val="left"/>
      <w:pPr>
        <w:tabs>
          <w:tab w:val="left" w:pos="0"/>
        </w:tabs>
        <w:ind w:left="0" w:firstLine="0"/>
      </w:pPr>
      <w:rPr>
        <w:rFonts w:hint="default"/>
      </w:rPr>
    </w:lvl>
    <w:lvl w:ilvl="8" w:tentative="0">
      <w:start w:val="1"/>
      <w:numFmt w:val="decimal"/>
      <w:isLgl/>
      <w:lvlText w:val="%1.%2.%3.%4.%5.%6.%7.%8.%9"/>
      <w:lvlJc w:val="left"/>
      <w:pPr>
        <w:tabs>
          <w:tab w:val="left" w:pos="0"/>
        </w:tabs>
        <w:ind w:left="0" w:firstLine="0"/>
      </w:pPr>
      <w:rPr>
        <w:rFonts w:hint="default"/>
      </w:rPr>
    </w:lvl>
  </w:abstractNum>
  <w:abstractNum w:abstractNumId="4">
    <w:nsid w:val="442A3BA7"/>
    <w:multiLevelType w:val="multilevel"/>
    <w:tmpl w:val="442A3BA7"/>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5BD1F1B"/>
    <w:multiLevelType w:val="singleLevel"/>
    <w:tmpl w:val="75BD1F1B"/>
    <w:lvl w:ilvl="0" w:tentative="0">
      <w:start w:val="4"/>
      <w:numFmt w:val="decimal"/>
      <w:suff w:val="nothing"/>
      <w:lvlText w:val="%1）"/>
      <w:lvlJc w:val="left"/>
    </w:lvl>
  </w:abstractNum>
  <w:num w:numId="1">
    <w:abstractNumId w:val="4"/>
  </w:num>
  <w:num w:numId="2">
    <w:abstractNumId w:val="2"/>
  </w:num>
  <w:num w:numId="3">
    <w:abstractNumId w:val="5"/>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wOTM4ZjA0NmRiMjc0NzIwZTgzYjlmMWFlYzk4ODkifQ=="/>
  </w:docVars>
  <w:rsids>
    <w:rsidRoot w:val="001E63B6"/>
    <w:rsid w:val="000011AE"/>
    <w:rsid w:val="00004430"/>
    <w:rsid w:val="00006AEC"/>
    <w:rsid w:val="00015A2E"/>
    <w:rsid w:val="000245A6"/>
    <w:rsid w:val="0002570D"/>
    <w:rsid w:val="00027708"/>
    <w:rsid w:val="00035595"/>
    <w:rsid w:val="00040BE6"/>
    <w:rsid w:val="00040F92"/>
    <w:rsid w:val="00046C4B"/>
    <w:rsid w:val="00052FA1"/>
    <w:rsid w:val="00054A52"/>
    <w:rsid w:val="00054D9C"/>
    <w:rsid w:val="000622F9"/>
    <w:rsid w:val="000640CD"/>
    <w:rsid w:val="000768C6"/>
    <w:rsid w:val="000770B9"/>
    <w:rsid w:val="0008097F"/>
    <w:rsid w:val="00084D8D"/>
    <w:rsid w:val="000853A8"/>
    <w:rsid w:val="00086BE3"/>
    <w:rsid w:val="00094AF8"/>
    <w:rsid w:val="000A31BD"/>
    <w:rsid w:val="000A34F7"/>
    <w:rsid w:val="000A65CD"/>
    <w:rsid w:val="000A73D7"/>
    <w:rsid w:val="000B4B09"/>
    <w:rsid w:val="000C1661"/>
    <w:rsid w:val="000C18B7"/>
    <w:rsid w:val="000C5D06"/>
    <w:rsid w:val="000C6A11"/>
    <w:rsid w:val="000D0B5D"/>
    <w:rsid w:val="000D5537"/>
    <w:rsid w:val="000D75D3"/>
    <w:rsid w:val="000E3ECA"/>
    <w:rsid w:val="000E4A4F"/>
    <w:rsid w:val="000E4D54"/>
    <w:rsid w:val="000F0A84"/>
    <w:rsid w:val="001059DC"/>
    <w:rsid w:val="0010738F"/>
    <w:rsid w:val="0011440A"/>
    <w:rsid w:val="00114519"/>
    <w:rsid w:val="001233ED"/>
    <w:rsid w:val="00127946"/>
    <w:rsid w:val="00131E91"/>
    <w:rsid w:val="001450A8"/>
    <w:rsid w:val="001523C0"/>
    <w:rsid w:val="00152F07"/>
    <w:rsid w:val="0015711A"/>
    <w:rsid w:val="001644BA"/>
    <w:rsid w:val="001647C7"/>
    <w:rsid w:val="00165203"/>
    <w:rsid w:val="00166309"/>
    <w:rsid w:val="00170004"/>
    <w:rsid w:val="00174AE6"/>
    <w:rsid w:val="001758D3"/>
    <w:rsid w:val="00177B51"/>
    <w:rsid w:val="0018078B"/>
    <w:rsid w:val="00183284"/>
    <w:rsid w:val="00183344"/>
    <w:rsid w:val="0019682B"/>
    <w:rsid w:val="001A1FCB"/>
    <w:rsid w:val="001B74B3"/>
    <w:rsid w:val="001C2086"/>
    <w:rsid w:val="001C4AC2"/>
    <w:rsid w:val="001C6FAA"/>
    <w:rsid w:val="001D00B3"/>
    <w:rsid w:val="001D5A65"/>
    <w:rsid w:val="001D6B15"/>
    <w:rsid w:val="001E4158"/>
    <w:rsid w:val="001E6227"/>
    <w:rsid w:val="001E63B6"/>
    <w:rsid w:val="001E6DD8"/>
    <w:rsid w:val="001F0290"/>
    <w:rsid w:val="001F6A01"/>
    <w:rsid w:val="00202DB9"/>
    <w:rsid w:val="00215B7A"/>
    <w:rsid w:val="00223D5B"/>
    <w:rsid w:val="0022528C"/>
    <w:rsid w:val="002258BB"/>
    <w:rsid w:val="00225B7D"/>
    <w:rsid w:val="002260FC"/>
    <w:rsid w:val="002315B7"/>
    <w:rsid w:val="002347FE"/>
    <w:rsid w:val="0024360C"/>
    <w:rsid w:val="002451A7"/>
    <w:rsid w:val="00247373"/>
    <w:rsid w:val="00260C05"/>
    <w:rsid w:val="00261575"/>
    <w:rsid w:val="00262407"/>
    <w:rsid w:val="00275E0E"/>
    <w:rsid w:val="0028146F"/>
    <w:rsid w:val="002831F6"/>
    <w:rsid w:val="00290CBF"/>
    <w:rsid w:val="0029590E"/>
    <w:rsid w:val="002A3EB3"/>
    <w:rsid w:val="002B1734"/>
    <w:rsid w:val="002B5DBC"/>
    <w:rsid w:val="002B7423"/>
    <w:rsid w:val="002B7CA9"/>
    <w:rsid w:val="002C4A4A"/>
    <w:rsid w:val="002D0003"/>
    <w:rsid w:val="002D1442"/>
    <w:rsid w:val="002E4079"/>
    <w:rsid w:val="002F68EE"/>
    <w:rsid w:val="002F7DEF"/>
    <w:rsid w:val="003014E2"/>
    <w:rsid w:val="00302D85"/>
    <w:rsid w:val="0030753D"/>
    <w:rsid w:val="00311DA1"/>
    <w:rsid w:val="003121B1"/>
    <w:rsid w:val="0031709C"/>
    <w:rsid w:val="003223D5"/>
    <w:rsid w:val="00322AA4"/>
    <w:rsid w:val="00325EF0"/>
    <w:rsid w:val="00326230"/>
    <w:rsid w:val="00326290"/>
    <w:rsid w:val="00330DA7"/>
    <w:rsid w:val="00332C2D"/>
    <w:rsid w:val="00335872"/>
    <w:rsid w:val="003462FF"/>
    <w:rsid w:val="00347A73"/>
    <w:rsid w:val="00347CB0"/>
    <w:rsid w:val="00352495"/>
    <w:rsid w:val="00353707"/>
    <w:rsid w:val="00354BE6"/>
    <w:rsid w:val="0035524D"/>
    <w:rsid w:val="00357E51"/>
    <w:rsid w:val="003628C2"/>
    <w:rsid w:val="00364854"/>
    <w:rsid w:val="00366BB7"/>
    <w:rsid w:val="003721DF"/>
    <w:rsid w:val="003748D5"/>
    <w:rsid w:val="0037694B"/>
    <w:rsid w:val="00381E11"/>
    <w:rsid w:val="003824D1"/>
    <w:rsid w:val="00393CBD"/>
    <w:rsid w:val="00395C76"/>
    <w:rsid w:val="003A2B25"/>
    <w:rsid w:val="003A5520"/>
    <w:rsid w:val="003B077B"/>
    <w:rsid w:val="003B3342"/>
    <w:rsid w:val="003B5C9C"/>
    <w:rsid w:val="003C193B"/>
    <w:rsid w:val="003D0D72"/>
    <w:rsid w:val="003D17A4"/>
    <w:rsid w:val="003D39E2"/>
    <w:rsid w:val="003D3F68"/>
    <w:rsid w:val="003E006E"/>
    <w:rsid w:val="003E30F8"/>
    <w:rsid w:val="003E399E"/>
    <w:rsid w:val="003E6830"/>
    <w:rsid w:val="003F3875"/>
    <w:rsid w:val="003F42C0"/>
    <w:rsid w:val="003F51B0"/>
    <w:rsid w:val="004033E1"/>
    <w:rsid w:val="00405E84"/>
    <w:rsid w:val="0040607F"/>
    <w:rsid w:val="00417860"/>
    <w:rsid w:val="00420A7A"/>
    <w:rsid w:val="004235AF"/>
    <w:rsid w:val="0042558D"/>
    <w:rsid w:val="00427A89"/>
    <w:rsid w:val="0043107A"/>
    <w:rsid w:val="00432C43"/>
    <w:rsid w:val="004359C6"/>
    <w:rsid w:val="004360FC"/>
    <w:rsid w:val="004378C7"/>
    <w:rsid w:val="00437B9C"/>
    <w:rsid w:val="00437FC4"/>
    <w:rsid w:val="00441805"/>
    <w:rsid w:val="004551D1"/>
    <w:rsid w:val="0045753C"/>
    <w:rsid w:val="004577C3"/>
    <w:rsid w:val="0046038A"/>
    <w:rsid w:val="00460F3E"/>
    <w:rsid w:val="00464570"/>
    <w:rsid w:val="004761B2"/>
    <w:rsid w:val="00481AFA"/>
    <w:rsid w:val="0049337D"/>
    <w:rsid w:val="004B093D"/>
    <w:rsid w:val="004B604C"/>
    <w:rsid w:val="004E4ADE"/>
    <w:rsid w:val="004E5028"/>
    <w:rsid w:val="004E5F4E"/>
    <w:rsid w:val="004F2802"/>
    <w:rsid w:val="00500B9E"/>
    <w:rsid w:val="00503499"/>
    <w:rsid w:val="00506501"/>
    <w:rsid w:val="00507BC4"/>
    <w:rsid w:val="00513DB6"/>
    <w:rsid w:val="00524E92"/>
    <w:rsid w:val="00531E28"/>
    <w:rsid w:val="005344B1"/>
    <w:rsid w:val="005423E7"/>
    <w:rsid w:val="005572B4"/>
    <w:rsid w:val="0056010A"/>
    <w:rsid w:val="00563302"/>
    <w:rsid w:val="00571307"/>
    <w:rsid w:val="005743EA"/>
    <w:rsid w:val="00576F2E"/>
    <w:rsid w:val="00581210"/>
    <w:rsid w:val="00581FC3"/>
    <w:rsid w:val="005832B2"/>
    <w:rsid w:val="005851F1"/>
    <w:rsid w:val="005910B4"/>
    <w:rsid w:val="00596A23"/>
    <w:rsid w:val="005B735D"/>
    <w:rsid w:val="005C4A71"/>
    <w:rsid w:val="005C6F40"/>
    <w:rsid w:val="005D4119"/>
    <w:rsid w:val="005D66C2"/>
    <w:rsid w:val="005E2AC9"/>
    <w:rsid w:val="005E4D67"/>
    <w:rsid w:val="005F3D7C"/>
    <w:rsid w:val="00602D7E"/>
    <w:rsid w:val="00603BD0"/>
    <w:rsid w:val="0060555D"/>
    <w:rsid w:val="00606161"/>
    <w:rsid w:val="006062B3"/>
    <w:rsid w:val="00612EB1"/>
    <w:rsid w:val="0061352C"/>
    <w:rsid w:val="006165C8"/>
    <w:rsid w:val="006175B4"/>
    <w:rsid w:val="00617AAD"/>
    <w:rsid w:val="00621CDC"/>
    <w:rsid w:val="006229B2"/>
    <w:rsid w:val="00625E3D"/>
    <w:rsid w:val="00630B61"/>
    <w:rsid w:val="006402A6"/>
    <w:rsid w:val="00644B65"/>
    <w:rsid w:val="006530F8"/>
    <w:rsid w:val="006537BE"/>
    <w:rsid w:val="006654C0"/>
    <w:rsid w:val="00681997"/>
    <w:rsid w:val="0068405C"/>
    <w:rsid w:val="00691017"/>
    <w:rsid w:val="0069152C"/>
    <w:rsid w:val="006A29A5"/>
    <w:rsid w:val="006A2BD9"/>
    <w:rsid w:val="006A3C57"/>
    <w:rsid w:val="006A4F83"/>
    <w:rsid w:val="006A5072"/>
    <w:rsid w:val="006B5151"/>
    <w:rsid w:val="006C2D84"/>
    <w:rsid w:val="006C2F7D"/>
    <w:rsid w:val="006C3580"/>
    <w:rsid w:val="006C3F4D"/>
    <w:rsid w:val="006C6349"/>
    <w:rsid w:val="006D479F"/>
    <w:rsid w:val="006E2E51"/>
    <w:rsid w:val="006F6DB2"/>
    <w:rsid w:val="00704B3A"/>
    <w:rsid w:val="00710CF8"/>
    <w:rsid w:val="00711E08"/>
    <w:rsid w:val="007138FD"/>
    <w:rsid w:val="00716BB1"/>
    <w:rsid w:val="007172FD"/>
    <w:rsid w:val="007200C8"/>
    <w:rsid w:val="007215F6"/>
    <w:rsid w:val="00721BAA"/>
    <w:rsid w:val="00745968"/>
    <w:rsid w:val="00747A3E"/>
    <w:rsid w:val="007730C9"/>
    <w:rsid w:val="00775150"/>
    <w:rsid w:val="00776B48"/>
    <w:rsid w:val="0078099D"/>
    <w:rsid w:val="00787DE8"/>
    <w:rsid w:val="007942D8"/>
    <w:rsid w:val="00794983"/>
    <w:rsid w:val="00796ED7"/>
    <w:rsid w:val="007A1658"/>
    <w:rsid w:val="007A7740"/>
    <w:rsid w:val="007B4F1D"/>
    <w:rsid w:val="007C002A"/>
    <w:rsid w:val="007C024B"/>
    <w:rsid w:val="007C0F2D"/>
    <w:rsid w:val="007D408A"/>
    <w:rsid w:val="007D4A5A"/>
    <w:rsid w:val="007D6B20"/>
    <w:rsid w:val="007E0673"/>
    <w:rsid w:val="007E32FC"/>
    <w:rsid w:val="007F01A2"/>
    <w:rsid w:val="007F0378"/>
    <w:rsid w:val="007F2ABC"/>
    <w:rsid w:val="007F7FEC"/>
    <w:rsid w:val="0081027D"/>
    <w:rsid w:val="00817B3D"/>
    <w:rsid w:val="00822299"/>
    <w:rsid w:val="008270D5"/>
    <w:rsid w:val="008279A7"/>
    <w:rsid w:val="00831B7F"/>
    <w:rsid w:val="0085250F"/>
    <w:rsid w:val="008525D6"/>
    <w:rsid w:val="0085388E"/>
    <w:rsid w:val="00856F5E"/>
    <w:rsid w:val="008604D1"/>
    <w:rsid w:val="008659E9"/>
    <w:rsid w:val="0087095D"/>
    <w:rsid w:val="00871835"/>
    <w:rsid w:val="00871F12"/>
    <w:rsid w:val="00875420"/>
    <w:rsid w:val="00876184"/>
    <w:rsid w:val="00880A50"/>
    <w:rsid w:val="00884732"/>
    <w:rsid w:val="0089007C"/>
    <w:rsid w:val="008928AE"/>
    <w:rsid w:val="00893092"/>
    <w:rsid w:val="00894583"/>
    <w:rsid w:val="008A4C9B"/>
    <w:rsid w:val="008B08C5"/>
    <w:rsid w:val="008B6384"/>
    <w:rsid w:val="008B6557"/>
    <w:rsid w:val="008B74A7"/>
    <w:rsid w:val="008C02C2"/>
    <w:rsid w:val="008C1CB3"/>
    <w:rsid w:val="008C7F21"/>
    <w:rsid w:val="008D1795"/>
    <w:rsid w:val="008D4357"/>
    <w:rsid w:val="008D565D"/>
    <w:rsid w:val="008D6357"/>
    <w:rsid w:val="008E5EA1"/>
    <w:rsid w:val="008E6AB7"/>
    <w:rsid w:val="008F13C0"/>
    <w:rsid w:val="008F38EE"/>
    <w:rsid w:val="009001CB"/>
    <w:rsid w:val="009004F6"/>
    <w:rsid w:val="009077A0"/>
    <w:rsid w:val="009113DE"/>
    <w:rsid w:val="00913121"/>
    <w:rsid w:val="009171D5"/>
    <w:rsid w:val="00917709"/>
    <w:rsid w:val="00917C84"/>
    <w:rsid w:val="009220F2"/>
    <w:rsid w:val="009227C1"/>
    <w:rsid w:val="00923EDB"/>
    <w:rsid w:val="00925D9A"/>
    <w:rsid w:val="00926978"/>
    <w:rsid w:val="00932BD9"/>
    <w:rsid w:val="0094670F"/>
    <w:rsid w:val="009479D0"/>
    <w:rsid w:val="00961BA9"/>
    <w:rsid w:val="00967923"/>
    <w:rsid w:val="009701D2"/>
    <w:rsid w:val="00970774"/>
    <w:rsid w:val="00972FAE"/>
    <w:rsid w:val="0097462A"/>
    <w:rsid w:val="00986292"/>
    <w:rsid w:val="00987779"/>
    <w:rsid w:val="009A2AA5"/>
    <w:rsid w:val="009A63FB"/>
    <w:rsid w:val="009B55D4"/>
    <w:rsid w:val="009B787A"/>
    <w:rsid w:val="009B7A49"/>
    <w:rsid w:val="009B7AD9"/>
    <w:rsid w:val="009C387D"/>
    <w:rsid w:val="009C571F"/>
    <w:rsid w:val="009D0461"/>
    <w:rsid w:val="009D4188"/>
    <w:rsid w:val="009D4EFC"/>
    <w:rsid w:val="009D7FA3"/>
    <w:rsid w:val="009E216D"/>
    <w:rsid w:val="009E6283"/>
    <w:rsid w:val="009E63CA"/>
    <w:rsid w:val="009F34CB"/>
    <w:rsid w:val="009F7460"/>
    <w:rsid w:val="00A03E44"/>
    <w:rsid w:val="00A075A8"/>
    <w:rsid w:val="00A10A7B"/>
    <w:rsid w:val="00A15F6A"/>
    <w:rsid w:val="00A311C2"/>
    <w:rsid w:val="00A32233"/>
    <w:rsid w:val="00A3470B"/>
    <w:rsid w:val="00A36A24"/>
    <w:rsid w:val="00A376FB"/>
    <w:rsid w:val="00A45306"/>
    <w:rsid w:val="00A45D73"/>
    <w:rsid w:val="00A62F8C"/>
    <w:rsid w:val="00A64725"/>
    <w:rsid w:val="00A6666A"/>
    <w:rsid w:val="00A73490"/>
    <w:rsid w:val="00A819B6"/>
    <w:rsid w:val="00A87F74"/>
    <w:rsid w:val="00A91C8B"/>
    <w:rsid w:val="00A95824"/>
    <w:rsid w:val="00AB2EDC"/>
    <w:rsid w:val="00AB47F4"/>
    <w:rsid w:val="00AC136E"/>
    <w:rsid w:val="00AC1F6A"/>
    <w:rsid w:val="00AC413D"/>
    <w:rsid w:val="00AD3A9D"/>
    <w:rsid w:val="00AD79D3"/>
    <w:rsid w:val="00AE5434"/>
    <w:rsid w:val="00AE6DBF"/>
    <w:rsid w:val="00AE75DB"/>
    <w:rsid w:val="00B0092D"/>
    <w:rsid w:val="00B01C60"/>
    <w:rsid w:val="00B01D22"/>
    <w:rsid w:val="00B03A00"/>
    <w:rsid w:val="00B0445D"/>
    <w:rsid w:val="00B0447C"/>
    <w:rsid w:val="00B0507A"/>
    <w:rsid w:val="00B05E53"/>
    <w:rsid w:val="00B072AA"/>
    <w:rsid w:val="00B10650"/>
    <w:rsid w:val="00B10E08"/>
    <w:rsid w:val="00B11436"/>
    <w:rsid w:val="00B12341"/>
    <w:rsid w:val="00B25D19"/>
    <w:rsid w:val="00B359D9"/>
    <w:rsid w:val="00B35BC7"/>
    <w:rsid w:val="00B40B8B"/>
    <w:rsid w:val="00B4404D"/>
    <w:rsid w:val="00B50993"/>
    <w:rsid w:val="00B63168"/>
    <w:rsid w:val="00B63E9B"/>
    <w:rsid w:val="00B64963"/>
    <w:rsid w:val="00B70085"/>
    <w:rsid w:val="00B7099F"/>
    <w:rsid w:val="00B71873"/>
    <w:rsid w:val="00B72A5D"/>
    <w:rsid w:val="00B736B7"/>
    <w:rsid w:val="00B73C45"/>
    <w:rsid w:val="00B82E01"/>
    <w:rsid w:val="00B84DD7"/>
    <w:rsid w:val="00B91811"/>
    <w:rsid w:val="00B94460"/>
    <w:rsid w:val="00B9561A"/>
    <w:rsid w:val="00BA437F"/>
    <w:rsid w:val="00BA5C29"/>
    <w:rsid w:val="00BB6C9A"/>
    <w:rsid w:val="00BC0594"/>
    <w:rsid w:val="00BC11FC"/>
    <w:rsid w:val="00BC1F54"/>
    <w:rsid w:val="00BC4C9D"/>
    <w:rsid w:val="00BC54FC"/>
    <w:rsid w:val="00BD2118"/>
    <w:rsid w:val="00BD5092"/>
    <w:rsid w:val="00BD5997"/>
    <w:rsid w:val="00BE6F50"/>
    <w:rsid w:val="00BF1BA3"/>
    <w:rsid w:val="00BF588D"/>
    <w:rsid w:val="00C03447"/>
    <w:rsid w:val="00C07EF5"/>
    <w:rsid w:val="00C128FE"/>
    <w:rsid w:val="00C13304"/>
    <w:rsid w:val="00C1777A"/>
    <w:rsid w:val="00C212E3"/>
    <w:rsid w:val="00C22FAE"/>
    <w:rsid w:val="00C24C44"/>
    <w:rsid w:val="00C26B0C"/>
    <w:rsid w:val="00C30F18"/>
    <w:rsid w:val="00C331D1"/>
    <w:rsid w:val="00C35958"/>
    <w:rsid w:val="00C372A8"/>
    <w:rsid w:val="00C375FF"/>
    <w:rsid w:val="00C40848"/>
    <w:rsid w:val="00C50E47"/>
    <w:rsid w:val="00C562AA"/>
    <w:rsid w:val="00C574F4"/>
    <w:rsid w:val="00C747C6"/>
    <w:rsid w:val="00C756C3"/>
    <w:rsid w:val="00C80F66"/>
    <w:rsid w:val="00C84AE8"/>
    <w:rsid w:val="00C85D1B"/>
    <w:rsid w:val="00C96DDA"/>
    <w:rsid w:val="00CA7F1F"/>
    <w:rsid w:val="00CB1EB4"/>
    <w:rsid w:val="00CB5D3E"/>
    <w:rsid w:val="00CC4C46"/>
    <w:rsid w:val="00CC6AAB"/>
    <w:rsid w:val="00CC77FF"/>
    <w:rsid w:val="00CC7CF5"/>
    <w:rsid w:val="00CE3C5A"/>
    <w:rsid w:val="00CE59C6"/>
    <w:rsid w:val="00CE7586"/>
    <w:rsid w:val="00D03659"/>
    <w:rsid w:val="00D03EDF"/>
    <w:rsid w:val="00D10DC0"/>
    <w:rsid w:val="00D11555"/>
    <w:rsid w:val="00D13D6D"/>
    <w:rsid w:val="00D20C74"/>
    <w:rsid w:val="00D24FD7"/>
    <w:rsid w:val="00D25647"/>
    <w:rsid w:val="00D348C5"/>
    <w:rsid w:val="00D34FE4"/>
    <w:rsid w:val="00D377A7"/>
    <w:rsid w:val="00D44C95"/>
    <w:rsid w:val="00D452A7"/>
    <w:rsid w:val="00D4584F"/>
    <w:rsid w:val="00D54725"/>
    <w:rsid w:val="00D559FF"/>
    <w:rsid w:val="00D62B8C"/>
    <w:rsid w:val="00D63276"/>
    <w:rsid w:val="00D66F39"/>
    <w:rsid w:val="00D84B36"/>
    <w:rsid w:val="00D85853"/>
    <w:rsid w:val="00D936A0"/>
    <w:rsid w:val="00D97162"/>
    <w:rsid w:val="00D97CE9"/>
    <w:rsid w:val="00DA36E7"/>
    <w:rsid w:val="00DA4FC7"/>
    <w:rsid w:val="00DA550D"/>
    <w:rsid w:val="00DA7017"/>
    <w:rsid w:val="00DB13DD"/>
    <w:rsid w:val="00DB1B31"/>
    <w:rsid w:val="00DB1C27"/>
    <w:rsid w:val="00DB38EE"/>
    <w:rsid w:val="00DB7973"/>
    <w:rsid w:val="00DC13AB"/>
    <w:rsid w:val="00DC5EF2"/>
    <w:rsid w:val="00DC7EF7"/>
    <w:rsid w:val="00DD6B5E"/>
    <w:rsid w:val="00DD6BD4"/>
    <w:rsid w:val="00DE5E58"/>
    <w:rsid w:val="00DE7B46"/>
    <w:rsid w:val="00E0162C"/>
    <w:rsid w:val="00E11487"/>
    <w:rsid w:val="00E14ACC"/>
    <w:rsid w:val="00E15A8C"/>
    <w:rsid w:val="00E4144C"/>
    <w:rsid w:val="00E44F84"/>
    <w:rsid w:val="00E463C6"/>
    <w:rsid w:val="00E53121"/>
    <w:rsid w:val="00E5318E"/>
    <w:rsid w:val="00E53532"/>
    <w:rsid w:val="00E6034D"/>
    <w:rsid w:val="00E71967"/>
    <w:rsid w:val="00E754B1"/>
    <w:rsid w:val="00E801B5"/>
    <w:rsid w:val="00E905E8"/>
    <w:rsid w:val="00E93F56"/>
    <w:rsid w:val="00E952D9"/>
    <w:rsid w:val="00E96773"/>
    <w:rsid w:val="00E97CB9"/>
    <w:rsid w:val="00EB27E9"/>
    <w:rsid w:val="00EB37C9"/>
    <w:rsid w:val="00EC134E"/>
    <w:rsid w:val="00ED0445"/>
    <w:rsid w:val="00ED3C3B"/>
    <w:rsid w:val="00EE48C3"/>
    <w:rsid w:val="00EF199D"/>
    <w:rsid w:val="00EF4E12"/>
    <w:rsid w:val="00EF5326"/>
    <w:rsid w:val="00EF65F3"/>
    <w:rsid w:val="00F01510"/>
    <w:rsid w:val="00F02A6D"/>
    <w:rsid w:val="00F0424C"/>
    <w:rsid w:val="00F10495"/>
    <w:rsid w:val="00F10DA8"/>
    <w:rsid w:val="00F1168A"/>
    <w:rsid w:val="00F12A10"/>
    <w:rsid w:val="00F2391C"/>
    <w:rsid w:val="00F31E30"/>
    <w:rsid w:val="00F3326F"/>
    <w:rsid w:val="00F34781"/>
    <w:rsid w:val="00F41A5D"/>
    <w:rsid w:val="00F470A2"/>
    <w:rsid w:val="00F51F93"/>
    <w:rsid w:val="00F552E5"/>
    <w:rsid w:val="00F56AA8"/>
    <w:rsid w:val="00F67C91"/>
    <w:rsid w:val="00F723F9"/>
    <w:rsid w:val="00F82315"/>
    <w:rsid w:val="00F82D54"/>
    <w:rsid w:val="00F83D3C"/>
    <w:rsid w:val="00F840D6"/>
    <w:rsid w:val="00F8691C"/>
    <w:rsid w:val="00F900BE"/>
    <w:rsid w:val="00F97392"/>
    <w:rsid w:val="00F97DF6"/>
    <w:rsid w:val="00FA4EEC"/>
    <w:rsid w:val="00FB335B"/>
    <w:rsid w:val="00FB4EAA"/>
    <w:rsid w:val="00FC5512"/>
    <w:rsid w:val="00FC6366"/>
    <w:rsid w:val="00FD0CD9"/>
    <w:rsid w:val="00FD4970"/>
    <w:rsid w:val="00FD6927"/>
    <w:rsid w:val="00FE02D9"/>
    <w:rsid w:val="00FE14F9"/>
    <w:rsid w:val="00FF2EFF"/>
    <w:rsid w:val="00FF4843"/>
    <w:rsid w:val="00FF5EEA"/>
    <w:rsid w:val="021C1A73"/>
    <w:rsid w:val="02292580"/>
    <w:rsid w:val="02385327"/>
    <w:rsid w:val="02765207"/>
    <w:rsid w:val="02B0310F"/>
    <w:rsid w:val="02FE5AC7"/>
    <w:rsid w:val="030429C4"/>
    <w:rsid w:val="036B1E25"/>
    <w:rsid w:val="0388330F"/>
    <w:rsid w:val="041257E6"/>
    <w:rsid w:val="041F4C2D"/>
    <w:rsid w:val="04510922"/>
    <w:rsid w:val="045B3B25"/>
    <w:rsid w:val="047F32B1"/>
    <w:rsid w:val="04994C0E"/>
    <w:rsid w:val="04D255BF"/>
    <w:rsid w:val="058F7720"/>
    <w:rsid w:val="06447858"/>
    <w:rsid w:val="06A75D00"/>
    <w:rsid w:val="074D3623"/>
    <w:rsid w:val="07707311"/>
    <w:rsid w:val="07CB5CF9"/>
    <w:rsid w:val="07CF5DE6"/>
    <w:rsid w:val="07DC2D64"/>
    <w:rsid w:val="08320C7C"/>
    <w:rsid w:val="085155B3"/>
    <w:rsid w:val="08E458C1"/>
    <w:rsid w:val="08EE4992"/>
    <w:rsid w:val="09691794"/>
    <w:rsid w:val="098552F6"/>
    <w:rsid w:val="09882B57"/>
    <w:rsid w:val="09DC3831"/>
    <w:rsid w:val="0A2F7010"/>
    <w:rsid w:val="0A516F86"/>
    <w:rsid w:val="0B024724"/>
    <w:rsid w:val="0B0C4632"/>
    <w:rsid w:val="0B1D50BA"/>
    <w:rsid w:val="0B662715"/>
    <w:rsid w:val="0BE94AFA"/>
    <w:rsid w:val="0C2F4BC5"/>
    <w:rsid w:val="0C514749"/>
    <w:rsid w:val="0CA97AF5"/>
    <w:rsid w:val="0CD8573D"/>
    <w:rsid w:val="0CF103CF"/>
    <w:rsid w:val="0D4728C2"/>
    <w:rsid w:val="0D8F1B59"/>
    <w:rsid w:val="0DA579E2"/>
    <w:rsid w:val="0DF62901"/>
    <w:rsid w:val="0E174750"/>
    <w:rsid w:val="0EE2560E"/>
    <w:rsid w:val="0F241091"/>
    <w:rsid w:val="0F5216E5"/>
    <w:rsid w:val="0F777E12"/>
    <w:rsid w:val="0F9A4F2B"/>
    <w:rsid w:val="0FBC30F4"/>
    <w:rsid w:val="0FC161BD"/>
    <w:rsid w:val="10194933"/>
    <w:rsid w:val="1064217C"/>
    <w:rsid w:val="107E484D"/>
    <w:rsid w:val="108870E1"/>
    <w:rsid w:val="10C009C2"/>
    <w:rsid w:val="10C34551"/>
    <w:rsid w:val="10C5247C"/>
    <w:rsid w:val="10EA0134"/>
    <w:rsid w:val="11133BB7"/>
    <w:rsid w:val="11166833"/>
    <w:rsid w:val="114B7E13"/>
    <w:rsid w:val="115E5271"/>
    <w:rsid w:val="118934A9"/>
    <w:rsid w:val="11D80CE5"/>
    <w:rsid w:val="12045226"/>
    <w:rsid w:val="123A71A5"/>
    <w:rsid w:val="124B075F"/>
    <w:rsid w:val="126B2BAF"/>
    <w:rsid w:val="12F157AA"/>
    <w:rsid w:val="12FD63C9"/>
    <w:rsid w:val="130F4A87"/>
    <w:rsid w:val="132557BB"/>
    <w:rsid w:val="13280AA0"/>
    <w:rsid w:val="13296F0A"/>
    <w:rsid w:val="13651CF4"/>
    <w:rsid w:val="13750189"/>
    <w:rsid w:val="1376180B"/>
    <w:rsid w:val="146D70B2"/>
    <w:rsid w:val="14BC76F2"/>
    <w:rsid w:val="14ED69E0"/>
    <w:rsid w:val="15065A4B"/>
    <w:rsid w:val="1566178F"/>
    <w:rsid w:val="1572390F"/>
    <w:rsid w:val="157306F8"/>
    <w:rsid w:val="161C4D3B"/>
    <w:rsid w:val="1691330D"/>
    <w:rsid w:val="16BA5EB3"/>
    <w:rsid w:val="16EC3FF7"/>
    <w:rsid w:val="16ED0036"/>
    <w:rsid w:val="1740460A"/>
    <w:rsid w:val="177D3FFD"/>
    <w:rsid w:val="17A4103D"/>
    <w:rsid w:val="17BF4885"/>
    <w:rsid w:val="180D15D9"/>
    <w:rsid w:val="18862408"/>
    <w:rsid w:val="189D783A"/>
    <w:rsid w:val="18CB2806"/>
    <w:rsid w:val="19730CDC"/>
    <w:rsid w:val="19C1335A"/>
    <w:rsid w:val="1A8C112B"/>
    <w:rsid w:val="1AF5570C"/>
    <w:rsid w:val="1B0940FF"/>
    <w:rsid w:val="1B245FF1"/>
    <w:rsid w:val="1B542D7A"/>
    <w:rsid w:val="1B671EE7"/>
    <w:rsid w:val="1B713D95"/>
    <w:rsid w:val="1B99253B"/>
    <w:rsid w:val="1BDE3597"/>
    <w:rsid w:val="1C145920"/>
    <w:rsid w:val="1D9D7EBD"/>
    <w:rsid w:val="1DCD471E"/>
    <w:rsid w:val="1DE02014"/>
    <w:rsid w:val="1E1F5F4A"/>
    <w:rsid w:val="1E2471AC"/>
    <w:rsid w:val="1E4A5D6E"/>
    <w:rsid w:val="1E7D6144"/>
    <w:rsid w:val="1E97083E"/>
    <w:rsid w:val="1EAA5A42"/>
    <w:rsid w:val="1EC024D4"/>
    <w:rsid w:val="1EC12CDB"/>
    <w:rsid w:val="1F2C2D5F"/>
    <w:rsid w:val="1FD60202"/>
    <w:rsid w:val="20036B1D"/>
    <w:rsid w:val="20230A19"/>
    <w:rsid w:val="203171E6"/>
    <w:rsid w:val="2076109D"/>
    <w:rsid w:val="207A1985"/>
    <w:rsid w:val="208512E0"/>
    <w:rsid w:val="20DB7E5B"/>
    <w:rsid w:val="20EC4B3D"/>
    <w:rsid w:val="21141EDE"/>
    <w:rsid w:val="217F0425"/>
    <w:rsid w:val="22146DBF"/>
    <w:rsid w:val="229B128E"/>
    <w:rsid w:val="23072480"/>
    <w:rsid w:val="2318468D"/>
    <w:rsid w:val="234436D4"/>
    <w:rsid w:val="234B71C5"/>
    <w:rsid w:val="236E69A3"/>
    <w:rsid w:val="23B720F8"/>
    <w:rsid w:val="23D4313D"/>
    <w:rsid w:val="23FA3D93"/>
    <w:rsid w:val="240370EB"/>
    <w:rsid w:val="241E2177"/>
    <w:rsid w:val="24763D61"/>
    <w:rsid w:val="248A11F6"/>
    <w:rsid w:val="2499652B"/>
    <w:rsid w:val="24F45147"/>
    <w:rsid w:val="24FB7DC2"/>
    <w:rsid w:val="25F018F1"/>
    <w:rsid w:val="266A16A4"/>
    <w:rsid w:val="26A23C23"/>
    <w:rsid w:val="26BB5A5B"/>
    <w:rsid w:val="26CF7F18"/>
    <w:rsid w:val="271E43D1"/>
    <w:rsid w:val="272A2BE1"/>
    <w:rsid w:val="27457A1B"/>
    <w:rsid w:val="274F298A"/>
    <w:rsid w:val="27AF30E6"/>
    <w:rsid w:val="27B525EA"/>
    <w:rsid w:val="27C070A1"/>
    <w:rsid w:val="27F07987"/>
    <w:rsid w:val="28592F15"/>
    <w:rsid w:val="28664E63"/>
    <w:rsid w:val="286E02B3"/>
    <w:rsid w:val="28CD7B64"/>
    <w:rsid w:val="28DA73F5"/>
    <w:rsid w:val="290C6A42"/>
    <w:rsid w:val="290D4568"/>
    <w:rsid w:val="29693E94"/>
    <w:rsid w:val="29B7461D"/>
    <w:rsid w:val="2A59770A"/>
    <w:rsid w:val="2A61691A"/>
    <w:rsid w:val="2A691C72"/>
    <w:rsid w:val="2BC95CB5"/>
    <w:rsid w:val="2BE05F54"/>
    <w:rsid w:val="2BFD36BD"/>
    <w:rsid w:val="2C412EA7"/>
    <w:rsid w:val="2C6F395B"/>
    <w:rsid w:val="2C85114F"/>
    <w:rsid w:val="2CFC2BFE"/>
    <w:rsid w:val="2D3622E0"/>
    <w:rsid w:val="2DB11966"/>
    <w:rsid w:val="2F00346B"/>
    <w:rsid w:val="2F3A5A0E"/>
    <w:rsid w:val="2F6F3887"/>
    <w:rsid w:val="2F7A26DC"/>
    <w:rsid w:val="2FF52573"/>
    <w:rsid w:val="2FFC49EC"/>
    <w:rsid w:val="300E30A0"/>
    <w:rsid w:val="302F3016"/>
    <w:rsid w:val="3060005D"/>
    <w:rsid w:val="30734518"/>
    <w:rsid w:val="309D61D2"/>
    <w:rsid w:val="30A60A30"/>
    <w:rsid w:val="30C419B0"/>
    <w:rsid w:val="312406A1"/>
    <w:rsid w:val="313A6116"/>
    <w:rsid w:val="314D028A"/>
    <w:rsid w:val="31CA56EC"/>
    <w:rsid w:val="31CA58BC"/>
    <w:rsid w:val="320F3FCF"/>
    <w:rsid w:val="326878C0"/>
    <w:rsid w:val="3293788C"/>
    <w:rsid w:val="329655CE"/>
    <w:rsid w:val="32D0288E"/>
    <w:rsid w:val="330B7D6A"/>
    <w:rsid w:val="342F79BA"/>
    <w:rsid w:val="34E15227"/>
    <w:rsid w:val="350727B3"/>
    <w:rsid w:val="352C6929"/>
    <w:rsid w:val="3555038B"/>
    <w:rsid w:val="355530AA"/>
    <w:rsid w:val="35835BF5"/>
    <w:rsid w:val="364069EE"/>
    <w:rsid w:val="364631D7"/>
    <w:rsid w:val="36486BE0"/>
    <w:rsid w:val="36585E46"/>
    <w:rsid w:val="368928C2"/>
    <w:rsid w:val="369C73BE"/>
    <w:rsid w:val="36B14785"/>
    <w:rsid w:val="36B64491"/>
    <w:rsid w:val="37261200"/>
    <w:rsid w:val="37D56B99"/>
    <w:rsid w:val="384C3380"/>
    <w:rsid w:val="388A34DF"/>
    <w:rsid w:val="38F92400"/>
    <w:rsid w:val="390371A8"/>
    <w:rsid w:val="397A6507"/>
    <w:rsid w:val="3A1B0FBC"/>
    <w:rsid w:val="3A485400"/>
    <w:rsid w:val="3A79181B"/>
    <w:rsid w:val="3A9E32C3"/>
    <w:rsid w:val="3AA317A9"/>
    <w:rsid w:val="3AEB18CF"/>
    <w:rsid w:val="3B1F29B6"/>
    <w:rsid w:val="3B4B3301"/>
    <w:rsid w:val="3B8E088C"/>
    <w:rsid w:val="3B9971A7"/>
    <w:rsid w:val="3BBD154D"/>
    <w:rsid w:val="3C277297"/>
    <w:rsid w:val="3CBE19AA"/>
    <w:rsid w:val="3CE160B0"/>
    <w:rsid w:val="3D350429"/>
    <w:rsid w:val="3D581DFE"/>
    <w:rsid w:val="3D74650C"/>
    <w:rsid w:val="3EB64B8F"/>
    <w:rsid w:val="3ED96F6F"/>
    <w:rsid w:val="3F362BE0"/>
    <w:rsid w:val="3F5B255F"/>
    <w:rsid w:val="3FC75019"/>
    <w:rsid w:val="40160C78"/>
    <w:rsid w:val="403F72A5"/>
    <w:rsid w:val="40A61BAD"/>
    <w:rsid w:val="40C14C48"/>
    <w:rsid w:val="40C357E1"/>
    <w:rsid w:val="40CD48B1"/>
    <w:rsid w:val="4110723E"/>
    <w:rsid w:val="412F2E76"/>
    <w:rsid w:val="41714B0C"/>
    <w:rsid w:val="417822BF"/>
    <w:rsid w:val="4185223A"/>
    <w:rsid w:val="41B11ADD"/>
    <w:rsid w:val="4208468A"/>
    <w:rsid w:val="42382E85"/>
    <w:rsid w:val="42727382"/>
    <w:rsid w:val="428B0580"/>
    <w:rsid w:val="435766B4"/>
    <w:rsid w:val="43943464"/>
    <w:rsid w:val="43B12268"/>
    <w:rsid w:val="43B50E83"/>
    <w:rsid w:val="43DA60E0"/>
    <w:rsid w:val="44136A7F"/>
    <w:rsid w:val="44354C47"/>
    <w:rsid w:val="444C2D75"/>
    <w:rsid w:val="445A46AE"/>
    <w:rsid w:val="44A02DC8"/>
    <w:rsid w:val="44DC1567"/>
    <w:rsid w:val="44EB01AD"/>
    <w:rsid w:val="46456C98"/>
    <w:rsid w:val="465810C1"/>
    <w:rsid w:val="4731516C"/>
    <w:rsid w:val="476E221E"/>
    <w:rsid w:val="477873C1"/>
    <w:rsid w:val="47A125F4"/>
    <w:rsid w:val="47F00E85"/>
    <w:rsid w:val="48961A2D"/>
    <w:rsid w:val="48AE5603"/>
    <w:rsid w:val="48D2515B"/>
    <w:rsid w:val="490B241B"/>
    <w:rsid w:val="49253BE8"/>
    <w:rsid w:val="49355CE9"/>
    <w:rsid w:val="496B6C95"/>
    <w:rsid w:val="49AF17EE"/>
    <w:rsid w:val="4A120B47"/>
    <w:rsid w:val="4A121CE8"/>
    <w:rsid w:val="4A2C5EDB"/>
    <w:rsid w:val="4A2F3D7B"/>
    <w:rsid w:val="4ACE54AE"/>
    <w:rsid w:val="4AFB026D"/>
    <w:rsid w:val="4B19502E"/>
    <w:rsid w:val="4B386DCB"/>
    <w:rsid w:val="4B6B33C8"/>
    <w:rsid w:val="4BA17066"/>
    <w:rsid w:val="4BD36D77"/>
    <w:rsid w:val="4BEC343B"/>
    <w:rsid w:val="4C39104D"/>
    <w:rsid w:val="4C4B413D"/>
    <w:rsid w:val="4C5025D3"/>
    <w:rsid w:val="4C520D22"/>
    <w:rsid w:val="4C681932"/>
    <w:rsid w:val="4C7F3518"/>
    <w:rsid w:val="4C9612DE"/>
    <w:rsid w:val="4CCA30C9"/>
    <w:rsid w:val="4D981DA3"/>
    <w:rsid w:val="4DB50BA7"/>
    <w:rsid w:val="4DCD7C9F"/>
    <w:rsid w:val="4E444BE8"/>
    <w:rsid w:val="4EAD187E"/>
    <w:rsid w:val="4F0771E0"/>
    <w:rsid w:val="4F0A4599"/>
    <w:rsid w:val="4F2F2C02"/>
    <w:rsid w:val="4FCD1AFA"/>
    <w:rsid w:val="50811214"/>
    <w:rsid w:val="50886851"/>
    <w:rsid w:val="508F770E"/>
    <w:rsid w:val="50B138A7"/>
    <w:rsid w:val="50CC1640"/>
    <w:rsid w:val="50D61560"/>
    <w:rsid w:val="51402E7D"/>
    <w:rsid w:val="514209A3"/>
    <w:rsid w:val="51941ED3"/>
    <w:rsid w:val="51A82AC2"/>
    <w:rsid w:val="51B64EEE"/>
    <w:rsid w:val="52043EAB"/>
    <w:rsid w:val="52271947"/>
    <w:rsid w:val="524D13AE"/>
    <w:rsid w:val="529A036B"/>
    <w:rsid w:val="52BB0A0D"/>
    <w:rsid w:val="52CD0741"/>
    <w:rsid w:val="52F80915"/>
    <w:rsid w:val="530F2D2D"/>
    <w:rsid w:val="53DA1367"/>
    <w:rsid w:val="54520EFE"/>
    <w:rsid w:val="546450D5"/>
    <w:rsid w:val="54C47921"/>
    <w:rsid w:val="55530280"/>
    <w:rsid w:val="5604091D"/>
    <w:rsid w:val="5620134C"/>
    <w:rsid w:val="56220AC4"/>
    <w:rsid w:val="56707D61"/>
    <w:rsid w:val="567C5E49"/>
    <w:rsid w:val="568802DB"/>
    <w:rsid w:val="56B37004"/>
    <w:rsid w:val="56D1304A"/>
    <w:rsid w:val="56EE5447"/>
    <w:rsid w:val="57007337"/>
    <w:rsid w:val="570B7A8A"/>
    <w:rsid w:val="574439FA"/>
    <w:rsid w:val="57C253EC"/>
    <w:rsid w:val="57D12A81"/>
    <w:rsid w:val="57D47D04"/>
    <w:rsid w:val="57E970D3"/>
    <w:rsid w:val="582A31B4"/>
    <w:rsid w:val="58564D34"/>
    <w:rsid w:val="5870309B"/>
    <w:rsid w:val="58B60A4F"/>
    <w:rsid w:val="59291CF0"/>
    <w:rsid w:val="592A069B"/>
    <w:rsid w:val="59633BAD"/>
    <w:rsid w:val="5967291F"/>
    <w:rsid w:val="59C851A3"/>
    <w:rsid w:val="5A01390B"/>
    <w:rsid w:val="5A1522A3"/>
    <w:rsid w:val="5A1F73FA"/>
    <w:rsid w:val="5A3A7679"/>
    <w:rsid w:val="5A4B6B1B"/>
    <w:rsid w:val="5AAA3E5C"/>
    <w:rsid w:val="5AB83A84"/>
    <w:rsid w:val="5ABF3065"/>
    <w:rsid w:val="5AC42429"/>
    <w:rsid w:val="5AD1347D"/>
    <w:rsid w:val="5AFD256C"/>
    <w:rsid w:val="5B24602D"/>
    <w:rsid w:val="5B301722"/>
    <w:rsid w:val="5B3F7D02"/>
    <w:rsid w:val="5B753B9C"/>
    <w:rsid w:val="5B8322E4"/>
    <w:rsid w:val="5BE12FA3"/>
    <w:rsid w:val="5C5D7B6B"/>
    <w:rsid w:val="5CAC13C7"/>
    <w:rsid w:val="5CE868B8"/>
    <w:rsid w:val="5D086F45"/>
    <w:rsid w:val="5D581FF7"/>
    <w:rsid w:val="5D8866EC"/>
    <w:rsid w:val="5DEC199F"/>
    <w:rsid w:val="5EBF421E"/>
    <w:rsid w:val="5EC25A88"/>
    <w:rsid w:val="5F217E9C"/>
    <w:rsid w:val="5F295690"/>
    <w:rsid w:val="5F526256"/>
    <w:rsid w:val="5F7E529D"/>
    <w:rsid w:val="5F8959EF"/>
    <w:rsid w:val="5FD96977"/>
    <w:rsid w:val="5FEA2932"/>
    <w:rsid w:val="5FEB066F"/>
    <w:rsid w:val="601004E3"/>
    <w:rsid w:val="60111977"/>
    <w:rsid w:val="60A2320D"/>
    <w:rsid w:val="60A305BA"/>
    <w:rsid w:val="60A51873"/>
    <w:rsid w:val="60E50A93"/>
    <w:rsid w:val="60F14E19"/>
    <w:rsid w:val="615F4C5A"/>
    <w:rsid w:val="61882403"/>
    <w:rsid w:val="61891CD7"/>
    <w:rsid w:val="618F68F6"/>
    <w:rsid w:val="61DE2022"/>
    <w:rsid w:val="61E909C7"/>
    <w:rsid w:val="62210161"/>
    <w:rsid w:val="62251744"/>
    <w:rsid w:val="62284829"/>
    <w:rsid w:val="6234499F"/>
    <w:rsid w:val="62B13874"/>
    <w:rsid w:val="630067A0"/>
    <w:rsid w:val="632E0D88"/>
    <w:rsid w:val="63672753"/>
    <w:rsid w:val="639130C5"/>
    <w:rsid w:val="63B3128D"/>
    <w:rsid w:val="6417181C"/>
    <w:rsid w:val="642276C7"/>
    <w:rsid w:val="643E5F3E"/>
    <w:rsid w:val="645779AB"/>
    <w:rsid w:val="64597590"/>
    <w:rsid w:val="64730007"/>
    <w:rsid w:val="6482145A"/>
    <w:rsid w:val="64AD1753"/>
    <w:rsid w:val="64B560B5"/>
    <w:rsid w:val="65B71508"/>
    <w:rsid w:val="65E25E59"/>
    <w:rsid w:val="65E62E7A"/>
    <w:rsid w:val="66603688"/>
    <w:rsid w:val="671604B0"/>
    <w:rsid w:val="67495959"/>
    <w:rsid w:val="67B13D35"/>
    <w:rsid w:val="67BB5990"/>
    <w:rsid w:val="67FD4597"/>
    <w:rsid w:val="689A0C6D"/>
    <w:rsid w:val="68A45648"/>
    <w:rsid w:val="68DB3A0A"/>
    <w:rsid w:val="68FC5078"/>
    <w:rsid w:val="691E7D9A"/>
    <w:rsid w:val="693F39D2"/>
    <w:rsid w:val="6A0665BA"/>
    <w:rsid w:val="6A9736B6"/>
    <w:rsid w:val="6AAD178D"/>
    <w:rsid w:val="6AD42215"/>
    <w:rsid w:val="6AE606B8"/>
    <w:rsid w:val="6AF45619"/>
    <w:rsid w:val="6B282560"/>
    <w:rsid w:val="6B2E31C1"/>
    <w:rsid w:val="6B4E646B"/>
    <w:rsid w:val="6B80414A"/>
    <w:rsid w:val="6C2C42D2"/>
    <w:rsid w:val="6C8934D3"/>
    <w:rsid w:val="6CC649E7"/>
    <w:rsid w:val="6CCA7D73"/>
    <w:rsid w:val="6CE92C9D"/>
    <w:rsid w:val="6D062D75"/>
    <w:rsid w:val="6D3276C6"/>
    <w:rsid w:val="6D5C4743"/>
    <w:rsid w:val="6D815128"/>
    <w:rsid w:val="6DCC3677"/>
    <w:rsid w:val="6DE64E4D"/>
    <w:rsid w:val="6E001573"/>
    <w:rsid w:val="6E541B97"/>
    <w:rsid w:val="6E751F61"/>
    <w:rsid w:val="6EC16F54"/>
    <w:rsid w:val="6F40431D"/>
    <w:rsid w:val="6F5F71DE"/>
    <w:rsid w:val="6F6F261D"/>
    <w:rsid w:val="6F9301E0"/>
    <w:rsid w:val="6FE54EC4"/>
    <w:rsid w:val="6FF9271D"/>
    <w:rsid w:val="70485E9C"/>
    <w:rsid w:val="70570E31"/>
    <w:rsid w:val="705A7660"/>
    <w:rsid w:val="7064403B"/>
    <w:rsid w:val="707E3A5D"/>
    <w:rsid w:val="70A50F3B"/>
    <w:rsid w:val="71241A1C"/>
    <w:rsid w:val="719151A5"/>
    <w:rsid w:val="71DE7E1D"/>
    <w:rsid w:val="71DF2A95"/>
    <w:rsid w:val="720A29C0"/>
    <w:rsid w:val="726F70C9"/>
    <w:rsid w:val="72A03F09"/>
    <w:rsid w:val="73650B85"/>
    <w:rsid w:val="737527F4"/>
    <w:rsid w:val="737C169B"/>
    <w:rsid w:val="73915B7E"/>
    <w:rsid w:val="73A37B39"/>
    <w:rsid w:val="73D95F72"/>
    <w:rsid w:val="742C30C1"/>
    <w:rsid w:val="742E040E"/>
    <w:rsid w:val="743D7CF2"/>
    <w:rsid w:val="746D7236"/>
    <w:rsid w:val="74CA185C"/>
    <w:rsid w:val="7503531D"/>
    <w:rsid w:val="76004806"/>
    <w:rsid w:val="760C31AA"/>
    <w:rsid w:val="764726F5"/>
    <w:rsid w:val="76E41A31"/>
    <w:rsid w:val="77277B70"/>
    <w:rsid w:val="774A385E"/>
    <w:rsid w:val="777728A5"/>
    <w:rsid w:val="77972F48"/>
    <w:rsid w:val="77BF5FFA"/>
    <w:rsid w:val="77D73344"/>
    <w:rsid w:val="77E15F71"/>
    <w:rsid w:val="7800397B"/>
    <w:rsid w:val="782347DB"/>
    <w:rsid w:val="785F3120"/>
    <w:rsid w:val="787E0781"/>
    <w:rsid w:val="790F485A"/>
    <w:rsid w:val="793313C7"/>
    <w:rsid w:val="79452574"/>
    <w:rsid w:val="796E1A86"/>
    <w:rsid w:val="79AD6A52"/>
    <w:rsid w:val="7A0E71A6"/>
    <w:rsid w:val="7A25063C"/>
    <w:rsid w:val="7A3E66B9"/>
    <w:rsid w:val="7A65732D"/>
    <w:rsid w:val="7AA5597C"/>
    <w:rsid w:val="7B0030BC"/>
    <w:rsid w:val="7B584835"/>
    <w:rsid w:val="7B825FAC"/>
    <w:rsid w:val="7BF5023D"/>
    <w:rsid w:val="7C1039EF"/>
    <w:rsid w:val="7C4B60AF"/>
    <w:rsid w:val="7C684D31"/>
    <w:rsid w:val="7CD4479F"/>
    <w:rsid w:val="7D050953"/>
    <w:rsid w:val="7D4E5373"/>
    <w:rsid w:val="7D574578"/>
    <w:rsid w:val="7D6457E7"/>
    <w:rsid w:val="7E6B3330"/>
    <w:rsid w:val="7E6D084A"/>
    <w:rsid w:val="7E955D07"/>
    <w:rsid w:val="7ED405DD"/>
    <w:rsid w:val="7ED805B3"/>
    <w:rsid w:val="7F141EE0"/>
    <w:rsid w:val="7F6F0306"/>
    <w:rsid w:val="7FC468A4"/>
    <w:rsid w:val="7FCC5758"/>
    <w:rsid w:val="7FE57C62"/>
    <w:rsid w:val="7FF1142C"/>
    <w:rsid w:val="7FFC3356"/>
    <w:rsid w:val="7FFC4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49"/>
    <w:autoRedefine/>
    <w:qFormat/>
    <w:uiPriority w:val="9"/>
    <w:pPr>
      <w:autoSpaceDE w:val="0"/>
      <w:autoSpaceDN w:val="0"/>
      <w:adjustRightInd w:val="0"/>
      <w:jc w:val="left"/>
      <w:outlineLvl w:val="0"/>
    </w:pPr>
    <w:rPr>
      <w:rFonts w:ascii="宋体" w:hAnsi="Calibri" w:eastAsia="宋体" w:cs="Times New Roman"/>
      <w:kern w:val="0"/>
      <w:sz w:val="24"/>
      <w:szCs w:val="24"/>
    </w:rPr>
  </w:style>
  <w:style w:type="paragraph" w:styleId="4">
    <w:name w:val="heading 2"/>
    <w:basedOn w:val="1"/>
    <w:next w:val="1"/>
    <w:link w:val="47"/>
    <w:qFormat/>
    <w:uiPriority w:val="0"/>
    <w:pPr>
      <w:autoSpaceDE w:val="0"/>
      <w:autoSpaceDN w:val="0"/>
      <w:adjustRightInd w:val="0"/>
      <w:jc w:val="left"/>
      <w:outlineLvl w:val="1"/>
    </w:pPr>
    <w:rPr>
      <w:rFonts w:ascii="宋体" w:hAnsi="Calibri" w:eastAsia="宋体" w:cs="Times New Roman"/>
      <w:kern w:val="0"/>
      <w:sz w:val="24"/>
      <w:szCs w:val="24"/>
    </w:rPr>
  </w:style>
  <w:style w:type="paragraph" w:styleId="5">
    <w:name w:val="heading 3"/>
    <w:basedOn w:val="1"/>
    <w:next w:val="1"/>
    <w:link w:val="143"/>
    <w:qFormat/>
    <w:uiPriority w:val="0"/>
    <w:pPr>
      <w:autoSpaceDE w:val="0"/>
      <w:autoSpaceDN w:val="0"/>
      <w:adjustRightInd w:val="0"/>
      <w:jc w:val="left"/>
      <w:outlineLvl w:val="2"/>
    </w:pPr>
    <w:rPr>
      <w:rFonts w:ascii="宋体" w:hAnsi="Calibri" w:eastAsia="宋体" w:cs="Times New Roman"/>
      <w:kern w:val="0"/>
      <w:sz w:val="24"/>
      <w:szCs w:val="24"/>
    </w:rPr>
  </w:style>
  <w:style w:type="paragraph" w:styleId="6">
    <w:name w:val="heading 4"/>
    <w:basedOn w:val="1"/>
    <w:next w:val="1"/>
    <w:link w:val="49"/>
    <w:qFormat/>
    <w:uiPriority w:val="9"/>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7">
    <w:name w:val="heading 5"/>
    <w:basedOn w:val="1"/>
    <w:next w:val="1"/>
    <w:link w:val="131"/>
    <w:autoRedefine/>
    <w:qFormat/>
    <w:uiPriority w:val="9"/>
    <w:pPr>
      <w:keepNext/>
      <w:keepLines/>
      <w:autoSpaceDE w:val="0"/>
      <w:autoSpaceDN w:val="0"/>
      <w:adjustRightInd w:val="0"/>
      <w:spacing w:before="280" w:after="290" w:line="376" w:lineRule="auto"/>
      <w:jc w:val="left"/>
      <w:outlineLvl w:val="4"/>
    </w:pPr>
    <w:rPr>
      <w:rFonts w:ascii="宋体" w:hAnsi="Calibri" w:eastAsia="宋体" w:cs="Times New Roman"/>
      <w:b/>
      <w:bCs/>
      <w:kern w:val="0"/>
      <w:sz w:val="28"/>
      <w:szCs w:val="28"/>
    </w:rPr>
  </w:style>
  <w:style w:type="paragraph" w:styleId="8">
    <w:name w:val="heading 6"/>
    <w:basedOn w:val="1"/>
    <w:next w:val="9"/>
    <w:link w:val="141"/>
    <w:qFormat/>
    <w:uiPriority w:val="9"/>
    <w:pPr>
      <w:keepLines/>
      <w:tabs>
        <w:tab w:val="left" w:pos="1152"/>
      </w:tabs>
      <w:adjustRightInd w:val="0"/>
      <w:snapToGrid w:val="0"/>
      <w:spacing w:beforeLines="50" w:line="360" w:lineRule="auto"/>
      <w:ind w:left="1152" w:hanging="1152"/>
      <w:jc w:val="left"/>
      <w:textAlignment w:val="baseline"/>
      <w:outlineLvl w:val="5"/>
    </w:pPr>
    <w:rPr>
      <w:rFonts w:ascii="Times New Roman" w:hAnsi="Calibri" w:eastAsia="黑体" w:cs="Times New Roman"/>
      <w:b/>
      <w:bCs/>
      <w:kern w:val="0"/>
      <w:sz w:val="28"/>
      <w:szCs w:val="24"/>
    </w:rPr>
  </w:style>
  <w:style w:type="paragraph" w:styleId="10">
    <w:name w:val="heading 7"/>
    <w:basedOn w:val="1"/>
    <w:next w:val="9"/>
    <w:link w:val="52"/>
    <w:qFormat/>
    <w:uiPriority w:val="9"/>
    <w:pPr>
      <w:keepNext/>
      <w:keepLines/>
      <w:tabs>
        <w:tab w:val="left" w:pos="1296"/>
      </w:tabs>
      <w:adjustRightInd w:val="0"/>
      <w:snapToGrid w:val="0"/>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11">
    <w:name w:val="heading 8"/>
    <w:basedOn w:val="1"/>
    <w:next w:val="9"/>
    <w:link w:val="53"/>
    <w:autoRedefine/>
    <w:qFormat/>
    <w:uiPriority w:val="9"/>
    <w:pPr>
      <w:keepNext/>
      <w:keepLines/>
      <w:tabs>
        <w:tab w:val="left" w:pos="1440"/>
      </w:tabs>
      <w:snapToGrid w:val="0"/>
      <w:spacing w:before="240" w:after="120"/>
      <w:ind w:left="1440" w:hanging="1440"/>
      <w:outlineLvl w:val="7"/>
    </w:pPr>
    <w:rPr>
      <w:rFonts w:ascii="Times New Roman" w:hAnsi="Calibri" w:eastAsia="黑体" w:cs="Times New Roman"/>
      <w:b/>
      <w:kern w:val="0"/>
      <w:sz w:val="28"/>
      <w:szCs w:val="24"/>
    </w:rPr>
  </w:style>
  <w:style w:type="paragraph" w:styleId="12">
    <w:name w:val="heading 9"/>
    <w:basedOn w:val="1"/>
    <w:next w:val="9"/>
    <w:link w:val="54"/>
    <w:autoRedefine/>
    <w:qFormat/>
    <w:uiPriority w:val="9"/>
    <w:pPr>
      <w:keepNext/>
      <w:keepLines/>
      <w:tabs>
        <w:tab w:val="left" w:pos="1584"/>
      </w:tabs>
      <w:snapToGrid w:val="0"/>
      <w:spacing w:before="240" w:after="120"/>
      <w:ind w:left="1584" w:hanging="1584"/>
      <w:outlineLvl w:val="8"/>
    </w:pPr>
    <w:rPr>
      <w:rFonts w:ascii="Times New Roman" w:hAnsi="Calibri" w:eastAsia="黑体" w:cs="Times New Roman"/>
      <w:b/>
      <w:kern w:val="0"/>
      <w:sz w:val="28"/>
      <w:szCs w:val="24"/>
    </w:rPr>
  </w:style>
  <w:style w:type="character" w:default="1" w:styleId="39">
    <w:name w:val="Default Paragraph Font"/>
    <w:autoRedefine/>
    <w:semiHidden/>
    <w:unhideWhenUsed/>
    <w:qFormat/>
    <w:uiPriority w:val="1"/>
  </w:style>
  <w:style w:type="table" w:default="1" w:styleId="37">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toa heading"/>
    <w:basedOn w:val="1"/>
    <w:next w:val="1"/>
    <w:autoRedefine/>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customStyle="1" w:styleId="9">
    <w:name w:val="模板正文"/>
    <w:basedOn w:val="1"/>
    <w:link w:val="93"/>
    <w:autoRedefine/>
    <w:qFormat/>
    <w:uiPriority w:val="0"/>
    <w:pPr>
      <w:wordWrap w:val="0"/>
      <w:autoSpaceDE w:val="0"/>
      <w:autoSpaceDN w:val="0"/>
      <w:adjustRightInd w:val="0"/>
      <w:spacing w:beforeLines="50" w:line="360" w:lineRule="auto"/>
      <w:ind w:firstLine="200" w:firstLineChars="200"/>
      <w:jc w:val="left"/>
    </w:pPr>
    <w:rPr>
      <w:rFonts w:ascii="宋体" w:eastAsia="仿宋"/>
      <w:sz w:val="24"/>
      <w:szCs w:val="21"/>
    </w:rPr>
  </w:style>
  <w:style w:type="paragraph" w:styleId="13">
    <w:name w:val="Normal Indent"/>
    <w:basedOn w:val="1"/>
    <w:autoRedefine/>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styleId="14">
    <w:name w:val="caption"/>
    <w:basedOn w:val="1"/>
    <w:next w:val="1"/>
    <w:link w:val="82"/>
    <w:autoRedefine/>
    <w:qFormat/>
    <w:uiPriority w:val="0"/>
    <w:pPr>
      <w:autoSpaceDE w:val="0"/>
      <w:autoSpaceDN w:val="0"/>
      <w:adjustRightInd w:val="0"/>
      <w:spacing w:before="152" w:after="160"/>
      <w:jc w:val="left"/>
    </w:pPr>
    <w:rPr>
      <w:rFonts w:ascii="Arial" w:hAnsi="Arial" w:eastAsia="黑体" w:cs="Arial"/>
    </w:rPr>
  </w:style>
  <w:style w:type="paragraph" w:styleId="15">
    <w:name w:val="Document Map"/>
    <w:basedOn w:val="1"/>
    <w:link w:val="115"/>
    <w:autoRedefine/>
    <w:semiHidden/>
    <w:qFormat/>
    <w:uiPriority w:val="99"/>
    <w:pPr>
      <w:shd w:val="clear" w:color="auto" w:fill="000080"/>
      <w:autoSpaceDE w:val="0"/>
      <w:autoSpaceDN w:val="0"/>
      <w:adjustRightInd w:val="0"/>
      <w:jc w:val="left"/>
    </w:pPr>
    <w:rPr>
      <w:rFonts w:ascii="宋体" w:hAnsi="Times New Roman" w:eastAsia="宋体" w:cs="Times New Roman"/>
      <w:kern w:val="0"/>
      <w:sz w:val="24"/>
      <w:szCs w:val="24"/>
    </w:rPr>
  </w:style>
  <w:style w:type="paragraph" w:styleId="16">
    <w:name w:val="annotation text"/>
    <w:basedOn w:val="1"/>
    <w:link w:val="162"/>
    <w:autoRedefine/>
    <w:unhideWhenUsed/>
    <w:qFormat/>
    <w:uiPriority w:val="99"/>
    <w:pPr>
      <w:jc w:val="left"/>
    </w:pPr>
  </w:style>
  <w:style w:type="paragraph" w:styleId="17">
    <w:name w:val="Body Text 3"/>
    <w:basedOn w:val="1"/>
    <w:link w:val="155"/>
    <w:autoRedefine/>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18">
    <w:name w:val="Body Text"/>
    <w:basedOn w:val="1"/>
    <w:next w:val="1"/>
    <w:link w:val="117"/>
    <w:autoRedefine/>
    <w:qFormat/>
    <w:uiPriority w:val="99"/>
    <w:pPr>
      <w:autoSpaceDE w:val="0"/>
      <w:autoSpaceDN w:val="0"/>
      <w:adjustRightInd w:val="0"/>
      <w:ind w:right="-26"/>
      <w:jc w:val="center"/>
    </w:pPr>
    <w:rPr>
      <w:rFonts w:ascii="宋体" w:eastAsia="宋体"/>
      <w:b/>
      <w:bCs/>
      <w:sz w:val="84"/>
      <w:szCs w:val="84"/>
      <w:lang w:val="zh-CN"/>
    </w:rPr>
  </w:style>
  <w:style w:type="paragraph" w:styleId="19">
    <w:name w:val="Body Text Indent"/>
    <w:basedOn w:val="1"/>
    <w:link w:val="91"/>
    <w:autoRedefine/>
    <w:qFormat/>
    <w:uiPriority w:val="0"/>
    <w:pPr>
      <w:ind w:left="567" w:leftChars="270"/>
    </w:pPr>
    <w:rPr>
      <w:rFonts w:ascii="Times New Roman" w:hAnsi="Times New Roman" w:eastAsia="宋体" w:cs="Times New Roman"/>
      <w:szCs w:val="20"/>
    </w:rPr>
  </w:style>
  <w:style w:type="paragraph" w:styleId="20">
    <w:name w:val="toc 3"/>
    <w:basedOn w:val="1"/>
    <w:next w:val="1"/>
    <w:autoRedefine/>
    <w:unhideWhenUsed/>
    <w:qFormat/>
    <w:uiPriority w:val="39"/>
    <w:pPr>
      <w:tabs>
        <w:tab w:val="right" w:leader="dot" w:pos="10144"/>
      </w:tabs>
      <w:ind w:left="840" w:leftChars="400"/>
    </w:pPr>
  </w:style>
  <w:style w:type="paragraph" w:styleId="21">
    <w:name w:val="Plain Text"/>
    <w:basedOn w:val="1"/>
    <w:link w:val="99"/>
    <w:autoRedefine/>
    <w:qFormat/>
    <w:uiPriority w:val="0"/>
    <w:rPr>
      <w:rFonts w:ascii="宋体" w:hAnsi="Courier New" w:eastAsia="宋体"/>
    </w:rPr>
  </w:style>
  <w:style w:type="paragraph" w:styleId="22">
    <w:name w:val="Date"/>
    <w:basedOn w:val="1"/>
    <w:next w:val="1"/>
    <w:link w:val="107"/>
    <w:autoRedefine/>
    <w:qFormat/>
    <w:uiPriority w:val="99"/>
    <w:pPr>
      <w:autoSpaceDE w:val="0"/>
      <w:autoSpaceDN w:val="0"/>
      <w:adjustRightInd w:val="0"/>
      <w:ind w:left="100" w:leftChars="2500"/>
      <w:jc w:val="left"/>
    </w:pPr>
    <w:rPr>
      <w:rFonts w:ascii="宋体" w:hAnsi="Times New Roman" w:eastAsia="宋体" w:cs="Times New Roman"/>
      <w:b/>
      <w:bCs/>
      <w:szCs w:val="21"/>
      <w:lang w:val="zh-CN"/>
    </w:rPr>
  </w:style>
  <w:style w:type="paragraph" w:styleId="23">
    <w:name w:val="Body Text Indent 2"/>
    <w:basedOn w:val="1"/>
    <w:link w:val="100"/>
    <w:autoRedefine/>
    <w:qFormat/>
    <w:uiPriority w:val="0"/>
    <w:pPr>
      <w:tabs>
        <w:tab w:val="left" w:pos="8640"/>
      </w:tabs>
      <w:ind w:left="1260"/>
    </w:pPr>
    <w:rPr>
      <w:rFonts w:ascii="宋体" w:hAnsi="Times New Roman" w:eastAsia="宋体" w:cs="Times New Roman"/>
      <w:szCs w:val="20"/>
    </w:rPr>
  </w:style>
  <w:style w:type="paragraph" w:styleId="24">
    <w:name w:val="Balloon Text"/>
    <w:basedOn w:val="1"/>
    <w:link w:val="73"/>
    <w:autoRedefine/>
    <w:qFormat/>
    <w:uiPriority w:val="0"/>
    <w:rPr>
      <w:rFonts w:ascii="Times New Roman" w:hAnsi="Times New Roman" w:eastAsia="宋体" w:cs="Times New Roman"/>
      <w:sz w:val="18"/>
      <w:szCs w:val="18"/>
    </w:rPr>
  </w:style>
  <w:style w:type="paragraph" w:styleId="25">
    <w:name w:val="footer"/>
    <w:basedOn w:val="1"/>
    <w:link w:val="77"/>
    <w:autoRedefine/>
    <w:qFormat/>
    <w:uiPriority w:val="99"/>
    <w:pPr>
      <w:tabs>
        <w:tab w:val="center" w:pos="4153"/>
        <w:tab w:val="right" w:pos="8306"/>
      </w:tabs>
      <w:autoSpaceDE w:val="0"/>
      <w:autoSpaceDN w:val="0"/>
      <w:adjustRightInd w:val="0"/>
      <w:snapToGrid w:val="0"/>
      <w:jc w:val="left"/>
    </w:pPr>
    <w:rPr>
      <w:rFonts w:ascii="宋体" w:eastAsia="宋体"/>
      <w:sz w:val="18"/>
      <w:szCs w:val="18"/>
    </w:rPr>
  </w:style>
  <w:style w:type="paragraph" w:styleId="26">
    <w:name w:val="header"/>
    <w:basedOn w:val="1"/>
    <w:link w:val="119"/>
    <w:autoRedefine/>
    <w:qFormat/>
    <w:uiPriority w:val="99"/>
    <w:pPr>
      <w:pBdr>
        <w:bottom w:val="single" w:color="auto" w:sz="6" w:space="1"/>
      </w:pBdr>
      <w:tabs>
        <w:tab w:val="center" w:pos="4153"/>
        <w:tab w:val="right" w:pos="8306"/>
      </w:tabs>
      <w:autoSpaceDE w:val="0"/>
      <w:autoSpaceDN w:val="0"/>
      <w:adjustRightInd w:val="0"/>
      <w:snapToGrid w:val="0"/>
      <w:jc w:val="center"/>
    </w:pPr>
    <w:rPr>
      <w:rFonts w:ascii="宋体" w:eastAsia="宋体"/>
      <w:sz w:val="18"/>
      <w:szCs w:val="18"/>
    </w:rPr>
  </w:style>
  <w:style w:type="paragraph" w:styleId="27">
    <w:name w:val="toc 1"/>
    <w:basedOn w:val="1"/>
    <w:next w:val="1"/>
    <w:autoRedefine/>
    <w:unhideWhenUsed/>
    <w:qFormat/>
    <w:uiPriority w:val="39"/>
  </w:style>
  <w:style w:type="paragraph" w:styleId="28">
    <w:name w:val="List"/>
    <w:basedOn w:val="1"/>
    <w:autoRedefine/>
    <w:unhideWhenUsed/>
    <w:qFormat/>
    <w:uiPriority w:val="0"/>
    <w:pPr>
      <w:autoSpaceDE w:val="0"/>
      <w:autoSpaceDN w:val="0"/>
      <w:adjustRightInd w:val="0"/>
      <w:ind w:left="200" w:hanging="200" w:hangingChars="200"/>
      <w:contextualSpacing/>
      <w:jc w:val="left"/>
    </w:pPr>
    <w:rPr>
      <w:rFonts w:ascii="宋体" w:hAnsi="Calibri" w:eastAsia="宋体" w:cs="Times New Roman"/>
      <w:kern w:val="0"/>
      <w:sz w:val="24"/>
      <w:szCs w:val="24"/>
    </w:rPr>
  </w:style>
  <w:style w:type="paragraph" w:styleId="29">
    <w:name w:val="Body Text Indent 3"/>
    <w:basedOn w:val="1"/>
    <w:link w:val="153"/>
    <w:autoRedefine/>
    <w:qFormat/>
    <w:uiPriority w:val="0"/>
    <w:pPr>
      <w:autoSpaceDE w:val="0"/>
      <w:autoSpaceDN w:val="0"/>
      <w:adjustRightInd w:val="0"/>
      <w:spacing w:line="360" w:lineRule="auto"/>
      <w:ind w:firstLine="480" w:firstLineChars="200"/>
      <w:jc w:val="left"/>
    </w:pPr>
    <w:rPr>
      <w:rFonts w:ascii="宋体" w:hAnsi="Times New Roman" w:eastAsia="宋体" w:cs="Times New Roman"/>
      <w:kern w:val="0"/>
      <w:sz w:val="24"/>
      <w:szCs w:val="24"/>
    </w:rPr>
  </w:style>
  <w:style w:type="paragraph" w:styleId="30">
    <w:name w:val="toc 2"/>
    <w:basedOn w:val="1"/>
    <w:next w:val="1"/>
    <w:semiHidden/>
    <w:unhideWhenUsed/>
    <w:qFormat/>
    <w:uiPriority w:val="39"/>
    <w:pPr>
      <w:ind w:left="420" w:leftChars="200"/>
    </w:pPr>
  </w:style>
  <w:style w:type="paragraph" w:styleId="31">
    <w:name w:val="Body Text 2"/>
    <w:basedOn w:val="1"/>
    <w:link w:val="142"/>
    <w:autoRedefine/>
    <w:qFormat/>
    <w:uiPriority w:val="0"/>
    <w:pPr>
      <w:tabs>
        <w:tab w:val="left" w:pos="0"/>
      </w:tabs>
      <w:spacing w:line="400" w:lineRule="atLeast"/>
    </w:pPr>
    <w:rPr>
      <w:rFonts w:ascii="Arial" w:hAnsi="Arial" w:eastAsia="宋体" w:cs="Times New Roman"/>
      <w:color w:val="000000"/>
      <w:szCs w:val="24"/>
    </w:rPr>
  </w:style>
  <w:style w:type="paragraph" w:styleId="32">
    <w:name w:val="HTML Preformatted"/>
    <w:basedOn w:val="1"/>
    <w:link w:val="85"/>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Cs w:val="21"/>
    </w:rPr>
  </w:style>
  <w:style w:type="paragraph" w:styleId="33">
    <w:name w:val="Normal (Web)"/>
    <w:basedOn w:val="1"/>
    <w:link w:val="92"/>
    <w:autoRedefine/>
    <w:qFormat/>
    <w:uiPriority w:val="0"/>
    <w:pPr>
      <w:widowControl/>
      <w:spacing w:before="100" w:beforeAutospacing="1" w:after="100" w:afterAutospacing="1"/>
      <w:jc w:val="left"/>
    </w:pPr>
    <w:rPr>
      <w:rFonts w:ascii="宋体" w:hAnsi="宋体"/>
      <w:sz w:val="15"/>
      <w:szCs w:val="15"/>
    </w:rPr>
  </w:style>
  <w:style w:type="paragraph" w:styleId="34">
    <w:name w:val="Title"/>
    <w:basedOn w:val="1"/>
    <w:next w:val="1"/>
    <w:link w:val="57"/>
    <w:autoRedefine/>
    <w:qFormat/>
    <w:uiPriority w:val="10"/>
    <w:pPr>
      <w:spacing w:before="120" w:after="60" w:line="300" w:lineRule="auto"/>
      <w:jc w:val="left"/>
      <w:outlineLvl w:val="0"/>
    </w:pPr>
    <w:rPr>
      <w:rFonts w:ascii="等线 Light" w:hAnsi="等线 Light" w:eastAsia="仿宋"/>
      <w:b/>
      <w:bCs/>
      <w:sz w:val="28"/>
      <w:szCs w:val="32"/>
    </w:rPr>
  </w:style>
  <w:style w:type="paragraph" w:styleId="35">
    <w:name w:val="annotation subject"/>
    <w:basedOn w:val="16"/>
    <w:next w:val="16"/>
    <w:link w:val="109"/>
    <w:autoRedefine/>
    <w:qFormat/>
    <w:uiPriority w:val="99"/>
    <w:pPr>
      <w:autoSpaceDE w:val="0"/>
      <w:autoSpaceDN w:val="0"/>
      <w:adjustRightInd w:val="0"/>
    </w:pPr>
    <w:rPr>
      <w:rFonts w:ascii="宋体" w:hAnsi="Times New Roman" w:eastAsia="宋体" w:cs="Times New Roman"/>
      <w:b/>
      <w:bCs/>
      <w:kern w:val="0"/>
      <w:sz w:val="24"/>
      <w:szCs w:val="24"/>
    </w:rPr>
  </w:style>
  <w:style w:type="paragraph" w:styleId="36">
    <w:name w:val="Body Text First Indent"/>
    <w:basedOn w:val="18"/>
    <w:link w:val="200"/>
    <w:semiHidden/>
    <w:unhideWhenUsed/>
    <w:qFormat/>
    <w:uiPriority w:val="99"/>
    <w:pPr>
      <w:autoSpaceDE/>
      <w:autoSpaceDN/>
      <w:adjustRightInd/>
      <w:spacing w:after="120"/>
      <w:ind w:right="0" w:firstLine="420" w:firstLineChars="100"/>
      <w:jc w:val="both"/>
    </w:pPr>
    <w:rPr>
      <w:rFonts w:asciiTheme="minorHAnsi" w:eastAsiaTheme="minorEastAsia"/>
      <w:b w:val="0"/>
      <w:bCs w:val="0"/>
      <w:sz w:val="21"/>
      <w:szCs w:val="22"/>
      <w:lang w:val="en-US"/>
    </w:rPr>
  </w:style>
  <w:style w:type="table" w:styleId="38">
    <w:name w:val="Table Grid"/>
    <w:basedOn w:val="37"/>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autoRedefine/>
    <w:qFormat/>
    <w:uiPriority w:val="0"/>
    <w:rPr>
      <w:b/>
      <w:bCs/>
    </w:rPr>
  </w:style>
  <w:style w:type="character" w:styleId="41">
    <w:name w:val="FollowedHyperlink"/>
    <w:autoRedefine/>
    <w:unhideWhenUsed/>
    <w:qFormat/>
    <w:uiPriority w:val="99"/>
    <w:rPr>
      <w:color w:val="954F72"/>
      <w:u w:val="single"/>
    </w:rPr>
  </w:style>
  <w:style w:type="character" w:styleId="42">
    <w:name w:val="Emphasis"/>
    <w:autoRedefine/>
    <w:qFormat/>
    <w:uiPriority w:val="0"/>
    <w:rPr>
      <w:i/>
      <w:iCs/>
    </w:rPr>
  </w:style>
  <w:style w:type="character" w:styleId="43">
    <w:name w:val="Hyperlink"/>
    <w:autoRedefine/>
    <w:qFormat/>
    <w:uiPriority w:val="99"/>
    <w:rPr>
      <w:rFonts w:hint="default" w:ascii="Arial" w:hAnsi="Arial" w:cs="Arial"/>
      <w:color w:val="000000"/>
      <w:sz w:val="20"/>
      <w:szCs w:val="20"/>
      <w:u w:val="none"/>
    </w:rPr>
  </w:style>
  <w:style w:type="character" w:styleId="44">
    <w:name w:val="annotation reference"/>
    <w:autoRedefine/>
    <w:qFormat/>
    <w:uiPriority w:val="99"/>
    <w:rPr>
      <w:sz w:val="21"/>
      <w:szCs w:val="21"/>
    </w:rPr>
  </w:style>
  <w:style w:type="paragraph" w:customStyle="1" w:styleId="45">
    <w:name w:val="首行缩进"/>
    <w:basedOn w:val="1"/>
    <w:autoRedefine/>
    <w:qFormat/>
    <w:uiPriority w:val="0"/>
    <w:pPr>
      <w:ind w:firstLine="480" w:firstLineChars="200"/>
    </w:pPr>
    <w:rPr>
      <w:lang w:val="zh-CN"/>
    </w:rPr>
  </w:style>
  <w:style w:type="character" w:customStyle="1" w:styleId="46">
    <w:name w:val="标题 1 字符"/>
    <w:basedOn w:val="39"/>
    <w:autoRedefine/>
    <w:qFormat/>
    <w:uiPriority w:val="0"/>
    <w:rPr>
      <w:b/>
      <w:bCs/>
      <w:kern w:val="44"/>
      <w:sz w:val="44"/>
      <w:szCs w:val="44"/>
    </w:rPr>
  </w:style>
  <w:style w:type="character" w:customStyle="1" w:styleId="47">
    <w:name w:val="标题 2 Char"/>
    <w:basedOn w:val="39"/>
    <w:link w:val="4"/>
    <w:autoRedefine/>
    <w:qFormat/>
    <w:uiPriority w:val="0"/>
    <w:rPr>
      <w:rFonts w:ascii="宋体" w:hAnsi="Calibri" w:eastAsia="宋体" w:cs="Times New Roman"/>
      <w:kern w:val="0"/>
      <w:sz w:val="24"/>
      <w:szCs w:val="24"/>
    </w:rPr>
  </w:style>
  <w:style w:type="character" w:customStyle="1" w:styleId="48">
    <w:name w:val="标题 3 字符"/>
    <w:basedOn w:val="39"/>
    <w:autoRedefine/>
    <w:qFormat/>
    <w:uiPriority w:val="0"/>
    <w:rPr>
      <w:b/>
      <w:bCs/>
      <w:sz w:val="32"/>
      <w:szCs w:val="32"/>
    </w:rPr>
  </w:style>
  <w:style w:type="character" w:customStyle="1" w:styleId="49">
    <w:name w:val="标题 4 Char1"/>
    <w:basedOn w:val="39"/>
    <w:link w:val="6"/>
    <w:autoRedefine/>
    <w:qFormat/>
    <w:uiPriority w:val="9"/>
    <w:rPr>
      <w:rFonts w:ascii="Arial" w:hAnsi="Arial" w:eastAsia="黑体" w:cs="Times New Roman"/>
      <w:b/>
      <w:bCs/>
      <w:kern w:val="0"/>
      <w:sz w:val="28"/>
      <w:szCs w:val="28"/>
    </w:rPr>
  </w:style>
  <w:style w:type="character" w:customStyle="1" w:styleId="50">
    <w:name w:val="标题 5 字符"/>
    <w:basedOn w:val="39"/>
    <w:autoRedefine/>
    <w:qFormat/>
    <w:uiPriority w:val="9"/>
    <w:rPr>
      <w:b/>
      <w:bCs/>
      <w:sz w:val="28"/>
      <w:szCs w:val="28"/>
    </w:rPr>
  </w:style>
  <w:style w:type="character" w:customStyle="1" w:styleId="51">
    <w:name w:val="标题 6 字符"/>
    <w:basedOn w:val="39"/>
    <w:autoRedefine/>
    <w:qFormat/>
    <w:uiPriority w:val="0"/>
    <w:rPr>
      <w:rFonts w:asciiTheme="majorHAnsi" w:hAnsiTheme="majorHAnsi" w:eastAsiaTheme="majorEastAsia" w:cstheme="majorBidi"/>
      <w:b/>
      <w:bCs/>
      <w:sz w:val="24"/>
      <w:szCs w:val="24"/>
    </w:rPr>
  </w:style>
  <w:style w:type="character" w:customStyle="1" w:styleId="52">
    <w:name w:val="标题 7 Char"/>
    <w:basedOn w:val="39"/>
    <w:link w:val="10"/>
    <w:autoRedefine/>
    <w:qFormat/>
    <w:uiPriority w:val="9"/>
    <w:rPr>
      <w:rFonts w:ascii="Times New Roman" w:hAnsi="Calibri" w:eastAsia="黑体" w:cs="Times New Roman"/>
      <w:b/>
      <w:bCs/>
      <w:kern w:val="0"/>
      <w:sz w:val="28"/>
      <w:szCs w:val="24"/>
    </w:rPr>
  </w:style>
  <w:style w:type="character" w:customStyle="1" w:styleId="53">
    <w:name w:val="标题 8 Char"/>
    <w:basedOn w:val="39"/>
    <w:link w:val="11"/>
    <w:qFormat/>
    <w:uiPriority w:val="9"/>
    <w:rPr>
      <w:rFonts w:ascii="Times New Roman" w:hAnsi="Calibri" w:eastAsia="黑体" w:cs="Times New Roman"/>
      <w:b/>
      <w:kern w:val="0"/>
      <w:sz w:val="28"/>
      <w:szCs w:val="24"/>
    </w:rPr>
  </w:style>
  <w:style w:type="character" w:customStyle="1" w:styleId="54">
    <w:name w:val="标题 9 Char"/>
    <w:basedOn w:val="39"/>
    <w:link w:val="12"/>
    <w:autoRedefine/>
    <w:qFormat/>
    <w:uiPriority w:val="9"/>
    <w:rPr>
      <w:rFonts w:ascii="Times New Roman" w:hAnsi="Calibri" w:eastAsia="黑体" w:cs="Times New Roman"/>
      <w:b/>
      <w:kern w:val="0"/>
      <w:sz w:val="28"/>
      <w:szCs w:val="24"/>
    </w:rPr>
  </w:style>
  <w:style w:type="character" w:customStyle="1" w:styleId="55">
    <w:name w:val="正文文本缩进 字符"/>
    <w:autoRedefine/>
    <w:qFormat/>
    <w:uiPriority w:val="0"/>
    <w:rPr>
      <w:rFonts w:ascii="Times New Roman" w:hAnsi="Times New Roman" w:eastAsia="宋体" w:cs="Times New Roman"/>
      <w:szCs w:val="20"/>
    </w:rPr>
  </w:style>
  <w:style w:type="character" w:customStyle="1" w:styleId="56">
    <w:name w:val="普通(网站) Char"/>
    <w:autoRedefine/>
    <w:qFormat/>
    <w:locked/>
    <w:uiPriority w:val="0"/>
    <w:rPr>
      <w:rFonts w:ascii="宋体" w:hAnsi="宋体"/>
      <w:sz w:val="15"/>
      <w:szCs w:val="15"/>
    </w:rPr>
  </w:style>
  <w:style w:type="character" w:customStyle="1" w:styleId="57">
    <w:name w:val="标题 Char"/>
    <w:link w:val="34"/>
    <w:autoRedefine/>
    <w:qFormat/>
    <w:uiPriority w:val="10"/>
    <w:rPr>
      <w:rFonts w:ascii="等线 Light" w:hAnsi="等线 Light" w:eastAsia="仿宋"/>
      <w:b/>
      <w:bCs/>
      <w:sz w:val="28"/>
      <w:szCs w:val="32"/>
    </w:rPr>
  </w:style>
  <w:style w:type="character" w:customStyle="1" w:styleId="58">
    <w:name w:val="日期 Char"/>
    <w:autoRedefine/>
    <w:semiHidden/>
    <w:qFormat/>
    <w:uiPriority w:val="99"/>
    <w:rPr>
      <w:kern w:val="2"/>
      <w:sz w:val="21"/>
    </w:rPr>
  </w:style>
  <w:style w:type="character" w:customStyle="1" w:styleId="59">
    <w:name w:val="文档结构图 字符1"/>
    <w:autoRedefine/>
    <w:semiHidden/>
    <w:qFormat/>
    <w:uiPriority w:val="99"/>
    <w:rPr>
      <w:rFonts w:ascii="Microsoft YaHei UI" w:hAnsi="Calibri" w:eastAsia="Microsoft YaHei UI" w:cs="Times New Roman"/>
      <w:kern w:val="0"/>
      <w:sz w:val="18"/>
      <w:szCs w:val="18"/>
    </w:rPr>
  </w:style>
  <w:style w:type="character" w:customStyle="1" w:styleId="60">
    <w:name w:val="批注文字 Char"/>
    <w:autoRedefine/>
    <w:semiHidden/>
    <w:qFormat/>
    <w:uiPriority w:val="99"/>
    <w:rPr>
      <w:kern w:val="2"/>
      <w:sz w:val="21"/>
    </w:rPr>
  </w:style>
  <w:style w:type="character" w:customStyle="1" w:styleId="61">
    <w:name w:val="正文缩进2格 Char"/>
    <w:link w:val="62"/>
    <w:autoRedefine/>
    <w:qFormat/>
    <w:uiPriority w:val="0"/>
    <w:rPr>
      <w:rFonts w:ascii="仿宋_GB2312" w:hAnsi="宋体" w:eastAsia="仿宋_GB2312"/>
      <w:sz w:val="31"/>
      <w:szCs w:val="28"/>
    </w:rPr>
  </w:style>
  <w:style w:type="paragraph" w:customStyle="1" w:styleId="62">
    <w:name w:val="正文缩进2格"/>
    <w:basedOn w:val="1"/>
    <w:link w:val="61"/>
    <w:autoRedefine/>
    <w:qFormat/>
    <w:uiPriority w:val="0"/>
    <w:pPr>
      <w:spacing w:line="600" w:lineRule="exact"/>
      <w:ind w:firstLine="639" w:firstLineChars="206"/>
    </w:pPr>
    <w:rPr>
      <w:rFonts w:ascii="仿宋_GB2312" w:hAnsi="宋体" w:eastAsia="仿宋_GB2312"/>
      <w:sz w:val="31"/>
      <w:szCs w:val="28"/>
    </w:rPr>
  </w:style>
  <w:style w:type="character" w:customStyle="1" w:styleId="63">
    <w:name w:val="批注文字 字符"/>
    <w:autoRedefine/>
    <w:semiHidden/>
    <w:qFormat/>
    <w:uiPriority w:val="99"/>
    <w:rPr>
      <w:rFonts w:ascii="Times New Roman" w:hAnsi="Times New Roman"/>
      <w:kern w:val="2"/>
      <w:sz w:val="24"/>
      <w:szCs w:val="24"/>
    </w:rPr>
  </w:style>
  <w:style w:type="character" w:customStyle="1" w:styleId="64">
    <w:name w:val="正文文本缩进 Char"/>
    <w:qFormat/>
    <w:uiPriority w:val="0"/>
    <w:rPr>
      <w:rFonts w:ascii="Times New Roman" w:hAnsi="Times New Roman" w:eastAsia="宋体" w:cs="Times New Roman"/>
      <w:szCs w:val="20"/>
      <w:lang w:val="en-US" w:eastAsia="zh-CN"/>
    </w:rPr>
  </w:style>
  <w:style w:type="character" w:customStyle="1" w:styleId="65">
    <w:name w:val="批注框文本 字符1"/>
    <w:autoRedefine/>
    <w:semiHidden/>
    <w:qFormat/>
    <w:uiPriority w:val="99"/>
    <w:rPr>
      <w:rFonts w:ascii="宋体" w:hAnsi="Calibri" w:eastAsia="宋体" w:cs="Times New Roman"/>
      <w:kern w:val="0"/>
      <w:sz w:val="18"/>
      <w:szCs w:val="18"/>
    </w:rPr>
  </w:style>
  <w:style w:type="character" w:customStyle="1" w:styleId="66">
    <w:name w:val="List Paragraph Char"/>
    <w:link w:val="67"/>
    <w:autoRedefine/>
    <w:qFormat/>
    <w:uiPriority w:val="34"/>
    <w:rPr>
      <w:rFonts w:ascii="Calibri" w:hAnsi="Calibri"/>
    </w:rPr>
  </w:style>
  <w:style w:type="paragraph" w:customStyle="1" w:styleId="67">
    <w:name w:val="列出段落1"/>
    <w:basedOn w:val="1"/>
    <w:link w:val="66"/>
    <w:autoRedefine/>
    <w:qFormat/>
    <w:uiPriority w:val="34"/>
    <w:pPr>
      <w:ind w:firstLine="420" w:firstLineChars="200"/>
    </w:pPr>
    <w:rPr>
      <w:rFonts w:ascii="Calibri" w:hAnsi="Calibri"/>
    </w:rPr>
  </w:style>
  <w:style w:type="character" w:customStyle="1" w:styleId="68">
    <w:name w:val="标书正文 字符"/>
    <w:link w:val="69"/>
    <w:autoRedefine/>
    <w:qFormat/>
    <w:uiPriority w:val="0"/>
    <w:rPr>
      <w:rFonts w:ascii="Calibri" w:hAnsi="Calibri" w:eastAsia="仿宋"/>
      <w:sz w:val="24"/>
      <w:szCs w:val="21"/>
    </w:rPr>
  </w:style>
  <w:style w:type="paragraph" w:customStyle="1" w:styleId="69">
    <w:name w:val="标书正文"/>
    <w:basedOn w:val="1"/>
    <w:link w:val="68"/>
    <w:autoRedefine/>
    <w:qFormat/>
    <w:uiPriority w:val="0"/>
    <w:pPr>
      <w:adjustRightInd w:val="0"/>
      <w:snapToGrid w:val="0"/>
      <w:spacing w:beforeLines="50" w:line="360" w:lineRule="auto"/>
      <w:ind w:firstLine="200" w:firstLineChars="200"/>
    </w:pPr>
    <w:rPr>
      <w:rFonts w:ascii="Calibri" w:hAnsi="Calibri" w:eastAsia="仿宋"/>
      <w:sz w:val="24"/>
      <w:szCs w:val="21"/>
    </w:rPr>
  </w:style>
  <w:style w:type="character" w:customStyle="1" w:styleId="70">
    <w:name w:val="正文文本 字符"/>
    <w:autoRedefine/>
    <w:semiHidden/>
    <w:qFormat/>
    <w:uiPriority w:val="99"/>
    <w:rPr>
      <w:rFonts w:ascii="Times New Roman" w:hAnsi="Times New Roman"/>
      <w:kern w:val="2"/>
      <w:sz w:val="24"/>
      <w:szCs w:val="24"/>
    </w:rPr>
  </w:style>
  <w:style w:type="character" w:customStyle="1" w:styleId="71">
    <w:name w:val="页脚 Char"/>
    <w:autoRedefine/>
    <w:qFormat/>
    <w:uiPriority w:val="0"/>
    <w:rPr>
      <w:kern w:val="2"/>
      <w:sz w:val="18"/>
      <w:szCs w:val="18"/>
    </w:rPr>
  </w:style>
  <w:style w:type="character" w:customStyle="1" w:styleId="72">
    <w:name w:val="neir1"/>
    <w:autoRedefine/>
    <w:qFormat/>
    <w:uiPriority w:val="0"/>
    <w:rPr>
      <w:rFonts w:hint="default" w:ascii="ˎ̥" w:hAnsi="ˎ̥"/>
      <w:color w:val="333333"/>
      <w:sz w:val="21"/>
      <w:szCs w:val="21"/>
      <w:u w:val="none"/>
    </w:rPr>
  </w:style>
  <w:style w:type="character" w:customStyle="1" w:styleId="73">
    <w:name w:val="批注框文本 Char1"/>
    <w:link w:val="24"/>
    <w:autoRedefine/>
    <w:qFormat/>
    <w:uiPriority w:val="0"/>
    <w:rPr>
      <w:rFonts w:ascii="Times New Roman" w:hAnsi="Times New Roman" w:eastAsia="宋体" w:cs="Times New Roman"/>
      <w:sz w:val="18"/>
      <w:szCs w:val="18"/>
    </w:rPr>
  </w:style>
  <w:style w:type="character" w:customStyle="1" w:styleId="74">
    <w:name w:val="正文文本 3 字符1"/>
    <w:autoRedefine/>
    <w:semiHidden/>
    <w:qFormat/>
    <w:uiPriority w:val="99"/>
    <w:rPr>
      <w:rFonts w:ascii="宋体" w:hAnsi="Calibri" w:eastAsia="宋体" w:cs="Times New Roman"/>
      <w:kern w:val="0"/>
      <w:sz w:val="16"/>
      <w:szCs w:val="16"/>
    </w:rPr>
  </w:style>
  <w:style w:type="character" w:customStyle="1" w:styleId="75">
    <w:name w:val="正文文本 字符3"/>
    <w:autoRedefine/>
    <w:semiHidden/>
    <w:qFormat/>
    <w:uiPriority w:val="99"/>
    <w:rPr>
      <w:rFonts w:ascii="宋体" w:hAnsi="Calibri" w:eastAsia="宋体" w:cs="Times New Roman"/>
      <w:kern w:val="0"/>
      <w:sz w:val="24"/>
      <w:szCs w:val="24"/>
    </w:rPr>
  </w:style>
  <w:style w:type="character" w:customStyle="1" w:styleId="76">
    <w:name w:val="日期 字符1"/>
    <w:autoRedefine/>
    <w:semiHidden/>
    <w:qFormat/>
    <w:uiPriority w:val="99"/>
    <w:rPr>
      <w:rFonts w:ascii="宋体" w:hAnsi="Calibri" w:eastAsia="宋体" w:cs="Times New Roman"/>
      <w:kern w:val="0"/>
      <w:sz w:val="24"/>
      <w:szCs w:val="24"/>
    </w:rPr>
  </w:style>
  <w:style w:type="character" w:customStyle="1" w:styleId="77">
    <w:name w:val="页脚 Char2"/>
    <w:link w:val="25"/>
    <w:autoRedefine/>
    <w:qFormat/>
    <w:uiPriority w:val="99"/>
    <w:rPr>
      <w:rFonts w:ascii="宋体" w:eastAsia="宋体"/>
      <w:sz w:val="18"/>
      <w:szCs w:val="18"/>
    </w:rPr>
  </w:style>
  <w:style w:type="character" w:customStyle="1" w:styleId="78">
    <w:name w:val="吉奥正文 Char"/>
    <w:link w:val="79"/>
    <w:autoRedefine/>
    <w:qFormat/>
    <w:locked/>
    <w:uiPriority w:val="0"/>
    <w:rPr>
      <w:rFonts w:eastAsia="仿宋_GB2312"/>
      <w:sz w:val="28"/>
    </w:rPr>
  </w:style>
  <w:style w:type="paragraph" w:customStyle="1" w:styleId="79">
    <w:name w:val="吉奥正文"/>
    <w:basedOn w:val="1"/>
    <w:link w:val="78"/>
    <w:autoRedefine/>
    <w:qFormat/>
    <w:uiPriority w:val="0"/>
    <w:pPr>
      <w:adjustRightInd w:val="0"/>
      <w:snapToGrid w:val="0"/>
      <w:spacing w:before="120" w:line="360" w:lineRule="auto"/>
      <w:ind w:firstLine="200" w:firstLineChars="200"/>
      <w:textAlignment w:val="baseline"/>
    </w:pPr>
    <w:rPr>
      <w:rFonts w:eastAsia="仿宋_GB2312"/>
      <w:sz w:val="28"/>
    </w:rPr>
  </w:style>
  <w:style w:type="character" w:customStyle="1" w:styleId="80">
    <w:name w:val="页脚 Char1"/>
    <w:autoRedefine/>
    <w:qFormat/>
    <w:uiPriority w:val="99"/>
    <w:rPr>
      <w:rFonts w:ascii="宋体" w:hAnsi="Times New Roman" w:eastAsia="宋体" w:cs="Times New Roman"/>
      <w:kern w:val="0"/>
      <w:sz w:val="18"/>
      <w:szCs w:val="18"/>
    </w:rPr>
  </w:style>
  <w:style w:type="character" w:customStyle="1" w:styleId="81">
    <w:name w:val="标题 字符"/>
    <w:autoRedefine/>
    <w:qFormat/>
    <w:uiPriority w:val="10"/>
    <w:rPr>
      <w:rFonts w:ascii="Cambria" w:hAnsi="Cambria" w:eastAsia="宋体" w:cs="Times New Roman"/>
      <w:b/>
      <w:bCs/>
      <w:kern w:val="0"/>
      <w:sz w:val="32"/>
      <w:szCs w:val="32"/>
      <w:lang w:val="en-US" w:eastAsia="zh-CN"/>
    </w:rPr>
  </w:style>
  <w:style w:type="character" w:customStyle="1" w:styleId="82">
    <w:name w:val="题注 Char"/>
    <w:link w:val="14"/>
    <w:autoRedefine/>
    <w:qFormat/>
    <w:uiPriority w:val="0"/>
    <w:rPr>
      <w:rFonts w:ascii="Arial" w:hAnsi="Arial" w:eastAsia="黑体" w:cs="Arial"/>
    </w:rPr>
  </w:style>
  <w:style w:type="character" w:customStyle="1" w:styleId="83">
    <w:name w:val="批注文字 字符2"/>
    <w:autoRedefine/>
    <w:qFormat/>
    <w:uiPriority w:val="99"/>
    <w:rPr>
      <w:rFonts w:ascii="宋体" w:hAnsi="Times New Roman" w:eastAsia="宋体" w:cs="Times New Roman"/>
      <w:kern w:val="0"/>
      <w:sz w:val="24"/>
      <w:szCs w:val="24"/>
    </w:rPr>
  </w:style>
  <w:style w:type="character" w:customStyle="1" w:styleId="84">
    <w:name w:val="批注主题 字符1"/>
    <w:autoRedefine/>
    <w:semiHidden/>
    <w:qFormat/>
    <w:uiPriority w:val="99"/>
    <w:rPr>
      <w:rFonts w:ascii="宋体" w:hAnsi="Calibri" w:eastAsia="宋体" w:cs="Times New Roman"/>
      <w:b/>
      <w:bCs/>
      <w:kern w:val="0"/>
      <w:sz w:val="24"/>
      <w:szCs w:val="24"/>
    </w:rPr>
  </w:style>
  <w:style w:type="character" w:customStyle="1" w:styleId="85">
    <w:name w:val="HTML 预设格式 Char"/>
    <w:link w:val="32"/>
    <w:autoRedefine/>
    <w:qFormat/>
    <w:uiPriority w:val="99"/>
    <w:rPr>
      <w:rFonts w:ascii="Arial" w:hAnsi="Arial" w:eastAsia="宋体" w:cs="Arial"/>
      <w:szCs w:val="21"/>
    </w:rPr>
  </w:style>
  <w:style w:type="character" w:customStyle="1" w:styleId="86">
    <w:name w:val="标题 3.1 Char"/>
    <w:link w:val="87"/>
    <w:qFormat/>
    <w:uiPriority w:val="0"/>
    <w:rPr>
      <w:rFonts w:ascii="宋体" w:hAnsi="宋体"/>
      <w:b/>
      <w:bCs/>
      <w:sz w:val="32"/>
      <w:szCs w:val="32"/>
    </w:rPr>
  </w:style>
  <w:style w:type="paragraph" w:customStyle="1" w:styleId="87">
    <w:name w:val="标题 3.1"/>
    <w:basedOn w:val="5"/>
    <w:link w:val="86"/>
    <w:autoRedefine/>
    <w:qFormat/>
    <w:uiPriority w:val="0"/>
    <w:pPr>
      <w:keepNext/>
      <w:keepLines/>
      <w:pageBreakBefore/>
      <w:tabs>
        <w:tab w:val="left" w:pos="1440"/>
        <w:tab w:val="left" w:pos="1620"/>
      </w:tabs>
      <w:autoSpaceDE/>
      <w:autoSpaceDN/>
      <w:adjustRightInd/>
      <w:spacing w:before="260" w:after="260" w:line="600" w:lineRule="exact"/>
      <w:jc w:val="both"/>
    </w:pPr>
    <w:rPr>
      <w:rFonts w:hAnsi="宋体" w:eastAsiaTheme="minorEastAsia" w:cstheme="minorBidi"/>
      <w:b/>
      <w:bCs/>
      <w:kern w:val="2"/>
      <w:sz w:val="32"/>
      <w:szCs w:val="32"/>
    </w:rPr>
  </w:style>
  <w:style w:type="character" w:customStyle="1" w:styleId="88">
    <w:name w:val="HTML 预设格式 Char1"/>
    <w:autoRedefine/>
    <w:semiHidden/>
    <w:qFormat/>
    <w:uiPriority w:val="99"/>
    <w:rPr>
      <w:rFonts w:ascii="Courier New" w:hAnsi="Courier New" w:eastAsia="宋体" w:cs="Courier New"/>
      <w:kern w:val="0"/>
      <w:sz w:val="20"/>
      <w:szCs w:val="20"/>
    </w:rPr>
  </w:style>
  <w:style w:type="character" w:customStyle="1" w:styleId="89">
    <w:name w:val="批注文字 字符1"/>
    <w:autoRedefine/>
    <w:qFormat/>
    <w:uiPriority w:val="0"/>
    <w:rPr>
      <w:rFonts w:eastAsia="宋体"/>
      <w:kern w:val="2"/>
      <w:sz w:val="24"/>
      <w:szCs w:val="24"/>
      <w:lang w:val="en-US" w:eastAsia="zh-CN" w:bidi="ar-SA"/>
    </w:rPr>
  </w:style>
  <w:style w:type="character" w:customStyle="1" w:styleId="90">
    <w:name w:val="正文文本缩进 字符2"/>
    <w:autoRedefine/>
    <w:semiHidden/>
    <w:qFormat/>
    <w:uiPriority w:val="99"/>
    <w:rPr>
      <w:rFonts w:ascii="宋体" w:hAnsi="Calibri" w:eastAsia="宋体" w:cs="Times New Roman"/>
      <w:kern w:val="0"/>
      <w:sz w:val="24"/>
      <w:szCs w:val="24"/>
    </w:rPr>
  </w:style>
  <w:style w:type="character" w:customStyle="1" w:styleId="91">
    <w:name w:val="正文文本缩进 Char1"/>
    <w:link w:val="19"/>
    <w:autoRedefine/>
    <w:qFormat/>
    <w:uiPriority w:val="0"/>
    <w:rPr>
      <w:rFonts w:ascii="Times New Roman" w:hAnsi="Times New Roman" w:eastAsia="宋体" w:cs="Times New Roman"/>
      <w:szCs w:val="20"/>
    </w:rPr>
  </w:style>
  <w:style w:type="character" w:customStyle="1" w:styleId="92">
    <w:name w:val="普通(网站) Char1"/>
    <w:link w:val="33"/>
    <w:autoRedefine/>
    <w:qFormat/>
    <w:locked/>
    <w:uiPriority w:val="0"/>
    <w:rPr>
      <w:rFonts w:ascii="宋体" w:hAnsi="宋体"/>
      <w:sz w:val="15"/>
      <w:szCs w:val="15"/>
    </w:rPr>
  </w:style>
  <w:style w:type="character" w:customStyle="1" w:styleId="93">
    <w:name w:val="模板正文 Char"/>
    <w:link w:val="9"/>
    <w:autoRedefine/>
    <w:qFormat/>
    <w:uiPriority w:val="0"/>
    <w:rPr>
      <w:rFonts w:ascii="宋体" w:eastAsia="仿宋"/>
      <w:sz w:val="24"/>
      <w:szCs w:val="21"/>
    </w:rPr>
  </w:style>
  <w:style w:type="character" w:customStyle="1" w:styleId="94">
    <w:name w:val="批注主题 Char"/>
    <w:autoRedefine/>
    <w:semiHidden/>
    <w:qFormat/>
    <w:uiPriority w:val="99"/>
    <w:rPr>
      <w:b/>
      <w:bCs/>
      <w:kern w:val="2"/>
      <w:sz w:val="21"/>
    </w:rPr>
  </w:style>
  <w:style w:type="character" w:customStyle="1" w:styleId="95">
    <w:name w:val="正文文本 Char1"/>
    <w:autoRedefine/>
    <w:qFormat/>
    <w:uiPriority w:val="0"/>
    <w:rPr>
      <w:rFonts w:ascii="宋体" w:hAnsi="Times New Roman" w:eastAsia="宋体" w:cs="Times New Roman"/>
      <w:kern w:val="0"/>
      <w:sz w:val="24"/>
      <w:szCs w:val="24"/>
    </w:rPr>
  </w:style>
  <w:style w:type="character" w:customStyle="1" w:styleId="96">
    <w:name w:val="正文文本 字符1"/>
    <w:autoRedefine/>
    <w:qFormat/>
    <w:uiPriority w:val="99"/>
    <w:rPr>
      <w:rFonts w:ascii="宋体" w:eastAsia="宋体"/>
      <w:b/>
      <w:bCs/>
      <w:sz w:val="84"/>
      <w:szCs w:val="84"/>
      <w:lang w:val="zh-CN"/>
    </w:rPr>
  </w:style>
  <w:style w:type="character" w:customStyle="1" w:styleId="97">
    <w:name w:val="标题 1 Char"/>
    <w:autoRedefine/>
    <w:qFormat/>
    <w:uiPriority w:val="9"/>
    <w:rPr>
      <w:rFonts w:ascii="宋体" w:hAnsi="Times New Roman" w:eastAsia="宋体" w:cs="Times New Roman"/>
      <w:kern w:val="0"/>
      <w:sz w:val="24"/>
      <w:szCs w:val="24"/>
    </w:rPr>
  </w:style>
  <w:style w:type="character" w:customStyle="1" w:styleId="98">
    <w:name w:val="正文文本 Char2"/>
    <w:autoRedefine/>
    <w:qFormat/>
    <w:uiPriority w:val="99"/>
    <w:rPr>
      <w:rFonts w:ascii="宋体" w:eastAsia="宋体"/>
      <w:b/>
      <w:bCs/>
      <w:sz w:val="84"/>
      <w:szCs w:val="84"/>
      <w:lang w:val="zh-CN"/>
    </w:rPr>
  </w:style>
  <w:style w:type="character" w:customStyle="1" w:styleId="99">
    <w:name w:val="纯文本 Char2"/>
    <w:link w:val="21"/>
    <w:autoRedefine/>
    <w:qFormat/>
    <w:uiPriority w:val="0"/>
    <w:rPr>
      <w:rFonts w:ascii="宋体" w:hAnsi="Courier New" w:eastAsia="宋体"/>
    </w:rPr>
  </w:style>
  <w:style w:type="character" w:customStyle="1" w:styleId="100">
    <w:name w:val="正文文本缩进 2 Char"/>
    <w:link w:val="23"/>
    <w:autoRedefine/>
    <w:qFormat/>
    <w:uiPriority w:val="0"/>
    <w:rPr>
      <w:rFonts w:ascii="宋体" w:hAnsi="Times New Roman" w:eastAsia="宋体" w:cs="Times New Roman"/>
      <w:szCs w:val="20"/>
    </w:rPr>
  </w:style>
  <w:style w:type="character" w:customStyle="1" w:styleId="101">
    <w:name w:val="HTML Markup"/>
    <w:autoRedefine/>
    <w:qFormat/>
    <w:uiPriority w:val="0"/>
    <w:rPr>
      <w:vanish/>
      <w:color w:val="FF0000"/>
    </w:rPr>
  </w:style>
  <w:style w:type="character" w:customStyle="1" w:styleId="102">
    <w:name w:val="页眉 Char1"/>
    <w:autoRedefine/>
    <w:qFormat/>
    <w:uiPriority w:val="0"/>
    <w:rPr>
      <w:rFonts w:ascii="宋体" w:hAnsi="Times New Roman" w:eastAsia="宋体" w:cs="Times New Roman"/>
      <w:kern w:val="0"/>
      <w:sz w:val="18"/>
      <w:szCs w:val="18"/>
    </w:rPr>
  </w:style>
  <w:style w:type="character" w:customStyle="1" w:styleId="103">
    <w:name w:val="font11"/>
    <w:autoRedefine/>
    <w:qFormat/>
    <w:uiPriority w:val="0"/>
    <w:rPr>
      <w:rFonts w:hint="eastAsia" w:ascii="宋体" w:hAnsi="宋体" w:eastAsia="宋体" w:cs="宋体"/>
      <w:color w:val="FF0000"/>
      <w:sz w:val="22"/>
      <w:szCs w:val="22"/>
      <w:u w:val="none"/>
    </w:rPr>
  </w:style>
  <w:style w:type="character" w:customStyle="1" w:styleId="104">
    <w:name w:val="style61"/>
    <w:autoRedefine/>
    <w:qFormat/>
    <w:uiPriority w:val="0"/>
    <w:rPr>
      <w:b/>
      <w:bCs/>
    </w:rPr>
  </w:style>
  <w:style w:type="character" w:customStyle="1" w:styleId="105">
    <w:name w:val="表头文字 Char"/>
    <w:link w:val="106"/>
    <w:autoRedefine/>
    <w:qFormat/>
    <w:uiPriority w:val="0"/>
    <w:rPr>
      <w:rFonts w:eastAsia="仿宋_GB2312"/>
      <w:b/>
      <w:sz w:val="28"/>
      <w:szCs w:val="21"/>
    </w:rPr>
  </w:style>
  <w:style w:type="paragraph" w:customStyle="1" w:styleId="106">
    <w:name w:val="表头文字"/>
    <w:basedOn w:val="1"/>
    <w:link w:val="105"/>
    <w:autoRedefine/>
    <w:qFormat/>
    <w:uiPriority w:val="0"/>
    <w:pPr>
      <w:adjustRightInd w:val="0"/>
      <w:snapToGrid w:val="0"/>
      <w:spacing w:before="120" w:line="360" w:lineRule="auto"/>
      <w:jc w:val="center"/>
      <w:textAlignment w:val="baseline"/>
    </w:pPr>
    <w:rPr>
      <w:rFonts w:eastAsia="仿宋_GB2312"/>
      <w:b/>
      <w:sz w:val="28"/>
      <w:szCs w:val="21"/>
    </w:rPr>
  </w:style>
  <w:style w:type="character" w:customStyle="1" w:styleId="107">
    <w:name w:val="日期 Char1"/>
    <w:link w:val="22"/>
    <w:autoRedefine/>
    <w:qFormat/>
    <w:uiPriority w:val="99"/>
    <w:rPr>
      <w:rFonts w:ascii="宋体" w:hAnsi="Times New Roman" w:eastAsia="宋体" w:cs="Times New Roman"/>
      <w:b/>
      <w:bCs/>
      <w:szCs w:val="21"/>
      <w:lang w:val="zh-CN"/>
    </w:rPr>
  </w:style>
  <w:style w:type="character" w:customStyle="1" w:styleId="108">
    <w:name w:val="纯文本 Char1"/>
    <w:autoRedefine/>
    <w:qFormat/>
    <w:uiPriority w:val="0"/>
    <w:rPr>
      <w:rFonts w:ascii="宋体" w:hAnsi="Courier New" w:eastAsia="宋体" w:cs="Courier New"/>
      <w:kern w:val="0"/>
      <w:szCs w:val="21"/>
    </w:rPr>
  </w:style>
  <w:style w:type="character" w:customStyle="1" w:styleId="109">
    <w:name w:val="批注主题 Char1"/>
    <w:link w:val="35"/>
    <w:autoRedefine/>
    <w:qFormat/>
    <w:uiPriority w:val="99"/>
    <w:rPr>
      <w:rFonts w:ascii="宋体" w:hAnsi="Times New Roman" w:eastAsia="宋体" w:cs="Times New Roman"/>
      <w:b/>
      <w:bCs/>
      <w:kern w:val="0"/>
      <w:sz w:val="24"/>
      <w:szCs w:val="24"/>
    </w:rPr>
  </w:style>
  <w:style w:type="character" w:customStyle="1" w:styleId="110">
    <w:name w:val="纯文本 字符"/>
    <w:autoRedefine/>
    <w:qFormat/>
    <w:uiPriority w:val="99"/>
    <w:rPr>
      <w:rFonts w:ascii="宋体" w:hAnsi="Courier New" w:eastAsia="宋体" w:cs="Times New Roman"/>
      <w:szCs w:val="20"/>
      <w:lang w:val="en-US" w:eastAsia="zh-CN"/>
    </w:rPr>
  </w:style>
  <w:style w:type="character" w:customStyle="1" w:styleId="111">
    <w:name w:val="font71"/>
    <w:autoRedefine/>
    <w:qFormat/>
    <w:uiPriority w:val="0"/>
    <w:rPr>
      <w:rFonts w:hint="eastAsia" w:ascii="宋体" w:hAnsi="宋体" w:eastAsia="宋体" w:cs="宋体"/>
      <w:color w:val="FF0000"/>
      <w:sz w:val="18"/>
      <w:szCs w:val="18"/>
      <w:u w:val="none"/>
    </w:rPr>
  </w:style>
  <w:style w:type="character" w:customStyle="1" w:styleId="112">
    <w:name w:val="font21"/>
    <w:autoRedefine/>
    <w:qFormat/>
    <w:uiPriority w:val="0"/>
    <w:rPr>
      <w:rFonts w:hint="eastAsia" w:ascii="宋体" w:hAnsi="宋体" w:eastAsia="宋体" w:cs="宋体"/>
      <w:b/>
      <w:color w:val="000000"/>
      <w:sz w:val="21"/>
      <w:szCs w:val="21"/>
      <w:u w:val="none"/>
    </w:rPr>
  </w:style>
  <w:style w:type="character" w:customStyle="1" w:styleId="113">
    <w:name w:val="纯文本 字符3"/>
    <w:autoRedefine/>
    <w:semiHidden/>
    <w:qFormat/>
    <w:uiPriority w:val="99"/>
    <w:rPr>
      <w:rFonts w:ascii="等线" w:hAnsi="Courier New" w:cs="Courier New"/>
      <w:kern w:val="0"/>
      <w:sz w:val="24"/>
      <w:szCs w:val="24"/>
    </w:rPr>
  </w:style>
  <w:style w:type="character" w:customStyle="1" w:styleId="114">
    <w:name w:val="font31"/>
    <w:qFormat/>
    <w:uiPriority w:val="0"/>
    <w:rPr>
      <w:rFonts w:hint="eastAsia" w:ascii="宋体" w:hAnsi="宋体" w:eastAsia="宋体" w:cs="宋体"/>
      <w:color w:val="000000"/>
      <w:sz w:val="18"/>
      <w:szCs w:val="18"/>
      <w:u w:val="none"/>
    </w:rPr>
  </w:style>
  <w:style w:type="character" w:customStyle="1" w:styleId="115">
    <w:name w:val="文档结构图 Char"/>
    <w:link w:val="15"/>
    <w:autoRedefine/>
    <w:semiHidden/>
    <w:qFormat/>
    <w:uiPriority w:val="99"/>
    <w:rPr>
      <w:rFonts w:ascii="宋体" w:hAnsi="Times New Roman" w:eastAsia="宋体" w:cs="Times New Roman"/>
      <w:kern w:val="0"/>
      <w:sz w:val="24"/>
      <w:szCs w:val="24"/>
      <w:shd w:val="clear" w:color="auto" w:fill="000080"/>
    </w:rPr>
  </w:style>
  <w:style w:type="character" w:customStyle="1" w:styleId="116">
    <w:name w:val="普通(网站) 字符1"/>
    <w:qFormat/>
    <w:locked/>
    <w:uiPriority w:val="0"/>
    <w:rPr>
      <w:rFonts w:ascii="宋体" w:hAnsi="宋体"/>
      <w:sz w:val="15"/>
      <w:szCs w:val="15"/>
    </w:rPr>
  </w:style>
  <w:style w:type="character" w:customStyle="1" w:styleId="117">
    <w:name w:val="正文文本 Char3"/>
    <w:link w:val="18"/>
    <w:qFormat/>
    <w:uiPriority w:val="99"/>
    <w:rPr>
      <w:rFonts w:ascii="宋体" w:eastAsia="宋体"/>
      <w:b/>
      <w:bCs/>
      <w:sz w:val="84"/>
      <w:szCs w:val="84"/>
      <w:lang w:val="zh-CN"/>
    </w:rPr>
  </w:style>
  <w:style w:type="character" w:customStyle="1" w:styleId="118">
    <w:name w:val="标题 5 Char"/>
    <w:autoRedefine/>
    <w:semiHidden/>
    <w:qFormat/>
    <w:uiPriority w:val="9"/>
    <w:rPr>
      <w:b/>
      <w:bCs/>
      <w:kern w:val="2"/>
      <w:sz w:val="28"/>
      <w:szCs w:val="28"/>
    </w:rPr>
  </w:style>
  <w:style w:type="character" w:customStyle="1" w:styleId="119">
    <w:name w:val="页眉 Char2"/>
    <w:link w:val="26"/>
    <w:qFormat/>
    <w:uiPriority w:val="99"/>
    <w:rPr>
      <w:rFonts w:ascii="宋体" w:eastAsia="宋体"/>
      <w:sz w:val="18"/>
      <w:szCs w:val="18"/>
    </w:rPr>
  </w:style>
  <w:style w:type="character" w:customStyle="1" w:styleId="120">
    <w:name w:val="表格文字 Char"/>
    <w:link w:val="121"/>
    <w:autoRedefine/>
    <w:qFormat/>
    <w:uiPriority w:val="0"/>
    <w:rPr>
      <w:rFonts w:eastAsia="仿宋_GB2312"/>
      <w:sz w:val="28"/>
      <w:szCs w:val="24"/>
    </w:rPr>
  </w:style>
  <w:style w:type="paragraph" w:customStyle="1" w:styleId="121">
    <w:name w:val="表格文字"/>
    <w:basedOn w:val="1"/>
    <w:link w:val="120"/>
    <w:autoRedefine/>
    <w:qFormat/>
    <w:uiPriority w:val="0"/>
    <w:rPr>
      <w:rFonts w:eastAsia="仿宋_GB2312"/>
      <w:sz w:val="28"/>
      <w:szCs w:val="24"/>
    </w:rPr>
  </w:style>
  <w:style w:type="character" w:customStyle="1" w:styleId="122">
    <w:name w:val="标题 字符2"/>
    <w:autoRedefine/>
    <w:qFormat/>
    <w:uiPriority w:val="10"/>
    <w:rPr>
      <w:rFonts w:ascii="等线 Light" w:hAnsi="等线 Light" w:eastAsia="等线 Light" w:cs="Times New Roman"/>
      <w:b/>
      <w:bCs/>
      <w:kern w:val="0"/>
      <w:sz w:val="32"/>
      <w:szCs w:val="32"/>
    </w:rPr>
  </w:style>
  <w:style w:type="character" w:customStyle="1" w:styleId="123">
    <w:name w:val="正文缩进2格 Char Char"/>
    <w:qFormat/>
    <w:uiPriority w:val="0"/>
    <w:rPr>
      <w:rFonts w:ascii="仿宋_GB2312" w:hAnsi="宋体" w:eastAsia="仿宋_GB2312"/>
      <w:kern w:val="2"/>
      <w:sz w:val="31"/>
      <w:szCs w:val="28"/>
      <w:lang w:val="en-US" w:eastAsia="zh-CN" w:bidi="ar-SA"/>
    </w:rPr>
  </w:style>
  <w:style w:type="character" w:customStyle="1" w:styleId="124">
    <w:name w:val="小 Char"/>
    <w:qFormat/>
    <w:uiPriority w:val="0"/>
    <w:rPr>
      <w:rFonts w:ascii="宋体" w:hAnsi="Courier New" w:eastAsia="宋体"/>
      <w:kern w:val="2"/>
      <w:sz w:val="21"/>
      <w:lang w:val="en-US" w:eastAsia="zh-CN" w:bidi="ar-SA"/>
    </w:rPr>
  </w:style>
  <w:style w:type="character" w:customStyle="1" w:styleId="125">
    <w:name w:val="themebody1"/>
    <w:autoRedefine/>
    <w:qFormat/>
    <w:uiPriority w:val="0"/>
    <w:rPr>
      <w:color w:val="FFFFFF"/>
    </w:rPr>
  </w:style>
  <w:style w:type="character" w:customStyle="1" w:styleId="126">
    <w:name w:val="页脚 字符1"/>
    <w:semiHidden/>
    <w:qFormat/>
    <w:uiPriority w:val="99"/>
    <w:rPr>
      <w:rFonts w:ascii="宋体" w:hAnsi="Calibri" w:eastAsia="宋体" w:cs="Times New Roman"/>
      <w:kern w:val="0"/>
      <w:sz w:val="18"/>
      <w:szCs w:val="18"/>
    </w:rPr>
  </w:style>
  <w:style w:type="character" w:customStyle="1" w:styleId="127">
    <w:name w:val="列出段落 Char"/>
    <w:link w:val="128"/>
    <w:autoRedefine/>
    <w:qFormat/>
    <w:uiPriority w:val="34"/>
    <w:rPr>
      <w:kern w:val="2"/>
      <w:sz w:val="21"/>
      <w:szCs w:val="22"/>
    </w:rPr>
  </w:style>
  <w:style w:type="paragraph" w:styleId="128">
    <w:name w:val="List Paragraph"/>
    <w:basedOn w:val="1"/>
    <w:link w:val="127"/>
    <w:qFormat/>
    <w:uiPriority w:val="34"/>
    <w:pPr>
      <w:ind w:firstLine="420" w:firstLineChars="200"/>
    </w:pPr>
  </w:style>
  <w:style w:type="character" w:customStyle="1" w:styleId="129">
    <w:name w:val="正文文本 Char"/>
    <w:qFormat/>
    <w:uiPriority w:val="99"/>
    <w:rPr>
      <w:rFonts w:ascii="宋体" w:eastAsia="宋体"/>
      <w:b/>
      <w:bCs/>
      <w:sz w:val="84"/>
      <w:szCs w:val="84"/>
      <w:lang w:val="zh-CN"/>
    </w:rPr>
  </w:style>
  <w:style w:type="character" w:customStyle="1" w:styleId="130">
    <w:name w:val="页眉 字符1"/>
    <w:autoRedefine/>
    <w:semiHidden/>
    <w:qFormat/>
    <w:uiPriority w:val="99"/>
    <w:rPr>
      <w:rFonts w:ascii="宋体" w:hAnsi="Calibri" w:eastAsia="宋体" w:cs="Times New Roman"/>
      <w:kern w:val="0"/>
      <w:sz w:val="18"/>
      <w:szCs w:val="18"/>
    </w:rPr>
  </w:style>
  <w:style w:type="character" w:customStyle="1" w:styleId="131">
    <w:name w:val="标题 5 Char1"/>
    <w:link w:val="7"/>
    <w:autoRedefine/>
    <w:qFormat/>
    <w:uiPriority w:val="9"/>
    <w:rPr>
      <w:rFonts w:ascii="宋体" w:hAnsi="Calibri" w:eastAsia="宋体" w:cs="Times New Roman"/>
      <w:b/>
      <w:bCs/>
      <w:kern w:val="0"/>
      <w:sz w:val="28"/>
      <w:szCs w:val="28"/>
    </w:rPr>
  </w:style>
  <w:style w:type="character" w:customStyle="1" w:styleId="132">
    <w:name w:val="keyfeatures1"/>
    <w:autoRedefine/>
    <w:qFormat/>
    <w:uiPriority w:val="0"/>
    <w:rPr>
      <w:rFonts w:hint="default" w:ascii="Arial" w:hAnsi="Arial" w:cs="Arial"/>
      <w:color w:val="003366"/>
      <w:sz w:val="17"/>
      <w:szCs w:val="17"/>
      <w:u w:val="none"/>
    </w:rPr>
  </w:style>
  <w:style w:type="character" w:customStyle="1" w:styleId="133">
    <w:name w:val="题注 字符"/>
    <w:qFormat/>
    <w:uiPriority w:val="0"/>
    <w:rPr>
      <w:rFonts w:ascii="宋体" w:hAnsi="宋体" w:eastAsia="黑体" w:cs="Times New Roman"/>
      <w:b/>
      <w:szCs w:val="21"/>
    </w:rPr>
  </w:style>
  <w:style w:type="character" w:customStyle="1" w:styleId="134">
    <w:name w:val="标题 4 Char"/>
    <w:autoRedefine/>
    <w:qFormat/>
    <w:uiPriority w:val="0"/>
    <w:rPr>
      <w:rFonts w:ascii="宋体" w:hAnsi="宋体" w:eastAsia="宋体"/>
      <w:b/>
      <w:kern w:val="2"/>
      <w:sz w:val="21"/>
      <w:szCs w:val="24"/>
      <w:lang w:val="en-US" w:eastAsia="zh-CN" w:bidi="ar-SA"/>
    </w:rPr>
  </w:style>
  <w:style w:type="character" w:customStyle="1" w:styleId="135">
    <w:name w:val="批注文字 字符3"/>
    <w:autoRedefine/>
    <w:semiHidden/>
    <w:qFormat/>
    <w:uiPriority w:val="99"/>
    <w:rPr>
      <w:rFonts w:ascii="宋体" w:hAnsi="Calibri" w:eastAsia="宋体" w:cs="Times New Roman"/>
      <w:kern w:val="0"/>
      <w:sz w:val="24"/>
      <w:szCs w:val="24"/>
    </w:rPr>
  </w:style>
  <w:style w:type="character" w:customStyle="1" w:styleId="136">
    <w:name w:val="纯文本 字符1"/>
    <w:qFormat/>
    <w:uiPriority w:val="0"/>
    <w:rPr>
      <w:rFonts w:ascii="宋体" w:hAnsi="Courier New" w:eastAsia="宋体"/>
      <w:kern w:val="2"/>
      <w:sz w:val="21"/>
      <w:szCs w:val="24"/>
      <w:lang w:val="en-US" w:eastAsia="zh-CN" w:bidi="ar-SA"/>
    </w:rPr>
  </w:style>
  <w:style w:type="character" w:customStyle="1" w:styleId="137">
    <w:name w:val="列出段落 Char1"/>
    <w:qFormat/>
    <w:uiPriority w:val="34"/>
    <w:rPr>
      <w:rFonts w:ascii="宋体"/>
      <w:sz w:val="24"/>
      <w:szCs w:val="24"/>
    </w:rPr>
  </w:style>
  <w:style w:type="character" w:customStyle="1" w:styleId="138">
    <w:name w:val="彩色列表 - 着色 1 字符"/>
    <w:link w:val="139"/>
    <w:qFormat/>
    <w:uiPriority w:val="0"/>
    <w:rPr>
      <w:rFonts w:ascii="Calibri" w:hAnsi="Calibri"/>
    </w:rPr>
  </w:style>
  <w:style w:type="paragraph" w:customStyle="1" w:styleId="139">
    <w:name w:val="彩色列表 - 着色 11"/>
    <w:basedOn w:val="1"/>
    <w:link w:val="138"/>
    <w:qFormat/>
    <w:uiPriority w:val="0"/>
    <w:pPr>
      <w:ind w:firstLine="420" w:firstLineChars="200"/>
    </w:pPr>
    <w:rPr>
      <w:rFonts w:ascii="Calibri" w:hAnsi="Calibri"/>
    </w:rPr>
  </w:style>
  <w:style w:type="character" w:customStyle="1" w:styleId="140">
    <w:name w:val="纯文本 Char"/>
    <w:autoRedefine/>
    <w:qFormat/>
    <w:uiPriority w:val="0"/>
    <w:rPr>
      <w:rFonts w:ascii="宋体" w:hAnsi="Courier New" w:eastAsia="宋体" w:cs="Times New Roman"/>
      <w:szCs w:val="20"/>
    </w:rPr>
  </w:style>
  <w:style w:type="character" w:customStyle="1" w:styleId="141">
    <w:name w:val="标题 6 Char"/>
    <w:link w:val="8"/>
    <w:autoRedefine/>
    <w:qFormat/>
    <w:uiPriority w:val="9"/>
    <w:rPr>
      <w:rFonts w:ascii="Times New Roman" w:hAnsi="Calibri" w:eastAsia="黑体" w:cs="Times New Roman"/>
      <w:b/>
      <w:bCs/>
      <w:kern w:val="0"/>
      <w:sz w:val="28"/>
      <w:szCs w:val="24"/>
    </w:rPr>
  </w:style>
  <w:style w:type="character" w:customStyle="1" w:styleId="142">
    <w:name w:val="正文文本 2 Char"/>
    <w:link w:val="31"/>
    <w:autoRedefine/>
    <w:qFormat/>
    <w:uiPriority w:val="0"/>
    <w:rPr>
      <w:rFonts w:ascii="Arial" w:hAnsi="Arial" w:eastAsia="宋体" w:cs="Times New Roman"/>
      <w:color w:val="000000"/>
      <w:szCs w:val="24"/>
    </w:rPr>
  </w:style>
  <w:style w:type="character" w:customStyle="1" w:styleId="143">
    <w:name w:val="标题 3 Char"/>
    <w:link w:val="5"/>
    <w:autoRedefine/>
    <w:qFormat/>
    <w:uiPriority w:val="0"/>
    <w:rPr>
      <w:rFonts w:ascii="宋体" w:hAnsi="Calibri" w:eastAsia="宋体" w:cs="Times New Roman"/>
      <w:kern w:val="0"/>
      <w:sz w:val="24"/>
      <w:szCs w:val="24"/>
    </w:rPr>
  </w:style>
  <w:style w:type="character" w:customStyle="1" w:styleId="144">
    <w:name w:val="正文文本缩进 2 字符1"/>
    <w:autoRedefine/>
    <w:semiHidden/>
    <w:qFormat/>
    <w:uiPriority w:val="99"/>
    <w:rPr>
      <w:rFonts w:ascii="宋体" w:hAnsi="Calibri" w:eastAsia="宋体" w:cs="Times New Roman"/>
      <w:kern w:val="0"/>
      <w:sz w:val="24"/>
      <w:szCs w:val="24"/>
    </w:rPr>
  </w:style>
  <w:style w:type="character" w:customStyle="1" w:styleId="145">
    <w:name w:val="正文文本缩进 3 字符1"/>
    <w:autoRedefine/>
    <w:semiHidden/>
    <w:qFormat/>
    <w:uiPriority w:val="99"/>
    <w:rPr>
      <w:rFonts w:ascii="宋体" w:hAnsi="Calibri" w:eastAsia="宋体" w:cs="Times New Roman"/>
      <w:kern w:val="0"/>
      <w:sz w:val="16"/>
      <w:szCs w:val="16"/>
    </w:rPr>
  </w:style>
  <w:style w:type="character" w:customStyle="1" w:styleId="146">
    <w:name w:val="正文文本 2 字符1"/>
    <w:autoRedefine/>
    <w:semiHidden/>
    <w:qFormat/>
    <w:uiPriority w:val="99"/>
    <w:rPr>
      <w:rFonts w:ascii="宋体" w:hAnsi="Calibri" w:eastAsia="宋体" w:cs="Times New Roman"/>
      <w:kern w:val="0"/>
      <w:sz w:val="24"/>
      <w:szCs w:val="24"/>
    </w:rPr>
  </w:style>
  <w:style w:type="character" w:customStyle="1" w:styleId="147">
    <w:name w:val="eschoolnr"/>
    <w:autoRedefine/>
    <w:qFormat/>
    <w:uiPriority w:val="0"/>
    <w:rPr>
      <w:sz w:val="23"/>
      <w:szCs w:val="23"/>
    </w:rPr>
  </w:style>
  <w:style w:type="character" w:customStyle="1" w:styleId="148">
    <w:name w:val="访问过的超链接1"/>
    <w:autoRedefine/>
    <w:qFormat/>
    <w:uiPriority w:val="0"/>
    <w:rPr>
      <w:rFonts w:ascii="Arial" w:hAnsi="Arial" w:cs="Arial"/>
      <w:color w:val="000000"/>
      <w:sz w:val="20"/>
      <w:szCs w:val="20"/>
      <w:u w:val="none"/>
    </w:rPr>
  </w:style>
  <w:style w:type="character" w:customStyle="1" w:styleId="149">
    <w:name w:val="标题 1 Char1"/>
    <w:link w:val="3"/>
    <w:autoRedefine/>
    <w:qFormat/>
    <w:uiPriority w:val="0"/>
    <w:rPr>
      <w:rFonts w:ascii="宋体" w:hAnsi="Calibri" w:eastAsia="宋体" w:cs="Times New Roman"/>
      <w:kern w:val="0"/>
      <w:sz w:val="24"/>
      <w:szCs w:val="24"/>
    </w:rPr>
  </w:style>
  <w:style w:type="character" w:customStyle="1" w:styleId="150">
    <w:name w:val="批注文字 Char1"/>
    <w:qFormat/>
    <w:uiPriority w:val="0"/>
    <w:rPr>
      <w:kern w:val="2"/>
      <w:sz w:val="21"/>
      <w:szCs w:val="24"/>
    </w:rPr>
  </w:style>
  <w:style w:type="character" w:customStyle="1" w:styleId="151">
    <w:name w:val="批注框文本 Char"/>
    <w:autoRedefine/>
    <w:semiHidden/>
    <w:qFormat/>
    <w:uiPriority w:val="99"/>
    <w:rPr>
      <w:kern w:val="2"/>
      <w:sz w:val="18"/>
      <w:szCs w:val="18"/>
    </w:rPr>
  </w:style>
  <w:style w:type="character" w:customStyle="1" w:styleId="152">
    <w:name w:val="DAS正文 Char"/>
    <w:autoRedefine/>
    <w:qFormat/>
    <w:uiPriority w:val="0"/>
    <w:rPr>
      <w:rFonts w:ascii="Verdana" w:hAnsi="Verdana" w:eastAsia="宋体"/>
      <w:kern w:val="2"/>
      <w:sz w:val="21"/>
      <w:szCs w:val="21"/>
      <w:lang w:val="en-US" w:eastAsia="zh-CN" w:bidi="ar-SA"/>
    </w:rPr>
  </w:style>
  <w:style w:type="character" w:customStyle="1" w:styleId="153">
    <w:name w:val="正文文本缩进 3 Char"/>
    <w:link w:val="29"/>
    <w:qFormat/>
    <w:uiPriority w:val="0"/>
    <w:rPr>
      <w:rFonts w:ascii="宋体" w:hAnsi="Times New Roman" w:eastAsia="宋体" w:cs="Times New Roman"/>
      <w:kern w:val="0"/>
      <w:sz w:val="24"/>
      <w:szCs w:val="24"/>
    </w:rPr>
  </w:style>
  <w:style w:type="character" w:customStyle="1" w:styleId="154">
    <w:name w:val="页眉 Char"/>
    <w:autoRedefine/>
    <w:qFormat/>
    <w:uiPriority w:val="99"/>
    <w:rPr>
      <w:kern w:val="2"/>
      <w:sz w:val="18"/>
      <w:szCs w:val="18"/>
    </w:rPr>
  </w:style>
  <w:style w:type="character" w:customStyle="1" w:styleId="155">
    <w:name w:val="正文文本 3 Char"/>
    <w:link w:val="17"/>
    <w:autoRedefine/>
    <w:qFormat/>
    <w:uiPriority w:val="0"/>
    <w:rPr>
      <w:rFonts w:ascii="宋体" w:hAnsi="Times New Roman" w:eastAsia="宋体" w:cs="Times New Roman"/>
      <w:b/>
      <w:bCs/>
      <w:color w:val="3366FF"/>
      <w:sz w:val="52"/>
      <w:szCs w:val="52"/>
      <w:lang w:val="zh-CN"/>
    </w:rPr>
  </w:style>
  <w:style w:type="character" w:customStyle="1" w:styleId="156">
    <w:name w:val="HTML 预设格式 字符1"/>
    <w:semiHidden/>
    <w:qFormat/>
    <w:uiPriority w:val="99"/>
    <w:rPr>
      <w:rFonts w:ascii="Courier New" w:hAnsi="Courier New" w:eastAsia="宋体" w:cs="Courier New"/>
      <w:kern w:val="0"/>
      <w:sz w:val="20"/>
      <w:szCs w:val="20"/>
    </w:rPr>
  </w:style>
  <w:style w:type="character" w:customStyle="1" w:styleId="157">
    <w:name w:val="彩色列表 - 强调文字颜色 1 Char"/>
    <w:link w:val="158"/>
    <w:autoRedefine/>
    <w:qFormat/>
    <w:uiPriority w:val="0"/>
    <w:rPr>
      <w:rFonts w:ascii="宋体"/>
      <w:sz w:val="24"/>
      <w:szCs w:val="24"/>
    </w:rPr>
  </w:style>
  <w:style w:type="paragraph" w:customStyle="1" w:styleId="158">
    <w:name w:val="彩色列表 - 强调文字颜色 11"/>
    <w:basedOn w:val="1"/>
    <w:link w:val="157"/>
    <w:autoRedefine/>
    <w:qFormat/>
    <w:uiPriority w:val="0"/>
    <w:pPr>
      <w:autoSpaceDE w:val="0"/>
      <w:autoSpaceDN w:val="0"/>
      <w:adjustRightInd w:val="0"/>
      <w:ind w:firstLine="420" w:firstLineChars="200"/>
      <w:jc w:val="left"/>
    </w:pPr>
    <w:rPr>
      <w:rFonts w:ascii="宋体"/>
      <w:sz w:val="24"/>
      <w:szCs w:val="24"/>
    </w:rPr>
  </w:style>
  <w:style w:type="character" w:customStyle="1" w:styleId="159">
    <w:name w:val="普通(网站) 字符"/>
    <w:qFormat/>
    <w:locked/>
    <w:uiPriority w:val="99"/>
    <w:rPr>
      <w:rFonts w:ascii="宋体" w:hAnsi="宋体" w:eastAsia="宋体" w:cs="Times New Roman"/>
      <w:kern w:val="0"/>
      <w:sz w:val="15"/>
      <w:szCs w:val="15"/>
      <w:lang w:val="en-US" w:eastAsia="zh-CN"/>
    </w:rPr>
  </w:style>
  <w:style w:type="paragraph" w:customStyle="1" w:styleId="160">
    <w:name w:val="_Style 123"/>
    <w:basedOn w:val="1"/>
    <w:next w:val="128"/>
    <w:qFormat/>
    <w:uiPriority w:val="34"/>
    <w:pPr>
      <w:spacing w:line="360" w:lineRule="auto"/>
      <w:ind w:firstLine="420" w:firstLineChars="200"/>
    </w:pPr>
    <w:rPr>
      <w:rFonts w:ascii="Calibri" w:hAnsi="Calibri" w:eastAsia="宋体" w:cs="Times New Roman"/>
    </w:rPr>
  </w:style>
  <w:style w:type="character" w:customStyle="1" w:styleId="161">
    <w:name w:val="纯文本 字符4"/>
    <w:basedOn w:val="39"/>
    <w:semiHidden/>
    <w:qFormat/>
    <w:uiPriority w:val="99"/>
    <w:rPr>
      <w:rFonts w:hAnsi="Courier New" w:cs="Courier New" w:asciiTheme="minorEastAsia"/>
    </w:rPr>
  </w:style>
  <w:style w:type="character" w:customStyle="1" w:styleId="162">
    <w:name w:val="批注文字 Char2"/>
    <w:basedOn w:val="39"/>
    <w:link w:val="16"/>
    <w:semiHidden/>
    <w:qFormat/>
    <w:uiPriority w:val="99"/>
  </w:style>
  <w:style w:type="character" w:customStyle="1" w:styleId="163">
    <w:name w:val="批注主题 字符2"/>
    <w:basedOn w:val="162"/>
    <w:semiHidden/>
    <w:qFormat/>
    <w:uiPriority w:val="99"/>
    <w:rPr>
      <w:b/>
      <w:bCs/>
    </w:rPr>
  </w:style>
  <w:style w:type="character" w:customStyle="1" w:styleId="164">
    <w:name w:val="标题 字符3"/>
    <w:basedOn w:val="39"/>
    <w:qFormat/>
    <w:uiPriority w:val="10"/>
    <w:rPr>
      <w:rFonts w:asciiTheme="majorHAnsi" w:hAnsiTheme="majorHAnsi" w:eastAsiaTheme="majorEastAsia" w:cstheme="majorBidi"/>
      <w:b/>
      <w:bCs/>
      <w:sz w:val="32"/>
      <w:szCs w:val="32"/>
    </w:rPr>
  </w:style>
  <w:style w:type="character" w:customStyle="1" w:styleId="165">
    <w:name w:val="正文文本缩进 字符3"/>
    <w:basedOn w:val="39"/>
    <w:semiHidden/>
    <w:qFormat/>
    <w:uiPriority w:val="99"/>
  </w:style>
  <w:style w:type="character" w:customStyle="1" w:styleId="166">
    <w:name w:val="正文文本 字符4"/>
    <w:basedOn w:val="39"/>
    <w:semiHidden/>
    <w:qFormat/>
    <w:uiPriority w:val="99"/>
  </w:style>
  <w:style w:type="character" w:customStyle="1" w:styleId="167">
    <w:name w:val="正文文本缩进 3 字符2"/>
    <w:basedOn w:val="39"/>
    <w:autoRedefine/>
    <w:semiHidden/>
    <w:qFormat/>
    <w:uiPriority w:val="99"/>
    <w:rPr>
      <w:sz w:val="16"/>
      <w:szCs w:val="16"/>
    </w:rPr>
  </w:style>
  <w:style w:type="character" w:customStyle="1" w:styleId="168">
    <w:name w:val="页眉 字符2"/>
    <w:basedOn w:val="39"/>
    <w:semiHidden/>
    <w:qFormat/>
    <w:uiPriority w:val="99"/>
    <w:rPr>
      <w:sz w:val="18"/>
      <w:szCs w:val="18"/>
    </w:rPr>
  </w:style>
  <w:style w:type="character" w:customStyle="1" w:styleId="169">
    <w:name w:val="批注框文本 字符2"/>
    <w:basedOn w:val="39"/>
    <w:semiHidden/>
    <w:qFormat/>
    <w:uiPriority w:val="99"/>
    <w:rPr>
      <w:sz w:val="18"/>
      <w:szCs w:val="18"/>
    </w:rPr>
  </w:style>
  <w:style w:type="character" w:customStyle="1" w:styleId="170">
    <w:name w:val="HTML 预设格式 字符2"/>
    <w:basedOn w:val="39"/>
    <w:semiHidden/>
    <w:qFormat/>
    <w:uiPriority w:val="99"/>
    <w:rPr>
      <w:rFonts w:ascii="Courier New" w:hAnsi="Courier New" w:cs="Courier New"/>
      <w:sz w:val="20"/>
      <w:szCs w:val="20"/>
    </w:rPr>
  </w:style>
  <w:style w:type="character" w:customStyle="1" w:styleId="171">
    <w:name w:val="页脚 字符2"/>
    <w:basedOn w:val="39"/>
    <w:semiHidden/>
    <w:qFormat/>
    <w:uiPriority w:val="99"/>
    <w:rPr>
      <w:sz w:val="18"/>
      <w:szCs w:val="18"/>
    </w:rPr>
  </w:style>
  <w:style w:type="character" w:customStyle="1" w:styleId="172">
    <w:name w:val="正文文本缩进 2 字符2"/>
    <w:basedOn w:val="39"/>
    <w:semiHidden/>
    <w:qFormat/>
    <w:uiPriority w:val="99"/>
  </w:style>
  <w:style w:type="character" w:customStyle="1" w:styleId="173">
    <w:name w:val="正文文本 3 字符2"/>
    <w:basedOn w:val="39"/>
    <w:semiHidden/>
    <w:qFormat/>
    <w:uiPriority w:val="99"/>
    <w:rPr>
      <w:sz w:val="16"/>
      <w:szCs w:val="16"/>
    </w:rPr>
  </w:style>
  <w:style w:type="character" w:customStyle="1" w:styleId="174">
    <w:name w:val="正文文本 2 字符2"/>
    <w:basedOn w:val="39"/>
    <w:semiHidden/>
    <w:qFormat/>
    <w:uiPriority w:val="99"/>
  </w:style>
  <w:style w:type="paragraph" w:customStyle="1" w:styleId="175">
    <w:name w:val="WPSOffice手动目录 3"/>
    <w:autoRedefine/>
    <w:qFormat/>
    <w:uiPriority w:val="0"/>
    <w:pPr>
      <w:ind w:left="400" w:leftChars="400"/>
    </w:pPr>
    <w:rPr>
      <w:rFonts w:ascii="Calibri" w:hAnsi="Calibri" w:eastAsia="宋体" w:cs="Times New Roman"/>
      <w:lang w:val="en-US" w:eastAsia="zh-CN" w:bidi="ar-SA"/>
    </w:rPr>
  </w:style>
  <w:style w:type="paragraph" w:customStyle="1" w:styleId="176">
    <w:name w:val="列表段落1"/>
    <w:basedOn w:val="1"/>
    <w:autoRedefine/>
    <w:qFormat/>
    <w:uiPriority w:val="0"/>
    <w:pPr>
      <w:ind w:firstLine="420" w:firstLineChars="200"/>
    </w:pPr>
    <w:rPr>
      <w:rFonts w:ascii="Times New Roman" w:hAnsi="Times New Roman" w:eastAsia="宋体" w:cs="Times New Roman"/>
      <w:szCs w:val="20"/>
    </w:rPr>
  </w:style>
  <w:style w:type="character" w:customStyle="1" w:styleId="177">
    <w:name w:val="文档结构图 字符2"/>
    <w:basedOn w:val="39"/>
    <w:autoRedefine/>
    <w:semiHidden/>
    <w:qFormat/>
    <w:uiPriority w:val="99"/>
    <w:rPr>
      <w:rFonts w:ascii="Microsoft YaHei UI" w:eastAsia="Microsoft YaHei UI"/>
      <w:sz w:val="18"/>
      <w:szCs w:val="18"/>
    </w:rPr>
  </w:style>
  <w:style w:type="character" w:customStyle="1" w:styleId="178">
    <w:name w:val="日期 字符2"/>
    <w:basedOn w:val="39"/>
    <w:semiHidden/>
    <w:qFormat/>
    <w:uiPriority w:val="99"/>
  </w:style>
  <w:style w:type="paragraph" w:customStyle="1" w:styleId="179">
    <w:name w:val="彩色底纹 - 强调文字颜色 11"/>
    <w:semiHidden/>
    <w:qFormat/>
    <w:uiPriority w:val="99"/>
    <w:rPr>
      <w:rFonts w:ascii="宋体" w:hAnsi="Calibri" w:eastAsia="宋体" w:cs="Times New Roman"/>
      <w:sz w:val="24"/>
      <w:szCs w:val="24"/>
      <w:lang w:val="en-US" w:eastAsia="zh-CN" w:bidi="ar-SA"/>
    </w:rPr>
  </w:style>
  <w:style w:type="paragraph" w:customStyle="1" w:styleId="180">
    <w:name w:val="d"/>
    <w:basedOn w:val="1"/>
    <w:qFormat/>
    <w:uiPriority w:val="0"/>
    <w:pPr>
      <w:overflowPunct w:val="0"/>
      <w:autoSpaceDE w:val="0"/>
      <w:autoSpaceDN w:val="0"/>
      <w:adjustRightInd w:val="0"/>
      <w:snapToGrid w:val="0"/>
      <w:spacing w:line="360" w:lineRule="auto"/>
      <w:ind w:firstLine="480" w:firstLineChars="200"/>
    </w:pPr>
    <w:rPr>
      <w:rFonts w:ascii="宋体" w:hAnsi="宋体" w:eastAsia="宋体" w:cs="Arial"/>
      <w:snapToGrid w:val="0"/>
      <w:kern w:val="0"/>
      <w:sz w:val="24"/>
      <w:szCs w:val="21"/>
    </w:rPr>
  </w:style>
  <w:style w:type="paragraph" w:customStyle="1" w:styleId="181">
    <w:name w:val="修订1"/>
    <w:autoRedefine/>
    <w:semiHidden/>
    <w:qFormat/>
    <w:uiPriority w:val="99"/>
    <w:rPr>
      <w:rFonts w:ascii="宋体" w:hAnsi="Calibri" w:eastAsia="宋体" w:cs="Times New Roman"/>
      <w:sz w:val="24"/>
      <w:szCs w:val="24"/>
      <w:lang w:val="en-US" w:eastAsia="zh-CN" w:bidi="ar-SA"/>
    </w:rPr>
  </w:style>
  <w:style w:type="paragraph" w:customStyle="1" w:styleId="182">
    <w:name w:val="图/图注"/>
    <w:basedOn w:val="9"/>
    <w:qFormat/>
    <w:uiPriority w:val="0"/>
    <w:pPr>
      <w:wordWrap/>
      <w:autoSpaceDE/>
      <w:autoSpaceDN/>
      <w:adjustRightInd/>
      <w:spacing w:before="50"/>
      <w:ind w:firstLine="0" w:firstLineChars="0"/>
      <w:jc w:val="center"/>
    </w:pPr>
    <w:rPr>
      <w:rFonts w:ascii="Times New Roman" w:eastAsia="黑体"/>
      <w:b/>
      <w:sz w:val="21"/>
      <w:szCs w:val="22"/>
    </w:rPr>
  </w:style>
  <w:style w:type="paragraph" w:customStyle="1" w:styleId="183">
    <w:name w:val="Default"/>
    <w:autoRedefine/>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84">
    <w:name w:val="A."/>
    <w:basedOn w:val="1"/>
    <w:autoRedefine/>
    <w:qFormat/>
    <w:uiPriority w:val="0"/>
    <w:pPr>
      <w:widowControl/>
      <w:tabs>
        <w:tab w:val="left" w:pos="859"/>
        <w:tab w:val="left" w:pos="1200"/>
      </w:tabs>
      <w:spacing w:before="240" w:line="240" w:lineRule="atLeast"/>
      <w:ind w:left="859" w:hanging="453"/>
    </w:pPr>
    <w:rPr>
      <w:rFonts w:ascii="Times New Roman" w:hAnsi="Times New Roman" w:eastAsia="宋体" w:cs="Times New Roman"/>
      <w:sz w:val="24"/>
      <w:szCs w:val="24"/>
    </w:rPr>
  </w:style>
  <w:style w:type="paragraph" w:customStyle="1" w:styleId="185">
    <w:name w:val="Pa8"/>
    <w:basedOn w:val="1"/>
    <w:next w:val="1"/>
    <w:qFormat/>
    <w:uiPriority w:val="99"/>
    <w:pPr>
      <w:autoSpaceDE w:val="0"/>
      <w:autoSpaceDN w:val="0"/>
      <w:adjustRightInd w:val="0"/>
      <w:spacing w:line="181" w:lineRule="atLeast"/>
      <w:jc w:val="left"/>
    </w:pPr>
    <w:rPr>
      <w:rFonts w:ascii="FrutigerNext LT Light" w:hAnsi="Calibri" w:eastAsia="FrutigerNext LT Light" w:cs="Times New Roman"/>
      <w:kern w:val="0"/>
      <w:sz w:val="24"/>
      <w:szCs w:val="24"/>
    </w:rPr>
  </w:style>
  <w:style w:type="paragraph" w:customStyle="1" w:styleId="186">
    <w:name w:val="p0"/>
    <w:basedOn w:val="1"/>
    <w:qFormat/>
    <w:uiPriority w:val="0"/>
    <w:pPr>
      <w:widowControl/>
    </w:pPr>
    <w:rPr>
      <w:rFonts w:ascii="Times New Roman" w:hAnsi="Calibri" w:eastAsia="宋体" w:cs="Times New Roman"/>
      <w:kern w:val="0"/>
      <w:szCs w:val="20"/>
    </w:rPr>
  </w:style>
  <w:style w:type="paragraph" w:customStyle="1" w:styleId="187">
    <w:name w:val="Char Char Char Char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8">
    <w:name w:val="Char"/>
    <w:basedOn w:val="1"/>
    <w:autoRedefine/>
    <w:qFormat/>
    <w:uiPriority w:val="0"/>
    <w:pPr>
      <w:widowControl/>
      <w:spacing w:after="160" w:line="240" w:lineRule="exact"/>
      <w:jc w:val="center"/>
    </w:pPr>
    <w:rPr>
      <w:rFonts w:ascii="Times New Roman" w:hAnsi="Times New Roman" w:eastAsia="宋体" w:cs="Times New Roman"/>
      <w:szCs w:val="24"/>
    </w:rPr>
  </w:style>
  <w:style w:type="paragraph" w:customStyle="1" w:styleId="189">
    <w:name w:val="网格表 32"/>
    <w:basedOn w:val="3"/>
    <w:next w:val="1"/>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0">
    <w:name w:val="WPSOffice手动目录 1"/>
    <w:qFormat/>
    <w:uiPriority w:val="0"/>
    <w:rPr>
      <w:rFonts w:ascii="Calibri" w:hAnsi="Calibri" w:eastAsia="宋体" w:cs="Times New Roman"/>
      <w:lang w:val="en-US" w:eastAsia="zh-CN" w:bidi="ar-SA"/>
    </w:rPr>
  </w:style>
  <w:style w:type="paragraph" w:customStyle="1" w:styleId="191">
    <w:name w:val="_Style 69"/>
    <w:basedOn w:val="1"/>
    <w:next w:val="128"/>
    <w:qFormat/>
    <w:uiPriority w:val="34"/>
    <w:pPr>
      <w:spacing w:line="360" w:lineRule="auto"/>
      <w:ind w:firstLine="420" w:firstLineChars="200"/>
    </w:pPr>
    <w:rPr>
      <w:rFonts w:ascii="Calibri" w:hAnsi="Calibri" w:eastAsia="宋体" w:cs="Times New Roman"/>
    </w:rPr>
  </w:style>
  <w:style w:type="paragraph" w:customStyle="1" w:styleId="192">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93">
    <w:name w:val="保留正文"/>
    <w:basedOn w:val="18"/>
    <w:autoRedefine/>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194">
    <w:name w:val="彩色底纹 - 着色 11"/>
    <w:semiHidden/>
    <w:qFormat/>
    <w:uiPriority w:val="99"/>
    <w:rPr>
      <w:rFonts w:ascii="宋体" w:hAnsi="Calibri" w:eastAsia="宋体" w:cs="Times New Roman"/>
      <w:sz w:val="24"/>
      <w:szCs w:val="24"/>
      <w:lang w:val="en-US" w:eastAsia="zh-CN" w:bidi="ar-SA"/>
    </w:rPr>
  </w:style>
  <w:style w:type="paragraph" w:customStyle="1" w:styleId="195">
    <w:name w:val="WPSOffice手动目录 2"/>
    <w:qFormat/>
    <w:uiPriority w:val="0"/>
    <w:pPr>
      <w:ind w:left="200" w:leftChars="200"/>
    </w:pPr>
    <w:rPr>
      <w:rFonts w:ascii="Calibri" w:hAnsi="Calibri" w:eastAsia="宋体" w:cs="Times New Roman"/>
      <w:lang w:val="en-US" w:eastAsia="zh-CN" w:bidi="ar-SA"/>
    </w:rPr>
  </w:style>
  <w:style w:type="paragraph" w:customStyle="1" w:styleId="196">
    <w:name w:val="网格表 31"/>
    <w:basedOn w:val="3"/>
    <w:next w:val="1"/>
    <w:autoRedefine/>
    <w:unhideWhenUsed/>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7">
    <w:name w:val="表格文字居中"/>
    <w:basedOn w:val="121"/>
    <w:autoRedefine/>
    <w:qFormat/>
    <w:uiPriority w:val="0"/>
    <w:pPr>
      <w:jc w:val="center"/>
    </w:pPr>
    <w:rPr>
      <w:rFonts w:cs="宋体"/>
      <w:szCs w:val="20"/>
    </w:rPr>
  </w:style>
  <w:style w:type="paragraph" w:customStyle="1" w:styleId="198">
    <w:name w:val="正文缩进4格"/>
    <w:basedOn w:val="62"/>
    <w:qFormat/>
    <w:uiPriority w:val="0"/>
    <w:pPr>
      <w:spacing w:line="360" w:lineRule="auto"/>
      <w:ind w:left="964" w:leftChars="314" w:hanging="210" w:hangingChars="100"/>
    </w:pPr>
    <w:rPr>
      <w:rFonts w:ascii="宋体" w:eastAsia="宋体"/>
      <w:sz w:val="21"/>
      <w:szCs w:val="21"/>
      <w:lang w:val="zh-CN"/>
    </w:rPr>
  </w:style>
  <w:style w:type="paragraph" w:customStyle="1" w:styleId="199">
    <w:name w:val="版本说明标题"/>
    <w:basedOn w:val="1"/>
    <w:qFormat/>
    <w:uiPriority w:val="0"/>
    <w:pPr>
      <w:adjustRightInd w:val="0"/>
      <w:snapToGrid w:val="0"/>
      <w:spacing w:beforeLines="50" w:afterLines="50"/>
      <w:ind w:firstLine="560"/>
      <w:jc w:val="center"/>
      <w:textAlignment w:val="baseline"/>
    </w:pPr>
    <w:rPr>
      <w:rFonts w:ascii="Times New Roman" w:hAnsi="Calibri" w:eastAsia="仿宋_GB2312" w:cs="Times New Roman"/>
      <w:b/>
      <w:color w:val="000000"/>
      <w:sz w:val="28"/>
      <w:szCs w:val="28"/>
    </w:rPr>
  </w:style>
  <w:style w:type="character" w:customStyle="1" w:styleId="200">
    <w:name w:val="正文首行缩进 Char"/>
    <w:basedOn w:val="117"/>
    <w:link w:val="36"/>
    <w:semiHidden/>
    <w:qFormat/>
    <w:uiPriority w:val="99"/>
    <w:rPr>
      <w:rFonts w:ascii="宋体" w:eastAsia="宋体"/>
      <w:b w:val="0"/>
      <w:bCs w:val="0"/>
      <w:sz w:val="84"/>
      <w:szCs w:val="84"/>
      <w:lang w:val="zh-CN"/>
    </w:rPr>
  </w:style>
  <w:style w:type="paragraph" w:customStyle="1" w:styleId="201">
    <w:name w:val="修订2"/>
    <w:autoRedefine/>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02">
    <w:name w:val="列出段落"/>
    <w:basedOn w:val="1"/>
    <w:qFormat/>
    <w:uiPriority w:val="0"/>
    <w:pPr>
      <w:keepNext w:val="0"/>
      <w:keepLines w:val="0"/>
      <w:widowControl w:val="0"/>
      <w:suppressLineNumbers w:val="0"/>
      <w:autoSpaceDE w:val="0"/>
      <w:autoSpaceDN w:val="0"/>
      <w:adjustRightInd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110</Pages>
  <Words>22954</Words>
  <Characters>23908</Characters>
  <Lines>1</Lines>
  <Paragraphs>1</Paragraphs>
  <TotalTime>0</TotalTime>
  <ScaleCrop>false</ScaleCrop>
  <LinksUpToDate>false</LinksUpToDate>
  <CharactersWithSpaces>24313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2023-07-19T02:55:00Z</dcterms:created>
  <dc:creator>HS</dc:creator>
  <cp:lastModifiedBy>郑翠婷</cp:lastModifiedBy>
  <cp:lastPrinted>2024-10-30T09:46:00Z</cp:lastPrinted>
  <dcterms:modified xsi:type="dcterms:W3CDTF">2025-03-20T02:26:22Z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9EA1196335114D5D85C42E0A6A0C003B_13</vt:lpwstr>
  </property>
  <property fmtid="{D5CDD505-2E9C-101B-9397-08002B2CF9AE}" pid="4" name="KSOTemplateDocerSaveRecord">
    <vt:lpwstr>eyJoZGlkIjoiYjM3MDlmZjc5NjhlNzcxODhhNDYyMDVhNmE1MTU0NzgiLCJ1c2VySWQiOiI0MzczNTY5ODQifQ==</vt:lpwstr>
  </property>
</Properties>
</file>